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2439F4" w:rsidP="00FE645A">
      <w:pPr>
        <w:pStyle w:val="Title"/>
      </w:pPr>
      <w:r>
        <w:t>Medicines for the treatment of Glaucoma</w:t>
      </w:r>
      <w:r w:rsidR="001C4016">
        <w:t xml:space="preserve"> </w:t>
      </w:r>
    </w:p>
    <w:p w:rsidR="00736041" w:rsidRDefault="009053D3" w:rsidP="00A35800">
      <w:pPr>
        <w:pStyle w:val="Heading1"/>
      </w:pPr>
      <w:r>
        <w:t>D</w:t>
      </w:r>
      <w:r w:rsidR="00832324" w:rsidRPr="0063631C">
        <w:t xml:space="preserve">rug utilisation sub-committee </w:t>
      </w:r>
      <w:r w:rsidR="00832324">
        <w:t>(DUSC)</w:t>
      </w:r>
    </w:p>
    <w:p w:rsidR="00324B55" w:rsidRPr="000C46BB" w:rsidRDefault="00324B55" w:rsidP="00324B55">
      <w:pPr>
        <w:pStyle w:val="Heading2"/>
      </w:pPr>
      <w:r>
        <w:t>June 2016</w:t>
      </w:r>
    </w:p>
    <w:p w:rsidR="005C6661" w:rsidRDefault="005C6661" w:rsidP="005C6661">
      <w:pPr>
        <w:pStyle w:val="Heading3"/>
      </w:pPr>
      <w:r>
        <w:t>Abstract</w:t>
      </w:r>
    </w:p>
    <w:p w:rsidR="005C6661" w:rsidRDefault="005C6661" w:rsidP="005C6661">
      <w:pPr>
        <w:pStyle w:val="Heading2"/>
      </w:pPr>
      <w:r>
        <w:t>Purpose</w:t>
      </w:r>
    </w:p>
    <w:p w:rsidR="00677248" w:rsidRPr="00677248" w:rsidRDefault="00677248" w:rsidP="00677248">
      <w:pPr>
        <w:rPr>
          <w:highlight w:val="yellow"/>
        </w:rPr>
      </w:pPr>
      <w:r w:rsidRPr="0001143C">
        <w:t xml:space="preserve">To review the utilisation of medicines used to treat glaucoma and elevated intraocular pressure. The DUSC requested a utilisation analysis of this group of medicines at its February 2016 meeting. </w:t>
      </w:r>
      <w:r w:rsidRPr="002A4F07">
        <w:t xml:space="preserve">The DUSC noted it had not reviewed the utilisation of these medicines for many years. </w:t>
      </w:r>
    </w:p>
    <w:p w:rsidR="002D144A" w:rsidRDefault="002D144A" w:rsidP="005C6661">
      <w:pPr>
        <w:pStyle w:val="Heading2"/>
      </w:pPr>
      <w:r>
        <w:t>Date of listing on the P</w:t>
      </w:r>
      <w:r w:rsidR="00A95FA5">
        <w:t xml:space="preserve">harmaceutical </w:t>
      </w:r>
      <w:r>
        <w:t>B</w:t>
      </w:r>
      <w:r w:rsidR="00A95FA5">
        <w:t xml:space="preserve">enefits </w:t>
      </w:r>
      <w:r>
        <w:t>S</w:t>
      </w:r>
      <w:r w:rsidR="00A95FA5">
        <w:t>cheme (PBS)</w:t>
      </w:r>
    </w:p>
    <w:p w:rsidR="00677248" w:rsidRDefault="00677248" w:rsidP="00677248">
      <w:r>
        <w:t>Most single</w:t>
      </w:r>
      <w:r>
        <w:noBreakHyphen/>
        <w:t xml:space="preserve">ingredient glaucoma medicines were listed on the PBS before 2004. A number of fixed dose combination products (FDCs) </w:t>
      </w:r>
      <w:r w:rsidR="003A3558">
        <w:t xml:space="preserve">have been listed on the PBS between 2004 and 2015. </w:t>
      </w:r>
    </w:p>
    <w:p w:rsidR="005C6661" w:rsidRDefault="005C6661" w:rsidP="005C6661">
      <w:pPr>
        <w:pStyle w:val="Heading2"/>
      </w:pPr>
      <w:r>
        <w:t>Data Source / methodology</w:t>
      </w:r>
    </w:p>
    <w:p w:rsidR="003A3558" w:rsidRDefault="003A3558" w:rsidP="005C6661">
      <w:pPr>
        <w:pStyle w:val="NoSpacing"/>
        <w:rPr>
          <w:highlight w:val="yellow"/>
        </w:rPr>
      </w:pPr>
      <w:r w:rsidRPr="00E85AD1">
        <w:t xml:space="preserve">Data for glaucoma medicines were extracted from </w:t>
      </w:r>
      <w:r w:rsidRPr="003A3558">
        <w:t>the DUSC and Department of Human Services (DHS) prescription databases from</w:t>
      </w:r>
      <w:r>
        <w:t xml:space="preserve"> 2004 to 2015 (inclusive). </w:t>
      </w:r>
    </w:p>
    <w:p w:rsidR="005C6661" w:rsidRDefault="005C6661" w:rsidP="005C6661">
      <w:pPr>
        <w:pStyle w:val="Heading2"/>
      </w:pPr>
      <w:r>
        <w:t>Key Findings</w:t>
      </w:r>
    </w:p>
    <w:p w:rsidR="005C6661" w:rsidRDefault="00E85AD1" w:rsidP="00634867">
      <w:pPr>
        <w:pStyle w:val="NoSpacing"/>
        <w:numPr>
          <w:ilvl w:val="0"/>
          <w:numId w:val="1"/>
        </w:numPr>
      </w:pPr>
      <w:r w:rsidRPr="00E85AD1">
        <w:t xml:space="preserve">The number of PBS </w:t>
      </w:r>
      <w:r w:rsidR="00634867">
        <w:t xml:space="preserve">and </w:t>
      </w:r>
      <w:r w:rsidR="00634867" w:rsidRPr="00634867">
        <w:t>Repatriation Schedule of Pharmaceutical Benefits</w:t>
      </w:r>
      <w:r w:rsidR="00634867">
        <w:t xml:space="preserve"> (RPBS) </w:t>
      </w:r>
      <w:r w:rsidRPr="00E85AD1">
        <w:t>prescriptions for glaucoma medicines has increased s</w:t>
      </w:r>
      <w:r>
        <w:t xml:space="preserve">teadily </w:t>
      </w:r>
      <w:r w:rsidRPr="00E85AD1">
        <w:t>between 2004 and 2015. Over 4.3 million prescriptions were supplied in 2015.</w:t>
      </w:r>
    </w:p>
    <w:p w:rsidR="00E85AD1" w:rsidRDefault="007307C6" w:rsidP="007307C6">
      <w:pPr>
        <w:pStyle w:val="NoSpacing"/>
        <w:numPr>
          <w:ilvl w:val="0"/>
          <w:numId w:val="1"/>
        </w:numPr>
      </w:pPr>
      <w:r w:rsidRPr="007307C6">
        <w:t>FDCs</w:t>
      </w:r>
      <w:r>
        <w:t>,</w:t>
      </w:r>
      <w:r w:rsidRPr="007307C6">
        <w:t xml:space="preserve"> </w:t>
      </w:r>
      <w:r>
        <w:t>a</w:t>
      </w:r>
      <w:r w:rsidRPr="007307C6">
        <w:t xml:space="preserve">s a proportion of total glaucoma prescriptions, have increased from 9% to 30% of prescriptions between 2004 and 2015.  </w:t>
      </w:r>
    </w:p>
    <w:p w:rsidR="0063339D" w:rsidRDefault="00336DE8" w:rsidP="0063339D">
      <w:pPr>
        <w:pStyle w:val="NoSpacing"/>
        <w:numPr>
          <w:ilvl w:val="0"/>
          <w:numId w:val="1"/>
        </w:numPr>
      </w:pPr>
      <w:r>
        <w:t>Of glaucoma medicines supplied on the PBS between 2010 and 2015, o</w:t>
      </w:r>
      <w:r w:rsidR="0063339D">
        <w:t>phthalmologists prescribe</w:t>
      </w:r>
      <w:r>
        <w:t>d</w:t>
      </w:r>
      <w:r w:rsidR="0063339D">
        <w:t xml:space="preserve"> more than half</w:t>
      </w:r>
      <w:r>
        <w:t>; g</w:t>
      </w:r>
      <w:r w:rsidR="0063339D">
        <w:t>eneral practitioners prescribed 38%</w:t>
      </w:r>
      <w:r>
        <w:t>, and</w:t>
      </w:r>
      <w:r w:rsidR="0063339D">
        <w:t xml:space="preserve"> </w:t>
      </w:r>
      <w:r>
        <w:t>o</w:t>
      </w:r>
      <w:r w:rsidR="0063339D">
        <w:t xml:space="preserve">ptometrists prescribed </w:t>
      </w:r>
      <w:r w:rsidR="0063339D" w:rsidRPr="0063339D">
        <w:t>approximately 1% of prescriptions</w:t>
      </w:r>
      <w:r w:rsidR="0063339D">
        <w:t>. The number of prescriptions supplied by optometrists increase</w:t>
      </w:r>
      <w:r>
        <w:t>d</w:t>
      </w:r>
      <w:r w:rsidR="0063339D">
        <w:t xml:space="preserve"> between 2010 and 2015. </w:t>
      </w:r>
    </w:p>
    <w:p w:rsidR="0063339D" w:rsidRDefault="0063339D" w:rsidP="0063339D">
      <w:pPr>
        <w:pStyle w:val="NoSpacing"/>
        <w:numPr>
          <w:ilvl w:val="0"/>
          <w:numId w:val="1"/>
        </w:numPr>
      </w:pPr>
      <w:r>
        <w:t>33% of patients who started a FDC between July 2014 and December 2015 had not received a</w:t>
      </w:r>
      <w:r w:rsidR="00C937A6">
        <w:t xml:space="preserve"> single ingredient</w:t>
      </w:r>
      <w:r>
        <w:t xml:space="preserve"> glaucoma medicine in the two years prior to starting a FDC. </w:t>
      </w:r>
    </w:p>
    <w:p w:rsidR="00EF2418" w:rsidRPr="00E85AD1" w:rsidRDefault="00EF2418" w:rsidP="0063339D">
      <w:pPr>
        <w:pStyle w:val="NoSpacing"/>
        <w:numPr>
          <w:ilvl w:val="0"/>
          <w:numId w:val="1"/>
        </w:numPr>
      </w:pPr>
      <w:r>
        <w:t xml:space="preserve">R/PBS expenditure for glaucoma medicines increased from $76.95 million in 2004 to a peak of $112.77 million in 2011. Expenditure decreased thereafter to $99.27 million in 2015. </w:t>
      </w:r>
    </w:p>
    <w:p w:rsidR="00BB0D1A" w:rsidRDefault="00BB0D1A">
      <w:pPr>
        <w:spacing w:line="276" w:lineRule="auto"/>
        <w:rPr>
          <w:rFonts w:eastAsiaTheme="majorEastAsia" w:cstheme="majorBidi"/>
          <w:b/>
          <w:bCs/>
          <w:sz w:val="32"/>
          <w:szCs w:val="26"/>
        </w:rPr>
      </w:pPr>
      <w:r>
        <w:br w:type="page"/>
      </w:r>
    </w:p>
    <w:p w:rsidR="00E677DD" w:rsidRDefault="00E677DD" w:rsidP="000C46BB">
      <w:pPr>
        <w:pStyle w:val="Heading4"/>
      </w:pPr>
      <w:r w:rsidRPr="000C46BB">
        <w:lastRenderedPageBreak/>
        <w:t xml:space="preserve">Purpose of </w:t>
      </w:r>
      <w:r w:rsidR="00D151EB" w:rsidRPr="000C46BB">
        <w:t>analysis</w:t>
      </w:r>
    </w:p>
    <w:p w:rsidR="0001143C" w:rsidRDefault="00352228" w:rsidP="00990DCF">
      <w:pPr>
        <w:rPr>
          <w:highlight w:val="yellow"/>
        </w:rPr>
      </w:pPr>
      <w:r w:rsidRPr="0001143C">
        <w:t xml:space="preserve">To review the utilisation of medicines used to treat glaucoma and elevated intraocular pressure. The DUSC requested an utilisation analysis of this group of medicines at its February 2016 meeting. </w:t>
      </w:r>
      <w:r w:rsidR="0001143C" w:rsidRPr="002A4F07">
        <w:t xml:space="preserve">The DUSC </w:t>
      </w:r>
      <w:r w:rsidR="002A4F07" w:rsidRPr="002A4F07">
        <w:t xml:space="preserve">noted it had not reviewed the utilisation of these medicines for many years. </w:t>
      </w:r>
    </w:p>
    <w:p w:rsidR="00352228" w:rsidRPr="0001143C" w:rsidRDefault="00352228" w:rsidP="00990DCF">
      <w:r w:rsidRPr="0001143C">
        <w:t>Acetazolamide was not included in this analysis because it can be used for a variety of other conditions.</w:t>
      </w:r>
      <w:r w:rsidR="00196BA1" w:rsidRPr="00822707">
        <w:rPr>
          <w:noProof/>
          <w:vertAlign w:val="superscript"/>
        </w:rPr>
        <w:t>1</w:t>
      </w:r>
      <w:r w:rsidRPr="0001143C">
        <w:t xml:space="preserve">   </w:t>
      </w:r>
    </w:p>
    <w:p w:rsidR="006537D9" w:rsidRPr="005E22C2" w:rsidRDefault="00736041" w:rsidP="001E4CAB">
      <w:pPr>
        <w:pStyle w:val="Heading4"/>
      </w:pPr>
      <w:r w:rsidRPr="005E22C2">
        <w:t>Background</w:t>
      </w:r>
    </w:p>
    <w:p w:rsidR="007247B9" w:rsidRDefault="007247B9" w:rsidP="00FE645A">
      <w:pPr>
        <w:pStyle w:val="Heading3"/>
      </w:pPr>
      <w:r>
        <w:t>Pharmacology</w:t>
      </w:r>
    </w:p>
    <w:p w:rsidR="002D43D4" w:rsidRDefault="003D1A0C" w:rsidP="003D1A0C">
      <w:r w:rsidRPr="003D1A0C">
        <w:t>Medicines used to treat glaucoma aim to reduce intraocular pressure</w:t>
      </w:r>
      <w:r>
        <w:t xml:space="preserve"> (IOP)</w:t>
      </w:r>
      <w:r w:rsidRPr="003D1A0C">
        <w:t>, the pressure in</w:t>
      </w:r>
      <w:r>
        <w:t>side</w:t>
      </w:r>
      <w:r w:rsidRPr="003D1A0C">
        <w:t xml:space="preserve"> the eye. </w:t>
      </w:r>
      <w:r>
        <w:t xml:space="preserve">Glaucoma medicines reduce IOP by increasing aqueous </w:t>
      </w:r>
      <w:r w:rsidR="00A376EE">
        <w:t xml:space="preserve">humour </w:t>
      </w:r>
      <w:r>
        <w:t xml:space="preserve">outflow or decreasing aqueous </w:t>
      </w:r>
      <w:r w:rsidR="00CA1535">
        <w:t xml:space="preserve">humour </w:t>
      </w:r>
      <w:r>
        <w:t xml:space="preserve">production. </w:t>
      </w:r>
      <w:r w:rsidRPr="003D1A0C">
        <w:t>There are five classes of glaucoma medicine</w:t>
      </w:r>
      <w:r>
        <w:t>s</w:t>
      </w:r>
      <w:r w:rsidR="002D43D4">
        <w:t xml:space="preserve">. </w:t>
      </w:r>
      <w:r w:rsidR="00051888">
        <w:t>Prostaglandin</w:t>
      </w:r>
      <w:r w:rsidR="002D43D4">
        <w:t xml:space="preserve"> analogues and </w:t>
      </w:r>
      <w:r w:rsidR="00051888">
        <w:t>cholinergic</w:t>
      </w:r>
      <w:r w:rsidR="002D43D4">
        <w:t xml:space="preserve"> </w:t>
      </w:r>
      <w:r w:rsidR="00051888">
        <w:t xml:space="preserve">medicines </w:t>
      </w:r>
      <w:r w:rsidR="002D43D4">
        <w:t>increase the outflow of aqueous</w:t>
      </w:r>
      <w:r w:rsidR="00A376EE">
        <w:t xml:space="preserve"> humour</w:t>
      </w:r>
      <w:r w:rsidR="002D43D4">
        <w:t>. Beta</w:t>
      </w:r>
      <w:r w:rsidR="002D43D4">
        <w:noBreakHyphen/>
        <w:t>blockers and carbonic anhydrase inhibitors decrease the production of aqueous</w:t>
      </w:r>
      <w:r w:rsidR="00CA1535">
        <w:t xml:space="preserve"> humour</w:t>
      </w:r>
      <w:r w:rsidR="002D43D4">
        <w:t>. Alpha2</w:t>
      </w:r>
      <w:r w:rsidR="002D43D4">
        <w:noBreakHyphen/>
        <w:t xml:space="preserve">agonists increase aqueous </w:t>
      </w:r>
      <w:r w:rsidR="00CA1535">
        <w:t xml:space="preserve">humour </w:t>
      </w:r>
      <w:r w:rsidR="002D43D4">
        <w:t>outflow and decrease its production.</w:t>
      </w:r>
      <w:r w:rsidR="00196BA1" w:rsidRPr="00196BA1">
        <w:rPr>
          <w:noProof/>
          <w:vertAlign w:val="superscript"/>
        </w:rPr>
        <w:t>2</w:t>
      </w:r>
      <w:r w:rsidR="002D43D4">
        <w:t xml:space="preserve"> </w:t>
      </w:r>
    </w:p>
    <w:p w:rsidR="001420B3" w:rsidRDefault="00A52918" w:rsidP="00FE645A">
      <w:pPr>
        <w:pStyle w:val="Heading3"/>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rsidR="00874FF0" w:rsidRDefault="00874FF0" w:rsidP="00874FF0">
      <w:r>
        <w:t>The majority of single</w:t>
      </w:r>
      <w:r>
        <w:noBreakHyphen/>
        <w:t>ingredient glaucoma medicines are indicated for the treatment of high intraocular pressure and open angle glaucoma.</w:t>
      </w:r>
      <w:r w:rsidR="00196BA1" w:rsidRPr="00196BA1">
        <w:rPr>
          <w:noProof/>
          <w:vertAlign w:val="superscript"/>
        </w:rPr>
        <w:t>3-11</w:t>
      </w:r>
      <w:r>
        <w:t xml:space="preserve"> </w:t>
      </w:r>
    </w:p>
    <w:p w:rsidR="00874FF0" w:rsidRDefault="00874FF0" w:rsidP="00874FF0">
      <w:r>
        <w:t>Apraclonidine, an alpha2</w:t>
      </w:r>
      <w:r>
        <w:noBreakHyphen/>
        <w:t xml:space="preserve">agonist is indicated to </w:t>
      </w:r>
      <w:r w:rsidRPr="00874FF0">
        <w:t>control intraocular pressure in glaucoma patients on maximally tolerated glaucoma therapy for a period of 3 months</w:t>
      </w:r>
      <w:r>
        <w:t>.</w:t>
      </w:r>
      <w:r w:rsidR="00196BA1" w:rsidRPr="00196BA1">
        <w:rPr>
          <w:noProof/>
          <w:vertAlign w:val="superscript"/>
        </w:rPr>
        <w:t>12</w:t>
      </w:r>
      <w:r>
        <w:t xml:space="preserve"> </w:t>
      </w:r>
    </w:p>
    <w:p w:rsidR="00C04E4E" w:rsidRDefault="00196EAE" w:rsidP="00A35800">
      <w:r>
        <w:t xml:space="preserve">Timolol </w:t>
      </w:r>
      <w:r w:rsidR="00641653">
        <w:t xml:space="preserve">is </w:t>
      </w:r>
      <w:r w:rsidR="00673699">
        <w:t xml:space="preserve">also </w:t>
      </w:r>
      <w:r w:rsidR="00641653">
        <w:t>indicated for use by</w:t>
      </w:r>
      <w:r>
        <w:t xml:space="preserve"> </w:t>
      </w:r>
      <w:r w:rsidR="00391F42">
        <w:t>a</w:t>
      </w:r>
      <w:r w:rsidRPr="00196EAE">
        <w:t>phakic patients</w:t>
      </w:r>
      <w:r w:rsidR="001B510A">
        <w:t xml:space="preserve"> (patients without lenses)</w:t>
      </w:r>
      <w:r w:rsidRPr="00196EAE">
        <w:t xml:space="preserve"> with glaucoma</w:t>
      </w:r>
      <w:r>
        <w:t>.</w:t>
      </w:r>
      <w:r w:rsidR="00196BA1" w:rsidRPr="00196BA1">
        <w:rPr>
          <w:noProof/>
          <w:vertAlign w:val="superscript"/>
        </w:rPr>
        <w:t>10</w:t>
      </w:r>
      <w:r>
        <w:t xml:space="preserve"> </w:t>
      </w:r>
    </w:p>
    <w:p w:rsidR="001B510A" w:rsidRPr="001B510A" w:rsidRDefault="001B510A" w:rsidP="00A35800">
      <w:r>
        <w:t>Fixed</w:t>
      </w:r>
      <w:r>
        <w:noBreakHyphen/>
        <w:t>dose combination</w:t>
      </w:r>
      <w:r w:rsidR="008273B9">
        <w:t xml:space="preserve"> (FDC)</w:t>
      </w:r>
      <w:r>
        <w:t xml:space="preserve"> glaucoma medicines are indicated for the reduction of high IOP in patients with ocular hypertension or open</w:t>
      </w:r>
      <w:r>
        <w:noBreakHyphen/>
        <w:t>angle glaucoma where monotherapy provides insufficient reduction of IOP.</w:t>
      </w:r>
      <w:r w:rsidR="00196BA1" w:rsidRPr="00196BA1">
        <w:rPr>
          <w:noProof/>
          <w:vertAlign w:val="superscript"/>
        </w:rPr>
        <w:t>13-18</w:t>
      </w:r>
      <w:r>
        <w:t xml:space="preserve"> </w:t>
      </w:r>
    </w:p>
    <w:p w:rsidR="006B709B" w:rsidRDefault="006B709B" w:rsidP="00FE645A">
      <w:pPr>
        <w:pStyle w:val="Heading3"/>
      </w:pPr>
      <w:r>
        <w:t>Dosage and administration</w:t>
      </w:r>
    </w:p>
    <w:p w:rsidR="00216A05" w:rsidRDefault="00E66CC3" w:rsidP="00A35800">
      <w:r w:rsidRPr="00E66CC3">
        <w:t xml:space="preserve">Table </w:t>
      </w:r>
      <w:r w:rsidR="00486C85">
        <w:t>1</w:t>
      </w:r>
      <w:r w:rsidRPr="00E66CC3">
        <w:t xml:space="preserve"> presents </w:t>
      </w:r>
      <w:r>
        <w:t xml:space="preserve">the frequency of dosing of glaucoma medicines. </w:t>
      </w:r>
      <w:r w:rsidR="00216A05">
        <w:br w:type="page"/>
      </w:r>
    </w:p>
    <w:p w:rsidR="00C0437A" w:rsidRPr="00C0437A" w:rsidRDefault="00C0437A" w:rsidP="00C0437A">
      <w:pPr>
        <w:pStyle w:val="Tabletitle"/>
      </w:pPr>
      <w:r w:rsidRPr="00C0437A">
        <w:lastRenderedPageBreak/>
        <w:t xml:space="preserve">Table </w:t>
      </w:r>
      <w:r w:rsidR="00486C85">
        <w:t>1</w:t>
      </w:r>
      <w:r w:rsidRPr="00C0437A">
        <w:t xml:space="preserve">: Dosage and administration of </w:t>
      </w:r>
      <w:r>
        <w:t>glaucoma medicines</w:t>
      </w:r>
    </w:p>
    <w:tbl>
      <w:tblPr>
        <w:tblStyle w:val="TableGrid"/>
        <w:tblW w:w="0" w:type="auto"/>
        <w:tblLook w:val="04A0" w:firstRow="1" w:lastRow="0" w:firstColumn="1" w:lastColumn="0" w:noHBand="0" w:noVBand="1"/>
        <w:tblCaption w:val="Dosage and administration of glaucoma medicines"/>
        <w:tblDescription w:val="A table of Dosage and administration of glaucoma medicines"/>
      </w:tblPr>
      <w:tblGrid>
        <w:gridCol w:w="3369"/>
        <w:gridCol w:w="3118"/>
        <w:gridCol w:w="2686"/>
      </w:tblGrid>
      <w:tr w:rsidR="00C0437A" w:rsidRPr="00A35800" w:rsidTr="00352228">
        <w:trPr>
          <w:trHeight w:val="445"/>
          <w:tblHeader/>
        </w:trPr>
        <w:tc>
          <w:tcPr>
            <w:tcW w:w="3369" w:type="dxa"/>
            <w:shd w:val="clear" w:color="auto" w:fill="BFBFBF" w:themeFill="background1" w:themeFillShade="BF"/>
          </w:tcPr>
          <w:p w:rsidR="00C0437A" w:rsidRPr="00A35800" w:rsidRDefault="00C0437A" w:rsidP="003E1844">
            <w:pPr>
              <w:pStyle w:val="Tableheading"/>
              <w:rPr>
                <w:sz w:val="20"/>
                <w:szCs w:val="20"/>
              </w:rPr>
            </w:pPr>
            <w:r>
              <w:rPr>
                <w:sz w:val="20"/>
                <w:szCs w:val="20"/>
              </w:rPr>
              <w:t>On</w:t>
            </w:r>
            <w:r w:rsidR="001073BE">
              <w:rPr>
                <w:sz w:val="20"/>
                <w:szCs w:val="20"/>
              </w:rPr>
              <w:t>c</w:t>
            </w:r>
            <w:r>
              <w:rPr>
                <w:sz w:val="20"/>
                <w:szCs w:val="20"/>
              </w:rPr>
              <w:t xml:space="preserve">e daily </w:t>
            </w:r>
          </w:p>
        </w:tc>
        <w:tc>
          <w:tcPr>
            <w:tcW w:w="3118" w:type="dxa"/>
            <w:shd w:val="clear" w:color="auto" w:fill="BFBFBF" w:themeFill="background1" w:themeFillShade="BF"/>
          </w:tcPr>
          <w:p w:rsidR="00C0437A" w:rsidRPr="00A35800" w:rsidRDefault="00C0437A" w:rsidP="003E1844">
            <w:pPr>
              <w:pStyle w:val="Tableheading"/>
              <w:rPr>
                <w:sz w:val="20"/>
                <w:szCs w:val="20"/>
              </w:rPr>
            </w:pPr>
            <w:r>
              <w:rPr>
                <w:sz w:val="20"/>
                <w:szCs w:val="20"/>
              </w:rPr>
              <w:t xml:space="preserve">Twice daily </w:t>
            </w:r>
          </w:p>
        </w:tc>
        <w:tc>
          <w:tcPr>
            <w:tcW w:w="2686" w:type="dxa"/>
            <w:shd w:val="clear" w:color="auto" w:fill="BFBFBF" w:themeFill="background1" w:themeFillShade="BF"/>
          </w:tcPr>
          <w:p w:rsidR="00C0437A" w:rsidRPr="00A35800" w:rsidRDefault="00AD3CAB" w:rsidP="003E1844">
            <w:pPr>
              <w:pStyle w:val="Tableheading"/>
              <w:rPr>
                <w:sz w:val="20"/>
                <w:szCs w:val="20"/>
              </w:rPr>
            </w:pPr>
            <w:r>
              <w:rPr>
                <w:sz w:val="20"/>
                <w:szCs w:val="20"/>
              </w:rPr>
              <w:t>Three time</w:t>
            </w:r>
            <w:r w:rsidR="007446C0">
              <w:rPr>
                <w:sz w:val="20"/>
                <w:szCs w:val="20"/>
              </w:rPr>
              <w:t>s</w:t>
            </w:r>
            <w:r>
              <w:rPr>
                <w:sz w:val="20"/>
                <w:szCs w:val="20"/>
              </w:rPr>
              <w:t xml:space="preserve"> daily</w:t>
            </w:r>
          </w:p>
        </w:tc>
      </w:tr>
      <w:tr w:rsidR="00C0437A" w:rsidRPr="00A35800" w:rsidTr="00352228">
        <w:tc>
          <w:tcPr>
            <w:tcW w:w="3369" w:type="dxa"/>
          </w:tcPr>
          <w:p w:rsidR="00C0437A" w:rsidRDefault="00051888" w:rsidP="003E1844">
            <w:pPr>
              <w:pStyle w:val="Tablewriting"/>
              <w:rPr>
                <w:b/>
              </w:rPr>
            </w:pPr>
            <w:r>
              <w:rPr>
                <w:b/>
              </w:rPr>
              <w:t>Prostaglandin</w:t>
            </w:r>
            <w:r w:rsidR="00C0437A">
              <w:rPr>
                <w:b/>
              </w:rPr>
              <w:t xml:space="preserve"> analogues</w:t>
            </w:r>
          </w:p>
          <w:p w:rsidR="00C0437A" w:rsidRDefault="00C0437A" w:rsidP="003E1844">
            <w:pPr>
              <w:pStyle w:val="Tablewriting"/>
            </w:pPr>
            <w:r>
              <w:t>Bimatoprost</w:t>
            </w:r>
          </w:p>
          <w:p w:rsidR="00C0437A" w:rsidRDefault="00C0437A" w:rsidP="003E1844">
            <w:pPr>
              <w:pStyle w:val="Tablewriting"/>
            </w:pPr>
            <w:r>
              <w:t>Latanoprost</w:t>
            </w:r>
          </w:p>
          <w:p w:rsidR="00C0437A" w:rsidRDefault="00C0437A" w:rsidP="003E1844">
            <w:pPr>
              <w:pStyle w:val="Tablewriting"/>
            </w:pPr>
            <w:r>
              <w:t>Tafluprost</w:t>
            </w:r>
          </w:p>
          <w:p w:rsidR="00C0437A" w:rsidRDefault="00C0437A" w:rsidP="003E1844">
            <w:pPr>
              <w:pStyle w:val="Tablewriting"/>
            </w:pPr>
            <w:r>
              <w:t>Travoprost</w:t>
            </w:r>
          </w:p>
          <w:p w:rsidR="00C0437A" w:rsidRDefault="00C0437A" w:rsidP="003E1844">
            <w:pPr>
              <w:pStyle w:val="Tablewriting"/>
              <w:rPr>
                <w:b/>
              </w:rPr>
            </w:pPr>
            <w:r>
              <w:rPr>
                <w:b/>
              </w:rPr>
              <w:t>Beta blockers</w:t>
            </w:r>
          </w:p>
          <w:p w:rsidR="00352228" w:rsidRDefault="00C0437A" w:rsidP="000D5CA0">
            <w:pPr>
              <w:pStyle w:val="Tablewriting"/>
            </w:pPr>
            <w:r>
              <w:t>Timolol gel</w:t>
            </w:r>
            <w:r w:rsidR="00F20F08">
              <w:t xml:space="preserve"> </w:t>
            </w:r>
            <w:r w:rsidR="000D5CA0">
              <w:t>(</w:t>
            </w:r>
            <w:r w:rsidR="000D5CA0">
              <w:rPr>
                <w:i/>
              </w:rPr>
              <w:t>Nyogel®)</w:t>
            </w:r>
            <w:r>
              <w:t xml:space="preserve"> </w:t>
            </w:r>
          </w:p>
          <w:p w:rsidR="00C0437A" w:rsidRDefault="00352228" w:rsidP="000D5CA0">
            <w:pPr>
              <w:pStyle w:val="Tablewriting"/>
            </w:pPr>
            <w:r>
              <w:t xml:space="preserve">Timolol </w:t>
            </w:r>
            <w:r w:rsidR="00C0437A">
              <w:t>extended release</w:t>
            </w:r>
            <w:r>
              <w:t xml:space="preserve"> </w:t>
            </w:r>
            <w:r w:rsidR="00C0437A">
              <w:t>formulation</w:t>
            </w:r>
            <w:r w:rsidR="000D5CA0">
              <w:t xml:space="preserve"> (</w:t>
            </w:r>
            <w:r w:rsidR="000D5CA0" w:rsidRPr="000D5CA0">
              <w:rPr>
                <w:i/>
              </w:rPr>
              <w:t>Timoptol</w:t>
            </w:r>
            <w:r w:rsidR="000D5CA0" w:rsidRPr="000D5CA0">
              <w:rPr>
                <w:i/>
              </w:rPr>
              <w:noBreakHyphen/>
              <w:t>XE</w:t>
            </w:r>
            <w:r w:rsidR="000D5CA0" w:rsidRPr="000D5CA0">
              <w:rPr>
                <w:rFonts w:ascii="Calibri" w:hAnsi="Calibri"/>
                <w:i/>
              </w:rPr>
              <w:t>®</w:t>
            </w:r>
            <w:r w:rsidR="000D5CA0" w:rsidRPr="000D5CA0">
              <w:rPr>
                <w:i/>
              </w:rPr>
              <w:t>)</w:t>
            </w:r>
            <w:r w:rsidR="00C0437A">
              <w:t xml:space="preserve"> </w:t>
            </w:r>
          </w:p>
          <w:p w:rsidR="000D5CA0" w:rsidRDefault="000D5CA0" w:rsidP="000D5CA0">
            <w:pPr>
              <w:pStyle w:val="Tablewriting"/>
              <w:rPr>
                <w:b/>
              </w:rPr>
            </w:pPr>
            <w:r>
              <w:rPr>
                <w:b/>
              </w:rPr>
              <w:t>Combination products</w:t>
            </w:r>
          </w:p>
          <w:p w:rsidR="000D5CA0" w:rsidRPr="000D5CA0" w:rsidRDefault="000D5CA0" w:rsidP="000D5CA0">
            <w:pPr>
              <w:pStyle w:val="Tablewriting"/>
            </w:pPr>
            <w:r w:rsidRPr="000D5CA0">
              <w:rPr>
                <w:rFonts w:ascii="Calibri" w:eastAsia="Calibri" w:hAnsi="Calibri"/>
                <w:lang w:eastAsia="en-US"/>
              </w:rPr>
              <w:t>Bimatoprost and timolol</w:t>
            </w:r>
            <w:r w:rsidR="00B37ED1" w:rsidRPr="00BF13F5">
              <w:t xml:space="preserve"> </w:t>
            </w:r>
            <w:r w:rsidR="00525ECC">
              <w:br/>
            </w:r>
            <w:r w:rsidR="00525ECC" w:rsidRPr="00525ECC">
              <w:t>Latanoprost and timolol</w:t>
            </w:r>
            <w:r w:rsidR="00B37ED1">
              <w:br/>
            </w:r>
            <w:r w:rsidR="00B37ED1" w:rsidRPr="00BF13F5">
              <w:t>Travoprost and timolol</w:t>
            </w:r>
          </w:p>
        </w:tc>
        <w:tc>
          <w:tcPr>
            <w:tcW w:w="3118" w:type="dxa"/>
          </w:tcPr>
          <w:p w:rsidR="00C0437A" w:rsidRDefault="00BF13F5" w:rsidP="003E1844">
            <w:pPr>
              <w:pStyle w:val="Tablewriting"/>
              <w:rPr>
                <w:b/>
              </w:rPr>
            </w:pPr>
            <w:r>
              <w:rPr>
                <w:b/>
              </w:rPr>
              <w:t>Beta blockers</w:t>
            </w:r>
          </w:p>
          <w:p w:rsidR="00BF13F5" w:rsidRPr="00BF13F5" w:rsidRDefault="00BF13F5" w:rsidP="00F80780">
            <w:pPr>
              <w:pStyle w:val="Tablewriting"/>
              <w:rPr>
                <w:b/>
              </w:rPr>
            </w:pPr>
            <w:r>
              <w:t>Betaxolol</w:t>
            </w:r>
            <w:r>
              <w:br/>
              <w:t>Timolol</w:t>
            </w:r>
            <w:r>
              <w:br/>
            </w:r>
            <w:r>
              <w:rPr>
                <w:b/>
              </w:rPr>
              <w:t>Alpha2</w:t>
            </w:r>
            <w:r>
              <w:rPr>
                <w:b/>
              </w:rPr>
              <w:noBreakHyphen/>
              <w:t>agonists</w:t>
            </w:r>
            <w:r>
              <w:rPr>
                <w:b/>
              </w:rPr>
              <w:br/>
            </w:r>
            <w:r>
              <w:t>Brimonidine</w:t>
            </w:r>
            <w:r>
              <w:br/>
            </w:r>
            <w:r>
              <w:rPr>
                <w:b/>
              </w:rPr>
              <w:t>Carbonic anhydrase inhibitors</w:t>
            </w:r>
            <w:r>
              <w:rPr>
                <w:b/>
              </w:rPr>
              <w:br/>
            </w:r>
            <w:r>
              <w:t>Brinzolamide</w:t>
            </w:r>
            <w:r>
              <w:br/>
            </w:r>
            <w:r>
              <w:rPr>
                <w:b/>
              </w:rPr>
              <w:t>Combination products</w:t>
            </w:r>
            <w:r>
              <w:rPr>
                <w:b/>
              </w:rPr>
              <w:br/>
            </w:r>
            <w:r w:rsidRPr="00BF13F5">
              <w:t>Bimatoprost and timolol</w:t>
            </w:r>
            <w:r w:rsidRPr="00BF13F5">
              <w:br/>
              <w:t>Brimonidine and timolol</w:t>
            </w:r>
            <w:r w:rsidRPr="00BF13F5">
              <w:br/>
            </w:r>
            <w:r w:rsidR="00AD3CAB">
              <w:t>B</w:t>
            </w:r>
            <w:r w:rsidRPr="00BF13F5">
              <w:t>rinzolamide and  timolol</w:t>
            </w:r>
            <w:r w:rsidRPr="00BF13F5">
              <w:br/>
            </w:r>
            <w:r w:rsidR="00F80780">
              <w:t>D</w:t>
            </w:r>
            <w:r w:rsidR="00F80780" w:rsidRPr="00F80780">
              <w:t>orzolamide</w:t>
            </w:r>
            <w:r w:rsidRPr="00BF13F5">
              <w:t xml:space="preserve"> and timolol</w:t>
            </w:r>
            <w:r w:rsidRPr="00BF13F5">
              <w:br/>
            </w:r>
            <w:r w:rsidRPr="00BF13F5">
              <w:br/>
            </w:r>
          </w:p>
        </w:tc>
        <w:tc>
          <w:tcPr>
            <w:tcW w:w="2686" w:type="dxa"/>
          </w:tcPr>
          <w:p w:rsidR="00C0437A" w:rsidRDefault="00BF13F5" w:rsidP="00BF13F5">
            <w:pPr>
              <w:pStyle w:val="Tablewriting"/>
            </w:pPr>
            <w:r>
              <w:rPr>
                <w:b/>
              </w:rPr>
              <w:t>Alpha2</w:t>
            </w:r>
            <w:r>
              <w:rPr>
                <w:b/>
              </w:rPr>
              <w:noBreakHyphen/>
              <w:t>agonists</w:t>
            </w:r>
            <w:r>
              <w:rPr>
                <w:b/>
              </w:rPr>
              <w:br/>
            </w:r>
            <w:r>
              <w:t xml:space="preserve">Apraclonidine </w:t>
            </w:r>
          </w:p>
          <w:p w:rsidR="00BF13F5" w:rsidRDefault="00BF13F5" w:rsidP="00BF13F5">
            <w:pPr>
              <w:pStyle w:val="Tablewriting"/>
            </w:pPr>
            <w:r>
              <w:rPr>
                <w:b/>
              </w:rPr>
              <w:t>Carbonic anhydrase inhibitors</w:t>
            </w:r>
            <w:r>
              <w:rPr>
                <w:b/>
              </w:rPr>
              <w:br/>
            </w:r>
            <w:r w:rsidR="00F80780">
              <w:t>D</w:t>
            </w:r>
            <w:r w:rsidR="00F80780" w:rsidRPr="00F80780">
              <w:t>orzolamide</w:t>
            </w:r>
          </w:p>
          <w:p w:rsidR="00BF13F5" w:rsidRPr="00BF13F5" w:rsidRDefault="00BF13F5" w:rsidP="00BF13F5">
            <w:pPr>
              <w:pStyle w:val="Tablewriting"/>
              <w:rPr>
                <w:b/>
              </w:rPr>
            </w:pPr>
            <w:r>
              <w:rPr>
                <w:b/>
              </w:rPr>
              <w:t>Anticholinergics</w:t>
            </w:r>
            <w:r>
              <w:rPr>
                <w:b/>
              </w:rPr>
              <w:br/>
            </w:r>
            <w:r w:rsidRPr="00BF13F5">
              <w:t>Pilocarpine</w:t>
            </w:r>
          </w:p>
        </w:tc>
      </w:tr>
    </w:tbl>
    <w:p w:rsidR="00C0437A" w:rsidRPr="00E66CC3" w:rsidRDefault="00051888" w:rsidP="00322E26">
      <w:pPr>
        <w:pStyle w:val="Notes"/>
      </w:pPr>
      <w:r>
        <w:t>Source: Product Information for Iopdine (apraclonidine), Betoptic (betaxolol), Lumigan (bimatoprost), Ganfort (bimatoprost with timolol), Alphagan (brimonidine), Simbrinza (brimonidine with brinzolamide), Combigan (brimonidine with timolol), Azopt (brinzolamide), Azarga (brinzolamide with timolol), Trusopt (</w:t>
      </w:r>
      <w:r w:rsidRPr="00F80780">
        <w:t>dorzolamide</w:t>
      </w:r>
      <w:r>
        <w:t>), Cosopt (</w:t>
      </w:r>
      <w:r w:rsidRPr="00F80780">
        <w:t>dorzolamide</w:t>
      </w:r>
      <w:r>
        <w:t xml:space="preserve"> with timolol), Xalatan (latanoprost), Xalacom (latanoprost with timolol), Isopto Carpine (pilocarpine), Saflutan (tafluprost), Timoptol (timolol), Nyogel (timolol gel), Timoptol XE (timolol), Travatan (Travoprost) and Duotrav (travoprost with timolol)</w:t>
      </w:r>
    </w:p>
    <w:p w:rsidR="00F17D4B" w:rsidRPr="002F61CA" w:rsidRDefault="00F17D4B" w:rsidP="00F17D4B">
      <w:r w:rsidRPr="002F61CA">
        <w:t xml:space="preserve">The current Product Information (PI) and Consumer Medicine Information (CMI) are available from </w:t>
      </w:r>
      <w:r w:rsidRPr="00875951">
        <w:t xml:space="preserve">the </w:t>
      </w:r>
      <w:hyperlink r:id="rId9" w:history="1">
        <w:r w:rsidRPr="00855A54">
          <w:rPr>
            <w:rStyle w:val="Hyperlink"/>
          </w:rPr>
          <w:t>TGA</w:t>
        </w:r>
      </w:hyperlink>
      <w:r w:rsidR="00855A54">
        <w:t>.</w:t>
      </w:r>
    </w:p>
    <w:p w:rsidR="001420B3" w:rsidRPr="007247B9" w:rsidRDefault="001420B3" w:rsidP="00FE645A">
      <w:pPr>
        <w:pStyle w:val="Heading3"/>
      </w:pPr>
      <w:r w:rsidRPr="007247B9">
        <w:t>Clinical situation</w:t>
      </w:r>
    </w:p>
    <w:p w:rsidR="001C4776" w:rsidRDefault="00443DBA" w:rsidP="00A35800">
      <w:r>
        <w:t>The glaucomas are a group of diseases where the optic nerve is progressively damaged, causing vision loss.</w:t>
      </w:r>
      <w:r w:rsidR="00CD0FDF">
        <w:t xml:space="preserve"> Chronic open angle glaucoma is the most common type of glaucoma in the western countries. </w:t>
      </w:r>
      <w:r w:rsidR="00C94B11">
        <w:t xml:space="preserve">Glaucoma is typically asymptomatic until there is </w:t>
      </w:r>
      <w:r w:rsidR="00482DAD">
        <w:t xml:space="preserve">a </w:t>
      </w:r>
      <w:r w:rsidR="00C94B11">
        <w:t>substantial amount of damage to the nerves.</w:t>
      </w:r>
      <w:r w:rsidR="00196BA1" w:rsidRPr="00196BA1">
        <w:rPr>
          <w:noProof/>
          <w:vertAlign w:val="superscript"/>
        </w:rPr>
        <w:t>19</w:t>
      </w:r>
      <w:r w:rsidR="00C94B11">
        <w:t xml:space="preserve"> </w:t>
      </w:r>
      <w:r w:rsidR="008F24F3">
        <w:t>Up to 37% of optic nerve fibres need to be lost before visual field defects can be detected.</w:t>
      </w:r>
      <w:r w:rsidR="00196BA1" w:rsidRPr="00196BA1">
        <w:rPr>
          <w:noProof/>
          <w:vertAlign w:val="superscript"/>
        </w:rPr>
        <w:t>2</w:t>
      </w:r>
      <w:r w:rsidR="00AE3A04">
        <w:t xml:space="preserve"> Glaucoma initially damages side vision. The undamaged or less affected eye may compensate and mask the extent of vision loss.</w:t>
      </w:r>
      <w:r w:rsidR="00196BA1" w:rsidRPr="00673699">
        <w:rPr>
          <w:noProof/>
          <w:vertAlign w:val="superscript"/>
        </w:rPr>
        <w:t>20</w:t>
      </w:r>
      <w:r w:rsidR="00AE3A04">
        <w:t xml:space="preserve"> </w:t>
      </w:r>
      <w:r w:rsidR="001B37B5">
        <w:t xml:space="preserve"> </w:t>
      </w:r>
    </w:p>
    <w:p w:rsidR="00C94B11" w:rsidRDefault="001B37B5" w:rsidP="00A35800">
      <w:r>
        <w:t xml:space="preserve">Reduction of intraocular pressure reduces visual field loss. This is true of glaucoma patients who have ocular hypertension as well </w:t>
      </w:r>
      <w:r w:rsidR="000A034A">
        <w:t xml:space="preserve">as </w:t>
      </w:r>
      <w:r>
        <w:t>patients who have normal tension glaucoma.</w:t>
      </w:r>
      <w:r w:rsidR="00196BA1" w:rsidRPr="00196BA1">
        <w:rPr>
          <w:noProof/>
          <w:vertAlign w:val="superscript"/>
        </w:rPr>
        <w:t>2</w:t>
      </w:r>
      <w:r>
        <w:t xml:space="preserve"> </w:t>
      </w:r>
      <w:r w:rsidR="00734DD7">
        <w:t>Intraocular hypertension is generally defined as pressure greater than 21 mm Hg.</w:t>
      </w:r>
      <w:r w:rsidR="00196BA1" w:rsidRPr="00673699">
        <w:rPr>
          <w:noProof/>
          <w:vertAlign w:val="superscript"/>
        </w:rPr>
        <w:t>21</w:t>
      </w:r>
      <w:r w:rsidR="00734DD7">
        <w:t xml:space="preserve"> </w:t>
      </w:r>
      <w:r>
        <w:t xml:space="preserve"> </w:t>
      </w:r>
      <w:r w:rsidR="00351131">
        <w:t xml:space="preserve">It has been estimated that untreated </w:t>
      </w:r>
      <w:r w:rsidR="00835226">
        <w:t xml:space="preserve">patients with mild </w:t>
      </w:r>
      <w:r w:rsidR="00351131">
        <w:t xml:space="preserve">glaucoma will </w:t>
      </w:r>
      <w:r w:rsidR="00835226">
        <w:t>be blind in at least one eye at 23 years, compared to 35 years for treated patients.</w:t>
      </w:r>
      <w:r w:rsidR="00196BA1" w:rsidRPr="00673699">
        <w:rPr>
          <w:noProof/>
          <w:vertAlign w:val="superscript"/>
        </w:rPr>
        <w:t>22</w:t>
      </w:r>
      <w:r w:rsidR="00835226">
        <w:t xml:space="preserve"> </w:t>
      </w:r>
      <w:r w:rsidR="00872B7A">
        <w:t xml:space="preserve">Treating patients who have elevated intraocular pressure but no damage to the optic nerve or visual field has shown to reduce the development of primary open angle glaucoma </w:t>
      </w:r>
      <w:r w:rsidR="00D5097E">
        <w:t>at five years from 9.5% to 4.4%.</w:t>
      </w:r>
      <w:r w:rsidR="00196BA1" w:rsidRPr="00673699">
        <w:rPr>
          <w:noProof/>
          <w:vertAlign w:val="superscript"/>
        </w:rPr>
        <w:t>23</w:t>
      </w:r>
      <w:r w:rsidR="00D5097E">
        <w:t xml:space="preserve"> </w:t>
      </w:r>
    </w:p>
    <w:p w:rsidR="000A381C" w:rsidRDefault="000A381C">
      <w:pPr>
        <w:spacing w:line="276" w:lineRule="auto"/>
      </w:pPr>
      <w:r>
        <w:br w:type="page"/>
      </w:r>
    </w:p>
    <w:p w:rsidR="001C4776" w:rsidRDefault="001C4776" w:rsidP="00F56417">
      <w:r>
        <w:lastRenderedPageBreak/>
        <w:t>The Blue Mountains Eye Study</w:t>
      </w:r>
      <w:r w:rsidR="00196BA1" w:rsidRPr="00673699">
        <w:rPr>
          <w:noProof/>
          <w:vertAlign w:val="superscript"/>
        </w:rPr>
        <w:t>24</w:t>
      </w:r>
      <w:r>
        <w:t xml:space="preserve"> </w:t>
      </w:r>
      <w:r w:rsidR="00176B90">
        <w:t xml:space="preserve">identified definite or probable glaucoma in 3.0% (95% CI: 2.5 – 3.6) </w:t>
      </w:r>
      <w:r w:rsidR="002E0C60">
        <w:t xml:space="preserve">of </w:t>
      </w:r>
      <w:r w:rsidR="00176B90">
        <w:t xml:space="preserve">patients aged 50 years and older. Prevalence was 0.4% for people younger than 60 years, increasing exponentially to 11.5% for patients aged 80 years and older. </w:t>
      </w:r>
      <w:r w:rsidR="00A82E03">
        <w:t xml:space="preserve">The study also identified that </w:t>
      </w:r>
      <w:r w:rsidR="00F56417">
        <w:t xml:space="preserve">51% of patients were undiagnosed. </w:t>
      </w:r>
      <w:r w:rsidR="00176B90">
        <w:t xml:space="preserve">The prevalence of ocular hypertension was 3.7% (95% CI: 1.7 – 2.7). The prevalence of ocular hypertension did not increase significantly with age. </w:t>
      </w:r>
      <w:r w:rsidR="00F56417">
        <w:t>The Melbourne Visual Impairment Project</w:t>
      </w:r>
      <w:r w:rsidR="00196BA1" w:rsidRPr="00673699">
        <w:rPr>
          <w:noProof/>
          <w:vertAlign w:val="superscript"/>
        </w:rPr>
        <w:t>25</w:t>
      </w:r>
      <w:r w:rsidR="00F56417">
        <w:t xml:space="preserve"> assessed a random sample of Melbourne residents aged 40 years and older. The prevalence of definite glaucoma was 1.7% (95% CI: 1.21 – 2.21). </w:t>
      </w:r>
      <w:r w:rsidR="00A10293">
        <w:t>Intraocular hypertension was found in 0.9% of the group, one</w:t>
      </w:r>
      <w:r w:rsidR="00A10293">
        <w:noBreakHyphen/>
        <w:t xml:space="preserve">third of whom did not have clinical signs of glaucoma.  </w:t>
      </w:r>
    </w:p>
    <w:p w:rsidR="00860C83" w:rsidRDefault="00426889" w:rsidP="00A35800">
      <w:r w:rsidRPr="00426889">
        <w:t xml:space="preserve">The </w:t>
      </w:r>
      <w:r w:rsidRPr="00875951">
        <w:t>National Health and Medical Research Council Guidelines for the Screening, Prognosis, Diagnosis, Management and Prevention of Glaucoma</w:t>
      </w:r>
      <w:r w:rsidRPr="00426889">
        <w:t xml:space="preserve"> were published in 2010. </w:t>
      </w:r>
      <w:r>
        <w:t xml:space="preserve">The guidelines recommend the use of </w:t>
      </w:r>
      <w:r w:rsidR="00860C83">
        <w:t>a</w:t>
      </w:r>
      <w:r>
        <w:t xml:space="preserve"> once</w:t>
      </w:r>
      <w:r>
        <w:noBreakHyphen/>
        <w:t xml:space="preserve">daily topical prostaglandin analogue for first line treatment. </w:t>
      </w:r>
      <w:r w:rsidR="00860C83">
        <w:t xml:space="preserve">Treatment </w:t>
      </w:r>
      <w:r w:rsidR="00B12FB6">
        <w:t xml:space="preserve">should </w:t>
      </w:r>
      <w:r w:rsidR="00860C83">
        <w:t xml:space="preserve">commence </w:t>
      </w:r>
      <w:r w:rsidR="00B12FB6">
        <w:t>i</w:t>
      </w:r>
      <w:r w:rsidR="00860C83">
        <w:t xml:space="preserve">n one eye only to allow the other eye to be used as a control. The </w:t>
      </w:r>
      <w:r w:rsidR="00B12FB6">
        <w:t>eye with higher pressure</w:t>
      </w:r>
      <w:r w:rsidR="00860C83">
        <w:t xml:space="preserve"> should be selected for initial treatment. Response should be checked within two to six weeks. </w:t>
      </w:r>
    </w:p>
    <w:p w:rsidR="005339F6" w:rsidRDefault="008273B9" w:rsidP="00A35800">
      <w:r>
        <w:t xml:space="preserve">FDC products </w:t>
      </w:r>
      <w:r w:rsidR="00426889">
        <w:t>should be considered when more than one drug is required</w:t>
      </w:r>
      <w:r w:rsidR="00352228">
        <w:t>.</w:t>
      </w:r>
      <w:r w:rsidR="00426889">
        <w:t xml:space="preserve"> </w:t>
      </w:r>
      <w:r w:rsidR="00352228">
        <w:t>This may</w:t>
      </w:r>
      <w:r w:rsidR="00426889">
        <w:t xml:space="preserve"> improve compliance with the treatment regimen. </w:t>
      </w:r>
      <w:r w:rsidR="00F20DC8">
        <w:t xml:space="preserve">Oral </w:t>
      </w:r>
      <w:r w:rsidR="00051888">
        <w:t>acetazolamide</w:t>
      </w:r>
      <w:r w:rsidR="00F20DC8">
        <w:t xml:space="preserve"> may be used where patients are unable to administer </w:t>
      </w:r>
      <w:r w:rsidR="009E5C87">
        <w:t>eye drops</w:t>
      </w:r>
      <w:r w:rsidR="00F20DC8">
        <w:t xml:space="preserve"> or further reductions in intraocular pressure are required. Systemic beta</w:t>
      </w:r>
      <w:r w:rsidR="00F20DC8">
        <w:noBreakHyphen/>
        <w:t xml:space="preserve">blockers are not as effective as topical medications. </w:t>
      </w:r>
    </w:p>
    <w:p w:rsidR="001C4776" w:rsidRPr="0018484E" w:rsidRDefault="001C4776" w:rsidP="00A35800"/>
    <w:p w:rsidR="00DF0B13" w:rsidRPr="007247B9" w:rsidRDefault="00DF0B13" w:rsidP="00FE645A">
      <w:pPr>
        <w:pStyle w:val="Heading3"/>
      </w:pPr>
      <w:r w:rsidRPr="007247B9">
        <w:t>PBS listing details</w:t>
      </w:r>
      <w:r w:rsidR="00D151EB">
        <w:t xml:space="preserve"> (as at</w:t>
      </w:r>
      <w:r w:rsidR="00605634">
        <w:t xml:space="preserve"> 1 </w:t>
      </w:r>
      <w:r w:rsidR="00B55BD4">
        <w:t>May</w:t>
      </w:r>
      <w:r w:rsidR="00605634">
        <w:t xml:space="preserve"> 2016</w:t>
      </w:r>
      <w:r w:rsidR="00D151EB">
        <w:t>)</w:t>
      </w:r>
    </w:p>
    <w:p w:rsidR="00605634" w:rsidRPr="00605634" w:rsidRDefault="00605634" w:rsidP="00A35800">
      <w:r w:rsidRPr="00605634">
        <w:t xml:space="preserve">There were </w:t>
      </w:r>
      <w:r w:rsidRPr="00EE7D21">
        <w:t>92</w:t>
      </w:r>
      <w:r w:rsidRPr="00605634">
        <w:t xml:space="preserve"> item</w:t>
      </w:r>
      <w:r>
        <w:t>s</w:t>
      </w:r>
      <w:r w:rsidRPr="00605634">
        <w:t xml:space="preserve"> for glaucoma listed </w:t>
      </w:r>
      <w:r w:rsidR="00EE7D21">
        <w:t>i</w:t>
      </w:r>
      <w:r w:rsidRPr="00605634">
        <w:t xml:space="preserve">n the </w:t>
      </w:r>
      <w:r w:rsidR="00EE7D21">
        <w:t xml:space="preserve">May </w:t>
      </w:r>
      <w:r w:rsidRPr="00EE7D21">
        <w:t>2016</w:t>
      </w:r>
      <w:r w:rsidRPr="00605634">
        <w:t xml:space="preserve"> PBS Schedule. </w:t>
      </w:r>
      <w:r w:rsidR="00B12FB6">
        <w:t xml:space="preserve">The majority of products have two item codes: one for medical practitioners and one for optometrists. </w:t>
      </w:r>
    </w:p>
    <w:p w:rsidR="006448D2" w:rsidRDefault="006448D2">
      <w:pPr>
        <w:spacing w:line="276" w:lineRule="auto"/>
        <w:rPr>
          <w:b/>
        </w:rPr>
      </w:pPr>
      <w:r>
        <w:br w:type="page"/>
      </w:r>
    </w:p>
    <w:p w:rsidR="001420B3" w:rsidRPr="001420B3" w:rsidRDefault="001420B3" w:rsidP="00C245EA">
      <w:pPr>
        <w:pStyle w:val="Tabletitle"/>
      </w:pPr>
      <w:r w:rsidRPr="001420B3">
        <w:lastRenderedPageBreak/>
        <w:t xml:space="preserve">Table </w:t>
      </w:r>
      <w:r w:rsidR="00486C85">
        <w:t>2</w:t>
      </w:r>
      <w:r w:rsidRPr="001420B3">
        <w:t xml:space="preserve">: </w:t>
      </w:r>
      <w:r w:rsidR="009663B6">
        <w:t>PB</w:t>
      </w:r>
      <w:r w:rsidR="00D151EB">
        <w:t xml:space="preserve">S listing of </w:t>
      </w:r>
      <w:r w:rsidR="00EB6A93">
        <w:t>glaucoma medicines</w:t>
      </w:r>
      <w:r w:rsidR="00416AD2">
        <w:t xml:space="preserve"> (as of 1 May 2016)</w:t>
      </w:r>
    </w:p>
    <w:tbl>
      <w:tblPr>
        <w:tblStyle w:val="TableGrid"/>
        <w:tblW w:w="0" w:type="auto"/>
        <w:tblLook w:val="04A0" w:firstRow="1" w:lastRow="0" w:firstColumn="1" w:lastColumn="0" w:noHBand="0" w:noVBand="1"/>
        <w:tblCaption w:val="PBS listing of glaucoma medicines as of 1 May 2016"/>
        <w:tblDescription w:val="A table of PBS listing of glaucoma medicines as of 1 May 2016"/>
      </w:tblPr>
      <w:tblGrid>
        <w:gridCol w:w="1012"/>
        <w:gridCol w:w="2893"/>
        <w:gridCol w:w="915"/>
        <w:gridCol w:w="586"/>
        <w:gridCol w:w="1067"/>
        <w:gridCol w:w="2700"/>
      </w:tblGrid>
      <w:tr w:rsidR="0093111F" w:rsidRPr="00A35800" w:rsidTr="00AC6C4C">
        <w:trPr>
          <w:cantSplit/>
          <w:trHeight w:val="694"/>
          <w:tblHeader/>
        </w:trPr>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 xml:space="preserve">Rpts </w:t>
            </w:r>
          </w:p>
        </w:tc>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0" w:type="auto"/>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AC6C4C">
        <w:trPr>
          <w:cantSplit/>
          <w:trHeight w:val="552"/>
        </w:trPr>
        <w:tc>
          <w:tcPr>
            <w:tcW w:w="0" w:type="auto"/>
            <w:shd w:val="clear" w:color="auto" w:fill="auto"/>
          </w:tcPr>
          <w:p w:rsidR="0093111F" w:rsidRPr="00A35800" w:rsidRDefault="00605634" w:rsidP="00A35800">
            <w:pPr>
              <w:pStyle w:val="Tablewriting"/>
            </w:pPr>
            <w:r w:rsidRPr="00605634">
              <w:t>8083K</w:t>
            </w:r>
          </w:p>
        </w:tc>
        <w:tc>
          <w:tcPr>
            <w:tcW w:w="0" w:type="auto"/>
            <w:shd w:val="clear" w:color="auto" w:fill="auto"/>
          </w:tcPr>
          <w:p w:rsidR="0093111F" w:rsidRPr="00A35800" w:rsidRDefault="00605634" w:rsidP="009E5C87">
            <w:pPr>
              <w:pStyle w:val="Tablewriting"/>
            </w:pPr>
            <w:r w:rsidRPr="00605634">
              <w:t>apraclonidine 0.5% eye drops, 10</w:t>
            </w:r>
            <w:r w:rsidR="009E5C87">
              <w:t> </w:t>
            </w:r>
            <w:r w:rsidRPr="00605634">
              <w:t>mL</w:t>
            </w:r>
          </w:p>
        </w:tc>
        <w:tc>
          <w:tcPr>
            <w:tcW w:w="0" w:type="auto"/>
            <w:shd w:val="clear" w:color="auto" w:fill="auto"/>
          </w:tcPr>
          <w:p w:rsidR="0093111F" w:rsidRPr="00A35800" w:rsidRDefault="00605634" w:rsidP="00A35800">
            <w:pPr>
              <w:pStyle w:val="Tablewriting"/>
            </w:pPr>
            <w:r>
              <w:t>1</w:t>
            </w:r>
          </w:p>
        </w:tc>
        <w:tc>
          <w:tcPr>
            <w:tcW w:w="0" w:type="auto"/>
            <w:shd w:val="clear" w:color="auto" w:fill="auto"/>
          </w:tcPr>
          <w:p w:rsidR="0093111F" w:rsidRPr="00A35800" w:rsidRDefault="00605634" w:rsidP="00A35800">
            <w:pPr>
              <w:pStyle w:val="Tablewriting"/>
            </w:pPr>
            <w:r>
              <w:t>2</w:t>
            </w:r>
          </w:p>
        </w:tc>
        <w:tc>
          <w:tcPr>
            <w:tcW w:w="0" w:type="auto"/>
            <w:shd w:val="clear" w:color="auto" w:fill="auto"/>
          </w:tcPr>
          <w:p w:rsidR="0093111F" w:rsidRPr="00A35800" w:rsidRDefault="00605634" w:rsidP="009A412C">
            <w:pPr>
              <w:pStyle w:val="Tablewriting"/>
            </w:pPr>
            <w:r>
              <w:t>$</w:t>
            </w:r>
            <w:r w:rsidR="009A412C">
              <w:t>39.73</w:t>
            </w:r>
          </w:p>
        </w:tc>
        <w:tc>
          <w:tcPr>
            <w:tcW w:w="0" w:type="auto"/>
            <w:shd w:val="clear" w:color="auto" w:fill="auto"/>
          </w:tcPr>
          <w:p w:rsidR="0093111F" w:rsidRPr="00A35800" w:rsidRDefault="00605634" w:rsidP="00FB595E">
            <w:pPr>
              <w:pStyle w:val="Tablewriting"/>
            </w:pPr>
            <w:r w:rsidRPr="00605634">
              <w:t xml:space="preserve">Iopidine 0.5% </w:t>
            </w:r>
            <w:r w:rsidR="00FB595E">
              <w:br/>
            </w:r>
            <w:r w:rsidR="00FB595E" w:rsidRPr="00FB595E">
              <w:t>Alcon Laboratories (Australia) Pty Ltd</w:t>
            </w:r>
          </w:p>
        </w:tc>
      </w:tr>
      <w:tr w:rsidR="0093111F" w:rsidRPr="00A35800" w:rsidTr="00AC6C4C">
        <w:trPr>
          <w:cantSplit/>
          <w:trHeight w:val="546"/>
        </w:trPr>
        <w:tc>
          <w:tcPr>
            <w:tcW w:w="0" w:type="auto"/>
            <w:shd w:val="clear" w:color="auto" w:fill="auto"/>
          </w:tcPr>
          <w:p w:rsidR="0093111F" w:rsidRPr="00A35800" w:rsidRDefault="00412908" w:rsidP="00A35800">
            <w:pPr>
              <w:pStyle w:val="Tablewriting"/>
            </w:pPr>
            <w:r w:rsidRPr="00412908">
              <w:t>5298W</w:t>
            </w:r>
            <w:r>
              <w:br/>
              <w:t>5563T (OP)</w:t>
            </w:r>
          </w:p>
        </w:tc>
        <w:tc>
          <w:tcPr>
            <w:tcW w:w="0" w:type="auto"/>
            <w:shd w:val="clear" w:color="auto" w:fill="auto"/>
          </w:tcPr>
          <w:p w:rsidR="0093111F" w:rsidRPr="00A35800" w:rsidRDefault="00412908" w:rsidP="00A35800">
            <w:pPr>
              <w:pStyle w:val="Tablewriting"/>
            </w:pPr>
            <w:r w:rsidRPr="00412908">
              <w:t>brimonidine tartrate 0.15% eye drops, 5 mL</w:t>
            </w:r>
          </w:p>
        </w:tc>
        <w:tc>
          <w:tcPr>
            <w:tcW w:w="0" w:type="auto"/>
            <w:shd w:val="clear" w:color="auto" w:fill="auto"/>
          </w:tcPr>
          <w:p w:rsidR="0093111F" w:rsidRPr="00A35800" w:rsidRDefault="00412908" w:rsidP="00A35800">
            <w:pPr>
              <w:pStyle w:val="Tablewriting"/>
            </w:pPr>
            <w:r>
              <w:t>1</w:t>
            </w:r>
          </w:p>
        </w:tc>
        <w:tc>
          <w:tcPr>
            <w:tcW w:w="0" w:type="auto"/>
            <w:shd w:val="clear" w:color="auto" w:fill="auto"/>
          </w:tcPr>
          <w:p w:rsidR="0093111F" w:rsidRPr="00A35800" w:rsidRDefault="00412908" w:rsidP="00A35800">
            <w:pPr>
              <w:pStyle w:val="Tablewriting"/>
            </w:pPr>
            <w:r>
              <w:t>5</w:t>
            </w:r>
          </w:p>
        </w:tc>
        <w:tc>
          <w:tcPr>
            <w:tcW w:w="0" w:type="auto"/>
            <w:shd w:val="clear" w:color="auto" w:fill="auto"/>
          </w:tcPr>
          <w:p w:rsidR="0093111F" w:rsidRPr="00A35800" w:rsidRDefault="00412908" w:rsidP="00A35800">
            <w:pPr>
              <w:pStyle w:val="Tablewriting"/>
            </w:pPr>
            <w:r>
              <w:t>$22.35</w:t>
            </w:r>
          </w:p>
        </w:tc>
        <w:tc>
          <w:tcPr>
            <w:tcW w:w="0" w:type="auto"/>
            <w:shd w:val="clear" w:color="auto" w:fill="auto"/>
          </w:tcPr>
          <w:p w:rsidR="0093111F" w:rsidRDefault="00412908" w:rsidP="00853F89">
            <w:pPr>
              <w:pStyle w:val="Tablewriting"/>
            </w:pPr>
            <w:r w:rsidRPr="00412908">
              <w:t xml:space="preserve">Alphagan P 1.5 </w:t>
            </w:r>
          </w:p>
          <w:p w:rsidR="00853F89" w:rsidRPr="00A35800" w:rsidRDefault="00853F89" w:rsidP="00853F89">
            <w:pPr>
              <w:pStyle w:val="Tablewriting"/>
            </w:pPr>
            <w:r w:rsidRPr="00853F89">
              <w:t>Allergan Australia Pty Limited</w:t>
            </w:r>
          </w:p>
        </w:tc>
      </w:tr>
      <w:tr w:rsidR="00605634" w:rsidRPr="00A35800" w:rsidTr="00AC6C4C">
        <w:trPr>
          <w:cantSplit/>
          <w:trHeight w:val="546"/>
        </w:trPr>
        <w:tc>
          <w:tcPr>
            <w:tcW w:w="0" w:type="auto"/>
            <w:shd w:val="clear" w:color="auto" w:fill="auto"/>
          </w:tcPr>
          <w:p w:rsidR="00605634" w:rsidRDefault="00412908" w:rsidP="00A35800">
            <w:pPr>
              <w:pStyle w:val="Tablewriting"/>
            </w:pPr>
            <w:r w:rsidRPr="00412908">
              <w:t>8351M</w:t>
            </w:r>
          </w:p>
          <w:p w:rsidR="00412908" w:rsidRPr="00A35800" w:rsidRDefault="00412908" w:rsidP="00A35800">
            <w:pPr>
              <w:pStyle w:val="Tablewriting"/>
            </w:pPr>
            <w:r>
              <w:t>5534G (OP)</w:t>
            </w:r>
          </w:p>
        </w:tc>
        <w:tc>
          <w:tcPr>
            <w:tcW w:w="0" w:type="auto"/>
            <w:shd w:val="clear" w:color="auto" w:fill="auto"/>
          </w:tcPr>
          <w:p w:rsidR="00605634" w:rsidRPr="00A35800" w:rsidRDefault="00412908" w:rsidP="00A35800">
            <w:pPr>
              <w:pStyle w:val="Tablewriting"/>
            </w:pPr>
            <w:r w:rsidRPr="00412908">
              <w:t>brimonidine tartrate 0.2% eye drops, 5 mL</w:t>
            </w:r>
          </w:p>
        </w:tc>
        <w:tc>
          <w:tcPr>
            <w:tcW w:w="0" w:type="auto"/>
            <w:shd w:val="clear" w:color="auto" w:fill="auto"/>
          </w:tcPr>
          <w:p w:rsidR="00605634" w:rsidRPr="00A35800" w:rsidRDefault="00412908" w:rsidP="00A35800">
            <w:pPr>
              <w:pStyle w:val="Tablewriting"/>
            </w:pPr>
            <w:r>
              <w:t>1</w:t>
            </w:r>
          </w:p>
        </w:tc>
        <w:tc>
          <w:tcPr>
            <w:tcW w:w="0" w:type="auto"/>
            <w:shd w:val="clear" w:color="auto" w:fill="auto"/>
          </w:tcPr>
          <w:p w:rsidR="00605634" w:rsidRPr="00A35800" w:rsidRDefault="00412908" w:rsidP="00A35800">
            <w:pPr>
              <w:pStyle w:val="Tablewriting"/>
            </w:pPr>
            <w:r>
              <w:t>5</w:t>
            </w:r>
          </w:p>
        </w:tc>
        <w:tc>
          <w:tcPr>
            <w:tcW w:w="0" w:type="auto"/>
            <w:shd w:val="clear" w:color="auto" w:fill="auto"/>
          </w:tcPr>
          <w:p w:rsidR="00605634" w:rsidRPr="00A35800" w:rsidRDefault="00412908" w:rsidP="00A35800">
            <w:pPr>
              <w:pStyle w:val="Tablewriting"/>
            </w:pPr>
            <w:r>
              <w:t>$22.35</w:t>
            </w:r>
            <w:r w:rsidR="00B55BD4">
              <w:t>/ $23.77</w:t>
            </w:r>
          </w:p>
        </w:tc>
        <w:tc>
          <w:tcPr>
            <w:tcW w:w="0" w:type="auto"/>
            <w:shd w:val="clear" w:color="auto" w:fill="auto"/>
          </w:tcPr>
          <w:p w:rsidR="00605634" w:rsidRDefault="00412908" w:rsidP="00A35800">
            <w:pPr>
              <w:pStyle w:val="Tablewriting"/>
            </w:pPr>
            <w:r w:rsidRPr="00412908">
              <w:t xml:space="preserve">Enidin </w:t>
            </w:r>
          </w:p>
          <w:p w:rsidR="00853F89" w:rsidRDefault="00853F89" w:rsidP="00A35800">
            <w:pPr>
              <w:pStyle w:val="Tablewriting"/>
            </w:pPr>
            <w:r w:rsidRPr="00853F89">
              <w:t>Allergan Australia Pty Limited</w:t>
            </w:r>
          </w:p>
          <w:p w:rsidR="00412908" w:rsidRDefault="00412908" w:rsidP="00853F89">
            <w:pPr>
              <w:pStyle w:val="Tablewriting"/>
            </w:pPr>
            <w:r w:rsidRPr="00412908">
              <w:t xml:space="preserve">Alphagan </w:t>
            </w:r>
          </w:p>
          <w:p w:rsidR="00853F89" w:rsidRPr="00A35800" w:rsidRDefault="00853F89" w:rsidP="00853F89">
            <w:pPr>
              <w:pStyle w:val="Tablewriting"/>
            </w:pPr>
            <w:r w:rsidRPr="00853F89">
              <w:t>Allergan Australia Pty Limited</w:t>
            </w:r>
          </w:p>
        </w:tc>
      </w:tr>
      <w:tr w:rsidR="00605634" w:rsidRPr="00A35800" w:rsidTr="00AC6C4C">
        <w:trPr>
          <w:cantSplit/>
          <w:trHeight w:val="546"/>
        </w:trPr>
        <w:tc>
          <w:tcPr>
            <w:tcW w:w="0" w:type="auto"/>
            <w:shd w:val="clear" w:color="auto" w:fill="auto"/>
          </w:tcPr>
          <w:p w:rsidR="00605634" w:rsidRPr="00A35800" w:rsidRDefault="00412908" w:rsidP="00A35800">
            <w:pPr>
              <w:pStyle w:val="Tablewriting"/>
            </w:pPr>
            <w:r w:rsidRPr="00412908">
              <w:t>8826M</w:t>
            </w:r>
            <w:r>
              <w:br/>
            </w:r>
            <w:r w:rsidRPr="00412908">
              <w:t>5535H</w:t>
            </w:r>
            <w:r>
              <w:t xml:space="preserve"> (OP)</w:t>
            </w:r>
          </w:p>
        </w:tc>
        <w:tc>
          <w:tcPr>
            <w:tcW w:w="0" w:type="auto"/>
            <w:shd w:val="clear" w:color="auto" w:fill="auto"/>
          </w:tcPr>
          <w:p w:rsidR="00605634" w:rsidRPr="00A35800" w:rsidRDefault="00412908" w:rsidP="00A35800">
            <w:pPr>
              <w:pStyle w:val="Tablewriting"/>
            </w:pPr>
            <w:r w:rsidRPr="00412908">
              <w:t>brimonidine tartrate 0.2% + timolol 0.5% eye drops, 5 mL</w:t>
            </w:r>
          </w:p>
        </w:tc>
        <w:tc>
          <w:tcPr>
            <w:tcW w:w="0" w:type="auto"/>
            <w:shd w:val="clear" w:color="auto" w:fill="auto"/>
          </w:tcPr>
          <w:p w:rsidR="00605634" w:rsidRPr="00A35800" w:rsidRDefault="00412908" w:rsidP="00A35800">
            <w:pPr>
              <w:pStyle w:val="Tablewriting"/>
            </w:pPr>
            <w:r>
              <w:t>1</w:t>
            </w:r>
          </w:p>
        </w:tc>
        <w:tc>
          <w:tcPr>
            <w:tcW w:w="0" w:type="auto"/>
            <w:shd w:val="clear" w:color="auto" w:fill="auto"/>
          </w:tcPr>
          <w:p w:rsidR="00605634" w:rsidRPr="00A35800" w:rsidRDefault="00412908" w:rsidP="00A35800">
            <w:pPr>
              <w:pStyle w:val="Tablewriting"/>
            </w:pPr>
            <w:r>
              <w:t>5</w:t>
            </w:r>
          </w:p>
        </w:tc>
        <w:tc>
          <w:tcPr>
            <w:tcW w:w="0" w:type="auto"/>
            <w:shd w:val="clear" w:color="auto" w:fill="auto"/>
          </w:tcPr>
          <w:p w:rsidR="00605634" w:rsidRPr="00A35800" w:rsidRDefault="00412908" w:rsidP="00A35800">
            <w:pPr>
              <w:pStyle w:val="Tablewriting"/>
            </w:pPr>
            <w:r>
              <w:t>$27.47</w:t>
            </w:r>
          </w:p>
        </w:tc>
        <w:tc>
          <w:tcPr>
            <w:tcW w:w="0" w:type="auto"/>
            <w:shd w:val="clear" w:color="auto" w:fill="auto"/>
          </w:tcPr>
          <w:p w:rsidR="00605634" w:rsidRDefault="00412908" w:rsidP="00853F89">
            <w:pPr>
              <w:pStyle w:val="Tablewriting"/>
            </w:pPr>
            <w:r w:rsidRPr="00412908">
              <w:t xml:space="preserve">Combigan </w:t>
            </w:r>
          </w:p>
          <w:p w:rsidR="00853F89" w:rsidRPr="00A35800" w:rsidRDefault="00853F89" w:rsidP="00853F89">
            <w:pPr>
              <w:pStyle w:val="Tablewriting"/>
            </w:pPr>
            <w:r w:rsidRPr="00853F89">
              <w:t>Allergan Australia Pty Limited</w:t>
            </w:r>
          </w:p>
        </w:tc>
      </w:tr>
      <w:tr w:rsidR="00605634" w:rsidRPr="00A35800" w:rsidTr="00AC6C4C">
        <w:trPr>
          <w:cantSplit/>
          <w:trHeight w:val="546"/>
        </w:trPr>
        <w:tc>
          <w:tcPr>
            <w:tcW w:w="0" w:type="auto"/>
            <w:shd w:val="clear" w:color="auto" w:fill="auto"/>
          </w:tcPr>
          <w:p w:rsidR="00605634" w:rsidRDefault="00412908" w:rsidP="00A35800">
            <w:pPr>
              <w:pStyle w:val="Tablewriting"/>
            </w:pPr>
            <w:r w:rsidRPr="00412908">
              <w:t>2595N</w:t>
            </w:r>
          </w:p>
          <w:p w:rsidR="00412908" w:rsidRPr="00A35800" w:rsidRDefault="00412908" w:rsidP="00A35800">
            <w:pPr>
              <w:pStyle w:val="Tablewriting"/>
            </w:pPr>
            <w:r>
              <w:t>5536J (OP)</w:t>
            </w:r>
          </w:p>
        </w:tc>
        <w:tc>
          <w:tcPr>
            <w:tcW w:w="0" w:type="auto"/>
            <w:shd w:val="clear" w:color="auto" w:fill="auto"/>
          </w:tcPr>
          <w:p w:rsidR="00605634" w:rsidRPr="00A35800" w:rsidRDefault="00412908" w:rsidP="00A35800">
            <w:pPr>
              <w:pStyle w:val="Tablewriting"/>
            </w:pPr>
            <w:r w:rsidRPr="00412908">
              <w:t>pilocarpine hydrochloride 1% eye drops, 15 mL</w:t>
            </w:r>
          </w:p>
        </w:tc>
        <w:tc>
          <w:tcPr>
            <w:tcW w:w="0" w:type="auto"/>
            <w:shd w:val="clear" w:color="auto" w:fill="auto"/>
          </w:tcPr>
          <w:p w:rsidR="00605634" w:rsidRPr="00A35800" w:rsidRDefault="00412908" w:rsidP="00A35800">
            <w:pPr>
              <w:pStyle w:val="Tablewriting"/>
            </w:pPr>
            <w:r>
              <w:t>1</w:t>
            </w:r>
          </w:p>
        </w:tc>
        <w:tc>
          <w:tcPr>
            <w:tcW w:w="0" w:type="auto"/>
            <w:shd w:val="clear" w:color="auto" w:fill="auto"/>
          </w:tcPr>
          <w:p w:rsidR="00605634" w:rsidRPr="00A35800" w:rsidRDefault="00412908" w:rsidP="00A35800">
            <w:pPr>
              <w:pStyle w:val="Tablewriting"/>
            </w:pPr>
            <w:r>
              <w:t>5</w:t>
            </w:r>
          </w:p>
        </w:tc>
        <w:tc>
          <w:tcPr>
            <w:tcW w:w="0" w:type="auto"/>
            <w:shd w:val="clear" w:color="auto" w:fill="auto"/>
          </w:tcPr>
          <w:p w:rsidR="00605634" w:rsidRPr="00A35800" w:rsidRDefault="00412908" w:rsidP="00A35800">
            <w:pPr>
              <w:pStyle w:val="Tablewriting"/>
            </w:pPr>
            <w:r>
              <w:t>$15.73</w:t>
            </w:r>
          </w:p>
        </w:tc>
        <w:tc>
          <w:tcPr>
            <w:tcW w:w="0" w:type="auto"/>
            <w:shd w:val="clear" w:color="auto" w:fill="auto"/>
          </w:tcPr>
          <w:p w:rsidR="00605634" w:rsidRPr="00A35800" w:rsidRDefault="00412908" w:rsidP="00FB595E">
            <w:pPr>
              <w:pStyle w:val="Tablewriting"/>
            </w:pPr>
            <w:r w:rsidRPr="00412908">
              <w:t xml:space="preserve">Isopto Carpine </w:t>
            </w:r>
            <w:r w:rsidR="00FB595E">
              <w:br/>
            </w:r>
            <w:r w:rsidR="00FB595E" w:rsidRPr="00FB595E">
              <w:t>Alcon Laboratories (Australia) Pty Ltd</w:t>
            </w:r>
          </w:p>
        </w:tc>
      </w:tr>
      <w:tr w:rsidR="00605634" w:rsidRPr="00A35800" w:rsidTr="00AC6C4C">
        <w:trPr>
          <w:cantSplit/>
          <w:trHeight w:val="546"/>
        </w:trPr>
        <w:tc>
          <w:tcPr>
            <w:tcW w:w="0" w:type="auto"/>
            <w:shd w:val="clear" w:color="auto" w:fill="auto"/>
          </w:tcPr>
          <w:p w:rsidR="00605634" w:rsidRDefault="00412908" w:rsidP="00A35800">
            <w:pPr>
              <w:pStyle w:val="Tablewriting"/>
            </w:pPr>
            <w:r w:rsidRPr="00412908">
              <w:t>2596P</w:t>
            </w:r>
          </w:p>
          <w:p w:rsidR="00412908" w:rsidRPr="00A35800" w:rsidRDefault="00412908" w:rsidP="00A35800">
            <w:pPr>
              <w:pStyle w:val="Tablewriting"/>
            </w:pPr>
            <w:r w:rsidRPr="00412908">
              <w:t>5537K</w:t>
            </w:r>
            <w:r>
              <w:t xml:space="preserve"> (OP)</w:t>
            </w:r>
          </w:p>
        </w:tc>
        <w:tc>
          <w:tcPr>
            <w:tcW w:w="0" w:type="auto"/>
            <w:shd w:val="clear" w:color="auto" w:fill="auto"/>
          </w:tcPr>
          <w:p w:rsidR="00605634" w:rsidRPr="00A35800" w:rsidRDefault="00412908" w:rsidP="00A35800">
            <w:pPr>
              <w:pStyle w:val="Tablewriting"/>
            </w:pPr>
            <w:r w:rsidRPr="00412908">
              <w:t>pilocarpine hydrochloride 2% eye drops, 15 mL</w:t>
            </w:r>
          </w:p>
        </w:tc>
        <w:tc>
          <w:tcPr>
            <w:tcW w:w="0" w:type="auto"/>
            <w:shd w:val="clear" w:color="auto" w:fill="auto"/>
          </w:tcPr>
          <w:p w:rsidR="00605634" w:rsidRPr="00A35800" w:rsidRDefault="00412908" w:rsidP="00A35800">
            <w:pPr>
              <w:pStyle w:val="Tablewriting"/>
            </w:pPr>
            <w:r>
              <w:t>1</w:t>
            </w:r>
          </w:p>
        </w:tc>
        <w:tc>
          <w:tcPr>
            <w:tcW w:w="0" w:type="auto"/>
            <w:shd w:val="clear" w:color="auto" w:fill="auto"/>
          </w:tcPr>
          <w:p w:rsidR="00605634" w:rsidRPr="00A35800" w:rsidRDefault="00412908" w:rsidP="00A35800">
            <w:pPr>
              <w:pStyle w:val="Tablewriting"/>
            </w:pPr>
            <w:r>
              <w:t>5</w:t>
            </w:r>
          </w:p>
        </w:tc>
        <w:tc>
          <w:tcPr>
            <w:tcW w:w="0" w:type="auto"/>
            <w:shd w:val="clear" w:color="auto" w:fill="auto"/>
          </w:tcPr>
          <w:p w:rsidR="00605634" w:rsidRPr="00A35800" w:rsidRDefault="00412908" w:rsidP="00A35800">
            <w:pPr>
              <w:pStyle w:val="Tablewriting"/>
            </w:pPr>
            <w:r>
              <w:t>$16.82</w:t>
            </w:r>
          </w:p>
        </w:tc>
        <w:tc>
          <w:tcPr>
            <w:tcW w:w="0" w:type="auto"/>
            <w:shd w:val="clear" w:color="auto" w:fill="auto"/>
          </w:tcPr>
          <w:p w:rsidR="00605634" w:rsidRDefault="00412908" w:rsidP="00FB595E">
            <w:pPr>
              <w:pStyle w:val="Tablewriting"/>
            </w:pPr>
            <w:r w:rsidRPr="00412908">
              <w:t xml:space="preserve">Isopto Carpine </w:t>
            </w:r>
          </w:p>
          <w:p w:rsidR="00FB595E" w:rsidRPr="00A35800"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FF1844" w:rsidP="004378F9">
            <w:pPr>
              <w:pStyle w:val="Tablewriting"/>
            </w:pPr>
            <w:r w:rsidRPr="00412908">
              <w:t>2598R</w:t>
            </w:r>
          </w:p>
          <w:p w:rsidR="00FF1844" w:rsidRPr="00412908" w:rsidRDefault="00FF1844" w:rsidP="00A35800">
            <w:pPr>
              <w:pStyle w:val="Tablewriting"/>
            </w:pPr>
            <w:r w:rsidRPr="00412908">
              <w:t>5538L</w:t>
            </w:r>
          </w:p>
        </w:tc>
        <w:tc>
          <w:tcPr>
            <w:tcW w:w="0" w:type="auto"/>
            <w:shd w:val="clear" w:color="auto" w:fill="auto"/>
          </w:tcPr>
          <w:p w:rsidR="00FF1844" w:rsidRPr="00412908" w:rsidRDefault="00FF1844" w:rsidP="00A35800">
            <w:pPr>
              <w:pStyle w:val="Tablewriting"/>
            </w:pPr>
            <w:r w:rsidRPr="00412908">
              <w:t>pilocarpine hydrochloride 4% eye drops, 15 mL</w:t>
            </w:r>
          </w:p>
        </w:tc>
        <w:tc>
          <w:tcPr>
            <w:tcW w:w="0" w:type="auto"/>
            <w:shd w:val="clear" w:color="auto" w:fill="auto"/>
          </w:tcPr>
          <w:p w:rsidR="00FF1844" w:rsidRDefault="00FF1844" w:rsidP="00A35800">
            <w:pPr>
              <w:pStyle w:val="Tablewriting"/>
            </w:pPr>
            <w:r>
              <w:t>1</w:t>
            </w:r>
          </w:p>
        </w:tc>
        <w:tc>
          <w:tcPr>
            <w:tcW w:w="0" w:type="auto"/>
            <w:shd w:val="clear" w:color="auto" w:fill="auto"/>
          </w:tcPr>
          <w:p w:rsidR="00FF1844" w:rsidRDefault="00FF1844" w:rsidP="00A35800">
            <w:pPr>
              <w:pStyle w:val="Tablewriting"/>
            </w:pPr>
            <w:r>
              <w:t>5</w:t>
            </w:r>
          </w:p>
        </w:tc>
        <w:tc>
          <w:tcPr>
            <w:tcW w:w="0" w:type="auto"/>
            <w:shd w:val="clear" w:color="auto" w:fill="auto"/>
          </w:tcPr>
          <w:p w:rsidR="00FF1844" w:rsidRDefault="00FF1844" w:rsidP="00A35800">
            <w:pPr>
              <w:pStyle w:val="Tablewriting"/>
            </w:pPr>
            <w:r>
              <w:t>$19.30</w:t>
            </w:r>
          </w:p>
        </w:tc>
        <w:tc>
          <w:tcPr>
            <w:tcW w:w="0" w:type="auto"/>
            <w:shd w:val="clear" w:color="auto" w:fill="auto"/>
          </w:tcPr>
          <w:p w:rsidR="00FF1844" w:rsidRDefault="00FF1844" w:rsidP="00FB595E">
            <w:pPr>
              <w:pStyle w:val="Tablewriting"/>
            </w:pPr>
            <w:r w:rsidRPr="00412908">
              <w:t xml:space="preserve">Isopto Carpine </w:t>
            </w:r>
          </w:p>
          <w:p w:rsidR="00FB595E" w:rsidRPr="00412908"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FF1844" w:rsidP="00A35800">
            <w:pPr>
              <w:pStyle w:val="Tablewriting"/>
            </w:pPr>
            <w:r w:rsidRPr="00FF1844">
              <w:t>8483L</w:t>
            </w:r>
          </w:p>
          <w:p w:rsidR="00FF1844" w:rsidRPr="00412908" w:rsidRDefault="00FF1844" w:rsidP="00A35800">
            <w:pPr>
              <w:pStyle w:val="Tablewriting"/>
            </w:pPr>
            <w:r>
              <w:t>5540N (OP)</w:t>
            </w:r>
          </w:p>
        </w:tc>
        <w:tc>
          <w:tcPr>
            <w:tcW w:w="0" w:type="auto"/>
            <w:shd w:val="clear" w:color="auto" w:fill="auto"/>
          </w:tcPr>
          <w:p w:rsidR="00FF1844" w:rsidRPr="00412908" w:rsidRDefault="00FF1844" w:rsidP="00A35800">
            <w:pPr>
              <w:pStyle w:val="Tablewriting"/>
            </w:pPr>
            <w:r w:rsidRPr="00FF1844">
              <w:t>brinzolamide 1% eye drops, 5 mL</w:t>
            </w:r>
          </w:p>
        </w:tc>
        <w:tc>
          <w:tcPr>
            <w:tcW w:w="0" w:type="auto"/>
            <w:shd w:val="clear" w:color="auto" w:fill="auto"/>
          </w:tcPr>
          <w:p w:rsidR="00FF1844" w:rsidRDefault="00FF1844" w:rsidP="00A35800">
            <w:pPr>
              <w:pStyle w:val="Tablewriting"/>
            </w:pPr>
            <w:r>
              <w:t>1</w:t>
            </w:r>
          </w:p>
        </w:tc>
        <w:tc>
          <w:tcPr>
            <w:tcW w:w="0" w:type="auto"/>
            <w:shd w:val="clear" w:color="auto" w:fill="auto"/>
          </w:tcPr>
          <w:p w:rsidR="00FF1844" w:rsidRDefault="00FF1844" w:rsidP="00A35800">
            <w:pPr>
              <w:pStyle w:val="Tablewriting"/>
            </w:pPr>
            <w:r>
              <w:t>5</w:t>
            </w:r>
          </w:p>
        </w:tc>
        <w:tc>
          <w:tcPr>
            <w:tcW w:w="0" w:type="auto"/>
            <w:shd w:val="clear" w:color="auto" w:fill="auto"/>
          </w:tcPr>
          <w:p w:rsidR="00FF1844" w:rsidRDefault="00FF1844" w:rsidP="00965C99">
            <w:pPr>
              <w:pStyle w:val="Tablewriting"/>
            </w:pPr>
            <w:r>
              <w:t>$24.64 / $</w:t>
            </w:r>
            <w:r w:rsidR="00965C99">
              <w:t>26.92</w:t>
            </w:r>
          </w:p>
        </w:tc>
        <w:tc>
          <w:tcPr>
            <w:tcW w:w="0" w:type="auto"/>
            <w:shd w:val="clear" w:color="auto" w:fill="auto"/>
          </w:tcPr>
          <w:p w:rsidR="00853F89" w:rsidRDefault="00FF1844" w:rsidP="00A35800">
            <w:pPr>
              <w:pStyle w:val="Tablewriting"/>
            </w:pPr>
            <w:r w:rsidRPr="00FF1844">
              <w:t xml:space="preserve">BrinzoQuin </w:t>
            </w:r>
          </w:p>
          <w:p w:rsidR="00FF1844" w:rsidRDefault="00853F89" w:rsidP="00A35800">
            <w:pPr>
              <w:pStyle w:val="Tablewriting"/>
            </w:pPr>
            <w:r w:rsidRPr="00853F89">
              <w:t>Alcon Laboratories (Australia) Pty Ltd</w:t>
            </w:r>
          </w:p>
          <w:p w:rsidR="00FF1844" w:rsidRDefault="00FF1844" w:rsidP="00FB595E">
            <w:pPr>
              <w:pStyle w:val="Tablewriting"/>
            </w:pPr>
            <w:r w:rsidRPr="00FF1844">
              <w:t xml:space="preserve">Azopt </w:t>
            </w:r>
          </w:p>
          <w:p w:rsidR="00FB595E" w:rsidRPr="00412908"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FF1844" w:rsidP="00A35800">
            <w:pPr>
              <w:pStyle w:val="Tablewriting"/>
            </w:pPr>
            <w:r w:rsidRPr="00FF1844">
              <w:t>10536M</w:t>
            </w:r>
          </w:p>
          <w:p w:rsidR="00FF1844" w:rsidRPr="00412908" w:rsidRDefault="00FF1844" w:rsidP="00A35800">
            <w:pPr>
              <w:pStyle w:val="Tablewriting"/>
            </w:pPr>
            <w:r w:rsidRPr="00FF1844">
              <w:t>10547D</w:t>
            </w:r>
            <w:r>
              <w:t xml:space="preserve"> (OP)</w:t>
            </w:r>
          </w:p>
        </w:tc>
        <w:tc>
          <w:tcPr>
            <w:tcW w:w="0" w:type="auto"/>
            <w:shd w:val="clear" w:color="auto" w:fill="auto"/>
          </w:tcPr>
          <w:p w:rsidR="00FF1844" w:rsidRPr="00412908" w:rsidRDefault="00FF1844" w:rsidP="00A35800">
            <w:pPr>
              <w:pStyle w:val="Tablewriting"/>
            </w:pPr>
            <w:r w:rsidRPr="00FF1844">
              <w:t>brinzolamide 1% + brimonidine tartrate 0.2% eye drops, 5 mL</w:t>
            </w:r>
          </w:p>
        </w:tc>
        <w:tc>
          <w:tcPr>
            <w:tcW w:w="0" w:type="auto"/>
            <w:shd w:val="clear" w:color="auto" w:fill="auto"/>
          </w:tcPr>
          <w:p w:rsidR="00FF1844" w:rsidRDefault="00FF1844" w:rsidP="00A35800">
            <w:pPr>
              <w:pStyle w:val="Tablewriting"/>
            </w:pPr>
            <w:r>
              <w:t>1</w:t>
            </w:r>
          </w:p>
        </w:tc>
        <w:tc>
          <w:tcPr>
            <w:tcW w:w="0" w:type="auto"/>
            <w:shd w:val="clear" w:color="auto" w:fill="auto"/>
          </w:tcPr>
          <w:p w:rsidR="00FF1844" w:rsidRDefault="00FF1844" w:rsidP="00A35800">
            <w:pPr>
              <w:pStyle w:val="Tablewriting"/>
            </w:pPr>
            <w:r>
              <w:t>5</w:t>
            </w:r>
          </w:p>
        </w:tc>
        <w:tc>
          <w:tcPr>
            <w:tcW w:w="0" w:type="auto"/>
            <w:shd w:val="clear" w:color="auto" w:fill="auto"/>
          </w:tcPr>
          <w:p w:rsidR="00FF1844" w:rsidRDefault="00FF1844" w:rsidP="00A35800">
            <w:pPr>
              <w:pStyle w:val="Tablewriting"/>
            </w:pPr>
            <w:r>
              <w:t>$26.98</w:t>
            </w:r>
          </w:p>
        </w:tc>
        <w:tc>
          <w:tcPr>
            <w:tcW w:w="0" w:type="auto"/>
            <w:shd w:val="clear" w:color="auto" w:fill="auto"/>
          </w:tcPr>
          <w:p w:rsidR="00FF1844" w:rsidRDefault="00FF1844" w:rsidP="00FB595E">
            <w:pPr>
              <w:pStyle w:val="Tablewriting"/>
            </w:pPr>
            <w:r>
              <w:t xml:space="preserve">Simbrinza 1%/0.2% </w:t>
            </w:r>
          </w:p>
          <w:p w:rsidR="00FB595E" w:rsidRPr="00412908"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FF1844" w:rsidP="00FF1844">
            <w:pPr>
              <w:pStyle w:val="Tablewriting"/>
            </w:pPr>
            <w:r w:rsidRPr="00FF1844">
              <w:t>3438Y</w:t>
            </w:r>
          </w:p>
          <w:p w:rsidR="00FF1844" w:rsidRPr="00FF1844" w:rsidRDefault="00FF1844" w:rsidP="00FF1844">
            <w:pPr>
              <w:pStyle w:val="Tablewriting"/>
            </w:pPr>
            <w:r>
              <w:t>5562R (OP)</w:t>
            </w:r>
          </w:p>
        </w:tc>
        <w:tc>
          <w:tcPr>
            <w:tcW w:w="0" w:type="auto"/>
            <w:shd w:val="clear" w:color="auto" w:fill="auto"/>
          </w:tcPr>
          <w:p w:rsidR="00FF1844" w:rsidRPr="00412908" w:rsidRDefault="00FF1844" w:rsidP="00A35800">
            <w:pPr>
              <w:pStyle w:val="Tablewriting"/>
            </w:pPr>
            <w:r w:rsidRPr="00FF1844">
              <w:t>brinzolamide 1% + timolol 0.5% eye drops, 5 mL</w:t>
            </w:r>
          </w:p>
        </w:tc>
        <w:tc>
          <w:tcPr>
            <w:tcW w:w="0" w:type="auto"/>
            <w:shd w:val="clear" w:color="auto" w:fill="auto"/>
          </w:tcPr>
          <w:p w:rsidR="00FF1844" w:rsidRDefault="00FF1844" w:rsidP="00A35800">
            <w:pPr>
              <w:pStyle w:val="Tablewriting"/>
            </w:pPr>
            <w:r>
              <w:t>1</w:t>
            </w:r>
          </w:p>
        </w:tc>
        <w:tc>
          <w:tcPr>
            <w:tcW w:w="0" w:type="auto"/>
            <w:shd w:val="clear" w:color="auto" w:fill="auto"/>
          </w:tcPr>
          <w:p w:rsidR="00FF1844" w:rsidRDefault="00FF1844" w:rsidP="00A35800">
            <w:pPr>
              <w:pStyle w:val="Tablewriting"/>
            </w:pPr>
            <w:r>
              <w:t>5</w:t>
            </w:r>
          </w:p>
        </w:tc>
        <w:tc>
          <w:tcPr>
            <w:tcW w:w="0" w:type="auto"/>
            <w:shd w:val="clear" w:color="auto" w:fill="auto"/>
          </w:tcPr>
          <w:p w:rsidR="00FF1844" w:rsidRDefault="00FF1844" w:rsidP="00A35800">
            <w:pPr>
              <w:pStyle w:val="Tablewriting"/>
            </w:pPr>
            <w:r>
              <w:t>$28.21</w:t>
            </w:r>
          </w:p>
        </w:tc>
        <w:tc>
          <w:tcPr>
            <w:tcW w:w="0" w:type="auto"/>
            <w:shd w:val="clear" w:color="auto" w:fill="auto"/>
          </w:tcPr>
          <w:p w:rsidR="00FF1844" w:rsidRDefault="00FF1844" w:rsidP="00FB595E">
            <w:pPr>
              <w:pStyle w:val="Tablewriting"/>
            </w:pPr>
            <w:r>
              <w:t xml:space="preserve">Azarga </w:t>
            </w:r>
          </w:p>
          <w:p w:rsidR="00FB595E" w:rsidRPr="00412908"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D778BE" w:rsidP="00A35800">
            <w:pPr>
              <w:pStyle w:val="Tablewriting"/>
            </w:pPr>
            <w:r>
              <w:t>8488R</w:t>
            </w:r>
          </w:p>
          <w:p w:rsidR="00D778BE" w:rsidRPr="00412908" w:rsidRDefault="00D778BE" w:rsidP="00A35800">
            <w:pPr>
              <w:pStyle w:val="Tablewriting"/>
            </w:pPr>
            <w:r w:rsidRPr="00D778BE">
              <w:t>5541P</w:t>
            </w:r>
            <w:r>
              <w:t xml:space="preserve"> (OP)</w:t>
            </w:r>
          </w:p>
        </w:tc>
        <w:tc>
          <w:tcPr>
            <w:tcW w:w="0" w:type="auto"/>
            <w:shd w:val="clear" w:color="auto" w:fill="auto"/>
          </w:tcPr>
          <w:p w:rsidR="00FF1844" w:rsidRPr="00412908" w:rsidRDefault="00D778BE" w:rsidP="00A35800">
            <w:pPr>
              <w:pStyle w:val="Tablewriting"/>
            </w:pPr>
            <w:r w:rsidRPr="00D778BE">
              <w:t>dorzolamide 2% (20 mg/mL) eye drops, 5 mL</w:t>
            </w:r>
          </w:p>
        </w:tc>
        <w:tc>
          <w:tcPr>
            <w:tcW w:w="0" w:type="auto"/>
            <w:shd w:val="clear" w:color="auto" w:fill="auto"/>
          </w:tcPr>
          <w:p w:rsidR="00FF1844" w:rsidRDefault="00D778BE" w:rsidP="00A35800">
            <w:pPr>
              <w:pStyle w:val="Tablewriting"/>
            </w:pPr>
            <w:r>
              <w:t>1</w:t>
            </w:r>
          </w:p>
        </w:tc>
        <w:tc>
          <w:tcPr>
            <w:tcW w:w="0" w:type="auto"/>
            <w:shd w:val="clear" w:color="auto" w:fill="auto"/>
          </w:tcPr>
          <w:p w:rsidR="00FF1844" w:rsidRDefault="00D778BE" w:rsidP="00A35800">
            <w:pPr>
              <w:pStyle w:val="Tablewriting"/>
            </w:pPr>
            <w:r>
              <w:t>5</w:t>
            </w:r>
          </w:p>
        </w:tc>
        <w:tc>
          <w:tcPr>
            <w:tcW w:w="0" w:type="auto"/>
            <w:shd w:val="clear" w:color="auto" w:fill="auto"/>
          </w:tcPr>
          <w:p w:rsidR="00FF1844" w:rsidRDefault="00D778BE" w:rsidP="00A35800">
            <w:pPr>
              <w:pStyle w:val="Tablewriting"/>
            </w:pPr>
            <w:r>
              <w:t>$21.29</w:t>
            </w:r>
          </w:p>
        </w:tc>
        <w:tc>
          <w:tcPr>
            <w:tcW w:w="0" w:type="auto"/>
            <w:shd w:val="clear" w:color="auto" w:fill="auto"/>
          </w:tcPr>
          <w:p w:rsidR="00FF1844" w:rsidRDefault="00D778BE" w:rsidP="00A35800">
            <w:pPr>
              <w:pStyle w:val="Tablewriting"/>
            </w:pPr>
            <w:r w:rsidRPr="00D778BE">
              <w:t xml:space="preserve">Trusamide </w:t>
            </w:r>
          </w:p>
          <w:p w:rsidR="00853F89" w:rsidRDefault="00853F89" w:rsidP="00A35800">
            <w:pPr>
              <w:pStyle w:val="Tablewriting"/>
            </w:pPr>
            <w:r w:rsidRPr="00853F89">
              <w:t>Aspen Pharma Pty Ltd</w:t>
            </w:r>
          </w:p>
          <w:p w:rsidR="00D778BE" w:rsidRPr="00412908" w:rsidRDefault="00D778BE" w:rsidP="00A35800">
            <w:pPr>
              <w:pStyle w:val="Tablewriting"/>
            </w:pPr>
            <w:r w:rsidRPr="00D778BE">
              <w:t xml:space="preserve">Trusopt </w:t>
            </w:r>
            <w:r w:rsidR="00B6686D" w:rsidRPr="00B6686D">
              <w:t>Merck Sharp &amp; Dohme (Australia) Pty Ltd</w:t>
            </w:r>
          </w:p>
        </w:tc>
      </w:tr>
      <w:tr w:rsidR="00FF1844" w:rsidRPr="00A35800" w:rsidTr="00AC6C4C">
        <w:trPr>
          <w:cantSplit/>
          <w:trHeight w:val="546"/>
        </w:trPr>
        <w:tc>
          <w:tcPr>
            <w:tcW w:w="0" w:type="auto"/>
            <w:shd w:val="clear" w:color="auto" w:fill="auto"/>
          </w:tcPr>
          <w:p w:rsidR="00FF1844" w:rsidRDefault="00D778BE" w:rsidP="00A35800">
            <w:pPr>
              <w:pStyle w:val="Tablewriting"/>
            </w:pPr>
            <w:r>
              <w:lastRenderedPageBreak/>
              <w:t>8567X</w:t>
            </w:r>
          </w:p>
          <w:p w:rsidR="00D778BE" w:rsidRPr="00A35800" w:rsidRDefault="00D778BE" w:rsidP="00A35800">
            <w:pPr>
              <w:pStyle w:val="Tablewriting"/>
            </w:pPr>
            <w:r w:rsidRPr="00D778BE">
              <w:t>5542Q</w:t>
            </w:r>
            <w:r>
              <w:t xml:space="preserve"> (OP)</w:t>
            </w:r>
          </w:p>
        </w:tc>
        <w:tc>
          <w:tcPr>
            <w:tcW w:w="0" w:type="auto"/>
            <w:shd w:val="clear" w:color="auto" w:fill="auto"/>
          </w:tcPr>
          <w:p w:rsidR="00FF1844" w:rsidRPr="00A35800" w:rsidRDefault="00D778BE" w:rsidP="00A35800">
            <w:pPr>
              <w:pStyle w:val="Tablewriting"/>
            </w:pPr>
            <w:r w:rsidRPr="00D778BE">
              <w:t>dorzolamide 2% + timolol 0.5% eye drops, 5 mL</w:t>
            </w:r>
          </w:p>
        </w:tc>
        <w:tc>
          <w:tcPr>
            <w:tcW w:w="0" w:type="auto"/>
            <w:shd w:val="clear" w:color="auto" w:fill="auto"/>
          </w:tcPr>
          <w:p w:rsidR="00FF1844" w:rsidRPr="00A35800" w:rsidRDefault="00D778BE" w:rsidP="00A35800">
            <w:pPr>
              <w:pStyle w:val="Tablewriting"/>
            </w:pPr>
            <w:r>
              <w:t>1</w:t>
            </w:r>
          </w:p>
        </w:tc>
        <w:tc>
          <w:tcPr>
            <w:tcW w:w="0" w:type="auto"/>
            <w:shd w:val="clear" w:color="auto" w:fill="auto"/>
          </w:tcPr>
          <w:p w:rsidR="00FF1844" w:rsidRPr="00A35800" w:rsidRDefault="00D778BE" w:rsidP="00A35800">
            <w:pPr>
              <w:pStyle w:val="Tablewriting"/>
            </w:pPr>
            <w:r>
              <w:t>5</w:t>
            </w:r>
          </w:p>
        </w:tc>
        <w:tc>
          <w:tcPr>
            <w:tcW w:w="0" w:type="auto"/>
            <w:shd w:val="clear" w:color="auto" w:fill="auto"/>
          </w:tcPr>
          <w:p w:rsidR="00FF1844" w:rsidRPr="00A35800" w:rsidRDefault="00D778BE" w:rsidP="00A35800">
            <w:pPr>
              <w:pStyle w:val="Tablewriting"/>
            </w:pPr>
            <w:r>
              <w:t>$25.58</w:t>
            </w:r>
          </w:p>
        </w:tc>
        <w:tc>
          <w:tcPr>
            <w:tcW w:w="0" w:type="auto"/>
            <w:shd w:val="clear" w:color="auto" w:fill="auto"/>
          </w:tcPr>
          <w:p w:rsidR="00FF1844" w:rsidRDefault="00D778BE" w:rsidP="00A35800">
            <w:pPr>
              <w:pStyle w:val="Tablewriting"/>
            </w:pPr>
            <w:r>
              <w:t xml:space="preserve">Cosdor </w:t>
            </w:r>
          </w:p>
          <w:p w:rsidR="00853F89" w:rsidRDefault="00853F89" w:rsidP="00A35800">
            <w:pPr>
              <w:pStyle w:val="Tablewriting"/>
            </w:pPr>
            <w:r w:rsidRPr="00853F89">
              <w:t>Aspen Pharma Pty Ltd</w:t>
            </w:r>
          </w:p>
          <w:p w:rsidR="00D778BE" w:rsidRDefault="00D778BE" w:rsidP="00A35800">
            <w:pPr>
              <w:pStyle w:val="Tablewriting"/>
            </w:pPr>
            <w:r w:rsidRPr="00D778BE">
              <w:t xml:space="preserve">Dorzolamide/Timolol Sandoz 20/5 </w:t>
            </w:r>
          </w:p>
          <w:p w:rsidR="00B6686D" w:rsidRDefault="00B6686D" w:rsidP="00A35800">
            <w:pPr>
              <w:pStyle w:val="Tablewriting"/>
            </w:pPr>
            <w:r w:rsidRPr="00B6686D">
              <w:t>Sandoz Pty Ltd</w:t>
            </w:r>
          </w:p>
          <w:p w:rsidR="00D778BE" w:rsidRDefault="00D778BE" w:rsidP="00853F89">
            <w:pPr>
              <w:pStyle w:val="Tablewriting"/>
            </w:pPr>
            <w:r w:rsidRPr="00D778BE">
              <w:t xml:space="preserve">Cosopt </w:t>
            </w:r>
          </w:p>
          <w:p w:rsidR="00853F89" w:rsidRPr="00A35800" w:rsidRDefault="00853F89" w:rsidP="00853F89">
            <w:pPr>
              <w:pStyle w:val="Tablewriting"/>
            </w:pPr>
            <w:r w:rsidRPr="00853F89">
              <w:t>Merck Sharp &amp; Dohme (Australia) Pty Ltd</w:t>
            </w:r>
          </w:p>
        </w:tc>
      </w:tr>
      <w:tr w:rsidR="00FF1844" w:rsidRPr="00A35800" w:rsidTr="00AC6C4C">
        <w:trPr>
          <w:cantSplit/>
          <w:trHeight w:val="546"/>
        </w:trPr>
        <w:tc>
          <w:tcPr>
            <w:tcW w:w="0" w:type="auto"/>
            <w:shd w:val="clear" w:color="auto" w:fill="auto"/>
          </w:tcPr>
          <w:p w:rsidR="00FF1844" w:rsidRDefault="00D778BE" w:rsidP="00A35800">
            <w:pPr>
              <w:pStyle w:val="Tablewriting"/>
            </w:pPr>
            <w:r w:rsidRPr="00D778BE">
              <w:t>2811Y</w:t>
            </w:r>
          </w:p>
          <w:p w:rsidR="00D778BE" w:rsidRPr="00A35800" w:rsidRDefault="00D778BE" w:rsidP="00A35800">
            <w:pPr>
              <w:pStyle w:val="Tablewriting"/>
            </w:pPr>
            <w:r w:rsidRPr="00D778BE">
              <w:t>5543R</w:t>
            </w:r>
            <w:r>
              <w:t xml:space="preserve"> (OP)</w:t>
            </w:r>
          </w:p>
        </w:tc>
        <w:tc>
          <w:tcPr>
            <w:tcW w:w="0" w:type="auto"/>
            <w:shd w:val="clear" w:color="auto" w:fill="auto"/>
          </w:tcPr>
          <w:p w:rsidR="00FF1844" w:rsidRPr="00A35800" w:rsidRDefault="00D778BE" w:rsidP="00A35800">
            <w:pPr>
              <w:pStyle w:val="Tablewriting"/>
            </w:pPr>
            <w:r w:rsidRPr="00D778BE">
              <w:t>betaxolol 0.25% eye drops, 5 mL</w:t>
            </w:r>
          </w:p>
        </w:tc>
        <w:tc>
          <w:tcPr>
            <w:tcW w:w="0" w:type="auto"/>
            <w:shd w:val="clear" w:color="auto" w:fill="auto"/>
          </w:tcPr>
          <w:p w:rsidR="00FF1844" w:rsidRPr="00A35800" w:rsidRDefault="00D778BE" w:rsidP="00A35800">
            <w:pPr>
              <w:pStyle w:val="Tablewriting"/>
            </w:pPr>
            <w:r>
              <w:t>1</w:t>
            </w:r>
          </w:p>
        </w:tc>
        <w:tc>
          <w:tcPr>
            <w:tcW w:w="0" w:type="auto"/>
            <w:shd w:val="clear" w:color="auto" w:fill="auto"/>
          </w:tcPr>
          <w:p w:rsidR="00FF1844" w:rsidRPr="00A35800" w:rsidRDefault="00D778BE" w:rsidP="00A35800">
            <w:pPr>
              <w:pStyle w:val="Tablewriting"/>
            </w:pPr>
            <w:r>
              <w:t>5</w:t>
            </w:r>
          </w:p>
        </w:tc>
        <w:tc>
          <w:tcPr>
            <w:tcW w:w="0" w:type="auto"/>
            <w:shd w:val="clear" w:color="auto" w:fill="auto"/>
          </w:tcPr>
          <w:p w:rsidR="00FF1844" w:rsidRPr="00A35800" w:rsidRDefault="00D778BE" w:rsidP="00A35800">
            <w:pPr>
              <w:pStyle w:val="Tablewriting"/>
            </w:pPr>
            <w:r>
              <w:t>$17.68</w:t>
            </w:r>
            <w:r w:rsidR="00AD5BB5">
              <w:t>/ $20.76</w:t>
            </w:r>
          </w:p>
        </w:tc>
        <w:tc>
          <w:tcPr>
            <w:tcW w:w="0" w:type="auto"/>
            <w:shd w:val="clear" w:color="auto" w:fill="auto"/>
          </w:tcPr>
          <w:p w:rsidR="00FF1844" w:rsidRDefault="00D778BE" w:rsidP="00FB595E">
            <w:pPr>
              <w:pStyle w:val="Tablewriting"/>
            </w:pPr>
            <w:r w:rsidRPr="00D778BE">
              <w:t xml:space="preserve">Betoptic S </w:t>
            </w:r>
          </w:p>
          <w:p w:rsidR="00FB595E" w:rsidRPr="00A35800"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D778BE" w:rsidP="00A35800">
            <w:pPr>
              <w:pStyle w:val="Tablewriting"/>
            </w:pPr>
            <w:r>
              <w:t>2825Q</w:t>
            </w:r>
          </w:p>
          <w:p w:rsidR="00D778BE" w:rsidRPr="00A35800" w:rsidRDefault="00D778BE" w:rsidP="00A35800">
            <w:pPr>
              <w:pStyle w:val="Tablewriting"/>
            </w:pPr>
            <w:r>
              <w:t>5544T</w:t>
            </w:r>
            <w:r w:rsidR="00FD2554">
              <w:t xml:space="preserve"> (OP)</w:t>
            </w:r>
          </w:p>
        </w:tc>
        <w:tc>
          <w:tcPr>
            <w:tcW w:w="0" w:type="auto"/>
            <w:shd w:val="clear" w:color="auto" w:fill="auto"/>
          </w:tcPr>
          <w:p w:rsidR="00FF1844" w:rsidRPr="00A35800" w:rsidRDefault="00D778BE" w:rsidP="00A35800">
            <w:pPr>
              <w:pStyle w:val="Tablewriting"/>
            </w:pPr>
            <w:r w:rsidRPr="00D778BE">
              <w:t>betaxolol 0.5% eye drops, 5 mL</w:t>
            </w:r>
          </w:p>
        </w:tc>
        <w:tc>
          <w:tcPr>
            <w:tcW w:w="0" w:type="auto"/>
            <w:shd w:val="clear" w:color="auto" w:fill="auto"/>
          </w:tcPr>
          <w:p w:rsidR="00FF1844" w:rsidRPr="00A35800" w:rsidRDefault="00D778BE" w:rsidP="00A35800">
            <w:pPr>
              <w:pStyle w:val="Tablewriting"/>
            </w:pPr>
            <w:r>
              <w:t>1</w:t>
            </w:r>
          </w:p>
        </w:tc>
        <w:tc>
          <w:tcPr>
            <w:tcW w:w="0" w:type="auto"/>
            <w:shd w:val="clear" w:color="auto" w:fill="auto"/>
          </w:tcPr>
          <w:p w:rsidR="00FF1844" w:rsidRPr="00A35800" w:rsidRDefault="00D778BE" w:rsidP="00A35800">
            <w:pPr>
              <w:pStyle w:val="Tablewriting"/>
            </w:pPr>
            <w:r>
              <w:t>5</w:t>
            </w:r>
          </w:p>
        </w:tc>
        <w:tc>
          <w:tcPr>
            <w:tcW w:w="0" w:type="auto"/>
            <w:shd w:val="clear" w:color="auto" w:fill="auto"/>
          </w:tcPr>
          <w:p w:rsidR="00FF1844" w:rsidRPr="00A35800" w:rsidRDefault="00D778BE" w:rsidP="00A35800">
            <w:pPr>
              <w:pStyle w:val="Tablewriting"/>
            </w:pPr>
            <w:r>
              <w:t>$17.68</w:t>
            </w:r>
          </w:p>
        </w:tc>
        <w:tc>
          <w:tcPr>
            <w:tcW w:w="0" w:type="auto"/>
            <w:shd w:val="clear" w:color="auto" w:fill="auto"/>
          </w:tcPr>
          <w:p w:rsidR="00FF1844" w:rsidRDefault="00D778BE" w:rsidP="00D778BE">
            <w:pPr>
              <w:pStyle w:val="Tablewriting"/>
            </w:pPr>
            <w:r w:rsidRPr="00D778BE">
              <w:t xml:space="preserve">BetoQuin </w:t>
            </w:r>
          </w:p>
          <w:p w:rsidR="00853F89" w:rsidRDefault="00853F89" w:rsidP="00D778BE">
            <w:pPr>
              <w:pStyle w:val="Tablewriting"/>
            </w:pPr>
            <w:r w:rsidRPr="00853F89">
              <w:t>Alcon Laboratories (Australia) Pty Ltd</w:t>
            </w:r>
          </w:p>
          <w:p w:rsidR="00D778BE" w:rsidRDefault="00D778BE" w:rsidP="00FB595E">
            <w:pPr>
              <w:pStyle w:val="Tablewriting"/>
            </w:pPr>
            <w:r w:rsidRPr="00D778BE">
              <w:t xml:space="preserve">Betoptic </w:t>
            </w:r>
          </w:p>
          <w:p w:rsidR="00FB595E" w:rsidRPr="00A35800" w:rsidRDefault="00FB595E" w:rsidP="00FB595E">
            <w:pPr>
              <w:pStyle w:val="Tablewriting"/>
            </w:pPr>
            <w:r w:rsidRPr="00FB595E">
              <w:t>Alcon Laboratories (Australia) Pty Ltd</w:t>
            </w:r>
          </w:p>
        </w:tc>
      </w:tr>
      <w:tr w:rsidR="00FF1844" w:rsidRPr="00A35800" w:rsidTr="00AC6C4C">
        <w:trPr>
          <w:cantSplit/>
          <w:trHeight w:val="546"/>
        </w:trPr>
        <w:tc>
          <w:tcPr>
            <w:tcW w:w="0" w:type="auto"/>
            <w:shd w:val="clear" w:color="auto" w:fill="auto"/>
          </w:tcPr>
          <w:p w:rsidR="00FF1844" w:rsidRDefault="00FD2554" w:rsidP="00A35800">
            <w:pPr>
              <w:pStyle w:val="Tablewriting"/>
            </w:pPr>
            <w:r>
              <w:t>8803H</w:t>
            </w:r>
          </w:p>
          <w:p w:rsidR="00FD2554" w:rsidRPr="00A35800" w:rsidRDefault="00FD2554" w:rsidP="00A35800">
            <w:pPr>
              <w:pStyle w:val="Tablewriting"/>
            </w:pPr>
            <w:r>
              <w:t>5546X (OP)</w:t>
            </w:r>
          </w:p>
        </w:tc>
        <w:tc>
          <w:tcPr>
            <w:tcW w:w="0" w:type="auto"/>
            <w:shd w:val="clear" w:color="auto" w:fill="auto"/>
          </w:tcPr>
          <w:p w:rsidR="00FF1844" w:rsidRPr="00A35800" w:rsidRDefault="00FD2554" w:rsidP="00A35800">
            <w:pPr>
              <w:pStyle w:val="Tablewriting"/>
            </w:pPr>
            <w:r w:rsidRPr="00FD2554">
              <w:t>timolol 0.1% eye gel, 5 g</w:t>
            </w:r>
          </w:p>
        </w:tc>
        <w:tc>
          <w:tcPr>
            <w:tcW w:w="0" w:type="auto"/>
            <w:shd w:val="clear" w:color="auto" w:fill="auto"/>
          </w:tcPr>
          <w:p w:rsidR="00FF1844" w:rsidRPr="00A35800" w:rsidRDefault="00FD2554" w:rsidP="00A35800">
            <w:pPr>
              <w:pStyle w:val="Tablewriting"/>
            </w:pPr>
            <w:r>
              <w:t>1</w:t>
            </w:r>
          </w:p>
        </w:tc>
        <w:tc>
          <w:tcPr>
            <w:tcW w:w="0" w:type="auto"/>
            <w:shd w:val="clear" w:color="auto" w:fill="auto"/>
          </w:tcPr>
          <w:p w:rsidR="00FF1844" w:rsidRPr="00A35800" w:rsidRDefault="00FD2554" w:rsidP="00A35800">
            <w:pPr>
              <w:pStyle w:val="Tablewriting"/>
            </w:pPr>
            <w:r>
              <w:t>5</w:t>
            </w:r>
          </w:p>
        </w:tc>
        <w:tc>
          <w:tcPr>
            <w:tcW w:w="0" w:type="auto"/>
            <w:shd w:val="clear" w:color="auto" w:fill="auto"/>
          </w:tcPr>
          <w:p w:rsidR="00FF1844" w:rsidRPr="00A35800" w:rsidRDefault="00FD2554" w:rsidP="00A35800">
            <w:pPr>
              <w:pStyle w:val="Tablewriting"/>
            </w:pPr>
            <w:r>
              <w:t>$16.03</w:t>
            </w:r>
          </w:p>
        </w:tc>
        <w:tc>
          <w:tcPr>
            <w:tcW w:w="0" w:type="auto"/>
            <w:shd w:val="clear" w:color="auto" w:fill="auto"/>
          </w:tcPr>
          <w:p w:rsidR="00FF1844" w:rsidRDefault="00FD2554" w:rsidP="00853F89">
            <w:pPr>
              <w:pStyle w:val="Tablewriting"/>
            </w:pPr>
            <w:r w:rsidRPr="00FD2554">
              <w:t xml:space="preserve">Nyogel </w:t>
            </w:r>
          </w:p>
          <w:p w:rsidR="00853F89" w:rsidRPr="00A35800" w:rsidRDefault="00853F89" w:rsidP="00853F89">
            <w:pPr>
              <w:pStyle w:val="Tablewriting"/>
            </w:pPr>
            <w:r w:rsidRPr="00853F89">
              <w:t>Aspen Pharmacare Australia Pty Limited</w:t>
            </w:r>
          </w:p>
        </w:tc>
      </w:tr>
      <w:tr w:rsidR="00FF1844" w:rsidRPr="00A35800" w:rsidTr="00AC6C4C">
        <w:trPr>
          <w:cantSplit/>
          <w:trHeight w:val="546"/>
        </w:trPr>
        <w:tc>
          <w:tcPr>
            <w:tcW w:w="0" w:type="auto"/>
            <w:shd w:val="clear" w:color="auto" w:fill="auto"/>
          </w:tcPr>
          <w:p w:rsidR="00FF1844" w:rsidRDefault="00FD2554" w:rsidP="00A35800">
            <w:pPr>
              <w:pStyle w:val="Tablewriting"/>
            </w:pPr>
            <w:r>
              <w:t>1925H</w:t>
            </w:r>
          </w:p>
          <w:p w:rsidR="00FD2554" w:rsidRPr="00A35800" w:rsidRDefault="00FD2554" w:rsidP="00A35800">
            <w:pPr>
              <w:pStyle w:val="Tablewriting"/>
            </w:pPr>
            <w:r>
              <w:t>5549C</w:t>
            </w:r>
            <w:r w:rsidR="007A0324">
              <w:t xml:space="preserve"> (OP)</w:t>
            </w:r>
          </w:p>
        </w:tc>
        <w:tc>
          <w:tcPr>
            <w:tcW w:w="0" w:type="auto"/>
            <w:shd w:val="clear" w:color="auto" w:fill="auto"/>
          </w:tcPr>
          <w:p w:rsidR="00FF1844" w:rsidRPr="00A35800" w:rsidRDefault="00FD2554" w:rsidP="00A35800">
            <w:pPr>
              <w:pStyle w:val="Tablewriting"/>
            </w:pPr>
            <w:r w:rsidRPr="00FD2554">
              <w:t>timolol 0.25% (2.5 mg/mL) eye drops, 2.5 mL</w:t>
            </w:r>
          </w:p>
        </w:tc>
        <w:tc>
          <w:tcPr>
            <w:tcW w:w="0" w:type="auto"/>
            <w:shd w:val="clear" w:color="auto" w:fill="auto"/>
          </w:tcPr>
          <w:p w:rsidR="00FF1844" w:rsidRPr="00A35800" w:rsidRDefault="00FD2554" w:rsidP="00A35800">
            <w:pPr>
              <w:pStyle w:val="Tablewriting"/>
            </w:pPr>
            <w:r>
              <w:t>1</w:t>
            </w:r>
          </w:p>
        </w:tc>
        <w:tc>
          <w:tcPr>
            <w:tcW w:w="0" w:type="auto"/>
            <w:shd w:val="clear" w:color="auto" w:fill="auto"/>
          </w:tcPr>
          <w:p w:rsidR="00FF1844" w:rsidRPr="00A35800" w:rsidRDefault="00FD2554" w:rsidP="00A35800">
            <w:pPr>
              <w:pStyle w:val="Tablewriting"/>
            </w:pPr>
            <w:r>
              <w:t>5</w:t>
            </w:r>
          </w:p>
        </w:tc>
        <w:tc>
          <w:tcPr>
            <w:tcW w:w="0" w:type="auto"/>
            <w:shd w:val="clear" w:color="auto" w:fill="auto"/>
          </w:tcPr>
          <w:p w:rsidR="00FF1844" w:rsidRPr="00A35800" w:rsidRDefault="00FD2554" w:rsidP="00A35800">
            <w:pPr>
              <w:pStyle w:val="Tablewriting"/>
            </w:pPr>
            <w:r>
              <w:t>$14.87</w:t>
            </w:r>
          </w:p>
        </w:tc>
        <w:tc>
          <w:tcPr>
            <w:tcW w:w="0" w:type="auto"/>
            <w:shd w:val="clear" w:color="auto" w:fill="auto"/>
          </w:tcPr>
          <w:p w:rsidR="00FF1844" w:rsidRDefault="00FD2554" w:rsidP="00853F89">
            <w:pPr>
              <w:pStyle w:val="Tablewriting"/>
            </w:pPr>
            <w:r w:rsidRPr="00FD2554">
              <w:t xml:space="preserve">Timoptol XE </w:t>
            </w:r>
          </w:p>
          <w:p w:rsidR="00853F89" w:rsidRPr="00A35800" w:rsidRDefault="00853F89" w:rsidP="00853F89">
            <w:pPr>
              <w:pStyle w:val="Tablewriting"/>
            </w:pPr>
            <w:r w:rsidRPr="00853F89">
              <w:t>Merck Sharp &amp; Dohme (Australia) Pty Ltd</w:t>
            </w:r>
          </w:p>
        </w:tc>
      </w:tr>
      <w:tr w:rsidR="00FF1844" w:rsidRPr="00A35800" w:rsidTr="00AC6C4C">
        <w:trPr>
          <w:cantSplit/>
          <w:trHeight w:val="546"/>
        </w:trPr>
        <w:tc>
          <w:tcPr>
            <w:tcW w:w="0" w:type="auto"/>
            <w:shd w:val="clear" w:color="auto" w:fill="auto"/>
          </w:tcPr>
          <w:p w:rsidR="00FF1844" w:rsidRDefault="00FD2554" w:rsidP="00A35800">
            <w:pPr>
              <w:pStyle w:val="Tablewriting"/>
            </w:pPr>
            <w:r>
              <w:t>1926J</w:t>
            </w:r>
          </w:p>
          <w:p w:rsidR="00FD2554" w:rsidRPr="00A35800" w:rsidRDefault="00FD2554" w:rsidP="00A35800">
            <w:pPr>
              <w:pStyle w:val="Tablewriting"/>
            </w:pPr>
            <w:r>
              <w:t>5550D</w:t>
            </w:r>
            <w:r w:rsidR="007A0324">
              <w:t xml:space="preserve"> (OP)</w:t>
            </w:r>
          </w:p>
        </w:tc>
        <w:tc>
          <w:tcPr>
            <w:tcW w:w="0" w:type="auto"/>
            <w:shd w:val="clear" w:color="auto" w:fill="auto"/>
          </w:tcPr>
          <w:p w:rsidR="00FF1844" w:rsidRPr="00A35800" w:rsidRDefault="00FD2554" w:rsidP="00A35800">
            <w:pPr>
              <w:pStyle w:val="Tablewriting"/>
            </w:pPr>
            <w:r w:rsidRPr="00FD2554">
              <w:t>timolol 0.5% (5 mg/mL) eye drops, 2.5 mL</w:t>
            </w:r>
          </w:p>
        </w:tc>
        <w:tc>
          <w:tcPr>
            <w:tcW w:w="0" w:type="auto"/>
            <w:shd w:val="clear" w:color="auto" w:fill="auto"/>
          </w:tcPr>
          <w:p w:rsidR="00FF1844" w:rsidRPr="00A35800" w:rsidRDefault="00FD2554" w:rsidP="00A35800">
            <w:pPr>
              <w:pStyle w:val="Tablewriting"/>
            </w:pPr>
            <w:r>
              <w:t>1</w:t>
            </w:r>
          </w:p>
        </w:tc>
        <w:tc>
          <w:tcPr>
            <w:tcW w:w="0" w:type="auto"/>
            <w:shd w:val="clear" w:color="auto" w:fill="auto"/>
          </w:tcPr>
          <w:p w:rsidR="00FF1844" w:rsidRPr="00A35800" w:rsidRDefault="00FD2554" w:rsidP="00A35800">
            <w:pPr>
              <w:pStyle w:val="Tablewriting"/>
            </w:pPr>
            <w:r>
              <w:t>5</w:t>
            </w:r>
          </w:p>
        </w:tc>
        <w:tc>
          <w:tcPr>
            <w:tcW w:w="0" w:type="auto"/>
            <w:shd w:val="clear" w:color="auto" w:fill="auto"/>
          </w:tcPr>
          <w:p w:rsidR="00FF1844" w:rsidRPr="00A35800" w:rsidRDefault="00FD2554" w:rsidP="00A35800">
            <w:pPr>
              <w:pStyle w:val="Tablewriting"/>
            </w:pPr>
            <w:r>
              <w:t>$15.54</w:t>
            </w:r>
          </w:p>
        </w:tc>
        <w:tc>
          <w:tcPr>
            <w:tcW w:w="0" w:type="auto"/>
            <w:shd w:val="clear" w:color="auto" w:fill="auto"/>
          </w:tcPr>
          <w:p w:rsidR="00FF1844" w:rsidRDefault="00FD2554" w:rsidP="00853F89">
            <w:pPr>
              <w:pStyle w:val="Tablewriting"/>
            </w:pPr>
            <w:r w:rsidRPr="00FD2554">
              <w:t xml:space="preserve">Timoptol XE </w:t>
            </w:r>
          </w:p>
          <w:p w:rsidR="00853F89" w:rsidRPr="00A35800" w:rsidRDefault="00853F89" w:rsidP="00853F89">
            <w:pPr>
              <w:pStyle w:val="Tablewriting"/>
            </w:pPr>
            <w:r w:rsidRPr="00853F89">
              <w:t>Merck Sharp &amp; Dohme (Australia) Pty Ltd</w:t>
            </w:r>
          </w:p>
        </w:tc>
      </w:tr>
      <w:tr w:rsidR="00FD2554" w:rsidRPr="00A35800" w:rsidTr="00AC6C4C">
        <w:trPr>
          <w:cantSplit/>
          <w:trHeight w:val="546"/>
        </w:trPr>
        <w:tc>
          <w:tcPr>
            <w:tcW w:w="0" w:type="auto"/>
            <w:shd w:val="clear" w:color="auto" w:fill="auto"/>
          </w:tcPr>
          <w:p w:rsidR="00FD2554" w:rsidRDefault="00FD2554" w:rsidP="00A35800">
            <w:pPr>
              <w:pStyle w:val="Tablewriting"/>
            </w:pPr>
            <w:r>
              <w:t>1279H</w:t>
            </w:r>
          </w:p>
          <w:p w:rsidR="00FD2554" w:rsidRPr="00A35800" w:rsidRDefault="00FD2554" w:rsidP="00A35800">
            <w:pPr>
              <w:pStyle w:val="Tablewriting"/>
            </w:pPr>
            <w:r>
              <w:t>5548B</w:t>
            </w:r>
            <w:r w:rsidR="007A0324">
              <w:t xml:space="preserve"> (OP)</w:t>
            </w:r>
          </w:p>
        </w:tc>
        <w:tc>
          <w:tcPr>
            <w:tcW w:w="0" w:type="auto"/>
            <w:shd w:val="clear" w:color="auto" w:fill="auto"/>
          </w:tcPr>
          <w:p w:rsidR="00FD2554" w:rsidRPr="00A35800" w:rsidRDefault="00FD2554" w:rsidP="00FD2554">
            <w:pPr>
              <w:pStyle w:val="Tablewriting"/>
            </w:pPr>
            <w:r w:rsidRPr="00FD2554">
              <w:t>timolol 0.5% (5 mg/mL) eye drops, 5 mL</w:t>
            </w:r>
          </w:p>
        </w:tc>
        <w:tc>
          <w:tcPr>
            <w:tcW w:w="0" w:type="auto"/>
            <w:shd w:val="clear" w:color="auto" w:fill="auto"/>
          </w:tcPr>
          <w:p w:rsidR="00FD2554" w:rsidRPr="00A35800" w:rsidRDefault="00FD2554" w:rsidP="00A35800">
            <w:pPr>
              <w:pStyle w:val="Tablewriting"/>
            </w:pPr>
            <w:r>
              <w:t>1</w:t>
            </w:r>
          </w:p>
        </w:tc>
        <w:tc>
          <w:tcPr>
            <w:tcW w:w="0" w:type="auto"/>
            <w:shd w:val="clear" w:color="auto" w:fill="auto"/>
          </w:tcPr>
          <w:p w:rsidR="00FD2554" w:rsidRPr="00A35800" w:rsidRDefault="00FD2554" w:rsidP="00A35800">
            <w:pPr>
              <w:pStyle w:val="Tablewriting"/>
            </w:pPr>
            <w:r>
              <w:t>5</w:t>
            </w:r>
          </w:p>
        </w:tc>
        <w:tc>
          <w:tcPr>
            <w:tcW w:w="0" w:type="auto"/>
            <w:shd w:val="clear" w:color="auto" w:fill="auto"/>
          </w:tcPr>
          <w:p w:rsidR="00FD2554" w:rsidRPr="00A35800" w:rsidRDefault="00FD2554" w:rsidP="00A35800">
            <w:pPr>
              <w:pStyle w:val="Tablewriting"/>
            </w:pPr>
            <w:r>
              <w:t>$15.54</w:t>
            </w:r>
            <w:r w:rsidR="00507DF6">
              <w:t>/ $18.18</w:t>
            </w:r>
          </w:p>
        </w:tc>
        <w:tc>
          <w:tcPr>
            <w:tcW w:w="0" w:type="auto"/>
            <w:shd w:val="clear" w:color="auto" w:fill="auto"/>
          </w:tcPr>
          <w:p w:rsidR="00853F89" w:rsidRDefault="00FD2554" w:rsidP="00A35800">
            <w:pPr>
              <w:pStyle w:val="Tablewriting"/>
            </w:pPr>
            <w:r>
              <w:t xml:space="preserve">Tenopt </w:t>
            </w:r>
          </w:p>
          <w:p w:rsidR="00FD2554" w:rsidRDefault="00853F89" w:rsidP="00A35800">
            <w:pPr>
              <w:pStyle w:val="Tablewriting"/>
            </w:pPr>
            <w:r w:rsidRPr="00853F89">
              <w:t>Aspen Pharma Pty Ltd</w:t>
            </w:r>
          </w:p>
          <w:p w:rsidR="00FD2554" w:rsidRDefault="00FD2554" w:rsidP="00853F89">
            <w:pPr>
              <w:pStyle w:val="Tablewriting"/>
            </w:pPr>
            <w:r>
              <w:t xml:space="preserve">Timoptol </w:t>
            </w:r>
          </w:p>
          <w:p w:rsidR="00853F89" w:rsidRPr="00A35800" w:rsidRDefault="00853F89" w:rsidP="00853F89">
            <w:pPr>
              <w:pStyle w:val="Tablewriting"/>
            </w:pPr>
            <w:r w:rsidRPr="00853F89">
              <w:t>Merck Sharp &amp; Dohme (Australia) Pty Ltd</w:t>
            </w:r>
          </w:p>
        </w:tc>
      </w:tr>
      <w:tr w:rsidR="00FD2554" w:rsidRPr="00A35800" w:rsidTr="00AC6C4C">
        <w:trPr>
          <w:cantSplit/>
          <w:trHeight w:val="546"/>
        </w:trPr>
        <w:tc>
          <w:tcPr>
            <w:tcW w:w="0" w:type="auto"/>
            <w:shd w:val="clear" w:color="auto" w:fill="auto"/>
          </w:tcPr>
          <w:p w:rsidR="00FD2554" w:rsidRDefault="00211D0E" w:rsidP="00A35800">
            <w:pPr>
              <w:pStyle w:val="Tablewriting"/>
            </w:pPr>
            <w:r w:rsidRPr="00211D0E">
              <w:t>8620Q</w:t>
            </w:r>
          </w:p>
          <w:p w:rsidR="00211D0E" w:rsidRPr="00A35800" w:rsidRDefault="00211D0E" w:rsidP="00A35800">
            <w:pPr>
              <w:pStyle w:val="Tablewriting"/>
            </w:pPr>
            <w:r>
              <w:t>5551E</w:t>
            </w:r>
            <w:r w:rsidR="007A0324">
              <w:t xml:space="preserve"> (OP)</w:t>
            </w:r>
          </w:p>
        </w:tc>
        <w:tc>
          <w:tcPr>
            <w:tcW w:w="0" w:type="auto"/>
            <w:shd w:val="clear" w:color="auto" w:fill="auto"/>
          </w:tcPr>
          <w:p w:rsidR="00FD2554" w:rsidRPr="00A35800" w:rsidRDefault="00211D0E" w:rsidP="00A35800">
            <w:pPr>
              <w:pStyle w:val="Tablewriting"/>
            </w:pPr>
            <w:r w:rsidRPr="00211D0E">
              <w:t>bimatoprost 0.03% eye drops, 3 mL</w:t>
            </w:r>
          </w:p>
        </w:tc>
        <w:tc>
          <w:tcPr>
            <w:tcW w:w="0" w:type="auto"/>
            <w:shd w:val="clear" w:color="auto" w:fill="auto"/>
          </w:tcPr>
          <w:p w:rsidR="00FD2554" w:rsidRPr="00A35800" w:rsidRDefault="00211D0E" w:rsidP="00A35800">
            <w:pPr>
              <w:pStyle w:val="Tablewriting"/>
            </w:pPr>
            <w:r>
              <w:t>1</w:t>
            </w:r>
          </w:p>
        </w:tc>
        <w:tc>
          <w:tcPr>
            <w:tcW w:w="0" w:type="auto"/>
            <w:shd w:val="clear" w:color="auto" w:fill="auto"/>
          </w:tcPr>
          <w:p w:rsidR="00FD2554" w:rsidRPr="00A35800" w:rsidRDefault="00211D0E" w:rsidP="00A35800">
            <w:pPr>
              <w:pStyle w:val="Tablewriting"/>
            </w:pPr>
            <w:r>
              <w:t>5</w:t>
            </w:r>
          </w:p>
        </w:tc>
        <w:tc>
          <w:tcPr>
            <w:tcW w:w="0" w:type="auto"/>
            <w:shd w:val="clear" w:color="auto" w:fill="auto"/>
          </w:tcPr>
          <w:p w:rsidR="00FD2554" w:rsidRPr="00A35800" w:rsidRDefault="00211D0E" w:rsidP="00637AF9">
            <w:pPr>
              <w:pStyle w:val="Tablewriting"/>
            </w:pPr>
            <w:r>
              <w:t>$</w:t>
            </w:r>
            <w:r w:rsidR="00637AF9">
              <w:t>40.08</w:t>
            </w:r>
          </w:p>
        </w:tc>
        <w:tc>
          <w:tcPr>
            <w:tcW w:w="0" w:type="auto"/>
            <w:shd w:val="clear" w:color="auto" w:fill="auto"/>
          </w:tcPr>
          <w:p w:rsidR="00FD2554" w:rsidRDefault="00211D0E" w:rsidP="00853F89">
            <w:pPr>
              <w:pStyle w:val="Tablewriting"/>
            </w:pPr>
            <w:r w:rsidRPr="00211D0E">
              <w:t xml:space="preserve">Lumigan </w:t>
            </w:r>
          </w:p>
          <w:p w:rsidR="00853F89" w:rsidRPr="00A35800" w:rsidRDefault="00853F89" w:rsidP="00853F89">
            <w:pPr>
              <w:pStyle w:val="Tablewriting"/>
            </w:pPr>
            <w:r w:rsidRPr="00853F89">
              <w:t>Allergan Australia Pty Limited</w:t>
            </w:r>
          </w:p>
        </w:tc>
      </w:tr>
      <w:tr w:rsidR="00FD2554" w:rsidRPr="00A35800" w:rsidTr="00AC6C4C">
        <w:trPr>
          <w:cantSplit/>
          <w:trHeight w:val="546"/>
        </w:trPr>
        <w:tc>
          <w:tcPr>
            <w:tcW w:w="0" w:type="auto"/>
            <w:shd w:val="clear" w:color="auto" w:fill="auto"/>
          </w:tcPr>
          <w:p w:rsidR="00FD2554" w:rsidRDefault="00211D0E" w:rsidP="00A35800">
            <w:pPr>
              <w:pStyle w:val="Tablewriting"/>
            </w:pPr>
            <w:r w:rsidRPr="00211D0E">
              <w:t>10046R</w:t>
            </w:r>
          </w:p>
          <w:p w:rsidR="00211D0E" w:rsidRPr="00A35800" w:rsidRDefault="00211D0E" w:rsidP="00A35800">
            <w:pPr>
              <w:pStyle w:val="Tablewriting"/>
            </w:pPr>
            <w:r>
              <w:t>10053D</w:t>
            </w:r>
            <w:r w:rsidR="007A0324">
              <w:t xml:space="preserve"> (OP)</w:t>
            </w:r>
          </w:p>
        </w:tc>
        <w:tc>
          <w:tcPr>
            <w:tcW w:w="0" w:type="auto"/>
            <w:shd w:val="clear" w:color="auto" w:fill="auto"/>
          </w:tcPr>
          <w:p w:rsidR="00FD2554" w:rsidRPr="00A35800" w:rsidRDefault="00211D0E" w:rsidP="00A35800">
            <w:pPr>
              <w:pStyle w:val="Tablewriting"/>
            </w:pPr>
            <w:r w:rsidRPr="00211D0E">
              <w:t>bimatoprost 0.03% eye drops, 30 x 0.4 mL unit doses</w:t>
            </w:r>
          </w:p>
        </w:tc>
        <w:tc>
          <w:tcPr>
            <w:tcW w:w="0" w:type="auto"/>
            <w:shd w:val="clear" w:color="auto" w:fill="auto"/>
          </w:tcPr>
          <w:p w:rsidR="00FD2554" w:rsidRPr="00A35800" w:rsidRDefault="00211D0E" w:rsidP="00A35800">
            <w:pPr>
              <w:pStyle w:val="Tablewriting"/>
            </w:pPr>
            <w:r>
              <w:t>1</w:t>
            </w:r>
          </w:p>
        </w:tc>
        <w:tc>
          <w:tcPr>
            <w:tcW w:w="0" w:type="auto"/>
            <w:shd w:val="clear" w:color="auto" w:fill="auto"/>
          </w:tcPr>
          <w:p w:rsidR="00FD2554" w:rsidRPr="00A35800" w:rsidRDefault="00211D0E" w:rsidP="00A35800">
            <w:pPr>
              <w:pStyle w:val="Tablewriting"/>
            </w:pPr>
            <w:r>
              <w:t>5</w:t>
            </w:r>
          </w:p>
        </w:tc>
        <w:tc>
          <w:tcPr>
            <w:tcW w:w="0" w:type="auto"/>
            <w:shd w:val="clear" w:color="auto" w:fill="auto"/>
          </w:tcPr>
          <w:p w:rsidR="00FD2554" w:rsidRPr="00A35800" w:rsidRDefault="00211D0E" w:rsidP="00BC3D04">
            <w:pPr>
              <w:pStyle w:val="Tablewriting"/>
            </w:pPr>
            <w:r>
              <w:t>$</w:t>
            </w:r>
            <w:r w:rsidR="00BC3D04">
              <w:t>35.33</w:t>
            </w:r>
          </w:p>
        </w:tc>
        <w:tc>
          <w:tcPr>
            <w:tcW w:w="0" w:type="auto"/>
            <w:shd w:val="clear" w:color="auto" w:fill="auto"/>
          </w:tcPr>
          <w:p w:rsidR="00FD2554" w:rsidRDefault="00211D0E" w:rsidP="00853F89">
            <w:pPr>
              <w:pStyle w:val="Tablewriting"/>
            </w:pPr>
            <w:r w:rsidRPr="00211D0E">
              <w:t xml:space="preserve">Lumigan PF </w:t>
            </w:r>
          </w:p>
          <w:p w:rsidR="00853F89" w:rsidRPr="00A35800" w:rsidRDefault="00853F89" w:rsidP="00853F89">
            <w:pPr>
              <w:pStyle w:val="Tablewriting"/>
            </w:pPr>
            <w:r w:rsidRPr="00853F89">
              <w:t>Allergan Australia Pty Limited</w:t>
            </w:r>
          </w:p>
        </w:tc>
      </w:tr>
      <w:tr w:rsidR="00211D0E" w:rsidRPr="00A35800" w:rsidTr="00AC6C4C">
        <w:trPr>
          <w:cantSplit/>
          <w:trHeight w:val="546"/>
        </w:trPr>
        <w:tc>
          <w:tcPr>
            <w:tcW w:w="0" w:type="auto"/>
            <w:shd w:val="clear" w:color="auto" w:fill="auto"/>
          </w:tcPr>
          <w:p w:rsidR="00211D0E" w:rsidRDefault="00211D0E" w:rsidP="00A35800">
            <w:pPr>
              <w:pStyle w:val="Tablewriting"/>
            </w:pPr>
            <w:r>
              <w:t>10107Y</w:t>
            </w:r>
          </w:p>
          <w:p w:rsidR="00211D0E" w:rsidRPr="00A35800" w:rsidRDefault="00211D0E" w:rsidP="00A35800">
            <w:pPr>
              <w:pStyle w:val="Tablewriting"/>
            </w:pPr>
            <w:r>
              <w:t>10108B</w:t>
            </w:r>
            <w:r w:rsidR="007A0324">
              <w:t xml:space="preserve"> (OP)</w:t>
            </w:r>
          </w:p>
        </w:tc>
        <w:tc>
          <w:tcPr>
            <w:tcW w:w="0" w:type="auto"/>
            <w:shd w:val="clear" w:color="auto" w:fill="auto"/>
          </w:tcPr>
          <w:p w:rsidR="00211D0E" w:rsidRPr="00A35800" w:rsidRDefault="00211D0E" w:rsidP="00A35800">
            <w:pPr>
              <w:pStyle w:val="Tablewriting"/>
            </w:pPr>
            <w:r w:rsidRPr="00211D0E">
              <w:t>bimatoprost 0.03% + timolol 0.5% eye drops, 30 x 0.4 mL unit doses</w:t>
            </w:r>
          </w:p>
        </w:tc>
        <w:tc>
          <w:tcPr>
            <w:tcW w:w="0" w:type="auto"/>
            <w:shd w:val="clear" w:color="auto" w:fill="auto"/>
          </w:tcPr>
          <w:p w:rsidR="00211D0E" w:rsidRPr="00A35800" w:rsidRDefault="00211D0E" w:rsidP="00A35800">
            <w:pPr>
              <w:pStyle w:val="Tablewriting"/>
            </w:pPr>
            <w:r>
              <w:t>1</w:t>
            </w:r>
          </w:p>
        </w:tc>
        <w:tc>
          <w:tcPr>
            <w:tcW w:w="0" w:type="auto"/>
            <w:shd w:val="clear" w:color="auto" w:fill="auto"/>
          </w:tcPr>
          <w:p w:rsidR="00211D0E" w:rsidRPr="00A35800" w:rsidRDefault="00211D0E" w:rsidP="00A35800">
            <w:pPr>
              <w:pStyle w:val="Tablewriting"/>
            </w:pPr>
            <w:r>
              <w:t>5</w:t>
            </w:r>
          </w:p>
        </w:tc>
        <w:tc>
          <w:tcPr>
            <w:tcW w:w="0" w:type="auto"/>
            <w:shd w:val="clear" w:color="auto" w:fill="auto"/>
          </w:tcPr>
          <w:p w:rsidR="00211D0E" w:rsidRPr="00A35800" w:rsidRDefault="00211D0E" w:rsidP="00BC3D04">
            <w:pPr>
              <w:pStyle w:val="Tablewriting"/>
            </w:pPr>
            <w:r>
              <w:t>$</w:t>
            </w:r>
            <w:r w:rsidR="00BC3D04">
              <w:t>39.06</w:t>
            </w:r>
          </w:p>
        </w:tc>
        <w:tc>
          <w:tcPr>
            <w:tcW w:w="0" w:type="auto"/>
            <w:shd w:val="clear" w:color="auto" w:fill="auto"/>
          </w:tcPr>
          <w:p w:rsidR="00211D0E" w:rsidRDefault="00211D0E" w:rsidP="00853F89">
            <w:pPr>
              <w:pStyle w:val="Tablewriting"/>
            </w:pPr>
            <w:r w:rsidRPr="00211D0E">
              <w:t xml:space="preserve">GANfort PF 0.3/5 </w:t>
            </w:r>
          </w:p>
          <w:p w:rsidR="00853F89" w:rsidRPr="00A35800" w:rsidRDefault="00853F89" w:rsidP="00853F89">
            <w:pPr>
              <w:pStyle w:val="Tablewriting"/>
            </w:pPr>
            <w:r w:rsidRPr="00853F89">
              <w:t>Allergan Australia Pty Limited</w:t>
            </w:r>
          </w:p>
        </w:tc>
      </w:tr>
      <w:tr w:rsidR="00211D0E" w:rsidRPr="00A35800" w:rsidTr="00AC6C4C">
        <w:trPr>
          <w:cantSplit/>
          <w:trHeight w:val="546"/>
        </w:trPr>
        <w:tc>
          <w:tcPr>
            <w:tcW w:w="0" w:type="auto"/>
            <w:shd w:val="clear" w:color="auto" w:fill="auto"/>
          </w:tcPr>
          <w:p w:rsidR="00211D0E" w:rsidRDefault="00211D0E" w:rsidP="00A35800">
            <w:pPr>
              <w:pStyle w:val="Tablewriting"/>
            </w:pPr>
            <w:r>
              <w:lastRenderedPageBreak/>
              <w:t>9464D</w:t>
            </w:r>
          </w:p>
          <w:p w:rsidR="00211D0E" w:rsidRPr="00A35800" w:rsidRDefault="00211D0E" w:rsidP="00A35800">
            <w:pPr>
              <w:pStyle w:val="Tablewriting"/>
            </w:pPr>
            <w:r>
              <w:t>5558M</w:t>
            </w:r>
            <w:r w:rsidR="007A0324">
              <w:t xml:space="preserve"> (OP)</w:t>
            </w:r>
          </w:p>
        </w:tc>
        <w:tc>
          <w:tcPr>
            <w:tcW w:w="0" w:type="auto"/>
            <w:shd w:val="clear" w:color="auto" w:fill="auto"/>
          </w:tcPr>
          <w:p w:rsidR="00211D0E" w:rsidRPr="00A35800" w:rsidRDefault="00211D0E" w:rsidP="00A35800">
            <w:pPr>
              <w:pStyle w:val="Tablewriting"/>
            </w:pPr>
            <w:r w:rsidRPr="00211D0E">
              <w:t>bimatoprost 0.03% + timolol 0.5% eye drops, 3 mL</w:t>
            </w:r>
          </w:p>
        </w:tc>
        <w:tc>
          <w:tcPr>
            <w:tcW w:w="0" w:type="auto"/>
            <w:shd w:val="clear" w:color="auto" w:fill="auto"/>
          </w:tcPr>
          <w:p w:rsidR="00211D0E" w:rsidRPr="00A35800" w:rsidRDefault="00211D0E" w:rsidP="00A35800">
            <w:pPr>
              <w:pStyle w:val="Tablewriting"/>
            </w:pPr>
            <w:r>
              <w:t>1</w:t>
            </w:r>
          </w:p>
        </w:tc>
        <w:tc>
          <w:tcPr>
            <w:tcW w:w="0" w:type="auto"/>
            <w:shd w:val="clear" w:color="auto" w:fill="auto"/>
          </w:tcPr>
          <w:p w:rsidR="00211D0E" w:rsidRPr="00A35800" w:rsidRDefault="00211D0E" w:rsidP="00A35800">
            <w:pPr>
              <w:pStyle w:val="Tablewriting"/>
            </w:pPr>
            <w:r>
              <w:t>5</w:t>
            </w:r>
          </w:p>
        </w:tc>
        <w:tc>
          <w:tcPr>
            <w:tcW w:w="0" w:type="auto"/>
            <w:shd w:val="clear" w:color="auto" w:fill="auto"/>
          </w:tcPr>
          <w:p w:rsidR="00211D0E" w:rsidRPr="00A35800" w:rsidRDefault="00211D0E" w:rsidP="00BC3D04">
            <w:pPr>
              <w:pStyle w:val="Tablewriting"/>
            </w:pPr>
            <w:r>
              <w:t>$</w:t>
            </w:r>
            <w:r w:rsidR="00BC3D04">
              <w:t>44.54</w:t>
            </w:r>
          </w:p>
        </w:tc>
        <w:tc>
          <w:tcPr>
            <w:tcW w:w="0" w:type="auto"/>
            <w:shd w:val="clear" w:color="auto" w:fill="auto"/>
          </w:tcPr>
          <w:p w:rsidR="00211D0E" w:rsidRDefault="00211D0E" w:rsidP="00853F89">
            <w:pPr>
              <w:pStyle w:val="Tablewriting"/>
            </w:pPr>
            <w:r w:rsidRPr="00211D0E">
              <w:t xml:space="preserve">Ganfort 0.3/5 </w:t>
            </w:r>
          </w:p>
          <w:p w:rsidR="00853F89" w:rsidRPr="00A35800" w:rsidRDefault="00853F89" w:rsidP="00853F89">
            <w:pPr>
              <w:pStyle w:val="Tablewriting"/>
            </w:pPr>
            <w:r w:rsidRPr="00853F89">
              <w:t>Allergan Australia Pty Limited</w:t>
            </w:r>
          </w:p>
        </w:tc>
      </w:tr>
      <w:tr w:rsidR="00211D0E" w:rsidRPr="00A35800" w:rsidTr="00AC6C4C">
        <w:trPr>
          <w:cantSplit/>
          <w:trHeight w:val="546"/>
        </w:trPr>
        <w:tc>
          <w:tcPr>
            <w:tcW w:w="0" w:type="auto"/>
            <w:shd w:val="clear" w:color="auto" w:fill="auto"/>
          </w:tcPr>
          <w:p w:rsidR="00211D0E" w:rsidRDefault="006418D1" w:rsidP="00A35800">
            <w:pPr>
              <w:pStyle w:val="Tablewriting"/>
            </w:pPr>
            <w:r>
              <w:t>8243W</w:t>
            </w:r>
          </w:p>
          <w:p w:rsidR="006418D1" w:rsidRPr="00A35800" w:rsidRDefault="006418D1" w:rsidP="00A35800">
            <w:pPr>
              <w:pStyle w:val="Tablewriting"/>
            </w:pPr>
            <w:r>
              <w:t>5552F</w:t>
            </w:r>
            <w:r w:rsidR="007A0324">
              <w:t xml:space="preserve"> (OP)</w:t>
            </w:r>
          </w:p>
        </w:tc>
        <w:tc>
          <w:tcPr>
            <w:tcW w:w="0" w:type="auto"/>
            <w:shd w:val="clear" w:color="auto" w:fill="auto"/>
          </w:tcPr>
          <w:p w:rsidR="00211D0E" w:rsidRPr="00A35800" w:rsidRDefault="006418D1" w:rsidP="008273B9">
            <w:pPr>
              <w:pStyle w:val="Tablewriting"/>
            </w:pPr>
            <w:r w:rsidRPr="006418D1">
              <w:t>latanoprost 0.005% eye drops, 2.5</w:t>
            </w:r>
            <w:r w:rsidR="008273B9">
              <w:t> </w:t>
            </w:r>
            <w:r w:rsidRPr="006418D1">
              <w:t>mL</w:t>
            </w:r>
          </w:p>
        </w:tc>
        <w:tc>
          <w:tcPr>
            <w:tcW w:w="0" w:type="auto"/>
            <w:shd w:val="clear" w:color="auto" w:fill="auto"/>
          </w:tcPr>
          <w:p w:rsidR="00211D0E" w:rsidRPr="00A35800" w:rsidRDefault="006418D1" w:rsidP="00A35800">
            <w:pPr>
              <w:pStyle w:val="Tablewriting"/>
            </w:pPr>
            <w:r>
              <w:t>1</w:t>
            </w:r>
          </w:p>
        </w:tc>
        <w:tc>
          <w:tcPr>
            <w:tcW w:w="0" w:type="auto"/>
            <w:shd w:val="clear" w:color="auto" w:fill="auto"/>
          </w:tcPr>
          <w:p w:rsidR="00211D0E" w:rsidRPr="00A35800" w:rsidRDefault="006418D1" w:rsidP="00A35800">
            <w:pPr>
              <w:pStyle w:val="Tablewriting"/>
            </w:pPr>
            <w:r>
              <w:t>5</w:t>
            </w:r>
          </w:p>
        </w:tc>
        <w:tc>
          <w:tcPr>
            <w:tcW w:w="0" w:type="auto"/>
            <w:shd w:val="clear" w:color="auto" w:fill="auto"/>
          </w:tcPr>
          <w:p w:rsidR="00211D0E" w:rsidRPr="00A35800" w:rsidRDefault="006418D1" w:rsidP="00BC3D04">
            <w:pPr>
              <w:pStyle w:val="Tablewriting"/>
            </w:pPr>
            <w:r>
              <w:t>$</w:t>
            </w:r>
            <w:r w:rsidR="00BC3D04">
              <w:t>22.86</w:t>
            </w:r>
          </w:p>
        </w:tc>
        <w:tc>
          <w:tcPr>
            <w:tcW w:w="0" w:type="auto"/>
            <w:shd w:val="clear" w:color="auto" w:fill="auto"/>
          </w:tcPr>
          <w:p w:rsidR="00211D0E" w:rsidRPr="00A35800" w:rsidRDefault="006418D1" w:rsidP="00A35800">
            <w:pPr>
              <w:pStyle w:val="Tablewriting"/>
            </w:pPr>
            <w:r>
              <w:t>Numerous brands</w:t>
            </w:r>
          </w:p>
        </w:tc>
      </w:tr>
      <w:tr w:rsidR="006418D1" w:rsidRPr="00A35800" w:rsidTr="00AC6C4C">
        <w:trPr>
          <w:cantSplit/>
          <w:trHeight w:val="546"/>
        </w:trPr>
        <w:tc>
          <w:tcPr>
            <w:tcW w:w="0" w:type="auto"/>
            <w:shd w:val="clear" w:color="auto" w:fill="auto"/>
          </w:tcPr>
          <w:p w:rsidR="006418D1" w:rsidRDefault="006418D1" w:rsidP="00A35800">
            <w:pPr>
              <w:pStyle w:val="Tablewriting"/>
            </w:pPr>
            <w:r w:rsidRPr="006418D1">
              <w:t>8895E</w:t>
            </w:r>
          </w:p>
          <w:p w:rsidR="006418D1" w:rsidRPr="00A35800" w:rsidRDefault="006418D1" w:rsidP="00A35800">
            <w:pPr>
              <w:pStyle w:val="Tablewriting"/>
            </w:pPr>
            <w:r w:rsidRPr="006418D1">
              <w:t>5553G</w:t>
            </w:r>
            <w:r w:rsidR="007A0324">
              <w:t xml:space="preserve"> (OP)</w:t>
            </w:r>
          </w:p>
        </w:tc>
        <w:tc>
          <w:tcPr>
            <w:tcW w:w="0" w:type="auto"/>
            <w:shd w:val="clear" w:color="auto" w:fill="auto"/>
          </w:tcPr>
          <w:p w:rsidR="006418D1" w:rsidRPr="00A35800" w:rsidRDefault="006418D1" w:rsidP="00A35800">
            <w:pPr>
              <w:pStyle w:val="Tablewriting"/>
            </w:pPr>
            <w:r w:rsidRPr="006418D1">
              <w:t>latanoprost 0.005% + timolol 0.5% eye drops, 2.5 mL</w:t>
            </w:r>
          </w:p>
        </w:tc>
        <w:tc>
          <w:tcPr>
            <w:tcW w:w="0" w:type="auto"/>
            <w:shd w:val="clear" w:color="auto" w:fill="auto"/>
          </w:tcPr>
          <w:p w:rsidR="006418D1" w:rsidRPr="00A35800" w:rsidRDefault="006418D1" w:rsidP="00A35800">
            <w:pPr>
              <w:pStyle w:val="Tablewriting"/>
            </w:pPr>
            <w:r>
              <w:t>1</w:t>
            </w:r>
          </w:p>
        </w:tc>
        <w:tc>
          <w:tcPr>
            <w:tcW w:w="0" w:type="auto"/>
            <w:shd w:val="clear" w:color="auto" w:fill="auto"/>
          </w:tcPr>
          <w:p w:rsidR="006418D1" w:rsidRPr="00A35800" w:rsidRDefault="006418D1" w:rsidP="00A35800">
            <w:pPr>
              <w:pStyle w:val="Tablewriting"/>
            </w:pPr>
            <w:r>
              <w:t>5</w:t>
            </w:r>
          </w:p>
        </w:tc>
        <w:tc>
          <w:tcPr>
            <w:tcW w:w="0" w:type="auto"/>
            <w:shd w:val="clear" w:color="auto" w:fill="auto"/>
          </w:tcPr>
          <w:p w:rsidR="006418D1" w:rsidRPr="00A35800" w:rsidRDefault="006418D1" w:rsidP="00BC3D04">
            <w:pPr>
              <w:pStyle w:val="Tablewriting"/>
            </w:pPr>
            <w:r>
              <w:t>$</w:t>
            </w:r>
            <w:r w:rsidR="00BC3D04">
              <w:t>27.31</w:t>
            </w:r>
          </w:p>
        </w:tc>
        <w:tc>
          <w:tcPr>
            <w:tcW w:w="0" w:type="auto"/>
            <w:shd w:val="clear" w:color="auto" w:fill="auto"/>
          </w:tcPr>
          <w:p w:rsidR="006418D1" w:rsidRPr="00A35800" w:rsidRDefault="006418D1" w:rsidP="00A35800">
            <w:pPr>
              <w:pStyle w:val="Tablewriting"/>
            </w:pPr>
            <w:r>
              <w:t>Numerous brands</w:t>
            </w:r>
          </w:p>
        </w:tc>
      </w:tr>
      <w:tr w:rsidR="006418D1" w:rsidRPr="00A35800" w:rsidTr="00AC6C4C">
        <w:trPr>
          <w:cantSplit/>
          <w:trHeight w:val="546"/>
        </w:trPr>
        <w:tc>
          <w:tcPr>
            <w:tcW w:w="0" w:type="auto"/>
            <w:shd w:val="clear" w:color="auto" w:fill="auto"/>
          </w:tcPr>
          <w:p w:rsidR="006418D1" w:rsidRDefault="006418D1" w:rsidP="00A35800">
            <w:pPr>
              <w:pStyle w:val="Tablewriting"/>
            </w:pPr>
            <w:r>
              <w:t>2755B</w:t>
            </w:r>
          </w:p>
          <w:p w:rsidR="006418D1" w:rsidRPr="00A35800" w:rsidRDefault="006418D1" w:rsidP="00A35800">
            <w:pPr>
              <w:pStyle w:val="Tablewriting"/>
            </w:pPr>
            <w:r>
              <w:t>2748P</w:t>
            </w:r>
            <w:r w:rsidR="007A0324">
              <w:t xml:space="preserve"> (OP)</w:t>
            </w:r>
          </w:p>
        </w:tc>
        <w:tc>
          <w:tcPr>
            <w:tcW w:w="0" w:type="auto"/>
            <w:shd w:val="clear" w:color="auto" w:fill="auto"/>
          </w:tcPr>
          <w:p w:rsidR="006418D1" w:rsidRPr="00A35800" w:rsidRDefault="006418D1" w:rsidP="00A35800">
            <w:pPr>
              <w:pStyle w:val="Tablewriting"/>
            </w:pPr>
            <w:r w:rsidRPr="006418D1">
              <w:t>tafluprost 0.0015% eye drops, 30 x 0.3 mL unit doses</w:t>
            </w:r>
          </w:p>
        </w:tc>
        <w:tc>
          <w:tcPr>
            <w:tcW w:w="0" w:type="auto"/>
            <w:shd w:val="clear" w:color="auto" w:fill="auto"/>
          </w:tcPr>
          <w:p w:rsidR="006418D1" w:rsidRPr="00A35800" w:rsidRDefault="006418D1" w:rsidP="00A35800">
            <w:pPr>
              <w:pStyle w:val="Tablewriting"/>
            </w:pPr>
            <w:r>
              <w:t>1</w:t>
            </w:r>
          </w:p>
        </w:tc>
        <w:tc>
          <w:tcPr>
            <w:tcW w:w="0" w:type="auto"/>
            <w:shd w:val="clear" w:color="auto" w:fill="auto"/>
          </w:tcPr>
          <w:p w:rsidR="006418D1" w:rsidRPr="00A35800" w:rsidRDefault="006418D1" w:rsidP="00A35800">
            <w:pPr>
              <w:pStyle w:val="Tablewriting"/>
            </w:pPr>
            <w:r>
              <w:t>5</w:t>
            </w:r>
          </w:p>
        </w:tc>
        <w:tc>
          <w:tcPr>
            <w:tcW w:w="0" w:type="auto"/>
            <w:shd w:val="clear" w:color="auto" w:fill="auto"/>
          </w:tcPr>
          <w:p w:rsidR="006418D1" w:rsidRPr="00A35800" w:rsidRDefault="006418D1" w:rsidP="00A35800">
            <w:pPr>
              <w:pStyle w:val="Tablewriting"/>
            </w:pPr>
            <w:r>
              <w:t>$34.25</w:t>
            </w:r>
          </w:p>
        </w:tc>
        <w:tc>
          <w:tcPr>
            <w:tcW w:w="0" w:type="auto"/>
            <w:shd w:val="clear" w:color="auto" w:fill="auto"/>
          </w:tcPr>
          <w:p w:rsidR="006418D1" w:rsidRDefault="006418D1" w:rsidP="00853F89">
            <w:pPr>
              <w:pStyle w:val="Tablewriting"/>
            </w:pPr>
            <w:r w:rsidRPr="006418D1">
              <w:t xml:space="preserve">Saflutan </w:t>
            </w:r>
          </w:p>
          <w:p w:rsidR="00853F89" w:rsidRPr="00A35800" w:rsidRDefault="00853F89" w:rsidP="00853F89">
            <w:pPr>
              <w:pStyle w:val="Tablewriting"/>
            </w:pPr>
            <w:r w:rsidRPr="00853F89">
              <w:t>Merck Sharp &amp; Dohme (Australia) Pty Ltd</w:t>
            </w:r>
          </w:p>
        </w:tc>
      </w:tr>
      <w:tr w:rsidR="006418D1" w:rsidRPr="00A35800" w:rsidTr="00AC6C4C">
        <w:trPr>
          <w:cantSplit/>
          <w:trHeight w:val="546"/>
        </w:trPr>
        <w:tc>
          <w:tcPr>
            <w:tcW w:w="0" w:type="auto"/>
            <w:shd w:val="clear" w:color="auto" w:fill="auto"/>
          </w:tcPr>
          <w:p w:rsidR="006418D1" w:rsidRDefault="006418D1" w:rsidP="00A35800">
            <w:pPr>
              <w:pStyle w:val="Tablewriting"/>
            </w:pPr>
            <w:r>
              <w:t xml:space="preserve">9057Q </w:t>
            </w:r>
          </w:p>
          <w:p w:rsidR="006418D1" w:rsidRPr="00A35800" w:rsidRDefault="006418D1" w:rsidP="00A35800">
            <w:pPr>
              <w:pStyle w:val="Tablewriting"/>
            </w:pPr>
            <w:r>
              <w:t>5555J</w:t>
            </w:r>
            <w:r w:rsidR="007A0324">
              <w:br/>
              <w:t>(OP)</w:t>
            </w:r>
          </w:p>
        </w:tc>
        <w:tc>
          <w:tcPr>
            <w:tcW w:w="0" w:type="auto"/>
            <w:shd w:val="clear" w:color="auto" w:fill="auto"/>
          </w:tcPr>
          <w:p w:rsidR="006418D1" w:rsidRPr="00A35800" w:rsidRDefault="006418D1" w:rsidP="00A35800">
            <w:pPr>
              <w:pStyle w:val="Tablewriting"/>
            </w:pPr>
            <w:r w:rsidRPr="006418D1">
              <w:t>timolol 0.5% + travoprost 0.004% eye drops, 2.5 mL</w:t>
            </w:r>
          </w:p>
        </w:tc>
        <w:tc>
          <w:tcPr>
            <w:tcW w:w="0" w:type="auto"/>
            <w:shd w:val="clear" w:color="auto" w:fill="auto"/>
          </w:tcPr>
          <w:p w:rsidR="006418D1" w:rsidRPr="00A35800" w:rsidRDefault="006418D1" w:rsidP="00A35800">
            <w:pPr>
              <w:pStyle w:val="Tablewriting"/>
            </w:pPr>
            <w:r>
              <w:t>1</w:t>
            </w:r>
          </w:p>
        </w:tc>
        <w:tc>
          <w:tcPr>
            <w:tcW w:w="0" w:type="auto"/>
            <w:shd w:val="clear" w:color="auto" w:fill="auto"/>
          </w:tcPr>
          <w:p w:rsidR="006418D1" w:rsidRPr="00A35800" w:rsidRDefault="006418D1" w:rsidP="00A35800">
            <w:pPr>
              <w:pStyle w:val="Tablewriting"/>
            </w:pPr>
            <w:r>
              <w:t>5</w:t>
            </w:r>
          </w:p>
        </w:tc>
        <w:tc>
          <w:tcPr>
            <w:tcW w:w="0" w:type="auto"/>
            <w:shd w:val="clear" w:color="auto" w:fill="auto"/>
          </w:tcPr>
          <w:p w:rsidR="006418D1" w:rsidRPr="00A35800" w:rsidRDefault="006418D1" w:rsidP="00BC3D04">
            <w:pPr>
              <w:pStyle w:val="Tablewriting"/>
            </w:pPr>
            <w:r>
              <w:t>$</w:t>
            </w:r>
            <w:r w:rsidR="00BC3D04">
              <w:t>44.54</w:t>
            </w:r>
          </w:p>
        </w:tc>
        <w:tc>
          <w:tcPr>
            <w:tcW w:w="0" w:type="auto"/>
            <w:shd w:val="clear" w:color="auto" w:fill="auto"/>
          </w:tcPr>
          <w:p w:rsidR="006418D1" w:rsidRDefault="006418D1" w:rsidP="00FB595E">
            <w:pPr>
              <w:pStyle w:val="Tablewriting"/>
            </w:pPr>
            <w:r w:rsidRPr="006418D1">
              <w:t xml:space="preserve">Duotrav </w:t>
            </w:r>
          </w:p>
          <w:p w:rsidR="00FB595E" w:rsidRPr="00A35800" w:rsidRDefault="00FB595E" w:rsidP="00FB595E">
            <w:pPr>
              <w:pStyle w:val="Tablewriting"/>
            </w:pPr>
            <w:r w:rsidRPr="00FB595E">
              <w:t>Alcon Laboratories (Australia) Pty Ltd</w:t>
            </w:r>
          </w:p>
        </w:tc>
      </w:tr>
      <w:tr w:rsidR="006418D1" w:rsidRPr="00A35800" w:rsidTr="00AC6C4C">
        <w:trPr>
          <w:cantSplit/>
          <w:trHeight w:val="546"/>
        </w:trPr>
        <w:tc>
          <w:tcPr>
            <w:tcW w:w="0" w:type="auto"/>
            <w:shd w:val="clear" w:color="auto" w:fill="auto"/>
          </w:tcPr>
          <w:p w:rsidR="006418D1" w:rsidRDefault="006418D1" w:rsidP="00A35800">
            <w:pPr>
              <w:pStyle w:val="Tablewriting"/>
            </w:pPr>
            <w:r>
              <w:t>8597L</w:t>
            </w:r>
          </w:p>
          <w:p w:rsidR="006418D1" w:rsidRPr="00A35800" w:rsidRDefault="006418D1" w:rsidP="00A35800">
            <w:pPr>
              <w:pStyle w:val="Tablewriting"/>
            </w:pPr>
            <w:r>
              <w:t>5554H</w:t>
            </w:r>
            <w:r w:rsidR="007A0324">
              <w:br/>
              <w:t>(OP)</w:t>
            </w:r>
          </w:p>
        </w:tc>
        <w:tc>
          <w:tcPr>
            <w:tcW w:w="0" w:type="auto"/>
            <w:shd w:val="clear" w:color="auto" w:fill="auto"/>
          </w:tcPr>
          <w:p w:rsidR="006418D1" w:rsidRPr="00A35800" w:rsidRDefault="006418D1" w:rsidP="00A35800">
            <w:pPr>
              <w:pStyle w:val="Tablewriting"/>
            </w:pPr>
            <w:r w:rsidRPr="006418D1">
              <w:t>travoprost 0.004% (40 microgram/mL) eye drops, 2.5 mL</w:t>
            </w:r>
          </w:p>
        </w:tc>
        <w:tc>
          <w:tcPr>
            <w:tcW w:w="0" w:type="auto"/>
            <w:shd w:val="clear" w:color="auto" w:fill="auto"/>
          </w:tcPr>
          <w:p w:rsidR="006418D1" w:rsidRPr="00A35800" w:rsidRDefault="006418D1" w:rsidP="00A35800">
            <w:pPr>
              <w:pStyle w:val="Tablewriting"/>
            </w:pPr>
            <w:r>
              <w:t>1</w:t>
            </w:r>
          </w:p>
        </w:tc>
        <w:tc>
          <w:tcPr>
            <w:tcW w:w="0" w:type="auto"/>
            <w:shd w:val="clear" w:color="auto" w:fill="auto"/>
          </w:tcPr>
          <w:p w:rsidR="006418D1" w:rsidRPr="00A35800" w:rsidRDefault="006418D1" w:rsidP="00A35800">
            <w:pPr>
              <w:pStyle w:val="Tablewriting"/>
            </w:pPr>
            <w:r>
              <w:t>5</w:t>
            </w:r>
          </w:p>
        </w:tc>
        <w:tc>
          <w:tcPr>
            <w:tcW w:w="0" w:type="auto"/>
            <w:shd w:val="clear" w:color="auto" w:fill="auto"/>
          </w:tcPr>
          <w:p w:rsidR="006418D1" w:rsidRPr="00A35800" w:rsidRDefault="006418D1" w:rsidP="00AD5BB5">
            <w:pPr>
              <w:pStyle w:val="Tablewriting"/>
            </w:pPr>
            <w:r>
              <w:t>$</w:t>
            </w:r>
            <w:r w:rsidR="00BC3D04">
              <w:t>40.0</w:t>
            </w:r>
            <w:r w:rsidR="00AD5BB5">
              <w:t>8</w:t>
            </w:r>
          </w:p>
        </w:tc>
        <w:tc>
          <w:tcPr>
            <w:tcW w:w="0" w:type="auto"/>
            <w:shd w:val="clear" w:color="auto" w:fill="auto"/>
          </w:tcPr>
          <w:p w:rsidR="006418D1" w:rsidRDefault="006418D1" w:rsidP="00FB595E">
            <w:pPr>
              <w:pStyle w:val="Tablewriting"/>
            </w:pPr>
            <w:r w:rsidRPr="006418D1">
              <w:t xml:space="preserve">Travatan </w:t>
            </w:r>
          </w:p>
          <w:p w:rsidR="00FB595E" w:rsidRPr="00A35800" w:rsidRDefault="00FB595E" w:rsidP="00FB595E">
            <w:pPr>
              <w:pStyle w:val="Tablewriting"/>
            </w:pPr>
            <w:r w:rsidRPr="00FB595E">
              <w:t>Alcon Laboratories (Australia) Pty Ltd</w:t>
            </w:r>
          </w:p>
        </w:tc>
      </w:tr>
    </w:tbl>
    <w:p w:rsidR="007247B9" w:rsidRPr="00A35800" w:rsidRDefault="007408C7" w:rsidP="00BB1D3B">
      <w:pPr>
        <w:pStyle w:val="Notes"/>
      </w:pPr>
      <w:r w:rsidRPr="00A35800">
        <w:t>Source:</w:t>
      </w:r>
      <w:r w:rsidR="008273B9">
        <w:t xml:space="preserve"> </w:t>
      </w:r>
      <w:r w:rsidR="00EE7D21">
        <w:t xml:space="preserve">May </w:t>
      </w:r>
      <w:r w:rsidR="009E5C87">
        <w:t>2016 Schedule of Pharmaceutical Benefits. Available from the</w:t>
      </w:r>
      <w:r w:rsidR="001624D7">
        <w:t xml:space="preserve"> </w:t>
      </w:r>
      <w:hyperlink r:id="rId10" w:history="1">
        <w:r w:rsidR="001624D7" w:rsidRPr="00855A54">
          <w:rPr>
            <w:rStyle w:val="Hyperlink"/>
          </w:rPr>
          <w:t>PBS website</w:t>
        </w:r>
      </w:hyperlink>
      <w:r w:rsidR="00051888">
        <w:t xml:space="preserve">. </w:t>
      </w:r>
      <w:r w:rsidR="00412908">
        <w:br/>
        <w:t xml:space="preserve">OP = Optometrist listing for prescribing </w:t>
      </w:r>
      <w:r w:rsidR="00412908" w:rsidRPr="00412908">
        <w:t>in accordance with Optometry Board of Australia guidelines</w:t>
      </w:r>
    </w:p>
    <w:p w:rsidR="004C3186" w:rsidRDefault="004C3186" w:rsidP="00C245EA">
      <w:pPr>
        <w:pStyle w:val="Heading2"/>
      </w:pPr>
      <w:r>
        <w:t>Restriction</w:t>
      </w:r>
      <w:r w:rsidR="00AB1C63">
        <w:t>s</w:t>
      </w:r>
    </w:p>
    <w:p w:rsidR="009E72DD" w:rsidRPr="0050549C" w:rsidRDefault="0050549C" w:rsidP="00A35800">
      <w:r w:rsidRPr="0050549C">
        <w:t>All single</w:t>
      </w:r>
      <w:r w:rsidRPr="0050549C">
        <w:noBreakHyphen/>
        <w:t xml:space="preserve">ingredient glaucoma medicines, excluding apraclonidine, have unrestricted listings for both medical practitioners and optometrists.  </w:t>
      </w:r>
      <w:r w:rsidR="00077E12">
        <w:t xml:space="preserve">Apraclonidine has a restricted benefit listing for the </w:t>
      </w:r>
      <w:r w:rsidR="00077E12" w:rsidRPr="00077E12">
        <w:t>short</w:t>
      </w:r>
      <w:r w:rsidR="00077E12">
        <w:noBreakHyphen/>
      </w:r>
      <w:r w:rsidR="00077E12" w:rsidRPr="00077E12">
        <w:t>term reduction of intra</w:t>
      </w:r>
      <w:r w:rsidR="00077E12">
        <w:noBreakHyphen/>
      </w:r>
      <w:r w:rsidR="00077E12" w:rsidRPr="00077E12">
        <w:t>ocular pressure</w:t>
      </w:r>
      <w:r w:rsidR="00077E12">
        <w:t xml:space="preserve"> for patients on </w:t>
      </w:r>
      <w:r w:rsidR="00077E12" w:rsidRPr="00077E12">
        <w:t>maximally tolerated anti</w:t>
      </w:r>
      <w:r w:rsidR="00077E12">
        <w:noBreakHyphen/>
      </w:r>
      <w:r w:rsidR="00077E12" w:rsidRPr="00077E12">
        <w:t>glaucoma therapy</w:t>
      </w:r>
      <w:r w:rsidR="00077E12">
        <w:t xml:space="preserve">. </w:t>
      </w:r>
      <w:r w:rsidR="00FC2B96">
        <w:t xml:space="preserve"> Combination products are listed for open</w:t>
      </w:r>
      <w:r w:rsidR="00FC2B96">
        <w:noBreakHyphen/>
        <w:t xml:space="preserve">angle glaucoma or ocular hypertension </w:t>
      </w:r>
      <w:r w:rsidR="00815AA1">
        <w:t>that is</w:t>
      </w:r>
      <w:r w:rsidR="00FC2B96">
        <w:t xml:space="preserve"> no</w:t>
      </w:r>
      <w:r w:rsidR="00FE7A64">
        <w:t>t</w:t>
      </w:r>
      <w:r w:rsidR="00FC2B96">
        <w:t xml:space="preserve"> adequately controlled by monotherapy. </w:t>
      </w:r>
      <w:r w:rsidR="00C74F81">
        <w:t>O</w:t>
      </w:r>
      <w:r w:rsidR="00815AA1">
        <w:t>ptometrist</w:t>
      </w:r>
      <w:r w:rsidR="00C74F81">
        <w:t>s</w:t>
      </w:r>
      <w:r w:rsidR="00815AA1">
        <w:t xml:space="preserve"> </w:t>
      </w:r>
      <w:r w:rsidR="00C74F81">
        <w:t xml:space="preserve">are required to </w:t>
      </w:r>
      <w:r w:rsidR="00815AA1" w:rsidRPr="00815AA1">
        <w:t>prescrib</w:t>
      </w:r>
      <w:r w:rsidR="009E6E1F">
        <w:t>e</w:t>
      </w:r>
      <w:r w:rsidR="00815AA1" w:rsidRPr="00815AA1">
        <w:t xml:space="preserve"> in accordance with Optometry Board of Australia guidelines</w:t>
      </w:r>
      <w:r w:rsidR="00815AA1">
        <w:t xml:space="preserve">. </w:t>
      </w:r>
    </w:p>
    <w:p w:rsidR="006775F1" w:rsidRPr="006775F1" w:rsidRDefault="006775F1" w:rsidP="00A35800">
      <w:r w:rsidRPr="006775F1">
        <w:t xml:space="preserve">For </w:t>
      </w:r>
      <w:r w:rsidR="00835337">
        <w:t>details of the current PBS listing</w:t>
      </w:r>
      <w:r w:rsidR="00ED7C84">
        <w:t>s</w:t>
      </w:r>
      <w:r w:rsidR="00835337">
        <w:t xml:space="preserve"> refer to the </w:t>
      </w:r>
      <w:hyperlink r:id="rId11" w:history="1">
        <w:r w:rsidR="00835337" w:rsidRPr="00855A54">
          <w:rPr>
            <w:rStyle w:val="Hyperlink"/>
          </w:rPr>
          <w:t>PBS website.</w:t>
        </w:r>
      </w:hyperlink>
    </w:p>
    <w:p w:rsidR="00AE3406" w:rsidRDefault="009C35F2" w:rsidP="00AE3406">
      <w:pPr>
        <w:pStyle w:val="Heading2"/>
      </w:pPr>
      <w:r w:rsidRPr="00675BB1">
        <w:t>Date of listing on PBS</w:t>
      </w:r>
    </w:p>
    <w:p w:rsidR="00B66952" w:rsidRDefault="00B66952" w:rsidP="00B66952">
      <w:r>
        <w:t>Most single</w:t>
      </w:r>
      <w:r>
        <w:noBreakHyphen/>
        <w:t xml:space="preserve">ingredient glaucoma medicines were listed on the PBS before 2004. </w:t>
      </w:r>
    </w:p>
    <w:p w:rsidR="004D0EC5" w:rsidRDefault="004D0EC5" w:rsidP="00B66952">
      <w:r>
        <w:t xml:space="preserve">New listings from 1 January 2004 </w:t>
      </w:r>
      <w:r w:rsidR="00486C85">
        <w:t xml:space="preserve">are listed in Table 3. </w:t>
      </w:r>
    </w:p>
    <w:p w:rsidR="00F20F08" w:rsidRDefault="00F20F08">
      <w:pPr>
        <w:spacing w:line="276" w:lineRule="auto"/>
        <w:rPr>
          <w:b/>
        </w:rPr>
      </w:pPr>
      <w:r>
        <w:br w:type="page"/>
      </w:r>
    </w:p>
    <w:p w:rsidR="00104529" w:rsidRDefault="00104529" w:rsidP="00104529">
      <w:pPr>
        <w:pStyle w:val="Tabletitle"/>
      </w:pPr>
      <w:r w:rsidRPr="001420B3">
        <w:lastRenderedPageBreak/>
        <w:t xml:space="preserve">Table </w:t>
      </w:r>
      <w:r w:rsidR="00486C85">
        <w:t>3</w:t>
      </w:r>
      <w:r w:rsidRPr="001420B3">
        <w:t xml:space="preserve">: </w:t>
      </w:r>
      <w:r>
        <w:t>New glaucoma medicines listed on the PBS</w:t>
      </w:r>
    </w:p>
    <w:tbl>
      <w:tblPr>
        <w:tblStyle w:val="TableGrid"/>
        <w:tblW w:w="5000" w:type="pct"/>
        <w:tblLook w:val="04A0" w:firstRow="1" w:lastRow="0" w:firstColumn="1" w:lastColumn="0" w:noHBand="0" w:noVBand="1"/>
        <w:tblCaption w:val="New glaucoma medicines listed on the PBS"/>
        <w:tblDescription w:val="A table of New glaucoma medicines listed on the PBS"/>
      </w:tblPr>
      <w:tblGrid>
        <w:gridCol w:w="1981"/>
        <w:gridCol w:w="7192"/>
      </w:tblGrid>
      <w:tr w:rsidR="004D0EC5" w:rsidTr="00BC54B5">
        <w:trPr>
          <w:tblHeader/>
        </w:trPr>
        <w:tc>
          <w:tcPr>
            <w:tcW w:w="1080" w:type="pct"/>
            <w:shd w:val="clear" w:color="auto" w:fill="BFBFBF" w:themeFill="background1" w:themeFillShade="BF"/>
          </w:tcPr>
          <w:p w:rsidR="004D0EC5" w:rsidRPr="004D0EC5" w:rsidRDefault="004D0EC5" w:rsidP="004D0EC5">
            <w:pPr>
              <w:pStyle w:val="Tableheading"/>
              <w:rPr>
                <w:sz w:val="20"/>
                <w:szCs w:val="20"/>
              </w:rPr>
            </w:pPr>
            <w:r w:rsidRPr="004D0EC5">
              <w:rPr>
                <w:sz w:val="20"/>
                <w:szCs w:val="20"/>
              </w:rPr>
              <w:t>Date</w:t>
            </w:r>
          </w:p>
        </w:tc>
        <w:tc>
          <w:tcPr>
            <w:tcW w:w="3920" w:type="pct"/>
            <w:shd w:val="clear" w:color="auto" w:fill="BFBFBF" w:themeFill="background1" w:themeFillShade="BF"/>
          </w:tcPr>
          <w:p w:rsidR="004D0EC5" w:rsidRPr="004D0EC5" w:rsidRDefault="004D0EC5" w:rsidP="004D0EC5">
            <w:pPr>
              <w:pStyle w:val="Tableheading"/>
              <w:rPr>
                <w:sz w:val="20"/>
                <w:szCs w:val="20"/>
              </w:rPr>
            </w:pPr>
            <w:r w:rsidRPr="004D0EC5">
              <w:rPr>
                <w:sz w:val="20"/>
                <w:szCs w:val="20"/>
              </w:rPr>
              <w:t>Drug</w:t>
            </w:r>
            <w:r w:rsidR="00B73416">
              <w:rPr>
                <w:sz w:val="20"/>
                <w:szCs w:val="20"/>
              </w:rPr>
              <w:t xml:space="preserve"> (brand)</w:t>
            </w:r>
          </w:p>
        </w:tc>
      </w:tr>
      <w:tr w:rsidR="004D0EC5" w:rsidTr="00B73416">
        <w:tc>
          <w:tcPr>
            <w:tcW w:w="1080" w:type="pct"/>
          </w:tcPr>
          <w:p w:rsidR="004D0EC5" w:rsidRDefault="004D0EC5" w:rsidP="004D0EC5">
            <w:pPr>
              <w:pStyle w:val="Tablewriting"/>
            </w:pPr>
            <w:r>
              <w:t>April 2005</w:t>
            </w:r>
          </w:p>
        </w:tc>
        <w:tc>
          <w:tcPr>
            <w:tcW w:w="3920" w:type="pct"/>
          </w:tcPr>
          <w:p w:rsidR="004D0EC5" w:rsidRDefault="004D0EC5" w:rsidP="004D0EC5">
            <w:pPr>
              <w:pStyle w:val="Tablewriting"/>
            </w:pPr>
            <w:r>
              <w:t>Timolol eye gel</w:t>
            </w:r>
            <w:r w:rsidR="00B73416">
              <w:t xml:space="preserve"> (Nyogel</w:t>
            </w:r>
            <w:r w:rsidR="00B73416">
              <w:rPr>
                <w:rFonts w:ascii="Calibri" w:hAnsi="Calibri"/>
              </w:rPr>
              <w:t>®</w:t>
            </w:r>
            <w:r w:rsidR="00B73416">
              <w:t>)</w:t>
            </w:r>
          </w:p>
        </w:tc>
      </w:tr>
      <w:tr w:rsidR="004D0EC5" w:rsidTr="00B73416">
        <w:tc>
          <w:tcPr>
            <w:tcW w:w="1080" w:type="pct"/>
          </w:tcPr>
          <w:p w:rsidR="004D0EC5" w:rsidRDefault="004D0EC5" w:rsidP="004D0EC5">
            <w:pPr>
              <w:pStyle w:val="Tablewriting"/>
            </w:pPr>
            <w:r>
              <w:t>April 2006</w:t>
            </w:r>
          </w:p>
        </w:tc>
        <w:tc>
          <w:tcPr>
            <w:tcW w:w="3920" w:type="pct"/>
          </w:tcPr>
          <w:p w:rsidR="004D0EC5" w:rsidRDefault="00554F2A" w:rsidP="00051888">
            <w:pPr>
              <w:pStyle w:val="Tablewriting"/>
            </w:pPr>
            <w:r>
              <w:t>Latanoprost with timolol</w:t>
            </w:r>
            <w:r w:rsidR="009116DD">
              <w:t xml:space="preserve"> </w:t>
            </w:r>
            <w:r w:rsidR="00B73416">
              <w:t>(Xalacom</w:t>
            </w:r>
            <w:r w:rsidR="00B73416">
              <w:rPr>
                <w:rFonts w:ascii="Calibri" w:hAnsi="Calibri"/>
              </w:rPr>
              <w:t>®</w:t>
            </w:r>
            <w:r w:rsidR="00B73416">
              <w:t>)</w:t>
            </w:r>
            <w:r w:rsidR="00051888">
              <w:rPr>
                <w:vertAlign w:val="superscript"/>
              </w:rPr>
              <w:t xml:space="preserve"> a</w:t>
            </w:r>
          </w:p>
        </w:tc>
      </w:tr>
      <w:tr w:rsidR="004D0EC5" w:rsidTr="00B73416">
        <w:tc>
          <w:tcPr>
            <w:tcW w:w="1080" w:type="pct"/>
          </w:tcPr>
          <w:p w:rsidR="004D0EC5" w:rsidRDefault="004D0EC5" w:rsidP="004D0EC5">
            <w:pPr>
              <w:pStyle w:val="Tablewriting"/>
            </w:pPr>
            <w:r>
              <w:t>December 2006</w:t>
            </w:r>
          </w:p>
        </w:tc>
        <w:tc>
          <w:tcPr>
            <w:tcW w:w="3920" w:type="pct"/>
          </w:tcPr>
          <w:p w:rsidR="004D0EC5" w:rsidRDefault="00051888" w:rsidP="004D0EC5">
            <w:pPr>
              <w:pStyle w:val="Tablewriting"/>
            </w:pPr>
            <w:r>
              <w:t>Travoprost</w:t>
            </w:r>
            <w:r w:rsidR="004D0EC5">
              <w:t xml:space="preserve"> with timolol</w:t>
            </w:r>
            <w:r w:rsidR="00B73416">
              <w:t xml:space="preserve"> (Duotrav</w:t>
            </w:r>
            <w:r w:rsidR="00B73416">
              <w:rPr>
                <w:rFonts w:ascii="Calibri" w:hAnsi="Calibri"/>
              </w:rPr>
              <w:t>®</w:t>
            </w:r>
            <w:r w:rsidR="00B73416">
              <w:t>)</w:t>
            </w:r>
          </w:p>
        </w:tc>
      </w:tr>
      <w:tr w:rsidR="004D0EC5" w:rsidTr="00B73416">
        <w:tc>
          <w:tcPr>
            <w:tcW w:w="1080" w:type="pct"/>
          </w:tcPr>
          <w:p w:rsidR="004D0EC5" w:rsidRDefault="004D0EC5" w:rsidP="004D0EC5">
            <w:pPr>
              <w:pStyle w:val="Tablewriting"/>
            </w:pPr>
            <w:r>
              <w:t>March 2009</w:t>
            </w:r>
          </w:p>
        </w:tc>
        <w:tc>
          <w:tcPr>
            <w:tcW w:w="3920" w:type="pct"/>
          </w:tcPr>
          <w:p w:rsidR="004D0EC5" w:rsidRDefault="004D0EC5" w:rsidP="004D0EC5">
            <w:pPr>
              <w:pStyle w:val="Tablewriting"/>
            </w:pPr>
            <w:r w:rsidRPr="004D0EC5">
              <w:t>Brimonidine with timolol</w:t>
            </w:r>
            <w:r w:rsidR="00B73416">
              <w:t xml:space="preserve"> (Combigan</w:t>
            </w:r>
            <w:r w:rsidR="00B73416">
              <w:rPr>
                <w:rFonts w:ascii="Calibri" w:hAnsi="Calibri"/>
              </w:rPr>
              <w:t>®</w:t>
            </w:r>
            <w:r w:rsidR="00B73416">
              <w:t>)</w:t>
            </w:r>
          </w:p>
        </w:tc>
      </w:tr>
      <w:tr w:rsidR="004D0EC5" w:rsidTr="00B73416">
        <w:tc>
          <w:tcPr>
            <w:tcW w:w="1080" w:type="pct"/>
          </w:tcPr>
          <w:p w:rsidR="004D0EC5" w:rsidRDefault="00E77583" w:rsidP="004D0EC5">
            <w:pPr>
              <w:pStyle w:val="Tablewriting"/>
            </w:pPr>
            <w:r>
              <w:t>March 2009</w:t>
            </w:r>
          </w:p>
        </w:tc>
        <w:tc>
          <w:tcPr>
            <w:tcW w:w="3920" w:type="pct"/>
          </w:tcPr>
          <w:p w:rsidR="004D0EC5" w:rsidRDefault="004D0EC5" w:rsidP="004D0EC5">
            <w:pPr>
              <w:pStyle w:val="Tablewriting"/>
            </w:pPr>
            <w:r w:rsidRPr="004D0EC5">
              <w:t>Dorzolamide with timolol</w:t>
            </w:r>
            <w:r w:rsidR="00B73416">
              <w:t xml:space="preserve"> (Cosopt</w:t>
            </w:r>
            <w:r w:rsidR="00B73416" w:rsidRPr="00B73416">
              <w:t>®)</w:t>
            </w:r>
          </w:p>
        </w:tc>
      </w:tr>
      <w:tr w:rsidR="004D0EC5" w:rsidTr="00B73416">
        <w:tc>
          <w:tcPr>
            <w:tcW w:w="1080" w:type="pct"/>
          </w:tcPr>
          <w:p w:rsidR="004D0EC5" w:rsidRDefault="004D0EC5" w:rsidP="004D0EC5">
            <w:pPr>
              <w:pStyle w:val="Tablewriting"/>
            </w:pPr>
            <w:r>
              <w:t>August 2009</w:t>
            </w:r>
          </w:p>
        </w:tc>
        <w:tc>
          <w:tcPr>
            <w:tcW w:w="3920" w:type="pct"/>
          </w:tcPr>
          <w:p w:rsidR="004D0EC5" w:rsidRDefault="004D0EC5" w:rsidP="004D0EC5">
            <w:pPr>
              <w:pStyle w:val="Tablewriting"/>
            </w:pPr>
            <w:r w:rsidRPr="004D0EC5">
              <w:t>Bimatoprost with timolol</w:t>
            </w:r>
            <w:r w:rsidR="00B73416">
              <w:t xml:space="preserve"> (Ganfort</w:t>
            </w:r>
            <w:r w:rsidR="00B73416">
              <w:rPr>
                <w:rFonts w:ascii="Calibri" w:hAnsi="Calibri"/>
              </w:rPr>
              <w:t>®</w:t>
            </w:r>
            <w:r w:rsidR="00B73416">
              <w:t>)</w:t>
            </w:r>
          </w:p>
        </w:tc>
      </w:tr>
      <w:tr w:rsidR="004D0EC5" w:rsidTr="00B73416">
        <w:tc>
          <w:tcPr>
            <w:tcW w:w="1080" w:type="pct"/>
          </w:tcPr>
          <w:p w:rsidR="004D0EC5" w:rsidRDefault="004D0EC5" w:rsidP="004D0EC5">
            <w:pPr>
              <w:pStyle w:val="Tablewriting"/>
            </w:pPr>
            <w:r>
              <w:t>August 2010</w:t>
            </w:r>
          </w:p>
        </w:tc>
        <w:tc>
          <w:tcPr>
            <w:tcW w:w="3920" w:type="pct"/>
          </w:tcPr>
          <w:p w:rsidR="004D0EC5" w:rsidRDefault="004D0EC5" w:rsidP="004D0EC5">
            <w:pPr>
              <w:pStyle w:val="Tablewriting"/>
            </w:pPr>
            <w:r w:rsidRPr="004D0EC5">
              <w:t>Brinzolamide with timolol</w:t>
            </w:r>
            <w:r w:rsidR="00B73416">
              <w:t xml:space="preserve"> (Azarga</w:t>
            </w:r>
            <w:r w:rsidR="00B73416">
              <w:rPr>
                <w:rFonts w:ascii="Calibri" w:hAnsi="Calibri"/>
              </w:rPr>
              <w:t>®</w:t>
            </w:r>
            <w:r w:rsidR="00B73416">
              <w:t>)</w:t>
            </w:r>
          </w:p>
        </w:tc>
      </w:tr>
      <w:tr w:rsidR="004D0EC5" w:rsidTr="00B73416">
        <w:tc>
          <w:tcPr>
            <w:tcW w:w="1080" w:type="pct"/>
          </w:tcPr>
          <w:p w:rsidR="004D0EC5" w:rsidRDefault="004D0EC5" w:rsidP="004D0EC5">
            <w:pPr>
              <w:pStyle w:val="Tablewriting"/>
            </w:pPr>
            <w:r>
              <w:t>November 2010</w:t>
            </w:r>
          </w:p>
        </w:tc>
        <w:tc>
          <w:tcPr>
            <w:tcW w:w="3920" w:type="pct"/>
          </w:tcPr>
          <w:p w:rsidR="004D0EC5" w:rsidRDefault="004D0EC5" w:rsidP="004D0EC5">
            <w:pPr>
              <w:pStyle w:val="Tablewriting"/>
            </w:pPr>
            <w:r w:rsidRPr="004D0EC5">
              <w:t>Brimonidine</w:t>
            </w:r>
            <w:r w:rsidR="00B73416">
              <w:t xml:space="preserve"> (Alphagan P</w:t>
            </w:r>
            <w:r w:rsidR="00B73416">
              <w:rPr>
                <w:rFonts w:ascii="Calibri" w:hAnsi="Calibri"/>
              </w:rPr>
              <w:t>®</w:t>
            </w:r>
            <w:r w:rsidR="00B73416">
              <w:t>)</w:t>
            </w:r>
          </w:p>
        </w:tc>
      </w:tr>
      <w:tr w:rsidR="004D0EC5" w:rsidTr="00B73416">
        <w:tc>
          <w:tcPr>
            <w:tcW w:w="1080" w:type="pct"/>
          </w:tcPr>
          <w:p w:rsidR="004D0EC5" w:rsidRDefault="004D0EC5" w:rsidP="004D0EC5">
            <w:pPr>
              <w:pStyle w:val="Tablewriting"/>
            </w:pPr>
            <w:r>
              <w:t>September 2013</w:t>
            </w:r>
          </w:p>
        </w:tc>
        <w:tc>
          <w:tcPr>
            <w:tcW w:w="3920" w:type="pct"/>
          </w:tcPr>
          <w:p w:rsidR="004D0EC5" w:rsidRDefault="004D0EC5" w:rsidP="004D0EC5">
            <w:pPr>
              <w:pStyle w:val="Tablewriting"/>
            </w:pPr>
            <w:r>
              <w:t>Tafluprost</w:t>
            </w:r>
            <w:r w:rsidR="00635121">
              <w:t xml:space="preserve"> (</w:t>
            </w:r>
            <w:r w:rsidR="00635121" w:rsidRPr="00635121">
              <w:t>Saflutan®</w:t>
            </w:r>
            <w:r w:rsidR="00635121">
              <w:t>)</w:t>
            </w:r>
          </w:p>
        </w:tc>
      </w:tr>
      <w:tr w:rsidR="004D0EC5" w:rsidTr="00B73416">
        <w:tc>
          <w:tcPr>
            <w:tcW w:w="1080" w:type="pct"/>
          </w:tcPr>
          <w:p w:rsidR="004D0EC5" w:rsidRDefault="004D0EC5" w:rsidP="004D0EC5">
            <w:pPr>
              <w:pStyle w:val="Tablewriting"/>
            </w:pPr>
            <w:r>
              <w:t>March 2014</w:t>
            </w:r>
          </w:p>
        </w:tc>
        <w:tc>
          <w:tcPr>
            <w:tcW w:w="3920" w:type="pct"/>
          </w:tcPr>
          <w:p w:rsidR="004D0EC5" w:rsidRDefault="004D0EC5" w:rsidP="004D0EC5">
            <w:pPr>
              <w:pStyle w:val="Tablewriting"/>
            </w:pPr>
            <w:r>
              <w:t>Bimatoprost individual dose packs</w:t>
            </w:r>
            <w:r w:rsidR="00635121">
              <w:t xml:space="preserve"> (Lumigan PF</w:t>
            </w:r>
            <w:r w:rsidR="00635121" w:rsidRPr="00635121">
              <w:t>®)</w:t>
            </w:r>
          </w:p>
        </w:tc>
      </w:tr>
      <w:tr w:rsidR="004D0EC5" w:rsidTr="00B73416">
        <w:tc>
          <w:tcPr>
            <w:tcW w:w="1080" w:type="pct"/>
          </w:tcPr>
          <w:p w:rsidR="004D0EC5" w:rsidRDefault="004D0EC5" w:rsidP="004D0EC5">
            <w:pPr>
              <w:pStyle w:val="Tablewriting"/>
            </w:pPr>
            <w:r>
              <w:t>July 2014</w:t>
            </w:r>
          </w:p>
        </w:tc>
        <w:tc>
          <w:tcPr>
            <w:tcW w:w="3920" w:type="pct"/>
          </w:tcPr>
          <w:p w:rsidR="004D0EC5" w:rsidRDefault="004D0EC5" w:rsidP="004D0EC5">
            <w:pPr>
              <w:pStyle w:val="Tablewriting"/>
            </w:pPr>
            <w:r w:rsidRPr="004D0EC5">
              <w:t>Bimatoprost with timolol</w:t>
            </w:r>
            <w:r w:rsidR="00966341">
              <w:t xml:space="preserve"> individual dose packs (</w:t>
            </w:r>
            <w:r w:rsidR="00966341" w:rsidRPr="00966341">
              <w:t>GANfort PF 0.3/5</w:t>
            </w:r>
            <w:r w:rsidR="00966341">
              <w:t>®)</w:t>
            </w:r>
          </w:p>
        </w:tc>
      </w:tr>
      <w:tr w:rsidR="004D0EC5" w:rsidTr="00B73416">
        <w:tc>
          <w:tcPr>
            <w:tcW w:w="1080" w:type="pct"/>
          </w:tcPr>
          <w:p w:rsidR="004D0EC5" w:rsidRDefault="004D0EC5" w:rsidP="004D0EC5">
            <w:pPr>
              <w:pStyle w:val="Tablewriting"/>
            </w:pPr>
            <w:r>
              <w:t>December 2015</w:t>
            </w:r>
          </w:p>
        </w:tc>
        <w:tc>
          <w:tcPr>
            <w:tcW w:w="3920" w:type="pct"/>
          </w:tcPr>
          <w:p w:rsidR="004D0EC5" w:rsidRDefault="004D0EC5" w:rsidP="004D0EC5">
            <w:pPr>
              <w:pStyle w:val="Tablewriting"/>
            </w:pPr>
            <w:r w:rsidRPr="004D0EC5">
              <w:t>Brinzolamide with brimonidine</w:t>
            </w:r>
            <w:r w:rsidR="00635121">
              <w:t xml:space="preserve"> (Simbrinza 1%/0.2%®)</w:t>
            </w:r>
          </w:p>
        </w:tc>
      </w:tr>
    </w:tbl>
    <w:p w:rsidR="004D0EC5" w:rsidRDefault="00554F2A" w:rsidP="00554F2A">
      <w:pPr>
        <w:pStyle w:val="Notes"/>
      </w:pPr>
      <w:r>
        <w:t xml:space="preserve">Source: Department of Health </w:t>
      </w:r>
      <w:r w:rsidR="009116DD">
        <w:t>PBS</w:t>
      </w:r>
      <w:r>
        <w:t xml:space="preserve"> Schedule Summary database, extracted March 2016</w:t>
      </w:r>
      <w:r w:rsidR="006D108F" w:rsidRPr="006D108F">
        <w:t xml:space="preserve"> </w:t>
      </w:r>
      <w:r w:rsidR="006D108F">
        <w:br/>
      </w:r>
      <w:r w:rsidR="006D108F" w:rsidRPr="006D108F">
        <w:rPr>
          <w:vertAlign w:val="superscript"/>
        </w:rPr>
        <w:t>a</w:t>
      </w:r>
      <w:r w:rsidR="006D108F">
        <w:t xml:space="preserve"> </w:t>
      </w:r>
      <w:r w:rsidR="006D108F" w:rsidRPr="006D108F">
        <w:t>Previously</w:t>
      </w:r>
      <w:r w:rsidR="006D108F">
        <w:t xml:space="preserve"> listed on RPBS</w:t>
      </w:r>
      <w:r w:rsidR="00AB6164">
        <w:t xml:space="preserve">. </w:t>
      </w:r>
    </w:p>
    <w:p w:rsidR="00675BB1" w:rsidRPr="00675BB1" w:rsidRDefault="00675BB1" w:rsidP="00C245EA">
      <w:pPr>
        <w:pStyle w:val="Heading2"/>
      </w:pPr>
      <w:r w:rsidRPr="00675BB1">
        <w:t>Changes to listing</w:t>
      </w:r>
    </w:p>
    <w:p w:rsidR="009116DD" w:rsidRDefault="00AF38DF" w:rsidP="00A35800">
      <w:r>
        <w:t xml:space="preserve">Table </w:t>
      </w:r>
      <w:r w:rsidR="00486C85">
        <w:t>4</w:t>
      </w:r>
      <w:r>
        <w:t xml:space="preserve"> lists the</w:t>
      </w:r>
      <w:r w:rsidR="009116DD">
        <w:t xml:space="preserve"> products </w:t>
      </w:r>
      <w:r w:rsidR="00ED7C84">
        <w:t xml:space="preserve">that </w:t>
      </w:r>
      <w:r w:rsidR="009116DD">
        <w:t xml:space="preserve">were </w:t>
      </w:r>
      <w:r w:rsidR="008A30E9">
        <w:t xml:space="preserve">removed from the PBS </w:t>
      </w:r>
      <w:r w:rsidR="009116DD">
        <w:t>between January 2004 and December 2015</w:t>
      </w:r>
      <w:r>
        <w:t xml:space="preserve">. </w:t>
      </w:r>
    </w:p>
    <w:p w:rsidR="00104529" w:rsidRDefault="00104529" w:rsidP="00104529">
      <w:pPr>
        <w:pStyle w:val="Tabletitle"/>
      </w:pPr>
      <w:r w:rsidRPr="001420B3">
        <w:t xml:space="preserve">Table </w:t>
      </w:r>
      <w:r w:rsidR="00486C85">
        <w:t>4</w:t>
      </w:r>
      <w:r w:rsidRPr="001420B3">
        <w:t xml:space="preserve">: </w:t>
      </w:r>
      <w:r>
        <w:t xml:space="preserve">Glaucoma medicines </w:t>
      </w:r>
      <w:r w:rsidR="004A4608">
        <w:t>removed</w:t>
      </w:r>
      <w:r w:rsidR="00382644">
        <w:t xml:space="preserve"> </w:t>
      </w:r>
      <w:r>
        <w:t>from the PBS</w:t>
      </w:r>
    </w:p>
    <w:tbl>
      <w:tblPr>
        <w:tblStyle w:val="TableGrid"/>
        <w:tblW w:w="0" w:type="auto"/>
        <w:tblLook w:val="04A0" w:firstRow="1" w:lastRow="0" w:firstColumn="1" w:lastColumn="0" w:noHBand="0" w:noVBand="1"/>
        <w:tblCaption w:val="Glaucoma medicines removed from the PBS"/>
        <w:tblDescription w:val="A table of Glaucoma medicines removed from the PBS"/>
      </w:tblPr>
      <w:tblGrid>
        <w:gridCol w:w="1564"/>
        <w:gridCol w:w="3055"/>
      </w:tblGrid>
      <w:tr w:rsidR="006D108F" w:rsidTr="00BC54B5">
        <w:trPr>
          <w:tblHeader/>
        </w:trPr>
        <w:tc>
          <w:tcPr>
            <w:tcW w:w="0" w:type="auto"/>
            <w:shd w:val="clear" w:color="auto" w:fill="BFBFBF" w:themeFill="background1" w:themeFillShade="BF"/>
          </w:tcPr>
          <w:p w:rsidR="006D108F" w:rsidRPr="004D0EC5" w:rsidRDefault="006D108F" w:rsidP="00583FB9">
            <w:pPr>
              <w:pStyle w:val="Tableheading"/>
              <w:rPr>
                <w:sz w:val="20"/>
                <w:szCs w:val="20"/>
              </w:rPr>
            </w:pPr>
            <w:r w:rsidRPr="004D0EC5">
              <w:rPr>
                <w:sz w:val="20"/>
                <w:szCs w:val="20"/>
              </w:rPr>
              <w:t>Date</w:t>
            </w:r>
          </w:p>
        </w:tc>
        <w:tc>
          <w:tcPr>
            <w:tcW w:w="0" w:type="auto"/>
            <w:shd w:val="clear" w:color="auto" w:fill="BFBFBF" w:themeFill="background1" w:themeFillShade="BF"/>
          </w:tcPr>
          <w:p w:rsidR="006D108F" w:rsidRPr="004D0EC5" w:rsidRDefault="006D108F" w:rsidP="00583FB9">
            <w:pPr>
              <w:pStyle w:val="Tableheading"/>
              <w:rPr>
                <w:sz w:val="20"/>
                <w:szCs w:val="20"/>
              </w:rPr>
            </w:pPr>
            <w:r w:rsidRPr="004D0EC5">
              <w:rPr>
                <w:sz w:val="20"/>
                <w:szCs w:val="20"/>
              </w:rPr>
              <w:t>Drug</w:t>
            </w:r>
            <w:r w:rsidR="00104529">
              <w:rPr>
                <w:sz w:val="20"/>
                <w:szCs w:val="20"/>
              </w:rPr>
              <w:t xml:space="preserve"> (brand)</w:t>
            </w:r>
          </w:p>
        </w:tc>
      </w:tr>
      <w:tr w:rsidR="006D108F" w:rsidTr="00583FB9">
        <w:tc>
          <w:tcPr>
            <w:tcW w:w="0" w:type="auto"/>
          </w:tcPr>
          <w:p w:rsidR="006D108F" w:rsidRDefault="006D108F" w:rsidP="00583FB9">
            <w:pPr>
              <w:pStyle w:val="Tablewriting"/>
            </w:pPr>
            <w:r>
              <w:t>December 2004</w:t>
            </w:r>
          </w:p>
        </w:tc>
        <w:tc>
          <w:tcPr>
            <w:tcW w:w="0" w:type="auto"/>
          </w:tcPr>
          <w:p w:rsidR="006D108F" w:rsidRDefault="006D108F" w:rsidP="006D108F">
            <w:pPr>
              <w:pStyle w:val="Tablewriting"/>
            </w:pPr>
            <w:r w:rsidRPr="006D108F">
              <w:t xml:space="preserve">Timolol with pilocarpine </w:t>
            </w:r>
            <w:r>
              <w:t>(Timpilo</w:t>
            </w:r>
            <w:r>
              <w:rPr>
                <w:rFonts w:ascii="Calibri" w:hAnsi="Calibri"/>
              </w:rPr>
              <w:t>®</w:t>
            </w:r>
            <w:r>
              <w:t>)</w:t>
            </w:r>
          </w:p>
        </w:tc>
      </w:tr>
      <w:tr w:rsidR="006D108F" w:rsidTr="00583FB9">
        <w:tc>
          <w:tcPr>
            <w:tcW w:w="0" w:type="auto"/>
          </w:tcPr>
          <w:p w:rsidR="006D108F" w:rsidRDefault="006D108F" w:rsidP="00583FB9">
            <w:pPr>
              <w:pStyle w:val="Tablewriting"/>
            </w:pPr>
            <w:r>
              <w:t>December 2004</w:t>
            </w:r>
          </w:p>
        </w:tc>
        <w:tc>
          <w:tcPr>
            <w:tcW w:w="0" w:type="auto"/>
          </w:tcPr>
          <w:p w:rsidR="006D108F" w:rsidRDefault="006D108F" w:rsidP="00583FB9">
            <w:pPr>
              <w:pStyle w:val="Tablewriting"/>
            </w:pPr>
            <w:r>
              <w:t>Acetazolamide injection (Diamox</w:t>
            </w:r>
            <w:r>
              <w:rPr>
                <w:rFonts w:ascii="Calibri" w:hAnsi="Calibri"/>
              </w:rPr>
              <w:t>®</w:t>
            </w:r>
            <w:r>
              <w:t>)</w:t>
            </w:r>
          </w:p>
        </w:tc>
      </w:tr>
      <w:tr w:rsidR="006D108F" w:rsidTr="00583FB9">
        <w:tc>
          <w:tcPr>
            <w:tcW w:w="0" w:type="auto"/>
          </w:tcPr>
          <w:p w:rsidR="006D108F" w:rsidRDefault="006D108F" w:rsidP="00583FB9">
            <w:pPr>
              <w:pStyle w:val="Tablewriting"/>
            </w:pPr>
            <w:r>
              <w:t>April 2006</w:t>
            </w:r>
          </w:p>
        </w:tc>
        <w:tc>
          <w:tcPr>
            <w:tcW w:w="0" w:type="auto"/>
          </w:tcPr>
          <w:p w:rsidR="006D108F" w:rsidRDefault="006D108F" w:rsidP="00583FB9">
            <w:pPr>
              <w:pStyle w:val="Tablewriting"/>
            </w:pPr>
            <w:r>
              <w:t>Carbachol (</w:t>
            </w:r>
            <w:r w:rsidRPr="006D108F">
              <w:t>Isopto Carbachol</w:t>
            </w:r>
            <w:r>
              <w:t>®)</w:t>
            </w:r>
          </w:p>
        </w:tc>
      </w:tr>
      <w:tr w:rsidR="006D108F" w:rsidTr="00583FB9">
        <w:tc>
          <w:tcPr>
            <w:tcW w:w="0" w:type="auto"/>
          </w:tcPr>
          <w:p w:rsidR="006D108F" w:rsidRDefault="006D108F" w:rsidP="00583FB9">
            <w:pPr>
              <w:pStyle w:val="Tablewriting"/>
            </w:pPr>
            <w:r>
              <w:t>December 2006</w:t>
            </w:r>
          </w:p>
        </w:tc>
        <w:tc>
          <w:tcPr>
            <w:tcW w:w="0" w:type="auto"/>
          </w:tcPr>
          <w:p w:rsidR="006D108F" w:rsidRDefault="006D108F" w:rsidP="00583FB9">
            <w:pPr>
              <w:pStyle w:val="Tablewriting"/>
            </w:pPr>
            <w:r>
              <w:t>Pilocarpine (Pilopt®)</w:t>
            </w:r>
          </w:p>
        </w:tc>
      </w:tr>
      <w:tr w:rsidR="006D108F" w:rsidTr="00583FB9">
        <w:tc>
          <w:tcPr>
            <w:tcW w:w="0" w:type="auto"/>
          </w:tcPr>
          <w:p w:rsidR="006D108F" w:rsidRDefault="006D108F" w:rsidP="00583FB9">
            <w:pPr>
              <w:pStyle w:val="Tablewriting"/>
            </w:pPr>
            <w:r>
              <w:t>January 2008</w:t>
            </w:r>
          </w:p>
        </w:tc>
        <w:tc>
          <w:tcPr>
            <w:tcW w:w="0" w:type="auto"/>
          </w:tcPr>
          <w:p w:rsidR="006D108F" w:rsidRDefault="006D108F" w:rsidP="00583FB9">
            <w:pPr>
              <w:pStyle w:val="Tablewriting"/>
            </w:pPr>
            <w:r>
              <w:t>Pilocarpine (</w:t>
            </w:r>
            <w:r w:rsidRPr="006D108F">
              <w:t>P.V. Carpine</w:t>
            </w:r>
            <w:r>
              <w:t>®)</w:t>
            </w:r>
          </w:p>
        </w:tc>
      </w:tr>
      <w:tr w:rsidR="006D108F" w:rsidTr="00583FB9">
        <w:tc>
          <w:tcPr>
            <w:tcW w:w="0" w:type="auto"/>
          </w:tcPr>
          <w:p w:rsidR="006D108F" w:rsidRDefault="006D108F" w:rsidP="00583FB9">
            <w:pPr>
              <w:pStyle w:val="Tablewriting"/>
            </w:pPr>
            <w:r>
              <w:t>September 2008</w:t>
            </w:r>
          </w:p>
        </w:tc>
        <w:tc>
          <w:tcPr>
            <w:tcW w:w="0" w:type="auto"/>
          </w:tcPr>
          <w:p w:rsidR="006D108F" w:rsidRDefault="006D108F" w:rsidP="00583FB9">
            <w:pPr>
              <w:pStyle w:val="Tablewriting"/>
            </w:pPr>
            <w:r>
              <w:t>Dipivefrine (Propine®)</w:t>
            </w:r>
          </w:p>
        </w:tc>
      </w:tr>
      <w:tr w:rsidR="006D108F" w:rsidTr="00583FB9">
        <w:tc>
          <w:tcPr>
            <w:tcW w:w="0" w:type="auto"/>
          </w:tcPr>
          <w:p w:rsidR="006D108F" w:rsidRDefault="00D37A5E" w:rsidP="00583FB9">
            <w:pPr>
              <w:pStyle w:val="Tablewriting"/>
            </w:pPr>
            <w:r>
              <w:t>December 2008</w:t>
            </w:r>
          </w:p>
        </w:tc>
        <w:tc>
          <w:tcPr>
            <w:tcW w:w="0" w:type="auto"/>
          </w:tcPr>
          <w:p w:rsidR="006D108F" w:rsidRDefault="00D37A5E" w:rsidP="00583FB9">
            <w:pPr>
              <w:pStyle w:val="Tablewriting"/>
            </w:pPr>
            <w:r>
              <w:t>Levobunolol (Betagan®)</w:t>
            </w:r>
          </w:p>
        </w:tc>
      </w:tr>
      <w:tr w:rsidR="006D108F" w:rsidTr="00583FB9">
        <w:tc>
          <w:tcPr>
            <w:tcW w:w="0" w:type="auto"/>
          </w:tcPr>
          <w:p w:rsidR="006D108F" w:rsidRDefault="00D37A5E" w:rsidP="00583FB9">
            <w:pPr>
              <w:pStyle w:val="Tablewriting"/>
            </w:pPr>
            <w:r>
              <w:t>May 2014</w:t>
            </w:r>
          </w:p>
        </w:tc>
        <w:tc>
          <w:tcPr>
            <w:tcW w:w="0" w:type="auto"/>
          </w:tcPr>
          <w:p w:rsidR="006D108F" w:rsidRDefault="00D37A5E" w:rsidP="00583FB9">
            <w:pPr>
              <w:pStyle w:val="Tablewriting"/>
            </w:pPr>
            <w:r>
              <w:t>Timolol (Tenopt</w:t>
            </w:r>
            <w:r>
              <w:rPr>
                <w:rFonts w:ascii="Calibri" w:hAnsi="Calibri"/>
              </w:rPr>
              <w:t>®</w:t>
            </w:r>
            <w:r>
              <w:t>)</w:t>
            </w:r>
          </w:p>
        </w:tc>
      </w:tr>
    </w:tbl>
    <w:p w:rsidR="00AF38DF" w:rsidRDefault="00104529" w:rsidP="00104529">
      <w:pPr>
        <w:pStyle w:val="Notes"/>
      </w:pPr>
      <w:r>
        <w:t>Source: Department of Health PBS Schedule Summary database, extracted March 2016</w:t>
      </w:r>
    </w:p>
    <w:p w:rsidR="00231282" w:rsidRPr="00C43D88" w:rsidRDefault="00231282" w:rsidP="00231282">
      <w:r>
        <w:t xml:space="preserve">There </w:t>
      </w:r>
      <w:r w:rsidR="003E70CE">
        <w:t>have been</w:t>
      </w:r>
      <w:r>
        <w:t xml:space="preserve"> a number of changes to </w:t>
      </w:r>
      <w:r w:rsidR="003523F7">
        <w:t xml:space="preserve">the </w:t>
      </w:r>
      <w:r>
        <w:t xml:space="preserve">PBS restrictions. In </w:t>
      </w:r>
      <w:r>
        <w:rPr>
          <w:b/>
        </w:rPr>
        <w:t>July 2009</w:t>
      </w:r>
      <w:r>
        <w:t>, the restrictions for prostaglandin analogue with timolol FDCs were changed to also allow patients whose condition was not sufficiently controlled with prostaglandin analogues to start a</w:t>
      </w:r>
      <w:r w:rsidR="00745CD3">
        <w:t>n</w:t>
      </w:r>
      <w:r>
        <w:t xml:space="preserve"> FDC</w:t>
      </w:r>
      <w:r w:rsidR="00051888">
        <w:t xml:space="preserve">. </w:t>
      </w:r>
      <w:r>
        <w:t xml:space="preserve">The restrictions previously required the condition to be not adequately controlled with timolol. </w:t>
      </w:r>
    </w:p>
    <w:p w:rsidR="00231282" w:rsidRDefault="00231282" w:rsidP="00231282">
      <w:r>
        <w:t xml:space="preserve">In </w:t>
      </w:r>
      <w:r>
        <w:rPr>
          <w:b/>
        </w:rPr>
        <w:t>July 2010</w:t>
      </w:r>
      <w:r>
        <w:t>, the restrictions of timolol</w:t>
      </w:r>
      <w:r>
        <w:noBreakHyphen/>
        <w:t>containing glaucoma medicines were changed to remove the requirement that intra</w:t>
      </w:r>
      <w:r>
        <w:noBreakHyphen/>
        <w:t xml:space="preserve">ocular pressure is not adequately controlled with </w:t>
      </w:r>
      <w:r>
        <w:lastRenderedPageBreak/>
        <w:t xml:space="preserve">timolol.  The restrictions were changed to include all patients whose condition was not adequately controlled with monotherapy. </w:t>
      </w:r>
    </w:p>
    <w:p w:rsidR="0018484E" w:rsidRPr="0018484E" w:rsidRDefault="0018484E" w:rsidP="0018484E">
      <w:pPr>
        <w:rPr>
          <w:b/>
        </w:rPr>
      </w:pPr>
      <w:r w:rsidRPr="0018484E">
        <w:rPr>
          <w:b/>
        </w:rPr>
        <w:t>Optometrist prescribing</w:t>
      </w:r>
    </w:p>
    <w:p w:rsidR="00AE3406" w:rsidRDefault="00AE3406" w:rsidP="00A35800">
      <w:r>
        <w:t xml:space="preserve">In </w:t>
      </w:r>
      <w:r w:rsidRPr="008D1ED4">
        <w:rPr>
          <w:b/>
        </w:rPr>
        <w:t>January 2008</w:t>
      </w:r>
      <w:r>
        <w:t xml:space="preserve">, optometrists were </w:t>
      </w:r>
      <w:r w:rsidR="00ED5914">
        <w:t xml:space="preserve">permitted </w:t>
      </w:r>
      <w:r>
        <w:t xml:space="preserve">to prescribe some items on the PBS. </w:t>
      </w:r>
      <w:r w:rsidR="0018484E">
        <w:t xml:space="preserve">At the time this did not include medicines for glaucoma. </w:t>
      </w:r>
      <w:r>
        <w:t xml:space="preserve">Optometrists </w:t>
      </w:r>
      <w:r w:rsidR="00AB6164">
        <w:t xml:space="preserve">were required </w:t>
      </w:r>
      <w:r>
        <w:t xml:space="preserve">to be accredited to prescribe under relevant State or Territory legislation and approved as PBS prescribers. Refer to the </w:t>
      </w:r>
      <w:r w:rsidRPr="00875951">
        <w:t>January 2008 PBS Schedule Summary of Changes</w:t>
      </w:r>
      <w:r>
        <w:t xml:space="preserve"> for full details of the listings. </w:t>
      </w:r>
    </w:p>
    <w:p w:rsidR="008D1ED4" w:rsidRDefault="008D1ED4" w:rsidP="00A35800">
      <w:r>
        <w:t xml:space="preserve">In </w:t>
      </w:r>
      <w:r w:rsidRPr="00EE0836">
        <w:rPr>
          <w:b/>
        </w:rPr>
        <w:t>March 2009</w:t>
      </w:r>
      <w:r>
        <w:t>, topical anti</w:t>
      </w:r>
      <w:r>
        <w:noBreakHyphen/>
        <w:t xml:space="preserve">glaucoma medicines </w:t>
      </w:r>
      <w:r w:rsidR="0057741B">
        <w:t>were added to</w:t>
      </w:r>
      <w:r>
        <w:t xml:space="preserve"> the PBS </w:t>
      </w:r>
      <w:r w:rsidR="0057741B">
        <w:t xml:space="preserve">medicines for authorised optometrists </w:t>
      </w:r>
      <w:r>
        <w:t xml:space="preserve">under shared care arrangements with an ophthalmologist.  </w:t>
      </w:r>
      <w:r w:rsidR="0038739F">
        <w:t>P</w:t>
      </w:r>
      <w:r>
        <w:t xml:space="preserve">atients </w:t>
      </w:r>
      <w:r w:rsidR="00444EE1">
        <w:t>who had a</w:t>
      </w:r>
      <w:r w:rsidR="0038739F">
        <w:t xml:space="preserve"> provisional diagnosis of glaucoma from their optometrist were required to be referred to an ophthalmologist for confirmation of diagnosis and development of a written management plan. Following confirmation of diagnosis and development of a treatment plan, </w:t>
      </w:r>
      <w:r w:rsidR="007E3CA5">
        <w:t xml:space="preserve">authorised </w:t>
      </w:r>
      <w:r w:rsidR="0038739F">
        <w:t xml:space="preserve">optometrists </w:t>
      </w:r>
      <w:r w:rsidR="00444EE1">
        <w:t>could</w:t>
      </w:r>
      <w:r w:rsidR="0038739F">
        <w:t xml:space="preserve"> monitor patients and prescribe topical medication under the PBS. Periodic review </w:t>
      </w:r>
      <w:r w:rsidR="00444EE1">
        <w:t>was required to</w:t>
      </w:r>
      <w:r w:rsidR="0038739F">
        <w:t xml:space="preserve"> show the treatment</w:t>
      </w:r>
      <w:r w:rsidR="00444EE1">
        <w:t xml:space="preserve"> was</w:t>
      </w:r>
      <w:r w:rsidR="0038739F">
        <w:t xml:space="preserve"> effective. Changes to management </w:t>
      </w:r>
      <w:r w:rsidR="00675784">
        <w:t xml:space="preserve">were to be </w:t>
      </w:r>
      <w:r w:rsidR="0038739F">
        <w:t xml:space="preserve">initiated following consultation between practitioners. </w:t>
      </w:r>
      <w:r w:rsidR="00770EEF">
        <w:t>Further information on these arrangements is available in</w:t>
      </w:r>
      <w:r w:rsidR="00C84944">
        <w:t xml:space="preserve"> </w:t>
      </w:r>
      <w:r w:rsidR="0038739F">
        <w:t>the General Statement for Topical Anti-Glaucoma Drugs Prescribed by Authorised Optometrists as Pharmaceutical Benefits</w:t>
      </w:r>
      <w:r w:rsidR="00C84944">
        <w:t xml:space="preserve"> in the </w:t>
      </w:r>
      <w:r w:rsidR="00C84944" w:rsidRPr="00875951">
        <w:t>March 2009 PBS Schedule</w:t>
      </w:r>
      <w:r w:rsidR="0038739F">
        <w:t xml:space="preserve">. </w:t>
      </w:r>
    </w:p>
    <w:p w:rsidR="008D590E" w:rsidRDefault="008D590E" w:rsidP="00A35800">
      <w:r>
        <w:t xml:space="preserve">In </w:t>
      </w:r>
      <w:r w:rsidRPr="00745CD3">
        <w:rPr>
          <w:b/>
        </w:rPr>
        <w:t>March 2015</w:t>
      </w:r>
      <w:r>
        <w:t xml:space="preserve">, the PBAC considered a </w:t>
      </w:r>
      <w:r w:rsidRPr="001C646B">
        <w:t>submission by Optometry Australia</w:t>
      </w:r>
      <w:r>
        <w:t xml:space="preserve"> to remove </w:t>
      </w:r>
      <w:r w:rsidR="00081EB8">
        <w:t xml:space="preserve">the </w:t>
      </w:r>
      <w:r>
        <w:t xml:space="preserve">requirement </w:t>
      </w:r>
      <w:r w:rsidR="00081EB8">
        <w:t xml:space="preserve">for optometrists to have a formalised shared care arrangement with an ophthalmologist to prescribe glaucoma medicines on the PBS; </w:t>
      </w:r>
      <w:r>
        <w:t xml:space="preserve">to reflect the Optometry Board of Australia’s revised guidelines that were released in December 2014. </w:t>
      </w:r>
      <w:r w:rsidRPr="008D590E">
        <w:t>The revised guidelines enabled endorsed optometrists to diagnose and initiate treatment for chronic glaucoma. A referral for ophthalmological assessment for confirmation of diagnosis and advice on management is to be provided to the patient within four months.</w:t>
      </w:r>
      <w:r>
        <w:t xml:space="preserve"> The PBAC noted that optometrists are able to prescribe glaucoma medicines as private prescriptions. The PBAC </w:t>
      </w:r>
      <w:r w:rsidR="004F4664">
        <w:t xml:space="preserve">recommended the change and </w:t>
      </w:r>
      <w:r>
        <w:t>re-iterated its view from April 2011, that the issue for the Committee is PBS-subsidised access for patients by means of authorised health professionals approved to prescribe in the relevant state and territory jurisdictions.</w:t>
      </w:r>
      <w:r w:rsidR="00081EB8">
        <w:t xml:space="preserve"> </w:t>
      </w:r>
      <w:r w:rsidRPr="00D134B5">
        <w:t xml:space="preserve">For further details refer to the </w:t>
      </w:r>
      <w:r w:rsidRPr="00875951">
        <w:t>Anti</w:t>
      </w:r>
      <w:r w:rsidRPr="00875951">
        <w:noBreakHyphen/>
        <w:t>glaucoma medicines Public Summary Document</w:t>
      </w:r>
      <w:r w:rsidRPr="00D134B5">
        <w:t xml:space="preserve"> from the </w:t>
      </w:r>
      <w:r>
        <w:t>March 2015</w:t>
      </w:r>
      <w:r w:rsidRPr="00D134B5">
        <w:t xml:space="preserve"> PBAC meeting.</w:t>
      </w:r>
      <w:r w:rsidR="00081EB8">
        <w:t xml:space="preserve"> This change was implemented</w:t>
      </w:r>
      <w:r w:rsidR="00081EB8" w:rsidRPr="00081EB8">
        <w:t xml:space="preserve"> </w:t>
      </w:r>
      <w:r w:rsidR="00081EB8">
        <w:t xml:space="preserve">in </w:t>
      </w:r>
      <w:r w:rsidR="00081EB8" w:rsidRPr="00AE3406">
        <w:rPr>
          <w:b/>
        </w:rPr>
        <w:t>July 2015</w:t>
      </w:r>
      <w:r w:rsidR="00081EB8">
        <w:t>. The notes to the restrictions of optometrist listings state “</w:t>
      </w:r>
      <w:r w:rsidR="00081EB8" w:rsidRPr="00AE3406">
        <w:t>For prescribing in accordance with Optometry Board of Australia guidelines</w:t>
      </w:r>
      <w:r w:rsidR="00081EB8">
        <w:t>”.</w:t>
      </w:r>
    </w:p>
    <w:p w:rsidR="00BF544D" w:rsidRPr="002F61CA" w:rsidRDefault="00BF544D" w:rsidP="00BF544D">
      <w:r w:rsidRPr="002F61CA">
        <w:t xml:space="preserve">Current PBS listing details are available from </w:t>
      </w:r>
      <w:r>
        <w:t xml:space="preserve">the </w:t>
      </w:r>
      <w:hyperlink r:id="rId12" w:history="1">
        <w:r w:rsidRPr="00855A54">
          <w:rPr>
            <w:rStyle w:val="Hyperlink"/>
          </w:rPr>
          <w:t>PBS website</w:t>
        </w:r>
      </w:hyperlink>
      <w:r>
        <w:t>.</w:t>
      </w:r>
    </w:p>
    <w:p w:rsidR="00736041" w:rsidRPr="005E22C2" w:rsidRDefault="00394AEE" w:rsidP="00F20F08">
      <w:pPr>
        <w:pStyle w:val="Heading3"/>
        <w:keepNext/>
      </w:pPr>
      <w:r>
        <w:lastRenderedPageBreak/>
        <w:t>Relevant aspects of</w:t>
      </w:r>
      <w:r w:rsidR="00736041" w:rsidRPr="005E22C2">
        <w:t xml:space="preserve"> consideration</w:t>
      </w:r>
      <w:r>
        <w:t xml:space="preserve"> by the Pharmaceutical Benefits Advisory Committee (PBAC)</w:t>
      </w:r>
    </w:p>
    <w:p w:rsidR="00FF2FCC" w:rsidRDefault="00FF2FCC" w:rsidP="00F20F08">
      <w:pPr>
        <w:keepNext/>
        <w:rPr>
          <w:b/>
        </w:rPr>
      </w:pPr>
      <w:r>
        <w:rPr>
          <w:b/>
        </w:rPr>
        <w:t>Latanoprost with timolol</w:t>
      </w:r>
      <w:r w:rsidR="00206568">
        <w:rPr>
          <w:b/>
        </w:rPr>
        <w:t xml:space="preserve"> (2005)</w:t>
      </w:r>
    </w:p>
    <w:p w:rsidR="00FF35D9" w:rsidRDefault="00FF35D9" w:rsidP="00FF35D9">
      <w:r>
        <w:t xml:space="preserve">A submission to list latanoprost with timolol was rejected by the PBAC in July 2001 due to insufficient evidence of additional benefit over latanoprost monotherapy.  A July 2005 resubmission was deferred. </w:t>
      </w:r>
    </w:p>
    <w:p w:rsidR="00FF35D9" w:rsidRPr="00206568" w:rsidRDefault="00FF35D9" w:rsidP="00A35800">
      <w:r>
        <w:t xml:space="preserve">For further details refer to </w:t>
      </w:r>
      <w:r w:rsidRPr="00F65F0D">
        <w:t xml:space="preserve">the </w:t>
      </w:r>
      <w:hyperlink r:id="rId13" w:history="1">
        <w:r w:rsidRPr="00855A54">
          <w:rPr>
            <w:rStyle w:val="Hyperlink"/>
          </w:rPr>
          <w:t>Public Summary Document</w:t>
        </w:r>
      </w:hyperlink>
      <w:r>
        <w:t xml:space="preserve"> </w:t>
      </w:r>
      <w:r w:rsidRPr="00F65F0D">
        <w:t xml:space="preserve">from the </w:t>
      </w:r>
      <w:r>
        <w:t>July 2005 PBAC meeting.</w:t>
      </w:r>
    </w:p>
    <w:p w:rsidR="00206568" w:rsidRDefault="00206568" w:rsidP="00206568">
      <w:r>
        <w:t xml:space="preserve">In November 2005, the PBAC recommended the listing of latanoprost with timolol. The submission was able to show the FDC reduced intraocular pressure by at least 1.5 mm Hg compared to latanoprost monotherapy. This was the magnitude of reduction that was considered clinically relevant by the PBAC. </w:t>
      </w:r>
    </w:p>
    <w:p w:rsidR="00206568" w:rsidRDefault="00206568" w:rsidP="00206568">
      <w:r>
        <w:t xml:space="preserve">For further details refer to </w:t>
      </w:r>
      <w:r w:rsidRPr="00F65F0D">
        <w:t xml:space="preserve">the </w:t>
      </w:r>
      <w:hyperlink r:id="rId14" w:history="1">
        <w:r w:rsidRPr="00855A54">
          <w:rPr>
            <w:rStyle w:val="Hyperlink"/>
          </w:rPr>
          <w:t>Public Summary Document</w:t>
        </w:r>
      </w:hyperlink>
      <w:r>
        <w:t xml:space="preserve"> </w:t>
      </w:r>
      <w:r w:rsidRPr="00F65F0D">
        <w:t xml:space="preserve">from the </w:t>
      </w:r>
      <w:r>
        <w:t>November 2005 PBAC meeting.</w:t>
      </w:r>
    </w:p>
    <w:p w:rsidR="00607F26" w:rsidRDefault="00051888" w:rsidP="00A35800">
      <w:pPr>
        <w:rPr>
          <w:b/>
        </w:rPr>
      </w:pPr>
      <w:r>
        <w:rPr>
          <w:b/>
        </w:rPr>
        <w:t>Travoprost</w:t>
      </w:r>
      <w:r w:rsidR="00607F26">
        <w:rPr>
          <w:b/>
        </w:rPr>
        <w:t xml:space="preserve"> with timolol</w:t>
      </w:r>
      <w:r w:rsidR="00FF2FCC">
        <w:rPr>
          <w:b/>
        </w:rPr>
        <w:t xml:space="preserve"> (July 2006 and March 2007)</w:t>
      </w:r>
    </w:p>
    <w:p w:rsidR="00607F26" w:rsidRDefault="00607F26" w:rsidP="00A35800">
      <w:r>
        <w:t>The PBAC recommended the listing of travoprost with timolol for the reduction of intraocular pressure in patients with open angle glaucoma or ocular hypertension not adequately controlled with timolol or travoprost. The listing was recommended on a cost</w:t>
      </w:r>
      <w:r>
        <w:noBreakHyphen/>
        <w:t xml:space="preserve">minimisation </w:t>
      </w:r>
      <w:bookmarkStart w:id="0" w:name="_GoBack"/>
      <w:bookmarkEnd w:id="0"/>
      <w:r>
        <w:t xml:space="preserve">basis with latanoprost with timolol. </w:t>
      </w:r>
    </w:p>
    <w:p w:rsidR="00D353DC" w:rsidRDefault="00D353DC" w:rsidP="00A35800">
      <w:r>
        <w:t xml:space="preserve">For further details refer to </w:t>
      </w:r>
      <w:r w:rsidRPr="00F65F0D">
        <w:t xml:space="preserve">the </w:t>
      </w:r>
      <w:r w:rsidRPr="00875951">
        <w:t>Public Summary Document</w:t>
      </w:r>
      <w:r>
        <w:t xml:space="preserve"> </w:t>
      </w:r>
      <w:r w:rsidRPr="00F65F0D">
        <w:t xml:space="preserve">from the </w:t>
      </w:r>
      <w:r>
        <w:t>July 2006 PBAC meeting.</w:t>
      </w:r>
    </w:p>
    <w:p w:rsidR="00607F26" w:rsidRDefault="00607F26" w:rsidP="00A35800">
      <w:r>
        <w:t xml:space="preserve">In March 2007, the PBAC recommended a change to the restriction to allow patients not achieving an adequate response to latanoprost </w:t>
      </w:r>
      <w:r w:rsidR="008D75EB">
        <w:t>to</w:t>
      </w:r>
      <w:r>
        <w:t xml:space="preserve"> use travoprost with timolol. </w:t>
      </w:r>
    </w:p>
    <w:p w:rsidR="00D353DC" w:rsidRPr="00607F26" w:rsidRDefault="00D353DC" w:rsidP="00A35800">
      <w:r>
        <w:t xml:space="preserve">For further details refer to </w:t>
      </w:r>
      <w:r w:rsidRPr="00F65F0D">
        <w:t xml:space="preserve">the </w:t>
      </w:r>
      <w:hyperlink r:id="rId15" w:history="1">
        <w:r w:rsidRPr="00855A54">
          <w:rPr>
            <w:rStyle w:val="Hyperlink"/>
          </w:rPr>
          <w:t>Public Summary Document</w:t>
        </w:r>
      </w:hyperlink>
      <w:r>
        <w:t xml:space="preserve"> </w:t>
      </w:r>
      <w:r w:rsidRPr="00F65F0D">
        <w:t xml:space="preserve">from the </w:t>
      </w:r>
      <w:r w:rsidR="006A698C">
        <w:t>March 2007 PBAC meeting.</w:t>
      </w:r>
    </w:p>
    <w:p w:rsidR="00917F02" w:rsidRDefault="00917F02" w:rsidP="00A35800">
      <w:pPr>
        <w:rPr>
          <w:b/>
        </w:rPr>
      </w:pPr>
      <w:r>
        <w:rPr>
          <w:b/>
        </w:rPr>
        <w:t>Bimatoprost with timolol (March 2009)</w:t>
      </w:r>
    </w:p>
    <w:p w:rsidR="00917F02" w:rsidRDefault="00C43D88" w:rsidP="00A35800">
      <w:r>
        <w:t>T</w:t>
      </w:r>
      <w:r w:rsidRPr="00C43D88">
        <w:t>he PBAC recommended the listing of bimatoprost with timolol maleate on the PBS on a cost-minimisation basis compared with its constituent components given concomitantly.</w:t>
      </w:r>
      <w:r>
        <w:t xml:space="preserve"> </w:t>
      </w:r>
      <w:r w:rsidR="003A0E3D">
        <w:t>As requested by the sponsor, t</w:t>
      </w:r>
      <w:r w:rsidRPr="00C43D88">
        <w:t>he PBAC recommended changing the wording of the restrictions for all PBS-listed timolol with prostaglandin analogue combinations so that patients who are on a timolol/prostaglandin analogue combination do not have to return to monotherapy with timolol prior to a change in the combination eye drop.</w:t>
      </w:r>
    </w:p>
    <w:p w:rsidR="001B6CBB" w:rsidRPr="00917F02" w:rsidRDefault="001B6CBB" w:rsidP="00A35800">
      <w:r>
        <w:t xml:space="preserve">For further details refer to </w:t>
      </w:r>
      <w:r w:rsidRPr="00F65F0D">
        <w:t xml:space="preserve">the </w:t>
      </w:r>
      <w:hyperlink r:id="rId16" w:history="1">
        <w:r w:rsidRPr="00855A54">
          <w:rPr>
            <w:rStyle w:val="Hyperlink"/>
          </w:rPr>
          <w:t>Public Summary Document</w:t>
        </w:r>
      </w:hyperlink>
      <w:r>
        <w:t xml:space="preserve"> </w:t>
      </w:r>
      <w:r w:rsidRPr="00F65F0D">
        <w:t xml:space="preserve">from the </w:t>
      </w:r>
      <w:r>
        <w:t>March 2009 PBAC meeting.</w:t>
      </w:r>
    </w:p>
    <w:p w:rsidR="00517FA8" w:rsidRDefault="00A66355" w:rsidP="00F20F08">
      <w:pPr>
        <w:keepNext/>
        <w:rPr>
          <w:b/>
        </w:rPr>
      </w:pPr>
      <w:r>
        <w:rPr>
          <w:b/>
        </w:rPr>
        <w:lastRenderedPageBreak/>
        <w:t>Brinzolamide with timolol (March 2010)</w:t>
      </w:r>
    </w:p>
    <w:p w:rsidR="00A66355" w:rsidRDefault="00A66355" w:rsidP="00A35800">
      <w:r w:rsidRPr="00A66355">
        <w:t>The PBAC recommended the listing of brinzolamide with timolol eye drops</w:t>
      </w:r>
      <w:r>
        <w:t xml:space="preserve"> </w:t>
      </w:r>
      <w:r w:rsidRPr="00A66355">
        <w:t>for elevated intraocular pressure due to open angle glaucoma/ocular hypertension in a patient in whom this condition is not adequately controlled with monotherapy.</w:t>
      </w:r>
      <w:r>
        <w:t xml:space="preserve"> The listing was recommended on a cost</w:t>
      </w:r>
      <w:r>
        <w:noBreakHyphen/>
        <w:t xml:space="preserve">minimisation basis against the individual components and against the combination product dorzolamide with timolol. </w:t>
      </w:r>
    </w:p>
    <w:p w:rsidR="00CB2290" w:rsidRDefault="00CB2290" w:rsidP="00A35800">
      <w:r w:rsidRPr="00CB2290">
        <w:t>The PBAC also recommended a restriction wording of “elevated intra-ocular pressure in a patient with open angle glaucoma/ocular hypertension not adequately controlled with monotherapy” be applied to all restricted benefit listings of all combination eye drops containing an alpha-agonist with timolol, a carbonic anhydrase inhibitor with timolol or a prostaglandin/prostamide analogue with timolol. The PBAC considered that the use of a combination product in a patient whose elevated intra-ocular pressure due to open angle glaucoma or ocular hypertension is not adequately controlled on monotherapy is consistent with current guidelines which no longer recommend timolol as the first line therapy for all patients.</w:t>
      </w:r>
    </w:p>
    <w:p w:rsidR="001B6CBB" w:rsidRPr="00A66355" w:rsidRDefault="001B6CBB" w:rsidP="00A35800">
      <w:r>
        <w:t xml:space="preserve">For further details refer to </w:t>
      </w:r>
      <w:r w:rsidRPr="00F65F0D">
        <w:t xml:space="preserve">the </w:t>
      </w:r>
      <w:hyperlink r:id="rId17" w:history="1">
        <w:r w:rsidRPr="00855A54">
          <w:rPr>
            <w:rStyle w:val="Hyperlink"/>
          </w:rPr>
          <w:t>Public Summary Document</w:t>
        </w:r>
      </w:hyperlink>
      <w:r>
        <w:t xml:space="preserve"> </w:t>
      </w:r>
      <w:r w:rsidRPr="00F65F0D">
        <w:t xml:space="preserve">from the </w:t>
      </w:r>
      <w:r>
        <w:t>March 2010 PBAC meeting.</w:t>
      </w:r>
    </w:p>
    <w:p w:rsidR="002252D4" w:rsidRDefault="002252D4" w:rsidP="00A35800">
      <w:pPr>
        <w:rPr>
          <w:b/>
        </w:rPr>
      </w:pPr>
      <w:r>
        <w:rPr>
          <w:b/>
        </w:rPr>
        <w:t>Tafluprost (March 2012)</w:t>
      </w:r>
    </w:p>
    <w:p w:rsidR="002252D4" w:rsidRDefault="002252D4" w:rsidP="00A35800">
      <w:r w:rsidRPr="002252D4">
        <w:t xml:space="preserve">The PBAC recommended the listing of </w:t>
      </w:r>
      <w:r w:rsidR="00634867" w:rsidRPr="002252D4">
        <w:t>tafluprost</w:t>
      </w:r>
      <w:r w:rsidR="00634867">
        <w:t>, in a preservative</w:t>
      </w:r>
      <w:r w:rsidR="00634867">
        <w:noBreakHyphen/>
        <w:t>free (PF) formulation,</w:t>
      </w:r>
      <w:r w:rsidR="009E3F37">
        <w:t xml:space="preserve"> </w:t>
      </w:r>
      <w:r w:rsidRPr="002252D4">
        <w:t>as an unrestricted benefit in the general and optometrical schedules</w:t>
      </w:r>
      <w:r w:rsidR="00634867">
        <w:t xml:space="preserve">. </w:t>
      </w:r>
      <w:r w:rsidR="001B6CBB">
        <w:t xml:space="preserve">The submission claimed the product had superior tolerability compared to latanoprost. </w:t>
      </w:r>
      <w:r w:rsidR="00A15BCB">
        <w:t xml:space="preserve">The PBAC </w:t>
      </w:r>
      <w:r w:rsidR="00251957">
        <w:t xml:space="preserve">did not accept this claim. </w:t>
      </w:r>
      <w:r w:rsidR="009E3F37">
        <w:t xml:space="preserve">The incidence of adverse events was higher in the </w:t>
      </w:r>
      <w:r w:rsidR="00491228">
        <w:t>tafluprost</w:t>
      </w:r>
      <w:r w:rsidR="009E3F37">
        <w:t xml:space="preserve"> </w:t>
      </w:r>
      <w:r w:rsidR="00634867">
        <w:t>PF formulation</w:t>
      </w:r>
      <w:r w:rsidR="009E3F37">
        <w:t xml:space="preserve"> compared to </w:t>
      </w:r>
      <w:r w:rsidR="00491228">
        <w:t>latanoprost PF</w:t>
      </w:r>
      <w:r w:rsidR="00491228" w:rsidRPr="00491228">
        <w:t xml:space="preserve"> </w:t>
      </w:r>
      <w:r w:rsidR="009E3F37">
        <w:t xml:space="preserve">and the tafluprost formulation containing a preservative. The listing </w:t>
      </w:r>
      <w:r w:rsidR="00251957">
        <w:t xml:space="preserve">was recommended </w:t>
      </w:r>
      <w:r w:rsidR="009E3F37">
        <w:t xml:space="preserve">at a lower price than </w:t>
      </w:r>
      <w:r w:rsidR="001B6CBB">
        <w:t>latanoprost due</w:t>
      </w:r>
      <w:r w:rsidR="009E3F37">
        <w:t xml:space="preserve"> to the trials not demonstrating non</w:t>
      </w:r>
      <w:r w:rsidR="009E3F37">
        <w:softHyphen/>
      </w:r>
      <w:r w:rsidR="009E3F37">
        <w:noBreakHyphen/>
        <w:t xml:space="preserve">inferiority. </w:t>
      </w:r>
    </w:p>
    <w:p w:rsidR="00E3033F" w:rsidRDefault="00E3033F" w:rsidP="00A35800">
      <w:r>
        <w:t xml:space="preserve">For further details refer to </w:t>
      </w:r>
      <w:r w:rsidRPr="00F65F0D">
        <w:t xml:space="preserve">the </w:t>
      </w:r>
      <w:hyperlink r:id="rId18" w:history="1">
        <w:r w:rsidRPr="00855A54">
          <w:rPr>
            <w:rStyle w:val="Hyperlink"/>
          </w:rPr>
          <w:t>Public Summary Document</w:t>
        </w:r>
      </w:hyperlink>
      <w:r>
        <w:t xml:space="preserve"> </w:t>
      </w:r>
      <w:r w:rsidRPr="00F65F0D">
        <w:t xml:space="preserve">from the </w:t>
      </w:r>
      <w:r>
        <w:t>March 2012</w:t>
      </w:r>
      <w:r w:rsidR="00CE35CA">
        <w:t xml:space="preserve"> PBAC meeting.</w:t>
      </w:r>
    </w:p>
    <w:p w:rsidR="00517FA8" w:rsidRDefault="00517FA8" w:rsidP="00517FA8">
      <w:pPr>
        <w:rPr>
          <w:b/>
        </w:rPr>
      </w:pPr>
      <w:r>
        <w:rPr>
          <w:b/>
        </w:rPr>
        <w:t>Dorzolamide with timolol (July 2012)</w:t>
      </w:r>
    </w:p>
    <w:p w:rsidR="00B1796D" w:rsidRDefault="00517FA8" w:rsidP="00517FA8">
      <w:r>
        <w:t xml:space="preserve">The PBAC recommended the listing of dorzolamide with timolol </w:t>
      </w:r>
      <w:r w:rsidR="00491228">
        <w:t>PF</w:t>
      </w:r>
      <w:r>
        <w:t xml:space="preserve"> eye drops </w:t>
      </w:r>
      <w:r w:rsidRPr="00517FA8">
        <w:t>for the reduction of elevated intra-ocular pressure in patients with open-angle glaucoma or ocular hypertension that is not adequately controlled with monotherapy</w:t>
      </w:r>
      <w:r>
        <w:t>. The listing was recommended on a cost</w:t>
      </w:r>
      <w:r>
        <w:noBreakHyphen/>
        <w:t>minimisation basis with the standard formulation which contains preservatives</w:t>
      </w:r>
      <w:r w:rsidR="00B1796D">
        <w:t xml:space="preserve">. </w:t>
      </w:r>
      <w:r w:rsidR="00A15BCB">
        <w:t xml:space="preserve">The </w:t>
      </w:r>
      <w:r w:rsidR="00B1796D">
        <w:t xml:space="preserve">PF </w:t>
      </w:r>
      <w:r w:rsidR="00A15BCB">
        <w:t>product was not listed on the PBS</w:t>
      </w:r>
      <w:r w:rsidR="00B1796D">
        <w:t>.</w:t>
      </w:r>
    </w:p>
    <w:p w:rsidR="00D8652E" w:rsidRPr="002252D4" w:rsidRDefault="00D8652E" w:rsidP="00517FA8">
      <w:r>
        <w:t xml:space="preserve">For further details refer to </w:t>
      </w:r>
      <w:r w:rsidRPr="00F65F0D">
        <w:t xml:space="preserve">the </w:t>
      </w:r>
      <w:hyperlink r:id="rId19" w:history="1">
        <w:r w:rsidRPr="00855A54">
          <w:rPr>
            <w:rStyle w:val="Hyperlink"/>
          </w:rPr>
          <w:t>Public Summary Document</w:t>
        </w:r>
      </w:hyperlink>
      <w:r>
        <w:t xml:space="preserve"> </w:t>
      </w:r>
      <w:r w:rsidRPr="00F65F0D">
        <w:t xml:space="preserve">from the </w:t>
      </w:r>
      <w:r>
        <w:t>July 2012 PBAC meeting.</w:t>
      </w:r>
    </w:p>
    <w:p w:rsidR="00870CC5" w:rsidRDefault="00870CC5" w:rsidP="00A35800">
      <w:pPr>
        <w:rPr>
          <w:b/>
        </w:rPr>
      </w:pPr>
      <w:r>
        <w:rPr>
          <w:b/>
        </w:rPr>
        <w:t xml:space="preserve">Bimatoprost and timolol </w:t>
      </w:r>
      <w:r w:rsidR="00491228">
        <w:rPr>
          <w:b/>
        </w:rPr>
        <w:t>PF</w:t>
      </w:r>
      <w:r w:rsidR="001F51FC">
        <w:rPr>
          <w:b/>
        </w:rPr>
        <w:t xml:space="preserve"> (March 2014)</w:t>
      </w:r>
    </w:p>
    <w:p w:rsidR="00870CC5" w:rsidRPr="00870CC5" w:rsidRDefault="00870CC5" w:rsidP="001F51FC">
      <w:r>
        <w:t xml:space="preserve">The PBAC recommended the listing of </w:t>
      </w:r>
      <w:r w:rsidR="001F51FC">
        <w:t>bim</w:t>
      </w:r>
      <w:r w:rsidR="005356D0">
        <w:t>atoprost 0.03% + timolol 0.5%</w:t>
      </w:r>
      <w:r w:rsidR="00491228">
        <w:t xml:space="preserve"> PF </w:t>
      </w:r>
      <w:r w:rsidR="001F51FC">
        <w:t xml:space="preserve">eye drops on the PBS as a Restricted Benefit for elevated intraocular pressure that </w:t>
      </w:r>
      <w:r w:rsidR="00355FE7">
        <w:t xml:space="preserve">is </w:t>
      </w:r>
      <w:r w:rsidR="001F51FC">
        <w:t xml:space="preserve">inadequately </w:t>
      </w:r>
      <w:r w:rsidR="001F51FC">
        <w:lastRenderedPageBreak/>
        <w:t xml:space="preserve">controlled by monotherapy. </w:t>
      </w:r>
      <w:r w:rsidR="00875951">
        <w:rPr>
          <w:noProof/>
          <w:color w:val="000000"/>
          <w:highlight w:val="black"/>
        </w:rPr>
        <w:t>''''''' ''''''''''' '''''''''''''''''''' '''''''' '''''''''' ''''''''''''''''''''''' ''' ''''''''''''' ''''' ''''''' ''''''''''' ''''' ''' ''''''''''''''''''''''''''''''''''' ''''''''' '''''''' ''''''''''''''''''''' ''' ''''''''''''''''' '''''''' '''''''''''' ''''''''''' ''''' ''''''''''''''''''''''' ''''' '''''''''''''''''''''' ''''''''' ''''''' '''''''''''''''''''''''''''' '''''''''''''''''''''''' ''''''''''''''''''''''''' ''' ''''''''''''''' ''''''' ''''''' ''''''''' '''''''''''''''''''''''''</w:t>
      </w:r>
      <w:r w:rsidR="00911AB9" w:rsidRPr="00911AB9">
        <w:rPr>
          <w:color w:val="7030A0"/>
        </w:rPr>
        <w:t xml:space="preserve">  </w:t>
      </w:r>
      <w:r w:rsidR="001F51FC">
        <w:t xml:space="preserve">There is no Public Summary Document for this consideration. </w:t>
      </w:r>
    </w:p>
    <w:p w:rsidR="00A01FD5" w:rsidRDefault="00425F27" w:rsidP="00A35800">
      <w:pPr>
        <w:rPr>
          <w:b/>
        </w:rPr>
      </w:pPr>
      <w:r>
        <w:rPr>
          <w:b/>
        </w:rPr>
        <w:t>Brinzolamide and brimonidine</w:t>
      </w:r>
      <w:r w:rsidR="00124919">
        <w:rPr>
          <w:b/>
        </w:rPr>
        <w:t xml:space="preserve"> (July 2015)</w:t>
      </w:r>
    </w:p>
    <w:p w:rsidR="00DA0335" w:rsidRPr="00425F27" w:rsidRDefault="00DA0335" w:rsidP="00DA0335">
      <w:r w:rsidRPr="00DA0335">
        <w:t>The PBAC recommended the Restricted Benefit listin</w:t>
      </w:r>
      <w:r>
        <w:t xml:space="preserve">g of brinzolamide with brimonidine </w:t>
      </w:r>
      <w:r w:rsidRPr="00DA0335">
        <w:t>FDC on a cost-minimisation basis against the mi</w:t>
      </w:r>
      <w:r>
        <w:t>xed comparator of dorzolamide with </w:t>
      </w:r>
      <w:r w:rsidRPr="00DA0335">
        <w:t>timolol FDC and the individual components of brinzolamide and brimonidine</w:t>
      </w:r>
      <w:r>
        <w:t>. D</w:t>
      </w:r>
      <w:r w:rsidRPr="00DA0335">
        <w:t xml:space="preserve">orzolamide </w:t>
      </w:r>
      <w:r>
        <w:t>with</w:t>
      </w:r>
      <w:r w:rsidRPr="00DA0335">
        <w:t xml:space="preserve"> timolol</w:t>
      </w:r>
      <w:r>
        <w:t xml:space="preserve"> was the least expensive of FDCs containing either a carbonic anhydrase inhibitor or alpha agonist with timolol. The PBAC considered patients using the</w:t>
      </w:r>
      <w:r w:rsidRPr="00DA0335">
        <w:t xml:space="preserve"> individual components of brinzolamide and brimonidine</w:t>
      </w:r>
      <w:r>
        <w:t xml:space="preserve"> would contribute to 12.</w:t>
      </w:r>
      <w:r w:rsidR="00E91B21">
        <w:t>7</w:t>
      </w:r>
      <w:r>
        <w:t xml:space="preserve">% of the patient population. </w:t>
      </w:r>
      <w:r w:rsidR="00E91B21" w:rsidRPr="00E91B21">
        <w:t>The PBAC noted it could not recommend the brinzolamide + brimonidine FDC for listing on the PBS at a higher price than alternative therapies,</w:t>
      </w:r>
      <w:r w:rsidR="00E91B21">
        <w:t xml:space="preserve"> unless it was satisfied that it provides </w:t>
      </w:r>
      <w:r w:rsidR="00E91B21" w:rsidRPr="00E91B21">
        <w:t>a significant improvement in efficacy or reduction of toxicity over the alternative therapies</w:t>
      </w:r>
      <w:r w:rsidR="00E91B21">
        <w:t xml:space="preserve"> for some patients. The PBAC noted that </w:t>
      </w:r>
      <w:r w:rsidR="00E91B21" w:rsidRPr="00E91B21">
        <w:t>brinzolamide and brimonidine</w:t>
      </w:r>
      <w:r w:rsidR="00E91B21">
        <w:t xml:space="preserve"> used concomitantly was the comparator for patients who could not tolerate timolol. This was estimated to be 12.7% of the population based on an abstract by Spooner et al (2002). </w:t>
      </w:r>
    </w:p>
    <w:p w:rsidR="0046728B" w:rsidRPr="0046728B" w:rsidRDefault="00D94863" w:rsidP="00B30173">
      <w:r>
        <w:t xml:space="preserve">For further details refer to </w:t>
      </w:r>
      <w:r w:rsidRPr="00F65F0D">
        <w:t xml:space="preserve">the </w:t>
      </w:r>
      <w:hyperlink r:id="rId20" w:history="1">
        <w:r w:rsidRPr="001A05FE">
          <w:rPr>
            <w:rStyle w:val="Hyperlink"/>
          </w:rPr>
          <w:t>Public Summary Document</w:t>
        </w:r>
      </w:hyperlink>
      <w:r>
        <w:t xml:space="preserve"> </w:t>
      </w:r>
      <w:r w:rsidRPr="00F65F0D">
        <w:t xml:space="preserve">from the </w:t>
      </w:r>
      <w:r w:rsidR="00DA0335">
        <w:t>July 2015</w:t>
      </w:r>
      <w:r w:rsidR="008D590E">
        <w:t xml:space="preserve"> PBAC meeting.</w:t>
      </w:r>
      <w:r w:rsidR="00B30173">
        <w:t xml:space="preserve"> </w:t>
      </w:r>
    </w:p>
    <w:p w:rsidR="00094DCF" w:rsidRDefault="00ED633B" w:rsidP="00FE645A">
      <w:pPr>
        <w:pStyle w:val="Heading3"/>
      </w:pPr>
      <w:r>
        <w:t xml:space="preserve">Previous reviews by </w:t>
      </w:r>
      <w:r w:rsidR="00177B86">
        <w:t xml:space="preserve">the </w:t>
      </w:r>
      <w:r>
        <w:t>DUSC</w:t>
      </w:r>
    </w:p>
    <w:p w:rsidR="000F6F4F" w:rsidRDefault="000F6F4F" w:rsidP="00A35800">
      <w:r>
        <w:t xml:space="preserve">DUSC has not assessed the utilisation of glaucoma medicines for many years. </w:t>
      </w:r>
    </w:p>
    <w:p w:rsidR="000F6F4F" w:rsidRDefault="000F6F4F" w:rsidP="00A35800">
      <w:r>
        <w:t xml:space="preserve">In September 2006, DUSC undertook a predicted versus actual analysis of timolol gel (Nyogel®) utilisation one year after its listing. Utilisation was </w:t>
      </w:r>
      <w:r w:rsidR="0068280D">
        <w:rPr>
          <w:noProof/>
          <w:color w:val="000000"/>
        </w:rPr>
        <w:t xml:space="preserve">higher than </w:t>
      </w:r>
      <w:r>
        <w:t xml:space="preserve">predicted by the sponsor. </w:t>
      </w:r>
    </w:p>
    <w:p w:rsidR="000F6F4F" w:rsidRDefault="000F6F4F" w:rsidP="00A35800">
      <w:r>
        <w:t xml:space="preserve">In August 2003, DUSC assessed the utilisation of </w:t>
      </w:r>
      <w:r w:rsidR="00F80780" w:rsidRPr="00F80780">
        <w:t>dorzolamide</w:t>
      </w:r>
      <w:r>
        <w:t xml:space="preserve">, brinzolamide and latanoprost. </w:t>
      </w:r>
      <w:r w:rsidR="00CA2F2A">
        <w:t xml:space="preserve">Prescriptions for glaucoma medicines increased from 2.7 million in the year February 2000 to January 2001 to 3.2 million in the year February 2002 to January 2003. </w:t>
      </w:r>
      <w:r w:rsidR="00C17870">
        <w:t>Latanoprost accounted for 43% of PBS subsidised and under co</w:t>
      </w:r>
      <w:r w:rsidR="00C17870">
        <w:noBreakHyphen/>
        <w:t xml:space="preserve">payment prescriptions and 63% of PBS benefits paid for glaucoma medicines. </w:t>
      </w:r>
      <w:r w:rsidR="008C61F5">
        <w:t>The market share of beta</w:t>
      </w:r>
      <w:r w:rsidR="008C61F5">
        <w:noBreakHyphen/>
        <w:t xml:space="preserve">blocker prescriptions decreased from 44% to 34% during the same two year period.  </w:t>
      </w:r>
    </w:p>
    <w:p w:rsidR="00E677DD" w:rsidRPr="005E22C2" w:rsidRDefault="00E677DD" w:rsidP="00587724">
      <w:pPr>
        <w:pStyle w:val="Heading4"/>
      </w:pPr>
      <w:bookmarkStart w:id="1" w:name="_Methods"/>
      <w:bookmarkEnd w:id="1"/>
      <w:r w:rsidRPr="005E22C2">
        <w:t>Method</w:t>
      </w:r>
      <w:r w:rsidR="001B5D37" w:rsidRPr="005E22C2">
        <w:t>s</w:t>
      </w:r>
    </w:p>
    <w:p w:rsidR="00372FAE" w:rsidRDefault="00372FAE" w:rsidP="00A35800">
      <w:r>
        <w:t>The analyses use</w:t>
      </w:r>
      <w:r w:rsidR="00FE7A64">
        <w:t>d</w:t>
      </w:r>
      <w:r>
        <w:t xml:space="preserve"> data from the DUSC database and the Department of Human Services (DHS) Supplied Prescriptions database. </w:t>
      </w:r>
      <w:r w:rsidR="00FE7A64">
        <w:t xml:space="preserve">The DHS Supplied prescriptions database includes data submitted to DHS </w:t>
      </w:r>
      <w:r w:rsidR="00FE7A64" w:rsidRPr="00FE7A64">
        <w:t>for payment of a PBS/RPBS subsidy by the Government</w:t>
      </w:r>
      <w:r w:rsidR="00FE7A64">
        <w:t>. This database includes actual under co</w:t>
      </w:r>
      <w:r w:rsidR="00FE7A64">
        <w:noBreakHyphen/>
        <w:t>payment prescription data from 1 April 2012. This database includes a de</w:t>
      </w:r>
      <w:r w:rsidR="00FE7A64">
        <w:noBreakHyphen/>
        <w:t>identified patient identifier number that identifies prescriptions supplied to a single patient. This allows for patients to be classified as new patients and to identify prior treatments.</w:t>
      </w:r>
      <w:r w:rsidR="00FE7A64" w:rsidRPr="00FE7A64">
        <w:t xml:space="preserve"> </w:t>
      </w:r>
      <w:r w:rsidR="00FE7A64">
        <w:t xml:space="preserve">The DHS Supplied prescriptions database is used for patient level </w:t>
      </w:r>
      <w:r w:rsidR="00FE7A64">
        <w:lastRenderedPageBreak/>
        <w:t xml:space="preserve">analyses and prescriber data. </w:t>
      </w:r>
      <w:r w:rsidRPr="00CF7365">
        <w:t xml:space="preserve">The DUSC database combines data on PBS prescriptions submitted to the </w:t>
      </w:r>
      <w:r w:rsidR="00FE7A64">
        <w:t xml:space="preserve">DHS </w:t>
      </w:r>
      <w:r>
        <w:t>with an estimate of under</w:t>
      </w:r>
      <w:r w:rsidRPr="00CF7365">
        <w:t xml:space="preserve"> </w:t>
      </w:r>
      <w:r>
        <w:t xml:space="preserve">patient </w:t>
      </w:r>
      <w:r w:rsidRPr="00CF7365">
        <w:t>co-payment prescriptions based on dispensing data from a sample of pharmacies to the end of August 2012</w:t>
      </w:r>
      <w:r>
        <w:t>.  This was</w:t>
      </w:r>
      <w:r w:rsidRPr="00CF7365">
        <w:t xml:space="preserve"> replaced by actual under </w:t>
      </w:r>
      <w:r>
        <w:t xml:space="preserve">patient </w:t>
      </w:r>
      <w:r w:rsidRPr="00CF7365">
        <w:t xml:space="preserve">co-payment </w:t>
      </w:r>
      <w:r>
        <w:t xml:space="preserve">prescription </w:t>
      </w:r>
      <w:r w:rsidRPr="00CF7365">
        <w:t xml:space="preserve">data from 1 April 2012.  </w:t>
      </w:r>
      <w:r>
        <w:t xml:space="preserve">The DUSC database is used for analyses of prescriptions and R/PBS expenditure. </w:t>
      </w:r>
    </w:p>
    <w:p w:rsidR="00720467" w:rsidRDefault="00875709" w:rsidP="00A35800">
      <w:r>
        <w:t>The analysis of first glaucoma medicine was performed for concession patients</w:t>
      </w:r>
      <w:r w:rsidR="00F30512">
        <w:t xml:space="preserve"> only</w:t>
      </w:r>
      <w:r>
        <w:t>. Patients were considered concession patients if they had not received a general prescription in the two years before starting their first glaucoma medicine.</w:t>
      </w:r>
      <w:r w:rsidR="00F30512">
        <w:t xml:space="preserve"> General prescriptions included prescriptions subsidised to the general patient co</w:t>
      </w:r>
      <w:r w:rsidR="00F30512">
        <w:noBreakHyphen/>
        <w:t>payment and, after April 2012, under co</w:t>
      </w:r>
      <w:r w:rsidR="00F30512">
        <w:noBreakHyphen/>
        <w:t xml:space="preserve">payment prescriptions. </w:t>
      </w:r>
      <w:r w:rsidR="00720467">
        <w:t>A limitation of the method is that it may mistime when patients started a medicine. For example, a general patient who start</w:t>
      </w:r>
      <w:r w:rsidR="00906789">
        <w:t>ed</w:t>
      </w:r>
      <w:r w:rsidR="00720467">
        <w:t xml:space="preserve"> a glaucoma medicine priced below the general co</w:t>
      </w:r>
      <w:r w:rsidR="00720467">
        <w:noBreakHyphen/>
        <w:t xml:space="preserve">payment in the two years before attaining concession status will be counted as a new patient when they receive their first concession prescription. </w:t>
      </w:r>
      <w:r w:rsidR="00654633">
        <w:t>This delay may also misclassify the medicine with which they started treatment if they changed medicine during this time. This error is reduced for patients who start after April 2012 when DHS started collecting under co</w:t>
      </w:r>
      <w:r w:rsidR="00654633">
        <w:noBreakHyphen/>
        <w:t>payment data. After April 201</w:t>
      </w:r>
      <w:r w:rsidR="00A82E03">
        <w:t>2</w:t>
      </w:r>
      <w:r w:rsidR="00654633">
        <w:t xml:space="preserve">, this error will be minimal except in cases where patients may have received private prescriptions before starting PBS supply. </w:t>
      </w:r>
      <w:r w:rsidR="00906789">
        <w:t xml:space="preserve">The definition of concession patients used for the analysis may exclude some RPBS beneficiaries who receive their glaucoma medicines as an RPBS benefit but </w:t>
      </w:r>
      <w:r w:rsidR="004927B0">
        <w:t xml:space="preserve">receive other medicines as a general beneficiary. </w:t>
      </w:r>
    </w:p>
    <w:p w:rsidR="00E920EF" w:rsidRDefault="00390618" w:rsidP="00E920EF">
      <w:r>
        <w:t>The analysis of prior treatment was undertaken for patients who started an FDC between July 2014 and December 2015. The purpose of this analysis was to understand patterns of switching to FDCs in general and concession patients. Patients were considered to be newly starting an FDC if they were not supplied an FDC in the previous two years.  This time period was chosen because two full years of under co</w:t>
      </w:r>
      <w:r>
        <w:noBreakHyphen/>
        <w:t xml:space="preserve">payment data are available </w:t>
      </w:r>
      <w:r w:rsidR="008D658A">
        <w:t xml:space="preserve">for the lookback at prior treatments. </w:t>
      </w:r>
    </w:p>
    <w:p w:rsidR="00390618" w:rsidRDefault="00C141B7" w:rsidP="00A35800">
      <w:r>
        <w:t>P</w:t>
      </w:r>
      <w:r w:rsidR="00E920EF">
        <w:t xml:space="preserve">ublished defined daily doses (DDDs) </w:t>
      </w:r>
      <w:r>
        <w:t xml:space="preserve">are available </w:t>
      </w:r>
      <w:r w:rsidR="00E920EF">
        <w:t>for glaucoma medicines. The World Health Organisation (WHO) DDDs for glaucoma medicines are the number of drops required to treat two eyes each day converted to millilitres. It is assumed one drop is 0.05</w:t>
      </w:r>
      <w:r w:rsidR="00745CD3">
        <w:t> </w:t>
      </w:r>
      <w:r w:rsidR="00E920EF">
        <w:t>m</w:t>
      </w:r>
      <w:r w:rsidR="00154636">
        <w:t>L</w:t>
      </w:r>
      <w:r w:rsidR="00E920EF">
        <w:t>.</w:t>
      </w:r>
      <w:r w:rsidR="00196BA1" w:rsidRPr="00673699">
        <w:rPr>
          <w:noProof/>
          <w:vertAlign w:val="superscript"/>
        </w:rPr>
        <w:t>26</w:t>
      </w:r>
      <w:r w:rsidR="00E920EF">
        <w:t xml:space="preserve"> This method was not used because the duration of multi</w:t>
      </w:r>
      <w:r w:rsidR="00E920EF">
        <w:noBreakHyphen/>
        <w:t>dose eye</w:t>
      </w:r>
      <w:r w:rsidR="00154636">
        <w:t xml:space="preserve"> </w:t>
      </w:r>
      <w:r w:rsidR="00E920EF">
        <w:t>drops use is typically limited to 28 days</w:t>
      </w:r>
      <w:r w:rsidR="00487C44">
        <w:t>’</w:t>
      </w:r>
      <w:r w:rsidR="00E920EF">
        <w:t xml:space="preserve"> use to prevent antimicrobial contamination. Some products listed on the PBS provide more volume than can be used during a 28 day period. </w:t>
      </w:r>
    </w:p>
    <w:p w:rsidR="00905659" w:rsidRDefault="00905659" w:rsidP="00A35800">
      <w:r>
        <w:t xml:space="preserve">Some analyses result in small values relating to five or fewer patients or prescriptions over a time period. These results are suppressed or presented as an aggregate over a longer period to protect privacy. </w:t>
      </w:r>
    </w:p>
    <w:p w:rsidR="00524D13" w:rsidRDefault="00E7594B" w:rsidP="00524D13">
      <w:r>
        <w:t xml:space="preserve">As this analysis uses date of supply </w:t>
      </w:r>
      <w:r w:rsidR="005E085C">
        <w:t xml:space="preserve">prescription </w:t>
      </w:r>
      <w:r>
        <w:t xml:space="preserve">data, there may be small differences compared with publicly available Department of Human Services (DHS) Medicare date of </w:t>
      </w:r>
      <w:r>
        <w:lastRenderedPageBreak/>
        <w:t>processing data.</w:t>
      </w:r>
      <w:r w:rsidR="00576B18">
        <w:rPr>
          <w:rStyle w:val="FootnoteReference"/>
        </w:rPr>
        <w:footnoteReference w:id="1"/>
      </w:r>
      <w:r w:rsidR="00576B18">
        <w:t xml:space="preserve">  </w:t>
      </w:r>
      <w:r w:rsidR="0090691F">
        <w:t xml:space="preserve">The </w:t>
      </w:r>
      <w:r w:rsidR="00AC5054">
        <w:t xml:space="preserve">publicly available </w:t>
      </w:r>
      <w:r w:rsidR="0090691F">
        <w:t xml:space="preserve">DHS 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w:t>
      </w:r>
    </w:p>
    <w:p w:rsidR="00C714D0" w:rsidRPr="005E22C2" w:rsidRDefault="00C714D0" w:rsidP="001F4906">
      <w:pPr>
        <w:pStyle w:val="Heading4"/>
      </w:pPr>
      <w:r w:rsidRPr="005E22C2">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1F4906">
      <w:pPr>
        <w:pStyle w:val="Heading2"/>
      </w:pPr>
      <w:r w:rsidRPr="005E22C2">
        <w:t>Overall utilisation</w:t>
      </w:r>
    </w:p>
    <w:p w:rsidR="008A68CD" w:rsidRDefault="008A68CD" w:rsidP="00A35800">
      <w:r>
        <w:t xml:space="preserve">Figure </w:t>
      </w:r>
      <w:r w:rsidR="0096523F">
        <w:t>1</w:t>
      </w:r>
      <w:r>
        <w:t xml:space="preserve"> presents the number of prescription</w:t>
      </w:r>
      <w:r w:rsidR="00487C44">
        <w:t>s</w:t>
      </w:r>
      <w:r>
        <w:t xml:space="preserve"> for glaucoma medicines by drug class for single ingredient medicines. FDCs are presented as a single category. </w:t>
      </w:r>
    </w:p>
    <w:p w:rsidR="00CA6076" w:rsidRDefault="00CA6076" w:rsidP="00D758D9">
      <w:pPr>
        <w:pStyle w:val="Figuretitle"/>
      </w:pPr>
      <w:r>
        <w:rPr>
          <w:noProof/>
        </w:rPr>
        <w:drawing>
          <wp:inline distT="0" distB="0" distL="0" distR="0" wp14:anchorId="098EB035" wp14:editId="420A9C39">
            <wp:extent cx="5181600" cy="3143250"/>
            <wp:effectExtent l="0" t="0" r="0" b="0"/>
            <wp:docPr id="1" name="Picture 1" descr="A graph of Glaucoma prescriptions by drug type " title="Glaucoma prescriptions by drug 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181600" cy="3143250"/>
                    </a:xfrm>
                    <a:prstGeom prst="rect">
                      <a:avLst/>
                    </a:prstGeom>
                  </pic:spPr>
                </pic:pic>
              </a:graphicData>
            </a:graphic>
          </wp:inline>
        </w:drawing>
      </w:r>
      <w:r w:rsidRPr="00391F42">
        <w:t xml:space="preserve"> </w:t>
      </w:r>
    </w:p>
    <w:p w:rsidR="00D758D9" w:rsidRPr="00FE645A" w:rsidRDefault="00D758D9" w:rsidP="00D758D9">
      <w:pPr>
        <w:pStyle w:val="Figuretitle"/>
      </w:pPr>
      <w:r w:rsidRPr="00391F42">
        <w:t xml:space="preserve">Figure </w:t>
      </w:r>
      <w:r w:rsidR="0096523F">
        <w:t>1</w:t>
      </w:r>
      <w:r w:rsidRPr="00391F42">
        <w:t xml:space="preserve">: Glaucoma prescriptions by drug type </w:t>
      </w:r>
    </w:p>
    <w:p w:rsidR="00D758D9" w:rsidRDefault="00D758D9" w:rsidP="00D758D9">
      <w:pPr>
        <w:pStyle w:val="Figurecaption"/>
      </w:pPr>
      <w:r>
        <w:t xml:space="preserve">Source: DUSC Database, extracted March 2016. </w:t>
      </w:r>
      <w:r w:rsidR="00764F1A">
        <w:br/>
        <w:t>Note: Data presented e</w:t>
      </w:r>
      <w:r w:rsidR="005D7F8F">
        <w:t xml:space="preserve">xcludes private prescriptions.  </w:t>
      </w:r>
      <w:r>
        <w:br/>
      </w:r>
    </w:p>
    <w:p w:rsidR="005D7F8F" w:rsidRDefault="00394438" w:rsidP="008A68CD">
      <w:r>
        <w:t>The number of glaucoma medicine prescription</w:t>
      </w:r>
      <w:r w:rsidR="00487C44">
        <w:t>s</w:t>
      </w:r>
      <w:r>
        <w:t xml:space="preserve"> supplied on the R/PBS has increased stead</w:t>
      </w:r>
      <w:r w:rsidR="00E85AD1">
        <w:t>il</w:t>
      </w:r>
      <w:r>
        <w:t xml:space="preserve">y between </w:t>
      </w:r>
      <w:r w:rsidR="004356DA">
        <w:t xml:space="preserve">2004 and 2015. </w:t>
      </w:r>
      <w:r w:rsidR="00E85AD1">
        <w:t xml:space="preserve">Over 4.3 million prescriptions were supplied in 2015. </w:t>
      </w:r>
      <w:r w:rsidR="00051888">
        <w:t>Prostaglandin</w:t>
      </w:r>
      <w:r w:rsidR="004356DA">
        <w:t xml:space="preserve"> analogues have the largest number of prescriptions throughout the period. The number of single ingredient beta</w:t>
      </w:r>
      <w:r w:rsidR="004356DA">
        <w:noBreakHyphen/>
        <w:t xml:space="preserve">blockers and cholinergic product prescriptions has decreased. </w:t>
      </w:r>
      <w:r w:rsidR="00FA0E2E">
        <w:t>Over one million more FDC prescriptions were supplied in 2015 compared to 2004.</w:t>
      </w:r>
      <w:r w:rsidR="00BD5901">
        <w:t xml:space="preserve"> As a proportion of total glaucoma prescriptions, FDCs have increased from 9% to 30% of prescriptions between 2004 and 2015. </w:t>
      </w:r>
      <w:r w:rsidR="005D7F8F">
        <w:t xml:space="preserve"> The data presented does not include private prescriptions. The estimate of private prescriptions accounted for 0.4% of glaucoma prescriptions supplied </w:t>
      </w:r>
      <w:r w:rsidR="00FA5374">
        <w:t xml:space="preserve">between 2004 and the third quarter of 2012, the last quarter for which </w:t>
      </w:r>
      <w:r w:rsidR="00487C44">
        <w:t xml:space="preserve">these </w:t>
      </w:r>
      <w:r w:rsidR="00FA5374">
        <w:t xml:space="preserve">data are available. </w:t>
      </w:r>
      <w:r w:rsidR="005D7F8F">
        <w:t xml:space="preserve"> </w:t>
      </w:r>
    </w:p>
    <w:p w:rsidR="000F4061" w:rsidRDefault="000F4061" w:rsidP="000F4061">
      <w:pPr>
        <w:pStyle w:val="Heading2"/>
      </w:pPr>
      <w:r>
        <w:lastRenderedPageBreak/>
        <w:t xml:space="preserve">Utilisation by prescriber type </w:t>
      </w:r>
    </w:p>
    <w:p w:rsidR="00C3108D" w:rsidRDefault="000F4061" w:rsidP="00336F02">
      <w:r>
        <w:t xml:space="preserve">Figure </w:t>
      </w:r>
      <w:r w:rsidR="0096523F">
        <w:t>2</w:t>
      </w:r>
      <w:r>
        <w:t xml:space="preserve"> </w:t>
      </w:r>
      <w:r w:rsidR="00847F3F">
        <w:t>presents</w:t>
      </w:r>
      <w:r>
        <w:t xml:space="preserve"> the distribut</w:t>
      </w:r>
      <w:r w:rsidR="004152EC">
        <w:t xml:space="preserve">ion of R/PBS prescriptions by prescribing practitioner type. </w:t>
      </w:r>
    </w:p>
    <w:p w:rsidR="00CA6076" w:rsidRDefault="00CA6076" w:rsidP="00D67B68">
      <w:pPr>
        <w:rPr>
          <w:rStyle w:val="FiguretitleChar"/>
          <w:rFonts w:asciiTheme="minorHAnsi" w:hAnsiTheme="minorHAnsi"/>
        </w:rPr>
      </w:pPr>
      <w:r>
        <w:rPr>
          <w:noProof/>
        </w:rPr>
        <w:drawing>
          <wp:inline distT="0" distB="0" distL="0" distR="0" wp14:anchorId="4ABCDB86" wp14:editId="4A3E9126">
            <wp:extent cx="5162550" cy="3028950"/>
            <wp:effectExtent l="0" t="0" r="0" b="0"/>
            <wp:docPr id="2" name="Picture 2" descr="A graph of Prescriptions by prescriber type" title="Prescriptions by prescriber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162550" cy="3028950"/>
                    </a:xfrm>
                    <a:prstGeom prst="rect">
                      <a:avLst/>
                    </a:prstGeom>
                  </pic:spPr>
                </pic:pic>
              </a:graphicData>
            </a:graphic>
          </wp:inline>
        </w:drawing>
      </w:r>
      <w:r w:rsidRPr="00391F42">
        <w:rPr>
          <w:rStyle w:val="FiguretitleChar"/>
          <w:rFonts w:asciiTheme="minorHAnsi" w:hAnsiTheme="minorHAnsi"/>
        </w:rPr>
        <w:t xml:space="preserve"> </w:t>
      </w:r>
    </w:p>
    <w:p w:rsidR="00055F31" w:rsidRPr="00FE645A" w:rsidRDefault="00336F02" w:rsidP="00D67B68">
      <w:r w:rsidRPr="00391F42">
        <w:rPr>
          <w:rStyle w:val="FiguretitleChar"/>
          <w:rFonts w:asciiTheme="minorHAnsi" w:hAnsiTheme="minorHAnsi"/>
        </w:rPr>
        <w:t xml:space="preserve">Figure </w:t>
      </w:r>
      <w:r w:rsidR="0096523F">
        <w:rPr>
          <w:rStyle w:val="FiguretitleChar"/>
          <w:rFonts w:asciiTheme="minorHAnsi" w:hAnsiTheme="minorHAnsi"/>
        </w:rPr>
        <w:t>2</w:t>
      </w:r>
      <w:r w:rsidRPr="00391F42">
        <w:rPr>
          <w:rStyle w:val="FiguretitleChar"/>
          <w:rFonts w:asciiTheme="minorHAnsi" w:hAnsiTheme="minorHAnsi"/>
        </w:rPr>
        <w:t>: Prescriptions by prescriber type</w:t>
      </w:r>
      <w:r>
        <w:br/>
      </w:r>
      <w:r w:rsidRPr="005B092A">
        <w:rPr>
          <w:rStyle w:val="FigurecaptionChar"/>
        </w:rPr>
        <w:t xml:space="preserve">Source: Department of Human Services Supplied Prescriptions Database, extracted March 2016. </w:t>
      </w:r>
      <w:r w:rsidRPr="005B092A">
        <w:rPr>
          <w:rStyle w:val="FigurecaptionChar"/>
        </w:rPr>
        <w:br/>
        <w:t xml:space="preserve">Note: </w:t>
      </w:r>
      <w:r w:rsidR="00C62F9B">
        <w:rPr>
          <w:rStyle w:val="FigurecaptionChar"/>
        </w:rPr>
        <w:t>This data does not include</w:t>
      </w:r>
      <w:r w:rsidRPr="005B092A">
        <w:rPr>
          <w:rStyle w:val="FigurecaptionChar"/>
        </w:rPr>
        <w:t xml:space="preserve"> private prescription</w:t>
      </w:r>
      <w:r w:rsidR="00487C44">
        <w:rPr>
          <w:rStyle w:val="FigurecaptionChar"/>
        </w:rPr>
        <w:t>s</w:t>
      </w:r>
      <w:r w:rsidR="00C62F9B">
        <w:rPr>
          <w:rStyle w:val="FigurecaptionChar"/>
        </w:rPr>
        <w:t xml:space="preserve"> or</w:t>
      </w:r>
      <w:r w:rsidRPr="005B092A">
        <w:rPr>
          <w:rStyle w:val="FigurecaptionChar"/>
        </w:rPr>
        <w:t xml:space="preserve"> under co</w:t>
      </w:r>
      <w:r w:rsidRPr="005B092A">
        <w:rPr>
          <w:rStyle w:val="FigurecaptionChar"/>
        </w:rPr>
        <w:noBreakHyphen/>
        <w:t>payment prescriptions before April 2012.</w:t>
      </w:r>
      <w:r w:rsidRPr="005B092A">
        <w:rPr>
          <w:rStyle w:val="FigurecaptionChar"/>
        </w:rPr>
        <w:br/>
        <w:t>GP Unclassified is included under other medical practitioners.</w:t>
      </w:r>
      <w:r w:rsidR="00055F31">
        <w:t xml:space="preserve">  </w:t>
      </w:r>
    </w:p>
    <w:p w:rsidR="004152EC" w:rsidRPr="00C3108D" w:rsidRDefault="004152EC" w:rsidP="00C3108D">
      <w:pPr>
        <w:spacing w:line="276" w:lineRule="auto"/>
        <w:rPr>
          <w:b/>
          <w:sz w:val="28"/>
          <w:szCs w:val="28"/>
          <w:lang w:eastAsia="en-US"/>
        </w:rPr>
      </w:pPr>
      <w:r>
        <w:t xml:space="preserve">Ophthalmologists prescribe more than half of all R/PBS prescriptions for glaucoma medicines. </w:t>
      </w:r>
      <w:r w:rsidR="001A5A81">
        <w:t xml:space="preserve">GPs, excluding GP trainees, prescribed 38% of prescriptions that were supplied during the period. </w:t>
      </w:r>
      <w:r w:rsidR="00C3108D">
        <w:t xml:space="preserve"> Optometrists provided approximately 1% of prescriptions during the period. </w:t>
      </w:r>
      <w:r w:rsidR="004273CA">
        <w:t xml:space="preserve">All other medical practitioners, including GP trainees, prescribed 2.4% of prescriptions supplied during the period. </w:t>
      </w:r>
    </w:p>
    <w:p w:rsidR="00C3108D" w:rsidRPr="000F4061" w:rsidRDefault="00C3108D" w:rsidP="000F4061">
      <w:r>
        <w:t xml:space="preserve">Figure </w:t>
      </w:r>
      <w:r w:rsidR="0096523F">
        <w:t>3</w:t>
      </w:r>
      <w:r>
        <w:t xml:space="preserve"> </w:t>
      </w:r>
      <w:r w:rsidR="00847F3F">
        <w:t>presents</w:t>
      </w:r>
      <w:r>
        <w:t xml:space="preserve"> </w:t>
      </w:r>
      <w:r w:rsidR="004C3DCC">
        <w:t xml:space="preserve">optometrist prescribing by medicine. </w:t>
      </w:r>
    </w:p>
    <w:p w:rsidR="00CA6076" w:rsidRDefault="00CA6076" w:rsidP="004C3DCC">
      <w:pPr>
        <w:pStyle w:val="Figuretitle"/>
      </w:pPr>
      <w:r>
        <w:rPr>
          <w:noProof/>
        </w:rPr>
        <w:lastRenderedPageBreak/>
        <w:drawing>
          <wp:inline distT="0" distB="0" distL="0" distR="0" wp14:anchorId="6192DB2C" wp14:editId="45383FB3">
            <wp:extent cx="5191125" cy="3771900"/>
            <wp:effectExtent l="0" t="0" r="9525" b="0"/>
            <wp:docPr id="5" name="Picture 5" descr="A graph of Optometrist prescribing by drug" title="Optometrist prescribing by d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191125" cy="3771900"/>
                    </a:xfrm>
                    <a:prstGeom prst="rect">
                      <a:avLst/>
                    </a:prstGeom>
                  </pic:spPr>
                </pic:pic>
              </a:graphicData>
            </a:graphic>
          </wp:inline>
        </w:drawing>
      </w:r>
      <w:r w:rsidRPr="00FE645A">
        <w:t xml:space="preserve"> </w:t>
      </w:r>
    </w:p>
    <w:p w:rsidR="004C3DCC" w:rsidRPr="00FE645A" w:rsidRDefault="004C3DCC" w:rsidP="004C3DCC">
      <w:pPr>
        <w:pStyle w:val="Figuretitle"/>
      </w:pPr>
      <w:r w:rsidRPr="00FE645A">
        <w:t xml:space="preserve">Figure </w:t>
      </w:r>
      <w:r w:rsidR="0096523F">
        <w:t>3</w:t>
      </w:r>
      <w:r w:rsidRPr="00FE645A">
        <w:t xml:space="preserve">: </w:t>
      </w:r>
      <w:r>
        <w:t>Optometrist prescribing by drug</w:t>
      </w:r>
    </w:p>
    <w:p w:rsidR="004C3DCC" w:rsidRPr="00FE645A" w:rsidRDefault="004C3DCC" w:rsidP="004C3DCC">
      <w:pPr>
        <w:pStyle w:val="Figurecaption"/>
      </w:pPr>
      <w:r>
        <w:t xml:space="preserve">Source: Department of Human Services Supplied Prescriptions Database, extracted March 2016. </w:t>
      </w:r>
    </w:p>
    <w:p w:rsidR="000F4061" w:rsidRDefault="004C3DCC" w:rsidP="00A35800">
      <w:r>
        <w:br/>
        <w:t>Latanoprost was the medicine most frequently prescribed by optometrists</w:t>
      </w:r>
      <w:r w:rsidR="00847F3F">
        <w:t xml:space="preserve"> over the period</w:t>
      </w:r>
      <w:r>
        <w:t>. Approximately three quarters of optometrist prescriptions were for single ingredient medicines. The overall volume of optometrist prescriptions has grown over six</w:t>
      </w:r>
      <w:r>
        <w:noBreakHyphen/>
        <w:t xml:space="preserve">fold from 2010 to 2015. The removal of the requirement for shared care arrangement with ophthalmologists in 2015 does not appear to have </w:t>
      </w:r>
      <w:r w:rsidR="00847F3F">
        <w:t xml:space="preserve">an immediate impact in the first two quarters following the change.  </w:t>
      </w:r>
    </w:p>
    <w:p w:rsidR="00CC3B31" w:rsidRDefault="00CC3B31" w:rsidP="00CC3B31">
      <w:pPr>
        <w:pStyle w:val="Heading2"/>
      </w:pPr>
      <w:r>
        <w:t xml:space="preserve">Utilisation by first glaucoma medicine </w:t>
      </w:r>
    </w:p>
    <w:p w:rsidR="00CC3B31" w:rsidRPr="00254E11" w:rsidRDefault="00254E11" w:rsidP="00CC3B31">
      <w:r>
        <w:t>The following analyses examine which glaucoma medicines are used when patients first start treatment. This analysis uses a concessional cohort of patients who were only supplied concession prescriptions in the two years before starting a glaucoma medicine</w:t>
      </w:r>
      <w:r w:rsidR="008D3F43">
        <w:t xml:space="preserve"> (r</w:t>
      </w:r>
      <w:r w:rsidR="008D3F43" w:rsidRPr="00254E11">
        <w:t xml:space="preserve">efer to the </w:t>
      </w:r>
      <w:hyperlink w:anchor="_Methods" w:history="1">
        <w:r w:rsidR="008D3F43" w:rsidRPr="001A05FE">
          <w:rPr>
            <w:rStyle w:val="Hyperlink"/>
          </w:rPr>
          <w:t>Methods</w:t>
        </w:r>
      </w:hyperlink>
      <w:r w:rsidR="008D3F43" w:rsidRPr="00254E11">
        <w:t xml:space="preserve"> section for further information</w:t>
      </w:r>
      <w:r w:rsidR="008D3F43">
        <w:t>)</w:t>
      </w:r>
      <w:r>
        <w:t xml:space="preserve">. </w:t>
      </w:r>
      <w:r w:rsidR="008D3F43">
        <w:t xml:space="preserve">Patients were considered new to treatment if they had not received a glaucoma medicine in the previous two years. </w:t>
      </w:r>
    </w:p>
    <w:p w:rsidR="004C3DCC" w:rsidRDefault="00254E11" w:rsidP="00254E11">
      <w:r w:rsidRPr="00254E11">
        <w:t xml:space="preserve">Figure </w:t>
      </w:r>
      <w:r w:rsidR="0096523F">
        <w:t>4</w:t>
      </w:r>
      <w:r w:rsidRPr="00254E11">
        <w:t xml:space="preserve"> presents the </w:t>
      </w:r>
      <w:r w:rsidR="008D3F43">
        <w:t xml:space="preserve">number of concessional patients starting treatment with glaucoma medicines by the type of medicine </w:t>
      </w:r>
      <w:r w:rsidR="00847F3F">
        <w:t xml:space="preserve">with which </w:t>
      </w:r>
      <w:r w:rsidR="008D3F43">
        <w:t>they started treatment: a single ingredient medicine or a</w:t>
      </w:r>
      <w:r w:rsidR="00F77D7F">
        <w:t>n</w:t>
      </w:r>
      <w:r w:rsidR="008D3F43">
        <w:t xml:space="preserve"> FDC. </w:t>
      </w:r>
    </w:p>
    <w:p w:rsidR="00CA6076" w:rsidRDefault="00CA6076" w:rsidP="008D3F43">
      <w:pPr>
        <w:pStyle w:val="Figuretitle"/>
      </w:pPr>
      <w:r>
        <w:rPr>
          <w:noProof/>
        </w:rPr>
        <w:lastRenderedPageBreak/>
        <w:drawing>
          <wp:inline distT="0" distB="0" distL="0" distR="0" wp14:anchorId="03288490" wp14:editId="6EA8B7D4">
            <wp:extent cx="5172075" cy="2847975"/>
            <wp:effectExtent l="0" t="0" r="9525" b="9525"/>
            <wp:docPr id="7" name="Picture 7" descr="A graph of Starting glaucoma medicine by drug type" title="Starting glaucoma medicine by drug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172075" cy="2847975"/>
                    </a:xfrm>
                    <a:prstGeom prst="rect">
                      <a:avLst/>
                    </a:prstGeom>
                  </pic:spPr>
                </pic:pic>
              </a:graphicData>
            </a:graphic>
          </wp:inline>
        </w:drawing>
      </w:r>
      <w:r w:rsidRPr="00FE645A">
        <w:t xml:space="preserve"> </w:t>
      </w:r>
    </w:p>
    <w:p w:rsidR="008D3F43" w:rsidRPr="00FE645A" w:rsidRDefault="008D3F43" w:rsidP="008D3F43">
      <w:pPr>
        <w:pStyle w:val="Figuretitle"/>
      </w:pPr>
      <w:r w:rsidRPr="00FE645A">
        <w:t xml:space="preserve">Figure </w:t>
      </w:r>
      <w:r w:rsidR="0096523F">
        <w:t>4</w:t>
      </w:r>
      <w:r w:rsidRPr="00FE645A">
        <w:t xml:space="preserve">: </w:t>
      </w:r>
      <w:r w:rsidR="002E3A77">
        <w:t>Starting glaucoma medicine by drug type</w:t>
      </w:r>
    </w:p>
    <w:p w:rsidR="008D3F43" w:rsidRPr="00FE645A" w:rsidRDefault="008D3F43" w:rsidP="008D3F43">
      <w:pPr>
        <w:pStyle w:val="Figurecaption"/>
      </w:pPr>
      <w:r>
        <w:t xml:space="preserve">Source: Department of Human Services Supplied Prescriptions Database, extracted March 2016. </w:t>
      </w:r>
    </w:p>
    <w:p w:rsidR="008D3F43" w:rsidRPr="00254E11" w:rsidRDefault="008D3F43" w:rsidP="00254E11">
      <w:r>
        <w:br/>
      </w:r>
      <w:r w:rsidR="002E3A77">
        <w:t xml:space="preserve">The majority of patients who start a </w:t>
      </w:r>
      <w:r w:rsidR="00F77D7F">
        <w:t xml:space="preserve">glaucoma </w:t>
      </w:r>
      <w:r w:rsidR="002E3A77">
        <w:t xml:space="preserve">medicine do so with a single ingredient medicine. </w:t>
      </w:r>
      <w:r w:rsidR="00F77D7F">
        <w:t>A small, but increasing,</w:t>
      </w:r>
      <w:r w:rsidR="002E3A77">
        <w:t xml:space="preserve"> group</w:t>
      </w:r>
      <w:r w:rsidR="00F77D7F">
        <w:t xml:space="preserve"> of people</w:t>
      </w:r>
      <w:r w:rsidR="002E3A77">
        <w:t xml:space="preserve"> appear to be starting treatment with a combination product. </w:t>
      </w:r>
      <w:r w:rsidR="00BF4BB2">
        <w:t xml:space="preserve">The number of patients starting treatment with a single ingredient product each quarter decreased after 2012.   </w:t>
      </w:r>
    </w:p>
    <w:p w:rsidR="008D3F43" w:rsidRDefault="00D4177F" w:rsidP="00D4177F">
      <w:r>
        <w:t xml:space="preserve">Figure </w:t>
      </w:r>
      <w:r w:rsidR="0096523F">
        <w:t>5</w:t>
      </w:r>
      <w:r>
        <w:t xml:space="preserve"> presents the </w:t>
      </w:r>
      <w:r w:rsidR="00E41E3A">
        <w:t>single ingredient medicines that were used as a fi</w:t>
      </w:r>
      <w:r w:rsidR="00BF4BB2">
        <w:t xml:space="preserve">rst glaucoma </w:t>
      </w:r>
      <w:r w:rsidR="00E41E3A">
        <w:t xml:space="preserve">treatment. </w:t>
      </w:r>
    </w:p>
    <w:p w:rsidR="00E41E3A" w:rsidRDefault="00E41E3A" w:rsidP="00D4177F">
      <w:pPr>
        <w:sectPr w:rsidR="00E41E3A" w:rsidSect="00DD188C">
          <w:headerReference w:type="even" r:id="rId25"/>
          <w:headerReference w:type="default" r:id="rId26"/>
          <w:footerReference w:type="even" r:id="rId27"/>
          <w:footerReference w:type="default" r:id="rId28"/>
          <w:headerReference w:type="first" r:id="rId29"/>
          <w:footerReference w:type="first" r:id="rId30"/>
          <w:pgSz w:w="11906" w:h="16838"/>
          <w:pgMar w:top="1644" w:right="1361" w:bottom="1644" w:left="1588" w:header="709" w:footer="709" w:gutter="0"/>
          <w:cols w:space="708"/>
          <w:docGrid w:linePitch="360"/>
        </w:sectPr>
      </w:pPr>
    </w:p>
    <w:p w:rsidR="00CA6076" w:rsidRDefault="00CA6076" w:rsidP="00E41E3A">
      <w:pPr>
        <w:rPr>
          <w:rStyle w:val="FiguretitleChar"/>
          <w:rFonts w:asciiTheme="minorHAnsi" w:hAnsiTheme="minorHAnsi"/>
        </w:rPr>
      </w:pPr>
      <w:r>
        <w:rPr>
          <w:noProof/>
        </w:rPr>
        <w:lastRenderedPageBreak/>
        <w:drawing>
          <wp:inline distT="0" distB="0" distL="0" distR="0" wp14:anchorId="53A6614C" wp14:editId="6E841C16">
            <wp:extent cx="8378456" cy="4060329"/>
            <wp:effectExtent l="0" t="0" r="3810" b="0"/>
            <wp:docPr id="8" name="Picture 8" descr="A graph of Starting glaucoma medicine by drug type" title="Starting glaucoma medicine by drug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8378456" cy="4060329"/>
                    </a:xfrm>
                    <a:prstGeom prst="rect">
                      <a:avLst/>
                    </a:prstGeom>
                  </pic:spPr>
                </pic:pic>
              </a:graphicData>
            </a:graphic>
          </wp:inline>
        </w:drawing>
      </w:r>
      <w:r w:rsidRPr="00E41E3A">
        <w:rPr>
          <w:rStyle w:val="FiguretitleChar"/>
          <w:rFonts w:asciiTheme="minorHAnsi" w:hAnsiTheme="minorHAnsi"/>
        </w:rPr>
        <w:t xml:space="preserve"> </w:t>
      </w:r>
    </w:p>
    <w:p w:rsidR="004A0E7D" w:rsidRPr="00E41E3A" w:rsidRDefault="00E41E3A" w:rsidP="00E41E3A">
      <w:pPr>
        <w:rPr>
          <w:rStyle w:val="FigurecaptionChar"/>
        </w:rPr>
      </w:pPr>
      <w:r w:rsidRPr="00E41E3A">
        <w:rPr>
          <w:rStyle w:val="FiguretitleChar"/>
          <w:rFonts w:asciiTheme="minorHAnsi" w:hAnsiTheme="minorHAnsi"/>
        </w:rPr>
        <w:t xml:space="preserve">Figure </w:t>
      </w:r>
      <w:r w:rsidR="0096523F">
        <w:rPr>
          <w:rStyle w:val="FiguretitleChar"/>
          <w:rFonts w:asciiTheme="minorHAnsi" w:hAnsiTheme="minorHAnsi"/>
        </w:rPr>
        <w:t>5</w:t>
      </w:r>
      <w:r w:rsidRPr="00E41E3A">
        <w:rPr>
          <w:rStyle w:val="FiguretitleChar"/>
          <w:rFonts w:asciiTheme="minorHAnsi" w:hAnsiTheme="minorHAnsi"/>
        </w:rPr>
        <w:t>: Starting glaucoma medicine by drug type</w:t>
      </w:r>
      <w:r>
        <w:rPr>
          <w:rStyle w:val="FiguretitleChar"/>
          <w:rFonts w:asciiTheme="minorHAnsi" w:hAnsiTheme="minorHAnsi"/>
        </w:rPr>
        <w:br/>
      </w:r>
      <w:r w:rsidRPr="00E41E3A">
        <w:rPr>
          <w:rStyle w:val="FigurecaptionChar"/>
        </w:rPr>
        <w:t xml:space="preserve">Source: Department of Human Services Supplied Prescriptions Database, extracted March 2016. </w:t>
      </w:r>
      <w:r w:rsidR="004A0E7D">
        <w:rPr>
          <w:rStyle w:val="FigurecaptionChar"/>
        </w:rPr>
        <w:br/>
        <w:t xml:space="preserve">Note: Results for </w:t>
      </w:r>
      <w:r w:rsidR="00051888">
        <w:rPr>
          <w:rStyle w:val="FigurecaptionChar"/>
        </w:rPr>
        <w:t>dipivefrine</w:t>
      </w:r>
      <w:r w:rsidR="004A0E7D">
        <w:rPr>
          <w:rStyle w:val="FigurecaptionChar"/>
        </w:rPr>
        <w:t xml:space="preserve"> and carbachol are supressed due to small patient numbers. A total of 23 patients started either </w:t>
      </w:r>
      <w:r w:rsidR="00051888">
        <w:rPr>
          <w:rStyle w:val="FigurecaptionChar"/>
        </w:rPr>
        <w:t>dipivefrine</w:t>
      </w:r>
      <w:r w:rsidR="004A0E7D">
        <w:rPr>
          <w:rStyle w:val="FigurecaptionChar"/>
        </w:rPr>
        <w:t xml:space="preserve"> or </w:t>
      </w:r>
      <w:r w:rsidR="004A0E7D" w:rsidRPr="004A0E7D">
        <w:rPr>
          <w:rStyle w:val="FigurecaptionChar"/>
        </w:rPr>
        <w:t>carbachol</w:t>
      </w:r>
      <w:r w:rsidR="004A0E7D">
        <w:rPr>
          <w:rStyle w:val="FigurecaptionChar"/>
        </w:rPr>
        <w:t xml:space="preserve"> between January 2006 and June 2008. </w:t>
      </w:r>
      <w:r w:rsidR="00CA5882">
        <w:rPr>
          <w:rStyle w:val="FigurecaptionChar"/>
        </w:rPr>
        <w:t xml:space="preserve">The number of patients starting levobunolol was rounded up to five due to small patient numbers. </w:t>
      </w:r>
    </w:p>
    <w:p w:rsidR="00932CD1" w:rsidRDefault="00E41E3A" w:rsidP="00D4177F">
      <w:pPr>
        <w:sectPr w:rsidR="00932CD1" w:rsidSect="00E41E3A">
          <w:pgSz w:w="16838" w:h="11906" w:orient="landscape"/>
          <w:pgMar w:top="1588" w:right="1644" w:bottom="1361" w:left="1644" w:header="709" w:footer="709" w:gutter="0"/>
          <w:cols w:space="708"/>
          <w:docGrid w:linePitch="360"/>
        </w:sectPr>
      </w:pPr>
      <w:r>
        <w:t xml:space="preserve">Latanoprost was the most </w:t>
      </w:r>
      <w:r w:rsidR="003E75F2">
        <w:t>frequently supplied first medicine. It accounted for over 50% of first prescriptions in the period from 2006 to 2015. Timolol was the second most frequently supplied medicine in the earlier years.</w:t>
      </w:r>
      <w:r w:rsidR="00BC3F43">
        <w:t xml:space="preserve"> </w:t>
      </w:r>
    </w:p>
    <w:p w:rsidR="00E41E3A" w:rsidRPr="00473FBB" w:rsidRDefault="003E75F2" w:rsidP="00D4177F">
      <w:pPr>
        <w:rPr>
          <w:i/>
        </w:rPr>
      </w:pPr>
      <w:r>
        <w:lastRenderedPageBreak/>
        <w:t xml:space="preserve">Brimonidine became the second most frequently supplied first medicine in 2013. Latanoprost, timolol, brimonidine, </w:t>
      </w:r>
      <w:r w:rsidR="00051888">
        <w:t>travoprost</w:t>
      </w:r>
      <w:r>
        <w:t xml:space="preserve"> and bimatoprost accounted for 80% of first prescriptions during the </w:t>
      </w:r>
      <w:r w:rsidR="00A25E9D">
        <w:t>period</w:t>
      </w:r>
      <w:r>
        <w:t xml:space="preserve">. </w:t>
      </w:r>
      <w:r w:rsidR="00BC3F43">
        <w:t xml:space="preserve">There is an apparent increase in the number of patients starting timolol in the second quarter of 2012. </w:t>
      </w:r>
      <w:r w:rsidR="00BC3F43" w:rsidRPr="0081788A">
        <w:rPr>
          <w:i/>
        </w:rPr>
        <w:t xml:space="preserve">This may be due </w:t>
      </w:r>
      <w:r w:rsidR="00081DD7" w:rsidRPr="0081788A">
        <w:rPr>
          <w:i/>
        </w:rPr>
        <w:t xml:space="preserve">incomplete </w:t>
      </w:r>
      <w:r w:rsidR="00245193" w:rsidRPr="0081788A">
        <w:rPr>
          <w:i/>
        </w:rPr>
        <w:t>under co</w:t>
      </w:r>
      <w:r w:rsidR="00245193" w:rsidRPr="0081788A">
        <w:rPr>
          <w:i/>
        </w:rPr>
        <w:noBreakHyphen/>
        <w:t xml:space="preserve">payment data </w:t>
      </w:r>
      <w:r w:rsidR="00081DD7" w:rsidRPr="0081788A">
        <w:rPr>
          <w:i/>
        </w:rPr>
        <w:t>capture</w:t>
      </w:r>
      <w:r w:rsidR="0081788A">
        <w:rPr>
          <w:i/>
        </w:rPr>
        <w:t xml:space="preserve"> prior to April 2012</w:t>
      </w:r>
      <w:r w:rsidR="00473FBB">
        <w:t xml:space="preserve">. </w:t>
      </w:r>
      <w:r w:rsidR="00081DD7">
        <w:t xml:space="preserve">Refer to the </w:t>
      </w:r>
      <w:hyperlink w:anchor="_Methods" w:history="1">
        <w:r w:rsidR="00081DD7" w:rsidRPr="001A05FE">
          <w:rPr>
            <w:rStyle w:val="Hyperlink"/>
          </w:rPr>
          <w:t>Methods</w:t>
        </w:r>
      </w:hyperlink>
      <w:r w:rsidR="00081DD7">
        <w:t xml:space="preserve"> section for further information. </w:t>
      </w:r>
    </w:p>
    <w:p w:rsidR="00BF4BB2" w:rsidRPr="00DE07A1" w:rsidRDefault="00BF4BB2" w:rsidP="00D4177F">
      <w:pPr>
        <w:rPr>
          <w:i/>
        </w:rPr>
      </w:pPr>
      <w:r>
        <w:t xml:space="preserve">The apparent number of patients starting latanoprost decreases after 2012. </w:t>
      </w:r>
      <w:r w:rsidR="00DE07A1">
        <w:t xml:space="preserve">The reduced number of patients starting latanoprost is also reflected in Figure </w:t>
      </w:r>
      <w:r w:rsidR="0096523F">
        <w:t>4</w:t>
      </w:r>
      <w:r w:rsidR="00DE07A1">
        <w:t xml:space="preserve"> with a reduced number of patients starting single ingredient medicines. </w:t>
      </w:r>
      <w:r w:rsidR="00DE07A1">
        <w:rPr>
          <w:i/>
        </w:rPr>
        <w:t xml:space="preserve">The cause of this decrease is unclear. </w:t>
      </w:r>
    </w:p>
    <w:p w:rsidR="00736041" w:rsidRDefault="002A547B" w:rsidP="001F4906">
      <w:pPr>
        <w:pStyle w:val="Heading2"/>
      </w:pPr>
      <w:r>
        <w:t>Prior treatment analysis: FDCs</w:t>
      </w:r>
    </w:p>
    <w:p w:rsidR="002A547B" w:rsidRDefault="002A547B" w:rsidP="002A547B">
      <w:r>
        <w:t>This analysis examine</w:t>
      </w:r>
      <w:r w:rsidR="00FE49BE">
        <w:t>d</w:t>
      </w:r>
      <w:r>
        <w:t xml:space="preserve"> which glaucoma medicines patients used before startin</w:t>
      </w:r>
      <w:r w:rsidR="00FE49BE">
        <w:t xml:space="preserve">g their first FDC.  </w:t>
      </w:r>
      <w:r w:rsidR="00786E2C">
        <w:t xml:space="preserve">Figure </w:t>
      </w:r>
      <w:r w:rsidR="00825D2A">
        <w:t>6</w:t>
      </w:r>
      <w:r w:rsidR="00786E2C">
        <w:t xml:space="preserve"> presents the last medicine used within two years of starting a</w:t>
      </w:r>
      <w:r w:rsidR="00C62F9B">
        <w:t>n</w:t>
      </w:r>
      <w:r w:rsidR="00786E2C">
        <w:t xml:space="preserve"> FDC</w:t>
      </w:r>
      <w:r w:rsidR="00044AE3">
        <w:t xml:space="preserve"> and a sensitivity analysis of medicines used in the six months prior to starting an FDC</w:t>
      </w:r>
      <w:r w:rsidR="00786E2C">
        <w:t xml:space="preserve">. </w:t>
      </w:r>
    </w:p>
    <w:p w:rsidR="00533ECF" w:rsidRDefault="00533ECF" w:rsidP="002A547B">
      <w:pPr>
        <w:rPr>
          <w:rStyle w:val="FiguretitleChar"/>
          <w:rFonts w:asciiTheme="minorHAnsi" w:hAnsiTheme="minorHAnsi"/>
        </w:rPr>
      </w:pPr>
      <w:r>
        <w:rPr>
          <w:noProof/>
        </w:rPr>
        <w:drawing>
          <wp:inline distT="0" distB="0" distL="0" distR="0" wp14:anchorId="6C4C0219" wp14:editId="0B536973">
            <wp:extent cx="5172075" cy="2867025"/>
            <wp:effectExtent l="0" t="0" r="9525" b="9525"/>
            <wp:docPr id="9" name="Picture 9" descr="A graph of Prior treatment before FDC" title="Prior treatment before F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172075" cy="2867025"/>
                    </a:xfrm>
                    <a:prstGeom prst="rect">
                      <a:avLst/>
                    </a:prstGeom>
                  </pic:spPr>
                </pic:pic>
              </a:graphicData>
            </a:graphic>
          </wp:inline>
        </w:drawing>
      </w:r>
      <w:r w:rsidRPr="00E41E3A">
        <w:rPr>
          <w:rStyle w:val="FiguretitleChar"/>
          <w:rFonts w:asciiTheme="minorHAnsi" w:hAnsiTheme="minorHAnsi"/>
        </w:rPr>
        <w:t xml:space="preserve"> </w:t>
      </w:r>
    </w:p>
    <w:p w:rsidR="002A547B" w:rsidRDefault="006E09DC" w:rsidP="002A547B">
      <w:r w:rsidRPr="00E41E3A">
        <w:rPr>
          <w:rStyle w:val="FiguretitleChar"/>
          <w:rFonts w:asciiTheme="minorHAnsi" w:hAnsiTheme="minorHAnsi"/>
        </w:rPr>
        <w:t xml:space="preserve">Figure </w:t>
      </w:r>
      <w:r w:rsidR="00825D2A">
        <w:rPr>
          <w:rStyle w:val="FiguretitleChar"/>
          <w:rFonts w:asciiTheme="minorHAnsi" w:hAnsiTheme="minorHAnsi"/>
        </w:rPr>
        <w:t>6</w:t>
      </w:r>
      <w:r w:rsidRPr="00E41E3A">
        <w:rPr>
          <w:rStyle w:val="FiguretitleChar"/>
          <w:rFonts w:asciiTheme="minorHAnsi" w:hAnsiTheme="minorHAnsi"/>
        </w:rPr>
        <w:t xml:space="preserve">: </w:t>
      </w:r>
      <w:r>
        <w:rPr>
          <w:rStyle w:val="FiguretitleChar"/>
          <w:rFonts w:asciiTheme="minorHAnsi" w:hAnsiTheme="minorHAnsi"/>
        </w:rPr>
        <w:t>Prior treatment before FDC</w:t>
      </w:r>
      <w:r>
        <w:rPr>
          <w:rStyle w:val="FiguretitleChar"/>
          <w:rFonts w:asciiTheme="minorHAnsi" w:hAnsiTheme="minorHAnsi"/>
        </w:rPr>
        <w:br/>
      </w:r>
      <w:r w:rsidRPr="00E41E3A">
        <w:rPr>
          <w:rStyle w:val="FigurecaptionChar"/>
        </w:rPr>
        <w:t xml:space="preserve">Source: Department of Human Services Supplied Prescriptions Database, extracted </w:t>
      </w:r>
      <w:r w:rsidR="00EA540D">
        <w:rPr>
          <w:rStyle w:val="FigurecaptionChar"/>
        </w:rPr>
        <w:t>April</w:t>
      </w:r>
      <w:r w:rsidRPr="00E41E3A">
        <w:rPr>
          <w:rStyle w:val="FigurecaptionChar"/>
        </w:rPr>
        <w:t xml:space="preserve"> 2016.</w:t>
      </w:r>
      <w:r w:rsidR="00246ABD">
        <w:rPr>
          <w:rStyle w:val="FigurecaptionChar"/>
        </w:rPr>
        <w:br/>
        <w:t xml:space="preserve">Note: Other includes apraclonidine, pilocarpine, betaxolol and dorzolamide. </w:t>
      </w:r>
    </w:p>
    <w:p w:rsidR="001F0702" w:rsidRDefault="00464BF8" w:rsidP="002A547B">
      <w:r>
        <w:t xml:space="preserve">There were 32,146 patients who started an FDC for glaucoma between July 2014 and December 2015. </w:t>
      </w:r>
      <w:r w:rsidR="00051888">
        <w:t>Latanoprost</w:t>
      </w:r>
      <w:r>
        <w:t xml:space="preserve"> was the mostly frequently used prior treatment</w:t>
      </w:r>
      <w:r w:rsidR="00786E2C">
        <w:t xml:space="preserve"> before starting a</w:t>
      </w:r>
      <w:r w:rsidR="00C62F9B">
        <w:t>n</w:t>
      </w:r>
      <w:r w:rsidR="00786E2C">
        <w:t xml:space="preserve"> FDC</w:t>
      </w:r>
      <w:r w:rsidR="006F134E">
        <w:t xml:space="preserve"> when a two year lookback period</w:t>
      </w:r>
      <w:r w:rsidR="00051888">
        <w:t xml:space="preserve">. </w:t>
      </w:r>
      <w:r>
        <w:t xml:space="preserve">No previous medicine was the second most frequent </w:t>
      </w:r>
      <w:r w:rsidR="00786E2C">
        <w:t>category</w:t>
      </w:r>
      <w:r w:rsidR="00545FC0">
        <w:t xml:space="preserve">. </w:t>
      </w:r>
      <w:r w:rsidR="00786E2C">
        <w:t xml:space="preserve"> </w:t>
      </w:r>
      <w:r w:rsidR="00817FB7">
        <w:t xml:space="preserve">Timolol was the third most frequent prior treatment. </w:t>
      </w:r>
      <w:r w:rsidR="00051888">
        <w:t>Prostaglandin</w:t>
      </w:r>
      <w:r w:rsidR="00817FB7">
        <w:t xml:space="preserve"> </w:t>
      </w:r>
      <w:r w:rsidR="00BC4049">
        <w:t>analogues</w:t>
      </w:r>
      <w:r w:rsidR="00545FC0">
        <w:t xml:space="preserve"> accounted for approximately </w:t>
      </w:r>
      <w:r w:rsidR="00246ABD">
        <w:t xml:space="preserve">50% </w:t>
      </w:r>
      <w:r w:rsidR="00545FC0">
        <w:t xml:space="preserve">of prior treatment </w:t>
      </w:r>
      <w:r w:rsidR="000C4FD2">
        <w:t>for both</w:t>
      </w:r>
      <w:r w:rsidR="00545FC0">
        <w:t xml:space="preserve"> lookback period</w:t>
      </w:r>
      <w:r w:rsidR="000C4FD2">
        <w:t>s</w:t>
      </w:r>
      <w:r w:rsidR="00545FC0">
        <w:t xml:space="preserve">. </w:t>
      </w:r>
    </w:p>
    <w:p w:rsidR="001F0702" w:rsidRPr="002A547B" w:rsidRDefault="006F134E" w:rsidP="002A547B">
      <w:r>
        <w:t xml:space="preserve">No glaucoma medicine was the mostly frequently used prior treatment when a six month lookback period was used, followed by latanoprost, and timolol. </w:t>
      </w:r>
      <w:r w:rsidR="001F0702">
        <w:t xml:space="preserve">There is only small variation in numbers between medicines used in the previous two years and medicines used in the six months prior to starting an FDC. </w:t>
      </w:r>
    </w:p>
    <w:p w:rsidR="00390A59" w:rsidRDefault="002C451B" w:rsidP="00A35800">
      <w:pPr>
        <w:sectPr w:rsidR="00390A59" w:rsidSect="00DD188C">
          <w:pgSz w:w="11906" w:h="16838"/>
          <w:pgMar w:top="1644" w:right="1361" w:bottom="1644" w:left="1588" w:header="709" w:footer="709" w:gutter="0"/>
          <w:cols w:space="708"/>
          <w:docGrid w:linePitch="360"/>
        </w:sectPr>
      </w:pPr>
      <w:r w:rsidRPr="002C451B">
        <w:lastRenderedPageBreak/>
        <w:t xml:space="preserve">Table </w:t>
      </w:r>
      <w:r w:rsidR="0096523F">
        <w:t>5</w:t>
      </w:r>
      <w:r w:rsidRPr="002C451B">
        <w:t xml:space="preserve"> presents </w:t>
      </w:r>
      <w:r w:rsidR="0041615F">
        <w:t xml:space="preserve">data on the prior treatment by the starting FDC.  </w:t>
      </w:r>
      <w:r w:rsidR="00F77D7F">
        <w:t>O</w:t>
      </w:r>
      <w:r w:rsidR="0041615F">
        <w:t xml:space="preserve">nly </w:t>
      </w:r>
      <w:r w:rsidR="0096523F">
        <w:t>the three most common prior treatments</w:t>
      </w:r>
      <w:r w:rsidR="00F77D7F">
        <w:t xml:space="preserve"> are presented</w:t>
      </w:r>
      <w:r w:rsidR="0096523F">
        <w:t>.</w:t>
      </w:r>
    </w:p>
    <w:p w:rsidR="00816954" w:rsidRDefault="00816954" w:rsidP="00816954">
      <w:pPr>
        <w:pStyle w:val="Tabletitle"/>
      </w:pPr>
      <w:r>
        <w:lastRenderedPageBreak/>
        <w:t xml:space="preserve">Table </w:t>
      </w:r>
      <w:r w:rsidR="0096523F">
        <w:t>5</w:t>
      </w:r>
      <w:r>
        <w:t xml:space="preserve">: </w:t>
      </w:r>
      <w:r w:rsidR="008E0822">
        <w:t xml:space="preserve">Prior treatment </w:t>
      </w:r>
      <w:r w:rsidR="00AE1175">
        <w:t xml:space="preserve">in the year </w:t>
      </w:r>
      <w:r w:rsidR="008E0822">
        <w:t>before FDCs by starting FDC</w:t>
      </w:r>
      <w:r w:rsidR="00633E62">
        <w:t xml:space="preserve"> (two year lookback)</w:t>
      </w:r>
    </w:p>
    <w:tbl>
      <w:tblPr>
        <w:tblStyle w:val="TableGrid"/>
        <w:tblW w:w="0" w:type="auto"/>
        <w:tblLook w:val="04A0" w:firstRow="1" w:lastRow="0" w:firstColumn="1" w:lastColumn="0" w:noHBand="0" w:noVBand="1"/>
        <w:tblCaption w:val="Prior treatment in the year before FDCs by starting FDC (two year lookback)"/>
        <w:tblDescription w:val="A table of Prior treatment in the year before FDCs by starting FDC (two year lookback)"/>
      </w:tblPr>
      <w:tblGrid>
        <w:gridCol w:w="1584"/>
        <w:gridCol w:w="1688"/>
        <w:gridCol w:w="1711"/>
        <w:gridCol w:w="1724"/>
        <w:gridCol w:w="1582"/>
        <w:gridCol w:w="1751"/>
        <w:gridCol w:w="1789"/>
        <w:gridCol w:w="1937"/>
      </w:tblGrid>
      <w:tr w:rsidR="00390A59" w:rsidTr="00BC54B5">
        <w:trPr>
          <w:tblHeader/>
        </w:trPr>
        <w:tc>
          <w:tcPr>
            <w:tcW w:w="0" w:type="auto"/>
            <w:shd w:val="clear" w:color="auto" w:fill="BFBFBF" w:themeFill="background1" w:themeFillShade="BF"/>
          </w:tcPr>
          <w:p w:rsidR="00390A59" w:rsidRDefault="00390A59" w:rsidP="001C4776">
            <w:pPr>
              <w:pStyle w:val="Tableheading"/>
            </w:pPr>
          </w:p>
        </w:tc>
        <w:tc>
          <w:tcPr>
            <w:tcW w:w="0" w:type="auto"/>
            <w:shd w:val="clear" w:color="auto" w:fill="BFBFBF" w:themeFill="background1" w:themeFillShade="BF"/>
            <w:vAlign w:val="center"/>
          </w:tcPr>
          <w:p w:rsidR="00390A59" w:rsidRPr="00002242" w:rsidRDefault="00390A59" w:rsidP="001C4776">
            <w:pPr>
              <w:pStyle w:val="Tableheading"/>
              <w:rPr>
                <w:sz w:val="22"/>
                <w:szCs w:val="22"/>
              </w:rPr>
            </w:pPr>
            <w:r w:rsidRPr="00002242">
              <w:rPr>
                <w:sz w:val="22"/>
                <w:szCs w:val="22"/>
              </w:rPr>
              <w:t>Latanoprost with timolol</w:t>
            </w:r>
          </w:p>
        </w:tc>
        <w:tc>
          <w:tcPr>
            <w:tcW w:w="0" w:type="auto"/>
            <w:shd w:val="clear" w:color="auto" w:fill="BFBFBF" w:themeFill="background1" w:themeFillShade="BF"/>
            <w:vAlign w:val="center"/>
          </w:tcPr>
          <w:p w:rsidR="00390A59" w:rsidRPr="00002242" w:rsidRDefault="00390A59" w:rsidP="001C4776">
            <w:pPr>
              <w:pStyle w:val="Tableheading"/>
              <w:rPr>
                <w:sz w:val="22"/>
                <w:szCs w:val="22"/>
              </w:rPr>
            </w:pPr>
            <w:r w:rsidRPr="00002242">
              <w:rPr>
                <w:sz w:val="22"/>
                <w:szCs w:val="22"/>
              </w:rPr>
              <w:t>Brimonidine with</w:t>
            </w:r>
            <w:r>
              <w:rPr>
                <w:sz w:val="22"/>
                <w:szCs w:val="22"/>
              </w:rPr>
              <w:t xml:space="preserve"> </w:t>
            </w:r>
            <w:r w:rsidRPr="00002242">
              <w:rPr>
                <w:sz w:val="22"/>
                <w:szCs w:val="22"/>
              </w:rPr>
              <w:t>timolol</w:t>
            </w:r>
          </w:p>
        </w:tc>
        <w:tc>
          <w:tcPr>
            <w:tcW w:w="0" w:type="auto"/>
            <w:shd w:val="clear" w:color="auto" w:fill="BFBFBF" w:themeFill="background1" w:themeFillShade="BF"/>
            <w:vAlign w:val="center"/>
          </w:tcPr>
          <w:p w:rsidR="00390A59" w:rsidRPr="00002242" w:rsidRDefault="00390A59" w:rsidP="001C4776">
            <w:pPr>
              <w:pStyle w:val="Tableheading"/>
              <w:rPr>
                <w:sz w:val="22"/>
                <w:szCs w:val="22"/>
              </w:rPr>
            </w:pPr>
            <w:r w:rsidRPr="00002242">
              <w:rPr>
                <w:sz w:val="22"/>
                <w:szCs w:val="22"/>
              </w:rPr>
              <w:t>Bimatoprost with timolol</w:t>
            </w:r>
          </w:p>
        </w:tc>
        <w:tc>
          <w:tcPr>
            <w:tcW w:w="0" w:type="auto"/>
            <w:shd w:val="clear" w:color="auto" w:fill="BFBFBF" w:themeFill="background1" w:themeFillShade="BF"/>
            <w:vAlign w:val="center"/>
          </w:tcPr>
          <w:p w:rsidR="00390A59" w:rsidRPr="00002242" w:rsidRDefault="00390A59" w:rsidP="00685502">
            <w:pPr>
              <w:pStyle w:val="Tableheading"/>
              <w:rPr>
                <w:sz w:val="22"/>
                <w:szCs w:val="22"/>
              </w:rPr>
            </w:pPr>
            <w:r w:rsidRPr="00002242">
              <w:rPr>
                <w:sz w:val="22"/>
                <w:szCs w:val="22"/>
              </w:rPr>
              <w:t>Travoprost with</w:t>
            </w:r>
            <w:r>
              <w:rPr>
                <w:sz w:val="22"/>
                <w:szCs w:val="22"/>
              </w:rPr>
              <w:t xml:space="preserve"> </w:t>
            </w:r>
            <w:r w:rsidRPr="00002242">
              <w:rPr>
                <w:sz w:val="22"/>
                <w:szCs w:val="22"/>
              </w:rPr>
              <w:t>timolol</w:t>
            </w:r>
          </w:p>
        </w:tc>
        <w:tc>
          <w:tcPr>
            <w:tcW w:w="0" w:type="auto"/>
            <w:shd w:val="clear" w:color="auto" w:fill="BFBFBF" w:themeFill="background1" w:themeFillShade="BF"/>
            <w:vAlign w:val="center"/>
          </w:tcPr>
          <w:p w:rsidR="00390A59" w:rsidRPr="00002242" w:rsidRDefault="00390A59" w:rsidP="001C4776">
            <w:pPr>
              <w:pStyle w:val="Tableheading"/>
              <w:rPr>
                <w:sz w:val="22"/>
                <w:szCs w:val="22"/>
              </w:rPr>
            </w:pPr>
            <w:r w:rsidRPr="00002242">
              <w:rPr>
                <w:sz w:val="22"/>
                <w:szCs w:val="22"/>
              </w:rPr>
              <w:t>Dorzolamide with timolol</w:t>
            </w:r>
          </w:p>
        </w:tc>
        <w:tc>
          <w:tcPr>
            <w:tcW w:w="0" w:type="auto"/>
            <w:shd w:val="clear" w:color="auto" w:fill="BFBFBF" w:themeFill="background1" w:themeFillShade="BF"/>
            <w:vAlign w:val="center"/>
          </w:tcPr>
          <w:p w:rsidR="00390A59" w:rsidRPr="00002242" w:rsidRDefault="00051888" w:rsidP="001C4776">
            <w:pPr>
              <w:pStyle w:val="Tableheading"/>
              <w:rPr>
                <w:sz w:val="22"/>
                <w:szCs w:val="22"/>
              </w:rPr>
            </w:pPr>
            <w:r w:rsidRPr="00002242">
              <w:rPr>
                <w:sz w:val="22"/>
                <w:szCs w:val="22"/>
              </w:rPr>
              <w:t>B</w:t>
            </w:r>
            <w:r>
              <w:rPr>
                <w:sz w:val="22"/>
                <w:szCs w:val="22"/>
              </w:rPr>
              <w:t>r</w:t>
            </w:r>
            <w:r w:rsidRPr="00002242">
              <w:rPr>
                <w:sz w:val="22"/>
                <w:szCs w:val="22"/>
              </w:rPr>
              <w:t>inzolamide</w:t>
            </w:r>
            <w:r w:rsidR="00390A59" w:rsidRPr="00002242">
              <w:rPr>
                <w:sz w:val="22"/>
                <w:szCs w:val="22"/>
              </w:rPr>
              <w:t xml:space="preserve"> with timolol</w:t>
            </w:r>
          </w:p>
        </w:tc>
        <w:tc>
          <w:tcPr>
            <w:tcW w:w="0" w:type="auto"/>
            <w:shd w:val="clear" w:color="auto" w:fill="BFBFBF" w:themeFill="background1" w:themeFillShade="BF"/>
            <w:vAlign w:val="center"/>
          </w:tcPr>
          <w:p w:rsidR="00390A59" w:rsidRPr="00E53381" w:rsidRDefault="00390A59" w:rsidP="00A60DCF">
            <w:pPr>
              <w:pStyle w:val="Tableheading"/>
              <w:rPr>
                <w:sz w:val="22"/>
                <w:szCs w:val="22"/>
                <w:vertAlign w:val="superscript"/>
              </w:rPr>
            </w:pPr>
            <w:r>
              <w:rPr>
                <w:sz w:val="22"/>
                <w:szCs w:val="22"/>
              </w:rPr>
              <w:t>Brinzolamide with b</w:t>
            </w:r>
            <w:r w:rsidRPr="00002242">
              <w:rPr>
                <w:sz w:val="22"/>
                <w:szCs w:val="22"/>
              </w:rPr>
              <w:t>rimonidine</w:t>
            </w:r>
          </w:p>
        </w:tc>
      </w:tr>
      <w:tr w:rsidR="00390A59" w:rsidTr="001C4776">
        <w:tc>
          <w:tcPr>
            <w:tcW w:w="0" w:type="auto"/>
            <w:vAlign w:val="center"/>
          </w:tcPr>
          <w:p w:rsidR="00390A59" w:rsidRDefault="00390A59" w:rsidP="001C4776">
            <w:pPr>
              <w:pStyle w:val="Tablewriting"/>
            </w:pPr>
            <w:r>
              <w:t>Most frequent prior medicine</w:t>
            </w:r>
          </w:p>
        </w:tc>
        <w:tc>
          <w:tcPr>
            <w:tcW w:w="0" w:type="auto"/>
            <w:vAlign w:val="center"/>
          </w:tcPr>
          <w:p w:rsidR="00390A59" w:rsidRDefault="00390A59" w:rsidP="00633E62">
            <w:pPr>
              <w:pStyle w:val="Tablewriting"/>
              <w:jc w:val="center"/>
            </w:pPr>
            <w:r>
              <w:t>Latanoprost (6</w:t>
            </w:r>
            <w:r w:rsidR="00633E62">
              <w:t>9</w:t>
            </w:r>
            <w:r>
              <w:t>%)</w:t>
            </w:r>
          </w:p>
        </w:tc>
        <w:tc>
          <w:tcPr>
            <w:tcW w:w="0" w:type="auto"/>
            <w:vAlign w:val="center"/>
          </w:tcPr>
          <w:p w:rsidR="00390A59" w:rsidRDefault="00390A59" w:rsidP="00633E62">
            <w:pPr>
              <w:pStyle w:val="Tablewriting"/>
              <w:jc w:val="center"/>
            </w:pPr>
            <w:r>
              <w:t>No medicine (6</w:t>
            </w:r>
            <w:r w:rsidR="00633E62">
              <w:t>4</w:t>
            </w:r>
            <w:r>
              <w:t>%)</w:t>
            </w:r>
          </w:p>
        </w:tc>
        <w:tc>
          <w:tcPr>
            <w:tcW w:w="0" w:type="auto"/>
            <w:vAlign w:val="center"/>
          </w:tcPr>
          <w:p w:rsidR="00390A59" w:rsidRDefault="00390A59" w:rsidP="00375E76">
            <w:pPr>
              <w:pStyle w:val="Tablewriting"/>
              <w:jc w:val="center"/>
            </w:pPr>
            <w:r>
              <w:t xml:space="preserve">Latanoprost </w:t>
            </w:r>
            <w:r>
              <w:br/>
              <w:t>(3</w:t>
            </w:r>
            <w:r w:rsidR="00375E76">
              <w:t>4</w:t>
            </w:r>
            <w:r>
              <w:t>%)</w:t>
            </w:r>
          </w:p>
        </w:tc>
        <w:tc>
          <w:tcPr>
            <w:tcW w:w="0" w:type="auto"/>
            <w:vAlign w:val="center"/>
          </w:tcPr>
          <w:p w:rsidR="00390A59" w:rsidRDefault="00390A59" w:rsidP="000335FA">
            <w:pPr>
              <w:pStyle w:val="Tablewriting"/>
              <w:jc w:val="center"/>
            </w:pPr>
            <w:r>
              <w:t>Latanoprost (3</w:t>
            </w:r>
            <w:r w:rsidR="000335FA">
              <w:t>4</w:t>
            </w:r>
            <w:r>
              <w:t>%)</w:t>
            </w:r>
          </w:p>
        </w:tc>
        <w:tc>
          <w:tcPr>
            <w:tcW w:w="0" w:type="auto"/>
            <w:vAlign w:val="center"/>
          </w:tcPr>
          <w:p w:rsidR="00390A59" w:rsidRDefault="00390A59" w:rsidP="00375E76">
            <w:pPr>
              <w:pStyle w:val="Tablewriting"/>
              <w:jc w:val="center"/>
            </w:pPr>
            <w:r w:rsidRPr="00002242">
              <w:t xml:space="preserve">No medicine </w:t>
            </w:r>
            <w:r>
              <w:br/>
            </w:r>
            <w:r w:rsidRPr="00002242">
              <w:t>(</w:t>
            </w:r>
            <w:r w:rsidR="00375E76">
              <w:t>59</w:t>
            </w:r>
            <w:r w:rsidRPr="00002242">
              <w:t>%)</w:t>
            </w:r>
          </w:p>
        </w:tc>
        <w:tc>
          <w:tcPr>
            <w:tcW w:w="0" w:type="auto"/>
            <w:vAlign w:val="center"/>
          </w:tcPr>
          <w:p w:rsidR="00390A59" w:rsidRDefault="00390A59" w:rsidP="00375E76">
            <w:pPr>
              <w:pStyle w:val="Tablewriting"/>
              <w:jc w:val="center"/>
            </w:pPr>
            <w:r w:rsidRPr="00002242">
              <w:t>No medicine (</w:t>
            </w:r>
            <w:r>
              <w:t>4</w:t>
            </w:r>
            <w:r w:rsidR="00375E76">
              <w:t>4</w:t>
            </w:r>
            <w:r w:rsidRPr="00002242">
              <w:t>%)</w:t>
            </w:r>
          </w:p>
        </w:tc>
        <w:tc>
          <w:tcPr>
            <w:tcW w:w="0" w:type="auto"/>
            <w:vAlign w:val="center"/>
          </w:tcPr>
          <w:p w:rsidR="00390A59" w:rsidRDefault="00390A59" w:rsidP="00375E76">
            <w:pPr>
              <w:pStyle w:val="Tablewriting"/>
              <w:jc w:val="center"/>
            </w:pPr>
            <w:r>
              <w:t xml:space="preserve">Latanoprost </w:t>
            </w:r>
            <w:r>
              <w:br/>
              <w:t>(2</w:t>
            </w:r>
            <w:r w:rsidR="00375E76">
              <w:t>6</w:t>
            </w:r>
            <w:r>
              <w:t>%)</w:t>
            </w:r>
          </w:p>
        </w:tc>
      </w:tr>
      <w:tr w:rsidR="00390A59" w:rsidTr="001C4776">
        <w:tc>
          <w:tcPr>
            <w:tcW w:w="0" w:type="auto"/>
            <w:vAlign w:val="center"/>
          </w:tcPr>
          <w:p w:rsidR="00390A59" w:rsidRDefault="00390A59" w:rsidP="001C4776">
            <w:pPr>
              <w:pStyle w:val="Tablewriting"/>
            </w:pPr>
            <w:r>
              <w:t>2</w:t>
            </w:r>
            <w:r w:rsidRPr="006837B2">
              <w:rPr>
                <w:vertAlign w:val="superscript"/>
              </w:rPr>
              <w:t>nd</w:t>
            </w:r>
            <w:r>
              <w:t xml:space="preserve"> m</w:t>
            </w:r>
            <w:r w:rsidRPr="006837B2">
              <w:t>ost frequent prior medicine</w:t>
            </w:r>
          </w:p>
        </w:tc>
        <w:tc>
          <w:tcPr>
            <w:tcW w:w="0" w:type="auto"/>
            <w:vAlign w:val="center"/>
          </w:tcPr>
          <w:p w:rsidR="00390A59" w:rsidRDefault="00390A59" w:rsidP="00633E62">
            <w:pPr>
              <w:pStyle w:val="Tablewriting"/>
              <w:jc w:val="center"/>
            </w:pPr>
            <w:r>
              <w:t>No medicine (1</w:t>
            </w:r>
            <w:r w:rsidR="00633E62">
              <w:t>6</w:t>
            </w:r>
            <w:r>
              <w:t>%)</w:t>
            </w:r>
          </w:p>
        </w:tc>
        <w:tc>
          <w:tcPr>
            <w:tcW w:w="0" w:type="auto"/>
            <w:vAlign w:val="center"/>
          </w:tcPr>
          <w:p w:rsidR="00390A59" w:rsidRDefault="00390A59" w:rsidP="000335FA">
            <w:pPr>
              <w:pStyle w:val="Tablewriting"/>
              <w:jc w:val="center"/>
            </w:pPr>
            <w:r>
              <w:t xml:space="preserve">Timolol </w:t>
            </w:r>
            <w:r>
              <w:br/>
              <w:t>(</w:t>
            </w:r>
            <w:r w:rsidR="000335FA">
              <w:t>10</w:t>
            </w:r>
            <w:r>
              <w:t>%)</w:t>
            </w:r>
          </w:p>
        </w:tc>
        <w:tc>
          <w:tcPr>
            <w:tcW w:w="0" w:type="auto"/>
            <w:vAlign w:val="center"/>
          </w:tcPr>
          <w:p w:rsidR="00390A59" w:rsidRDefault="00390A59" w:rsidP="00375E76">
            <w:pPr>
              <w:pStyle w:val="Tablewriting"/>
              <w:jc w:val="center"/>
            </w:pPr>
            <w:r w:rsidRPr="00002242">
              <w:t>No medicine (</w:t>
            </w:r>
            <w:r>
              <w:t>2</w:t>
            </w:r>
            <w:r w:rsidR="00375E76">
              <w:t>1</w:t>
            </w:r>
            <w:r w:rsidRPr="00002242">
              <w:t>%)</w:t>
            </w:r>
          </w:p>
        </w:tc>
        <w:tc>
          <w:tcPr>
            <w:tcW w:w="0" w:type="auto"/>
            <w:vAlign w:val="center"/>
          </w:tcPr>
          <w:p w:rsidR="00390A59" w:rsidRDefault="00390A59" w:rsidP="000335FA">
            <w:pPr>
              <w:pStyle w:val="Tablewriting"/>
              <w:jc w:val="center"/>
            </w:pPr>
            <w:r>
              <w:t>Travoprost (</w:t>
            </w:r>
            <w:r w:rsidR="000335FA">
              <w:t>30</w:t>
            </w:r>
            <w:r>
              <w:t>%)</w:t>
            </w:r>
          </w:p>
        </w:tc>
        <w:tc>
          <w:tcPr>
            <w:tcW w:w="0" w:type="auto"/>
            <w:vAlign w:val="center"/>
          </w:tcPr>
          <w:p w:rsidR="00390A59" w:rsidRDefault="00390A59" w:rsidP="00375E76">
            <w:pPr>
              <w:pStyle w:val="Tablewriting"/>
              <w:jc w:val="center"/>
            </w:pPr>
            <w:r>
              <w:t xml:space="preserve">Timolol </w:t>
            </w:r>
            <w:r>
              <w:br/>
              <w:t>(1</w:t>
            </w:r>
            <w:r w:rsidR="00375E76">
              <w:t>4</w:t>
            </w:r>
            <w:r>
              <w:t>%)</w:t>
            </w:r>
          </w:p>
        </w:tc>
        <w:tc>
          <w:tcPr>
            <w:tcW w:w="0" w:type="auto"/>
            <w:vAlign w:val="center"/>
          </w:tcPr>
          <w:p w:rsidR="00390A59" w:rsidRDefault="00390A59" w:rsidP="00375E76">
            <w:pPr>
              <w:pStyle w:val="Tablewriting"/>
              <w:jc w:val="center"/>
            </w:pPr>
            <w:r>
              <w:t xml:space="preserve">Timolol </w:t>
            </w:r>
            <w:r>
              <w:br/>
              <w:t>(1</w:t>
            </w:r>
            <w:r w:rsidR="00375E76">
              <w:t>7</w:t>
            </w:r>
            <w:r>
              <w:t>%)</w:t>
            </w:r>
          </w:p>
        </w:tc>
        <w:tc>
          <w:tcPr>
            <w:tcW w:w="0" w:type="auto"/>
            <w:vAlign w:val="center"/>
          </w:tcPr>
          <w:p w:rsidR="00390A59" w:rsidRDefault="00375E76" w:rsidP="000335FA">
            <w:pPr>
              <w:pStyle w:val="Tablewriting"/>
              <w:jc w:val="center"/>
            </w:pPr>
            <w:r w:rsidRPr="00375E76">
              <w:t>Bimatoprost</w:t>
            </w:r>
            <w:r w:rsidR="00390A59">
              <w:br/>
            </w:r>
            <w:r w:rsidR="00390A59" w:rsidRPr="00B10E16">
              <w:t>(</w:t>
            </w:r>
            <w:r w:rsidR="00390A59">
              <w:t>1</w:t>
            </w:r>
            <w:r w:rsidR="000335FA">
              <w:t>4</w:t>
            </w:r>
            <w:r w:rsidR="00390A59" w:rsidRPr="00B10E16">
              <w:t>%)</w:t>
            </w:r>
            <w:r w:rsidR="00685502">
              <w:rPr>
                <w:sz w:val="22"/>
                <w:szCs w:val="22"/>
                <w:vertAlign w:val="superscript"/>
              </w:rPr>
              <w:t>a</w:t>
            </w:r>
          </w:p>
        </w:tc>
      </w:tr>
      <w:tr w:rsidR="00390A59" w:rsidTr="001C4776">
        <w:tc>
          <w:tcPr>
            <w:tcW w:w="0" w:type="auto"/>
            <w:vAlign w:val="center"/>
          </w:tcPr>
          <w:p w:rsidR="00390A59" w:rsidRDefault="00390A59" w:rsidP="001C4776">
            <w:pPr>
              <w:pStyle w:val="Tablewriting"/>
            </w:pPr>
            <w:r>
              <w:t>3</w:t>
            </w:r>
            <w:r w:rsidRPr="006837B2">
              <w:rPr>
                <w:vertAlign w:val="superscript"/>
              </w:rPr>
              <w:t>rd</w:t>
            </w:r>
            <w:r>
              <w:t xml:space="preserve"> </w:t>
            </w:r>
            <w:r w:rsidRPr="006837B2">
              <w:t xml:space="preserve"> most frequent prior medicine</w:t>
            </w:r>
          </w:p>
        </w:tc>
        <w:tc>
          <w:tcPr>
            <w:tcW w:w="0" w:type="auto"/>
            <w:vAlign w:val="center"/>
          </w:tcPr>
          <w:p w:rsidR="00390A59" w:rsidRDefault="00390A59" w:rsidP="001C4776">
            <w:pPr>
              <w:pStyle w:val="Tablewriting"/>
              <w:jc w:val="center"/>
            </w:pPr>
            <w:r>
              <w:t xml:space="preserve">Timolol </w:t>
            </w:r>
            <w:r>
              <w:br/>
              <w:t>(9%)</w:t>
            </w:r>
          </w:p>
        </w:tc>
        <w:tc>
          <w:tcPr>
            <w:tcW w:w="0" w:type="auto"/>
            <w:vAlign w:val="center"/>
          </w:tcPr>
          <w:p w:rsidR="00390A59" w:rsidRDefault="00390A59" w:rsidP="000335FA">
            <w:pPr>
              <w:pStyle w:val="Tablewriting"/>
              <w:jc w:val="center"/>
            </w:pPr>
            <w:r>
              <w:t>Latanoprost (</w:t>
            </w:r>
            <w:r w:rsidR="000335FA">
              <w:t>10</w:t>
            </w:r>
            <w:r>
              <w:t>%)</w:t>
            </w:r>
          </w:p>
        </w:tc>
        <w:tc>
          <w:tcPr>
            <w:tcW w:w="0" w:type="auto"/>
            <w:vAlign w:val="center"/>
          </w:tcPr>
          <w:p w:rsidR="00390A59" w:rsidRDefault="00390A59" w:rsidP="000335FA">
            <w:pPr>
              <w:pStyle w:val="Tablewriting"/>
              <w:jc w:val="center"/>
            </w:pPr>
            <w:r>
              <w:t>Bimatoprost (2</w:t>
            </w:r>
            <w:r w:rsidR="000335FA">
              <w:t>1</w:t>
            </w:r>
            <w:r>
              <w:t>%)</w:t>
            </w:r>
          </w:p>
        </w:tc>
        <w:tc>
          <w:tcPr>
            <w:tcW w:w="0" w:type="auto"/>
            <w:vAlign w:val="center"/>
          </w:tcPr>
          <w:p w:rsidR="00390A59" w:rsidRDefault="00390A59" w:rsidP="00375E76">
            <w:pPr>
              <w:pStyle w:val="Tablewriting"/>
              <w:jc w:val="center"/>
            </w:pPr>
            <w:r w:rsidRPr="00002242">
              <w:t>No medicine (</w:t>
            </w:r>
            <w:r w:rsidR="00375E76">
              <w:t>22</w:t>
            </w:r>
            <w:r w:rsidRPr="00002242">
              <w:t>%)</w:t>
            </w:r>
          </w:p>
        </w:tc>
        <w:tc>
          <w:tcPr>
            <w:tcW w:w="0" w:type="auto"/>
            <w:vAlign w:val="center"/>
          </w:tcPr>
          <w:p w:rsidR="00390A59" w:rsidRDefault="00390A59" w:rsidP="000335FA">
            <w:pPr>
              <w:pStyle w:val="Tablewriting"/>
              <w:jc w:val="center"/>
            </w:pPr>
            <w:r>
              <w:t xml:space="preserve">Latanoprost </w:t>
            </w:r>
            <w:r>
              <w:br/>
              <w:t>(1</w:t>
            </w:r>
            <w:r w:rsidR="000335FA">
              <w:t>2</w:t>
            </w:r>
            <w:r>
              <w:t>%)</w:t>
            </w:r>
          </w:p>
        </w:tc>
        <w:tc>
          <w:tcPr>
            <w:tcW w:w="0" w:type="auto"/>
            <w:vAlign w:val="center"/>
          </w:tcPr>
          <w:p w:rsidR="00390A59" w:rsidRDefault="00390A59" w:rsidP="000335FA">
            <w:pPr>
              <w:pStyle w:val="Tablewriting"/>
              <w:jc w:val="center"/>
            </w:pPr>
            <w:r>
              <w:t xml:space="preserve">Latanoprost </w:t>
            </w:r>
            <w:r>
              <w:br/>
              <w:t>(1</w:t>
            </w:r>
            <w:r w:rsidR="000335FA">
              <w:t>5</w:t>
            </w:r>
            <w:r>
              <w:t>%)</w:t>
            </w:r>
          </w:p>
        </w:tc>
        <w:tc>
          <w:tcPr>
            <w:tcW w:w="0" w:type="auto"/>
            <w:vAlign w:val="center"/>
          </w:tcPr>
          <w:p w:rsidR="00390A59" w:rsidRDefault="00375E76" w:rsidP="001C4776">
            <w:pPr>
              <w:pStyle w:val="Tablewriting"/>
              <w:jc w:val="center"/>
            </w:pPr>
            <w:r>
              <w:t>Brinzolamide</w:t>
            </w:r>
            <w:r w:rsidR="00390A59">
              <w:br/>
              <w:t>(14%)</w:t>
            </w:r>
            <w:r w:rsidR="00685502">
              <w:rPr>
                <w:sz w:val="22"/>
                <w:szCs w:val="22"/>
                <w:vertAlign w:val="superscript"/>
              </w:rPr>
              <w:t>a</w:t>
            </w:r>
          </w:p>
        </w:tc>
      </w:tr>
      <w:tr w:rsidR="00390A59" w:rsidTr="001C4776">
        <w:tc>
          <w:tcPr>
            <w:tcW w:w="0" w:type="auto"/>
            <w:vAlign w:val="center"/>
          </w:tcPr>
          <w:p w:rsidR="00390A59" w:rsidRDefault="00390A59" w:rsidP="001C4776">
            <w:pPr>
              <w:pStyle w:val="Tablewriting"/>
            </w:pPr>
            <w:r>
              <w:t>Total new patients (%)</w:t>
            </w:r>
          </w:p>
        </w:tc>
        <w:tc>
          <w:tcPr>
            <w:tcW w:w="0" w:type="auto"/>
            <w:vAlign w:val="center"/>
          </w:tcPr>
          <w:p w:rsidR="00390A59" w:rsidRDefault="00390A59" w:rsidP="001C4776">
            <w:pPr>
              <w:pStyle w:val="Tablewriting"/>
              <w:jc w:val="center"/>
            </w:pPr>
            <w:r w:rsidRPr="002E1656">
              <w:t>10,415</w:t>
            </w:r>
            <w:r>
              <w:t xml:space="preserve"> </w:t>
            </w:r>
            <w:r>
              <w:br/>
              <w:t>(32%)</w:t>
            </w:r>
          </w:p>
        </w:tc>
        <w:tc>
          <w:tcPr>
            <w:tcW w:w="0" w:type="auto"/>
            <w:vAlign w:val="center"/>
          </w:tcPr>
          <w:p w:rsidR="00390A59" w:rsidRDefault="00390A59" w:rsidP="001C4776">
            <w:pPr>
              <w:pStyle w:val="Tablewriting"/>
              <w:jc w:val="center"/>
            </w:pPr>
            <w:r w:rsidRPr="002E1656">
              <w:t>6,882</w:t>
            </w:r>
            <w:r>
              <w:t xml:space="preserve"> </w:t>
            </w:r>
            <w:r>
              <w:br/>
              <w:t>(21%)</w:t>
            </w:r>
          </w:p>
        </w:tc>
        <w:tc>
          <w:tcPr>
            <w:tcW w:w="0" w:type="auto"/>
            <w:vAlign w:val="center"/>
          </w:tcPr>
          <w:p w:rsidR="00390A59" w:rsidRDefault="00390A59" w:rsidP="001C4776">
            <w:pPr>
              <w:pStyle w:val="Tablewriting"/>
              <w:jc w:val="center"/>
            </w:pPr>
            <w:r w:rsidRPr="002E1656">
              <w:t>5,975</w:t>
            </w:r>
            <w:r>
              <w:t xml:space="preserve"> </w:t>
            </w:r>
            <w:r>
              <w:br/>
              <w:t>(19%)</w:t>
            </w:r>
          </w:p>
        </w:tc>
        <w:tc>
          <w:tcPr>
            <w:tcW w:w="0" w:type="auto"/>
            <w:vAlign w:val="center"/>
          </w:tcPr>
          <w:p w:rsidR="00390A59" w:rsidRDefault="00390A59" w:rsidP="001C4776">
            <w:pPr>
              <w:pStyle w:val="Tablewriting"/>
              <w:jc w:val="center"/>
            </w:pPr>
            <w:r w:rsidRPr="002E1656">
              <w:t>4,405</w:t>
            </w:r>
            <w:r>
              <w:t xml:space="preserve"> </w:t>
            </w:r>
            <w:r>
              <w:br/>
              <w:t>(14%)</w:t>
            </w:r>
          </w:p>
        </w:tc>
        <w:tc>
          <w:tcPr>
            <w:tcW w:w="0" w:type="auto"/>
            <w:vAlign w:val="center"/>
          </w:tcPr>
          <w:p w:rsidR="00390A59" w:rsidRDefault="00390A59" w:rsidP="001C4776">
            <w:pPr>
              <w:pStyle w:val="Tablewriting"/>
              <w:jc w:val="center"/>
            </w:pPr>
            <w:r w:rsidRPr="002E1656">
              <w:t>2,327</w:t>
            </w:r>
            <w:r>
              <w:t xml:space="preserve"> </w:t>
            </w:r>
            <w:r>
              <w:br/>
              <w:t>(7%)</w:t>
            </w:r>
          </w:p>
        </w:tc>
        <w:tc>
          <w:tcPr>
            <w:tcW w:w="0" w:type="auto"/>
            <w:vAlign w:val="center"/>
          </w:tcPr>
          <w:p w:rsidR="00390A59" w:rsidRDefault="00390A59" w:rsidP="001C4776">
            <w:pPr>
              <w:pStyle w:val="Tablewriting"/>
              <w:jc w:val="center"/>
            </w:pPr>
            <w:r w:rsidRPr="002E1656">
              <w:t>1,987</w:t>
            </w:r>
            <w:r>
              <w:br/>
              <w:t xml:space="preserve"> (6%)</w:t>
            </w:r>
          </w:p>
        </w:tc>
        <w:tc>
          <w:tcPr>
            <w:tcW w:w="0" w:type="auto"/>
            <w:vAlign w:val="center"/>
          </w:tcPr>
          <w:p w:rsidR="00390A59" w:rsidRDefault="00390A59" w:rsidP="001C4776">
            <w:pPr>
              <w:pStyle w:val="Tablewriting"/>
              <w:jc w:val="center"/>
            </w:pPr>
            <w:r w:rsidRPr="002E1656">
              <w:t>155</w:t>
            </w:r>
            <w:r>
              <w:t xml:space="preserve"> </w:t>
            </w:r>
            <w:r>
              <w:br/>
              <w:t>(≈0%)</w:t>
            </w:r>
          </w:p>
        </w:tc>
      </w:tr>
    </w:tbl>
    <w:p w:rsidR="00541326" w:rsidRDefault="00541326" w:rsidP="00541326">
      <w:pPr>
        <w:pStyle w:val="Notes"/>
      </w:pPr>
      <w:r>
        <w:t>Source: DHS Supplied Prescriptions Database, extracted April 2016</w:t>
      </w:r>
      <w:r w:rsidR="00DA0938">
        <w:br/>
      </w:r>
      <w:r w:rsidR="00E53381">
        <w:rPr>
          <w:vertAlign w:val="superscript"/>
        </w:rPr>
        <w:t>a</w:t>
      </w:r>
      <w:r w:rsidR="00DA0938">
        <w:t xml:space="preserve"> </w:t>
      </w:r>
      <w:r w:rsidR="00685502">
        <w:t xml:space="preserve">The same number of patients used </w:t>
      </w:r>
      <w:r w:rsidR="00F77D7F">
        <w:t xml:space="preserve">these </w:t>
      </w:r>
      <w:r w:rsidR="00685502">
        <w:t xml:space="preserve">medicines as the last prior therapy. </w:t>
      </w:r>
    </w:p>
    <w:p w:rsidR="00330CF1" w:rsidRDefault="000C4FD2" w:rsidP="00330CF1">
      <w:r>
        <w:t>For the majority of patients starting FDCs</w:t>
      </w:r>
      <w:r w:rsidR="00DA0938">
        <w:t>, the most common prior medicine was latanoprost. For b</w:t>
      </w:r>
      <w:r w:rsidR="00DA0938" w:rsidRPr="00DA0938">
        <w:t>rimonidine with timolol</w:t>
      </w:r>
      <w:r w:rsidR="00DA0938">
        <w:t>, d</w:t>
      </w:r>
      <w:r w:rsidR="00DA0938" w:rsidRPr="00DA0938">
        <w:t>orzolamide with timolol</w:t>
      </w:r>
      <w:r w:rsidR="00DA0938">
        <w:t>, and b</w:t>
      </w:r>
      <w:r w:rsidR="00DA0938" w:rsidRPr="00DA0938">
        <w:t>rinzolamide with timolol</w:t>
      </w:r>
      <w:r w:rsidR="00DA0938">
        <w:t xml:space="preserve">, no prior treatment was </w:t>
      </w:r>
      <w:r>
        <w:t xml:space="preserve">more common than prior monotherapy. </w:t>
      </w:r>
    </w:p>
    <w:p w:rsidR="00002242" w:rsidRDefault="00002242" w:rsidP="00330CF1">
      <w:pPr>
        <w:rPr>
          <w:b/>
          <w:sz w:val="28"/>
          <w:szCs w:val="28"/>
        </w:rPr>
      </w:pPr>
      <w:r>
        <w:br w:type="page"/>
      </w:r>
    </w:p>
    <w:p w:rsidR="00736041" w:rsidRPr="005E22C2" w:rsidRDefault="001B5D37" w:rsidP="00FE645A">
      <w:pPr>
        <w:pStyle w:val="Heading3"/>
      </w:pPr>
      <w:r w:rsidRPr="005E22C2">
        <w:lastRenderedPageBreak/>
        <w:t xml:space="preserve">Analysis </w:t>
      </w:r>
      <w:r w:rsidR="00481108" w:rsidRPr="005E22C2">
        <w:t xml:space="preserve">of </w:t>
      </w:r>
      <w:r w:rsidR="0063631C">
        <w:t>e</w:t>
      </w:r>
      <w:r w:rsidR="00736041" w:rsidRPr="005E22C2">
        <w:t>xpenditure</w:t>
      </w:r>
    </w:p>
    <w:p w:rsidR="00D61578" w:rsidRPr="00AB19EF" w:rsidRDefault="00D61578" w:rsidP="00A35800">
      <w:r w:rsidRPr="00AB19EF">
        <w:t xml:space="preserve">Table </w:t>
      </w:r>
      <w:r w:rsidR="0096523F">
        <w:t>6</w:t>
      </w:r>
      <w:r w:rsidRPr="00AB19EF">
        <w:t xml:space="preserve"> presents the expenditure on glaucoma medicines between 2004 and 2015. </w:t>
      </w:r>
    </w:p>
    <w:p w:rsidR="0034698D" w:rsidRDefault="0034698D" w:rsidP="0034698D">
      <w:pPr>
        <w:pStyle w:val="Tabletitle"/>
      </w:pPr>
      <w:r>
        <w:t xml:space="preserve">Table </w:t>
      </w:r>
      <w:r w:rsidR="0096523F">
        <w:t>6</w:t>
      </w:r>
      <w:r>
        <w:t>: R/PBS expenditure on glaucoma medicines (million</w:t>
      </w:r>
      <w:r w:rsidR="003366C8">
        <w:t>s</w:t>
      </w:r>
      <w:r>
        <w:t>)</w:t>
      </w:r>
    </w:p>
    <w:tbl>
      <w:tblPr>
        <w:tblStyle w:val="TableGrid"/>
        <w:tblW w:w="0" w:type="auto"/>
        <w:tblLook w:val="04A0" w:firstRow="1" w:lastRow="0" w:firstColumn="1" w:lastColumn="0" w:noHBand="0" w:noVBand="1"/>
        <w:tblCaption w:val="R/PBS expenditure on glaucoma medicines (millions)"/>
        <w:tblDescription w:val="A table of R/PBS expenditure on glaucoma medicines (millions)"/>
      </w:tblPr>
      <w:tblGrid>
        <w:gridCol w:w="1381"/>
        <w:gridCol w:w="990"/>
        <w:gridCol w:w="990"/>
        <w:gridCol w:w="990"/>
        <w:gridCol w:w="990"/>
        <w:gridCol w:w="990"/>
        <w:gridCol w:w="1091"/>
        <w:gridCol w:w="1091"/>
        <w:gridCol w:w="1091"/>
        <w:gridCol w:w="1091"/>
        <w:gridCol w:w="1091"/>
        <w:gridCol w:w="990"/>
        <w:gridCol w:w="990"/>
      </w:tblGrid>
      <w:tr w:rsidR="001760A5" w:rsidTr="00BC54B5">
        <w:trPr>
          <w:tblHeader/>
        </w:trPr>
        <w:tc>
          <w:tcPr>
            <w:tcW w:w="0" w:type="auto"/>
            <w:shd w:val="clear" w:color="auto" w:fill="BFBFBF" w:themeFill="background1" w:themeFillShade="BF"/>
          </w:tcPr>
          <w:p w:rsidR="0034698D" w:rsidRDefault="0034698D" w:rsidP="0034698D">
            <w:pPr>
              <w:pStyle w:val="Tablewriting"/>
            </w:pP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2004</w:t>
            </w:r>
          </w:p>
        </w:tc>
        <w:tc>
          <w:tcPr>
            <w:tcW w:w="0" w:type="auto"/>
            <w:shd w:val="clear" w:color="auto" w:fill="BFBFBF" w:themeFill="background1" w:themeFillShade="BF"/>
          </w:tcPr>
          <w:p w:rsidR="0034698D" w:rsidRPr="0034698D" w:rsidRDefault="0034698D" w:rsidP="0034698D">
            <w:pPr>
              <w:pStyle w:val="Tableheading"/>
              <w:rPr>
                <w:sz w:val="22"/>
                <w:szCs w:val="22"/>
              </w:rPr>
            </w:pPr>
            <w:r>
              <w:rPr>
                <w:sz w:val="22"/>
                <w:szCs w:val="22"/>
              </w:rPr>
              <w:t>200</w:t>
            </w:r>
            <w:r w:rsidRPr="0034698D">
              <w:rPr>
                <w:sz w:val="22"/>
                <w:szCs w:val="22"/>
              </w:rPr>
              <w:t>5</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2006</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2007</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2008</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2009</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2010</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2011</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2012</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2013</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2014</w:t>
            </w:r>
          </w:p>
        </w:tc>
        <w:tc>
          <w:tcPr>
            <w:tcW w:w="0" w:type="auto"/>
            <w:shd w:val="clear" w:color="auto" w:fill="BFBFBF" w:themeFill="background1" w:themeFillShade="BF"/>
          </w:tcPr>
          <w:p w:rsidR="0034698D" w:rsidRPr="0034698D" w:rsidRDefault="0034698D" w:rsidP="0034698D">
            <w:pPr>
              <w:pStyle w:val="Tableheading"/>
              <w:rPr>
                <w:sz w:val="22"/>
                <w:szCs w:val="22"/>
              </w:rPr>
            </w:pPr>
            <w:r w:rsidRPr="0034698D">
              <w:rPr>
                <w:sz w:val="22"/>
                <w:szCs w:val="22"/>
              </w:rPr>
              <w:t>2015</w:t>
            </w:r>
          </w:p>
        </w:tc>
      </w:tr>
      <w:tr w:rsidR="001760A5" w:rsidTr="0034698D">
        <w:tc>
          <w:tcPr>
            <w:tcW w:w="0" w:type="auto"/>
            <w:vAlign w:val="bottom"/>
          </w:tcPr>
          <w:p w:rsidR="0034698D" w:rsidRPr="0034698D" w:rsidRDefault="0034698D" w:rsidP="0034698D">
            <w:pPr>
              <w:pStyle w:val="Tablewriting"/>
            </w:pPr>
            <w:r w:rsidRPr="0034698D">
              <w:t>Alpha agonist</w:t>
            </w:r>
          </w:p>
        </w:tc>
        <w:tc>
          <w:tcPr>
            <w:tcW w:w="0" w:type="auto"/>
            <w:vAlign w:val="bottom"/>
          </w:tcPr>
          <w:p w:rsidR="0034698D" w:rsidRDefault="001760A5" w:rsidP="0034698D">
            <w:pPr>
              <w:pStyle w:val="Tablewriting"/>
              <w:jc w:val="right"/>
            </w:pPr>
            <w:r>
              <w:t>$</w:t>
            </w:r>
            <w:r w:rsidR="0034698D">
              <w:t>3.96 M</w:t>
            </w:r>
          </w:p>
        </w:tc>
        <w:tc>
          <w:tcPr>
            <w:tcW w:w="0" w:type="auto"/>
            <w:vAlign w:val="bottom"/>
          </w:tcPr>
          <w:p w:rsidR="0034698D" w:rsidRDefault="001760A5" w:rsidP="001760A5">
            <w:pPr>
              <w:pStyle w:val="Tablewriting"/>
              <w:jc w:val="right"/>
            </w:pPr>
            <w:r>
              <w:t>$</w:t>
            </w:r>
            <w:r w:rsidR="0034698D">
              <w:t>3.74</w:t>
            </w:r>
            <w:r>
              <w:t> </w:t>
            </w:r>
            <w:r w:rsidR="0034698D">
              <w:t>M</w:t>
            </w:r>
          </w:p>
        </w:tc>
        <w:tc>
          <w:tcPr>
            <w:tcW w:w="0" w:type="auto"/>
            <w:vAlign w:val="bottom"/>
          </w:tcPr>
          <w:p w:rsidR="0034698D" w:rsidRDefault="001760A5" w:rsidP="0034698D">
            <w:pPr>
              <w:pStyle w:val="Tablewriting"/>
              <w:jc w:val="right"/>
            </w:pPr>
            <w:r>
              <w:t>$3.39 </w:t>
            </w:r>
            <w:r w:rsidR="0034698D">
              <w:t>M</w:t>
            </w:r>
          </w:p>
        </w:tc>
        <w:tc>
          <w:tcPr>
            <w:tcW w:w="0" w:type="auto"/>
            <w:vAlign w:val="bottom"/>
          </w:tcPr>
          <w:p w:rsidR="0034698D" w:rsidRDefault="001760A5" w:rsidP="001760A5">
            <w:pPr>
              <w:pStyle w:val="Tablewriting"/>
              <w:jc w:val="right"/>
            </w:pPr>
            <w:r>
              <w:t>$</w:t>
            </w:r>
            <w:r w:rsidR="0034698D">
              <w:t>3.25</w:t>
            </w:r>
            <w:r>
              <w:t> </w:t>
            </w:r>
            <w:r w:rsidR="0034698D">
              <w:t>M</w:t>
            </w:r>
          </w:p>
        </w:tc>
        <w:tc>
          <w:tcPr>
            <w:tcW w:w="0" w:type="auto"/>
            <w:vAlign w:val="bottom"/>
          </w:tcPr>
          <w:p w:rsidR="0034698D" w:rsidRDefault="001760A5" w:rsidP="0034698D">
            <w:pPr>
              <w:pStyle w:val="Tablewriting"/>
              <w:jc w:val="right"/>
            </w:pPr>
            <w:r>
              <w:t>$</w:t>
            </w:r>
            <w:r w:rsidR="0034698D">
              <w:t>3.3 M</w:t>
            </w:r>
          </w:p>
        </w:tc>
        <w:tc>
          <w:tcPr>
            <w:tcW w:w="0" w:type="auto"/>
            <w:vAlign w:val="bottom"/>
          </w:tcPr>
          <w:p w:rsidR="0034698D" w:rsidRDefault="001760A5" w:rsidP="0034698D">
            <w:pPr>
              <w:pStyle w:val="Tablewriting"/>
              <w:jc w:val="right"/>
            </w:pPr>
            <w:r>
              <w:t>$</w:t>
            </w:r>
            <w:r w:rsidR="0034698D">
              <w:t>3.4 M</w:t>
            </w:r>
          </w:p>
        </w:tc>
        <w:tc>
          <w:tcPr>
            <w:tcW w:w="0" w:type="auto"/>
            <w:vAlign w:val="bottom"/>
          </w:tcPr>
          <w:p w:rsidR="0034698D" w:rsidRDefault="001760A5" w:rsidP="0034698D">
            <w:pPr>
              <w:pStyle w:val="Tablewriting"/>
              <w:jc w:val="right"/>
            </w:pPr>
            <w:r>
              <w:t>$</w:t>
            </w:r>
            <w:r w:rsidR="0034698D">
              <w:t>3.41 M</w:t>
            </w:r>
          </w:p>
        </w:tc>
        <w:tc>
          <w:tcPr>
            <w:tcW w:w="0" w:type="auto"/>
            <w:vAlign w:val="bottom"/>
          </w:tcPr>
          <w:p w:rsidR="0034698D" w:rsidRDefault="00CC3B31" w:rsidP="0034698D">
            <w:pPr>
              <w:pStyle w:val="Tablewriting"/>
              <w:jc w:val="right"/>
            </w:pPr>
            <w:r>
              <w:t>$</w:t>
            </w:r>
            <w:r w:rsidR="0034698D">
              <w:t>3.56 M</w:t>
            </w:r>
          </w:p>
        </w:tc>
        <w:tc>
          <w:tcPr>
            <w:tcW w:w="0" w:type="auto"/>
            <w:vAlign w:val="bottom"/>
          </w:tcPr>
          <w:p w:rsidR="0034698D" w:rsidRDefault="00CC3B31" w:rsidP="0034698D">
            <w:pPr>
              <w:pStyle w:val="Tablewriting"/>
              <w:jc w:val="right"/>
            </w:pPr>
            <w:r>
              <w:t>$</w:t>
            </w:r>
            <w:r w:rsidR="0034698D">
              <w:t>3.9 M</w:t>
            </w:r>
          </w:p>
        </w:tc>
        <w:tc>
          <w:tcPr>
            <w:tcW w:w="0" w:type="auto"/>
            <w:vAlign w:val="bottom"/>
          </w:tcPr>
          <w:p w:rsidR="0034698D" w:rsidRDefault="00CC3B31" w:rsidP="0034698D">
            <w:pPr>
              <w:pStyle w:val="Tablewriting"/>
              <w:jc w:val="right"/>
            </w:pPr>
            <w:r>
              <w:t>$</w:t>
            </w:r>
            <w:r w:rsidR="0034698D">
              <w:t>4.18 M</w:t>
            </w:r>
          </w:p>
        </w:tc>
        <w:tc>
          <w:tcPr>
            <w:tcW w:w="0" w:type="auto"/>
            <w:vAlign w:val="bottom"/>
          </w:tcPr>
          <w:p w:rsidR="0034698D" w:rsidRDefault="00CC3B31" w:rsidP="00CC3B31">
            <w:pPr>
              <w:pStyle w:val="Tablewriting"/>
              <w:jc w:val="right"/>
            </w:pPr>
            <w:r>
              <w:t>$</w:t>
            </w:r>
            <w:r w:rsidR="0034698D">
              <w:t>4.4</w:t>
            </w:r>
            <w:r>
              <w:t> </w:t>
            </w:r>
            <w:r w:rsidR="0034698D">
              <w:t>M</w:t>
            </w:r>
          </w:p>
        </w:tc>
        <w:tc>
          <w:tcPr>
            <w:tcW w:w="0" w:type="auto"/>
            <w:vAlign w:val="bottom"/>
          </w:tcPr>
          <w:p w:rsidR="0034698D" w:rsidRDefault="00CC3B31" w:rsidP="0034698D">
            <w:pPr>
              <w:pStyle w:val="Tablewriting"/>
              <w:jc w:val="right"/>
            </w:pPr>
            <w:r>
              <w:t>$</w:t>
            </w:r>
            <w:r w:rsidR="0034698D">
              <w:t>4.74 M</w:t>
            </w:r>
          </w:p>
        </w:tc>
      </w:tr>
      <w:tr w:rsidR="001760A5" w:rsidTr="0034698D">
        <w:tc>
          <w:tcPr>
            <w:tcW w:w="0" w:type="auto"/>
            <w:vAlign w:val="bottom"/>
          </w:tcPr>
          <w:p w:rsidR="0034698D" w:rsidRPr="0034698D" w:rsidRDefault="0034698D" w:rsidP="0034698D">
            <w:pPr>
              <w:pStyle w:val="Tablewriting"/>
            </w:pPr>
            <w:r w:rsidRPr="0034698D">
              <w:t>Beta blocker</w:t>
            </w:r>
          </w:p>
        </w:tc>
        <w:tc>
          <w:tcPr>
            <w:tcW w:w="0" w:type="auto"/>
            <w:vAlign w:val="bottom"/>
          </w:tcPr>
          <w:p w:rsidR="0034698D" w:rsidRDefault="001760A5" w:rsidP="0034698D">
            <w:pPr>
              <w:pStyle w:val="Tablewriting"/>
              <w:jc w:val="right"/>
            </w:pPr>
            <w:r>
              <w:t>$</w:t>
            </w:r>
            <w:r w:rsidR="0034698D">
              <w:t>9.47 M</w:t>
            </w:r>
          </w:p>
        </w:tc>
        <w:tc>
          <w:tcPr>
            <w:tcW w:w="0" w:type="auto"/>
            <w:vAlign w:val="bottom"/>
          </w:tcPr>
          <w:p w:rsidR="0034698D" w:rsidRDefault="001760A5" w:rsidP="0034698D">
            <w:pPr>
              <w:pStyle w:val="Tablewriting"/>
              <w:jc w:val="right"/>
            </w:pPr>
            <w:r>
              <w:t>$</w:t>
            </w:r>
            <w:r w:rsidR="0034698D">
              <w:t>9.07 M</w:t>
            </w:r>
          </w:p>
        </w:tc>
        <w:tc>
          <w:tcPr>
            <w:tcW w:w="0" w:type="auto"/>
            <w:vAlign w:val="bottom"/>
          </w:tcPr>
          <w:p w:rsidR="0034698D" w:rsidRDefault="001760A5" w:rsidP="0034698D">
            <w:pPr>
              <w:pStyle w:val="Tablewriting"/>
              <w:jc w:val="right"/>
            </w:pPr>
            <w:r>
              <w:t>$</w:t>
            </w:r>
            <w:r w:rsidR="0034698D">
              <w:t>7.62 M</w:t>
            </w:r>
          </w:p>
        </w:tc>
        <w:tc>
          <w:tcPr>
            <w:tcW w:w="0" w:type="auto"/>
            <w:vAlign w:val="bottom"/>
          </w:tcPr>
          <w:p w:rsidR="0034698D" w:rsidRDefault="001760A5" w:rsidP="0034698D">
            <w:pPr>
              <w:pStyle w:val="Tablewriting"/>
              <w:jc w:val="right"/>
            </w:pPr>
            <w:r>
              <w:t>$</w:t>
            </w:r>
            <w:r w:rsidR="0034698D">
              <w:t>6.01 M</w:t>
            </w:r>
          </w:p>
        </w:tc>
        <w:tc>
          <w:tcPr>
            <w:tcW w:w="0" w:type="auto"/>
            <w:vAlign w:val="bottom"/>
          </w:tcPr>
          <w:p w:rsidR="0034698D" w:rsidRDefault="001760A5" w:rsidP="001760A5">
            <w:pPr>
              <w:pStyle w:val="Tablewriting"/>
              <w:jc w:val="right"/>
            </w:pPr>
            <w:r>
              <w:t>$</w:t>
            </w:r>
            <w:r w:rsidR="0034698D">
              <w:t>5.07</w:t>
            </w:r>
            <w:r>
              <w:t> </w:t>
            </w:r>
            <w:r w:rsidR="0034698D">
              <w:t>M</w:t>
            </w:r>
          </w:p>
        </w:tc>
        <w:tc>
          <w:tcPr>
            <w:tcW w:w="0" w:type="auto"/>
            <w:vAlign w:val="bottom"/>
          </w:tcPr>
          <w:p w:rsidR="0034698D" w:rsidRDefault="001760A5" w:rsidP="0034698D">
            <w:pPr>
              <w:pStyle w:val="Tablewriting"/>
              <w:jc w:val="right"/>
            </w:pPr>
            <w:r>
              <w:t>$</w:t>
            </w:r>
            <w:r w:rsidR="0034698D">
              <w:t>4.34 M</w:t>
            </w:r>
          </w:p>
        </w:tc>
        <w:tc>
          <w:tcPr>
            <w:tcW w:w="0" w:type="auto"/>
            <w:vAlign w:val="bottom"/>
          </w:tcPr>
          <w:p w:rsidR="0034698D" w:rsidRDefault="001760A5" w:rsidP="0034698D">
            <w:pPr>
              <w:pStyle w:val="Tablewriting"/>
              <w:jc w:val="right"/>
            </w:pPr>
            <w:r>
              <w:t>$</w:t>
            </w:r>
            <w:r w:rsidR="0034698D">
              <w:t>3.94 M</w:t>
            </w:r>
          </w:p>
        </w:tc>
        <w:tc>
          <w:tcPr>
            <w:tcW w:w="0" w:type="auto"/>
            <w:vAlign w:val="bottom"/>
          </w:tcPr>
          <w:p w:rsidR="0034698D" w:rsidRDefault="00CC3B31" w:rsidP="0034698D">
            <w:pPr>
              <w:pStyle w:val="Tablewriting"/>
              <w:jc w:val="right"/>
            </w:pPr>
            <w:r>
              <w:t>$</w:t>
            </w:r>
            <w:r w:rsidR="0034698D">
              <w:t>3.36 M</w:t>
            </w:r>
          </w:p>
        </w:tc>
        <w:tc>
          <w:tcPr>
            <w:tcW w:w="0" w:type="auto"/>
            <w:vAlign w:val="bottom"/>
          </w:tcPr>
          <w:p w:rsidR="0034698D" w:rsidRDefault="00CC3B31" w:rsidP="0034698D">
            <w:pPr>
              <w:pStyle w:val="Tablewriting"/>
              <w:jc w:val="right"/>
            </w:pPr>
            <w:r>
              <w:t>$</w:t>
            </w:r>
            <w:r w:rsidR="0034698D">
              <w:t>3.01 M</w:t>
            </w:r>
          </w:p>
        </w:tc>
        <w:tc>
          <w:tcPr>
            <w:tcW w:w="0" w:type="auto"/>
            <w:vAlign w:val="bottom"/>
          </w:tcPr>
          <w:p w:rsidR="0034698D" w:rsidRDefault="00CC3B31" w:rsidP="0034698D">
            <w:pPr>
              <w:pStyle w:val="Tablewriting"/>
              <w:jc w:val="right"/>
            </w:pPr>
            <w:r>
              <w:t>$</w:t>
            </w:r>
            <w:r w:rsidR="0034698D">
              <w:t>2.78 M</w:t>
            </w:r>
          </w:p>
        </w:tc>
        <w:tc>
          <w:tcPr>
            <w:tcW w:w="0" w:type="auto"/>
            <w:vAlign w:val="bottom"/>
          </w:tcPr>
          <w:p w:rsidR="0034698D" w:rsidRDefault="00CC3B31" w:rsidP="0034698D">
            <w:pPr>
              <w:pStyle w:val="Tablewriting"/>
              <w:jc w:val="right"/>
            </w:pPr>
            <w:r>
              <w:t>$</w:t>
            </w:r>
            <w:r w:rsidR="0034698D">
              <w:t>2.59 M</w:t>
            </w:r>
          </w:p>
        </w:tc>
        <w:tc>
          <w:tcPr>
            <w:tcW w:w="0" w:type="auto"/>
            <w:vAlign w:val="bottom"/>
          </w:tcPr>
          <w:p w:rsidR="0034698D" w:rsidRDefault="00CC3B31" w:rsidP="0034698D">
            <w:pPr>
              <w:pStyle w:val="Tablewriting"/>
              <w:jc w:val="right"/>
            </w:pPr>
            <w:r>
              <w:t>$</w:t>
            </w:r>
            <w:r w:rsidR="0034698D">
              <w:t>2.75 M</w:t>
            </w:r>
          </w:p>
        </w:tc>
      </w:tr>
      <w:tr w:rsidR="001760A5" w:rsidTr="0034698D">
        <w:tc>
          <w:tcPr>
            <w:tcW w:w="0" w:type="auto"/>
            <w:vAlign w:val="bottom"/>
          </w:tcPr>
          <w:p w:rsidR="0034698D" w:rsidRPr="0034698D" w:rsidRDefault="0034698D" w:rsidP="0034698D">
            <w:pPr>
              <w:pStyle w:val="Tablewriting"/>
            </w:pPr>
            <w:r w:rsidRPr="0034698D">
              <w:t>Carbonic anhydrase</w:t>
            </w:r>
            <w:r w:rsidR="001760A5">
              <w:t xml:space="preserve"> inhibitor</w:t>
            </w:r>
          </w:p>
        </w:tc>
        <w:tc>
          <w:tcPr>
            <w:tcW w:w="0" w:type="auto"/>
            <w:vAlign w:val="bottom"/>
          </w:tcPr>
          <w:p w:rsidR="0034698D" w:rsidRDefault="001760A5" w:rsidP="0034698D">
            <w:pPr>
              <w:pStyle w:val="Tablewriting"/>
              <w:jc w:val="right"/>
            </w:pPr>
            <w:r>
              <w:t>$</w:t>
            </w:r>
            <w:r w:rsidR="0034698D">
              <w:t>2.85 M</w:t>
            </w:r>
          </w:p>
        </w:tc>
        <w:tc>
          <w:tcPr>
            <w:tcW w:w="0" w:type="auto"/>
            <w:vAlign w:val="bottom"/>
          </w:tcPr>
          <w:p w:rsidR="0034698D" w:rsidRDefault="001760A5" w:rsidP="0034698D">
            <w:pPr>
              <w:pStyle w:val="Tablewriting"/>
              <w:jc w:val="right"/>
            </w:pPr>
            <w:r>
              <w:t>$</w:t>
            </w:r>
            <w:r w:rsidR="0034698D">
              <w:t>2.82 M</w:t>
            </w:r>
          </w:p>
        </w:tc>
        <w:tc>
          <w:tcPr>
            <w:tcW w:w="0" w:type="auto"/>
            <w:vAlign w:val="bottom"/>
          </w:tcPr>
          <w:p w:rsidR="0034698D" w:rsidRDefault="001760A5" w:rsidP="0034698D">
            <w:pPr>
              <w:pStyle w:val="Tablewriting"/>
              <w:jc w:val="right"/>
            </w:pPr>
            <w:r>
              <w:t>$</w:t>
            </w:r>
            <w:r w:rsidR="0034698D">
              <w:t>3.07 M</w:t>
            </w:r>
          </w:p>
        </w:tc>
        <w:tc>
          <w:tcPr>
            <w:tcW w:w="0" w:type="auto"/>
            <w:vAlign w:val="bottom"/>
          </w:tcPr>
          <w:p w:rsidR="0034698D" w:rsidRDefault="001760A5" w:rsidP="0034698D">
            <w:pPr>
              <w:pStyle w:val="Tablewriting"/>
              <w:jc w:val="right"/>
            </w:pPr>
            <w:r>
              <w:t>$</w:t>
            </w:r>
            <w:r w:rsidR="0034698D">
              <w:t>3.47 M</w:t>
            </w:r>
          </w:p>
        </w:tc>
        <w:tc>
          <w:tcPr>
            <w:tcW w:w="0" w:type="auto"/>
            <w:vAlign w:val="bottom"/>
          </w:tcPr>
          <w:p w:rsidR="0034698D" w:rsidRDefault="001760A5" w:rsidP="0034698D">
            <w:pPr>
              <w:pStyle w:val="Tablewriting"/>
              <w:jc w:val="right"/>
            </w:pPr>
            <w:r>
              <w:t>$</w:t>
            </w:r>
            <w:r w:rsidR="0034698D">
              <w:t>4.17 M</w:t>
            </w:r>
          </w:p>
        </w:tc>
        <w:tc>
          <w:tcPr>
            <w:tcW w:w="0" w:type="auto"/>
            <w:vAlign w:val="bottom"/>
          </w:tcPr>
          <w:p w:rsidR="0034698D" w:rsidRDefault="001760A5" w:rsidP="0034698D">
            <w:pPr>
              <w:pStyle w:val="Tablewriting"/>
              <w:jc w:val="right"/>
            </w:pPr>
            <w:r>
              <w:t>$</w:t>
            </w:r>
            <w:r w:rsidR="0034698D">
              <w:t>4.99 M</w:t>
            </w:r>
          </w:p>
        </w:tc>
        <w:tc>
          <w:tcPr>
            <w:tcW w:w="0" w:type="auto"/>
            <w:vAlign w:val="bottom"/>
          </w:tcPr>
          <w:p w:rsidR="0034698D" w:rsidRDefault="001760A5" w:rsidP="0034698D">
            <w:pPr>
              <w:pStyle w:val="Tablewriting"/>
              <w:jc w:val="right"/>
            </w:pPr>
            <w:r>
              <w:t>$</w:t>
            </w:r>
            <w:r w:rsidR="0034698D">
              <w:t>5.47 M</w:t>
            </w:r>
          </w:p>
        </w:tc>
        <w:tc>
          <w:tcPr>
            <w:tcW w:w="0" w:type="auto"/>
            <w:vAlign w:val="bottom"/>
          </w:tcPr>
          <w:p w:rsidR="0034698D" w:rsidRDefault="00CC3B31" w:rsidP="0034698D">
            <w:pPr>
              <w:pStyle w:val="Tablewriting"/>
              <w:jc w:val="right"/>
            </w:pPr>
            <w:r>
              <w:t>$</w:t>
            </w:r>
            <w:r w:rsidR="0034698D">
              <w:t>5.67 M</w:t>
            </w:r>
          </w:p>
        </w:tc>
        <w:tc>
          <w:tcPr>
            <w:tcW w:w="0" w:type="auto"/>
            <w:vAlign w:val="bottom"/>
          </w:tcPr>
          <w:p w:rsidR="0034698D" w:rsidRDefault="00CC3B31" w:rsidP="0034698D">
            <w:pPr>
              <w:pStyle w:val="Tablewriting"/>
              <w:jc w:val="right"/>
            </w:pPr>
            <w:r>
              <w:t>$</w:t>
            </w:r>
            <w:r w:rsidR="0034698D">
              <w:t>6 M</w:t>
            </w:r>
          </w:p>
        </w:tc>
        <w:tc>
          <w:tcPr>
            <w:tcW w:w="0" w:type="auto"/>
            <w:vAlign w:val="bottom"/>
          </w:tcPr>
          <w:p w:rsidR="0034698D" w:rsidRDefault="00CC3B31" w:rsidP="0034698D">
            <w:pPr>
              <w:pStyle w:val="Tablewriting"/>
              <w:jc w:val="right"/>
            </w:pPr>
            <w:r>
              <w:t>$</w:t>
            </w:r>
            <w:r w:rsidR="0034698D">
              <w:t>6.31 M</w:t>
            </w:r>
          </w:p>
        </w:tc>
        <w:tc>
          <w:tcPr>
            <w:tcW w:w="0" w:type="auto"/>
            <w:vAlign w:val="bottom"/>
          </w:tcPr>
          <w:p w:rsidR="0034698D" w:rsidRDefault="00CC3B31" w:rsidP="0034698D">
            <w:pPr>
              <w:pStyle w:val="Tablewriting"/>
              <w:jc w:val="right"/>
            </w:pPr>
            <w:r>
              <w:t>$</w:t>
            </w:r>
            <w:r w:rsidR="0034698D">
              <w:t>7.36 M</w:t>
            </w:r>
          </w:p>
        </w:tc>
        <w:tc>
          <w:tcPr>
            <w:tcW w:w="0" w:type="auto"/>
            <w:vAlign w:val="bottom"/>
          </w:tcPr>
          <w:p w:rsidR="0034698D" w:rsidRDefault="00CC3B31" w:rsidP="0034698D">
            <w:pPr>
              <w:pStyle w:val="Tablewriting"/>
              <w:jc w:val="right"/>
            </w:pPr>
            <w:r>
              <w:t>$</w:t>
            </w:r>
            <w:r w:rsidR="0034698D">
              <w:t>7.83 M</w:t>
            </w:r>
          </w:p>
        </w:tc>
      </w:tr>
      <w:tr w:rsidR="001760A5" w:rsidTr="0034698D">
        <w:tc>
          <w:tcPr>
            <w:tcW w:w="0" w:type="auto"/>
            <w:vAlign w:val="bottom"/>
          </w:tcPr>
          <w:p w:rsidR="0034698D" w:rsidRPr="0034698D" w:rsidRDefault="0034698D" w:rsidP="0034698D">
            <w:pPr>
              <w:pStyle w:val="Tablewriting"/>
            </w:pPr>
            <w:r w:rsidRPr="0034698D">
              <w:t>Cholinergic</w:t>
            </w:r>
          </w:p>
        </w:tc>
        <w:tc>
          <w:tcPr>
            <w:tcW w:w="0" w:type="auto"/>
            <w:vAlign w:val="bottom"/>
          </w:tcPr>
          <w:p w:rsidR="0034698D" w:rsidRDefault="001760A5" w:rsidP="0034698D">
            <w:pPr>
              <w:pStyle w:val="Tablewriting"/>
              <w:jc w:val="right"/>
            </w:pPr>
            <w:r>
              <w:t>$</w:t>
            </w:r>
            <w:r w:rsidR="0034698D">
              <w:t>0.85 M</w:t>
            </w:r>
          </w:p>
        </w:tc>
        <w:tc>
          <w:tcPr>
            <w:tcW w:w="0" w:type="auto"/>
            <w:vAlign w:val="bottom"/>
          </w:tcPr>
          <w:p w:rsidR="0034698D" w:rsidRDefault="001760A5" w:rsidP="0034698D">
            <w:pPr>
              <w:pStyle w:val="Tablewriting"/>
              <w:jc w:val="right"/>
            </w:pPr>
            <w:r>
              <w:t>$</w:t>
            </w:r>
            <w:r w:rsidR="0034698D">
              <w:t>1.02 M</w:t>
            </w:r>
          </w:p>
        </w:tc>
        <w:tc>
          <w:tcPr>
            <w:tcW w:w="0" w:type="auto"/>
            <w:vAlign w:val="bottom"/>
          </w:tcPr>
          <w:p w:rsidR="0034698D" w:rsidRDefault="001760A5" w:rsidP="0034698D">
            <w:pPr>
              <w:pStyle w:val="Tablewriting"/>
              <w:jc w:val="right"/>
            </w:pPr>
            <w:r>
              <w:t>$</w:t>
            </w:r>
            <w:r w:rsidR="0034698D">
              <w:t>0.85 M</w:t>
            </w:r>
          </w:p>
        </w:tc>
        <w:tc>
          <w:tcPr>
            <w:tcW w:w="0" w:type="auto"/>
            <w:vAlign w:val="bottom"/>
          </w:tcPr>
          <w:p w:rsidR="0034698D" w:rsidRDefault="001760A5" w:rsidP="0034698D">
            <w:pPr>
              <w:pStyle w:val="Tablewriting"/>
              <w:jc w:val="right"/>
            </w:pPr>
            <w:r>
              <w:t>$</w:t>
            </w:r>
            <w:r w:rsidR="0034698D">
              <w:t>0.81 M</w:t>
            </w:r>
          </w:p>
        </w:tc>
        <w:tc>
          <w:tcPr>
            <w:tcW w:w="0" w:type="auto"/>
            <w:vAlign w:val="bottom"/>
          </w:tcPr>
          <w:p w:rsidR="0034698D" w:rsidRDefault="001760A5" w:rsidP="0034698D">
            <w:pPr>
              <w:pStyle w:val="Tablewriting"/>
              <w:jc w:val="right"/>
            </w:pPr>
            <w:r>
              <w:t>$</w:t>
            </w:r>
            <w:r w:rsidR="0034698D">
              <w:t>0.76 M</w:t>
            </w:r>
          </w:p>
        </w:tc>
        <w:tc>
          <w:tcPr>
            <w:tcW w:w="0" w:type="auto"/>
            <w:vAlign w:val="bottom"/>
          </w:tcPr>
          <w:p w:rsidR="0034698D" w:rsidRDefault="001760A5" w:rsidP="0034698D">
            <w:pPr>
              <w:pStyle w:val="Tablewriting"/>
              <w:jc w:val="right"/>
            </w:pPr>
            <w:r>
              <w:t>$</w:t>
            </w:r>
            <w:r w:rsidR="0034698D">
              <w:t>0.67 M</w:t>
            </w:r>
          </w:p>
        </w:tc>
        <w:tc>
          <w:tcPr>
            <w:tcW w:w="0" w:type="auto"/>
            <w:vAlign w:val="bottom"/>
          </w:tcPr>
          <w:p w:rsidR="0034698D" w:rsidRDefault="001760A5" w:rsidP="0034698D">
            <w:pPr>
              <w:pStyle w:val="Tablewriting"/>
              <w:jc w:val="right"/>
            </w:pPr>
            <w:r>
              <w:t>$</w:t>
            </w:r>
            <w:r w:rsidR="0034698D">
              <w:t>0.57 M</w:t>
            </w:r>
          </w:p>
        </w:tc>
        <w:tc>
          <w:tcPr>
            <w:tcW w:w="0" w:type="auto"/>
            <w:vAlign w:val="bottom"/>
          </w:tcPr>
          <w:p w:rsidR="0034698D" w:rsidRDefault="00CC3B31" w:rsidP="0034698D">
            <w:pPr>
              <w:pStyle w:val="Tablewriting"/>
              <w:jc w:val="right"/>
            </w:pPr>
            <w:r>
              <w:t>$</w:t>
            </w:r>
            <w:r w:rsidR="0034698D">
              <w:t>0.51 M</w:t>
            </w:r>
          </w:p>
        </w:tc>
        <w:tc>
          <w:tcPr>
            <w:tcW w:w="0" w:type="auto"/>
            <w:vAlign w:val="bottom"/>
          </w:tcPr>
          <w:p w:rsidR="0034698D" w:rsidRDefault="00CC3B31" w:rsidP="0034698D">
            <w:pPr>
              <w:pStyle w:val="Tablewriting"/>
              <w:jc w:val="right"/>
            </w:pPr>
            <w:r>
              <w:t>$</w:t>
            </w:r>
            <w:r w:rsidR="0034698D">
              <w:t>0.47 M</w:t>
            </w:r>
          </w:p>
        </w:tc>
        <w:tc>
          <w:tcPr>
            <w:tcW w:w="0" w:type="auto"/>
            <w:vAlign w:val="bottom"/>
          </w:tcPr>
          <w:p w:rsidR="0034698D" w:rsidRDefault="00CC3B31" w:rsidP="0034698D">
            <w:pPr>
              <w:pStyle w:val="Tablewriting"/>
              <w:jc w:val="right"/>
            </w:pPr>
            <w:r>
              <w:t>$</w:t>
            </w:r>
            <w:r w:rsidR="0034698D">
              <w:t>0.44 M</w:t>
            </w:r>
          </w:p>
        </w:tc>
        <w:tc>
          <w:tcPr>
            <w:tcW w:w="0" w:type="auto"/>
            <w:vAlign w:val="bottom"/>
          </w:tcPr>
          <w:p w:rsidR="0034698D" w:rsidRDefault="00CC3B31" w:rsidP="0034698D">
            <w:pPr>
              <w:pStyle w:val="Tablewriting"/>
              <w:jc w:val="right"/>
            </w:pPr>
            <w:r>
              <w:t>$</w:t>
            </w:r>
            <w:r w:rsidR="0034698D">
              <w:t>0.41 M</w:t>
            </w:r>
          </w:p>
        </w:tc>
        <w:tc>
          <w:tcPr>
            <w:tcW w:w="0" w:type="auto"/>
            <w:vAlign w:val="bottom"/>
          </w:tcPr>
          <w:p w:rsidR="0034698D" w:rsidRDefault="00CC3B31" w:rsidP="0034698D">
            <w:pPr>
              <w:pStyle w:val="Tablewriting"/>
              <w:jc w:val="right"/>
            </w:pPr>
            <w:r>
              <w:t>$</w:t>
            </w:r>
            <w:r w:rsidR="0034698D">
              <w:t>0.44 M</w:t>
            </w:r>
          </w:p>
        </w:tc>
      </w:tr>
      <w:tr w:rsidR="001760A5" w:rsidTr="0034698D">
        <w:tc>
          <w:tcPr>
            <w:tcW w:w="0" w:type="auto"/>
            <w:vAlign w:val="bottom"/>
          </w:tcPr>
          <w:p w:rsidR="0034698D" w:rsidRPr="0034698D" w:rsidRDefault="0034698D" w:rsidP="0034698D">
            <w:pPr>
              <w:pStyle w:val="Tablewriting"/>
            </w:pPr>
            <w:r w:rsidRPr="0034698D">
              <w:t>FDC</w:t>
            </w:r>
          </w:p>
        </w:tc>
        <w:tc>
          <w:tcPr>
            <w:tcW w:w="0" w:type="auto"/>
            <w:vAlign w:val="bottom"/>
          </w:tcPr>
          <w:p w:rsidR="0034698D" w:rsidRDefault="001760A5" w:rsidP="0034698D">
            <w:pPr>
              <w:pStyle w:val="Tablewriting"/>
              <w:jc w:val="right"/>
            </w:pPr>
            <w:r>
              <w:t>$</w:t>
            </w:r>
            <w:r w:rsidR="0034698D">
              <w:t>6.6 M</w:t>
            </w:r>
          </w:p>
        </w:tc>
        <w:tc>
          <w:tcPr>
            <w:tcW w:w="0" w:type="auto"/>
            <w:vAlign w:val="bottom"/>
          </w:tcPr>
          <w:p w:rsidR="0034698D" w:rsidRDefault="001760A5" w:rsidP="0034698D">
            <w:pPr>
              <w:pStyle w:val="Tablewriting"/>
              <w:jc w:val="right"/>
            </w:pPr>
            <w:r>
              <w:t>$</w:t>
            </w:r>
            <w:r w:rsidR="0034698D">
              <w:t>6.74 M</w:t>
            </w:r>
          </w:p>
        </w:tc>
        <w:tc>
          <w:tcPr>
            <w:tcW w:w="0" w:type="auto"/>
            <w:vAlign w:val="bottom"/>
          </w:tcPr>
          <w:p w:rsidR="0034698D" w:rsidRDefault="001760A5" w:rsidP="0034698D">
            <w:pPr>
              <w:pStyle w:val="Tablewriting"/>
              <w:jc w:val="right"/>
            </w:pPr>
            <w:r>
              <w:t>$11.69 </w:t>
            </w:r>
            <w:r w:rsidR="0034698D">
              <w:t>M</w:t>
            </w:r>
          </w:p>
        </w:tc>
        <w:tc>
          <w:tcPr>
            <w:tcW w:w="0" w:type="auto"/>
            <w:vAlign w:val="bottom"/>
          </w:tcPr>
          <w:p w:rsidR="0034698D" w:rsidRDefault="001760A5" w:rsidP="0034698D">
            <w:pPr>
              <w:pStyle w:val="Tablewriting"/>
              <w:jc w:val="right"/>
            </w:pPr>
            <w:r>
              <w:t>$19.42 </w:t>
            </w:r>
            <w:r w:rsidR="0034698D">
              <w:t>M</w:t>
            </w:r>
          </w:p>
        </w:tc>
        <w:tc>
          <w:tcPr>
            <w:tcW w:w="0" w:type="auto"/>
            <w:vAlign w:val="bottom"/>
          </w:tcPr>
          <w:p w:rsidR="0034698D" w:rsidRDefault="001760A5" w:rsidP="0034698D">
            <w:pPr>
              <w:pStyle w:val="Tablewriting"/>
              <w:jc w:val="right"/>
            </w:pPr>
            <w:r>
              <w:t>$23.45 </w:t>
            </w:r>
            <w:r w:rsidR="0034698D">
              <w:t>M</w:t>
            </w:r>
          </w:p>
        </w:tc>
        <w:tc>
          <w:tcPr>
            <w:tcW w:w="0" w:type="auto"/>
            <w:vAlign w:val="bottom"/>
          </w:tcPr>
          <w:p w:rsidR="0034698D" w:rsidRDefault="001760A5" w:rsidP="001760A5">
            <w:pPr>
              <w:pStyle w:val="Tablewriting"/>
              <w:jc w:val="right"/>
            </w:pPr>
            <w:r>
              <w:t>$</w:t>
            </w:r>
            <w:r w:rsidR="0034698D">
              <w:t>27.02</w:t>
            </w:r>
            <w:r>
              <w:t> </w:t>
            </w:r>
            <w:r w:rsidR="0034698D">
              <w:t>M</w:t>
            </w:r>
          </w:p>
        </w:tc>
        <w:tc>
          <w:tcPr>
            <w:tcW w:w="0" w:type="auto"/>
            <w:vAlign w:val="bottom"/>
          </w:tcPr>
          <w:p w:rsidR="0034698D" w:rsidRDefault="001760A5" w:rsidP="001760A5">
            <w:pPr>
              <w:pStyle w:val="Tablewriting"/>
              <w:jc w:val="right"/>
            </w:pPr>
            <w:r>
              <w:t>$</w:t>
            </w:r>
            <w:r w:rsidR="0034698D">
              <w:t>31.27</w:t>
            </w:r>
            <w:r>
              <w:t> </w:t>
            </w:r>
            <w:r w:rsidR="0034698D">
              <w:t>M</w:t>
            </w:r>
          </w:p>
        </w:tc>
        <w:tc>
          <w:tcPr>
            <w:tcW w:w="0" w:type="auto"/>
            <w:vAlign w:val="bottom"/>
          </w:tcPr>
          <w:p w:rsidR="0034698D" w:rsidRDefault="00CC3B31" w:rsidP="00CC3B31">
            <w:pPr>
              <w:pStyle w:val="Tablewriting"/>
              <w:jc w:val="right"/>
            </w:pPr>
            <w:r>
              <w:t>$</w:t>
            </w:r>
            <w:r w:rsidR="0034698D">
              <w:t>33.69</w:t>
            </w:r>
            <w:r>
              <w:t> </w:t>
            </w:r>
            <w:r w:rsidR="0034698D">
              <w:t>M</w:t>
            </w:r>
          </w:p>
        </w:tc>
        <w:tc>
          <w:tcPr>
            <w:tcW w:w="0" w:type="auto"/>
            <w:vAlign w:val="bottom"/>
          </w:tcPr>
          <w:p w:rsidR="0034698D" w:rsidRDefault="00CC3B31" w:rsidP="0034698D">
            <w:pPr>
              <w:pStyle w:val="Tablewriting"/>
              <w:jc w:val="right"/>
            </w:pPr>
            <w:r>
              <w:t>$</w:t>
            </w:r>
            <w:r w:rsidR="0034698D">
              <w:t>34.68 M</w:t>
            </w:r>
          </w:p>
        </w:tc>
        <w:tc>
          <w:tcPr>
            <w:tcW w:w="0" w:type="auto"/>
            <w:vAlign w:val="bottom"/>
          </w:tcPr>
          <w:p w:rsidR="0034698D" w:rsidRDefault="00CC3B31" w:rsidP="0034698D">
            <w:pPr>
              <w:pStyle w:val="Tablewriting"/>
              <w:jc w:val="right"/>
            </w:pPr>
            <w:r>
              <w:t>$</w:t>
            </w:r>
            <w:r w:rsidR="0034698D">
              <w:t>35.6 M</w:t>
            </w:r>
          </w:p>
        </w:tc>
        <w:tc>
          <w:tcPr>
            <w:tcW w:w="0" w:type="auto"/>
            <w:vAlign w:val="bottom"/>
          </w:tcPr>
          <w:p w:rsidR="0034698D" w:rsidRDefault="00CC3B31" w:rsidP="0034698D">
            <w:pPr>
              <w:pStyle w:val="Tablewriting"/>
              <w:jc w:val="right"/>
            </w:pPr>
            <w:r>
              <w:t>$</w:t>
            </w:r>
            <w:r w:rsidR="0034698D">
              <w:t>37.24 M</w:t>
            </w:r>
          </w:p>
        </w:tc>
        <w:tc>
          <w:tcPr>
            <w:tcW w:w="0" w:type="auto"/>
            <w:vAlign w:val="bottom"/>
          </w:tcPr>
          <w:p w:rsidR="0034698D" w:rsidRDefault="00CC3B31" w:rsidP="0034698D">
            <w:pPr>
              <w:pStyle w:val="Tablewriting"/>
              <w:jc w:val="right"/>
            </w:pPr>
            <w:r>
              <w:t>$</w:t>
            </w:r>
            <w:r w:rsidR="0034698D">
              <w:t>37.37 M</w:t>
            </w:r>
          </w:p>
        </w:tc>
      </w:tr>
      <w:tr w:rsidR="001760A5" w:rsidTr="0034698D">
        <w:tc>
          <w:tcPr>
            <w:tcW w:w="0" w:type="auto"/>
            <w:vAlign w:val="bottom"/>
          </w:tcPr>
          <w:p w:rsidR="0034698D" w:rsidRPr="0034698D" w:rsidRDefault="00051888" w:rsidP="0034698D">
            <w:pPr>
              <w:pStyle w:val="Tablewriting"/>
            </w:pPr>
            <w:r w:rsidRPr="0034698D">
              <w:t>Prostaglandin</w:t>
            </w:r>
            <w:r w:rsidR="0034698D" w:rsidRPr="0034698D">
              <w:t xml:space="preserve"> </w:t>
            </w:r>
            <w:r w:rsidRPr="0034698D">
              <w:t>analogue</w:t>
            </w:r>
            <w:r>
              <w:t>s</w:t>
            </w:r>
          </w:p>
        </w:tc>
        <w:tc>
          <w:tcPr>
            <w:tcW w:w="0" w:type="auto"/>
            <w:vAlign w:val="bottom"/>
          </w:tcPr>
          <w:p w:rsidR="0034698D" w:rsidRDefault="001760A5" w:rsidP="0034698D">
            <w:pPr>
              <w:pStyle w:val="Tablewriting"/>
              <w:jc w:val="right"/>
            </w:pPr>
            <w:r>
              <w:t>$</w:t>
            </w:r>
            <w:r w:rsidR="0034698D">
              <w:t>53.22 M</w:t>
            </w:r>
          </w:p>
        </w:tc>
        <w:tc>
          <w:tcPr>
            <w:tcW w:w="0" w:type="auto"/>
            <w:vAlign w:val="bottom"/>
          </w:tcPr>
          <w:p w:rsidR="0034698D" w:rsidRDefault="001760A5" w:rsidP="0034698D">
            <w:pPr>
              <w:pStyle w:val="Tablewriting"/>
              <w:jc w:val="right"/>
            </w:pPr>
            <w:r>
              <w:t>$55.06 </w:t>
            </w:r>
            <w:r w:rsidR="0034698D">
              <w:t>M</w:t>
            </w:r>
          </w:p>
        </w:tc>
        <w:tc>
          <w:tcPr>
            <w:tcW w:w="0" w:type="auto"/>
            <w:vAlign w:val="bottom"/>
          </w:tcPr>
          <w:p w:rsidR="0034698D" w:rsidRDefault="001760A5" w:rsidP="0034698D">
            <w:pPr>
              <w:pStyle w:val="Tablewriting"/>
              <w:jc w:val="right"/>
            </w:pPr>
            <w:r>
              <w:t>$</w:t>
            </w:r>
            <w:r w:rsidR="0034698D">
              <w:t>58.07 M</w:t>
            </w:r>
          </w:p>
        </w:tc>
        <w:tc>
          <w:tcPr>
            <w:tcW w:w="0" w:type="auto"/>
            <w:vAlign w:val="bottom"/>
          </w:tcPr>
          <w:p w:rsidR="0034698D" w:rsidRDefault="001760A5" w:rsidP="001760A5">
            <w:pPr>
              <w:pStyle w:val="Tablewriting"/>
              <w:jc w:val="right"/>
            </w:pPr>
            <w:r>
              <w:t>$</w:t>
            </w:r>
            <w:r w:rsidR="0034698D">
              <w:t>55.73</w:t>
            </w:r>
            <w:r>
              <w:t> </w:t>
            </w:r>
            <w:r w:rsidR="0034698D">
              <w:t>M</w:t>
            </w:r>
          </w:p>
        </w:tc>
        <w:tc>
          <w:tcPr>
            <w:tcW w:w="0" w:type="auto"/>
            <w:vAlign w:val="bottom"/>
          </w:tcPr>
          <w:p w:rsidR="0034698D" w:rsidRDefault="001760A5" w:rsidP="001760A5">
            <w:pPr>
              <w:pStyle w:val="Tablewriting"/>
              <w:jc w:val="right"/>
            </w:pPr>
            <w:r>
              <w:t>$</w:t>
            </w:r>
            <w:r w:rsidR="0034698D">
              <w:t>57.24</w:t>
            </w:r>
            <w:r>
              <w:t> </w:t>
            </w:r>
            <w:r w:rsidR="0034698D">
              <w:t>M</w:t>
            </w:r>
          </w:p>
        </w:tc>
        <w:tc>
          <w:tcPr>
            <w:tcW w:w="0" w:type="auto"/>
            <w:vAlign w:val="bottom"/>
          </w:tcPr>
          <w:p w:rsidR="0034698D" w:rsidRDefault="001760A5" w:rsidP="0034698D">
            <w:pPr>
              <w:pStyle w:val="Tablewriting"/>
              <w:jc w:val="right"/>
            </w:pPr>
            <w:r>
              <w:t>$</w:t>
            </w:r>
            <w:r w:rsidR="0034698D">
              <w:t>63.81 M</w:t>
            </w:r>
          </w:p>
        </w:tc>
        <w:tc>
          <w:tcPr>
            <w:tcW w:w="0" w:type="auto"/>
            <w:vAlign w:val="bottom"/>
          </w:tcPr>
          <w:p w:rsidR="0034698D" w:rsidRDefault="001760A5" w:rsidP="0034698D">
            <w:pPr>
              <w:pStyle w:val="Tablewriting"/>
              <w:jc w:val="right"/>
            </w:pPr>
            <w:r>
              <w:t>$</w:t>
            </w:r>
            <w:r w:rsidR="0034698D">
              <w:t>66.05 M</w:t>
            </w:r>
          </w:p>
        </w:tc>
        <w:tc>
          <w:tcPr>
            <w:tcW w:w="0" w:type="auto"/>
            <w:vAlign w:val="bottom"/>
          </w:tcPr>
          <w:p w:rsidR="0034698D" w:rsidRDefault="00CC3B31" w:rsidP="0034698D">
            <w:pPr>
              <w:pStyle w:val="Tablewriting"/>
              <w:jc w:val="right"/>
            </w:pPr>
            <w:r>
              <w:t>$</w:t>
            </w:r>
            <w:r w:rsidR="0034698D">
              <w:t>65.99 M</w:t>
            </w:r>
          </w:p>
        </w:tc>
        <w:tc>
          <w:tcPr>
            <w:tcW w:w="0" w:type="auto"/>
            <w:vAlign w:val="bottom"/>
          </w:tcPr>
          <w:p w:rsidR="0034698D" w:rsidRDefault="00CC3B31" w:rsidP="0034698D">
            <w:pPr>
              <w:pStyle w:val="Tablewriting"/>
              <w:jc w:val="right"/>
            </w:pPr>
            <w:r>
              <w:t>$</w:t>
            </w:r>
            <w:r w:rsidR="0034698D">
              <w:t>61.58 M</w:t>
            </w:r>
          </w:p>
        </w:tc>
        <w:tc>
          <w:tcPr>
            <w:tcW w:w="0" w:type="auto"/>
            <w:vAlign w:val="bottom"/>
          </w:tcPr>
          <w:p w:rsidR="0034698D" w:rsidRDefault="00CC3B31" w:rsidP="00CC3B31">
            <w:pPr>
              <w:pStyle w:val="Tablewriting"/>
              <w:jc w:val="right"/>
            </w:pPr>
            <w:r>
              <w:t>$</w:t>
            </w:r>
            <w:r w:rsidR="0034698D">
              <w:t>55.96</w:t>
            </w:r>
            <w:r>
              <w:t> </w:t>
            </w:r>
            <w:r w:rsidR="0034698D">
              <w:t>M</w:t>
            </w:r>
          </w:p>
        </w:tc>
        <w:tc>
          <w:tcPr>
            <w:tcW w:w="0" w:type="auto"/>
            <w:vAlign w:val="bottom"/>
          </w:tcPr>
          <w:p w:rsidR="0034698D" w:rsidRDefault="00CC3B31" w:rsidP="0034698D">
            <w:pPr>
              <w:pStyle w:val="Tablewriting"/>
              <w:jc w:val="right"/>
            </w:pPr>
            <w:r>
              <w:t>$</w:t>
            </w:r>
            <w:r w:rsidR="0034698D">
              <w:t>47.73 M</w:t>
            </w:r>
          </w:p>
        </w:tc>
        <w:tc>
          <w:tcPr>
            <w:tcW w:w="0" w:type="auto"/>
            <w:vAlign w:val="bottom"/>
          </w:tcPr>
          <w:p w:rsidR="0034698D" w:rsidRDefault="00CC3B31" w:rsidP="0034698D">
            <w:pPr>
              <w:pStyle w:val="Tablewriting"/>
              <w:jc w:val="right"/>
            </w:pPr>
            <w:r>
              <w:t>$</w:t>
            </w:r>
            <w:r w:rsidR="0034698D">
              <w:t>40.13 M</w:t>
            </w:r>
          </w:p>
        </w:tc>
      </w:tr>
      <w:tr w:rsidR="001760A5" w:rsidTr="0034698D">
        <w:tc>
          <w:tcPr>
            <w:tcW w:w="0" w:type="auto"/>
          </w:tcPr>
          <w:p w:rsidR="0034698D" w:rsidRDefault="0034698D" w:rsidP="0034698D">
            <w:pPr>
              <w:pStyle w:val="Tablewriting"/>
            </w:pPr>
            <w:r>
              <w:t>Total</w:t>
            </w:r>
          </w:p>
        </w:tc>
        <w:tc>
          <w:tcPr>
            <w:tcW w:w="0" w:type="auto"/>
          </w:tcPr>
          <w:p w:rsidR="0034698D" w:rsidRDefault="001760A5" w:rsidP="001760A5">
            <w:pPr>
              <w:pStyle w:val="Tablewriting"/>
              <w:jc w:val="right"/>
            </w:pPr>
            <w:r>
              <w:t>$</w:t>
            </w:r>
            <w:r w:rsidR="0034698D" w:rsidRPr="001A4687">
              <w:t>76.95</w:t>
            </w:r>
            <w:r>
              <w:t> </w:t>
            </w:r>
            <w:r w:rsidR="0034698D" w:rsidRPr="001A4687">
              <w:t>M</w:t>
            </w:r>
          </w:p>
        </w:tc>
        <w:tc>
          <w:tcPr>
            <w:tcW w:w="0" w:type="auto"/>
          </w:tcPr>
          <w:p w:rsidR="0034698D" w:rsidRDefault="001760A5" w:rsidP="0034698D">
            <w:pPr>
              <w:pStyle w:val="Tablewriting"/>
              <w:jc w:val="right"/>
            </w:pPr>
            <w:r>
              <w:t>$</w:t>
            </w:r>
            <w:r w:rsidR="0034698D" w:rsidRPr="001A4687">
              <w:t>78.45 M</w:t>
            </w:r>
          </w:p>
        </w:tc>
        <w:tc>
          <w:tcPr>
            <w:tcW w:w="0" w:type="auto"/>
          </w:tcPr>
          <w:p w:rsidR="0034698D" w:rsidRDefault="001760A5" w:rsidP="0034698D">
            <w:pPr>
              <w:pStyle w:val="Tablewriting"/>
              <w:jc w:val="right"/>
            </w:pPr>
            <w:r>
              <w:t>$</w:t>
            </w:r>
            <w:r w:rsidR="0034698D" w:rsidRPr="001A4687">
              <w:t>84.71 M</w:t>
            </w:r>
          </w:p>
        </w:tc>
        <w:tc>
          <w:tcPr>
            <w:tcW w:w="0" w:type="auto"/>
          </w:tcPr>
          <w:p w:rsidR="0034698D" w:rsidRDefault="001760A5" w:rsidP="001760A5">
            <w:pPr>
              <w:pStyle w:val="Tablewriting"/>
              <w:jc w:val="right"/>
            </w:pPr>
            <w:r>
              <w:t>$</w:t>
            </w:r>
            <w:r w:rsidR="0034698D" w:rsidRPr="001A4687">
              <w:t>88.68</w:t>
            </w:r>
            <w:r>
              <w:t> </w:t>
            </w:r>
            <w:r w:rsidR="0034698D" w:rsidRPr="001A4687">
              <w:t>M</w:t>
            </w:r>
          </w:p>
        </w:tc>
        <w:tc>
          <w:tcPr>
            <w:tcW w:w="0" w:type="auto"/>
          </w:tcPr>
          <w:p w:rsidR="0034698D" w:rsidRDefault="001760A5" w:rsidP="001760A5">
            <w:pPr>
              <w:pStyle w:val="Tablewriting"/>
              <w:jc w:val="right"/>
            </w:pPr>
            <w:r>
              <w:t>$</w:t>
            </w:r>
            <w:r w:rsidR="0034698D" w:rsidRPr="001A4687">
              <w:t>93.98</w:t>
            </w:r>
            <w:r>
              <w:t> </w:t>
            </w:r>
            <w:r w:rsidR="0034698D" w:rsidRPr="001A4687">
              <w:t>M</w:t>
            </w:r>
          </w:p>
        </w:tc>
        <w:tc>
          <w:tcPr>
            <w:tcW w:w="0" w:type="auto"/>
          </w:tcPr>
          <w:p w:rsidR="0034698D" w:rsidRDefault="001760A5" w:rsidP="001760A5">
            <w:pPr>
              <w:pStyle w:val="Tablewriting"/>
              <w:jc w:val="right"/>
            </w:pPr>
            <w:r>
              <w:t>$</w:t>
            </w:r>
            <w:r w:rsidR="0034698D" w:rsidRPr="001A4687">
              <w:t>104.22</w:t>
            </w:r>
            <w:r>
              <w:t> </w:t>
            </w:r>
            <w:r w:rsidR="0034698D" w:rsidRPr="001A4687">
              <w:t>M</w:t>
            </w:r>
          </w:p>
        </w:tc>
        <w:tc>
          <w:tcPr>
            <w:tcW w:w="0" w:type="auto"/>
          </w:tcPr>
          <w:p w:rsidR="0034698D" w:rsidRDefault="001760A5" w:rsidP="001760A5">
            <w:pPr>
              <w:pStyle w:val="Tablewriting"/>
              <w:jc w:val="right"/>
            </w:pPr>
            <w:r>
              <w:t>$</w:t>
            </w:r>
            <w:r w:rsidR="0034698D" w:rsidRPr="001A4687">
              <w:t>110.71</w:t>
            </w:r>
            <w:r>
              <w:t> </w:t>
            </w:r>
            <w:r w:rsidR="0034698D" w:rsidRPr="001A4687">
              <w:t>M</w:t>
            </w:r>
          </w:p>
        </w:tc>
        <w:tc>
          <w:tcPr>
            <w:tcW w:w="0" w:type="auto"/>
          </w:tcPr>
          <w:p w:rsidR="0034698D" w:rsidRDefault="00CC3B31" w:rsidP="00CC3B31">
            <w:pPr>
              <w:pStyle w:val="Tablewriting"/>
              <w:jc w:val="right"/>
            </w:pPr>
            <w:r>
              <w:t>$</w:t>
            </w:r>
            <w:r w:rsidR="0034698D" w:rsidRPr="001A4687">
              <w:t>112.77</w:t>
            </w:r>
            <w:r>
              <w:t> </w:t>
            </w:r>
            <w:r w:rsidR="0034698D" w:rsidRPr="001A4687">
              <w:t>M</w:t>
            </w:r>
          </w:p>
        </w:tc>
        <w:tc>
          <w:tcPr>
            <w:tcW w:w="0" w:type="auto"/>
          </w:tcPr>
          <w:p w:rsidR="0034698D" w:rsidRDefault="00CC3B31" w:rsidP="00CC3B31">
            <w:pPr>
              <w:pStyle w:val="Tablewriting"/>
              <w:jc w:val="right"/>
            </w:pPr>
            <w:r>
              <w:t>$</w:t>
            </w:r>
            <w:r w:rsidR="0034698D" w:rsidRPr="001A4687">
              <w:t>109.64</w:t>
            </w:r>
            <w:r>
              <w:t> </w:t>
            </w:r>
            <w:r w:rsidR="0034698D" w:rsidRPr="001A4687">
              <w:t>M</w:t>
            </w:r>
          </w:p>
        </w:tc>
        <w:tc>
          <w:tcPr>
            <w:tcW w:w="0" w:type="auto"/>
          </w:tcPr>
          <w:p w:rsidR="0034698D" w:rsidRDefault="00CC3B31" w:rsidP="00CC3B31">
            <w:pPr>
              <w:pStyle w:val="Tablewriting"/>
              <w:jc w:val="right"/>
            </w:pPr>
            <w:r>
              <w:t>$</w:t>
            </w:r>
            <w:r w:rsidR="0034698D" w:rsidRPr="001A4687">
              <w:t>105.26</w:t>
            </w:r>
            <w:r>
              <w:t> </w:t>
            </w:r>
            <w:r w:rsidR="0034698D" w:rsidRPr="001A4687">
              <w:t>M</w:t>
            </w:r>
          </w:p>
        </w:tc>
        <w:tc>
          <w:tcPr>
            <w:tcW w:w="0" w:type="auto"/>
          </w:tcPr>
          <w:p w:rsidR="0034698D" w:rsidRDefault="00CC3B31" w:rsidP="00CC3B31">
            <w:pPr>
              <w:pStyle w:val="Tablewriting"/>
              <w:jc w:val="right"/>
            </w:pPr>
            <w:r>
              <w:t>$</w:t>
            </w:r>
            <w:r w:rsidR="0034698D" w:rsidRPr="001A4687">
              <w:t>99.73</w:t>
            </w:r>
            <w:r>
              <w:t> </w:t>
            </w:r>
            <w:r w:rsidR="0034698D" w:rsidRPr="001A4687">
              <w:t>M</w:t>
            </w:r>
          </w:p>
        </w:tc>
        <w:tc>
          <w:tcPr>
            <w:tcW w:w="0" w:type="auto"/>
          </w:tcPr>
          <w:p w:rsidR="0034698D" w:rsidRDefault="00CC3B31" w:rsidP="00CC3B31">
            <w:pPr>
              <w:pStyle w:val="Tablewriting"/>
              <w:jc w:val="right"/>
            </w:pPr>
            <w:r>
              <w:t>$</w:t>
            </w:r>
            <w:r w:rsidR="0034698D" w:rsidRPr="001A4687">
              <w:t>93.27</w:t>
            </w:r>
            <w:r>
              <w:t> </w:t>
            </w:r>
            <w:r w:rsidR="0034698D" w:rsidRPr="001A4687">
              <w:t>M</w:t>
            </w:r>
          </w:p>
        </w:tc>
      </w:tr>
    </w:tbl>
    <w:p w:rsidR="0034698D" w:rsidRDefault="001F1076" w:rsidP="00CA0FA4">
      <w:pPr>
        <w:pStyle w:val="Notes"/>
      </w:pPr>
      <w:r>
        <w:t>Source: DUSC database, extracted March 2016</w:t>
      </w:r>
    </w:p>
    <w:p w:rsidR="00AB19EF" w:rsidRDefault="00AB19EF" w:rsidP="00AB19EF">
      <w:r>
        <w:t xml:space="preserve">R/PBS expenditure on glaucoma medicines grew 21% from 2004 to 2015. </w:t>
      </w:r>
      <w:r w:rsidR="00051888">
        <w:t>Prostaglandin</w:t>
      </w:r>
      <w:r w:rsidR="003B015E">
        <w:t xml:space="preserve"> analogues and FDCs </w:t>
      </w:r>
      <w:r w:rsidR="0059083D">
        <w:t xml:space="preserve">together </w:t>
      </w:r>
      <w:r w:rsidR="003B015E">
        <w:t xml:space="preserve">accounted for 83% of expenditure in 2015. </w:t>
      </w:r>
      <w:r w:rsidR="00051888">
        <w:t>Prostaglandin</w:t>
      </w:r>
      <w:r w:rsidR="003B015E">
        <w:t xml:space="preserve"> analogues accounted for the largest proportion of expenditure. Expenditure on prostaglandin analogues peaked in 2010 and has decreased since. Expenditure on FDCs has increased 5.7 fold between 2004 and 2015. FDCs now account for 43% of R/PBS expenditure on glaucoma medicines. </w:t>
      </w:r>
    </w:p>
    <w:p w:rsidR="00473FBB" w:rsidRDefault="00AB19EF" w:rsidP="00AB19EF">
      <w:r w:rsidRPr="00AB19EF">
        <w:t xml:space="preserve">Expenditure for prostaglandin analogues and FDC products are presented at the drug level in Table </w:t>
      </w:r>
      <w:r w:rsidR="00D76CA8">
        <w:t>7</w:t>
      </w:r>
      <w:r w:rsidRPr="00AB19EF">
        <w:t>.</w:t>
      </w:r>
    </w:p>
    <w:p w:rsidR="00473FBB" w:rsidRDefault="00473FBB" w:rsidP="00473FBB">
      <w:r>
        <w:br w:type="page"/>
      </w:r>
    </w:p>
    <w:p w:rsidR="003712DA" w:rsidRDefault="003712DA" w:rsidP="003712DA">
      <w:pPr>
        <w:pStyle w:val="Tabletitle"/>
      </w:pPr>
      <w:r>
        <w:lastRenderedPageBreak/>
        <w:t xml:space="preserve">Table </w:t>
      </w:r>
      <w:r w:rsidR="00D76CA8">
        <w:t>7</w:t>
      </w:r>
      <w:r>
        <w:t xml:space="preserve">: R/PBS expenditure on prostaglandin analogues and FDCs </w:t>
      </w:r>
      <w:r w:rsidR="00EE4A10">
        <w:t>(millions)</w:t>
      </w:r>
    </w:p>
    <w:tbl>
      <w:tblPr>
        <w:tblStyle w:val="TableGrid"/>
        <w:tblW w:w="0" w:type="auto"/>
        <w:tblLook w:val="04A0" w:firstRow="1" w:lastRow="0" w:firstColumn="1" w:lastColumn="0" w:noHBand="0" w:noVBand="1"/>
        <w:tblCaption w:val="R/PBS expenditure on prostaglandin analogues and FDCs (millions)"/>
        <w:tblDescription w:val="A table of R/PBS expenditure on prostaglandin analogues and FDCs (millions)"/>
      </w:tblPr>
      <w:tblGrid>
        <w:gridCol w:w="1886"/>
        <w:gridCol w:w="990"/>
        <w:gridCol w:w="990"/>
        <w:gridCol w:w="990"/>
        <w:gridCol w:w="990"/>
        <w:gridCol w:w="990"/>
        <w:gridCol w:w="990"/>
        <w:gridCol w:w="990"/>
        <w:gridCol w:w="990"/>
        <w:gridCol w:w="990"/>
        <w:gridCol w:w="990"/>
        <w:gridCol w:w="990"/>
        <w:gridCol w:w="990"/>
      </w:tblGrid>
      <w:tr w:rsidR="0033543A" w:rsidTr="00BC54B5">
        <w:trPr>
          <w:tblHeader/>
        </w:trPr>
        <w:tc>
          <w:tcPr>
            <w:tcW w:w="0" w:type="auto"/>
            <w:shd w:val="clear" w:color="auto" w:fill="BFBFBF" w:themeFill="background1" w:themeFillShade="BF"/>
          </w:tcPr>
          <w:p w:rsidR="003712DA" w:rsidRDefault="003712DA" w:rsidP="00430AB3">
            <w:pPr>
              <w:pStyle w:val="Tablewriting"/>
            </w:pP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2004</w:t>
            </w:r>
          </w:p>
        </w:tc>
        <w:tc>
          <w:tcPr>
            <w:tcW w:w="0" w:type="auto"/>
            <w:shd w:val="clear" w:color="auto" w:fill="BFBFBF" w:themeFill="background1" w:themeFillShade="BF"/>
          </w:tcPr>
          <w:p w:rsidR="003712DA" w:rsidRPr="0034698D" w:rsidRDefault="003712DA" w:rsidP="00430AB3">
            <w:pPr>
              <w:pStyle w:val="Tableheading"/>
              <w:rPr>
                <w:sz w:val="22"/>
                <w:szCs w:val="22"/>
              </w:rPr>
            </w:pPr>
            <w:r>
              <w:rPr>
                <w:sz w:val="22"/>
                <w:szCs w:val="22"/>
              </w:rPr>
              <w:t>200</w:t>
            </w:r>
            <w:r w:rsidRPr="0034698D">
              <w:rPr>
                <w:sz w:val="22"/>
                <w:szCs w:val="22"/>
              </w:rPr>
              <w:t>5</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2006</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2007</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2008</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2009</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2010</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2011</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2012</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2013</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2014</w:t>
            </w:r>
          </w:p>
        </w:tc>
        <w:tc>
          <w:tcPr>
            <w:tcW w:w="0" w:type="auto"/>
            <w:shd w:val="clear" w:color="auto" w:fill="BFBFBF" w:themeFill="background1" w:themeFillShade="BF"/>
          </w:tcPr>
          <w:p w:rsidR="003712DA" w:rsidRPr="0034698D" w:rsidRDefault="003712DA" w:rsidP="00430AB3">
            <w:pPr>
              <w:pStyle w:val="Tableheading"/>
              <w:rPr>
                <w:sz w:val="22"/>
                <w:szCs w:val="22"/>
              </w:rPr>
            </w:pPr>
            <w:r w:rsidRPr="0034698D">
              <w:rPr>
                <w:sz w:val="22"/>
                <w:szCs w:val="22"/>
              </w:rPr>
              <w:t>2015</w:t>
            </w:r>
          </w:p>
        </w:tc>
      </w:tr>
      <w:tr w:rsidR="00F77E5E" w:rsidTr="00430AB3">
        <w:tc>
          <w:tcPr>
            <w:tcW w:w="0" w:type="auto"/>
            <w:vAlign w:val="bottom"/>
          </w:tcPr>
          <w:p w:rsidR="003712DA" w:rsidRPr="003712DA" w:rsidRDefault="00051888" w:rsidP="009730A6">
            <w:pPr>
              <w:pStyle w:val="Tablewriting"/>
              <w:rPr>
                <w:b/>
              </w:rPr>
            </w:pPr>
            <w:r w:rsidRPr="003712DA">
              <w:rPr>
                <w:b/>
              </w:rPr>
              <w:t>Prostaglandin</w:t>
            </w:r>
            <w:r w:rsidR="003712DA" w:rsidRPr="003712DA">
              <w:rPr>
                <w:b/>
              </w:rPr>
              <w:t xml:space="preserve"> analo</w:t>
            </w:r>
            <w:r w:rsidR="009730A6">
              <w:rPr>
                <w:b/>
              </w:rPr>
              <w:t>g</w:t>
            </w:r>
            <w:r w:rsidR="003712DA" w:rsidRPr="003712DA">
              <w:rPr>
                <w:b/>
              </w:rPr>
              <w:t>ues</w:t>
            </w: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r>
      <w:tr w:rsidR="00D64647" w:rsidTr="00430AB3">
        <w:tc>
          <w:tcPr>
            <w:tcW w:w="0" w:type="auto"/>
            <w:vAlign w:val="bottom"/>
          </w:tcPr>
          <w:p w:rsidR="00D64647" w:rsidRPr="00D64647" w:rsidRDefault="00D64647" w:rsidP="00D64647">
            <w:pPr>
              <w:pStyle w:val="Tablewriting"/>
            </w:pPr>
            <w:r w:rsidRPr="00D64647">
              <w:t>Bimatoprost</w:t>
            </w:r>
          </w:p>
        </w:tc>
        <w:tc>
          <w:tcPr>
            <w:tcW w:w="0" w:type="auto"/>
            <w:vAlign w:val="bottom"/>
          </w:tcPr>
          <w:p w:rsidR="00D64647" w:rsidRPr="003712DA" w:rsidRDefault="00D64647" w:rsidP="00D64647">
            <w:pPr>
              <w:pStyle w:val="Tablewriting"/>
              <w:jc w:val="right"/>
            </w:pPr>
            <w:r w:rsidRPr="003712DA">
              <w:t>$6.54 M</w:t>
            </w:r>
          </w:p>
        </w:tc>
        <w:tc>
          <w:tcPr>
            <w:tcW w:w="0" w:type="auto"/>
            <w:vAlign w:val="bottom"/>
          </w:tcPr>
          <w:p w:rsidR="00D64647" w:rsidRPr="003712DA" w:rsidRDefault="00D64647" w:rsidP="00D64647">
            <w:pPr>
              <w:pStyle w:val="Tablewriting"/>
              <w:jc w:val="right"/>
            </w:pPr>
            <w:r w:rsidRPr="003712DA">
              <w:t>$7.24 M</w:t>
            </w:r>
          </w:p>
        </w:tc>
        <w:tc>
          <w:tcPr>
            <w:tcW w:w="0" w:type="auto"/>
            <w:vAlign w:val="bottom"/>
          </w:tcPr>
          <w:p w:rsidR="00D64647" w:rsidRPr="003712DA" w:rsidRDefault="00D64647" w:rsidP="00D64647">
            <w:pPr>
              <w:pStyle w:val="Tablewriting"/>
              <w:jc w:val="right"/>
            </w:pPr>
            <w:r w:rsidRPr="003712DA">
              <w:t>$8.19 M</w:t>
            </w:r>
          </w:p>
        </w:tc>
        <w:tc>
          <w:tcPr>
            <w:tcW w:w="0" w:type="auto"/>
            <w:vAlign w:val="bottom"/>
          </w:tcPr>
          <w:p w:rsidR="00D64647" w:rsidRPr="003712DA" w:rsidRDefault="00D64647" w:rsidP="00D64647">
            <w:pPr>
              <w:pStyle w:val="Tablewriting"/>
              <w:jc w:val="right"/>
            </w:pPr>
            <w:r w:rsidRPr="003712DA">
              <w:t>$8.26</w:t>
            </w:r>
            <w:r>
              <w:t> </w:t>
            </w:r>
            <w:r w:rsidRPr="003712DA">
              <w:t>M</w:t>
            </w:r>
          </w:p>
        </w:tc>
        <w:tc>
          <w:tcPr>
            <w:tcW w:w="0" w:type="auto"/>
            <w:vAlign w:val="bottom"/>
          </w:tcPr>
          <w:p w:rsidR="00D64647" w:rsidRPr="003712DA" w:rsidRDefault="00D64647" w:rsidP="00D64647">
            <w:pPr>
              <w:pStyle w:val="Tablewriting"/>
              <w:jc w:val="right"/>
            </w:pPr>
            <w:r w:rsidRPr="003712DA">
              <w:t>$8.68 M</w:t>
            </w:r>
          </w:p>
        </w:tc>
        <w:tc>
          <w:tcPr>
            <w:tcW w:w="0" w:type="auto"/>
            <w:vAlign w:val="bottom"/>
          </w:tcPr>
          <w:p w:rsidR="00D64647" w:rsidRPr="003712DA" w:rsidRDefault="00D64647" w:rsidP="00D64647">
            <w:pPr>
              <w:pStyle w:val="Tablewriting"/>
              <w:jc w:val="right"/>
            </w:pPr>
            <w:r w:rsidRPr="003712DA">
              <w:t>$9.75 M</w:t>
            </w:r>
          </w:p>
        </w:tc>
        <w:tc>
          <w:tcPr>
            <w:tcW w:w="0" w:type="auto"/>
            <w:vAlign w:val="bottom"/>
          </w:tcPr>
          <w:p w:rsidR="00D64647" w:rsidRPr="003712DA" w:rsidRDefault="00D64647" w:rsidP="00D64647">
            <w:pPr>
              <w:pStyle w:val="Tablewriting"/>
              <w:jc w:val="right"/>
            </w:pPr>
            <w:r w:rsidRPr="003712DA">
              <w:t>$9.52 M</w:t>
            </w:r>
          </w:p>
        </w:tc>
        <w:tc>
          <w:tcPr>
            <w:tcW w:w="0" w:type="auto"/>
            <w:vAlign w:val="bottom"/>
          </w:tcPr>
          <w:p w:rsidR="00D64647" w:rsidRPr="003712DA" w:rsidRDefault="00D64647" w:rsidP="00D64647">
            <w:pPr>
              <w:pStyle w:val="Tablewriting"/>
              <w:jc w:val="right"/>
            </w:pPr>
            <w:r w:rsidRPr="003712DA">
              <w:t>$9.16 M</w:t>
            </w:r>
          </w:p>
        </w:tc>
        <w:tc>
          <w:tcPr>
            <w:tcW w:w="0" w:type="auto"/>
            <w:vAlign w:val="bottom"/>
          </w:tcPr>
          <w:p w:rsidR="00D64647" w:rsidRPr="003712DA" w:rsidRDefault="00D64647" w:rsidP="00D64647">
            <w:pPr>
              <w:pStyle w:val="Tablewriting"/>
              <w:jc w:val="right"/>
            </w:pPr>
            <w:r w:rsidRPr="003712DA">
              <w:t>$8.91 M</w:t>
            </w:r>
          </w:p>
        </w:tc>
        <w:tc>
          <w:tcPr>
            <w:tcW w:w="0" w:type="auto"/>
            <w:vAlign w:val="bottom"/>
          </w:tcPr>
          <w:p w:rsidR="00D64647" w:rsidRPr="003712DA" w:rsidRDefault="00D64647" w:rsidP="00D64647">
            <w:pPr>
              <w:pStyle w:val="Tablewriting"/>
              <w:jc w:val="right"/>
            </w:pPr>
            <w:r w:rsidRPr="003712DA">
              <w:t>$8.66 M</w:t>
            </w:r>
          </w:p>
        </w:tc>
        <w:tc>
          <w:tcPr>
            <w:tcW w:w="0" w:type="auto"/>
            <w:vAlign w:val="bottom"/>
          </w:tcPr>
          <w:p w:rsidR="00D64647" w:rsidRPr="003712DA" w:rsidRDefault="00D64647" w:rsidP="00D64647">
            <w:pPr>
              <w:pStyle w:val="Tablewriting"/>
              <w:jc w:val="right"/>
            </w:pPr>
            <w:r>
              <w:t>$8.89 </w:t>
            </w:r>
            <w:r w:rsidRPr="003712DA">
              <w:t>M</w:t>
            </w:r>
          </w:p>
        </w:tc>
        <w:tc>
          <w:tcPr>
            <w:tcW w:w="0" w:type="auto"/>
            <w:vAlign w:val="bottom"/>
          </w:tcPr>
          <w:p w:rsidR="00D64647" w:rsidRPr="003712DA" w:rsidRDefault="00D64647" w:rsidP="00D64647">
            <w:pPr>
              <w:pStyle w:val="Tablewriting"/>
              <w:jc w:val="right"/>
            </w:pPr>
            <w:r w:rsidRPr="003712DA">
              <w:t>$8.94 M</w:t>
            </w:r>
          </w:p>
        </w:tc>
      </w:tr>
      <w:tr w:rsidR="00D64647" w:rsidTr="00430AB3">
        <w:tc>
          <w:tcPr>
            <w:tcW w:w="0" w:type="auto"/>
            <w:vAlign w:val="bottom"/>
          </w:tcPr>
          <w:p w:rsidR="00D64647" w:rsidRPr="00D64647" w:rsidRDefault="00D64647" w:rsidP="00D64647">
            <w:pPr>
              <w:pStyle w:val="Tablewriting"/>
            </w:pPr>
            <w:r w:rsidRPr="00D64647">
              <w:t>Latanoprost</w:t>
            </w:r>
          </w:p>
        </w:tc>
        <w:tc>
          <w:tcPr>
            <w:tcW w:w="0" w:type="auto"/>
            <w:vAlign w:val="bottom"/>
          </w:tcPr>
          <w:p w:rsidR="00D64647" w:rsidRPr="003712DA" w:rsidRDefault="00D64647" w:rsidP="00D64647">
            <w:pPr>
              <w:pStyle w:val="Tablewriting"/>
              <w:jc w:val="right"/>
            </w:pPr>
            <w:r>
              <w:t>$43.04 </w:t>
            </w:r>
            <w:r w:rsidRPr="003712DA">
              <w:t>M</w:t>
            </w:r>
          </w:p>
        </w:tc>
        <w:tc>
          <w:tcPr>
            <w:tcW w:w="0" w:type="auto"/>
            <w:vAlign w:val="bottom"/>
          </w:tcPr>
          <w:p w:rsidR="00D64647" w:rsidRPr="003712DA" w:rsidRDefault="00D64647" w:rsidP="00D64647">
            <w:pPr>
              <w:pStyle w:val="Tablewriting"/>
              <w:jc w:val="right"/>
            </w:pPr>
            <w:r>
              <w:t>$44.01 </w:t>
            </w:r>
            <w:r w:rsidRPr="003712DA">
              <w:t>M</w:t>
            </w:r>
          </w:p>
        </w:tc>
        <w:tc>
          <w:tcPr>
            <w:tcW w:w="0" w:type="auto"/>
            <w:vAlign w:val="bottom"/>
          </w:tcPr>
          <w:p w:rsidR="00D64647" w:rsidRPr="003712DA" w:rsidRDefault="00D64647" w:rsidP="00D64647">
            <w:pPr>
              <w:pStyle w:val="Tablewriting"/>
              <w:jc w:val="right"/>
            </w:pPr>
            <w:r>
              <w:t>$45.66 </w:t>
            </w:r>
            <w:r w:rsidRPr="003712DA">
              <w:t>M</w:t>
            </w:r>
          </w:p>
        </w:tc>
        <w:tc>
          <w:tcPr>
            <w:tcW w:w="0" w:type="auto"/>
            <w:vAlign w:val="bottom"/>
          </w:tcPr>
          <w:p w:rsidR="00D64647" w:rsidRPr="003712DA" w:rsidRDefault="00D64647" w:rsidP="00D64647">
            <w:pPr>
              <w:pStyle w:val="Tablewriting"/>
              <w:jc w:val="right"/>
            </w:pPr>
            <w:r w:rsidRPr="003712DA">
              <w:t>$43.5 M</w:t>
            </w:r>
          </w:p>
        </w:tc>
        <w:tc>
          <w:tcPr>
            <w:tcW w:w="0" w:type="auto"/>
            <w:vAlign w:val="bottom"/>
          </w:tcPr>
          <w:p w:rsidR="00D64647" w:rsidRPr="003712DA" w:rsidRDefault="00D64647" w:rsidP="00D64647">
            <w:pPr>
              <w:pStyle w:val="Tablewriting"/>
              <w:jc w:val="right"/>
            </w:pPr>
            <w:r>
              <w:t>$44.59 </w:t>
            </w:r>
            <w:r w:rsidRPr="003712DA">
              <w:t>M</w:t>
            </w:r>
          </w:p>
        </w:tc>
        <w:tc>
          <w:tcPr>
            <w:tcW w:w="0" w:type="auto"/>
            <w:vAlign w:val="bottom"/>
          </w:tcPr>
          <w:p w:rsidR="00D64647" w:rsidRPr="003712DA" w:rsidRDefault="00D64647" w:rsidP="00D64647">
            <w:pPr>
              <w:pStyle w:val="Tablewriting"/>
              <w:jc w:val="right"/>
            </w:pPr>
            <w:r>
              <w:t>$49.68 </w:t>
            </w:r>
            <w:r w:rsidRPr="003712DA">
              <w:t>M</w:t>
            </w:r>
          </w:p>
        </w:tc>
        <w:tc>
          <w:tcPr>
            <w:tcW w:w="0" w:type="auto"/>
            <w:vAlign w:val="bottom"/>
          </w:tcPr>
          <w:p w:rsidR="00D64647" w:rsidRPr="003712DA" w:rsidRDefault="00D64647" w:rsidP="00D64647">
            <w:pPr>
              <w:pStyle w:val="Tablewriting"/>
              <w:jc w:val="right"/>
            </w:pPr>
            <w:r>
              <w:t>$51.66 </w:t>
            </w:r>
            <w:r w:rsidRPr="003712DA">
              <w:t>M</w:t>
            </w:r>
          </w:p>
        </w:tc>
        <w:tc>
          <w:tcPr>
            <w:tcW w:w="0" w:type="auto"/>
            <w:vAlign w:val="bottom"/>
          </w:tcPr>
          <w:p w:rsidR="00D64647" w:rsidRPr="003712DA" w:rsidRDefault="00D64647" w:rsidP="00D64647">
            <w:pPr>
              <w:pStyle w:val="Tablewriting"/>
              <w:jc w:val="right"/>
            </w:pPr>
            <w:r>
              <w:t>$51.74 </w:t>
            </w:r>
            <w:r w:rsidRPr="003712DA">
              <w:t>M</w:t>
            </w:r>
          </w:p>
        </w:tc>
        <w:tc>
          <w:tcPr>
            <w:tcW w:w="0" w:type="auto"/>
            <w:vAlign w:val="bottom"/>
          </w:tcPr>
          <w:p w:rsidR="00D64647" w:rsidRPr="003712DA" w:rsidRDefault="00D64647" w:rsidP="00D64647">
            <w:pPr>
              <w:pStyle w:val="Tablewriting"/>
              <w:jc w:val="right"/>
            </w:pPr>
            <w:r>
              <w:t>$46.72 </w:t>
            </w:r>
            <w:r w:rsidRPr="003712DA">
              <w:t>M</w:t>
            </w:r>
          </w:p>
        </w:tc>
        <w:tc>
          <w:tcPr>
            <w:tcW w:w="0" w:type="auto"/>
            <w:vAlign w:val="bottom"/>
          </w:tcPr>
          <w:p w:rsidR="00D64647" w:rsidRPr="003712DA" w:rsidRDefault="00D64647" w:rsidP="00D64647">
            <w:pPr>
              <w:pStyle w:val="Tablewriting"/>
              <w:jc w:val="right"/>
            </w:pPr>
            <w:r>
              <w:t>$40.73 </w:t>
            </w:r>
            <w:r w:rsidRPr="003712DA">
              <w:t>M</w:t>
            </w:r>
          </w:p>
        </w:tc>
        <w:tc>
          <w:tcPr>
            <w:tcW w:w="0" w:type="auto"/>
            <w:vAlign w:val="bottom"/>
          </w:tcPr>
          <w:p w:rsidR="00D64647" w:rsidRPr="003712DA" w:rsidRDefault="00D64647" w:rsidP="00D64647">
            <w:pPr>
              <w:pStyle w:val="Tablewriting"/>
              <w:jc w:val="right"/>
            </w:pPr>
            <w:r w:rsidRPr="003712DA">
              <w:t>$32.3 M</w:t>
            </w:r>
          </w:p>
        </w:tc>
        <w:tc>
          <w:tcPr>
            <w:tcW w:w="0" w:type="auto"/>
            <w:vAlign w:val="bottom"/>
          </w:tcPr>
          <w:p w:rsidR="00D64647" w:rsidRPr="003712DA" w:rsidRDefault="00D64647" w:rsidP="00D64647">
            <w:pPr>
              <w:pStyle w:val="Tablewriting"/>
              <w:jc w:val="right"/>
            </w:pPr>
            <w:r>
              <w:t>$25.14 </w:t>
            </w:r>
            <w:r w:rsidRPr="003712DA">
              <w:t>M</w:t>
            </w:r>
          </w:p>
        </w:tc>
      </w:tr>
      <w:tr w:rsidR="00D64647" w:rsidTr="00430AB3">
        <w:tc>
          <w:tcPr>
            <w:tcW w:w="0" w:type="auto"/>
            <w:vAlign w:val="bottom"/>
          </w:tcPr>
          <w:p w:rsidR="00D64647" w:rsidRPr="00D64647" w:rsidRDefault="00D64647" w:rsidP="00D64647">
            <w:pPr>
              <w:pStyle w:val="Tablewriting"/>
            </w:pPr>
            <w:r w:rsidRPr="00D64647">
              <w:t>Travoprost</w:t>
            </w:r>
          </w:p>
        </w:tc>
        <w:tc>
          <w:tcPr>
            <w:tcW w:w="0" w:type="auto"/>
            <w:vAlign w:val="bottom"/>
          </w:tcPr>
          <w:p w:rsidR="00D64647" w:rsidRPr="003712DA" w:rsidRDefault="00D64647" w:rsidP="00D64647">
            <w:pPr>
              <w:pStyle w:val="Tablewriting"/>
              <w:jc w:val="right"/>
            </w:pPr>
            <w:r w:rsidRPr="003712DA">
              <w:t>$3.63 M</w:t>
            </w:r>
          </w:p>
        </w:tc>
        <w:tc>
          <w:tcPr>
            <w:tcW w:w="0" w:type="auto"/>
            <w:vAlign w:val="bottom"/>
          </w:tcPr>
          <w:p w:rsidR="00D64647" w:rsidRPr="003712DA" w:rsidRDefault="00D64647" w:rsidP="00D64647">
            <w:pPr>
              <w:pStyle w:val="Tablewriting"/>
              <w:jc w:val="right"/>
            </w:pPr>
            <w:r w:rsidRPr="003712DA">
              <w:t>$3.82 M</w:t>
            </w:r>
          </w:p>
        </w:tc>
        <w:tc>
          <w:tcPr>
            <w:tcW w:w="0" w:type="auto"/>
            <w:vAlign w:val="bottom"/>
          </w:tcPr>
          <w:p w:rsidR="00D64647" w:rsidRPr="003712DA" w:rsidRDefault="00D64647" w:rsidP="00D64647">
            <w:pPr>
              <w:pStyle w:val="Tablewriting"/>
              <w:jc w:val="right"/>
            </w:pPr>
            <w:r w:rsidRPr="003712DA">
              <w:t>$4.22 M</w:t>
            </w:r>
          </w:p>
        </w:tc>
        <w:tc>
          <w:tcPr>
            <w:tcW w:w="0" w:type="auto"/>
            <w:vAlign w:val="bottom"/>
          </w:tcPr>
          <w:p w:rsidR="00D64647" w:rsidRPr="003712DA" w:rsidRDefault="00D64647" w:rsidP="00D64647">
            <w:pPr>
              <w:pStyle w:val="Tablewriting"/>
              <w:jc w:val="right"/>
            </w:pPr>
            <w:r w:rsidRPr="003712DA">
              <w:t>$3.97 M</w:t>
            </w:r>
          </w:p>
        </w:tc>
        <w:tc>
          <w:tcPr>
            <w:tcW w:w="0" w:type="auto"/>
            <w:vAlign w:val="bottom"/>
          </w:tcPr>
          <w:p w:rsidR="00D64647" w:rsidRPr="003712DA" w:rsidRDefault="00D64647" w:rsidP="00D64647">
            <w:pPr>
              <w:pStyle w:val="Tablewriting"/>
              <w:jc w:val="right"/>
            </w:pPr>
            <w:r w:rsidRPr="003712DA">
              <w:t>$3.97 M</w:t>
            </w:r>
          </w:p>
        </w:tc>
        <w:tc>
          <w:tcPr>
            <w:tcW w:w="0" w:type="auto"/>
            <w:vAlign w:val="bottom"/>
          </w:tcPr>
          <w:p w:rsidR="00D64647" w:rsidRPr="003712DA" w:rsidRDefault="00D64647" w:rsidP="00D64647">
            <w:pPr>
              <w:pStyle w:val="Tablewriting"/>
              <w:jc w:val="right"/>
            </w:pPr>
            <w:r w:rsidRPr="003712DA">
              <w:t>$4.37 M</w:t>
            </w:r>
          </w:p>
        </w:tc>
        <w:tc>
          <w:tcPr>
            <w:tcW w:w="0" w:type="auto"/>
            <w:vAlign w:val="bottom"/>
          </w:tcPr>
          <w:p w:rsidR="00D64647" w:rsidRPr="003712DA" w:rsidRDefault="00D64647" w:rsidP="00D64647">
            <w:pPr>
              <w:pStyle w:val="Tablewriting"/>
              <w:jc w:val="right"/>
            </w:pPr>
            <w:r w:rsidRPr="003712DA">
              <w:t>$4.86 M</w:t>
            </w:r>
          </w:p>
        </w:tc>
        <w:tc>
          <w:tcPr>
            <w:tcW w:w="0" w:type="auto"/>
            <w:vAlign w:val="bottom"/>
          </w:tcPr>
          <w:p w:rsidR="00D64647" w:rsidRPr="003712DA" w:rsidRDefault="00D64647" w:rsidP="00D64647">
            <w:pPr>
              <w:pStyle w:val="Tablewriting"/>
              <w:jc w:val="right"/>
            </w:pPr>
            <w:r w:rsidRPr="003712DA">
              <w:t>$5.08 M</w:t>
            </w:r>
          </w:p>
        </w:tc>
        <w:tc>
          <w:tcPr>
            <w:tcW w:w="0" w:type="auto"/>
            <w:vAlign w:val="bottom"/>
          </w:tcPr>
          <w:p w:rsidR="00D64647" w:rsidRPr="003712DA" w:rsidRDefault="00D64647" w:rsidP="00D64647">
            <w:pPr>
              <w:pStyle w:val="Tablewriting"/>
              <w:jc w:val="right"/>
            </w:pPr>
            <w:r w:rsidRPr="003712DA">
              <w:t>$5.94 M</w:t>
            </w:r>
          </w:p>
        </w:tc>
        <w:tc>
          <w:tcPr>
            <w:tcW w:w="0" w:type="auto"/>
            <w:vAlign w:val="bottom"/>
          </w:tcPr>
          <w:p w:rsidR="00D64647" w:rsidRPr="003712DA" w:rsidRDefault="00D64647" w:rsidP="00D64647">
            <w:pPr>
              <w:pStyle w:val="Tablewriting"/>
              <w:jc w:val="right"/>
            </w:pPr>
            <w:r w:rsidRPr="003712DA">
              <w:t>$6.56 M</w:t>
            </w:r>
          </w:p>
        </w:tc>
        <w:tc>
          <w:tcPr>
            <w:tcW w:w="0" w:type="auto"/>
            <w:vAlign w:val="bottom"/>
          </w:tcPr>
          <w:p w:rsidR="00D64647" w:rsidRPr="003712DA" w:rsidRDefault="00D64647" w:rsidP="00D64647">
            <w:pPr>
              <w:pStyle w:val="Tablewriting"/>
              <w:jc w:val="right"/>
            </w:pPr>
            <w:r w:rsidRPr="003712DA">
              <w:t>$6.54 M</w:t>
            </w:r>
          </w:p>
        </w:tc>
        <w:tc>
          <w:tcPr>
            <w:tcW w:w="0" w:type="auto"/>
            <w:vAlign w:val="bottom"/>
          </w:tcPr>
          <w:p w:rsidR="00D64647" w:rsidRPr="003712DA" w:rsidRDefault="00D64647" w:rsidP="00D64647">
            <w:pPr>
              <w:pStyle w:val="Tablewriting"/>
              <w:jc w:val="right"/>
            </w:pPr>
            <w:r w:rsidRPr="003712DA">
              <w:t>$6.06 M</w:t>
            </w:r>
          </w:p>
        </w:tc>
      </w:tr>
      <w:tr w:rsidR="00F77E5E" w:rsidTr="00430AB3">
        <w:tc>
          <w:tcPr>
            <w:tcW w:w="0" w:type="auto"/>
            <w:vAlign w:val="bottom"/>
          </w:tcPr>
          <w:p w:rsidR="003712DA" w:rsidRPr="00D64647" w:rsidRDefault="00D64647" w:rsidP="00430AB3">
            <w:pPr>
              <w:pStyle w:val="Tablewriting"/>
              <w:rPr>
                <w:b/>
              </w:rPr>
            </w:pPr>
            <w:r>
              <w:rPr>
                <w:b/>
              </w:rPr>
              <w:t>FDCs</w:t>
            </w: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c>
          <w:tcPr>
            <w:tcW w:w="0" w:type="auto"/>
            <w:vAlign w:val="bottom"/>
          </w:tcPr>
          <w:p w:rsidR="003712DA" w:rsidRDefault="003712DA" w:rsidP="00430AB3">
            <w:pPr>
              <w:pStyle w:val="Tablewriting"/>
              <w:jc w:val="right"/>
            </w:pPr>
          </w:p>
        </w:tc>
      </w:tr>
      <w:tr w:rsidR="0033543A" w:rsidTr="00430AB3">
        <w:tc>
          <w:tcPr>
            <w:tcW w:w="0" w:type="auto"/>
          </w:tcPr>
          <w:p w:rsidR="0033543A" w:rsidRPr="0034698D" w:rsidRDefault="0033543A" w:rsidP="00430AB3">
            <w:pPr>
              <w:pStyle w:val="Tablewriting"/>
            </w:pPr>
            <w:r w:rsidRPr="004E5AA4">
              <w:t>Bimatoprost with timolol</w:t>
            </w:r>
          </w:p>
        </w:tc>
        <w:tc>
          <w:tcPr>
            <w:tcW w:w="0" w:type="auto"/>
            <w:vAlign w:val="bottom"/>
          </w:tcPr>
          <w:p w:rsidR="0033543A" w:rsidRDefault="00605300" w:rsidP="00605300">
            <w:pPr>
              <w:pStyle w:val="Tablewriting"/>
              <w:jc w:val="center"/>
            </w:pPr>
            <w:r>
              <w:t>-</w:t>
            </w:r>
          </w:p>
        </w:tc>
        <w:tc>
          <w:tcPr>
            <w:tcW w:w="0" w:type="auto"/>
            <w:vAlign w:val="bottom"/>
          </w:tcPr>
          <w:p w:rsidR="0033543A" w:rsidRDefault="00605300" w:rsidP="00605300">
            <w:pPr>
              <w:pStyle w:val="Tablewriting"/>
              <w:jc w:val="center"/>
            </w:pPr>
            <w:r>
              <w:t>-</w:t>
            </w:r>
          </w:p>
        </w:tc>
        <w:tc>
          <w:tcPr>
            <w:tcW w:w="0" w:type="auto"/>
            <w:vAlign w:val="bottom"/>
          </w:tcPr>
          <w:p w:rsidR="0033543A" w:rsidRDefault="00605300" w:rsidP="00605300">
            <w:pPr>
              <w:pStyle w:val="Tablewriting"/>
              <w:jc w:val="center"/>
            </w:pPr>
            <w:r>
              <w:t>-</w:t>
            </w:r>
          </w:p>
        </w:tc>
        <w:tc>
          <w:tcPr>
            <w:tcW w:w="0" w:type="auto"/>
            <w:vAlign w:val="bottom"/>
          </w:tcPr>
          <w:p w:rsidR="0033543A" w:rsidRDefault="00605300" w:rsidP="00605300">
            <w:pPr>
              <w:pStyle w:val="Tablewriting"/>
              <w:jc w:val="center"/>
            </w:pPr>
            <w:r>
              <w:t>-</w:t>
            </w:r>
          </w:p>
        </w:tc>
        <w:tc>
          <w:tcPr>
            <w:tcW w:w="0" w:type="auto"/>
            <w:vAlign w:val="bottom"/>
          </w:tcPr>
          <w:p w:rsidR="0033543A" w:rsidRDefault="00605300" w:rsidP="00605300">
            <w:pPr>
              <w:pStyle w:val="Tablewriting"/>
              <w:jc w:val="center"/>
            </w:pPr>
            <w:r>
              <w:t>-</w:t>
            </w:r>
          </w:p>
        </w:tc>
        <w:tc>
          <w:tcPr>
            <w:tcW w:w="0" w:type="auto"/>
            <w:vAlign w:val="bottom"/>
          </w:tcPr>
          <w:p w:rsidR="0033543A" w:rsidRDefault="0033543A" w:rsidP="0033543A">
            <w:pPr>
              <w:pStyle w:val="Tablewriting"/>
              <w:jc w:val="right"/>
            </w:pPr>
            <w:r>
              <w:t>$0.4 M</w:t>
            </w:r>
          </w:p>
        </w:tc>
        <w:tc>
          <w:tcPr>
            <w:tcW w:w="0" w:type="auto"/>
            <w:vAlign w:val="bottom"/>
          </w:tcPr>
          <w:p w:rsidR="0033543A" w:rsidRDefault="0033543A" w:rsidP="0033543A">
            <w:pPr>
              <w:pStyle w:val="Tablewriting"/>
              <w:jc w:val="right"/>
            </w:pPr>
            <w:r>
              <w:t>$2.35 M</w:t>
            </w:r>
          </w:p>
        </w:tc>
        <w:tc>
          <w:tcPr>
            <w:tcW w:w="0" w:type="auto"/>
            <w:vAlign w:val="bottom"/>
          </w:tcPr>
          <w:p w:rsidR="0033543A" w:rsidRDefault="0033543A" w:rsidP="0033543A">
            <w:pPr>
              <w:pStyle w:val="Tablewriting"/>
              <w:jc w:val="right"/>
            </w:pPr>
            <w:r>
              <w:t>$3.73 M</w:t>
            </w:r>
          </w:p>
        </w:tc>
        <w:tc>
          <w:tcPr>
            <w:tcW w:w="0" w:type="auto"/>
            <w:vAlign w:val="bottom"/>
          </w:tcPr>
          <w:p w:rsidR="0033543A" w:rsidRDefault="0033543A" w:rsidP="0033543A">
            <w:pPr>
              <w:pStyle w:val="Tablewriting"/>
              <w:jc w:val="right"/>
            </w:pPr>
            <w:r>
              <w:t>$4.77 M</w:t>
            </w:r>
          </w:p>
        </w:tc>
        <w:tc>
          <w:tcPr>
            <w:tcW w:w="0" w:type="auto"/>
            <w:vAlign w:val="bottom"/>
          </w:tcPr>
          <w:p w:rsidR="0033543A" w:rsidRDefault="0033543A" w:rsidP="0033543A">
            <w:pPr>
              <w:pStyle w:val="Tablewriting"/>
              <w:jc w:val="right"/>
            </w:pPr>
            <w:r>
              <w:t>$5.54 M</w:t>
            </w:r>
          </w:p>
        </w:tc>
        <w:tc>
          <w:tcPr>
            <w:tcW w:w="0" w:type="auto"/>
            <w:vAlign w:val="bottom"/>
          </w:tcPr>
          <w:p w:rsidR="0033543A" w:rsidRDefault="0033543A" w:rsidP="0033543A">
            <w:pPr>
              <w:pStyle w:val="Tablewriting"/>
              <w:jc w:val="right"/>
            </w:pPr>
            <w:r>
              <w:t>$6.42 M</w:t>
            </w:r>
          </w:p>
        </w:tc>
        <w:tc>
          <w:tcPr>
            <w:tcW w:w="0" w:type="auto"/>
            <w:vAlign w:val="bottom"/>
          </w:tcPr>
          <w:p w:rsidR="0033543A" w:rsidRDefault="0033543A" w:rsidP="0033543A">
            <w:pPr>
              <w:pStyle w:val="Tablewriting"/>
              <w:jc w:val="right"/>
            </w:pPr>
            <w:r>
              <w:t>$7.49 M</w:t>
            </w:r>
          </w:p>
        </w:tc>
      </w:tr>
      <w:tr w:rsidR="0033543A" w:rsidTr="00430AB3">
        <w:tc>
          <w:tcPr>
            <w:tcW w:w="0" w:type="auto"/>
          </w:tcPr>
          <w:p w:rsidR="0033543A" w:rsidRPr="00EF09C2" w:rsidRDefault="0033543A" w:rsidP="00430AB3">
            <w:pPr>
              <w:pStyle w:val="Tablewriting"/>
              <w:rPr>
                <w:vertAlign w:val="superscript"/>
              </w:rPr>
            </w:pPr>
            <w:r w:rsidRPr="004E5AA4">
              <w:t>Latanoprost with timolol</w:t>
            </w:r>
            <w:r w:rsidR="00EF09C2">
              <w:rPr>
                <w:vertAlign w:val="superscript"/>
              </w:rPr>
              <w:t>a</w:t>
            </w:r>
          </w:p>
        </w:tc>
        <w:tc>
          <w:tcPr>
            <w:tcW w:w="0" w:type="auto"/>
            <w:vAlign w:val="bottom"/>
          </w:tcPr>
          <w:p w:rsidR="0033543A" w:rsidRDefault="0033543A" w:rsidP="0033543A">
            <w:pPr>
              <w:pStyle w:val="Tablewriting"/>
              <w:jc w:val="right"/>
            </w:pPr>
            <w:r>
              <w:t>$0.44 M</w:t>
            </w:r>
          </w:p>
        </w:tc>
        <w:tc>
          <w:tcPr>
            <w:tcW w:w="0" w:type="auto"/>
            <w:vAlign w:val="bottom"/>
          </w:tcPr>
          <w:p w:rsidR="0033543A" w:rsidRDefault="0033543A" w:rsidP="0033543A">
            <w:pPr>
              <w:pStyle w:val="Tablewriting"/>
              <w:jc w:val="right"/>
            </w:pPr>
            <w:r>
              <w:t>$0.51 M</w:t>
            </w:r>
          </w:p>
        </w:tc>
        <w:tc>
          <w:tcPr>
            <w:tcW w:w="0" w:type="auto"/>
            <w:vAlign w:val="bottom"/>
          </w:tcPr>
          <w:p w:rsidR="0033543A" w:rsidRDefault="0033543A" w:rsidP="0033543A">
            <w:pPr>
              <w:pStyle w:val="Tablewriting"/>
              <w:jc w:val="right"/>
            </w:pPr>
            <w:r>
              <w:t>$4.14 M</w:t>
            </w:r>
          </w:p>
        </w:tc>
        <w:tc>
          <w:tcPr>
            <w:tcW w:w="0" w:type="auto"/>
            <w:vAlign w:val="bottom"/>
          </w:tcPr>
          <w:p w:rsidR="0033543A" w:rsidRDefault="0033543A" w:rsidP="0033543A">
            <w:pPr>
              <w:pStyle w:val="Tablewriting"/>
              <w:jc w:val="right"/>
            </w:pPr>
            <w:r>
              <w:t>$10.02 M</w:t>
            </w:r>
          </w:p>
        </w:tc>
        <w:tc>
          <w:tcPr>
            <w:tcW w:w="0" w:type="auto"/>
            <w:vAlign w:val="bottom"/>
          </w:tcPr>
          <w:p w:rsidR="0033543A" w:rsidRDefault="0033543A" w:rsidP="0033543A">
            <w:pPr>
              <w:pStyle w:val="Tablewriting"/>
              <w:jc w:val="right"/>
            </w:pPr>
            <w:r>
              <w:t>$12.37 M</w:t>
            </w:r>
          </w:p>
        </w:tc>
        <w:tc>
          <w:tcPr>
            <w:tcW w:w="0" w:type="auto"/>
            <w:vAlign w:val="bottom"/>
          </w:tcPr>
          <w:p w:rsidR="0033543A" w:rsidRDefault="0033543A" w:rsidP="0033543A">
            <w:pPr>
              <w:pStyle w:val="Tablewriting"/>
              <w:jc w:val="right"/>
            </w:pPr>
            <w:r>
              <w:t>$14.65 M</w:t>
            </w:r>
          </w:p>
        </w:tc>
        <w:tc>
          <w:tcPr>
            <w:tcW w:w="0" w:type="auto"/>
            <w:vAlign w:val="bottom"/>
          </w:tcPr>
          <w:p w:rsidR="0033543A" w:rsidRDefault="0033543A" w:rsidP="0033543A">
            <w:pPr>
              <w:pStyle w:val="Tablewriting"/>
              <w:jc w:val="right"/>
            </w:pPr>
            <w:r>
              <w:t>$16.24 M</w:t>
            </w:r>
          </w:p>
        </w:tc>
        <w:tc>
          <w:tcPr>
            <w:tcW w:w="0" w:type="auto"/>
            <w:vAlign w:val="bottom"/>
          </w:tcPr>
          <w:p w:rsidR="0033543A" w:rsidRDefault="0033543A" w:rsidP="0033543A">
            <w:pPr>
              <w:pStyle w:val="Tablewriting"/>
              <w:jc w:val="right"/>
            </w:pPr>
            <w:r>
              <w:t>$17.05 M</w:t>
            </w:r>
          </w:p>
        </w:tc>
        <w:tc>
          <w:tcPr>
            <w:tcW w:w="0" w:type="auto"/>
            <w:vAlign w:val="bottom"/>
          </w:tcPr>
          <w:p w:rsidR="0033543A" w:rsidRDefault="0033543A" w:rsidP="0033543A">
            <w:pPr>
              <w:pStyle w:val="Tablewriting"/>
              <w:jc w:val="right"/>
            </w:pPr>
            <w:r>
              <w:t>$16.18 M</w:t>
            </w:r>
          </w:p>
        </w:tc>
        <w:tc>
          <w:tcPr>
            <w:tcW w:w="0" w:type="auto"/>
            <w:vAlign w:val="bottom"/>
          </w:tcPr>
          <w:p w:rsidR="0033543A" w:rsidRDefault="0033543A" w:rsidP="0033543A">
            <w:pPr>
              <w:pStyle w:val="Tablewriting"/>
              <w:jc w:val="right"/>
            </w:pPr>
            <w:r>
              <w:t>$15.23 M</w:t>
            </w:r>
          </w:p>
        </w:tc>
        <w:tc>
          <w:tcPr>
            <w:tcW w:w="0" w:type="auto"/>
            <w:vAlign w:val="bottom"/>
          </w:tcPr>
          <w:p w:rsidR="0033543A" w:rsidRDefault="0033543A" w:rsidP="0033543A">
            <w:pPr>
              <w:pStyle w:val="Tablewriting"/>
              <w:jc w:val="right"/>
            </w:pPr>
            <w:r>
              <w:t>$15.26 M</w:t>
            </w:r>
          </w:p>
        </w:tc>
        <w:tc>
          <w:tcPr>
            <w:tcW w:w="0" w:type="auto"/>
            <w:vAlign w:val="bottom"/>
          </w:tcPr>
          <w:p w:rsidR="0033543A" w:rsidRDefault="0033543A" w:rsidP="0033543A">
            <w:pPr>
              <w:pStyle w:val="Tablewriting"/>
              <w:jc w:val="right"/>
            </w:pPr>
            <w:r>
              <w:t>$14.72 M</w:t>
            </w:r>
          </w:p>
        </w:tc>
      </w:tr>
      <w:tr w:rsidR="00605300" w:rsidTr="00430AB3">
        <w:tc>
          <w:tcPr>
            <w:tcW w:w="0" w:type="auto"/>
          </w:tcPr>
          <w:p w:rsidR="00605300" w:rsidRPr="0034698D" w:rsidRDefault="00051888" w:rsidP="00430AB3">
            <w:pPr>
              <w:pStyle w:val="Tablewriting"/>
            </w:pPr>
            <w:r w:rsidRPr="004E5AA4">
              <w:t>Travoprost</w:t>
            </w:r>
            <w:r w:rsidR="00605300" w:rsidRPr="004E5AA4">
              <w:t xml:space="preserve"> with timolol</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33543A">
            <w:pPr>
              <w:pStyle w:val="Tablewriting"/>
              <w:jc w:val="right"/>
            </w:pPr>
            <w:r>
              <w:t>$0.03 M</w:t>
            </w:r>
          </w:p>
        </w:tc>
        <w:tc>
          <w:tcPr>
            <w:tcW w:w="0" w:type="auto"/>
            <w:vAlign w:val="bottom"/>
          </w:tcPr>
          <w:p w:rsidR="00605300" w:rsidRDefault="00605300" w:rsidP="0033543A">
            <w:pPr>
              <w:pStyle w:val="Tablewriting"/>
              <w:jc w:val="right"/>
            </w:pPr>
            <w:r>
              <w:t>$1.61 M</w:t>
            </w:r>
          </w:p>
        </w:tc>
        <w:tc>
          <w:tcPr>
            <w:tcW w:w="0" w:type="auto"/>
            <w:vAlign w:val="bottom"/>
          </w:tcPr>
          <w:p w:rsidR="00605300" w:rsidRDefault="00605300" w:rsidP="0033543A">
            <w:pPr>
              <w:pStyle w:val="Tablewriting"/>
              <w:jc w:val="right"/>
            </w:pPr>
            <w:r>
              <w:t>$3.09 M</w:t>
            </w:r>
          </w:p>
        </w:tc>
        <w:tc>
          <w:tcPr>
            <w:tcW w:w="0" w:type="auto"/>
            <w:vAlign w:val="bottom"/>
          </w:tcPr>
          <w:p w:rsidR="00605300" w:rsidRDefault="00605300" w:rsidP="0033543A">
            <w:pPr>
              <w:pStyle w:val="Tablewriting"/>
              <w:jc w:val="right"/>
            </w:pPr>
            <w:r>
              <w:t>$4.12 M</w:t>
            </w:r>
          </w:p>
        </w:tc>
        <w:tc>
          <w:tcPr>
            <w:tcW w:w="0" w:type="auto"/>
            <w:vAlign w:val="bottom"/>
          </w:tcPr>
          <w:p w:rsidR="00605300" w:rsidRDefault="00605300" w:rsidP="0033543A">
            <w:pPr>
              <w:pStyle w:val="Tablewriting"/>
              <w:jc w:val="right"/>
            </w:pPr>
            <w:r>
              <w:t>$4.88 M</w:t>
            </w:r>
          </w:p>
        </w:tc>
        <w:tc>
          <w:tcPr>
            <w:tcW w:w="0" w:type="auto"/>
            <w:vAlign w:val="bottom"/>
          </w:tcPr>
          <w:p w:rsidR="00605300" w:rsidRDefault="00605300" w:rsidP="0033543A">
            <w:pPr>
              <w:pStyle w:val="Tablewriting"/>
              <w:jc w:val="right"/>
            </w:pPr>
            <w:r>
              <w:t>$5.23 M</w:t>
            </w:r>
          </w:p>
        </w:tc>
        <w:tc>
          <w:tcPr>
            <w:tcW w:w="0" w:type="auto"/>
            <w:vAlign w:val="bottom"/>
          </w:tcPr>
          <w:p w:rsidR="00605300" w:rsidRDefault="00605300" w:rsidP="0033543A">
            <w:pPr>
              <w:pStyle w:val="Tablewriting"/>
              <w:jc w:val="right"/>
            </w:pPr>
            <w:r>
              <w:t>$5.96 M</w:t>
            </w:r>
          </w:p>
        </w:tc>
        <w:tc>
          <w:tcPr>
            <w:tcW w:w="0" w:type="auto"/>
            <w:vAlign w:val="bottom"/>
          </w:tcPr>
          <w:p w:rsidR="00605300" w:rsidRDefault="00605300" w:rsidP="0033543A">
            <w:pPr>
              <w:pStyle w:val="Tablewriting"/>
              <w:jc w:val="right"/>
            </w:pPr>
            <w:r>
              <w:t>$6.92 M</w:t>
            </w:r>
          </w:p>
        </w:tc>
        <w:tc>
          <w:tcPr>
            <w:tcW w:w="0" w:type="auto"/>
            <w:vAlign w:val="bottom"/>
          </w:tcPr>
          <w:p w:rsidR="00605300" w:rsidRDefault="00605300" w:rsidP="0033543A">
            <w:pPr>
              <w:pStyle w:val="Tablewriting"/>
              <w:jc w:val="right"/>
            </w:pPr>
            <w:r>
              <w:t>$7.53 M</w:t>
            </w:r>
          </w:p>
        </w:tc>
        <w:tc>
          <w:tcPr>
            <w:tcW w:w="0" w:type="auto"/>
            <w:vAlign w:val="bottom"/>
          </w:tcPr>
          <w:p w:rsidR="00605300" w:rsidRDefault="00605300" w:rsidP="0033543A">
            <w:pPr>
              <w:pStyle w:val="Tablewriting"/>
              <w:jc w:val="right"/>
            </w:pPr>
            <w:r>
              <w:t>$7.3 M</w:t>
            </w:r>
          </w:p>
        </w:tc>
      </w:tr>
      <w:tr w:rsidR="00605300" w:rsidTr="00430AB3">
        <w:tc>
          <w:tcPr>
            <w:tcW w:w="0" w:type="auto"/>
          </w:tcPr>
          <w:p w:rsidR="00605300" w:rsidRPr="0034698D" w:rsidRDefault="00605300" w:rsidP="00430AB3">
            <w:pPr>
              <w:pStyle w:val="Tablewriting"/>
            </w:pPr>
            <w:r w:rsidRPr="004E5AA4">
              <w:t>Brinzolamide with timolol</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33543A">
            <w:pPr>
              <w:pStyle w:val="Tablewriting"/>
              <w:jc w:val="right"/>
            </w:pPr>
            <w:r>
              <w:t>$0.1 M</w:t>
            </w:r>
          </w:p>
        </w:tc>
        <w:tc>
          <w:tcPr>
            <w:tcW w:w="0" w:type="auto"/>
            <w:vAlign w:val="bottom"/>
          </w:tcPr>
          <w:p w:rsidR="00605300" w:rsidRDefault="00605300" w:rsidP="0033543A">
            <w:pPr>
              <w:pStyle w:val="Tablewriting"/>
              <w:jc w:val="right"/>
            </w:pPr>
            <w:r>
              <w:t>$0.51 M</w:t>
            </w:r>
          </w:p>
        </w:tc>
        <w:tc>
          <w:tcPr>
            <w:tcW w:w="0" w:type="auto"/>
            <w:vAlign w:val="bottom"/>
          </w:tcPr>
          <w:p w:rsidR="00605300" w:rsidRDefault="00605300" w:rsidP="0033543A">
            <w:pPr>
              <w:pStyle w:val="Tablewriting"/>
              <w:jc w:val="right"/>
            </w:pPr>
            <w:r>
              <w:t>$0.83 M</w:t>
            </w:r>
          </w:p>
        </w:tc>
        <w:tc>
          <w:tcPr>
            <w:tcW w:w="0" w:type="auto"/>
            <w:vAlign w:val="bottom"/>
          </w:tcPr>
          <w:p w:rsidR="00605300" w:rsidRDefault="00605300" w:rsidP="0033543A">
            <w:pPr>
              <w:pStyle w:val="Tablewriting"/>
              <w:jc w:val="right"/>
            </w:pPr>
            <w:r>
              <w:t>$1.12 M</w:t>
            </w:r>
          </w:p>
        </w:tc>
        <w:tc>
          <w:tcPr>
            <w:tcW w:w="0" w:type="auto"/>
            <w:vAlign w:val="bottom"/>
          </w:tcPr>
          <w:p w:rsidR="00605300" w:rsidRDefault="00605300" w:rsidP="0033543A">
            <w:pPr>
              <w:pStyle w:val="Tablewriting"/>
              <w:jc w:val="right"/>
            </w:pPr>
            <w:r>
              <w:t>$1.4 M</w:t>
            </w:r>
          </w:p>
        </w:tc>
        <w:tc>
          <w:tcPr>
            <w:tcW w:w="0" w:type="auto"/>
            <w:vAlign w:val="bottom"/>
          </w:tcPr>
          <w:p w:rsidR="00605300" w:rsidRDefault="00605300" w:rsidP="0033543A">
            <w:pPr>
              <w:pStyle w:val="Tablewriting"/>
              <w:jc w:val="right"/>
            </w:pPr>
            <w:r>
              <w:t>$1.65 M</w:t>
            </w:r>
          </w:p>
        </w:tc>
      </w:tr>
      <w:tr w:rsidR="00605300" w:rsidTr="00430AB3">
        <w:tc>
          <w:tcPr>
            <w:tcW w:w="0" w:type="auto"/>
          </w:tcPr>
          <w:p w:rsidR="00605300" w:rsidRPr="0034698D" w:rsidRDefault="00605300" w:rsidP="00430AB3">
            <w:pPr>
              <w:pStyle w:val="Tablewriting"/>
            </w:pPr>
            <w:r>
              <w:t>D</w:t>
            </w:r>
            <w:r w:rsidRPr="00F80780">
              <w:t>orzolamide</w:t>
            </w:r>
            <w:r w:rsidRPr="004E5AA4">
              <w:t xml:space="preserve"> with timolol</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Default="00605300" w:rsidP="00605300">
            <w:pPr>
              <w:pStyle w:val="Tablewriting"/>
              <w:jc w:val="center"/>
            </w:pPr>
            <w:r>
              <w:t>-</w:t>
            </w:r>
          </w:p>
        </w:tc>
        <w:tc>
          <w:tcPr>
            <w:tcW w:w="0" w:type="auto"/>
            <w:vAlign w:val="bottom"/>
          </w:tcPr>
          <w:p w:rsidR="00605300" w:rsidRPr="006302B1" w:rsidRDefault="00605300" w:rsidP="0033543A">
            <w:pPr>
              <w:pStyle w:val="Tablewriting"/>
              <w:jc w:val="right"/>
              <w:rPr>
                <w:vertAlign w:val="superscript"/>
              </w:rPr>
            </w:pPr>
            <w:r>
              <w:t>≈$0 M</w:t>
            </w:r>
            <w:r w:rsidR="006302B1">
              <w:rPr>
                <w:vertAlign w:val="superscript"/>
              </w:rPr>
              <w:t>b</w:t>
            </w:r>
          </w:p>
        </w:tc>
        <w:tc>
          <w:tcPr>
            <w:tcW w:w="0" w:type="auto"/>
            <w:vAlign w:val="bottom"/>
          </w:tcPr>
          <w:p w:rsidR="00605300" w:rsidRPr="006302B1" w:rsidRDefault="00605300" w:rsidP="0033543A">
            <w:pPr>
              <w:pStyle w:val="Tablewriting"/>
              <w:jc w:val="right"/>
              <w:rPr>
                <w:vertAlign w:val="superscript"/>
              </w:rPr>
            </w:pPr>
            <w:r>
              <w:t>≈$0 M</w:t>
            </w:r>
            <w:r w:rsidR="006302B1">
              <w:rPr>
                <w:vertAlign w:val="superscript"/>
              </w:rPr>
              <w:t>b</w:t>
            </w:r>
          </w:p>
        </w:tc>
        <w:tc>
          <w:tcPr>
            <w:tcW w:w="0" w:type="auto"/>
            <w:vAlign w:val="bottom"/>
          </w:tcPr>
          <w:p w:rsidR="00605300" w:rsidRDefault="00605300" w:rsidP="0033543A">
            <w:pPr>
              <w:pStyle w:val="Tablewriting"/>
              <w:jc w:val="right"/>
            </w:pPr>
            <w:r>
              <w:t>$0.01 M</w:t>
            </w:r>
          </w:p>
        </w:tc>
        <w:tc>
          <w:tcPr>
            <w:tcW w:w="0" w:type="auto"/>
            <w:vAlign w:val="bottom"/>
          </w:tcPr>
          <w:p w:rsidR="00605300" w:rsidRDefault="00605300" w:rsidP="0033543A">
            <w:pPr>
              <w:pStyle w:val="Tablewriting"/>
              <w:jc w:val="right"/>
            </w:pPr>
            <w:r>
              <w:t>$0.01 M</w:t>
            </w:r>
          </w:p>
        </w:tc>
        <w:tc>
          <w:tcPr>
            <w:tcW w:w="0" w:type="auto"/>
            <w:vAlign w:val="bottom"/>
          </w:tcPr>
          <w:p w:rsidR="00605300" w:rsidRDefault="00605300" w:rsidP="0033543A">
            <w:pPr>
              <w:pStyle w:val="Tablewriting"/>
              <w:jc w:val="right"/>
            </w:pPr>
            <w:r>
              <w:t>$0.02 M</w:t>
            </w:r>
          </w:p>
        </w:tc>
        <w:tc>
          <w:tcPr>
            <w:tcW w:w="0" w:type="auto"/>
            <w:vAlign w:val="bottom"/>
          </w:tcPr>
          <w:p w:rsidR="00605300" w:rsidRDefault="00605300" w:rsidP="0033543A">
            <w:pPr>
              <w:pStyle w:val="Tablewriting"/>
              <w:jc w:val="right"/>
            </w:pPr>
            <w:r>
              <w:t>$0.02 M</w:t>
            </w:r>
          </w:p>
        </w:tc>
        <w:tc>
          <w:tcPr>
            <w:tcW w:w="0" w:type="auto"/>
            <w:vAlign w:val="bottom"/>
          </w:tcPr>
          <w:p w:rsidR="00605300" w:rsidRDefault="00605300" w:rsidP="0033543A">
            <w:pPr>
              <w:pStyle w:val="Tablewriting"/>
              <w:jc w:val="right"/>
            </w:pPr>
            <w:r>
              <w:t>$0.02 M</w:t>
            </w:r>
          </w:p>
        </w:tc>
      </w:tr>
      <w:tr w:rsidR="0033543A" w:rsidTr="00430AB3">
        <w:tc>
          <w:tcPr>
            <w:tcW w:w="0" w:type="auto"/>
          </w:tcPr>
          <w:p w:rsidR="0033543A" w:rsidRPr="0034698D" w:rsidRDefault="0033543A" w:rsidP="00430AB3">
            <w:pPr>
              <w:pStyle w:val="Tablewriting"/>
            </w:pPr>
            <w:r w:rsidRPr="004E5AA4">
              <w:t>Brimonidine with timolol</w:t>
            </w:r>
          </w:p>
        </w:tc>
        <w:tc>
          <w:tcPr>
            <w:tcW w:w="0" w:type="auto"/>
            <w:vAlign w:val="bottom"/>
          </w:tcPr>
          <w:p w:rsidR="0033543A" w:rsidRDefault="006302B1" w:rsidP="006302B1">
            <w:pPr>
              <w:pStyle w:val="Tablewriting"/>
              <w:jc w:val="center"/>
            </w:pPr>
            <w:r>
              <w:t>-</w:t>
            </w:r>
          </w:p>
        </w:tc>
        <w:tc>
          <w:tcPr>
            <w:tcW w:w="0" w:type="auto"/>
            <w:vAlign w:val="bottom"/>
          </w:tcPr>
          <w:p w:rsidR="0033543A" w:rsidRDefault="0033543A" w:rsidP="0033543A">
            <w:pPr>
              <w:pStyle w:val="Tablewriting"/>
              <w:jc w:val="right"/>
            </w:pPr>
            <w:r>
              <w:t>$0.29 M</w:t>
            </w:r>
          </w:p>
        </w:tc>
        <w:tc>
          <w:tcPr>
            <w:tcW w:w="0" w:type="auto"/>
            <w:vAlign w:val="bottom"/>
          </w:tcPr>
          <w:p w:rsidR="0033543A" w:rsidRDefault="0033543A" w:rsidP="0033543A">
            <w:pPr>
              <w:pStyle w:val="Tablewriting"/>
              <w:jc w:val="right"/>
            </w:pPr>
            <w:r>
              <w:t>$1.53 M</w:t>
            </w:r>
          </w:p>
        </w:tc>
        <w:tc>
          <w:tcPr>
            <w:tcW w:w="0" w:type="auto"/>
            <w:vAlign w:val="bottom"/>
          </w:tcPr>
          <w:p w:rsidR="0033543A" w:rsidRDefault="0033543A" w:rsidP="0033543A">
            <w:pPr>
              <w:pStyle w:val="Tablewriting"/>
              <w:jc w:val="right"/>
            </w:pPr>
            <w:r>
              <w:t>$2.16 M</w:t>
            </w:r>
          </w:p>
        </w:tc>
        <w:tc>
          <w:tcPr>
            <w:tcW w:w="0" w:type="auto"/>
            <w:vAlign w:val="bottom"/>
          </w:tcPr>
          <w:p w:rsidR="0033543A" w:rsidRDefault="0033543A" w:rsidP="0033543A">
            <w:pPr>
              <w:pStyle w:val="Tablewriting"/>
              <w:jc w:val="right"/>
            </w:pPr>
            <w:r>
              <w:t>$2.61 M</w:t>
            </w:r>
          </w:p>
        </w:tc>
        <w:tc>
          <w:tcPr>
            <w:tcW w:w="0" w:type="auto"/>
            <w:vAlign w:val="bottom"/>
          </w:tcPr>
          <w:p w:rsidR="0033543A" w:rsidRDefault="0033543A" w:rsidP="0033543A">
            <w:pPr>
              <w:pStyle w:val="Tablewriting"/>
              <w:jc w:val="right"/>
            </w:pPr>
            <w:r>
              <w:t>$2.71 M</w:t>
            </w:r>
          </w:p>
        </w:tc>
        <w:tc>
          <w:tcPr>
            <w:tcW w:w="0" w:type="auto"/>
            <w:vAlign w:val="bottom"/>
          </w:tcPr>
          <w:p w:rsidR="0033543A" w:rsidRDefault="0033543A" w:rsidP="0033543A">
            <w:pPr>
              <w:pStyle w:val="Tablewriting"/>
              <w:jc w:val="right"/>
            </w:pPr>
            <w:r>
              <w:t>$2.74 M</w:t>
            </w:r>
          </w:p>
        </w:tc>
        <w:tc>
          <w:tcPr>
            <w:tcW w:w="0" w:type="auto"/>
            <w:vAlign w:val="bottom"/>
          </w:tcPr>
          <w:p w:rsidR="0033543A" w:rsidRDefault="0033543A" w:rsidP="0033543A">
            <w:pPr>
              <w:pStyle w:val="Tablewriting"/>
              <w:jc w:val="right"/>
            </w:pPr>
            <w:r>
              <w:t>$2.66 M</w:t>
            </w:r>
          </w:p>
        </w:tc>
        <w:tc>
          <w:tcPr>
            <w:tcW w:w="0" w:type="auto"/>
            <w:vAlign w:val="bottom"/>
          </w:tcPr>
          <w:p w:rsidR="0033543A" w:rsidRDefault="0033543A" w:rsidP="0033543A">
            <w:pPr>
              <w:pStyle w:val="Tablewriting"/>
              <w:jc w:val="right"/>
            </w:pPr>
            <w:r>
              <w:t>$2.67 M</w:t>
            </w:r>
          </w:p>
        </w:tc>
        <w:tc>
          <w:tcPr>
            <w:tcW w:w="0" w:type="auto"/>
            <w:vAlign w:val="bottom"/>
          </w:tcPr>
          <w:p w:rsidR="0033543A" w:rsidRDefault="0033543A" w:rsidP="0033543A">
            <w:pPr>
              <w:pStyle w:val="Tablewriting"/>
              <w:jc w:val="right"/>
            </w:pPr>
            <w:r>
              <w:t>$2.73 M</w:t>
            </w:r>
          </w:p>
        </w:tc>
        <w:tc>
          <w:tcPr>
            <w:tcW w:w="0" w:type="auto"/>
            <w:vAlign w:val="bottom"/>
          </w:tcPr>
          <w:p w:rsidR="0033543A" w:rsidRDefault="0033543A" w:rsidP="0033543A">
            <w:pPr>
              <w:pStyle w:val="Tablewriting"/>
              <w:jc w:val="right"/>
            </w:pPr>
            <w:r>
              <w:t>$2.78 M</w:t>
            </w:r>
          </w:p>
        </w:tc>
        <w:tc>
          <w:tcPr>
            <w:tcW w:w="0" w:type="auto"/>
            <w:vAlign w:val="bottom"/>
          </w:tcPr>
          <w:p w:rsidR="0033543A" w:rsidRDefault="0033543A" w:rsidP="0033543A">
            <w:pPr>
              <w:pStyle w:val="Tablewriting"/>
              <w:jc w:val="right"/>
            </w:pPr>
            <w:r>
              <w:t>$2.9 M</w:t>
            </w:r>
          </w:p>
        </w:tc>
      </w:tr>
      <w:tr w:rsidR="0033543A" w:rsidTr="00430AB3">
        <w:tc>
          <w:tcPr>
            <w:tcW w:w="0" w:type="auto"/>
          </w:tcPr>
          <w:p w:rsidR="0033543A" w:rsidRPr="0034698D" w:rsidRDefault="0033543A" w:rsidP="00430AB3">
            <w:pPr>
              <w:pStyle w:val="Tablewriting"/>
            </w:pPr>
            <w:r w:rsidRPr="004E5AA4">
              <w:t>Pilocarpine with timolol</w:t>
            </w:r>
          </w:p>
        </w:tc>
        <w:tc>
          <w:tcPr>
            <w:tcW w:w="0" w:type="auto"/>
            <w:vAlign w:val="bottom"/>
          </w:tcPr>
          <w:p w:rsidR="0033543A" w:rsidRDefault="0033543A" w:rsidP="0033543A">
            <w:pPr>
              <w:pStyle w:val="Tablewriting"/>
              <w:jc w:val="right"/>
            </w:pPr>
            <w:r>
              <w:t>$6.16 M</w:t>
            </w:r>
          </w:p>
        </w:tc>
        <w:tc>
          <w:tcPr>
            <w:tcW w:w="0" w:type="auto"/>
            <w:vAlign w:val="bottom"/>
          </w:tcPr>
          <w:p w:rsidR="0033543A" w:rsidRDefault="0033543A" w:rsidP="0033543A">
            <w:pPr>
              <w:pStyle w:val="Tablewriting"/>
              <w:jc w:val="right"/>
            </w:pPr>
            <w:r>
              <w:t>$5.94 M</w:t>
            </w:r>
          </w:p>
        </w:tc>
        <w:tc>
          <w:tcPr>
            <w:tcW w:w="0" w:type="auto"/>
            <w:vAlign w:val="bottom"/>
          </w:tcPr>
          <w:p w:rsidR="0033543A" w:rsidRDefault="0033543A" w:rsidP="0033543A">
            <w:pPr>
              <w:pStyle w:val="Tablewriting"/>
              <w:jc w:val="right"/>
            </w:pPr>
            <w:r>
              <w:t>$5.98 M</w:t>
            </w:r>
          </w:p>
        </w:tc>
        <w:tc>
          <w:tcPr>
            <w:tcW w:w="0" w:type="auto"/>
            <w:vAlign w:val="bottom"/>
          </w:tcPr>
          <w:p w:rsidR="0033543A" w:rsidRDefault="0033543A" w:rsidP="0033543A">
            <w:pPr>
              <w:pStyle w:val="Tablewriting"/>
              <w:jc w:val="right"/>
            </w:pPr>
            <w:r>
              <w:t>$5.63 M</w:t>
            </w:r>
          </w:p>
        </w:tc>
        <w:tc>
          <w:tcPr>
            <w:tcW w:w="0" w:type="auto"/>
            <w:vAlign w:val="bottom"/>
          </w:tcPr>
          <w:p w:rsidR="0033543A" w:rsidRDefault="0033543A" w:rsidP="0033543A">
            <w:pPr>
              <w:pStyle w:val="Tablewriting"/>
              <w:jc w:val="right"/>
            </w:pPr>
            <w:r>
              <w:t>$5.38 M</w:t>
            </w:r>
          </w:p>
        </w:tc>
        <w:tc>
          <w:tcPr>
            <w:tcW w:w="0" w:type="auto"/>
            <w:vAlign w:val="bottom"/>
          </w:tcPr>
          <w:p w:rsidR="0033543A" w:rsidRDefault="0033543A" w:rsidP="0033543A">
            <w:pPr>
              <w:pStyle w:val="Tablewriting"/>
              <w:jc w:val="right"/>
            </w:pPr>
            <w:r>
              <w:t>$5.14 M</w:t>
            </w:r>
          </w:p>
        </w:tc>
        <w:tc>
          <w:tcPr>
            <w:tcW w:w="0" w:type="auto"/>
            <w:vAlign w:val="bottom"/>
          </w:tcPr>
          <w:p w:rsidR="0033543A" w:rsidRDefault="0033543A" w:rsidP="0033543A">
            <w:pPr>
              <w:pStyle w:val="Tablewriting"/>
              <w:jc w:val="right"/>
            </w:pPr>
            <w:r>
              <w:t>$4.95 M</w:t>
            </w:r>
          </w:p>
        </w:tc>
        <w:tc>
          <w:tcPr>
            <w:tcW w:w="0" w:type="auto"/>
            <w:vAlign w:val="bottom"/>
          </w:tcPr>
          <w:p w:rsidR="0033543A" w:rsidRDefault="0033543A" w:rsidP="0033543A">
            <w:pPr>
              <w:pStyle w:val="Tablewriting"/>
              <w:jc w:val="right"/>
            </w:pPr>
            <w:r>
              <w:t>$4.5 M</w:t>
            </w:r>
          </w:p>
        </w:tc>
        <w:tc>
          <w:tcPr>
            <w:tcW w:w="0" w:type="auto"/>
            <w:vAlign w:val="bottom"/>
          </w:tcPr>
          <w:p w:rsidR="0033543A" w:rsidRDefault="0033543A" w:rsidP="0033543A">
            <w:pPr>
              <w:pStyle w:val="Tablewriting"/>
              <w:jc w:val="right"/>
            </w:pPr>
            <w:r>
              <w:t>$4.25 M</w:t>
            </w:r>
          </w:p>
        </w:tc>
        <w:tc>
          <w:tcPr>
            <w:tcW w:w="0" w:type="auto"/>
            <w:vAlign w:val="bottom"/>
          </w:tcPr>
          <w:p w:rsidR="0033543A" w:rsidRDefault="0033543A" w:rsidP="0033543A">
            <w:pPr>
              <w:pStyle w:val="Tablewriting"/>
              <w:jc w:val="right"/>
            </w:pPr>
            <w:r>
              <w:t>$4.04 M</w:t>
            </w:r>
          </w:p>
        </w:tc>
        <w:tc>
          <w:tcPr>
            <w:tcW w:w="0" w:type="auto"/>
            <w:vAlign w:val="bottom"/>
          </w:tcPr>
          <w:p w:rsidR="0033543A" w:rsidRDefault="0033543A" w:rsidP="0033543A">
            <w:pPr>
              <w:pStyle w:val="Tablewriting"/>
              <w:jc w:val="right"/>
            </w:pPr>
            <w:r>
              <w:t>$3.82 M</w:t>
            </w:r>
          </w:p>
        </w:tc>
        <w:tc>
          <w:tcPr>
            <w:tcW w:w="0" w:type="auto"/>
            <w:vAlign w:val="bottom"/>
          </w:tcPr>
          <w:p w:rsidR="0033543A" w:rsidRDefault="0033543A" w:rsidP="0033543A">
            <w:pPr>
              <w:pStyle w:val="Tablewriting"/>
              <w:jc w:val="right"/>
            </w:pPr>
            <w:r>
              <w:t>$3.26 M</w:t>
            </w:r>
          </w:p>
        </w:tc>
      </w:tr>
      <w:tr w:rsidR="006302B1" w:rsidTr="00430AB3">
        <w:tc>
          <w:tcPr>
            <w:tcW w:w="0" w:type="auto"/>
          </w:tcPr>
          <w:p w:rsidR="006302B1" w:rsidRDefault="006302B1" w:rsidP="00430AB3">
            <w:pPr>
              <w:pStyle w:val="Tablewriting"/>
            </w:pPr>
            <w:r w:rsidRPr="004E5AA4">
              <w:t>Brinzolamide with brimonidine</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6302B1">
            <w:pPr>
              <w:pStyle w:val="Tablewriting"/>
              <w:jc w:val="center"/>
            </w:pPr>
            <w:r>
              <w:t>-</w:t>
            </w:r>
          </w:p>
        </w:tc>
        <w:tc>
          <w:tcPr>
            <w:tcW w:w="0" w:type="auto"/>
            <w:vAlign w:val="bottom"/>
          </w:tcPr>
          <w:p w:rsidR="006302B1" w:rsidRDefault="006302B1" w:rsidP="0033543A">
            <w:pPr>
              <w:pStyle w:val="Tablewriting"/>
              <w:jc w:val="right"/>
            </w:pPr>
            <w:r>
              <w:t>$0.02 M</w:t>
            </w:r>
          </w:p>
        </w:tc>
      </w:tr>
    </w:tbl>
    <w:p w:rsidR="00943C7D" w:rsidRDefault="00895227" w:rsidP="0034698D">
      <w:pPr>
        <w:pStyle w:val="Notes"/>
        <w:sectPr w:rsidR="00943C7D" w:rsidSect="00D61578">
          <w:pgSz w:w="16838" w:h="11906" w:orient="landscape"/>
          <w:pgMar w:top="1588" w:right="1644" w:bottom="1361" w:left="1644" w:header="709" w:footer="709" w:gutter="0"/>
          <w:cols w:space="708"/>
          <w:docGrid w:linePitch="360"/>
        </w:sectPr>
      </w:pPr>
      <w:r>
        <w:t xml:space="preserve">Source: </w:t>
      </w:r>
      <w:r w:rsidR="00AB19EF" w:rsidRPr="00AB19EF">
        <w:t>DUSC database, extracted March 2016</w:t>
      </w:r>
      <w:r w:rsidR="00EF09C2">
        <w:br/>
      </w:r>
      <w:r w:rsidR="00EF09C2">
        <w:rPr>
          <w:vertAlign w:val="superscript"/>
        </w:rPr>
        <w:t xml:space="preserve">a </w:t>
      </w:r>
      <w:r w:rsidR="00EF09C2">
        <w:t xml:space="preserve">Latanoprost with timolol was PBS listed in April 2006. It was listed on the R/PBS prior to this date. </w:t>
      </w:r>
      <w:r w:rsidR="006302B1">
        <w:br/>
      </w:r>
      <w:r w:rsidR="006302B1">
        <w:rPr>
          <w:vertAlign w:val="superscript"/>
        </w:rPr>
        <w:t>b</w:t>
      </w:r>
      <w:r w:rsidR="006302B1">
        <w:t xml:space="preserve"> Dorzolamide with timolol</w:t>
      </w:r>
      <w:r w:rsidR="00FB355E">
        <w:t xml:space="preserve"> was listed in March 2009. E</w:t>
      </w:r>
      <w:r w:rsidR="006302B1">
        <w:t xml:space="preserve">xpenditure was $639 in 2009 and $3,579 in 2010. </w:t>
      </w:r>
    </w:p>
    <w:p w:rsidR="0034698D" w:rsidRPr="006302B1" w:rsidRDefault="0034698D" w:rsidP="0034698D">
      <w:pPr>
        <w:pStyle w:val="Notes"/>
      </w:pPr>
    </w:p>
    <w:p w:rsidR="00D61578" w:rsidRPr="002E5550" w:rsidRDefault="002E5550" w:rsidP="00A35800">
      <w:r w:rsidRPr="002E5550">
        <w:t xml:space="preserve">Expenditure on latanoprost peaked in 2011 and has decreased approximately 50%. </w:t>
      </w:r>
      <w:r w:rsidR="00051888">
        <w:t>Prostaglandin</w:t>
      </w:r>
      <w:r>
        <w:t xml:space="preserve"> with timolol combination products accounted for 79% of FDC expenditure and 32% of total expenditure on </w:t>
      </w:r>
      <w:r w:rsidR="00C02010">
        <w:t xml:space="preserve">glaucoma medicines. </w:t>
      </w:r>
      <w:r w:rsidR="00EF09C2">
        <w:t xml:space="preserve">Latanoprost with timolol </w:t>
      </w:r>
      <w:r>
        <w:t xml:space="preserve">was the FDC with the highest R/PBS expenditure in 2015. </w:t>
      </w:r>
      <w:r w:rsidR="00EE4A10">
        <w:t xml:space="preserve">This is followed by bimatoprost with timolol and </w:t>
      </w:r>
      <w:r w:rsidR="00051888">
        <w:t>travoprost</w:t>
      </w:r>
      <w:r w:rsidR="00EE4A10">
        <w:t xml:space="preserve"> with timolol. Pilocarpine with timolol had the largest expenditure in 2015 of FDCs that did not include a prostaglandin analogue. </w:t>
      </w:r>
    </w:p>
    <w:p w:rsidR="00591512" w:rsidRDefault="00AB3733" w:rsidP="00B30D85">
      <w:pPr>
        <w:pStyle w:val="Heading4"/>
      </w:pPr>
      <w:r>
        <w:t>D</w:t>
      </w:r>
      <w:r w:rsidR="007346C7" w:rsidRPr="005E22C2">
        <w:t>iscussion</w:t>
      </w:r>
    </w:p>
    <w:p w:rsidR="003366C8" w:rsidRPr="0092579A" w:rsidRDefault="003366C8" w:rsidP="003366C8">
      <w:r w:rsidRPr="0092579A">
        <w:t>The market for glaucoma medicines has increased slightly since 2004. The number of prescriptions supplied on the R/PBS has increased. There have been a number of chan</w:t>
      </w:r>
      <w:r w:rsidR="00F04C11" w:rsidRPr="0092579A">
        <w:t xml:space="preserve">ges in the medicines being used. </w:t>
      </w:r>
      <w:r w:rsidR="00051888" w:rsidRPr="0092579A">
        <w:t>Prostaglandin</w:t>
      </w:r>
      <w:r w:rsidR="00F04C11" w:rsidRPr="0092579A">
        <w:t xml:space="preserve"> analogues continue to be the most frequently used class of medicines. </w:t>
      </w:r>
      <w:r w:rsidR="006506C2" w:rsidRPr="0092579A">
        <w:t>The use of beta</w:t>
      </w:r>
      <w:r w:rsidR="006506C2" w:rsidRPr="0092579A">
        <w:noBreakHyphen/>
        <w:t xml:space="preserve">blockers </w:t>
      </w:r>
      <w:r w:rsidR="00D21A36" w:rsidRPr="0092579A">
        <w:t>as</w:t>
      </w:r>
      <w:r w:rsidR="006506C2" w:rsidRPr="0092579A">
        <w:t xml:space="preserve"> single</w:t>
      </w:r>
      <w:r w:rsidR="006506C2" w:rsidRPr="0092579A">
        <w:noBreakHyphen/>
        <w:t xml:space="preserve">ingredient preparations has decreased. The FDC products account for a substantially larger proportion of prescriptions supplied, increasing from </w:t>
      </w:r>
      <w:r w:rsidR="009B66D7" w:rsidRPr="0092579A">
        <w:t>9% in 2004</w:t>
      </w:r>
      <w:r w:rsidR="006506C2" w:rsidRPr="0092579A">
        <w:t xml:space="preserve"> to </w:t>
      </w:r>
      <w:r w:rsidR="009B66D7" w:rsidRPr="0092579A">
        <w:t>30% in 2015</w:t>
      </w:r>
      <w:r w:rsidR="006506C2" w:rsidRPr="0092579A">
        <w:t xml:space="preserve">. </w:t>
      </w:r>
    </w:p>
    <w:p w:rsidR="006506C2" w:rsidRPr="0092579A" w:rsidRDefault="006506C2" w:rsidP="003366C8">
      <w:r w:rsidRPr="0092579A">
        <w:t>Op</w:t>
      </w:r>
      <w:r w:rsidR="00C00581" w:rsidRPr="0092579A">
        <w:t>h</w:t>
      </w:r>
      <w:r w:rsidRPr="0092579A">
        <w:t>thalmologists prescribe the majority of prescriptions supplied on the R/PBS, followed by GPs. Optometrists have been able to prescribe glaucoma medicines on the PBS since 2009, however, only account for 1% of prescriptions supplied between 2010 and 2015. The number of prescriptions prescribed by optometrists has increased rapidly during this time. The removal of the requirement for optometrists to work in a formal shared care plan with an optometrist may increase the proportion of R/PBS prescriptions prescribed by optometrists</w:t>
      </w:r>
      <w:r w:rsidR="00061F6F" w:rsidRPr="0092579A">
        <w:t xml:space="preserve"> in the future</w:t>
      </w:r>
      <w:r w:rsidRPr="0092579A">
        <w:t xml:space="preserve">. </w:t>
      </w:r>
    </w:p>
    <w:p w:rsidR="004E1F55" w:rsidRPr="0092579A" w:rsidRDefault="00E365B9" w:rsidP="00F1132C">
      <w:r w:rsidRPr="0092579A">
        <w:t xml:space="preserve">The analysis of prior therapies showed </w:t>
      </w:r>
      <w:r w:rsidR="00061F6F" w:rsidRPr="0092579A">
        <w:t>33%</w:t>
      </w:r>
      <w:r w:rsidR="004C7840" w:rsidRPr="0092579A">
        <w:t xml:space="preserve"> </w:t>
      </w:r>
      <w:r w:rsidRPr="0092579A">
        <w:t>of patients who started an FDC between July</w:t>
      </w:r>
      <w:r w:rsidR="004D395C" w:rsidRPr="0092579A">
        <w:t> </w:t>
      </w:r>
      <w:r w:rsidRPr="0092579A">
        <w:t xml:space="preserve">2014 and December 2015 were not supplied a </w:t>
      </w:r>
      <w:r w:rsidR="004D395C" w:rsidRPr="0092579A">
        <w:t>single</w:t>
      </w:r>
      <w:r w:rsidR="00033E8B" w:rsidRPr="0092579A">
        <w:noBreakHyphen/>
      </w:r>
      <w:r w:rsidR="004D395C" w:rsidRPr="0092579A">
        <w:t xml:space="preserve">agent </w:t>
      </w:r>
      <w:r w:rsidRPr="0092579A">
        <w:t>glaucoma medic</w:t>
      </w:r>
      <w:r w:rsidR="00033E8B" w:rsidRPr="0092579A">
        <w:t xml:space="preserve">ine </w:t>
      </w:r>
      <w:r w:rsidRPr="0092579A">
        <w:t xml:space="preserve">before starting an FDC. </w:t>
      </w:r>
      <w:r w:rsidR="00061F6F" w:rsidRPr="0092579A">
        <w:t>A sensitivity analysis v</w:t>
      </w:r>
      <w:r w:rsidR="004C7840" w:rsidRPr="0092579A">
        <w:t xml:space="preserve">arying the lookback time period </w:t>
      </w:r>
      <w:r w:rsidR="00061F6F" w:rsidRPr="0092579A">
        <w:t>to</w:t>
      </w:r>
      <w:r w:rsidR="004C7840" w:rsidRPr="0092579A">
        <w:t xml:space="preserve"> six month</w:t>
      </w:r>
      <w:r w:rsidR="00061F6F" w:rsidRPr="0092579A">
        <w:t>s</w:t>
      </w:r>
      <w:r w:rsidR="004C7840" w:rsidRPr="0092579A">
        <w:t xml:space="preserve"> did not change the results substantially. </w:t>
      </w:r>
      <w:r w:rsidR="00061F6F" w:rsidRPr="0092579A">
        <w:t xml:space="preserve">The sensitivity analysis showed </w:t>
      </w:r>
      <w:r w:rsidR="004C7840" w:rsidRPr="0092579A">
        <w:t xml:space="preserve">36% of patients </w:t>
      </w:r>
      <w:r w:rsidR="001C1A33" w:rsidRPr="0092579A">
        <w:t>who started</w:t>
      </w:r>
      <w:r w:rsidR="004C7840" w:rsidRPr="0092579A">
        <w:t xml:space="preserve"> a</w:t>
      </w:r>
      <w:r w:rsidR="00C62F9B" w:rsidRPr="0092579A">
        <w:t>n</w:t>
      </w:r>
      <w:r w:rsidR="004C7840" w:rsidRPr="0092579A">
        <w:t xml:space="preserve"> FDC had not received a </w:t>
      </w:r>
      <w:r w:rsidR="0073731F" w:rsidRPr="0092579A">
        <w:t>single</w:t>
      </w:r>
      <w:r w:rsidR="00033E8B" w:rsidRPr="0092579A">
        <w:noBreakHyphen/>
      </w:r>
      <w:r w:rsidR="0073731F" w:rsidRPr="0092579A">
        <w:t xml:space="preserve">agent </w:t>
      </w:r>
      <w:r w:rsidR="004C7840" w:rsidRPr="0092579A">
        <w:t xml:space="preserve">glaucoma medicine in the six months before starting an FDC. </w:t>
      </w:r>
      <w:r w:rsidRPr="0092579A">
        <w:t xml:space="preserve">This may be a significant quality use of medicines issue if patients are starting treatment with two medicines. </w:t>
      </w:r>
      <w:r w:rsidR="0073731F" w:rsidRPr="0092579A">
        <w:t>It is possible that s</w:t>
      </w:r>
      <w:r w:rsidRPr="0092579A">
        <w:t xml:space="preserve">ome patients who appear not to have received prior treatment </w:t>
      </w:r>
      <w:r w:rsidR="0073731F" w:rsidRPr="0092579A">
        <w:t xml:space="preserve">with a single-ingredient glaucoma medicine </w:t>
      </w:r>
      <w:r w:rsidRPr="0092579A">
        <w:t>may have received treatment on private prescri</w:t>
      </w:r>
      <w:r w:rsidR="00F9090B" w:rsidRPr="0092579A">
        <w:t xml:space="preserve">ption or sample packs. However, it is likely that </w:t>
      </w:r>
      <w:r w:rsidR="00061F6F" w:rsidRPr="0092579A">
        <w:t>some</w:t>
      </w:r>
      <w:r w:rsidR="00F9090B" w:rsidRPr="0092579A">
        <w:t xml:space="preserve"> </w:t>
      </w:r>
      <w:r w:rsidR="003366C8" w:rsidRPr="0092579A">
        <w:t>patients did not have an adequate trial of a single</w:t>
      </w:r>
      <w:r w:rsidR="003366C8" w:rsidRPr="0092579A">
        <w:noBreakHyphen/>
        <w:t>ingredient medicine before being supplied a</w:t>
      </w:r>
      <w:r w:rsidR="00387947" w:rsidRPr="0092579A">
        <w:t>n</w:t>
      </w:r>
      <w:r w:rsidR="003366C8" w:rsidRPr="0092579A">
        <w:t xml:space="preserve"> FDC on the PBS. </w:t>
      </w:r>
      <w:r w:rsidR="00C166C9" w:rsidRPr="0092579A">
        <w:t>The availability of samples for newer, patented FDC</w:t>
      </w:r>
      <w:r w:rsidR="004E1F55" w:rsidRPr="0092579A">
        <w:t xml:space="preserve"> medicines</w:t>
      </w:r>
      <w:r w:rsidR="00C166C9" w:rsidRPr="0092579A">
        <w:t xml:space="preserve"> may be </w:t>
      </w:r>
      <w:r w:rsidR="00B86964" w:rsidRPr="0092579A">
        <w:t xml:space="preserve">contributing to </w:t>
      </w:r>
      <w:r w:rsidR="00C166C9" w:rsidRPr="0092579A">
        <w:t xml:space="preserve">driving their uptake as a </w:t>
      </w:r>
      <w:r w:rsidR="00C058DA" w:rsidRPr="0092579A">
        <w:t xml:space="preserve">first line treatment. </w:t>
      </w:r>
      <w:r w:rsidR="00C93E4A" w:rsidRPr="0092579A">
        <w:t>The PBAC has previously acknowledged the availability of samples for FDC inhalers for asthma may be driving their use as a first line maintenance therapy.</w:t>
      </w:r>
      <w:r w:rsidR="00196BA1" w:rsidRPr="0092579A">
        <w:rPr>
          <w:noProof/>
          <w:vertAlign w:val="superscript"/>
        </w:rPr>
        <w:t>27</w:t>
      </w:r>
      <w:r w:rsidR="00C93E4A" w:rsidRPr="0092579A">
        <w:t xml:space="preserve"> </w:t>
      </w:r>
    </w:p>
    <w:p w:rsidR="00EC5BE6" w:rsidRPr="0092579A" w:rsidRDefault="00EC5BE6" w:rsidP="00F1132C">
      <w:r w:rsidRPr="0092579A">
        <w:t>The analysis of concession patients</w:t>
      </w:r>
      <w:r w:rsidR="00302467" w:rsidRPr="0092579A">
        <w:t xml:space="preserve"> new to PBS glaucoma therapy</w:t>
      </w:r>
      <w:r w:rsidRPr="0092579A">
        <w:t xml:space="preserve"> showed a decreasing number of concession patients starting glaucoma </w:t>
      </w:r>
      <w:r w:rsidR="007F35F7" w:rsidRPr="0092579A">
        <w:t xml:space="preserve">medicines from 2012 onwards. </w:t>
      </w:r>
      <w:r w:rsidR="001F1D03" w:rsidRPr="0092579A">
        <w:t xml:space="preserve">This appears to be due to fewer patients starting latanoprost. It is unclear why the number of patients starting latanoprost has decreased without a commensurate increase in the number of patients starting other medicines. Generic brands for latanoprost were listed on the PBS in August 2012. The availability of cheaper generic brands may have resulted in </w:t>
      </w:r>
      <w:r w:rsidR="001F1D03" w:rsidRPr="0092579A">
        <w:lastRenderedPageBreak/>
        <w:t xml:space="preserve">some concession patients opting for private prescriptions. Latanoprost promotion may </w:t>
      </w:r>
      <w:r w:rsidR="009D25BC" w:rsidRPr="0092579A">
        <w:t xml:space="preserve">also </w:t>
      </w:r>
      <w:r w:rsidR="001F1D03" w:rsidRPr="0092579A">
        <w:t>have decreased following the introduction of generic brands</w:t>
      </w:r>
      <w:r w:rsidR="009301B8" w:rsidRPr="0092579A">
        <w:t xml:space="preserve">. </w:t>
      </w:r>
    </w:p>
    <w:p w:rsidR="00BA47FF" w:rsidRDefault="00BA47FF" w:rsidP="00F1132C">
      <w:r>
        <w:t>R/PBS expenditure on glaucoma medicines increased between 2004 and 2011 and ha</w:t>
      </w:r>
      <w:r w:rsidR="009377F5">
        <w:t>s</w:t>
      </w:r>
      <w:r>
        <w:t xml:space="preserve"> decreased thereafter. Overall expenditure peaked at $112.77 million in 2011.  Expenditure in </w:t>
      </w:r>
      <w:r w:rsidR="00983049">
        <w:t>2015 amounted to $93.27 million.</w:t>
      </w:r>
      <w:r w:rsidR="00983049" w:rsidRPr="00983049">
        <w:t xml:space="preserve"> </w:t>
      </w:r>
      <w:r w:rsidR="00051888" w:rsidRPr="00983049">
        <w:t>Prostaglandin</w:t>
      </w:r>
      <w:r w:rsidR="00983049" w:rsidRPr="00983049">
        <w:t xml:space="preserve"> analogues and FDCs accounted for 83% of expenditure in 2015</w:t>
      </w:r>
      <w:r w:rsidR="00051888" w:rsidRPr="00983049">
        <w:t xml:space="preserve">. </w:t>
      </w:r>
      <w:r>
        <w:t xml:space="preserve">Much of the decrease in overall expenditure has been due to the decrease in benefits </w:t>
      </w:r>
      <w:r w:rsidR="00983049">
        <w:t xml:space="preserve">paid for </w:t>
      </w:r>
      <w:r>
        <w:t>latanoprost</w:t>
      </w:r>
      <w:r w:rsidR="00C34C42">
        <w:t>.</w:t>
      </w:r>
      <w:r>
        <w:t xml:space="preserve"> </w:t>
      </w:r>
      <w:r w:rsidR="00C34C42">
        <w:t>Annual expenditure</w:t>
      </w:r>
      <w:r>
        <w:t xml:space="preserve"> </w:t>
      </w:r>
      <w:r w:rsidR="0057472C">
        <w:t xml:space="preserve">on latanoprost </w:t>
      </w:r>
      <w:r>
        <w:t>has almost halved from $51.74 million in 2011 to $25.14 million in 2015</w:t>
      </w:r>
      <w:r w:rsidR="00C34C42">
        <w:t xml:space="preserve"> as a result of generic competition. </w:t>
      </w:r>
      <w:r>
        <w:t xml:space="preserve"> </w:t>
      </w:r>
    </w:p>
    <w:p w:rsidR="0092579A" w:rsidRPr="0092579A" w:rsidRDefault="0092579A" w:rsidP="0092579A">
      <w:pPr>
        <w:rPr>
          <w:b/>
          <w:sz w:val="32"/>
          <w:szCs w:val="32"/>
        </w:rPr>
      </w:pPr>
      <w:r w:rsidRPr="0092579A">
        <w:rPr>
          <w:b/>
          <w:sz w:val="32"/>
          <w:szCs w:val="32"/>
        </w:rPr>
        <w:t xml:space="preserve">DUSC consideration </w:t>
      </w:r>
    </w:p>
    <w:p w:rsidR="0092579A" w:rsidRPr="0092579A" w:rsidRDefault="0092579A" w:rsidP="0092579A">
      <w:pPr>
        <w:rPr>
          <w:rFonts w:eastAsia="Calibri" w:cs="Times New Roman"/>
          <w:iCs/>
        </w:rPr>
      </w:pPr>
      <w:r w:rsidRPr="0092579A">
        <w:rPr>
          <w:rFonts w:eastAsia="Calibri" w:cs="Times New Roman"/>
        </w:rPr>
        <w:t xml:space="preserve">DUSC considered that with the ageing population it might be expected that incidence of glaucoma would increase over time, and yet the number of people starting glaucoma medicines appears to be in decline. DUSC considered </w:t>
      </w:r>
      <w:r w:rsidR="00486932">
        <w:rPr>
          <w:rFonts w:eastAsia="Calibri" w:cs="Times New Roman"/>
        </w:rPr>
        <w:t xml:space="preserve">a shift to </w:t>
      </w:r>
      <w:r w:rsidR="00486932" w:rsidRPr="0092579A">
        <w:rPr>
          <w:rFonts w:eastAsia="Calibri" w:cs="Times New Roman"/>
        </w:rPr>
        <w:t xml:space="preserve">private </w:t>
      </w:r>
      <w:r w:rsidR="00486932">
        <w:rPr>
          <w:rFonts w:eastAsia="Calibri" w:cs="Times New Roman"/>
        </w:rPr>
        <w:t xml:space="preserve">prescriptions </w:t>
      </w:r>
      <w:r>
        <w:rPr>
          <w:rFonts w:eastAsia="Calibri" w:cs="Times New Roman"/>
        </w:rPr>
        <w:t>i</w:t>
      </w:r>
      <w:r w:rsidR="00486932">
        <w:rPr>
          <w:rFonts w:eastAsia="Calibri" w:cs="Times New Roman"/>
        </w:rPr>
        <w:t>s</w:t>
      </w:r>
      <w:r>
        <w:rPr>
          <w:rFonts w:eastAsia="Calibri" w:cs="Times New Roman"/>
        </w:rPr>
        <w:t xml:space="preserve"> unlikely </w:t>
      </w:r>
      <w:r w:rsidRPr="0092579A">
        <w:rPr>
          <w:rFonts w:eastAsia="Calibri" w:cs="Times New Roman"/>
        </w:rPr>
        <w:t>in a mostly concessional market, and noted that there is a visible effect of the safety net in the prescription data (e.g. Figure 1 of the report). DUSC noted the availability of non-p</w:t>
      </w:r>
      <w:r w:rsidRPr="0092579A">
        <w:rPr>
          <w:rFonts w:eastAsia="Calibri" w:cs="Times New Roman"/>
          <w:iCs/>
        </w:rPr>
        <w:t xml:space="preserve">harmacological treatments such as laser or minimally invasive glaucoma implants may have decreased reliance on pharmacological treatment for some patients; although it was noted the outcome from non-pharmacological treatment can vary and some patients may still require pharmacological treatment. </w:t>
      </w:r>
    </w:p>
    <w:p w:rsidR="0092579A" w:rsidRDefault="00486932" w:rsidP="00F1132C">
      <w:pPr>
        <w:rPr>
          <w:rFonts w:eastAsia="Calibri" w:cs="Times New Roman"/>
          <w:i/>
        </w:rPr>
      </w:pPr>
      <w:r>
        <w:t xml:space="preserve">While the majority of patients who start a glaucoma medicine do so with a single ingredient medicine, </w:t>
      </w:r>
      <w:r w:rsidR="0092579A">
        <w:t xml:space="preserve">DUSC noted that an increasing group of people are starting treatment with a combination product. </w:t>
      </w:r>
      <w:r w:rsidR="0092579A" w:rsidRPr="0092579A">
        <w:rPr>
          <w:rFonts w:eastAsia="Calibri" w:cs="Times New Roman"/>
        </w:rPr>
        <w:t>DUSC noted a response from one sponsor that considered some patients may have been supplied monotherapy more than two years ago, and quoted a 2011 study of the PBS 10% sample.</w:t>
      </w:r>
      <w:r w:rsidR="0092579A" w:rsidRPr="0092579A">
        <w:rPr>
          <w:rFonts w:eastAsia="Calibri" w:cs="Times New Roman"/>
          <w:vertAlign w:val="superscript"/>
        </w:rPr>
        <w:t>28</w:t>
      </w:r>
      <w:r w:rsidR="0092579A">
        <w:rPr>
          <w:rFonts w:eastAsia="Calibri" w:cs="Times New Roman"/>
          <w:vertAlign w:val="superscript"/>
        </w:rPr>
        <w:t xml:space="preserve"> </w:t>
      </w:r>
      <w:r w:rsidR="0092579A" w:rsidRPr="0092579A">
        <w:rPr>
          <w:rFonts w:eastAsia="Calibri" w:cs="Times New Roman"/>
        </w:rPr>
        <w:t>The referenced study measured persistence on glaucoma therapy, while the current DUSC analysis did not rely on patients having persisted on therapy, but looked for any previous glaucoma prescription in the prior two years. DUSC noted sponsor responses which confirmed that sponsors provide samples of both single agent and FDC glaucoma medicines to prescribers. It is possible</w:t>
      </w:r>
      <w:r w:rsidR="0092579A">
        <w:rPr>
          <w:rFonts w:eastAsia="Calibri" w:cs="Times New Roman"/>
        </w:rPr>
        <w:t xml:space="preserve"> that some people who start PBS-</w:t>
      </w:r>
      <w:r w:rsidR="0092579A" w:rsidRPr="0092579A">
        <w:rPr>
          <w:rFonts w:eastAsia="Calibri" w:cs="Times New Roman"/>
        </w:rPr>
        <w:t>subsidised treatment on an FDC may have received prior monotherapy via a sample. While the low cost of many single agent glaucoma medicines may have led to some private use of these agents, which is not visible in PBS data, DUSC reiterated that private use is likely to be small in a mostly concessional market. Commencing directly on an FDC may be clinically indicated for a small number of patients with highly elevated intraocular pressure who require rapid reduction. Despite these possible explanations, DUSC remained concerned that there may be some patients commencing on an FDC product when a single agent product would meet their needs.</w:t>
      </w:r>
      <w:r w:rsidR="0092579A" w:rsidRPr="0092579A">
        <w:rPr>
          <w:rFonts w:eastAsia="Calibri" w:cs="Times New Roman"/>
          <w:i/>
        </w:rPr>
        <w:t xml:space="preserve">  </w:t>
      </w:r>
    </w:p>
    <w:p w:rsidR="00830378" w:rsidRPr="00830378" w:rsidRDefault="0071793E" w:rsidP="00830378">
      <w:pPr>
        <w:rPr>
          <w:rFonts w:eastAsia="Calibri" w:cs="Times New Roman"/>
        </w:rPr>
      </w:pPr>
      <w:r w:rsidRPr="0071793E">
        <w:rPr>
          <w:rFonts w:eastAsia="Calibri" w:cs="Times New Roman"/>
        </w:rPr>
        <w:t xml:space="preserve">Ophthalmologists prescribe the majority of glaucoma therapy prescriptions supplied on the R/PBS, followed by GPs. </w:t>
      </w:r>
      <w:r w:rsidR="00830378" w:rsidRPr="00830378">
        <w:rPr>
          <w:rFonts w:eastAsia="Calibri" w:cs="Times New Roman"/>
        </w:rPr>
        <w:t xml:space="preserve">DUSC suggested that GPs may be more likely to continue glaucoma treatment originally prescribed by an ophthalmologist, although an analysis of initiating versus continuing prescribers was not presented in this report. DUSC noted that optometrist prescribing accounts for a small proportion of PBS prescriptions supplied for glaucoma medicines and that the pattern of optometrist prescribing in terms of medicine </w:t>
      </w:r>
      <w:r w:rsidR="00830378" w:rsidRPr="00830378">
        <w:rPr>
          <w:rFonts w:eastAsia="Calibri" w:cs="Times New Roman"/>
        </w:rPr>
        <w:lastRenderedPageBreak/>
        <w:t xml:space="preserve">class seems to reflect broader prescribing patterns. DUSC agreed with the response from one sponsor that the recent changes which permit optometrists to initiate glaucoma pharmacotherapy may present an opportunity for continuing education to ensure patients receive appropriate glaucoma treatment.  </w:t>
      </w:r>
    </w:p>
    <w:p w:rsidR="007346C7" w:rsidRDefault="00830378" w:rsidP="00B30D85">
      <w:pPr>
        <w:pStyle w:val="Heading4"/>
      </w:pPr>
      <w:r>
        <w:t>DUSC</w:t>
      </w:r>
      <w:r w:rsidR="00BC35ED">
        <w:t xml:space="preserve"> a</w:t>
      </w:r>
      <w:r w:rsidR="00D151EB">
        <w:t>ctions</w:t>
      </w:r>
    </w:p>
    <w:p w:rsidR="00724F8F" w:rsidRPr="00724F8F" w:rsidRDefault="00724F8F" w:rsidP="00724F8F">
      <w:pPr>
        <w:rPr>
          <w:rFonts w:eastAsia="Calibri" w:cs="Times New Roman"/>
        </w:rPr>
      </w:pPr>
      <w:r w:rsidRPr="00724F8F">
        <w:rPr>
          <w:rFonts w:eastAsia="Calibri" w:cs="Times New Roman"/>
        </w:rPr>
        <w:t>DUSC suggested that advice be sought from the Royal Australian and New Zealand College of Ophthalmologists (RANZCO) and Optometry Australia seeking advice on the current treatment algorithm for glaucoma, including pharmacological and non-pharmacological treatments, changes in the surrogate outcome of intraocular pressure targets, and use of outcomes such as visual field loss.</w:t>
      </w:r>
    </w:p>
    <w:p w:rsidR="00830378" w:rsidRDefault="00830378" w:rsidP="00830378">
      <w:r w:rsidRPr="00515465">
        <w:t xml:space="preserve">DUSC requested that the report, </w:t>
      </w:r>
      <w:r>
        <w:t>sponsor</w:t>
      </w:r>
      <w:r w:rsidRPr="00515465">
        <w:t xml:space="preserve"> responses</w:t>
      </w:r>
      <w:r>
        <w:t>,</w:t>
      </w:r>
      <w:r w:rsidRPr="00515465">
        <w:t xml:space="preserve"> DUSC minutes</w:t>
      </w:r>
      <w:r>
        <w:t xml:space="preserve"> and the advice obtained from </w:t>
      </w:r>
      <w:r w:rsidRPr="00830378">
        <w:rPr>
          <w:rFonts w:eastAsia="Calibri" w:cs="Times New Roman"/>
        </w:rPr>
        <w:t>the Royal Australian and New Zeal</w:t>
      </w:r>
      <w:r>
        <w:rPr>
          <w:rFonts w:eastAsia="Calibri" w:cs="Times New Roman"/>
        </w:rPr>
        <w:t xml:space="preserve">and College of Ophthalmologists </w:t>
      </w:r>
      <w:r w:rsidRPr="00830378">
        <w:rPr>
          <w:rFonts w:eastAsia="Calibri" w:cs="Times New Roman"/>
        </w:rPr>
        <w:t>and Optometry Australia</w:t>
      </w:r>
      <w:r w:rsidRPr="00763239">
        <w:rPr>
          <w:rFonts w:eastAsia="Calibri" w:cs="Times New Roman"/>
          <w:i/>
        </w:rPr>
        <w:t xml:space="preserve"> </w:t>
      </w:r>
      <w:r w:rsidRPr="00515465">
        <w:t xml:space="preserve">be provided to the PBAC. </w:t>
      </w:r>
    </w:p>
    <w:p w:rsidR="00830378" w:rsidRPr="00830378" w:rsidRDefault="00830378" w:rsidP="00830378">
      <w:pPr>
        <w:rPr>
          <w:b/>
          <w:sz w:val="32"/>
          <w:szCs w:val="32"/>
        </w:rPr>
      </w:pPr>
      <w:r w:rsidRPr="00830378">
        <w:rPr>
          <w:b/>
          <w:sz w:val="32"/>
          <w:szCs w:val="32"/>
        </w:rPr>
        <w:t xml:space="preserve">Context for analysis </w:t>
      </w:r>
    </w:p>
    <w:p w:rsidR="00830378" w:rsidRPr="00830378" w:rsidRDefault="00830378" w:rsidP="00830378">
      <w:r w:rsidRPr="00830378">
        <w:t xml:space="preserve">The DUSC is a Sub Committee of the Pharmaceutical Benefits Advisory Committee (PBAC). The DUSC assesses estimates on projected usage and financial cost of medicines. </w:t>
      </w:r>
    </w:p>
    <w:p w:rsidR="00830378" w:rsidRPr="00830378" w:rsidRDefault="00830378" w:rsidP="00830378">
      <w:r w:rsidRPr="00830378">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830378" w:rsidRPr="00830378" w:rsidRDefault="00830378" w:rsidP="00830378">
      <w:r w:rsidRPr="00830378">
        <w:t xml:space="preserve">The DUSC operates in accordance with the quality use of medicines objective of the National Medicines Policy and considers that the DUSC utilisation analyses will assist consumers and health professionals to better understand the costs, benefits and risks of medicines. </w:t>
      </w:r>
    </w:p>
    <w:p w:rsidR="00830378" w:rsidRDefault="00830378" w:rsidP="00830378">
      <w:r w:rsidRPr="00830378">
        <w:t>The utilisation analysis report was provided to the pharmaceutical sponsors of each drug and comments on the report were provided to DUSC prior to its consideration of the analysis.</w:t>
      </w:r>
    </w:p>
    <w:p w:rsidR="00105F50" w:rsidRDefault="00105F50" w:rsidP="00830378">
      <w:pPr>
        <w:rPr>
          <w:rFonts w:cs="Calibri Bold+FPEF"/>
          <w:b/>
          <w:bCs/>
          <w:sz w:val="32"/>
          <w:szCs w:val="32"/>
        </w:rPr>
      </w:pPr>
      <w:r w:rsidRPr="00105F50">
        <w:rPr>
          <w:rFonts w:cs="Calibri Bold+FPEF"/>
          <w:b/>
          <w:bCs/>
          <w:sz w:val="32"/>
          <w:szCs w:val="32"/>
        </w:rPr>
        <w:t>Sponsors’ comments</w:t>
      </w:r>
    </w:p>
    <w:p w:rsidR="00105F50" w:rsidRPr="00105F50" w:rsidRDefault="00105F50" w:rsidP="00830378">
      <w:r>
        <w:rPr>
          <w:rFonts w:cs="Calibri Bold+FPEF"/>
          <w:bCs/>
        </w:rPr>
        <w:t>Various sponsors: no comments received.</w:t>
      </w:r>
    </w:p>
    <w:p w:rsidR="00830378" w:rsidRPr="00830378" w:rsidRDefault="00830378" w:rsidP="00830378">
      <w:pPr>
        <w:rPr>
          <w:sz w:val="32"/>
          <w:szCs w:val="32"/>
        </w:rPr>
      </w:pPr>
      <w:r w:rsidRPr="00830378">
        <w:rPr>
          <w:b/>
          <w:sz w:val="32"/>
          <w:szCs w:val="32"/>
        </w:rPr>
        <w:t>Disclaimer</w:t>
      </w:r>
      <w:r w:rsidRPr="00830378">
        <w:rPr>
          <w:sz w:val="32"/>
          <w:szCs w:val="32"/>
        </w:rPr>
        <w:t xml:space="preserve"> </w:t>
      </w:r>
    </w:p>
    <w:p w:rsidR="00830378" w:rsidRPr="00830378" w:rsidRDefault="00830378" w:rsidP="00830378">
      <w:r w:rsidRPr="00830378">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 </w:t>
      </w:r>
    </w:p>
    <w:p w:rsidR="00830378" w:rsidRPr="00830378" w:rsidRDefault="00830378" w:rsidP="00830378">
      <w:r w:rsidRPr="00830378">
        <w:lastRenderedPageBreak/>
        <w:t xml:space="preserve">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 </w:t>
      </w:r>
    </w:p>
    <w:p w:rsidR="00830378" w:rsidRPr="00830378" w:rsidRDefault="00830378" w:rsidP="00830378">
      <w:r w:rsidRPr="00830378">
        <w:t xml:space="preserve">To the extent provided by law, DoH makes no warranties or representations as to accuracy or completeness of information contained in this report. </w:t>
      </w:r>
    </w:p>
    <w:p w:rsidR="00830378" w:rsidRPr="00830378" w:rsidRDefault="00830378" w:rsidP="00830378">
      <w:r w:rsidRPr="00830378">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830378" w:rsidRDefault="00830378">
      <w:pPr>
        <w:spacing w:line="276" w:lineRule="auto"/>
        <w:rPr>
          <w:b/>
          <w:sz w:val="32"/>
          <w:szCs w:val="32"/>
        </w:rPr>
      </w:pPr>
      <w:r>
        <w:br w:type="page"/>
      </w:r>
    </w:p>
    <w:p w:rsidR="004B306F" w:rsidRDefault="004B306F" w:rsidP="00B30D85">
      <w:pPr>
        <w:pStyle w:val="Heading4"/>
      </w:pPr>
      <w:r>
        <w:lastRenderedPageBreak/>
        <w:t>References</w:t>
      </w:r>
    </w:p>
    <w:p w:rsidR="00196BA1" w:rsidRPr="00196BA1" w:rsidRDefault="00196BA1" w:rsidP="00196BA1">
      <w:pPr>
        <w:pStyle w:val="EndNoteBibliography"/>
        <w:spacing w:after="0"/>
      </w:pPr>
      <w:bookmarkStart w:id="2" w:name="_ENREF_1"/>
      <w:r w:rsidRPr="00196BA1">
        <w:t>1.</w:t>
      </w:r>
      <w:r w:rsidRPr="00196BA1">
        <w:tab/>
        <w:t>Diamox (Acetazolamide). Australian Approved Product Information.  St Leonards: Aspen Pharma Pty Ltd. Approved 19 August 2000. Updated 3 March 2016. Available from: &lt;</w:t>
      </w:r>
      <w:r w:rsidRPr="00875951">
        <w:t>https://www.tga.gov.au/product-information-pi</w:t>
      </w:r>
      <w:r w:rsidRPr="00196BA1">
        <w:t>&gt;.</w:t>
      </w:r>
      <w:bookmarkEnd w:id="2"/>
    </w:p>
    <w:p w:rsidR="00196BA1" w:rsidRPr="00196BA1" w:rsidRDefault="00196BA1" w:rsidP="00196BA1">
      <w:pPr>
        <w:pStyle w:val="EndNoteBibliography"/>
        <w:spacing w:after="0"/>
      </w:pPr>
      <w:bookmarkStart w:id="3" w:name="_ENREF_2"/>
      <w:r w:rsidRPr="00196BA1">
        <w:t>2.</w:t>
      </w:r>
      <w:r w:rsidRPr="00196BA1">
        <w:tab/>
        <w:t>National Health and Medical Research Council. NHMRC Guidelines for the screening,prognosis, diagnosis, management and prevention of glaucoma 2010. Canberra, Australia: 2010.</w:t>
      </w:r>
      <w:bookmarkEnd w:id="3"/>
    </w:p>
    <w:p w:rsidR="00196BA1" w:rsidRPr="00196BA1" w:rsidRDefault="00196BA1" w:rsidP="00196BA1">
      <w:pPr>
        <w:pStyle w:val="EndNoteBibliography"/>
        <w:spacing w:after="0"/>
      </w:pPr>
      <w:bookmarkStart w:id="4" w:name="_ENREF_3"/>
      <w:r w:rsidRPr="00196BA1">
        <w:t>3.</w:t>
      </w:r>
      <w:r w:rsidRPr="00196BA1">
        <w:tab/>
        <w:t>Lumigan (bimatoprost). Australian Approved Product Information.  Gordon: Allergan Australia Pty Ltd. Approved 2 September 2002. Updated 3 March 2016. Available from: &lt;</w:t>
      </w:r>
      <w:r w:rsidRPr="00875951">
        <w:t>https://www.tga.gov.au/product-information-pi</w:t>
      </w:r>
      <w:r w:rsidRPr="00196BA1">
        <w:t>&gt;.</w:t>
      </w:r>
      <w:bookmarkEnd w:id="4"/>
    </w:p>
    <w:p w:rsidR="00196BA1" w:rsidRPr="00196BA1" w:rsidRDefault="00196BA1" w:rsidP="00196BA1">
      <w:pPr>
        <w:pStyle w:val="EndNoteBibliography"/>
        <w:spacing w:after="0"/>
      </w:pPr>
      <w:bookmarkStart w:id="5" w:name="_ENREF_4"/>
      <w:r w:rsidRPr="00196BA1">
        <w:t>4.</w:t>
      </w:r>
      <w:r w:rsidRPr="00196BA1">
        <w:tab/>
        <w:t>Betoptic (betaxolol). Australian Approved Product Information.  Frenchs Forest: Alcon Laboratories (Australia) Pty Ltd. Approved 30 March 1995. Updated 3 March 2016. Available from: &lt;</w:t>
      </w:r>
      <w:r w:rsidRPr="00875951">
        <w:t>https://www.tga.gov.au/product-information-pi</w:t>
      </w:r>
      <w:r w:rsidRPr="00196BA1">
        <w:t>&gt;.</w:t>
      </w:r>
      <w:bookmarkEnd w:id="5"/>
    </w:p>
    <w:p w:rsidR="00196BA1" w:rsidRPr="00196BA1" w:rsidRDefault="00196BA1" w:rsidP="00196BA1">
      <w:pPr>
        <w:pStyle w:val="EndNoteBibliography"/>
        <w:spacing w:after="0"/>
      </w:pPr>
      <w:bookmarkStart w:id="6" w:name="_ENREF_5"/>
      <w:r w:rsidRPr="00196BA1">
        <w:t>5.</w:t>
      </w:r>
      <w:r w:rsidRPr="00196BA1">
        <w:tab/>
        <w:t>Alphagan (brimonidine). Australian Approved Product Information.  Gordon: Allergan Australia Pty Ltd. Approved 4 November 1997. Updated 3 March 2016. Available from: &lt;</w:t>
      </w:r>
      <w:r w:rsidRPr="00875951">
        <w:t>https://www.tga.gov.au/product-information-pi</w:t>
      </w:r>
      <w:r w:rsidRPr="00196BA1">
        <w:t>&gt;.</w:t>
      </w:r>
      <w:bookmarkEnd w:id="6"/>
    </w:p>
    <w:p w:rsidR="00196BA1" w:rsidRPr="00196BA1" w:rsidRDefault="00196BA1" w:rsidP="00196BA1">
      <w:pPr>
        <w:pStyle w:val="EndNoteBibliography"/>
        <w:spacing w:after="0"/>
      </w:pPr>
      <w:bookmarkStart w:id="7" w:name="_ENREF_6"/>
      <w:r w:rsidRPr="00196BA1">
        <w:t>6.</w:t>
      </w:r>
      <w:r w:rsidRPr="00196BA1">
        <w:tab/>
        <w:t>Azopt (brinzolamide). Australian Approved Product Information.  Frenchs Forest: Alcon Laboratories (Australia) Pty Ltd. Approved 23 March 2007. Updated 3 March 2016. Available from: &lt;</w:t>
      </w:r>
      <w:r w:rsidRPr="00875951">
        <w:t>https://www.tga.gov.au/product-information-pi</w:t>
      </w:r>
      <w:r w:rsidRPr="00196BA1">
        <w:t>&gt;.</w:t>
      </w:r>
      <w:bookmarkEnd w:id="7"/>
    </w:p>
    <w:p w:rsidR="00196BA1" w:rsidRPr="00196BA1" w:rsidRDefault="00196BA1" w:rsidP="00196BA1">
      <w:pPr>
        <w:pStyle w:val="EndNoteBibliography"/>
        <w:spacing w:after="0"/>
      </w:pPr>
      <w:bookmarkStart w:id="8" w:name="_ENREF_7"/>
      <w:r w:rsidRPr="00196BA1">
        <w:t>7.</w:t>
      </w:r>
      <w:r w:rsidRPr="00196BA1">
        <w:tab/>
        <w:t>Trusopt (dorzolamide). Australian Approved Product Information.  Macquarie Park: Merck Sharp &amp; Dohme (Australia) Pty Limited. Approved 28 November 1995. Updated 3 March 2016. Available from: &lt;</w:t>
      </w:r>
      <w:r w:rsidRPr="00875951">
        <w:t>https://www.tga.gov.au/product-information-pi</w:t>
      </w:r>
      <w:r w:rsidRPr="00196BA1">
        <w:t>&gt;.</w:t>
      </w:r>
      <w:bookmarkEnd w:id="8"/>
    </w:p>
    <w:p w:rsidR="00196BA1" w:rsidRPr="00196BA1" w:rsidRDefault="00196BA1" w:rsidP="00196BA1">
      <w:pPr>
        <w:pStyle w:val="EndNoteBibliography"/>
        <w:spacing w:after="0"/>
      </w:pPr>
      <w:bookmarkStart w:id="9" w:name="_ENREF_8"/>
      <w:r w:rsidRPr="00196BA1">
        <w:t>8.</w:t>
      </w:r>
      <w:r w:rsidRPr="00196BA1">
        <w:tab/>
        <w:t>Xalatan (latanoprost). Australian Approved Product Information.  West Ryde: Pfizer Australia Pty Ltd. Approved 23 July 1997. Updated 3 March 2016. Available from: &lt;</w:t>
      </w:r>
      <w:r w:rsidRPr="00875951">
        <w:t>https://www.tga.gov.au/product-information-pi</w:t>
      </w:r>
      <w:r w:rsidRPr="00196BA1">
        <w:t>&gt;.</w:t>
      </w:r>
      <w:bookmarkEnd w:id="9"/>
    </w:p>
    <w:p w:rsidR="00196BA1" w:rsidRPr="00196BA1" w:rsidRDefault="00196BA1" w:rsidP="00196BA1">
      <w:pPr>
        <w:pStyle w:val="EndNoteBibliography"/>
        <w:spacing w:after="0"/>
      </w:pPr>
      <w:bookmarkStart w:id="10" w:name="_ENREF_9"/>
      <w:r w:rsidRPr="00196BA1">
        <w:t>9.</w:t>
      </w:r>
      <w:r w:rsidRPr="00196BA1">
        <w:tab/>
        <w:t>Saflutan (tafluprost). Australian Approved Product Information.  Macquarie Park: Merck Sharp &amp; Dohme (Australia) Pty Limited. Approved 14 February 2012. Updated 3 March 2016. Available from: &lt;</w:t>
      </w:r>
      <w:r w:rsidRPr="00875951">
        <w:t>https://www.tga.gov.au/product-information-pi</w:t>
      </w:r>
      <w:r w:rsidRPr="00196BA1">
        <w:t>&gt;.</w:t>
      </w:r>
      <w:bookmarkEnd w:id="10"/>
    </w:p>
    <w:p w:rsidR="00196BA1" w:rsidRPr="00196BA1" w:rsidRDefault="00196BA1" w:rsidP="00196BA1">
      <w:pPr>
        <w:pStyle w:val="EndNoteBibliography"/>
        <w:spacing w:after="0"/>
      </w:pPr>
      <w:bookmarkStart w:id="11" w:name="_ENREF_10"/>
      <w:r w:rsidRPr="00196BA1">
        <w:t>10.</w:t>
      </w:r>
      <w:r w:rsidRPr="00196BA1">
        <w:tab/>
        <w:t>Timoptol (Timolol). Australian Approved Product Information.  Macquarie Park: Merck Sharp and Dohme (Australia) Pty Limited. Approved 31 October 1985. Updated 3 March 2016. Available from: &lt;</w:t>
      </w:r>
      <w:r w:rsidRPr="00875951">
        <w:t>https://www.tga.gov.au/product-information-pi</w:t>
      </w:r>
      <w:r w:rsidRPr="00196BA1">
        <w:t>&gt;.</w:t>
      </w:r>
      <w:bookmarkEnd w:id="11"/>
    </w:p>
    <w:p w:rsidR="00196BA1" w:rsidRPr="00196BA1" w:rsidRDefault="00196BA1" w:rsidP="00196BA1">
      <w:pPr>
        <w:pStyle w:val="EndNoteBibliography"/>
        <w:spacing w:after="0"/>
      </w:pPr>
      <w:bookmarkStart w:id="12" w:name="_ENREF_11"/>
      <w:r w:rsidRPr="00196BA1">
        <w:t>11.</w:t>
      </w:r>
      <w:r w:rsidRPr="00196BA1">
        <w:tab/>
        <w:t>Travatan (travoprost). Australian Approved Product Information.  Frenchs Forest: Alcon Laboratories (Australia) Pty Ltd. Approved 19 July 2011. Updated 3 March 2016. Available from: &lt;</w:t>
      </w:r>
      <w:r w:rsidRPr="00875951">
        <w:t>https://www.tga.gov.au/product-information-pi</w:t>
      </w:r>
      <w:r w:rsidRPr="00196BA1">
        <w:t>&gt;.</w:t>
      </w:r>
      <w:bookmarkEnd w:id="12"/>
    </w:p>
    <w:p w:rsidR="00196BA1" w:rsidRPr="00196BA1" w:rsidRDefault="00196BA1" w:rsidP="00196BA1">
      <w:pPr>
        <w:pStyle w:val="EndNoteBibliography"/>
        <w:spacing w:after="0"/>
      </w:pPr>
      <w:bookmarkStart w:id="13" w:name="_ENREF_12"/>
      <w:r w:rsidRPr="00196BA1">
        <w:t>12.</w:t>
      </w:r>
      <w:r w:rsidRPr="00196BA1">
        <w:tab/>
        <w:t>Iopidine (Apraclonidine). Australian Approved Product Information.  Frenchs Forest: Alcon Laboratories (Australia) Pty Ltd. Approved 29 June 1992. Updated 3 March 2016. Available from: &lt;</w:t>
      </w:r>
      <w:r w:rsidRPr="00875951">
        <w:t>https://www.tga.gov.au/product-information-pi</w:t>
      </w:r>
      <w:r w:rsidRPr="00196BA1">
        <w:t>&gt;.</w:t>
      </w:r>
      <w:bookmarkEnd w:id="13"/>
    </w:p>
    <w:p w:rsidR="00196BA1" w:rsidRPr="00196BA1" w:rsidRDefault="00196BA1" w:rsidP="00196BA1">
      <w:pPr>
        <w:pStyle w:val="EndNoteBibliography"/>
        <w:spacing w:after="0"/>
      </w:pPr>
      <w:bookmarkStart w:id="14" w:name="_ENREF_13"/>
      <w:r w:rsidRPr="00196BA1">
        <w:t>13.</w:t>
      </w:r>
      <w:r w:rsidRPr="00196BA1">
        <w:tab/>
        <w:t>Azarga (Brinzolamide and timolol). Australian Approved Product Information.  Frenchs Forest: Alcon Laboratories (Australia) Pty Ltd. Approved 23 December 2009. Updated 3 March 2016. Available from: &lt;</w:t>
      </w:r>
      <w:r w:rsidRPr="00875951">
        <w:t>https://www.tga.gov.au/product-information-pi</w:t>
      </w:r>
      <w:r w:rsidRPr="00196BA1">
        <w:t>&gt;.</w:t>
      </w:r>
      <w:bookmarkEnd w:id="14"/>
    </w:p>
    <w:p w:rsidR="00196BA1" w:rsidRPr="00196BA1" w:rsidRDefault="00196BA1" w:rsidP="00196BA1">
      <w:pPr>
        <w:pStyle w:val="EndNoteBibliography"/>
        <w:spacing w:after="0"/>
      </w:pPr>
      <w:bookmarkStart w:id="15" w:name="_ENREF_14"/>
      <w:r w:rsidRPr="00196BA1">
        <w:t>14.</w:t>
      </w:r>
      <w:r w:rsidRPr="00196BA1">
        <w:tab/>
        <w:t>Xalacom (Latanoprost and Timolol). Australian Approved Product Information.  West Ryde: Pfizer Australia Pty Ltd. Approved 02 January 2002. Updated 3 March 2016. Available from: &lt;</w:t>
      </w:r>
      <w:r w:rsidRPr="00875951">
        <w:t>https://www.tga.gov.au/product-information-pi</w:t>
      </w:r>
      <w:r w:rsidRPr="00196BA1">
        <w:t>&gt;.</w:t>
      </w:r>
      <w:bookmarkEnd w:id="15"/>
    </w:p>
    <w:p w:rsidR="00196BA1" w:rsidRPr="00196BA1" w:rsidRDefault="00196BA1" w:rsidP="00196BA1">
      <w:pPr>
        <w:pStyle w:val="EndNoteBibliography"/>
        <w:spacing w:after="0"/>
      </w:pPr>
      <w:bookmarkStart w:id="16" w:name="_ENREF_15"/>
      <w:r w:rsidRPr="00196BA1">
        <w:lastRenderedPageBreak/>
        <w:t>15.</w:t>
      </w:r>
      <w:r w:rsidRPr="00196BA1">
        <w:tab/>
        <w:t>DuoTrav (Travoprost and timolol). Australian Approved Product Information.  Frenchs Forest: Alcon Laboratories (Australia) Pty Ltd. Approved 15 March 2012. Updated 3 March 2016. Available from: &lt;</w:t>
      </w:r>
      <w:r w:rsidRPr="00875951">
        <w:t>https://www.tga.gov.au/product-information-pi</w:t>
      </w:r>
      <w:r w:rsidRPr="00196BA1">
        <w:t>&gt;.</w:t>
      </w:r>
      <w:bookmarkEnd w:id="16"/>
    </w:p>
    <w:p w:rsidR="00196BA1" w:rsidRPr="00196BA1" w:rsidRDefault="00196BA1" w:rsidP="00196BA1">
      <w:pPr>
        <w:pStyle w:val="EndNoteBibliography"/>
        <w:spacing w:after="0"/>
      </w:pPr>
      <w:bookmarkStart w:id="17" w:name="_ENREF_16"/>
      <w:r w:rsidRPr="00196BA1">
        <w:t>16.</w:t>
      </w:r>
      <w:r w:rsidRPr="00196BA1">
        <w:tab/>
        <w:t>Simbrinza (Brinzolamide with brimonidine). Australian Approved Product Information.  Frenchs Forest: Alcon Laboratories (Australia) Pty Ltd. Approved 20 November 2014. Updated 3 March 2016. Available from: &lt;</w:t>
      </w:r>
      <w:r w:rsidRPr="00875951">
        <w:t>https://www.tga.gov.au/product-information-pi</w:t>
      </w:r>
      <w:r w:rsidRPr="00196BA1">
        <w:t>&gt;.</w:t>
      </w:r>
      <w:bookmarkEnd w:id="17"/>
    </w:p>
    <w:p w:rsidR="00196BA1" w:rsidRPr="00196BA1" w:rsidRDefault="00196BA1" w:rsidP="00196BA1">
      <w:pPr>
        <w:pStyle w:val="EndNoteBibliography"/>
        <w:spacing w:after="0"/>
      </w:pPr>
      <w:bookmarkStart w:id="18" w:name="_ENREF_17"/>
      <w:r w:rsidRPr="00196BA1">
        <w:t>17.</w:t>
      </w:r>
      <w:r w:rsidRPr="00196BA1">
        <w:tab/>
        <w:t>Ganfort (Bimatoprost and timolol). Australian Approved Product Information.  Gordon: Allergan Australia Pty Ltd. Approved 15 May 2009. Updated 3 March 2016. Available from: &lt;</w:t>
      </w:r>
      <w:r w:rsidRPr="00875951">
        <w:t>https://www.tga.gov.au/product-information-pi</w:t>
      </w:r>
      <w:r w:rsidRPr="00196BA1">
        <w:t>&gt;.</w:t>
      </w:r>
      <w:bookmarkEnd w:id="18"/>
    </w:p>
    <w:p w:rsidR="00196BA1" w:rsidRPr="00196BA1" w:rsidRDefault="00196BA1" w:rsidP="00196BA1">
      <w:pPr>
        <w:pStyle w:val="EndNoteBibliography"/>
        <w:spacing w:after="0"/>
      </w:pPr>
      <w:bookmarkStart w:id="19" w:name="_ENREF_18"/>
      <w:r w:rsidRPr="00196BA1">
        <w:t>18.</w:t>
      </w:r>
      <w:r w:rsidRPr="00196BA1">
        <w:tab/>
        <w:t>Combigan (Brimonidine and timolol). Australian Approved Product Information.  Gordon: Allergan Australia Pty Ltd. Approved 17 December 2004. Updated 3 March 2016. Available from: &lt;</w:t>
      </w:r>
      <w:r w:rsidRPr="00875951">
        <w:t>https://www.tga.gov.au/product-information-pi</w:t>
      </w:r>
      <w:r w:rsidRPr="00196BA1">
        <w:t>&gt;.</w:t>
      </w:r>
      <w:bookmarkEnd w:id="19"/>
    </w:p>
    <w:p w:rsidR="00196BA1" w:rsidRPr="00196BA1" w:rsidRDefault="00196BA1" w:rsidP="00196BA1">
      <w:pPr>
        <w:pStyle w:val="EndNoteBibliography"/>
        <w:spacing w:after="0"/>
      </w:pPr>
      <w:bookmarkStart w:id="20" w:name="_ENREF_19"/>
      <w:r w:rsidRPr="00196BA1">
        <w:t>19.</w:t>
      </w:r>
      <w:r w:rsidRPr="00196BA1">
        <w:tab/>
        <w:t>Weinreb RN, Aung T, Medeiros FA. The pathophysiology and treatment of glaucoma: A review. JAMA. 2014;311:1901-11.</w:t>
      </w:r>
      <w:bookmarkEnd w:id="20"/>
    </w:p>
    <w:p w:rsidR="00196BA1" w:rsidRPr="00196BA1" w:rsidRDefault="00196BA1" w:rsidP="00196BA1">
      <w:pPr>
        <w:pStyle w:val="EndNoteBibliography"/>
        <w:spacing w:after="0"/>
      </w:pPr>
      <w:bookmarkStart w:id="21" w:name="_ENREF_20"/>
      <w:r w:rsidRPr="00196BA1">
        <w:t>20.</w:t>
      </w:r>
      <w:r w:rsidRPr="00196BA1">
        <w:tab/>
        <w:t>Glaucoma Australia. Glaucoma Facts 2014 [cited 2016 18 April]. Available from: &lt;</w:t>
      </w:r>
      <w:r w:rsidRPr="00875951">
        <w:t>http://www.glaucoma.org.au/what.htm</w:t>
      </w:r>
      <w:r w:rsidRPr="00196BA1">
        <w:t>&gt;.</w:t>
      </w:r>
      <w:bookmarkEnd w:id="21"/>
    </w:p>
    <w:p w:rsidR="00196BA1" w:rsidRPr="00196BA1" w:rsidRDefault="00196BA1" w:rsidP="00196BA1">
      <w:pPr>
        <w:pStyle w:val="EndNoteBibliography"/>
        <w:spacing w:after="0"/>
      </w:pPr>
      <w:bookmarkStart w:id="22" w:name="_ENREF_21"/>
      <w:r w:rsidRPr="00196BA1">
        <w:t>21.</w:t>
      </w:r>
      <w:r w:rsidRPr="00196BA1">
        <w:tab/>
        <w:t>Boyd K. What is Ocular Hypertension American Academy of Opthalmology,2015 [cited 2016 18 April]. Available from: &lt;</w:t>
      </w:r>
      <w:r w:rsidRPr="00875951">
        <w:t>http://www.aao.org/eye-health/diseases/what-is-ocular-hypertension</w:t>
      </w:r>
      <w:r w:rsidRPr="00196BA1">
        <w:t>&gt;.</w:t>
      </w:r>
      <w:bookmarkEnd w:id="22"/>
    </w:p>
    <w:p w:rsidR="00196BA1" w:rsidRPr="00196BA1" w:rsidRDefault="00196BA1" w:rsidP="00196BA1">
      <w:pPr>
        <w:pStyle w:val="EndNoteBibliography"/>
        <w:spacing w:after="0"/>
      </w:pPr>
      <w:bookmarkStart w:id="23" w:name="_ENREF_22"/>
      <w:r w:rsidRPr="00196BA1">
        <w:t>22.</w:t>
      </w:r>
      <w:r w:rsidRPr="00196BA1">
        <w:tab/>
        <w:t>Burr J, Mowatt G, Hernandez R, Siddiqui M, Cook J. The clinical effectiveness and cost-effectiveness of screening for open angle glaucoma: a systematic review and economic evaluation. Health Technology Assessment. 2007;11:190.</w:t>
      </w:r>
      <w:bookmarkEnd w:id="23"/>
    </w:p>
    <w:p w:rsidR="00196BA1" w:rsidRPr="00196BA1" w:rsidRDefault="00196BA1" w:rsidP="00196BA1">
      <w:pPr>
        <w:pStyle w:val="EndNoteBibliography"/>
        <w:spacing w:after="0"/>
      </w:pPr>
      <w:bookmarkStart w:id="24" w:name="_ENREF_23"/>
      <w:r w:rsidRPr="00196BA1">
        <w:t>23.</w:t>
      </w:r>
      <w:r w:rsidRPr="00196BA1">
        <w:tab/>
        <w:t>Kass MA, Heuer DK, Higginbotham EJ, Johnson CA, Keltner JL, Miller JP, et al. The Ocular Hypertension Treatment Study: a randomized trial determines that topical ocular hypotensive medication delays or prevents the onset of primary open-angle glaucoma. Arch Ophthalmol. 2002;120:701-13; discussion 829-30.</w:t>
      </w:r>
      <w:bookmarkEnd w:id="24"/>
    </w:p>
    <w:p w:rsidR="00196BA1" w:rsidRPr="00196BA1" w:rsidRDefault="00196BA1" w:rsidP="00196BA1">
      <w:pPr>
        <w:pStyle w:val="EndNoteBibliography"/>
        <w:spacing w:after="0"/>
      </w:pPr>
      <w:bookmarkStart w:id="25" w:name="_ENREF_24"/>
      <w:r w:rsidRPr="00196BA1">
        <w:t>24.</w:t>
      </w:r>
      <w:r w:rsidRPr="00196BA1">
        <w:tab/>
        <w:t>Mitchell P, Smith W, Attebo K, Healey PR. Prevalence of Open-angle Glaucoma in Australia: The Blue Mountains Eye Study. Ophthalmology. 1996;103:1661-9.</w:t>
      </w:r>
      <w:bookmarkEnd w:id="25"/>
    </w:p>
    <w:p w:rsidR="00196BA1" w:rsidRPr="00196BA1" w:rsidRDefault="00196BA1" w:rsidP="00196BA1">
      <w:pPr>
        <w:pStyle w:val="EndNoteBibliography"/>
        <w:spacing w:after="0"/>
      </w:pPr>
      <w:bookmarkStart w:id="26" w:name="_ENREF_25"/>
      <w:r w:rsidRPr="00196BA1">
        <w:t>25.</w:t>
      </w:r>
      <w:r w:rsidRPr="00196BA1">
        <w:tab/>
        <w:t>Wensor MD, McCarty CA, Stanislavsky YL, Livingston PM, Taylor HR. The prevalence of glaucoma in the Melbourne visual impairment project. Ophthalmology. 1998;105:733-9.</w:t>
      </w:r>
      <w:bookmarkEnd w:id="26"/>
    </w:p>
    <w:p w:rsidR="00196BA1" w:rsidRPr="00196BA1" w:rsidRDefault="00196BA1" w:rsidP="00196BA1">
      <w:pPr>
        <w:pStyle w:val="EndNoteBibliography"/>
        <w:spacing w:after="0"/>
      </w:pPr>
      <w:bookmarkStart w:id="27" w:name="_ENREF_26"/>
      <w:r w:rsidRPr="00196BA1">
        <w:t>26.</w:t>
      </w:r>
      <w:r w:rsidRPr="00196BA1">
        <w:tab/>
        <w:t>WHO Collaborating Centre for Drug Statistics Methodology. Guidelines for ATC classification and DDD assignment 2016. Oslo, Norway: 2015.</w:t>
      </w:r>
      <w:bookmarkEnd w:id="27"/>
    </w:p>
    <w:p w:rsidR="00196BA1" w:rsidRDefault="00196BA1" w:rsidP="0092579A">
      <w:pPr>
        <w:pStyle w:val="EndNoteBibliography"/>
        <w:spacing w:after="0"/>
      </w:pPr>
      <w:bookmarkStart w:id="28" w:name="_ENREF_27"/>
      <w:r w:rsidRPr="00196BA1">
        <w:t>27.</w:t>
      </w:r>
      <w:r w:rsidRPr="00196BA1">
        <w:tab/>
        <w:t>Pharmaceutical Benefits Advisory Committee. Post Market Review of PBS Medicines used to treat asthma in children. Canberra, Australia: Department of Health; 2014.</w:t>
      </w:r>
      <w:bookmarkEnd w:id="28"/>
    </w:p>
    <w:p w:rsidR="0092579A" w:rsidRPr="00196BA1" w:rsidRDefault="0092579A" w:rsidP="0092579A">
      <w:pPr>
        <w:pStyle w:val="EndNoteBibliography"/>
        <w:spacing w:after="0"/>
      </w:pPr>
      <w:r>
        <w:t xml:space="preserve">28.        </w:t>
      </w:r>
      <w:r w:rsidRPr="0092579A">
        <w:t xml:space="preserve">Healey P, Goldberg I, Subramaniam K, Kemp A. Persistence and adherence to glaucoma therapy in Australia [abstract]. Proceedings of the World Glaucoma Congress; 2011 June 29 – July 2; Paris, France.  Reference P504, </w:t>
      </w:r>
      <w:hyperlink r:id="rId33" w:history="1">
        <w:r w:rsidRPr="0092579A">
          <w:rPr>
            <w:rStyle w:val="Hyperlink"/>
          </w:rPr>
          <w:t>http://www.oic.it/wgc2011/abstract-online.php</w:t>
        </w:r>
      </w:hyperlink>
    </w:p>
    <w:p w:rsidR="00614A7D" w:rsidRPr="00614A7D" w:rsidRDefault="00A547B3" w:rsidP="00062B67">
      <w:pPr>
        <w:rPr>
          <w:b/>
        </w:rPr>
      </w:pPr>
      <w:r>
        <w:rPr>
          <w:b/>
        </w:rPr>
        <w:t xml:space="preserve"> </w:t>
      </w:r>
    </w:p>
    <w:p w:rsidR="00336816" w:rsidRPr="0033504C" w:rsidRDefault="00336816" w:rsidP="00062B67">
      <w:pPr>
        <w:spacing w:line="276" w:lineRule="auto"/>
      </w:pPr>
    </w:p>
    <w:sectPr w:rsidR="00336816" w:rsidRPr="0033504C" w:rsidSect="00DD188C">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ECD" w:rsidRDefault="00E71ECD" w:rsidP="00A35800">
      <w:r>
        <w:separator/>
      </w:r>
    </w:p>
  </w:endnote>
  <w:endnote w:type="continuationSeparator" w:id="0">
    <w:p w:rsidR="00E71ECD" w:rsidRDefault="00E71ECD"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alibri Bold+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D" w:rsidRDefault="00E71EC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E71ECD" w:rsidRDefault="00E71ECD"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rsidR="00E71ECD" w:rsidRPr="000E72C6" w:rsidRDefault="00E71ECD" w:rsidP="000E72C6">
            <w:pPr>
              <w:pStyle w:val="Footer"/>
              <w:jc w:val="center"/>
              <w:rPr>
                <w:i/>
                <w:sz w:val="20"/>
              </w:rPr>
            </w:pPr>
            <w:r>
              <w:rPr>
                <w:i/>
                <w:sz w:val="20"/>
              </w:rPr>
              <w:t>Public Release Document, June 2016 DUSC Meeting</w:t>
            </w:r>
          </w:p>
          <w:p w:rsidR="00E71ECD" w:rsidRDefault="00E71ECD"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9648AE">
              <w:rPr>
                <w:bCs/>
                <w:i/>
                <w:noProof/>
                <w:sz w:val="20"/>
              </w:rPr>
              <w:t>10</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9648AE">
              <w:rPr>
                <w:bCs/>
                <w:i/>
                <w:noProof/>
                <w:sz w:val="20"/>
              </w:rPr>
              <w:t>29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ECD" w:rsidRDefault="00E71ECD" w:rsidP="007A5733">
    <w:pPr>
      <w:pStyle w:val="Footer"/>
      <w:jc w:val="center"/>
      <w:rPr>
        <w:rStyle w:val="PageNumber"/>
      </w:rPr>
    </w:pPr>
    <w:r>
      <w:rPr>
        <w:rStyle w:val="PageNumber"/>
      </w:rPr>
      <w:t>Committee-in-Confidence</w:t>
    </w:r>
  </w:p>
  <w:p w:rsidR="00E71ECD" w:rsidRDefault="00E71ECD" w:rsidP="007A573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ECD" w:rsidRDefault="00E71ECD" w:rsidP="00A35800">
      <w:r>
        <w:separator/>
      </w:r>
    </w:p>
  </w:footnote>
  <w:footnote w:type="continuationSeparator" w:id="0">
    <w:p w:rsidR="00E71ECD" w:rsidRDefault="00E71ECD" w:rsidP="00A35800">
      <w:r>
        <w:continuationSeparator/>
      </w:r>
    </w:p>
  </w:footnote>
  <w:footnote w:id="1">
    <w:p w:rsidR="00E71ECD" w:rsidRPr="00BC5AE2" w:rsidRDefault="00E71ECD" w:rsidP="00576B18">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76" w:rsidRDefault="00CA60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76" w:rsidRDefault="00CA60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76" w:rsidRDefault="00CA60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B4F5736"/>
    <w:multiLevelType w:val="hybridMultilevel"/>
    <w:tmpl w:val="FB9C4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AB2D1D"/>
    <w:multiLevelType w:val="hybridMultilevel"/>
    <w:tmpl w:val="DD54924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 super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wx0rz0vza2swee59zu55rryer9paasx2w05&quot;&gt;Glaucoma library&lt;record-ids&gt;&lt;item&gt;1&lt;/item&gt;&lt;item&gt;2&lt;/item&gt;&lt;item&gt;3&lt;/item&gt;&lt;item&gt;4&lt;/item&gt;&lt;item&gt;5&lt;/item&gt;&lt;item&gt;6&lt;/item&gt;&lt;item&gt;7&lt;/item&gt;&lt;item&gt;8&lt;/item&gt;&lt;item&gt;9&lt;/item&gt;&lt;item&gt;10&lt;/item&gt;&lt;item&gt;14&lt;/item&gt;&lt;item&gt;15&lt;/item&gt;&lt;item&gt;16&lt;/item&gt;&lt;item&gt;17&lt;/item&gt;&lt;item&gt;18&lt;/item&gt;&lt;item&gt;19&lt;/item&gt;&lt;item&gt;20&lt;/item&gt;&lt;item&gt;22&lt;/item&gt;&lt;item&gt;23&lt;/item&gt;&lt;item&gt;24&lt;/item&gt;&lt;item&gt;25&lt;/item&gt;&lt;item&gt;26&lt;/item&gt;&lt;item&gt;27&lt;/item&gt;&lt;item&gt;28&lt;/item&gt;&lt;item&gt;29&lt;/item&gt;&lt;item&gt;31&lt;/item&gt;&lt;item&gt;34&lt;/item&gt;&lt;/record-ids&gt;&lt;/item&gt;&lt;/Libraries&gt;"/>
  </w:docVars>
  <w:rsids>
    <w:rsidRoot w:val="00736041"/>
    <w:rsid w:val="00002242"/>
    <w:rsid w:val="00007E85"/>
    <w:rsid w:val="0001054C"/>
    <w:rsid w:val="0001143C"/>
    <w:rsid w:val="00013465"/>
    <w:rsid w:val="000226B3"/>
    <w:rsid w:val="00024549"/>
    <w:rsid w:val="00027281"/>
    <w:rsid w:val="000311F7"/>
    <w:rsid w:val="000335FA"/>
    <w:rsid w:val="00033E8B"/>
    <w:rsid w:val="000355DA"/>
    <w:rsid w:val="00044AE3"/>
    <w:rsid w:val="00051888"/>
    <w:rsid w:val="000542B8"/>
    <w:rsid w:val="000544B6"/>
    <w:rsid w:val="00054FE1"/>
    <w:rsid w:val="00055F31"/>
    <w:rsid w:val="000604AF"/>
    <w:rsid w:val="00061F6F"/>
    <w:rsid w:val="00062B67"/>
    <w:rsid w:val="0006570B"/>
    <w:rsid w:val="00077E12"/>
    <w:rsid w:val="00081DD7"/>
    <w:rsid w:val="00081EB8"/>
    <w:rsid w:val="00083261"/>
    <w:rsid w:val="00086C11"/>
    <w:rsid w:val="000908A2"/>
    <w:rsid w:val="0009130B"/>
    <w:rsid w:val="00094DCF"/>
    <w:rsid w:val="000A034A"/>
    <w:rsid w:val="000A06ED"/>
    <w:rsid w:val="000A381C"/>
    <w:rsid w:val="000A6CFD"/>
    <w:rsid w:val="000B0982"/>
    <w:rsid w:val="000B13AC"/>
    <w:rsid w:val="000B796C"/>
    <w:rsid w:val="000C46BB"/>
    <w:rsid w:val="000C4D9D"/>
    <w:rsid w:val="000C4FD2"/>
    <w:rsid w:val="000C6A94"/>
    <w:rsid w:val="000C7C4B"/>
    <w:rsid w:val="000C7D8B"/>
    <w:rsid w:val="000D0527"/>
    <w:rsid w:val="000D5CA0"/>
    <w:rsid w:val="000E485D"/>
    <w:rsid w:val="000E72C6"/>
    <w:rsid w:val="000F1893"/>
    <w:rsid w:val="000F1D0A"/>
    <w:rsid w:val="000F2F51"/>
    <w:rsid w:val="000F4061"/>
    <w:rsid w:val="000F6348"/>
    <w:rsid w:val="000F6F4F"/>
    <w:rsid w:val="00100A12"/>
    <w:rsid w:val="00104529"/>
    <w:rsid w:val="00105F50"/>
    <w:rsid w:val="001073BE"/>
    <w:rsid w:val="00110812"/>
    <w:rsid w:val="00113CF8"/>
    <w:rsid w:val="00113D74"/>
    <w:rsid w:val="00117C5C"/>
    <w:rsid w:val="00117D9D"/>
    <w:rsid w:val="00124919"/>
    <w:rsid w:val="001310AE"/>
    <w:rsid w:val="00135430"/>
    <w:rsid w:val="001420B3"/>
    <w:rsid w:val="00145EEA"/>
    <w:rsid w:val="00146E04"/>
    <w:rsid w:val="0015030D"/>
    <w:rsid w:val="001508B8"/>
    <w:rsid w:val="00154636"/>
    <w:rsid w:val="001558C0"/>
    <w:rsid w:val="0015691C"/>
    <w:rsid w:val="001621F7"/>
    <w:rsid w:val="001624D7"/>
    <w:rsid w:val="001760A5"/>
    <w:rsid w:val="00176B90"/>
    <w:rsid w:val="00177B86"/>
    <w:rsid w:val="00182585"/>
    <w:rsid w:val="0018484E"/>
    <w:rsid w:val="00191182"/>
    <w:rsid w:val="0019664D"/>
    <w:rsid w:val="00196BA1"/>
    <w:rsid w:val="00196EAE"/>
    <w:rsid w:val="001A05FE"/>
    <w:rsid w:val="001A365A"/>
    <w:rsid w:val="001A5A81"/>
    <w:rsid w:val="001A6103"/>
    <w:rsid w:val="001B37B5"/>
    <w:rsid w:val="001B510A"/>
    <w:rsid w:val="001B5D37"/>
    <w:rsid w:val="001B6CBB"/>
    <w:rsid w:val="001C1A33"/>
    <w:rsid w:val="001C2940"/>
    <w:rsid w:val="001C4016"/>
    <w:rsid w:val="001C44B6"/>
    <w:rsid w:val="001C4776"/>
    <w:rsid w:val="001C548D"/>
    <w:rsid w:val="001C646B"/>
    <w:rsid w:val="001C6A5D"/>
    <w:rsid w:val="001D75D7"/>
    <w:rsid w:val="001E31A6"/>
    <w:rsid w:val="001E42C7"/>
    <w:rsid w:val="001E4CAB"/>
    <w:rsid w:val="001F0702"/>
    <w:rsid w:val="001F1076"/>
    <w:rsid w:val="001F1D03"/>
    <w:rsid w:val="001F2C03"/>
    <w:rsid w:val="001F2F3E"/>
    <w:rsid w:val="001F4906"/>
    <w:rsid w:val="001F51FC"/>
    <w:rsid w:val="001F7C4A"/>
    <w:rsid w:val="001F7CD4"/>
    <w:rsid w:val="002032B5"/>
    <w:rsid w:val="0020578A"/>
    <w:rsid w:val="0020646E"/>
    <w:rsid w:val="00206568"/>
    <w:rsid w:val="00207631"/>
    <w:rsid w:val="00211D0E"/>
    <w:rsid w:val="00213165"/>
    <w:rsid w:val="00214013"/>
    <w:rsid w:val="00216A05"/>
    <w:rsid w:val="00220FC1"/>
    <w:rsid w:val="00222E9A"/>
    <w:rsid w:val="002252D4"/>
    <w:rsid w:val="0023066E"/>
    <w:rsid w:val="00231282"/>
    <w:rsid w:val="0023179D"/>
    <w:rsid w:val="00236C9C"/>
    <w:rsid w:val="002439F4"/>
    <w:rsid w:val="00245193"/>
    <w:rsid w:val="00246ABD"/>
    <w:rsid w:val="00251957"/>
    <w:rsid w:val="00251BA5"/>
    <w:rsid w:val="00251E84"/>
    <w:rsid w:val="0025389D"/>
    <w:rsid w:val="00254E11"/>
    <w:rsid w:val="00254F9A"/>
    <w:rsid w:val="0026265F"/>
    <w:rsid w:val="00286C3A"/>
    <w:rsid w:val="002930F5"/>
    <w:rsid w:val="002A06B7"/>
    <w:rsid w:val="002A4F07"/>
    <w:rsid w:val="002A547B"/>
    <w:rsid w:val="002A61AB"/>
    <w:rsid w:val="002B4304"/>
    <w:rsid w:val="002B4736"/>
    <w:rsid w:val="002C30D8"/>
    <w:rsid w:val="002C451B"/>
    <w:rsid w:val="002C6E0C"/>
    <w:rsid w:val="002D144A"/>
    <w:rsid w:val="002D43D4"/>
    <w:rsid w:val="002D7BF2"/>
    <w:rsid w:val="002E0C60"/>
    <w:rsid w:val="002E19A3"/>
    <w:rsid w:val="002E212B"/>
    <w:rsid w:val="002E2744"/>
    <w:rsid w:val="002E3337"/>
    <w:rsid w:val="002E3A77"/>
    <w:rsid w:val="002E5550"/>
    <w:rsid w:val="002E6D03"/>
    <w:rsid w:val="002F49A8"/>
    <w:rsid w:val="002F5E66"/>
    <w:rsid w:val="002F61CA"/>
    <w:rsid w:val="0030010D"/>
    <w:rsid w:val="0030163E"/>
    <w:rsid w:val="00302467"/>
    <w:rsid w:val="00321055"/>
    <w:rsid w:val="00321356"/>
    <w:rsid w:val="00321BC2"/>
    <w:rsid w:val="00322E26"/>
    <w:rsid w:val="00324B55"/>
    <w:rsid w:val="003250D8"/>
    <w:rsid w:val="00325D2F"/>
    <w:rsid w:val="00330CF1"/>
    <w:rsid w:val="0033504C"/>
    <w:rsid w:val="0033543A"/>
    <w:rsid w:val="003366C8"/>
    <w:rsid w:val="00336816"/>
    <w:rsid w:val="00336DE8"/>
    <w:rsid w:val="00336F02"/>
    <w:rsid w:val="003370D0"/>
    <w:rsid w:val="00337355"/>
    <w:rsid w:val="003402E4"/>
    <w:rsid w:val="00340F95"/>
    <w:rsid w:val="0034698D"/>
    <w:rsid w:val="00351131"/>
    <w:rsid w:val="00352228"/>
    <w:rsid w:val="003523F7"/>
    <w:rsid w:val="003531ED"/>
    <w:rsid w:val="00355FE7"/>
    <w:rsid w:val="003567F1"/>
    <w:rsid w:val="00356A33"/>
    <w:rsid w:val="00360B9A"/>
    <w:rsid w:val="00363AF4"/>
    <w:rsid w:val="003656CE"/>
    <w:rsid w:val="003712DA"/>
    <w:rsid w:val="003714AC"/>
    <w:rsid w:val="00371E45"/>
    <w:rsid w:val="00372FAE"/>
    <w:rsid w:val="00374910"/>
    <w:rsid w:val="00375E76"/>
    <w:rsid w:val="00382644"/>
    <w:rsid w:val="0038739F"/>
    <w:rsid w:val="00387947"/>
    <w:rsid w:val="0039017F"/>
    <w:rsid w:val="00390618"/>
    <w:rsid w:val="00390A59"/>
    <w:rsid w:val="00391F42"/>
    <w:rsid w:val="00394438"/>
    <w:rsid w:val="00394AEE"/>
    <w:rsid w:val="003A0E3D"/>
    <w:rsid w:val="003A3558"/>
    <w:rsid w:val="003B015E"/>
    <w:rsid w:val="003B2D49"/>
    <w:rsid w:val="003B7F37"/>
    <w:rsid w:val="003C2D98"/>
    <w:rsid w:val="003D1A0C"/>
    <w:rsid w:val="003D3A96"/>
    <w:rsid w:val="003E1844"/>
    <w:rsid w:val="003E70CE"/>
    <w:rsid w:val="003E75F2"/>
    <w:rsid w:val="003F0D19"/>
    <w:rsid w:val="00404C22"/>
    <w:rsid w:val="00404F03"/>
    <w:rsid w:val="004079EA"/>
    <w:rsid w:val="00412051"/>
    <w:rsid w:val="00412908"/>
    <w:rsid w:val="004152EC"/>
    <w:rsid w:val="0041615F"/>
    <w:rsid w:val="00416AD2"/>
    <w:rsid w:val="00417E06"/>
    <w:rsid w:val="0042072A"/>
    <w:rsid w:val="00423B94"/>
    <w:rsid w:val="00425E39"/>
    <w:rsid w:val="00425F27"/>
    <w:rsid w:val="00426889"/>
    <w:rsid w:val="004273CA"/>
    <w:rsid w:val="00430AB3"/>
    <w:rsid w:val="004356DA"/>
    <w:rsid w:val="004378F9"/>
    <w:rsid w:val="00443DBA"/>
    <w:rsid w:val="00444EE1"/>
    <w:rsid w:val="00463731"/>
    <w:rsid w:val="0046400A"/>
    <w:rsid w:val="00464BF8"/>
    <w:rsid w:val="00466E06"/>
    <w:rsid w:val="0046728B"/>
    <w:rsid w:val="00467B25"/>
    <w:rsid w:val="0047245C"/>
    <w:rsid w:val="00473FBB"/>
    <w:rsid w:val="00481108"/>
    <w:rsid w:val="00482124"/>
    <w:rsid w:val="00482DAD"/>
    <w:rsid w:val="004866E0"/>
    <w:rsid w:val="00486932"/>
    <w:rsid w:val="00486C85"/>
    <w:rsid w:val="00487C44"/>
    <w:rsid w:val="0049042B"/>
    <w:rsid w:val="00491228"/>
    <w:rsid w:val="004927B0"/>
    <w:rsid w:val="004952EC"/>
    <w:rsid w:val="00495473"/>
    <w:rsid w:val="004A0E7D"/>
    <w:rsid w:val="004A458E"/>
    <w:rsid w:val="004A4608"/>
    <w:rsid w:val="004B0E35"/>
    <w:rsid w:val="004B23E7"/>
    <w:rsid w:val="004B306F"/>
    <w:rsid w:val="004C3186"/>
    <w:rsid w:val="004C3DCC"/>
    <w:rsid w:val="004C5042"/>
    <w:rsid w:val="004C7840"/>
    <w:rsid w:val="004D0EC5"/>
    <w:rsid w:val="004D395C"/>
    <w:rsid w:val="004E1F55"/>
    <w:rsid w:val="004E3301"/>
    <w:rsid w:val="004E4422"/>
    <w:rsid w:val="004F3433"/>
    <w:rsid w:val="004F4664"/>
    <w:rsid w:val="00503998"/>
    <w:rsid w:val="0050549C"/>
    <w:rsid w:val="0050623B"/>
    <w:rsid w:val="00507DF6"/>
    <w:rsid w:val="00517FA8"/>
    <w:rsid w:val="00520A75"/>
    <w:rsid w:val="00523181"/>
    <w:rsid w:val="00524D13"/>
    <w:rsid w:val="00525ECC"/>
    <w:rsid w:val="005339F6"/>
    <w:rsid w:val="00533ECF"/>
    <w:rsid w:val="005356D0"/>
    <w:rsid w:val="00541326"/>
    <w:rsid w:val="00543561"/>
    <w:rsid w:val="00545FC0"/>
    <w:rsid w:val="00546852"/>
    <w:rsid w:val="00554F2A"/>
    <w:rsid w:val="0056602B"/>
    <w:rsid w:val="005712F5"/>
    <w:rsid w:val="0057472C"/>
    <w:rsid w:val="00576B18"/>
    <w:rsid w:val="0057741B"/>
    <w:rsid w:val="00577A3C"/>
    <w:rsid w:val="0058178C"/>
    <w:rsid w:val="00583FB9"/>
    <w:rsid w:val="00584F48"/>
    <w:rsid w:val="00587724"/>
    <w:rsid w:val="0059083D"/>
    <w:rsid w:val="00591512"/>
    <w:rsid w:val="00593030"/>
    <w:rsid w:val="005B092A"/>
    <w:rsid w:val="005B48B4"/>
    <w:rsid w:val="005B7D9D"/>
    <w:rsid w:val="005C3DE0"/>
    <w:rsid w:val="005C6661"/>
    <w:rsid w:val="005C6E3B"/>
    <w:rsid w:val="005D474B"/>
    <w:rsid w:val="005D7F8F"/>
    <w:rsid w:val="005E085C"/>
    <w:rsid w:val="005E147D"/>
    <w:rsid w:val="005E22C2"/>
    <w:rsid w:val="005E4322"/>
    <w:rsid w:val="005E57BB"/>
    <w:rsid w:val="005F0017"/>
    <w:rsid w:val="005F117C"/>
    <w:rsid w:val="005F3197"/>
    <w:rsid w:val="005F6708"/>
    <w:rsid w:val="006014F1"/>
    <w:rsid w:val="00605300"/>
    <w:rsid w:val="00605634"/>
    <w:rsid w:val="00607F26"/>
    <w:rsid w:val="0061357B"/>
    <w:rsid w:val="00614A7D"/>
    <w:rsid w:val="006166DC"/>
    <w:rsid w:val="006302B1"/>
    <w:rsid w:val="0063339D"/>
    <w:rsid w:val="00633E62"/>
    <w:rsid w:val="00634612"/>
    <w:rsid w:val="00634867"/>
    <w:rsid w:val="00634AC1"/>
    <w:rsid w:val="00635121"/>
    <w:rsid w:val="0063631C"/>
    <w:rsid w:val="0063757B"/>
    <w:rsid w:val="006377CE"/>
    <w:rsid w:val="00637AF9"/>
    <w:rsid w:val="00641653"/>
    <w:rsid w:val="006418D1"/>
    <w:rsid w:val="00641F16"/>
    <w:rsid w:val="006448D2"/>
    <w:rsid w:val="006467D2"/>
    <w:rsid w:val="006506C2"/>
    <w:rsid w:val="006537D9"/>
    <w:rsid w:val="00654633"/>
    <w:rsid w:val="00654FBC"/>
    <w:rsid w:val="00664A48"/>
    <w:rsid w:val="00664F3B"/>
    <w:rsid w:val="00665DEF"/>
    <w:rsid w:val="00673699"/>
    <w:rsid w:val="00675784"/>
    <w:rsid w:val="00675BB1"/>
    <w:rsid w:val="00677248"/>
    <w:rsid w:val="006775F1"/>
    <w:rsid w:val="0068280D"/>
    <w:rsid w:val="006837B2"/>
    <w:rsid w:val="00685502"/>
    <w:rsid w:val="00692AA7"/>
    <w:rsid w:val="006938CD"/>
    <w:rsid w:val="006968E0"/>
    <w:rsid w:val="00697FEC"/>
    <w:rsid w:val="006A175F"/>
    <w:rsid w:val="006A44F5"/>
    <w:rsid w:val="006A698C"/>
    <w:rsid w:val="006B32D6"/>
    <w:rsid w:val="006B4537"/>
    <w:rsid w:val="006B5F85"/>
    <w:rsid w:val="006B6929"/>
    <w:rsid w:val="006B709B"/>
    <w:rsid w:val="006C03B1"/>
    <w:rsid w:val="006C54AF"/>
    <w:rsid w:val="006D108F"/>
    <w:rsid w:val="006E0181"/>
    <w:rsid w:val="006E0573"/>
    <w:rsid w:val="006E09DC"/>
    <w:rsid w:val="006F134E"/>
    <w:rsid w:val="006F5665"/>
    <w:rsid w:val="00700C0E"/>
    <w:rsid w:val="00705DAD"/>
    <w:rsid w:val="0071793E"/>
    <w:rsid w:val="00720467"/>
    <w:rsid w:val="007247B9"/>
    <w:rsid w:val="00724F8F"/>
    <w:rsid w:val="00727D85"/>
    <w:rsid w:val="00730247"/>
    <w:rsid w:val="007307C6"/>
    <w:rsid w:val="0073212A"/>
    <w:rsid w:val="007346C7"/>
    <w:rsid w:val="00734DD7"/>
    <w:rsid w:val="00734DEE"/>
    <w:rsid w:val="00736041"/>
    <w:rsid w:val="0073731F"/>
    <w:rsid w:val="007408C7"/>
    <w:rsid w:val="00744041"/>
    <w:rsid w:val="007446C0"/>
    <w:rsid w:val="00744FF3"/>
    <w:rsid w:val="00745CD3"/>
    <w:rsid w:val="007465DA"/>
    <w:rsid w:val="00752C7F"/>
    <w:rsid w:val="00753F52"/>
    <w:rsid w:val="0075557E"/>
    <w:rsid w:val="00757072"/>
    <w:rsid w:val="00764F1A"/>
    <w:rsid w:val="00770EEF"/>
    <w:rsid w:val="00776598"/>
    <w:rsid w:val="00786128"/>
    <w:rsid w:val="00786E2C"/>
    <w:rsid w:val="007871FE"/>
    <w:rsid w:val="00792948"/>
    <w:rsid w:val="00796BC7"/>
    <w:rsid w:val="00796E84"/>
    <w:rsid w:val="007A0324"/>
    <w:rsid w:val="007A3ADE"/>
    <w:rsid w:val="007A429C"/>
    <w:rsid w:val="007A5733"/>
    <w:rsid w:val="007A5774"/>
    <w:rsid w:val="007A6FA6"/>
    <w:rsid w:val="007E3CA5"/>
    <w:rsid w:val="007E7423"/>
    <w:rsid w:val="007F3530"/>
    <w:rsid w:val="007F35F7"/>
    <w:rsid w:val="007F7574"/>
    <w:rsid w:val="00800AA8"/>
    <w:rsid w:val="00801E74"/>
    <w:rsid w:val="0080485E"/>
    <w:rsid w:val="008142B4"/>
    <w:rsid w:val="00815AA1"/>
    <w:rsid w:val="00816954"/>
    <w:rsid w:val="0081788A"/>
    <w:rsid w:val="00817FB7"/>
    <w:rsid w:val="00822707"/>
    <w:rsid w:val="0082398E"/>
    <w:rsid w:val="00825D2A"/>
    <w:rsid w:val="008273B9"/>
    <w:rsid w:val="00830378"/>
    <w:rsid w:val="00832324"/>
    <w:rsid w:val="00834B4F"/>
    <w:rsid w:val="00835226"/>
    <w:rsid w:val="00835337"/>
    <w:rsid w:val="00846DCD"/>
    <w:rsid w:val="00847F3F"/>
    <w:rsid w:val="00850304"/>
    <w:rsid w:val="0085035E"/>
    <w:rsid w:val="00850A37"/>
    <w:rsid w:val="00851D85"/>
    <w:rsid w:val="00853F89"/>
    <w:rsid w:val="00855A54"/>
    <w:rsid w:val="00860C83"/>
    <w:rsid w:val="00860CCB"/>
    <w:rsid w:val="00861231"/>
    <w:rsid w:val="0086158A"/>
    <w:rsid w:val="00870CC5"/>
    <w:rsid w:val="00872B7A"/>
    <w:rsid w:val="008740A3"/>
    <w:rsid w:val="00874FF0"/>
    <w:rsid w:val="00875709"/>
    <w:rsid w:val="00875951"/>
    <w:rsid w:val="0089297B"/>
    <w:rsid w:val="00895227"/>
    <w:rsid w:val="008A30E9"/>
    <w:rsid w:val="008A3E70"/>
    <w:rsid w:val="008A68CD"/>
    <w:rsid w:val="008C36CA"/>
    <w:rsid w:val="008C61F5"/>
    <w:rsid w:val="008D1ED4"/>
    <w:rsid w:val="008D3380"/>
    <w:rsid w:val="008D3F43"/>
    <w:rsid w:val="008D45BD"/>
    <w:rsid w:val="008D590E"/>
    <w:rsid w:val="008D5E8E"/>
    <w:rsid w:val="008D658A"/>
    <w:rsid w:val="008D6B3C"/>
    <w:rsid w:val="008D75EB"/>
    <w:rsid w:val="008E0822"/>
    <w:rsid w:val="008E1E4B"/>
    <w:rsid w:val="008E3F8C"/>
    <w:rsid w:val="008F1303"/>
    <w:rsid w:val="008F24F3"/>
    <w:rsid w:val="008F5CC9"/>
    <w:rsid w:val="00900B82"/>
    <w:rsid w:val="00902D2E"/>
    <w:rsid w:val="00902FD0"/>
    <w:rsid w:val="009053D3"/>
    <w:rsid w:val="00905659"/>
    <w:rsid w:val="00906789"/>
    <w:rsid w:val="0090691F"/>
    <w:rsid w:val="009116DD"/>
    <w:rsid w:val="00911AB9"/>
    <w:rsid w:val="00917F02"/>
    <w:rsid w:val="00922BF5"/>
    <w:rsid w:val="0092579A"/>
    <w:rsid w:val="009301B8"/>
    <w:rsid w:val="0093111F"/>
    <w:rsid w:val="00932CD1"/>
    <w:rsid w:val="0093514A"/>
    <w:rsid w:val="00935689"/>
    <w:rsid w:val="009377F5"/>
    <w:rsid w:val="00942909"/>
    <w:rsid w:val="00943C7D"/>
    <w:rsid w:val="0095303B"/>
    <w:rsid w:val="0096331F"/>
    <w:rsid w:val="009648AE"/>
    <w:rsid w:val="0096523F"/>
    <w:rsid w:val="00965C99"/>
    <w:rsid w:val="00966341"/>
    <w:rsid w:val="009663B6"/>
    <w:rsid w:val="009730A6"/>
    <w:rsid w:val="00973B33"/>
    <w:rsid w:val="00974A47"/>
    <w:rsid w:val="00980286"/>
    <w:rsid w:val="00983049"/>
    <w:rsid w:val="00990DCF"/>
    <w:rsid w:val="009A412C"/>
    <w:rsid w:val="009A4CD6"/>
    <w:rsid w:val="009A537C"/>
    <w:rsid w:val="009B6129"/>
    <w:rsid w:val="009B66D7"/>
    <w:rsid w:val="009C0886"/>
    <w:rsid w:val="009C19EE"/>
    <w:rsid w:val="009C28D0"/>
    <w:rsid w:val="009C35F2"/>
    <w:rsid w:val="009C7782"/>
    <w:rsid w:val="009D1ED5"/>
    <w:rsid w:val="009D25BC"/>
    <w:rsid w:val="009D4C13"/>
    <w:rsid w:val="009E21A7"/>
    <w:rsid w:val="009E36BD"/>
    <w:rsid w:val="009E3F37"/>
    <w:rsid w:val="009E5AE3"/>
    <w:rsid w:val="009E5C87"/>
    <w:rsid w:val="009E6E1F"/>
    <w:rsid w:val="009E72DD"/>
    <w:rsid w:val="00A01C83"/>
    <w:rsid w:val="00A01FD5"/>
    <w:rsid w:val="00A03657"/>
    <w:rsid w:val="00A06433"/>
    <w:rsid w:val="00A10293"/>
    <w:rsid w:val="00A103ED"/>
    <w:rsid w:val="00A108C7"/>
    <w:rsid w:val="00A13C60"/>
    <w:rsid w:val="00A14ECC"/>
    <w:rsid w:val="00A15BCB"/>
    <w:rsid w:val="00A17B85"/>
    <w:rsid w:val="00A2257D"/>
    <w:rsid w:val="00A23D42"/>
    <w:rsid w:val="00A24CBB"/>
    <w:rsid w:val="00A25E9D"/>
    <w:rsid w:val="00A341A3"/>
    <w:rsid w:val="00A35800"/>
    <w:rsid w:val="00A376EE"/>
    <w:rsid w:val="00A416DE"/>
    <w:rsid w:val="00A44C8C"/>
    <w:rsid w:val="00A47058"/>
    <w:rsid w:val="00A52918"/>
    <w:rsid w:val="00A547B3"/>
    <w:rsid w:val="00A60DCF"/>
    <w:rsid w:val="00A66355"/>
    <w:rsid w:val="00A66AE0"/>
    <w:rsid w:val="00A70E82"/>
    <w:rsid w:val="00A80FDE"/>
    <w:rsid w:val="00A82E03"/>
    <w:rsid w:val="00A84CAD"/>
    <w:rsid w:val="00A90E50"/>
    <w:rsid w:val="00A95FA5"/>
    <w:rsid w:val="00A96D92"/>
    <w:rsid w:val="00AA5DE9"/>
    <w:rsid w:val="00AB19EF"/>
    <w:rsid w:val="00AB1C63"/>
    <w:rsid w:val="00AB3733"/>
    <w:rsid w:val="00AB6164"/>
    <w:rsid w:val="00AB7897"/>
    <w:rsid w:val="00AC5054"/>
    <w:rsid w:val="00AC6BA0"/>
    <w:rsid w:val="00AC6C4C"/>
    <w:rsid w:val="00AD3CAB"/>
    <w:rsid w:val="00AD5BB5"/>
    <w:rsid w:val="00AE1175"/>
    <w:rsid w:val="00AE3406"/>
    <w:rsid w:val="00AE3A04"/>
    <w:rsid w:val="00AE4BAC"/>
    <w:rsid w:val="00AF1B20"/>
    <w:rsid w:val="00AF213F"/>
    <w:rsid w:val="00AF38DF"/>
    <w:rsid w:val="00AF397E"/>
    <w:rsid w:val="00AF4AA4"/>
    <w:rsid w:val="00B034FC"/>
    <w:rsid w:val="00B03AC8"/>
    <w:rsid w:val="00B05310"/>
    <w:rsid w:val="00B10A0B"/>
    <w:rsid w:val="00B10E16"/>
    <w:rsid w:val="00B12FB6"/>
    <w:rsid w:val="00B13D95"/>
    <w:rsid w:val="00B14F2A"/>
    <w:rsid w:val="00B1796D"/>
    <w:rsid w:val="00B222D7"/>
    <w:rsid w:val="00B30173"/>
    <w:rsid w:val="00B30D85"/>
    <w:rsid w:val="00B315EF"/>
    <w:rsid w:val="00B35A4A"/>
    <w:rsid w:val="00B37ED1"/>
    <w:rsid w:val="00B45496"/>
    <w:rsid w:val="00B55BD4"/>
    <w:rsid w:val="00B567EA"/>
    <w:rsid w:val="00B61581"/>
    <w:rsid w:val="00B63FD7"/>
    <w:rsid w:val="00B64510"/>
    <w:rsid w:val="00B6686D"/>
    <w:rsid w:val="00B66952"/>
    <w:rsid w:val="00B73416"/>
    <w:rsid w:val="00B816D9"/>
    <w:rsid w:val="00B8438F"/>
    <w:rsid w:val="00B86964"/>
    <w:rsid w:val="00B8753F"/>
    <w:rsid w:val="00B9120F"/>
    <w:rsid w:val="00B9216C"/>
    <w:rsid w:val="00B924A4"/>
    <w:rsid w:val="00B945E3"/>
    <w:rsid w:val="00BA31B1"/>
    <w:rsid w:val="00BA47FF"/>
    <w:rsid w:val="00BB0D1A"/>
    <w:rsid w:val="00BB1D3B"/>
    <w:rsid w:val="00BB68CB"/>
    <w:rsid w:val="00BC35ED"/>
    <w:rsid w:val="00BC3D04"/>
    <w:rsid w:val="00BC3F43"/>
    <w:rsid w:val="00BC4049"/>
    <w:rsid w:val="00BC54B5"/>
    <w:rsid w:val="00BD5901"/>
    <w:rsid w:val="00BE205A"/>
    <w:rsid w:val="00BE3802"/>
    <w:rsid w:val="00BF13F5"/>
    <w:rsid w:val="00BF238E"/>
    <w:rsid w:val="00BF2F4A"/>
    <w:rsid w:val="00BF4BB2"/>
    <w:rsid w:val="00BF544D"/>
    <w:rsid w:val="00BF5F09"/>
    <w:rsid w:val="00C00581"/>
    <w:rsid w:val="00C0076F"/>
    <w:rsid w:val="00C02010"/>
    <w:rsid w:val="00C02EE0"/>
    <w:rsid w:val="00C0301C"/>
    <w:rsid w:val="00C0437A"/>
    <w:rsid w:val="00C04E4E"/>
    <w:rsid w:val="00C050B6"/>
    <w:rsid w:val="00C058DA"/>
    <w:rsid w:val="00C10F12"/>
    <w:rsid w:val="00C141B7"/>
    <w:rsid w:val="00C166C9"/>
    <w:rsid w:val="00C17870"/>
    <w:rsid w:val="00C23671"/>
    <w:rsid w:val="00C245EA"/>
    <w:rsid w:val="00C256F6"/>
    <w:rsid w:val="00C3097E"/>
    <w:rsid w:val="00C3108D"/>
    <w:rsid w:val="00C34C42"/>
    <w:rsid w:val="00C35BCF"/>
    <w:rsid w:val="00C35ECC"/>
    <w:rsid w:val="00C361A8"/>
    <w:rsid w:val="00C37600"/>
    <w:rsid w:val="00C41246"/>
    <w:rsid w:val="00C43D88"/>
    <w:rsid w:val="00C45E5F"/>
    <w:rsid w:val="00C46291"/>
    <w:rsid w:val="00C62F9B"/>
    <w:rsid w:val="00C63412"/>
    <w:rsid w:val="00C67672"/>
    <w:rsid w:val="00C714D0"/>
    <w:rsid w:val="00C74F81"/>
    <w:rsid w:val="00C76DBE"/>
    <w:rsid w:val="00C822A6"/>
    <w:rsid w:val="00C84944"/>
    <w:rsid w:val="00C90EF4"/>
    <w:rsid w:val="00C937A6"/>
    <w:rsid w:val="00C93E4A"/>
    <w:rsid w:val="00C94B11"/>
    <w:rsid w:val="00CA015A"/>
    <w:rsid w:val="00CA0FA4"/>
    <w:rsid w:val="00CA1535"/>
    <w:rsid w:val="00CA2F2A"/>
    <w:rsid w:val="00CA5882"/>
    <w:rsid w:val="00CA6076"/>
    <w:rsid w:val="00CB2290"/>
    <w:rsid w:val="00CB63B3"/>
    <w:rsid w:val="00CC1AA3"/>
    <w:rsid w:val="00CC3B31"/>
    <w:rsid w:val="00CC627F"/>
    <w:rsid w:val="00CD0FDF"/>
    <w:rsid w:val="00CD4486"/>
    <w:rsid w:val="00CD7F9D"/>
    <w:rsid w:val="00CE35CA"/>
    <w:rsid w:val="00CE7D85"/>
    <w:rsid w:val="00CF701F"/>
    <w:rsid w:val="00D057DC"/>
    <w:rsid w:val="00D06A44"/>
    <w:rsid w:val="00D07159"/>
    <w:rsid w:val="00D10179"/>
    <w:rsid w:val="00D12945"/>
    <w:rsid w:val="00D133A4"/>
    <w:rsid w:val="00D134B5"/>
    <w:rsid w:val="00D151EB"/>
    <w:rsid w:val="00D21A36"/>
    <w:rsid w:val="00D272D8"/>
    <w:rsid w:val="00D300E0"/>
    <w:rsid w:val="00D3182F"/>
    <w:rsid w:val="00D353DC"/>
    <w:rsid w:val="00D374CD"/>
    <w:rsid w:val="00D37A5E"/>
    <w:rsid w:val="00D4177F"/>
    <w:rsid w:val="00D46361"/>
    <w:rsid w:val="00D5097E"/>
    <w:rsid w:val="00D56833"/>
    <w:rsid w:val="00D61578"/>
    <w:rsid w:val="00D64647"/>
    <w:rsid w:val="00D650CE"/>
    <w:rsid w:val="00D67B68"/>
    <w:rsid w:val="00D71719"/>
    <w:rsid w:val="00D71DA6"/>
    <w:rsid w:val="00D758D9"/>
    <w:rsid w:val="00D76CA8"/>
    <w:rsid w:val="00D776DA"/>
    <w:rsid w:val="00D778BE"/>
    <w:rsid w:val="00D82F45"/>
    <w:rsid w:val="00D8652E"/>
    <w:rsid w:val="00D8758B"/>
    <w:rsid w:val="00D942B3"/>
    <w:rsid w:val="00D94863"/>
    <w:rsid w:val="00DA0335"/>
    <w:rsid w:val="00DA0938"/>
    <w:rsid w:val="00DA7D09"/>
    <w:rsid w:val="00DB41CE"/>
    <w:rsid w:val="00DB65B8"/>
    <w:rsid w:val="00DB778A"/>
    <w:rsid w:val="00DC2630"/>
    <w:rsid w:val="00DC49E9"/>
    <w:rsid w:val="00DC55E4"/>
    <w:rsid w:val="00DC7D71"/>
    <w:rsid w:val="00DD188C"/>
    <w:rsid w:val="00DD29A3"/>
    <w:rsid w:val="00DD48EE"/>
    <w:rsid w:val="00DE07A1"/>
    <w:rsid w:val="00DE0B96"/>
    <w:rsid w:val="00DE10B9"/>
    <w:rsid w:val="00DE3BC3"/>
    <w:rsid w:val="00DE4D14"/>
    <w:rsid w:val="00DE7A60"/>
    <w:rsid w:val="00DF0B13"/>
    <w:rsid w:val="00DF162E"/>
    <w:rsid w:val="00DF2EB8"/>
    <w:rsid w:val="00DF4A94"/>
    <w:rsid w:val="00DF6003"/>
    <w:rsid w:val="00E00095"/>
    <w:rsid w:val="00E066C3"/>
    <w:rsid w:val="00E10D8C"/>
    <w:rsid w:val="00E1159F"/>
    <w:rsid w:val="00E1353A"/>
    <w:rsid w:val="00E1564B"/>
    <w:rsid w:val="00E208A0"/>
    <w:rsid w:val="00E248BE"/>
    <w:rsid w:val="00E25B49"/>
    <w:rsid w:val="00E3033F"/>
    <w:rsid w:val="00E365B9"/>
    <w:rsid w:val="00E371EA"/>
    <w:rsid w:val="00E37F8A"/>
    <w:rsid w:val="00E41E3A"/>
    <w:rsid w:val="00E43667"/>
    <w:rsid w:val="00E44F38"/>
    <w:rsid w:val="00E4616E"/>
    <w:rsid w:val="00E53381"/>
    <w:rsid w:val="00E64429"/>
    <w:rsid w:val="00E66CC3"/>
    <w:rsid w:val="00E677DD"/>
    <w:rsid w:val="00E713B0"/>
    <w:rsid w:val="00E71ECD"/>
    <w:rsid w:val="00E73111"/>
    <w:rsid w:val="00E74064"/>
    <w:rsid w:val="00E74E88"/>
    <w:rsid w:val="00E7594B"/>
    <w:rsid w:val="00E77583"/>
    <w:rsid w:val="00E84B57"/>
    <w:rsid w:val="00E85AD1"/>
    <w:rsid w:val="00E91B21"/>
    <w:rsid w:val="00E920EF"/>
    <w:rsid w:val="00EA540D"/>
    <w:rsid w:val="00EB4688"/>
    <w:rsid w:val="00EB6A93"/>
    <w:rsid w:val="00EB6C07"/>
    <w:rsid w:val="00EC028D"/>
    <w:rsid w:val="00EC0404"/>
    <w:rsid w:val="00EC1370"/>
    <w:rsid w:val="00EC5BE6"/>
    <w:rsid w:val="00ED5914"/>
    <w:rsid w:val="00ED633B"/>
    <w:rsid w:val="00ED7C84"/>
    <w:rsid w:val="00EE0661"/>
    <w:rsid w:val="00EE0664"/>
    <w:rsid w:val="00EE0836"/>
    <w:rsid w:val="00EE478C"/>
    <w:rsid w:val="00EE4A10"/>
    <w:rsid w:val="00EE7D21"/>
    <w:rsid w:val="00EF0744"/>
    <w:rsid w:val="00EF09C2"/>
    <w:rsid w:val="00EF2418"/>
    <w:rsid w:val="00F00ADC"/>
    <w:rsid w:val="00F04C11"/>
    <w:rsid w:val="00F1132C"/>
    <w:rsid w:val="00F15DD5"/>
    <w:rsid w:val="00F17D4B"/>
    <w:rsid w:val="00F20DC8"/>
    <w:rsid w:val="00F20F08"/>
    <w:rsid w:val="00F23139"/>
    <w:rsid w:val="00F30512"/>
    <w:rsid w:val="00F43D14"/>
    <w:rsid w:val="00F5044F"/>
    <w:rsid w:val="00F50744"/>
    <w:rsid w:val="00F56417"/>
    <w:rsid w:val="00F619A7"/>
    <w:rsid w:val="00F66CD5"/>
    <w:rsid w:val="00F67A9A"/>
    <w:rsid w:val="00F70F4E"/>
    <w:rsid w:val="00F72D8E"/>
    <w:rsid w:val="00F73DCD"/>
    <w:rsid w:val="00F74F9F"/>
    <w:rsid w:val="00F75FC4"/>
    <w:rsid w:val="00F77D7F"/>
    <w:rsid w:val="00F77E5E"/>
    <w:rsid w:val="00F802A6"/>
    <w:rsid w:val="00F80780"/>
    <w:rsid w:val="00F85981"/>
    <w:rsid w:val="00F87263"/>
    <w:rsid w:val="00F9090B"/>
    <w:rsid w:val="00F93725"/>
    <w:rsid w:val="00F97A09"/>
    <w:rsid w:val="00FA0E2E"/>
    <w:rsid w:val="00FA4890"/>
    <w:rsid w:val="00FA5374"/>
    <w:rsid w:val="00FB355E"/>
    <w:rsid w:val="00FB4945"/>
    <w:rsid w:val="00FB595E"/>
    <w:rsid w:val="00FB6B3F"/>
    <w:rsid w:val="00FB77FA"/>
    <w:rsid w:val="00FC2B96"/>
    <w:rsid w:val="00FC3C70"/>
    <w:rsid w:val="00FC4A73"/>
    <w:rsid w:val="00FC559C"/>
    <w:rsid w:val="00FC7F0D"/>
    <w:rsid w:val="00FD2554"/>
    <w:rsid w:val="00FE11B2"/>
    <w:rsid w:val="00FE49BE"/>
    <w:rsid w:val="00FE645A"/>
    <w:rsid w:val="00FE7A64"/>
    <w:rsid w:val="00FF1844"/>
    <w:rsid w:val="00FF2FCC"/>
    <w:rsid w:val="00FF35D9"/>
    <w:rsid w:val="00FF4B33"/>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3Char">
    <w:name w:val="Heading 3 Char"/>
    <w:basedOn w:val="DefaultParagraphFont"/>
    <w:link w:val="Heading3"/>
    <w:uiPriority w:val="9"/>
    <w:rsid w:val="00FE645A"/>
    <w:rPr>
      <w:b/>
      <w:sz w:val="28"/>
      <w:szCs w:val="28"/>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character" w:customStyle="1" w:styleId="TabletitleChar">
    <w:name w:val="Table title Char"/>
    <w:basedOn w:val="Heading4Char"/>
    <w:link w:val="Tabletitle"/>
    <w:rsid w:val="00C245EA"/>
    <w:rPr>
      <w:b/>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EndNoteBibliographyTitle">
    <w:name w:val="EndNote Bibliography Title"/>
    <w:basedOn w:val="Normal"/>
    <w:link w:val="EndNoteBibliographyTitleChar"/>
    <w:rsid w:val="00A44C8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44C8C"/>
    <w:rPr>
      <w:rFonts w:ascii="Calibri" w:hAnsi="Calibri"/>
      <w:noProof/>
      <w:sz w:val="24"/>
      <w:szCs w:val="24"/>
    </w:rPr>
  </w:style>
  <w:style w:type="paragraph" w:customStyle="1" w:styleId="EndNoteBibliography">
    <w:name w:val="EndNote Bibliography"/>
    <w:basedOn w:val="Normal"/>
    <w:link w:val="EndNoteBibliographyChar"/>
    <w:rsid w:val="00A44C8C"/>
    <w:rPr>
      <w:rFonts w:ascii="Calibri" w:hAnsi="Calibri"/>
      <w:noProof/>
    </w:rPr>
  </w:style>
  <w:style w:type="character" w:customStyle="1" w:styleId="EndNoteBibliographyChar">
    <w:name w:val="EndNote Bibliography Char"/>
    <w:basedOn w:val="DefaultParagraphFont"/>
    <w:link w:val="EndNoteBibliography"/>
    <w:rsid w:val="00A44C8C"/>
    <w:rPr>
      <w:rFonts w:ascii="Calibri" w:hAnsi="Calibri"/>
      <w:noProof/>
      <w:sz w:val="24"/>
      <w:szCs w:val="24"/>
    </w:rPr>
  </w:style>
  <w:style w:type="paragraph" w:styleId="NormalWeb">
    <w:name w:val="Normal (Web)"/>
    <w:basedOn w:val="Normal"/>
    <w:uiPriority w:val="99"/>
    <w:semiHidden/>
    <w:unhideWhenUsed/>
    <w:rsid w:val="0030163E"/>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E248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Heading4"/>
    <w:next w:val="Normal"/>
    <w:link w:val="Heading2Char"/>
    <w:uiPriority w:val="9"/>
    <w:unhideWhenUsed/>
    <w:qFormat/>
    <w:rsid w:val="000C46BB"/>
    <w:pPr>
      <w:outlineLvl w:val="1"/>
    </w:pPr>
    <w:rPr>
      <w:i/>
      <w:sz w:val="24"/>
      <w:szCs w:val="24"/>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3Char">
    <w:name w:val="Heading 3 Char"/>
    <w:basedOn w:val="DefaultParagraphFont"/>
    <w:link w:val="Heading3"/>
    <w:uiPriority w:val="9"/>
    <w:rsid w:val="00FE645A"/>
    <w:rPr>
      <w:b/>
      <w:sz w:val="28"/>
      <w:szCs w:val="28"/>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2Char">
    <w:name w:val="Heading 2 Char"/>
    <w:basedOn w:val="DefaultParagraphFont"/>
    <w:link w:val="Heading2"/>
    <w:uiPriority w:val="9"/>
    <w:rsid w:val="000C46BB"/>
    <w:rPr>
      <w:b/>
      <w:i/>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245EA"/>
    <w:pPr>
      <w:spacing w:after="20"/>
    </w:pPr>
    <w:rPr>
      <w:sz w:val="24"/>
      <w:szCs w:val="24"/>
    </w:rPr>
  </w:style>
  <w:style w:type="character" w:customStyle="1" w:styleId="TabletitleChar">
    <w:name w:val="Table title Char"/>
    <w:basedOn w:val="Heading4Char"/>
    <w:link w:val="Tabletitle"/>
    <w:rsid w:val="00C245EA"/>
    <w:rPr>
      <w:b/>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EndNoteBibliographyTitle">
    <w:name w:val="EndNote Bibliography Title"/>
    <w:basedOn w:val="Normal"/>
    <w:link w:val="EndNoteBibliographyTitleChar"/>
    <w:rsid w:val="00A44C8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A44C8C"/>
    <w:rPr>
      <w:rFonts w:ascii="Calibri" w:hAnsi="Calibri"/>
      <w:noProof/>
      <w:sz w:val="24"/>
      <w:szCs w:val="24"/>
    </w:rPr>
  </w:style>
  <w:style w:type="paragraph" w:customStyle="1" w:styleId="EndNoteBibliography">
    <w:name w:val="EndNote Bibliography"/>
    <w:basedOn w:val="Normal"/>
    <w:link w:val="EndNoteBibliographyChar"/>
    <w:rsid w:val="00A44C8C"/>
    <w:rPr>
      <w:rFonts w:ascii="Calibri" w:hAnsi="Calibri"/>
      <w:noProof/>
    </w:rPr>
  </w:style>
  <w:style w:type="character" w:customStyle="1" w:styleId="EndNoteBibliographyChar">
    <w:name w:val="EndNote Bibliography Char"/>
    <w:basedOn w:val="DefaultParagraphFont"/>
    <w:link w:val="EndNoteBibliography"/>
    <w:rsid w:val="00A44C8C"/>
    <w:rPr>
      <w:rFonts w:ascii="Calibri" w:hAnsi="Calibri"/>
      <w:noProof/>
      <w:sz w:val="24"/>
      <w:szCs w:val="24"/>
    </w:rPr>
  </w:style>
  <w:style w:type="paragraph" w:styleId="NormalWeb">
    <w:name w:val="Normal (Web)"/>
    <w:basedOn w:val="Normal"/>
    <w:uiPriority w:val="99"/>
    <w:semiHidden/>
    <w:unhideWhenUsed/>
    <w:rsid w:val="0030163E"/>
    <w:pPr>
      <w:spacing w:before="100" w:beforeAutospacing="1" w:after="100" w:afterAutospacing="1"/>
    </w:pPr>
    <w:rPr>
      <w:rFonts w:ascii="Times New Roman" w:hAnsi="Times New Roman" w:cs="Times New Roman"/>
    </w:rPr>
  </w:style>
  <w:style w:type="character" w:styleId="FollowedHyperlink">
    <w:name w:val="FollowedHyperlink"/>
    <w:basedOn w:val="DefaultParagraphFont"/>
    <w:uiPriority w:val="99"/>
    <w:semiHidden/>
    <w:unhideWhenUsed/>
    <w:rsid w:val="00E248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23176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fo/industry/listing/elements/pbac-meetings/psd/2005-07/latanoprost" TargetMode="External"/><Relationship Id="rId18" Type="http://schemas.openxmlformats.org/officeDocument/2006/relationships/hyperlink" Target="http://www.pbs.gov.au/info/industry/listing/elements/pbac-meetings/psd/2012-03/tafluprost"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bs.gov.au/pbs/home" TargetMode="External"/><Relationship Id="rId17" Type="http://schemas.openxmlformats.org/officeDocument/2006/relationships/hyperlink" Target="http://www.pbs.gov.au/info/industry/listing/elements/pbac-meetings/psd/2010-03/pbac-psd-Brinzolamide-mar10" TargetMode="External"/><Relationship Id="rId25" Type="http://schemas.openxmlformats.org/officeDocument/2006/relationships/header" Target="header1.xml"/><Relationship Id="rId33" Type="http://schemas.openxmlformats.org/officeDocument/2006/relationships/hyperlink" Target="http://www.oic.it/wgc2011/abstract-online.php" TargetMode="External"/><Relationship Id="rId2" Type="http://schemas.openxmlformats.org/officeDocument/2006/relationships/numbering" Target="numbering.xml"/><Relationship Id="rId16" Type="http://schemas.openxmlformats.org/officeDocument/2006/relationships/hyperlink" Target="http://www.pbs.gov.au/info/industry/listing/elements/pbac-meetings/psd/2009-03/pbac-psd-bimatoprost-march09" TargetMode="External"/><Relationship Id="rId20" Type="http://schemas.openxmlformats.org/officeDocument/2006/relationships/hyperlink" Target="http://www.pbs.gov.au/info/industry/listing/elements/pbac-meetings/psd/2015-07/brinzolomide-with-brimonidine-psd-july-2015"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pbs/home" TargetMode="External"/><Relationship Id="rId24" Type="http://schemas.openxmlformats.org/officeDocument/2006/relationships/image" Target="media/image4.png"/><Relationship Id="rId32"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yperlink" Target="http://www.pbs.gov.au/info/industry/listing/elements/pbac-meetings/psd/2007-03/pbac-psd-travoprost-mar07" TargetMode="External"/><Relationship Id="rId23" Type="http://schemas.openxmlformats.org/officeDocument/2006/relationships/image" Target="media/image3.png"/><Relationship Id="rId28" Type="http://schemas.openxmlformats.org/officeDocument/2006/relationships/footer" Target="footer2.xml"/><Relationship Id="rId10" Type="http://schemas.openxmlformats.org/officeDocument/2006/relationships/hyperlink" Target="http://www.pbs.gov.au/pbs/home" TargetMode="External"/><Relationship Id="rId19" Type="http://schemas.openxmlformats.org/officeDocument/2006/relationships/hyperlink" Target="http://www.pbs.gov.au/info/industry/listing/elements/pbac-meetings/psd/2012-07/dorzolamide-hydrochloride" TargetMode="External"/><Relationship Id="rId31"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s://tga-search.clients.funnelback.com/s/search.html?query=&amp;collection=tga-artg" TargetMode="External"/><Relationship Id="rId14" Type="http://schemas.openxmlformats.org/officeDocument/2006/relationships/hyperlink" Target="http://www.pbs.gov.au/info/industry/listing/elements/pbac-meetings/psd/2005-11/latanoprost" TargetMode="External"/><Relationship Id="rId22" Type="http://schemas.openxmlformats.org/officeDocument/2006/relationships/image" Target="media/image2.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4D77C-773E-48C6-BE7E-BC00E110B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8471</Words>
  <Characters>48291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2016-10-17T05:29:00Z</dcterms:created>
  <dcterms:modified xsi:type="dcterms:W3CDTF">2016-10-17T05:41:00Z</dcterms:modified>
</cp:coreProperties>
</file>