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C17" w:rsidRDefault="00C62197" w:rsidP="008250BC">
      <w:pPr>
        <w:pStyle w:val="Title"/>
      </w:pPr>
      <w:r w:rsidRPr="00801110">
        <w:t>Gende</w:t>
      </w:r>
      <w:r>
        <w:t>r</w:t>
      </w:r>
      <w:r w:rsidR="00801110" w:rsidRPr="00801110">
        <w:t xml:space="preserve"> ratio analysis for Ankylosing Spondylitis</w:t>
      </w:r>
      <w:r w:rsidR="00821C17">
        <w:t xml:space="preserve">: </w:t>
      </w:r>
      <w:r w:rsidR="00821C17" w:rsidRPr="00233053">
        <w:t xml:space="preserve">addendum to </w:t>
      </w:r>
      <w:r w:rsidR="00821C17">
        <w:t xml:space="preserve">the </w:t>
      </w:r>
      <w:r w:rsidR="00801110">
        <w:t>February</w:t>
      </w:r>
      <w:r w:rsidR="00821C17" w:rsidRPr="00233053">
        <w:t xml:space="preserve"> 201</w:t>
      </w:r>
      <w:r w:rsidR="00801110">
        <w:t>6</w:t>
      </w:r>
      <w:r w:rsidR="00821C17" w:rsidRPr="00233053">
        <w:t xml:space="preserve"> analysis</w:t>
      </w:r>
      <w:r w:rsidR="00821C17">
        <w:t xml:space="preserve"> </w:t>
      </w:r>
    </w:p>
    <w:p w:rsidR="00821C17" w:rsidRDefault="00821C17" w:rsidP="00821C17">
      <w:pPr>
        <w:pStyle w:val="Heading1"/>
      </w:pPr>
      <w:r>
        <w:t>D</w:t>
      </w:r>
      <w:r w:rsidRPr="0063631C">
        <w:t xml:space="preserve">rug utilisation sub-committee </w:t>
      </w:r>
      <w:r>
        <w:t>(DUSC)</w:t>
      </w:r>
    </w:p>
    <w:p w:rsidR="00821C17" w:rsidRPr="000C46BB" w:rsidRDefault="00801110" w:rsidP="00821C17">
      <w:pPr>
        <w:pStyle w:val="Heading2"/>
      </w:pPr>
      <w:r>
        <w:t>June</w:t>
      </w:r>
      <w:r w:rsidR="00821C17">
        <w:t xml:space="preserve"> 2016</w:t>
      </w:r>
    </w:p>
    <w:p w:rsidR="00821C17" w:rsidRPr="008250BC" w:rsidRDefault="00821C17" w:rsidP="00821C17">
      <w:pPr>
        <w:pStyle w:val="Heading3"/>
        <w:rPr>
          <w:i w:val="0"/>
          <w:sz w:val="32"/>
          <w:szCs w:val="32"/>
        </w:rPr>
      </w:pPr>
      <w:r w:rsidRPr="008250BC">
        <w:rPr>
          <w:i w:val="0"/>
          <w:sz w:val="32"/>
          <w:szCs w:val="32"/>
        </w:rPr>
        <w:t>Abstract</w:t>
      </w:r>
    </w:p>
    <w:p w:rsidR="00821C17" w:rsidRPr="008250BC" w:rsidRDefault="00821C17" w:rsidP="00821C17">
      <w:pPr>
        <w:pStyle w:val="Heading2"/>
        <w:rPr>
          <w:i/>
        </w:rPr>
      </w:pPr>
      <w:r w:rsidRPr="008250BC">
        <w:rPr>
          <w:i/>
        </w:rPr>
        <w:t>Purpose</w:t>
      </w:r>
    </w:p>
    <w:p w:rsidR="00821C17" w:rsidRPr="004014CC" w:rsidRDefault="00821C17" w:rsidP="00821C17">
      <w:r>
        <w:t xml:space="preserve">To </w:t>
      </w:r>
      <w:r w:rsidRPr="00C60134">
        <w:t>assess</w:t>
      </w:r>
      <w:r>
        <w:t xml:space="preserve"> the </w:t>
      </w:r>
      <w:r w:rsidR="005425A8">
        <w:t>ratio of male to female patients initiating on and prevalent to</w:t>
      </w:r>
      <w:r>
        <w:t xml:space="preserve"> </w:t>
      </w:r>
      <w:r w:rsidR="008134FC">
        <w:t xml:space="preserve">biological </w:t>
      </w:r>
      <w:r>
        <w:t>disease modifying anti-rheumatic drugs (</w:t>
      </w:r>
      <w:r w:rsidR="008134FC">
        <w:t>b</w:t>
      </w:r>
      <w:r w:rsidRPr="00C60134">
        <w:t>DMARD</w:t>
      </w:r>
      <w:r w:rsidR="008134FC">
        <w:t>s</w:t>
      </w:r>
      <w:r>
        <w:t>)</w:t>
      </w:r>
      <w:r w:rsidR="005425A8">
        <w:t xml:space="preserve"> since the listing of these drugs on the PBS for the treatment of a</w:t>
      </w:r>
      <w:r w:rsidR="005425A8" w:rsidRPr="005425A8">
        <w:t xml:space="preserve">nkylosing </w:t>
      </w:r>
      <w:r w:rsidR="005425A8">
        <w:t>s</w:t>
      </w:r>
      <w:r w:rsidR="005425A8" w:rsidRPr="005425A8">
        <w:t>pondylitis</w:t>
      </w:r>
      <w:r w:rsidR="008250BC">
        <w:t xml:space="preserve"> </w:t>
      </w:r>
      <w:r w:rsidR="008679CD">
        <w:t>(AS</w:t>
      </w:r>
      <w:r w:rsidR="008250BC">
        <w:t>).</w:t>
      </w:r>
    </w:p>
    <w:p w:rsidR="005425A8" w:rsidRPr="008250BC" w:rsidRDefault="005425A8" w:rsidP="005425A8">
      <w:pPr>
        <w:pStyle w:val="Heading2"/>
        <w:rPr>
          <w:i/>
        </w:rPr>
      </w:pPr>
      <w:r w:rsidRPr="008250BC">
        <w:rPr>
          <w:i/>
        </w:rPr>
        <w:t>Date of listing on the Pharmaceutical Benefits Scheme (PBS)</w:t>
      </w:r>
      <w:r w:rsidR="008679CD" w:rsidRPr="008250BC">
        <w:rPr>
          <w:i/>
        </w:rPr>
        <w:t xml:space="preserve"> for AS</w:t>
      </w:r>
    </w:p>
    <w:p w:rsidR="005425A8" w:rsidRDefault="005425A8" w:rsidP="005425A8">
      <w:pPr>
        <w:pStyle w:val="ListParagraph"/>
        <w:numPr>
          <w:ilvl w:val="0"/>
          <w:numId w:val="8"/>
        </w:numPr>
      </w:pPr>
      <w:r>
        <w:t>Infliximab: 1 August 2004</w:t>
      </w:r>
    </w:p>
    <w:p w:rsidR="005425A8" w:rsidRDefault="005425A8" w:rsidP="005425A8">
      <w:pPr>
        <w:pStyle w:val="ListParagraph"/>
        <w:numPr>
          <w:ilvl w:val="0"/>
          <w:numId w:val="8"/>
        </w:numPr>
      </w:pPr>
      <w:r>
        <w:t>Etanercept: 1 April 2005</w:t>
      </w:r>
    </w:p>
    <w:p w:rsidR="005425A8" w:rsidRDefault="005425A8" w:rsidP="005425A8">
      <w:pPr>
        <w:pStyle w:val="ListParagraph"/>
        <w:numPr>
          <w:ilvl w:val="0"/>
          <w:numId w:val="8"/>
        </w:numPr>
      </w:pPr>
      <w:r>
        <w:t>Adalimumab: 1 March 2007</w:t>
      </w:r>
    </w:p>
    <w:p w:rsidR="005425A8" w:rsidRDefault="005425A8" w:rsidP="005425A8">
      <w:pPr>
        <w:pStyle w:val="ListParagraph"/>
        <w:numPr>
          <w:ilvl w:val="0"/>
          <w:numId w:val="8"/>
        </w:numPr>
      </w:pPr>
      <w:r>
        <w:t>Golimumab: 1 August 2010</w:t>
      </w:r>
    </w:p>
    <w:p w:rsidR="005425A8" w:rsidRPr="00497333" w:rsidRDefault="005425A8" w:rsidP="005425A8">
      <w:pPr>
        <w:pStyle w:val="ListParagraph"/>
        <w:numPr>
          <w:ilvl w:val="0"/>
          <w:numId w:val="8"/>
        </w:numPr>
      </w:pPr>
      <w:r>
        <w:t>Certolizumab pegol: 1 September 2014</w:t>
      </w:r>
    </w:p>
    <w:p w:rsidR="005425A8" w:rsidRPr="008250BC" w:rsidRDefault="005425A8" w:rsidP="005425A8">
      <w:pPr>
        <w:pStyle w:val="Heading2"/>
        <w:rPr>
          <w:i/>
        </w:rPr>
      </w:pPr>
      <w:r w:rsidRPr="008250BC">
        <w:rPr>
          <w:i/>
        </w:rPr>
        <w:t>Data Source / methodology</w:t>
      </w:r>
    </w:p>
    <w:p w:rsidR="00821C17" w:rsidRPr="0093416F" w:rsidRDefault="005425A8" w:rsidP="00821C17">
      <w:r>
        <w:t>The Department of Human Services (DHS) Authority Approvals database was used for the analyses in this addendum.</w:t>
      </w:r>
    </w:p>
    <w:p w:rsidR="00821C17" w:rsidRPr="008250BC" w:rsidRDefault="00821C17" w:rsidP="00821C17">
      <w:pPr>
        <w:pStyle w:val="Heading2"/>
        <w:rPr>
          <w:i/>
        </w:rPr>
      </w:pPr>
      <w:r w:rsidRPr="008250BC">
        <w:rPr>
          <w:i/>
        </w:rPr>
        <w:t>Key Findings</w:t>
      </w:r>
    </w:p>
    <w:p w:rsidR="00AA06D8" w:rsidRDefault="00F85130" w:rsidP="00AA06D8">
      <w:pPr>
        <w:pStyle w:val="ListParagraph"/>
        <w:numPr>
          <w:ilvl w:val="0"/>
          <w:numId w:val="14"/>
        </w:numPr>
        <w:spacing w:after="0"/>
        <w:contextualSpacing w:val="0"/>
      </w:pPr>
      <w:r>
        <w:t>T</w:t>
      </w:r>
      <w:r w:rsidR="00AA06D8">
        <w:t xml:space="preserve">he male:female ratio for patients treated with PBS subsidised </w:t>
      </w:r>
      <w:r w:rsidR="002B2913">
        <w:t>bDMARDs</w:t>
      </w:r>
      <w:r w:rsidR="00AA06D8">
        <w:t xml:space="preserve"> for AS is declining over time. In 2005, the ratio was approximately 3.5:1 for initiating and prevalent patients. The ratios for initiating and prevalent patients decreased to 1.2:1 and 2:1</w:t>
      </w:r>
      <w:r w:rsidR="0062397F">
        <w:t>,</w:t>
      </w:r>
      <w:r w:rsidR="00AA06D8">
        <w:t xml:space="preserve"> respectively</w:t>
      </w:r>
      <w:r w:rsidR="0062397F">
        <w:t>,</w:t>
      </w:r>
      <w:r w:rsidR="00AA06D8">
        <w:t xml:space="preserve"> by 2015. </w:t>
      </w:r>
    </w:p>
    <w:p w:rsidR="00AA06D8" w:rsidRDefault="00AA06D8" w:rsidP="00AA06D8">
      <w:pPr>
        <w:pStyle w:val="ListParagraph"/>
        <w:numPr>
          <w:ilvl w:val="0"/>
          <w:numId w:val="14"/>
        </w:numPr>
        <w:spacing w:after="0"/>
        <w:contextualSpacing w:val="0"/>
      </w:pPr>
      <w:r>
        <w:t xml:space="preserve">The declining gender ratio may in part be accounted for by increased or earlier diagnosis, and increased rates of treatment with bDMARDs for women with AS. Another factor may be use outside of the PBS restriction in </w:t>
      </w:r>
      <w:proofErr w:type="spellStart"/>
      <w:r>
        <w:t>arthropathies</w:t>
      </w:r>
      <w:proofErr w:type="spellEnd"/>
      <w:r>
        <w:t xml:space="preserve"> such as non-radiographic axial </w:t>
      </w:r>
      <w:proofErr w:type="spellStart"/>
      <w:r>
        <w:t>spondyloarthritis</w:t>
      </w:r>
      <w:proofErr w:type="spellEnd"/>
      <w:r>
        <w:t xml:space="preserve"> that are more common in women. This concern is most apparent in Western Australia where the number of females commencing on bDMARDs is far higher than in other states and female cases outweigh males.</w:t>
      </w:r>
    </w:p>
    <w:p w:rsidR="008679CD" w:rsidRDefault="008679CD">
      <w:pPr>
        <w:spacing w:line="276" w:lineRule="auto"/>
        <w:rPr>
          <w:b/>
          <w:i/>
          <w:sz w:val="32"/>
          <w:szCs w:val="32"/>
        </w:rPr>
      </w:pPr>
      <w:r>
        <w:br w:type="page"/>
      </w:r>
    </w:p>
    <w:p w:rsidR="00821C17" w:rsidRPr="008250BC" w:rsidRDefault="00821C17" w:rsidP="00821C17">
      <w:pPr>
        <w:pStyle w:val="Heading4"/>
        <w:rPr>
          <w:i w:val="0"/>
        </w:rPr>
      </w:pPr>
      <w:r w:rsidRPr="008250BC">
        <w:rPr>
          <w:i w:val="0"/>
        </w:rPr>
        <w:lastRenderedPageBreak/>
        <w:t>Background</w:t>
      </w:r>
    </w:p>
    <w:p w:rsidR="00195354" w:rsidRDefault="00821C17" w:rsidP="00195354">
      <w:pPr>
        <w:rPr>
          <w:i/>
        </w:rPr>
      </w:pPr>
      <w:r>
        <w:t xml:space="preserve">The DUSC considered a report on the use of </w:t>
      </w:r>
      <w:r w:rsidR="002B2913">
        <w:t>bDMARDs</w:t>
      </w:r>
      <w:r>
        <w:t xml:space="preserve"> </w:t>
      </w:r>
      <w:r w:rsidR="008679CD">
        <w:t xml:space="preserve">for AS </w:t>
      </w:r>
      <w:r>
        <w:t xml:space="preserve">at its </w:t>
      </w:r>
      <w:r w:rsidR="008679CD">
        <w:t>February 201</w:t>
      </w:r>
      <w:r w:rsidR="00195354">
        <w:t>6</w:t>
      </w:r>
      <w:r>
        <w:t xml:space="preserve"> meeting.</w:t>
      </w:r>
      <w:r w:rsidR="005B71FB">
        <w:t xml:space="preserve"> </w:t>
      </w:r>
      <w:r w:rsidR="00BC3176">
        <w:t xml:space="preserve"> </w:t>
      </w:r>
      <w:r>
        <w:t xml:space="preserve">At this meeting the DUSC </w:t>
      </w:r>
      <w:r w:rsidR="008E5108">
        <w:t>considered ‘</w:t>
      </w:r>
      <w:r w:rsidR="00195354" w:rsidRPr="00195354">
        <w:rPr>
          <w:i/>
        </w:rPr>
        <w:t>that the ratio of male</w:t>
      </w:r>
      <w:proofErr w:type="gramStart"/>
      <w:r w:rsidR="00195354" w:rsidRPr="00195354">
        <w:rPr>
          <w:i/>
        </w:rPr>
        <w:t>:female</w:t>
      </w:r>
      <w:proofErr w:type="gramEnd"/>
      <w:r w:rsidR="00195354" w:rsidRPr="00195354">
        <w:rPr>
          <w:i/>
        </w:rPr>
        <w:t xml:space="preserve"> bDMARD initiating and prevalent patients is inconsistent with known epidemiological data and has requested further analysis of the PB</w:t>
      </w:r>
      <w:r w:rsidR="00195354">
        <w:rPr>
          <w:i/>
        </w:rPr>
        <w:t>S data and published literatur</w:t>
      </w:r>
      <w:r w:rsidR="008E5108">
        <w:rPr>
          <w:i/>
        </w:rPr>
        <w:t>e.’</w:t>
      </w:r>
      <w:r w:rsidR="00195354">
        <w:rPr>
          <w:i/>
        </w:rPr>
        <w:t xml:space="preserve"> </w:t>
      </w:r>
      <w:r w:rsidR="00195354" w:rsidRPr="00195354">
        <w:t>Specifically the DUSC requested that</w:t>
      </w:r>
      <w:r w:rsidR="0062397F">
        <w:rPr>
          <w:i/>
        </w:rPr>
        <w:t xml:space="preserve"> </w:t>
      </w:r>
      <w:r w:rsidR="008E5108">
        <w:rPr>
          <w:i/>
        </w:rPr>
        <w:t>‘</w:t>
      </w:r>
      <w:r w:rsidR="00195354" w:rsidRPr="00195354">
        <w:rPr>
          <w:i/>
        </w:rPr>
        <w:t>the Secretariat produce a time series of the male</w:t>
      </w:r>
      <w:proofErr w:type="gramStart"/>
      <w:r w:rsidR="00195354" w:rsidRPr="00195354">
        <w:rPr>
          <w:i/>
        </w:rPr>
        <w:t>:female</w:t>
      </w:r>
      <w:proofErr w:type="gramEnd"/>
      <w:r w:rsidR="00195354" w:rsidRPr="00195354">
        <w:rPr>
          <w:i/>
        </w:rPr>
        <w:t xml:space="preserve"> ratio for prevalent and initiating patients to see if the ratio has changed over time.</w:t>
      </w:r>
      <w:r w:rsidR="008E5108">
        <w:rPr>
          <w:i/>
        </w:rPr>
        <w:t>’</w:t>
      </w:r>
    </w:p>
    <w:p w:rsidR="002059CA" w:rsidRPr="002059CA" w:rsidRDefault="002059CA" w:rsidP="00195354">
      <w:r>
        <w:t xml:space="preserve">For more details see the “Background” section of the </w:t>
      </w:r>
      <w:hyperlink r:id="rId9" w:history="1">
        <w:r w:rsidR="0062397F" w:rsidRPr="0062397F">
          <w:rPr>
            <w:rStyle w:val="Hyperlink"/>
          </w:rPr>
          <w:t>P</w:t>
        </w:r>
        <w:r w:rsidR="00E401A2" w:rsidRPr="0062397F">
          <w:rPr>
            <w:rStyle w:val="Hyperlink"/>
          </w:rPr>
          <w:t xml:space="preserve">ublic </w:t>
        </w:r>
        <w:r w:rsidR="0062397F" w:rsidRPr="0062397F">
          <w:rPr>
            <w:rStyle w:val="Hyperlink"/>
          </w:rPr>
          <w:t>R</w:t>
        </w:r>
        <w:r w:rsidR="00E401A2" w:rsidRPr="0062397F">
          <w:rPr>
            <w:rStyle w:val="Hyperlink"/>
          </w:rPr>
          <w:t xml:space="preserve">elease </w:t>
        </w:r>
        <w:r w:rsidR="0062397F" w:rsidRPr="0062397F">
          <w:rPr>
            <w:rStyle w:val="Hyperlink"/>
          </w:rPr>
          <w:t>Document</w:t>
        </w:r>
      </w:hyperlink>
      <w:r w:rsidR="00E401A2">
        <w:t xml:space="preserve"> of the  </w:t>
      </w:r>
      <w:proofErr w:type="spellStart"/>
      <w:r w:rsidR="002B2913" w:rsidRPr="0062397F">
        <w:t>bDMARDs</w:t>
      </w:r>
      <w:proofErr w:type="spellEnd"/>
      <w:r w:rsidRPr="0062397F">
        <w:t xml:space="preserve"> for AS analysis considered at the February</w:t>
      </w:r>
      <w:r w:rsidRPr="0062397F">
        <w:t xml:space="preserve"> </w:t>
      </w:r>
      <w:r w:rsidRPr="0062397F">
        <w:t>2016 DUSC meeting</w:t>
      </w:r>
      <w:r w:rsidR="00E401A2">
        <w:t>.</w:t>
      </w:r>
    </w:p>
    <w:p w:rsidR="008679CD" w:rsidRPr="008250BC" w:rsidRDefault="008679CD" w:rsidP="008679CD">
      <w:pPr>
        <w:pStyle w:val="Heading4"/>
        <w:rPr>
          <w:i w:val="0"/>
        </w:rPr>
      </w:pPr>
      <w:r w:rsidRPr="008250BC">
        <w:rPr>
          <w:i w:val="0"/>
        </w:rPr>
        <w:t>Methods</w:t>
      </w:r>
    </w:p>
    <w:p w:rsidR="008679CD" w:rsidRPr="00AF6ACC" w:rsidRDefault="008679CD" w:rsidP="008679CD">
      <w:pPr>
        <w:rPr>
          <w:rFonts w:eastAsia="Calibri" w:cs="Times New Roman"/>
        </w:rPr>
      </w:pPr>
      <w:r>
        <w:rPr>
          <w:rFonts w:eastAsia="Calibri" w:cs="Times New Roman"/>
        </w:rPr>
        <w:t xml:space="preserve">PBS and </w:t>
      </w:r>
      <w:r w:rsidRPr="00AF6ACC">
        <w:rPr>
          <w:rFonts w:eastAsia="Calibri" w:cs="Times New Roman"/>
        </w:rPr>
        <w:t>RPBS prescription</w:t>
      </w:r>
      <w:r>
        <w:rPr>
          <w:rFonts w:eastAsia="Calibri" w:cs="Times New Roman"/>
        </w:rPr>
        <w:t xml:space="preserve"> approvals </w:t>
      </w:r>
      <w:r w:rsidRPr="00AF6ACC">
        <w:rPr>
          <w:rFonts w:eastAsia="Calibri" w:cs="Times New Roman"/>
        </w:rPr>
        <w:t xml:space="preserve">for </w:t>
      </w:r>
      <w:r>
        <w:rPr>
          <w:rFonts w:eastAsia="Calibri" w:cs="Times New Roman"/>
        </w:rPr>
        <w:t>the bDMARD medicines</w:t>
      </w:r>
      <w:r w:rsidRPr="00AF6ACC">
        <w:rPr>
          <w:rFonts w:eastAsia="Calibri" w:cs="Times New Roman"/>
        </w:rPr>
        <w:t xml:space="preserve"> were extracted from the Department of Human Services (DHS) PBS </w:t>
      </w:r>
      <w:r>
        <w:rPr>
          <w:rFonts w:eastAsia="Calibri" w:cs="Times New Roman"/>
        </w:rPr>
        <w:t xml:space="preserve">Authority Approval </w:t>
      </w:r>
      <w:r w:rsidRPr="00AF6ACC">
        <w:rPr>
          <w:rFonts w:eastAsia="Calibri" w:cs="Times New Roman"/>
        </w:rPr>
        <w:t xml:space="preserve">database for the period </w:t>
      </w:r>
      <w:r>
        <w:rPr>
          <w:rFonts w:eastAsia="Calibri" w:cs="Times New Roman"/>
        </w:rPr>
        <w:t xml:space="preserve">August </w:t>
      </w:r>
      <w:r w:rsidRPr="00AF6ACC">
        <w:rPr>
          <w:rFonts w:eastAsia="Calibri" w:cs="Times New Roman"/>
        </w:rPr>
        <w:t>20</w:t>
      </w:r>
      <w:r>
        <w:rPr>
          <w:rFonts w:eastAsia="Calibri" w:cs="Times New Roman"/>
        </w:rPr>
        <w:t>04</w:t>
      </w:r>
      <w:r w:rsidRPr="00AF6ACC">
        <w:rPr>
          <w:rFonts w:eastAsia="Calibri" w:cs="Times New Roman"/>
        </w:rPr>
        <w:t xml:space="preserve"> </w:t>
      </w:r>
      <w:r>
        <w:rPr>
          <w:rFonts w:eastAsia="Calibri" w:cs="Times New Roman"/>
        </w:rPr>
        <w:t xml:space="preserve">(month of listing of the first bDMARD, infliximab) </w:t>
      </w:r>
      <w:r w:rsidRPr="00AF6ACC">
        <w:rPr>
          <w:rFonts w:eastAsia="Calibri" w:cs="Times New Roman"/>
        </w:rPr>
        <w:t xml:space="preserve">to </w:t>
      </w:r>
      <w:r w:rsidR="00B305E3">
        <w:rPr>
          <w:rFonts w:eastAsia="Calibri" w:cs="Times New Roman"/>
        </w:rPr>
        <w:t xml:space="preserve">December </w:t>
      </w:r>
      <w:r w:rsidRPr="00AF6ACC">
        <w:rPr>
          <w:rFonts w:eastAsia="Calibri" w:cs="Times New Roman"/>
        </w:rPr>
        <w:t>201</w:t>
      </w:r>
      <w:r>
        <w:rPr>
          <w:rFonts w:eastAsia="Calibri" w:cs="Times New Roman"/>
        </w:rPr>
        <w:t>5</w:t>
      </w:r>
      <w:r w:rsidRPr="00AF6ACC">
        <w:rPr>
          <w:rFonts w:eastAsia="Calibri" w:cs="Times New Roman"/>
        </w:rPr>
        <w:t xml:space="preserve"> inclusive, based on the date that the prescription was </w:t>
      </w:r>
      <w:r>
        <w:rPr>
          <w:rFonts w:eastAsia="Calibri" w:cs="Times New Roman"/>
        </w:rPr>
        <w:t>approved</w:t>
      </w:r>
      <w:r w:rsidRPr="00AF6ACC">
        <w:rPr>
          <w:rFonts w:eastAsia="Calibri" w:cs="Times New Roman"/>
        </w:rPr>
        <w:t xml:space="preserve">. </w:t>
      </w:r>
    </w:p>
    <w:p w:rsidR="008679CD" w:rsidRDefault="008679CD" w:rsidP="008679CD">
      <w:pPr>
        <w:rPr>
          <w:rFonts w:eastAsia="Calibri" w:cs="Times New Roman"/>
        </w:rPr>
      </w:pPr>
      <w:r w:rsidRPr="00AF6ACC">
        <w:rPr>
          <w:rFonts w:eastAsia="Calibri" w:cs="Times New Roman"/>
        </w:rPr>
        <w:t xml:space="preserve">The number of </w:t>
      </w:r>
      <w:r>
        <w:rPr>
          <w:rFonts w:eastAsia="Calibri" w:cs="Times New Roman"/>
        </w:rPr>
        <w:t xml:space="preserve">prevalent </w:t>
      </w:r>
      <w:r w:rsidRPr="00AF6ACC">
        <w:rPr>
          <w:rFonts w:eastAsia="Calibri" w:cs="Times New Roman"/>
        </w:rPr>
        <w:t>patients was determined by counting the number of person</w:t>
      </w:r>
      <w:r>
        <w:rPr>
          <w:rFonts w:eastAsia="Calibri" w:cs="Times New Roman"/>
        </w:rPr>
        <w:t xml:space="preserve"> specific</w:t>
      </w:r>
      <w:r w:rsidRPr="00AF6ACC">
        <w:rPr>
          <w:rFonts w:eastAsia="Calibri" w:cs="Times New Roman"/>
        </w:rPr>
        <w:t xml:space="preserve"> numbers</w:t>
      </w:r>
      <w:r>
        <w:rPr>
          <w:rFonts w:eastAsia="Calibri" w:cs="Times New Roman"/>
        </w:rPr>
        <w:t xml:space="preserve"> (non</w:t>
      </w:r>
      <w:r w:rsidRPr="00AF6ACC">
        <w:rPr>
          <w:rFonts w:eastAsia="Calibri" w:cs="Times New Roman"/>
        </w:rPr>
        <w:t>-identif</w:t>
      </w:r>
      <w:r w:rsidR="00B305E3">
        <w:rPr>
          <w:rFonts w:eastAsia="Calibri" w:cs="Times New Roman"/>
        </w:rPr>
        <w:t xml:space="preserve">ying) </w:t>
      </w:r>
      <w:r w:rsidRPr="00AF6ACC">
        <w:rPr>
          <w:rFonts w:eastAsia="Calibri" w:cs="Times New Roman"/>
        </w:rPr>
        <w:t xml:space="preserve">in the </w:t>
      </w:r>
      <w:r>
        <w:rPr>
          <w:rFonts w:eastAsia="Calibri" w:cs="Times New Roman"/>
        </w:rPr>
        <w:t>authority approval data</w:t>
      </w:r>
      <w:r w:rsidRPr="00AF6ACC">
        <w:rPr>
          <w:rFonts w:eastAsia="Calibri" w:cs="Times New Roman"/>
        </w:rPr>
        <w:t xml:space="preserve"> for the specified time period. </w:t>
      </w:r>
      <w:r>
        <w:rPr>
          <w:rFonts w:eastAsia="Calibri" w:cs="Times New Roman"/>
        </w:rPr>
        <w:t>A</w:t>
      </w:r>
      <w:r w:rsidRPr="001D2C1E">
        <w:rPr>
          <w:rFonts w:eastAsia="Calibri" w:cs="Times New Roman"/>
        </w:rPr>
        <w:t xml:space="preserve">uthority approvals data </w:t>
      </w:r>
      <w:r>
        <w:rPr>
          <w:rFonts w:eastAsia="Calibri" w:cs="Times New Roman"/>
        </w:rPr>
        <w:t xml:space="preserve">was used rather than prescription supply data </w:t>
      </w:r>
      <w:r w:rsidRPr="001D2C1E">
        <w:rPr>
          <w:rFonts w:eastAsia="Calibri" w:cs="Times New Roman"/>
        </w:rPr>
        <w:t>as the latter is incomplete with respect to patient level supply history for</w:t>
      </w:r>
      <w:r>
        <w:rPr>
          <w:rFonts w:eastAsia="Calibri" w:cs="Times New Roman"/>
        </w:rPr>
        <w:t xml:space="preserve"> infliximab </w:t>
      </w:r>
      <w:r w:rsidRPr="001D2C1E">
        <w:rPr>
          <w:rFonts w:eastAsia="Calibri" w:cs="Times New Roman"/>
        </w:rPr>
        <w:t>prior to July 2013</w:t>
      </w:r>
      <w:r>
        <w:rPr>
          <w:rFonts w:eastAsia="Calibri" w:cs="Times New Roman"/>
        </w:rPr>
        <w:t xml:space="preserve">. </w:t>
      </w:r>
      <w:r w:rsidRPr="00391448">
        <w:rPr>
          <w:rFonts w:eastAsia="Calibri" w:cs="Times New Roman"/>
        </w:rPr>
        <w:t>The analysis</w:t>
      </w:r>
      <w:r w:rsidR="008E5108">
        <w:rPr>
          <w:rFonts w:eastAsia="Calibri" w:cs="Times New Roman"/>
        </w:rPr>
        <w:t xml:space="preserve"> period for patient counts was ‘</w:t>
      </w:r>
      <w:r w:rsidRPr="00391448">
        <w:rPr>
          <w:rFonts w:eastAsia="Calibri" w:cs="Times New Roman"/>
        </w:rPr>
        <w:t>per calendar year</w:t>
      </w:r>
      <w:r w:rsidR="008E5108">
        <w:rPr>
          <w:rFonts w:eastAsia="Calibri" w:cs="Times New Roman"/>
        </w:rPr>
        <w:t>’</w:t>
      </w:r>
      <w:r w:rsidRPr="00391448">
        <w:rPr>
          <w:rFonts w:eastAsia="Calibri" w:cs="Times New Roman"/>
        </w:rPr>
        <w:t xml:space="preserve"> because it was assumed that patients would receive at least one approval a year as no more than 24 weeks of treatment is approved at a time for </w:t>
      </w:r>
      <w:r w:rsidR="0000137E">
        <w:rPr>
          <w:rFonts w:eastAsia="Calibri" w:cs="Times New Roman"/>
        </w:rPr>
        <w:t>AS</w:t>
      </w:r>
      <w:r w:rsidRPr="00391448">
        <w:rPr>
          <w:rFonts w:eastAsia="Calibri" w:cs="Times New Roman"/>
        </w:rPr>
        <w:t xml:space="preserve">. </w:t>
      </w:r>
    </w:p>
    <w:p w:rsidR="00D36842" w:rsidRDefault="00F81F38" w:rsidP="00D36842">
      <w:pPr>
        <w:rPr>
          <w:rFonts w:eastAsia="Calibri" w:cs="Times New Roman"/>
        </w:rPr>
      </w:pPr>
      <w:r w:rsidRPr="00F81F38">
        <w:rPr>
          <w:rFonts w:eastAsia="Calibri" w:cs="Times New Roman"/>
        </w:rPr>
        <w:t xml:space="preserve">Treatment rate </w:t>
      </w:r>
      <w:r w:rsidR="0000137E">
        <w:rPr>
          <w:rFonts w:eastAsia="Calibri" w:cs="Times New Roman"/>
        </w:rPr>
        <w:t xml:space="preserve">(percentage of population) </w:t>
      </w:r>
      <w:r w:rsidRPr="00F81F38">
        <w:rPr>
          <w:rFonts w:eastAsia="Calibri" w:cs="Times New Roman"/>
        </w:rPr>
        <w:t xml:space="preserve">of patients initiating on and prevalent to </w:t>
      </w:r>
      <w:proofErr w:type="spellStart"/>
      <w:r w:rsidRPr="00F81F38">
        <w:rPr>
          <w:rFonts w:eastAsia="Calibri" w:cs="Times New Roman"/>
        </w:rPr>
        <w:t>bDMARD</w:t>
      </w:r>
      <w:r w:rsidR="00682290">
        <w:rPr>
          <w:rFonts w:eastAsia="Calibri" w:cs="Times New Roman"/>
        </w:rPr>
        <w:t>s</w:t>
      </w:r>
      <w:proofErr w:type="spellEnd"/>
      <w:r w:rsidRPr="00F81F38">
        <w:rPr>
          <w:rFonts w:eastAsia="Calibri" w:cs="Times New Roman"/>
        </w:rPr>
        <w:t xml:space="preserve"> </w:t>
      </w:r>
      <w:r>
        <w:rPr>
          <w:rFonts w:eastAsia="Calibri" w:cs="Times New Roman"/>
        </w:rPr>
        <w:t>(e</w:t>
      </w:r>
      <w:r w:rsidR="0000137E">
        <w:rPr>
          <w:rFonts w:eastAsia="Calibri" w:cs="Times New Roman"/>
        </w:rPr>
        <w:t>.</w:t>
      </w:r>
      <w:r>
        <w:rPr>
          <w:rFonts w:eastAsia="Calibri" w:cs="Times New Roman"/>
        </w:rPr>
        <w:t xml:space="preserve">g. Figure 5) was calculated </w:t>
      </w:r>
      <w:r w:rsidRPr="00D36842">
        <w:rPr>
          <w:rFonts w:eastAsia="Calibri" w:cs="Times New Roman"/>
        </w:rPr>
        <w:t xml:space="preserve">as the number of initiating or prevalent </w:t>
      </w:r>
      <w:r w:rsidRPr="00F81F38">
        <w:rPr>
          <w:rFonts w:eastAsia="Calibri" w:cs="Times New Roman"/>
        </w:rPr>
        <w:t xml:space="preserve">patients </w:t>
      </w:r>
      <w:r w:rsidR="008E207D">
        <w:rPr>
          <w:rFonts w:eastAsia="Calibri" w:cs="Times New Roman"/>
        </w:rPr>
        <w:t>divided</w:t>
      </w:r>
      <w:r>
        <w:rPr>
          <w:rFonts w:eastAsia="Calibri" w:cs="Times New Roman"/>
        </w:rPr>
        <w:t xml:space="preserve"> by the </w:t>
      </w:r>
      <w:r w:rsidRPr="00D36842">
        <w:rPr>
          <w:rFonts w:eastAsia="Calibri" w:cs="Times New Roman"/>
        </w:rPr>
        <w:t>ABS population</w:t>
      </w:r>
      <w:r w:rsidRPr="0010072C">
        <w:rPr>
          <w:rFonts w:eastAsia="Calibri" w:cs="Times New Roman"/>
          <w:vertAlign w:val="superscript"/>
        </w:rPr>
        <w:footnoteReference w:id="1"/>
      </w:r>
      <w:r w:rsidR="008E207D" w:rsidRPr="00D36842">
        <w:rPr>
          <w:rFonts w:eastAsia="Calibri" w:cs="Times New Roman"/>
        </w:rPr>
        <w:t>. When the treatment rate was calculated by gender (e</w:t>
      </w:r>
      <w:r w:rsidR="0000137E">
        <w:rPr>
          <w:rFonts w:eastAsia="Calibri" w:cs="Times New Roman"/>
        </w:rPr>
        <w:t>.</w:t>
      </w:r>
      <w:r w:rsidR="008E207D" w:rsidRPr="00D36842">
        <w:rPr>
          <w:rFonts w:eastAsia="Calibri" w:cs="Times New Roman"/>
        </w:rPr>
        <w:t xml:space="preserve">g. Figure 6) or </w:t>
      </w:r>
      <w:r w:rsidR="00D36842">
        <w:rPr>
          <w:rFonts w:eastAsia="Calibri" w:cs="Times New Roman"/>
        </w:rPr>
        <w:t xml:space="preserve">by </w:t>
      </w:r>
      <w:r w:rsidR="008E207D" w:rsidRPr="00D36842">
        <w:rPr>
          <w:rFonts w:eastAsia="Calibri" w:cs="Times New Roman"/>
        </w:rPr>
        <w:t xml:space="preserve">state or </w:t>
      </w:r>
      <w:r w:rsidR="00D36842">
        <w:rPr>
          <w:rFonts w:eastAsia="Calibri" w:cs="Times New Roman"/>
        </w:rPr>
        <w:t xml:space="preserve">by </w:t>
      </w:r>
      <w:r w:rsidR="008E207D" w:rsidRPr="00D36842">
        <w:rPr>
          <w:rFonts w:eastAsia="Calibri" w:cs="Times New Roman"/>
        </w:rPr>
        <w:t>both, the gender and state specified ABS populations was used as the denominator</w:t>
      </w:r>
      <w:r w:rsidR="00D36842">
        <w:rPr>
          <w:rFonts w:eastAsia="Calibri" w:cs="Times New Roman"/>
        </w:rPr>
        <w:t>. All age groups where included.</w:t>
      </w:r>
    </w:p>
    <w:p w:rsidR="00F81F38" w:rsidRPr="00D36842" w:rsidRDefault="008E207D" w:rsidP="00D36842">
      <w:pPr>
        <w:rPr>
          <w:rFonts w:eastAsia="Calibri" w:cs="Times New Roman"/>
        </w:rPr>
      </w:pPr>
      <w:r w:rsidRPr="00D36842">
        <w:rPr>
          <w:rFonts w:eastAsia="Calibri" w:cs="Times New Roman"/>
        </w:rPr>
        <w:t xml:space="preserve">The analyses by state </w:t>
      </w:r>
      <w:r w:rsidR="00F50EFE" w:rsidRPr="00D36842">
        <w:rPr>
          <w:rFonts w:eastAsia="Calibri" w:cs="Times New Roman"/>
        </w:rPr>
        <w:t>w</w:t>
      </w:r>
      <w:r w:rsidR="00F50EFE">
        <w:rPr>
          <w:rFonts w:eastAsia="Calibri" w:cs="Times New Roman"/>
        </w:rPr>
        <w:t>ere</w:t>
      </w:r>
      <w:r w:rsidR="00F50EFE" w:rsidRPr="00D36842">
        <w:rPr>
          <w:rFonts w:eastAsia="Calibri" w:cs="Times New Roman"/>
        </w:rPr>
        <w:t xml:space="preserve"> </w:t>
      </w:r>
      <w:r w:rsidRPr="00D36842">
        <w:rPr>
          <w:rFonts w:eastAsia="Calibri" w:cs="Times New Roman"/>
        </w:rPr>
        <w:t>based on the Medicare enrolment postcode of the patient at the time of the authority approval.</w:t>
      </w:r>
    </w:p>
    <w:p w:rsidR="008250BC" w:rsidRDefault="008250BC">
      <w:pPr>
        <w:spacing w:line="276" w:lineRule="auto"/>
        <w:rPr>
          <w:b/>
          <w:i/>
          <w:sz w:val="32"/>
          <w:szCs w:val="32"/>
        </w:rPr>
      </w:pPr>
      <w:r>
        <w:br w:type="page"/>
      </w:r>
    </w:p>
    <w:p w:rsidR="00903896" w:rsidRPr="008250BC" w:rsidRDefault="00903896" w:rsidP="00903896">
      <w:pPr>
        <w:pStyle w:val="Heading4"/>
        <w:rPr>
          <w:i w:val="0"/>
        </w:rPr>
      </w:pPr>
      <w:r w:rsidRPr="008250BC">
        <w:rPr>
          <w:i w:val="0"/>
        </w:rPr>
        <w:lastRenderedPageBreak/>
        <w:t>Results</w:t>
      </w:r>
    </w:p>
    <w:p w:rsidR="00903896" w:rsidRPr="008C31A1" w:rsidRDefault="00903896" w:rsidP="00903896">
      <w:pPr>
        <w:pStyle w:val="Heading3"/>
        <w:rPr>
          <w:i w:val="0"/>
          <w:sz w:val="28"/>
        </w:rPr>
      </w:pPr>
      <w:r w:rsidRPr="008C31A1">
        <w:rPr>
          <w:i w:val="0"/>
          <w:sz w:val="28"/>
        </w:rPr>
        <w:t>Analysis of drug utilisation</w:t>
      </w:r>
    </w:p>
    <w:p w:rsidR="005D6745" w:rsidRDefault="005D6745" w:rsidP="005D6745">
      <w:pPr>
        <w:spacing w:line="276" w:lineRule="auto"/>
      </w:pPr>
      <w:r>
        <w:t xml:space="preserve">Figure 1 provides the number of </w:t>
      </w:r>
      <w:r w:rsidR="005E4D5F">
        <w:t>initiating</w:t>
      </w:r>
      <w:r>
        <w:t xml:space="preserve"> and prevalent patients receiving bDMARD treatment for ankylosing spondylitis per calendar year since listing on 1 August 2004. This is an update of Figure 2 in </w:t>
      </w:r>
      <w:r w:rsidR="002B2913" w:rsidRPr="005D6745">
        <w:t>bDMARDs</w:t>
      </w:r>
      <w:r w:rsidRPr="005D6745">
        <w:t xml:space="preserve"> for AS </w:t>
      </w:r>
      <w:r>
        <w:t xml:space="preserve">analysis considered </w:t>
      </w:r>
      <w:r w:rsidRPr="005D6745">
        <w:t xml:space="preserve">at February 2016 </w:t>
      </w:r>
      <w:r>
        <w:t xml:space="preserve">DUSC </w:t>
      </w:r>
      <w:r w:rsidRPr="005D6745">
        <w:t>meeting</w:t>
      </w:r>
      <w:r w:rsidR="008C31A1">
        <w:t xml:space="preserve"> </w:t>
      </w:r>
      <w:r w:rsidR="008B631B">
        <w:t>to include</w:t>
      </w:r>
      <w:r>
        <w:t xml:space="preserve"> 2015</w:t>
      </w:r>
      <w:r w:rsidR="008B631B">
        <w:t xml:space="preserve"> data</w:t>
      </w:r>
      <w:r>
        <w:t>.</w:t>
      </w:r>
    </w:p>
    <w:p w:rsidR="00A44E4F" w:rsidRDefault="00A44E4F" w:rsidP="001D4A77">
      <w:pPr>
        <w:spacing w:line="276" w:lineRule="auto"/>
        <w:rPr>
          <w:b/>
        </w:rPr>
      </w:pPr>
      <w:r>
        <w:rPr>
          <w:noProof/>
        </w:rPr>
        <w:drawing>
          <wp:inline distT="0" distB="0" distL="0" distR="0" wp14:anchorId="36CD95D9" wp14:editId="2E4EAEB0">
            <wp:extent cx="5162550" cy="3381375"/>
            <wp:effectExtent l="0" t="0" r="0" b="9525"/>
            <wp:docPr id="10" name="Picture 10" descr="Graph of patients initiating on and prevalent to bDMARD therapy by year of approval" title="Patients initiating on and prevalent to bDMARD therapy by year of 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62550" cy="3381375"/>
                    </a:xfrm>
                    <a:prstGeom prst="rect">
                      <a:avLst/>
                    </a:prstGeom>
                  </pic:spPr>
                </pic:pic>
              </a:graphicData>
            </a:graphic>
          </wp:inline>
        </w:drawing>
      </w:r>
    </w:p>
    <w:p w:rsidR="00997756" w:rsidRPr="001D4A77" w:rsidRDefault="005D6745" w:rsidP="001D4A77">
      <w:pPr>
        <w:spacing w:line="276" w:lineRule="auto"/>
        <w:rPr>
          <w:b/>
          <w:sz w:val="20"/>
          <w:szCs w:val="20"/>
        </w:rPr>
      </w:pPr>
      <w:r w:rsidRPr="001D4A77">
        <w:rPr>
          <w:b/>
        </w:rPr>
        <w:t>Figure 1</w:t>
      </w:r>
      <w:r w:rsidR="003434F0">
        <w:rPr>
          <w:b/>
        </w:rPr>
        <w:t>:</w:t>
      </w:r>
      <w:r w:rsidRPr="001D4A77">
        <w:rPr>
          <w:b/>
        </w:rPr>
        <w:t xml:space="preserve"> </w:t>
      </w:r>
      <w:r w:rsidR="002059CA" w:rsidRPr="001D4A77">
        <w:rPr>
          <w:b/>
        </w:rPr>
        <w:t>Patient</w:t>
      </w:r>
      <w:r w:rsidR="00997756" w:rsidRPr="001D4A77">
        <w:rPr>
          <w:b/>
        </w:rPr>
        <w:t>s</w:t>
      </w:r>
      <w:r w:rsidR="002059CA" w:rsidRPr="001D4A77">
        <w:rPr>
          <w:b/>
        </w:rPr>
        <w:t xml:space="preserve"> initiating on and </w:t>
      </w:r>
      <w:r w:rsidRPr="001D4A77">
        <w:rPr>
          <w:b/>
        </w:rPr>
        <w:t xml:space="preserve">prevalent </w:t>
      </w:r>
      <w:r w:rsidR="002059CA" w:rsidRPr="001D4A77">
        <w:rPr>
          <w:b/>
        </w:rPr>
        <w:t xml:space="preserve">to </w:t>
      </w:r>
      <w:r w:rsidRPr="001D4A77">
        <w:rPr>
          <w:b/>
        </w:rPr>
        <w:t xml:space="preserve">bDMARD </w:t>
      </w:r>
      <w:r w:rsidR="002059CA" w:rsidRPr="001D4A77">
        <w:rPr>
          <w:b/>
        </w:rPr>
        <w:t xml:space="preserve">therapy </w:t>
      </w:r>
      <w:r w:rsidRPr="001D4A77">
        <w:rPr>
          <w:b/>
        </w:rPr>
        <w:t>by year</w:t>
      </w:r>
      <w:r w:rsidR="002059CA" w:rsidRPr="001D4A77">
        <w:rPr>
          <w:b/>
        </w:rPr>
        <w:t xml:space="preserve"> of approval</w:t>
      </w:r>
      <w:r w:rsidR="001D4A77">
        <w:rPr>
          <w:b/>
        </w:rPr>
        <w:br/>
      </w:r>
      <w:r w:rsidR="00997756" w:rsidRPr="001D4A77">
        <w:rPr>
          <w:sz w:val="20"/>
          <w:szCs w:val="20"/>
        </w:rPr>
        <w:t>Source: DHS Authority Approvals database, approvals from August 2004 (date of first bDMARD listing), extracted 5 April 2016.</w:t>
      </w:r>
    </w:p>
    <w:p w:rsidR="002059CA" w:rsidRDefault="002059CA" w:rsidP="002059CA">
      <w:pPr>
        <w:spacing w:line="276" w:lineRule="auto"/>
      </w:pPr>
      <w:r>
        <w:t>The number of prevalent patients continues to increase. The step up in the number of initiating patients in 2014 seems to have plateaued in 2015.</w:t>
      </w:r>
    </w:p>
    <w:p w:rsidR="002059CA" w:rsidRDefault="002059CA" w:rsidP="002059CA">
      <w:pPr>
        <w:spacing w:line="276" w:lineRule="auto"/>
      </w:pPr>
      <w:r>
        <w:t>Figure 2 show</w:t>
      </w:r>
      <w:r w:rsidR="006E0351">
        <w:t>s</w:t>
      </w:r>
      <w:r>
        <w:t xml:space="preserve"> the gender ratio</w:t>
      </w:r>
      <w:r w:rsidR="0000137E">
        <w:t xml:space="preserve"> (</w:t>
      </w:r>
      <w:proofErr w:type="spellStart"/>
      <w:r w:rsidR="0000137E">
        <w:t>male</w:t>
      </w:r>
      <w:proofErr w:type="gramStart"/>
      <w:r w:rsidR="0000137E">
        <w:t>:f</w:t>
      </w:r>
      <w:r w:rsidR="00997756">
        <w:t>emale</w:t>
      </w:r>
      <w:proofErr w:type="spellEnd"/>
      <w:proofErr w:type="gramEnd"/>
      <w:r w:rsidR="00997756">
        <w:t>) of initiating and prevalent patients.</w:t>
      </w:r>
    </w:p>
    <w:p w:rsidR="00A44E4F" w:rsidRDefault="00A44E4F" w:rsidP="001D4A77">
      <w:pPr>
        <w:spacing w:line="276" w:lineRule="auto"/>
        <w:rPr>
          <w:b/>
        </w:rPr>
      </w:pPr>
      <w:r>
        <w:rPr>
          <w:noProof/>
        </w:rPr>
        <w:lastRenderedPageBreak/>
        <w:drawing>
          <wp:inline distT="0" distB="0" distL="0" distR="0" wp14:anchorId="1497EDE3" wp14:editId="16559408">
            <wp:extent cx="5172075" cy="3371850"/>
            <wp:effectExtent l="0" t="0" r="9525" b="0"/>
            <wp:docPr id="11" name="Picture 11" descr="Graph of gender ratio (male:female) for patients initiating on and prevalent to bDMARD therapy by year of approval" title="Gender ratio (male:female) for patients initiating on and prevalent to bDMARD therapy by year of 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172075" cy="3371850"/>
                    </a:xfrm>
                    <a:prstGeom prst="rect">
                      <a:avLst/>
                    </a:prstGeom>
                  </pic:spPr>
                </pic:pic>
              </a:graphicData>
            </a:graphic>
          </wp:inline>
        </w:drawing>
      </w:r>
    </w:p>
    <w:p w:rsidR="00997756" w:rsidRPr="001D4A77" w:rsidRDefault="00997756" w:rsidP="001D4A77">
      <w:pPr>
        <w:spacing w:line="276" w:lineRule="auto"/>
        <w:rPr>
          <w:b/>
          <w:sz w:val="20"/>
          <w:szCs w:val="20"/>
        </w:rPr>
      </w:pPr>
      <w:r w:rsidRPr="001D4A77">
        <w:rPr>
          <w:b/>
        </w:rPr>
        <w:t>Figure 2</w:t>
      </w:r>
      <w:r w:rsidR="003434F0">
        <w:rPr>
          <w:b/>
        </w:rPr>
        <w:t>:</w:t>
      </w:r>
      <w:r w:rsidR="0000137E">
        <w:rPr>
          <w:b/>
        </w:rPr>
        <w:t xml:space="preserve"> Gender ratio (</w:t>
      </w:r>
      <w:proofErr w:type="spellStart"/>
      <w:r w:rsidR="0000137E">
        <w:rPr>
          <w:b/>
        </w:rPr>
        <w:t>male</w:t>
      </w:r>
      <w:proofErr w:type="gramStart"/>
      <w:r w:rsidR="0000137E">
        <w:rPr>
          <w:b/>
        </w:rPr>
        <w:t>:f</w:t>
      </w:r>
      <w:r w:rsidRPr="001D4A77">
        <w:rPr>
          <w:b/>
        </w:rPr>
        <w:t>emale</w:t>
      </w:r>
      <w:proofErr w:type="spellEnd"/>
      <w:proofErr w:type="gramEnd"/>
      <w:r w:rsidRPr="001D4A77">
        <w:rPr>
          <w:b/>
        </w:rPr>
        <w:t>) for patients initiating on and prevalent to bDMARD therapy by year of approval</w:t>
      </w:r>
      <w:r w:rsidR="001D4A77">
        <w:rPr>
          <w:b/>
        </w:rPr>
        <w:br/>
      </w:r>
      <w:r w:rsidRPr="001D4A77">
        <w:rPr>
          <w:sz w:val="20"/>
          <w:szCs w:val="20"/>
        </w:rPr>
        <w:t>Source: DHS Authority Approvals database, approvals from August 2004 (date of first bDMARD listing), extracted 5 April 2016.</w:t>
      </w:r>
    </w:p>
    <w:p w:rsidR="00AD4DDE" w:rsidRDefault="00AD4DDE" w:rsidP="00AD4DDE">
      <w:r>
        <w:t xml:space="preserve">The gender ratio was </w:t>
      </w:r>
      <w:r w:rsidR="001D49D6">
        <w:t>3.62</w:t>
      </w:r>
      <w:r>
        <w:t xml:space="preserve"> for initiating and </w:t>
      </w:r>
      <w:r w:rsidR="001D49D6">
        <w:t xml:space="preserve">3.49 for </w:t>
      </w:r>
      <w:r>
        <w:t xml:space="preserve">prevalent patients in </w:t>
      </w:r>
      <w:r w:rsidR="008C31A1">
        <w:t>2005 (</w:t>
      </w:r>
      <w:r>
        <w:t xml:space="preserve">the first full calendar year after </w:t>
      </w:r>
      <w:r w:rsidR="008C31A1">
        <w:t>the listing</w:t>
      </w:r>
      <w:r>
        <w:t xml:space="preserve"> of bDMARDs for AS). The gender ratio for initiating and prevalent patients </w:t>
      </w:r>
      <w:r w:rsidR="00486728">
        <w:t xml:space="preserve">had </w:t>
      </w:r>
      <w:r>
        <w:t>decreased to 1.2</w:t>
      </w:r>
      <w:r w:rsidR="001D49D6">
        <w:t>4</w:t>
      </w:r>
      <w:r>
        <w:t xml:space="preserve"> and 2.0</w:t>
      </w:r>
      <w:r w:rsidR="001D49D6">
        <w:t>1</w:t>
      </w:r>
      <w:r>
        <w:t xml:space="preserve"> respectively </w:t>
      </w:r>
      <w:r w:rsidR="00486728">
        <w:t xml:space="preserve">by </w:t>
      </w:r>
      <w:r>
        <w:t>2015.</w:t>
      </w:r>
    </w:p>
    <w:p w:rsidR="007A36B4" w:rsidRDefault="002306EA" w:rsidP="007A36B4">
      <w:r>
        <w:t xml:space="preserve">The starting </w:t>
      </w:r>
      <w:r w:rsidR="0000137E">
        <w:t xml:space="preserve">treatment prevalent patient </w:t>
      </w:r>
      <w:proofErr w:type="spellStart"/>
      <w:r w:rsidR="0000137E">
        <w:t>male</w:t>
      </w:r>
      <w:proofErr w:type="gramStart"/>
      <w:r w:rsidR="0000137E">
        <w:t>:f</w:t>
      </w:r>
      <w:r w:rsidR="00046C49" w:rsidRPr="00046C49">
        <w:t>emale</w:t>
      </w:r>
      <w:proofErr w:type="spellEnd"/>
      <w:proofErr w:type="gramEnd"/>
      <w:r w:rsidR="00046C49" w:rsidRPr="00046C49">
        <w:t xml:space="preserve"> gender ratio (</w:t>
      </w:r>
      <w:r w:rsidR="0000137E" w:rsidRPr="00046C49">
        <w:t>i.e.</w:t>
      </w:r>
      <w:r w:rsidR="00046C49" w:rsidRPr="00046C49">
        <w:t xml:space="preserve"> 3.49 in 2005) was close to that </w:t>
      </w:r>
      <w:r w:rsidR="007A36B4">
        <w:t xml:space="preserve">indicated in the </w:t>
      </w:r>
      <w:r w:rsidR="007A36B4" w:rsidRPr="007A36B4">
        <w:t>available epidemiological data</w:t>
      </w:r>
      <w:r w:rsidR="007A36B4">
        <w:t>. That is,</w:t>
      </w:r>
      <w:r w:rsidR="0000137E">
        <w:t xml:space="preserve"> a </w:t>
      </w:r>
      <w:proofErr w:type="spellStart"/>
      <w:r w:rsidR="0000137E">
        <w:t>male</w:t>
      </w:r>
      <w:proofErr w:type="gramStart"/>
      <w:r w:rsidR="0000137E">
        <w:t>:female</w:t>
      </w:r>
      <w:proofErr w:type="spellEnd"/>
      <w:proofErr w:type="gramEnd"/>
      <w:r w:rsidR="007A36B4">
        <w:t xml:space="preserve"> prevalence ratio of about 3:1</w:t>
      </w:r>
      <w:bookmarkStart w:id="0" w:name="_Ref450755388"/>
      <w:r w:rsidR="007A36B4">
        <w:rPr>
          <w:rStyle w:val="EndnoteReference"/>
        </w:rPr>
        <w:endnoteReference w:id="1"/>
      </w:r>
      <w:bookmarkEnd w:id="0"/>
      <w:r w:rsidR="007A36B4" w:rsidRPr="00286E26">
        <w:rPr>
          <w:vertAlign w:val="superscript"/>
        </w:rPr>
        <w:t>,</w:t>
      </w:r>
      <w:bookmarkStart w:id="1" w:name="_Ref450755391"/>
      <w:r w:rsidR="007A36B4">
        <w:rPr>
          <w:rStyle w:val="EndnoteReference"/>
        </w:rPr>
        <w:endnoteReference w:id="2"/>
      </w:r>
      <w:bookmarkEnd w:id="1"/>
      <w:r w:rsidR="007A36B4">
        <w:rPr>
          <w:vertAlign w:val="superscript"/>
        </w:rPr>
        <w:t>,</w:t>
      </w:r>
      <w:bookmarkStart w:id="2" w:name="_Ref450755393"/>
      <w:r w:rsidR="007A36B4">
        <w:rPr>
          <w:rStyle w:val="EndnoteReference"/>
        </w:rPr>
        <w:endnoteReference w:id="3"/>
      </w:r>
      <w:bookmarkEnd w:id="2"/>
      <w:r w:rsidR="007A36B4">
        <w:rPr>
          <w:vertAlign w:val="superscript"/>
        </w:rPr>
        <w:t>,</w:t>
      </w:r>
      <w:bookmarkStart w:id="3" w:name="_Ref450755396"/>
      <w:r w:rsidR="007A36B4">
        <w:rPr>
          <w:rStyle w:val="EndnoteReference"/>
        </w:rPr>
        <w:endnoteReference w:id="4"/>
      </w:r>
      <w:bookmarkEnd w:id="3"/>
      <w:r w:rsidR="007A36B4">
        <w:t>.</w:t>
      </w:r>
    </w:p>
    <w:p w:rsidR="001D4A77" w:rsidRDefault="001D4A77" w:rsidP="00AD4DDE">
      <w:proofErr w:type="gramStart"/>
      <w:r>
        <w:t>Figures 3 (initiating patients) and 4 (prevalent patient</w:t>
      </w:r>
      <w:r w:rsidR="00486728">
        <w:t>s</w:t>
      </w:r>
      <w:r>
        <w:t xml:space="preserve">) show the number of patients by </w:t>
      </w:r>
      <w:r w:rsidR="00046C49">
        <w:t xml:space="preserve">gender </w:t>
      </w:r>
      <w:r>
        <w:t>used to calculate the gender ratio.</w:t>
      </w:r>
      <w:proofErr w:type="gramEnd"/>
    </w:p>
    <w:p w:rsidR="002F572B" w:rsidRDefault="002F572B" w:rsidP="001D4A77">
      <w:pPr>
        <w:rPr>
          <w:b/>
        </w:rPr>
      </w:pPr>
    </w:p>
    <w:p w:rsidR="00A44E4F" w:rsidRDefault="00A44E4F" w:rsidP="001D4A77">
      <w:pPr>
        <w:rPr>
          <w:b/>
        </w:rPr>
      </w:pPr>
      <w:r>
        <w:rPr>
          <w:noProof/>
        </w:rPr>
        <w:lastRenderedPageBreak/>
        <w:drawing>
          <wp:inline distT="0" distB="0" distL="0" distR="0" wp14:anchorId="0E835478" wp14:editId="5F4C3923">
            <wp:extent cx="5181600" cy="3390900"/>
            <wp:effectExtent l="0" t="0" r="0" b="0"/>
            <wp:docPr id="12" name="Picture 12" descr="graph of gender ratio (male:female) and patient count by gender for patients initiating bDMARD therapy by year of approval" title="Gender ratio (male:female) and patient count by gender for patients initiating bDMARD therapy by year of 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181600" cy="3390900"/>
                    </a:xfrm>
                    <a:prstGeom prst="rect">
                      <a:avLst/>
                    </a:prstGeom>
                  </pic:spPr>
                </pic:pic>
              </a:graphicData>
            </a:graphic>
          </wp:inline>
        </w:drawing>
      </w:r>
    </w:p>
    <w:p w:rsidR="001D4A77" w:rsidRDefault="001D4A77" w:rsidP="001D4A77">
      <w:pPr>
        <w:rPr>
          <w:b/>
        </w:rPr>
      </w:pPr>
      <w:r w:rsidRPr="001D4A77">
        <w:rPr>
          <w:b/>
        </w:rPr>
        <w:t>Figure 3</w:t>
      </w:r>
      <w:r w:rsidR="003434F0">
        <w:rPr>
          <w:b/>
        </w:rPr>
        <w:t>:</w:t>
      </w:r>
      <w:r w:rsidRPr="001D4A77">
        <w:rPr>
          <w:b/>
        </w:rPr>
        <w:t xml:space="preserve"> </w:t>
      </w:r>
      <w:r w:rsidR="0000137E">
        <w:rPr>
          <w:b/>
        </w:rPr>
        <w:t>Gender ratio (</w:t>
      </w:r>
      <w:proofErr w:type="spellStart"/>
      <w:r w:rsidR="0000137E">
        <w:rPr>
          <w:b/>
        </w:rPr>
        <w:t>male</w:t>
      </w:r>
      <w:proofErr w:type="gramStart"/>
      <w:r w:rsidR="0000137E">
        <w:rPr>
          <w:b/>
        </w:rPr>
        <w:t>:f</w:t>
      </w:r>
      <w:r w:rsidR="00486728">
        <w:rPr>
          <w:b/>
        </w:rPr>
        <w:t>emale</w:t>
      </w:r>
      <w:proofErr w:type="spellEnd"/>
      <w:proofErr w:type="gramEnd"/>
      <w:r w:rsidR="00486728">
        <w:rPr>
          <w:b/>
        </w:rPr>
        <w:t xml:space="preserve">) </w:t>
      </w:r>
      <w:r w:rsidRPr="001D4A77">
        <w:rPr>
          <w:b/>
        </w:rPr>
        <w:t>and patient count by gender for patients initiating bDMARD therapy by year of approval</w:t>
      </w:r>
    </w:p>
    <w:p w:rsidR="008E466D" w:rsidRDefault="008E466D" w:rsidP="001D4A77">
      <w:r>
        <w:t xml:space="preserve">Between 2008 and 2013 the number of male initiating patients </w:t>
      </w:r>
      <w:r w:rsidR="00F871CF">
        <w:t>was fairly steady averaging 480 per year</w:t>
      </w:r>
      <w:r>
        <w:t xml:space="preserve">. Over the same time the number </w:t>
      </w:r>
      <w:r w:rsidR="005B71FB">
        <w:t xml:space="preserve">of </w:t>
      </w:r>
      <w:r>
        <w:t>female initiating patients grew from 198</w:t>
      </w:r>
      <w:r w:rsidR="00F871CF">
        <w:t xml:space="preserve"> in 2008</w:t>
      </w:r>
      <w:r>
        <w:t xml:space="preserve"> to 344</w:t>
      </w:r>
      <w:r w:rsidR="00F871CF">
        <w:t xml:space="preserve"> in 2013</w:t>
      </w:r>
      <w:r>
        <w:t>. This resulted in the gender ratio dropping from 2.69 to 1.47. In 2014 there was a large increase in both male and female initiators. As the percentage increase was greater for females</w:t>
      </w:r>
      <w:r w:rsidR="0000137E">
        <w:t>,</w:t>
      </w:r>
      <w:r>
        <w:t xml:space="preserve"> the gender ratio fell </w:t>
      </w:r>
      <w:r w:rsidR="00D96AE3">
        <w:t xml:space="preserve">further </w:t>
      </w:r>
      <w:r>
        <w:t>to 1.21 in 2014</w:t>
      </w:r>
      <w:r w:rsidR="00D96AE3">
        <w:t>. In 2015 the gender ratio was 1.24</w:t>
      </w:r>
      <w:r>
        <w:t>.</w:t>
      </w:r>
    </w:p>
    <w:p w:rsidR="008E466D" w:rsidRDefault="008E466D" w:rsidP="001D4A77">
      <w:pPr>
        <w:rPr>
          <w:b/>
        </w:rPr>
      </w:pPr>
    </w:p>
    <w:p w:rsidR="00094040" w:rsidRDefault="00094040" w:rsidP="003953B1">
      <w:pPr>
        <w:spacing w:line="276" w:lineRule="auto"/>
        <w:rPr>
          <w:b/>
        </w:rPr>
      </w:pPr>
    </w:p>
    <w:p w:rsidR="00A44E4F" w:rsidRDefault="00A44E4F" w:rsidP="003953B1">
      <w:pPr>
        <w:spacing w:line="276" w:lineRule="auto"/>
        <w:rPr>
          <w:b/>
        </w:rPr>
      </w:pPr>
      <w:r>
        <w:rPr>
          <w:noProof/>
        </w:rPr>
        <w:lastRenderedPageBreak/>
        <w:drawing>
          <wp:inline distT="0" distB="0" distL="0" distR="0" wp14:anchorId="59E8A2A7" wp14:editId="4E77A6F9">
            <wp:extent cx="5191125" cy="3400425"/>
            <wp:effectExtent l="0" t="0" r="9525" b="9525"/>
            <wp:docPr id="14" name="Picture 14" descr="graph of Gender ratio (male:female) and patient count by gender for patients prevalent to bDMARD therapy by year of approval" title="Gender ratio (male:female) and patient count by gender for patients prevalent to bDMARD therapy by year of 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191125" cy="3400425"/>
                    </a:xfrm>
                    <a:prstGeom prst="rect">
                      <a:avLst/>
                    </a:prstGeom>
                  </pic:spPr>
                </pic:pic>
              </a:graphicData>
            </a:graphic>
          </wp:inline>
        </w:drawing>
      </w:r>
    </w:p>
    <w:p w:rsidR="008E466D" w:rsidRPr="003953B1" w:rsidRDefault="00AA727E" w:rsidP="003953B1">
      <w:pPr>
        <w:spacing w:line="276" w:lineRule="auto"/>
        <w:rPr>
          <w:b/>
        </w:rPr>
      </w:pPr>
      <w:r w:rsidRPr="003953B1">
        <w:rPr>
          <w:b/>
        </w:rPr>
        <w:t xml:space="preserve">Figure </w:t>
      </w:r>
      <w:r w:rsidR="001D4A77" w:rsidRPr="003953B1">
        <w:rPr>
          <w:b/>
        </w:rPr>
        <w:t>4</w:t>
      </w:r>
      <w:r w:rsidR="003434F0" w:rsidRPr="003953B1">
        <w:rPr>
          <w:b/>
        </w:rPr>
        <w:t>:</w:t>
      </w:r>
      <w:r w:rsidR="0000137E">
        <w:rPr>
          <w:b/>
        </w:rPr>
        <w:t xml:space="preserve"> Gender ratio (</w:t>
      </w:r>
      <w:proofErr w:type="spellStart"/>
      <w:r w:rsidR="0000137E">
        <w:rPr>
          <w:b/>
        </w:rPr>
        <w:t>male</w:t>
      </w:r>
      <w:proofErr w:type="gramStart"/>
      <w:r w:rsidR="0000137E">
        <w:rPr>
          <w:b/>
        </w:rPr>
        <w:t>:f</w:t>
      </w:r>
      <w:r w:rsidRPr="003953B1">
        <w:rPr>
          <w:b/>
        </w:rPr>
        <w:t>emale</w:t>
      </w:r>
      <w:proofErr w:type="spellEnd"/>
      <w:proofErr w:type="gramEnd"/>
      <w:r w:rsidRPr="003953B1">
        <w:rPr>
          <w:b/>
        </w:rPr>
        <w:t>) and patient count by gender for patients prevalent to bDMARD therapy by year of approval</w:t>
      </w:r>
    </w:p>
    <w:p w:rsidR="004818C7" w:rsidRDefault="004818C7" w:rsidP="002059CA">
      <w:pPr>
        <w:spacing w:line="276" w:lineRule="auto"/>
      </w:pPr>
      <w:r w:rsidRPr="004818C7">
        <w:t xml:space="preserve">Figure 4 </w:t>
      </w:r>
      <w:r>
        <w:t xml:space="preserve">shows that the </w:t>
      </w:r>
      <w:r w:rsidR="00F871CF">
        <w:t xml:space="preserve">rate of growth in the </w:t>
      </w:r>
      <w:r>
        <w:t xml:space="preserve">number of prevalent </w:t>
      </w:r>
      <w:r w:rsidR="005B71FB">
        <w:t xml:space="preserve">patients </w:t>
      </w:r>
      <w:r w:rsidR="00F871CF">
        <w:t xml:space="preserve">in recent </w:t>
      </w:r>
      <w:r w:rsidR="005B71FB">
        <w:t>years is</w:t>
      </w:r>
      <w:r w:rsidR="00F871CF">
        <w:t xml:space="preserve"> higher for females than males. The main driver of this is the increasing number of female initiators.</w:t>
      </w:r>
    </w:p>
    <w:p w:rsidR="00E812B9" w:rsidRDefault="00E812B9" w:rsidP="002059CA">
      <w:pPr>
        <w:spacing w:line="276" w:lineRule="auto"/>
      </w:pPr>
      <w:r w:rsidRPr="00E812B9">
        <w:t xml:space="preserve">The onset of </w:t>
      </w:r>
      <w:r w:rsidR="0000137E">
        <w:t>AS</w:t>
      </w:r>
      <w:r w:rsidRPr="00E812B9">
        <w:t xml:space="preserve"> generally occurs between the ages of 15 and 45</w:t>
      </w:r>
      <w:r>
        <w:t xml:space="preserve">. Table 1 shows the median and mean </w:t>
      </w:r>
      <w:r w:rsidRPr="00F64A2A">
        <w:t xml:space="preserve">patient age at initiation to </w:t>
      </w:r>
      <w:r w:rsidR="00682290">
        <w:t>b</w:t>
      </w:r>
      <w:r w:rsidR="00682290" w:rsidRPr="00F64A2A">
        <w:t xml:space="preserve">DMARD </w:t>
      </w:r>
      <w:r w:rsidRPr="00F64A2A">
        <w:t>therapy</w:t>
      </w:r>
      <w:r>
        <w:t>.</w:t>
      </w:r>
    </w:p>
    <w:p w:rsidR="003953B1" w:rsidRPr="003953B1" w:rsidRDefault="003953B1" w:rsidP="00094040">
      <w:pPr>
        <w:spacing w:after="0" w:line="276" w:lineRule="auto"/>
        <w:rPr>
          <w:b/>
        </w:rPr>
      </w:pPr>
      <w:r w:rsidRPr="003953B1">
        <w:rPr>
          <w:b/>
        </w:rPr>
        <w:t>Table 1: Median and mean pa</w:t>
      </w:r>
      <w:r w:rsidR="00684204">
        <w:rPr>
          <w:b/>
        </w:rPr>
        <w:t xml:space="preserve">tient age at initiation to </w:t>
      </w:r>
      <w:r w:rsidR="00682290">
        <w:rPr>
          <w:b/>
        </w:rPr>
        <w:t>b</w:t>
      </w:r>
      <w:r w:rsidR="00682290" w:rsidRPr="003953B1">
        <w:rPr>
          <w:b/>
        </w:rPr>
        <w:t xml:space="preserve">DMARD </w:t>
      </w:r>
      <w:r w:rsidRPr="003953B1">
        <w:rPr>
          <w:b/>
        </w:rPr>
        <w:t>therapy</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900"/>
        <w:gridCol w:w="720"/>
        <w:gridCol w:w="900"/>
        <w:gridCol w:w="720"/>
        <w:gridCol w:w="900"/>
        <w:gridCol w:w="720"/>
      </w:tblGrid>
      <w:tr w:rsidR="003953B1" w:rsidRPr="003953B1" w:rsidTr="00094040">
        <w:trPr>
          <w:trHeight w:val="300"/>
        </w:trPr>
        <w:tc>
          <w:tcPr>
            <w:tcW w:w="0" w:type="auto"/>
            <w:shd w:val="clear" w:color="auto" w:fill="BFBFBF" w:themeFill="background1" w:themeFillShade="BF"/>
            <w:noWrap/>
            <w:vAlign w:val="bottom"/>
            <w:hideMark/>
          </w:tcPr>
          <w:p w:rsidR="003953B1" w:rsidRPr="00094040" w:rsidRDefault="003953B1" w:rsidP="003953B1">
            <w:pPr>
              <w:spacing w:after="0"/>
              <w:rPr>
                <w:rFonts w:eastAsia="Times New Roman" w:cs="Times New Roman"/>
                <w:b/>
                <w:bCs/>
                <w:color w:val="000000"/>
                <w:sz w:val="20"/>
                <w:szCs w:val="20"/>
              </w:rPr>
            </w:pPr>
          </w:p>
        </w:tc>
        <w:tc>
          <w:tcPr>
            <w:tcW w:w="0" w:type="auto"/>
            <w:gridSpan w:val="2"/>
            <w:shd w:val="clear" w:color="auto" w:fill="BFBFBF" w:themeFill="background1" w:themeFillShade="BF"/>
            <w:noWrap/>
            <w:vAlign w:val="bottom"/>
            <w:hideMark/>
          </w:tcPr>
          <w:p w:rsidR="003953B1" w:rsidRPr="00094040" w:rsidRDefault="003953B1" w:rsidP="003953B1">
            <w:pPr>
              <w:spacing w:after="0"/>
              <w:jc w:val="center"/>
              <w:rPr>
                <w:rFonts w:eastAsia="Times New Roman" w:cs="Times New Roman"/>
                <w:b/>
                <w:bCs/>
                <w:color w:val="000000"/>
                <w:sz w:val="20"/>
                <w:szCs w:val="20"/>
              </w:rPr>
            </w:pPr>
            <w:r w:rsidRPr="00094040">
              <w:rPr>
                <w:rFonts w:eastAsia="Times New Roman" w:cs="Times New Roman"/>
                <w:b/>
                <w:bCs/>
                <w:color w:val="000000"/>
                <w:sz w:val="20"/>
                <w:szCs w:val="20"/>
              </w:rPr>
              <w:t>Median</w:t>
            </w:r>
          </w:p>
        </w:tc>
        <w:tc>
          <w:tcPr>
            <w:tcW w:w="0" w:type="auto"/>
            <w:gridSpan w:val="2"/>
            <w:shd w:val="clear" w:color="auto" w:fill="BFBFBF" w:themeFill="background1" w:themeFillShade="BF"/>
            <w:noWrap/>
            <w:vAlign w:val="bottom"/>
            <w:hideMark/>
          </w:tcPr>
          <w:p w:rsidR="003953B1" w:rsidRPr="00094040" w:rsidRDefault="003953B1" w:rsidP="003953B1">
            <w:pPr>
              <w:spacing w:after="0"/>
              <w:jc w:val="center"/>
              <w:rPr>
                <w:rFonts w:eastAsia="Times New Roman" w:cs="Times New Roman"/>
                <w:b/>
                <w:bCs/>
                <w:color w:val="000000"/>
                <w:sz w:val="20"/>
                <w:szCs w:val="20"/>
              </w:rPr>
            </w:pPr>
            <w:r w:rsidRPr="00094040">
              <w:rPr>
                <w:rFonts w:eastAsia="Times New Roman" w:cs="Times New Roman"/>
                <w:b/>
                <w:bCs/>
                <w:color w:val="000000"/>
                <w:sz w:val="20"/>
                <w:szCs w:val="20"/>
              </w:rPr>
              <w:t xml:space="preserve">Mean </w:t>
            </w:r>
          </w:p>
        </w:tc>
        <w:tc>
          <w:tcPr>
            <w:tcW w:w="0" w:type="auto"/>
            <w:gridSpan w:val="2"/>
            <w:shd w:val="clear" w:color="auto" w:fill="BFBFBF" w:themeFill="background1" w:themeFillShade="BF"/>
            <w:noWrap/>
            <w:hideMark/>
          </w:tcPr>
          <w:p w:rsidR="003953B1" w:rsidRPr="00094040" w:rsidRDefault="003953B1" w:rsidP="003953B1">
            <w:pPr>
              <w:spacing w:after="0"/>
              <w:jc w:val="center"/>
              <w:rPr>
                <w:rFonts w:eastAsia="Times New Roman" w:cs="Times New Roman"/>
                <w:b/>
                <w:bCs/>
                <w:color w:val="000000"/>
                <w:sz w:val="20"/>
                <w:szCs w:val="20"/>
              </w:rPr>
            </w:pPr>
            <w:r w:rsidRPr="00094040">
              <w:rPr>
                <w:rFonts w:eastAsia="Times New Roman" w:cs="Times New Roman"/>
                <w:b/>
                <w:bCs/>
                <w:color w:val="000000"/>
                <w:sz w:val="20"/>
                <w:szCs w:val="20"/>
              </w:rPr>
              <w:t>Patients</w:t>
            </w:r>
            <w:r w:rsidR="00684204" w:rsidRPr="00094040">
              <w:rPr>
                <w:rFonts w:eastAsia="Times New Roman" w:cs="Times New Roman"/>
                <w:b/>
                <w:bCs/>
                <w:color w:val="000000"/>
                <w:sz w:val="20"/>
                <w:szCs w:val="20"/>
              </w:rPr>
              <w:t xml:space="preserve"> </w:t>
            </w:r>
            <w:r w:rsidRPr="00094040">
              <w:rPr>
                <w:rFonts w:eastAsia="Times New Roman" w:cs="Times New Roman"/>
                <w:b/>
                <w:bCs/>
                <w:color w:val="000000"/>
                <w:sz w:val="20"/>
                <w:szCs w:val="20"/>
              </w:rPr>
              <w:t>(N)</w:t>
            </w:r>
          </w:p>
        </w:tc>
      </w:tr>
      <w:tr w:rsidR="003953B1" w:rsidRPr="003953B1" w:rsidTr="00094040">
        <w:trPr>
          <w:trHeight w:val="300"/>
        </w:trPr>
        <w:tc>
          <w:tcPr>
            <w:tcW w:w="0" w:type="auto"/>
            <w:shd w:val="clear" w:color="auto" w:fill="BFBFBF" w:themeFill="background1" w:themeFillShade="BF"/>
            <w:noWrap/>
            <w:vAlign w:val="bottom"/>
            <w:hideMark/>
          </w:tcPr>
          <w:p w:rsidR="003953B1" w:rsidRPr="00094040" w:rsidRDefault="003953B1" w:rsidP="003953B1">
            <w:pPr>
              <w:spacing w:after="0"/>
              <w:rPr>
                <w:rFonts w:eastAsia="Times New Roman" w:cs="Times New Roman"/>
                <w:b/>
                <w:bCs/>
                <w:color w:val="000000"/>
                <w:sz w:val="20"/>
                <w:szCs w:val="20"/>
              </w:rPr>
            </w:pPr>
            <w:r w:rsidRPr="00094040">
              <w:rPr>
                <w:rFonts w:eastAsia="Times New Roman" w:cs="Times New Roman"/>
                <w:b/>
                <w:bCs/>
                <w:color w:val="000000"/>
                <w:sz w:val="20"/>
                <w:szCs w:val="20"/>
              </w:rPr>
              <w:t>Year</w:t>
            </w:r>
          </w:p>
        </w:tc>
        <w:tc>
          <w:tcPr>
            <w:tcW w:w="0" w:type="auto"/>
            <w:shd w:val="clear" w:color="auto" w:fill="BFBFBF" w:themeFill="background1" w:themeFillShade="BF"/>
            <w:noWrap/>
            <w:vAlign w:val="bottom"/>
            <w:hideMark/>
          </w:tcPr>
          <w:p w:rsidR="003953B1" w:rsidRPr="00094040" w:rsidRDefault="003953B1" w:rsidP="003953B1">
            <w:pPr>
              <w:spacing w:after="0"/>
              <w:jc w:val="center"/>
              <w:rPr>
                <w:rFonts w:eastAsia="Times New Roman" w:cs="Times New Roman"/>
                <w:b/>
                <w:bCs/>
                <w:color w:val="000000"/>
                <w:sz w:val="20"/>
                <w:szCs w:val="20"/>
              </w:rPr>
            </w:pPr>
            <w:r w:rsidRPr="00094040">
              <w:rPr>
                <w:rFonts w:eastAsia="Times New Roman" w:cs="Times New Roman"/>
                <w:b/>
                <w:bCs/>
                <w:color w:val="000000"/>
                <w:sz w:val="20"/>
                <w:szCs w:val="20"/>
              </w:rPr>
              <w:t>Females</w:t>
            </w:r>
          </w:p>
        </w:tc>
        <w:tc>
          <w:tcPr>
            <w:tcW w:w="0" w:type="auto"/>
            <w:shd w:val="clear" w:color="auto" w:fill="BFBFBF" w:themeFill="background1" w:themeFillShade="BF"/>
            <w:noWrap/>
            <w:vAlign w:val="bottom"/>
            <w:hideMark/>
          </w:tcPr>
          <w:p w:rsidR="003953B1" w:rsidRPr="00094040" w:rsidRDefault="003953B1" w:rsidP="003953B1">
            <w:pPr>
              <w:spacing w:after="0"/>
              <w:jc w:val="center"/>
              <w:rPr>
                <w:rFonts w:eastAsia="Times New Roman" w:cs="Times New Roman"/>
                <w:b/>
                <w:bCs/>
                <w:color w:val="000000"/>
                <w:sz w:val="20"/>
                <w:szCs w:val="20"/>
              </w:rPr>
            </w:pPr>
            <w:r w:rsidRPr="00094040">
              <w:rPr>
                <w:rFonts w:eastAsia="Times New Roman" w:cs="Times New Roman"/>
                <w:b/>
                <w:bCs/>
                <w:color w:val="000000"/>
                <w:sz w:val="20"/>
                <w:szCs w:val="20"/>
              </w:rPr>
              <w:t>Males</w:t>
            </w:r>
          </w:p>
        </w:tc>
        <w:tc>
          <w:tcPr>
            <w:tcW w:w="0" w:type="auto"/>
            <w:shd w:val="clear" w:color="auto" w:fill="BFBFBF" w:themeFill="background1" w:themeFillShade="BF"/>
            <w:noWrap/>
            <w:vAlign w:val="bottom"/>
            <w:hideMark/>
          </w:tcPr>
          <w:p w:rsidR="003953B1" w:rsidRPr="00094040" w:rsidRDefault="003953B1" w:rsidP="003953B1">
            <w:pPr>
              <w:spacing w:after="0"/>
              <w:jc w:val="center"/>
              <w:rPr>
                <w:rFonts w:eastAsia="Times New Roman" w:cs="Times New Roman"/>
                <w:b/>
                <w:bCs/>
                <w:color w:val="000000"/>
                <w:sz w:val="20"/>
                <w:szCs w:val="20"/>
              </w:rPr>
            </w:pPr>
            <w:r w:rsidRPr="00094040">
              <w:rPr>
                <w:rFonts w:eastAsia="Times New Roman" w:cs="Times New Roman"/>
                <w:b/>
                <w:bCs/>
                <w:color w:val="000000"/>
                <w:sz w:val="20"/>
                <w:szCs w:val="20"/>
              </w:rPr>
              <w:t>Females</w:t>
            </w:r>
          </w:p>
        </w:tc>
        <w:tc>
          <w:tcPr>
            <w:tcW w:w="0" w:type="auto"/>
            <w:shd w:val="clear" w:color="auto" w:fill="BFBFBF" w:themeFill="background1" w:themeFillShade="BF"/>
            <w:noWrap/>
            <w:vAlign w:val="bottom"/>
            <w:hideMark/>
          </w:tcPr>
          <w:p w:rsidR="003953B1" w:rsidRPr="00094040" w:rsidRDefault="003953B1" w:rsidP="003953B1">
            <w:pPr>
              <w:spacing w:after="0"/>
              <w:jc w:val="center"/>
              <w:rPr>
                <w:rFonts w:eastAsia="Times New Roman" w:cs="Times New Roman"/>
                <w:b/>
                <w:bCs/>
                <w:color w:val="000000"/>
                <w:sz w:val="20"/>
                <w:szCs w:val="20"/>
              </w:rPr>
            </w:pPr>
            <w:r w:rsidRPr="00094040">
              <w:rPr>
                <w:rFonts w:eastAsia="Times New Roman" w:cs="Times New Roman"/>
                <w:b/>
                <w:bCs/>
                <w:color w:val="000000"/>
                <w:sz w:val="20"/>
                <w:szCs w:val="20"/>
              </w:rPr>
              <w:t>Males</w:t>
            </w:r>
          </w:p>
        </w:tc>
        <w:tc>
          <w:tcPr>
            <w:tcW w:w="0" w:type="auto"/>
            <w:shd w:val="clear" w:color="auto" w:fill="BFBFBF" w:themeFill="background1" w:themeFillShade="BF"/>
            <w:noWrap/>
            <w:vAlign w:val="bottom"/>
            <w:hideMark/>
          </w:tcPr>
          <w:p w:rsidR="003953B1" w:rsidRPr="00094040" w:rsidRDefault="003953B1" w:rsidP="003953B1">
            <w:pPr>
              <w:spacing w:after="0"/>
              <w:rPr>
                <w:rFonts w:eastAsia="Times New Roman" w:cs="Times New Roman"/>
                <w:b/>
                <w:bCs/>
                <w:color w:val="000000"/>
                <w:sz w:val="20"/>
                <w:szCs w:val="20"/>
              </w:rPr>
            </w:pPr>
            <w:r w:rsidRPr="00094040">
              <w:rPr>
                <w:rFonts w:eastAsia="Times New Roman" w:cs="Times New Roman"/>
                <w:b/>
                <w:bCs/>
                <w:color w:val="000000"/>
                <w:sz w:val="20"/>
                <w:szCs w:val="20"/>
              </w:rPr>
              <w:t>Females</w:t>
            </w:r>
          </w:p>
        </w:tc>
        <w:tc>
          <w:tcPr>
            <w:tcW w:w="0" w:type="auto"/>
            <w:shd w:val="clear" w:color="auto" w:fill="BFBFBF" w:themeFill="background1" w:themeFillShade="BF"/>
            <w:noWrap/>
            <w:vAlign w:val="bottom"/>
            <w:hideMark/>
          </w:tcPr>
          <w:p w:rsidR="003953B1" w:rsidRPr="00094040" w:rsidRDefault="003953B1" w:rsidP="003953B1">
            <w:pPr>
              <w:spacing w:after="0"/>
              <w:rPr>
                <w:rFonts w:eastAsia="Times New Roman" w:cs="Times New Roman"/>
                <w:b/>
                <w:bCs/>
                <w:color w:val="000000"/>
                <w:sz w:val="20"/>
                <w:szCs w:val="20"/>
              </w:rPr>
            </w:pPr>
            <w:r w:rsidRPr="00094040">
              <w:rPr>
                <w:rFonts w:eastAsia="Times New Roman" w:cs="Times New Roman"/>
                <w:b/>
                <w:bCs/>
                <w:color w:val="000000"/>
                <w:sz w:val="20"/>
                <w:szCs w:val="20"/>
              </w:rPr>
              <w:t>Males</w:t>
            </w:r>
          </w:p>
        </w:tc>
      </w:tr>
      <w:tr w:rsidR="003953B1" w:rsidRPr="003953B1" w:rsidTr="00094040">
        <w:trPr>
          <w:trHeight w:val="300"/>
        </w:trPr>
        <w:tc>
          <w:tcPr>
            <w:tcW w:w="0" w:type="auto"/>
            <w:shd w:val="clear" w:color="auto" w:fill="auto"/>
            <w:noWrap/>
            <w:vAlign w:val="bottom"/>
            <w:hideMark/>
          </w:tcPr>
          <w:p w:rsidR="003953B1" w:rsidRPr="00094040" w:rsidRDefault="003953B1" w:rsidP="003953B1">
            <w:pPr>
              <w:spacing w:after="0"/>
              <w:jc w:val="right"/>
              <w:rPr>
                <w:rFonts w:eastAsia="Times New Roman" w:cs="Times New Roman"/>
                <w:sz w:val="20"/>
                <w:szCs w:val="20"/>
              </w:rPr>
            </w:pPr>
            <w:r w:rsidRPr="00094040">
              <w:rPr>
                <w:rFonts w:eastAsia="Times New Roman" w:cs="Times New Roman"/>
                <w:sz w:val="20"/>
                <w:szCs w:val="20"/>
              </w:rPr>
              <w:t>2004</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45</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42</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45</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42</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43</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139</w:t>
            </w:r>
          </w:p>
        </w:tc>
      </w:tr>
      <w:tr w:rsidR="003953B1" w:rsidRPr="003953B1" w:rsidTr="00094040">
        <w:trPr>
          <w:trHeight w:val="300"/>
        </w:trPr>
        <w:tc>
          <w:tcPr>
            <w:tcW w:w="0" w:type="auto"/>
            <w:shd w:val="clear" w:color="auto" w:fill="auto"/>
            <w:noWrap/>
            <w:vAlign w:val="bottom"/>
            <w:hideMark/>
          </w:tcPr>
          <w:p w:rsidR="003953B1" w:rsidRPr="00094040" w:rsidRDefault="003953B1" w:rsidP="003953B1">
            <w:pPr>
              <w:spacing w:after="0"/>
              <w:jc w:val="right"/>
              <w:rPr>
                <w:rFonts w:eastAsia="Times New Roman" w:cs="Times New Roman"/>
                <w:sz w:val="20"/>
                <w:szCs w:val="20"/>
              </w:rPr>
            </w:pPr>
            <w:r w:rsidRPr="00094040">
              <w:rPr>
                <w:rFonts w:eastAsia="Times New Roman" w:cs="Times New Roman"/>
                <w:sz w:val="20"/>
                <w:szCs w:val="20"/>
              </w:rPr>
              <w:t>2005</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43</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41</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44</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42</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98</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355</w:t>
            </w:r>
          </w:p>
        </w:tc>
      </w:tr>
      <w:tr w:rsidR="003953B1" w:rsidRPr="003953B1" w:rsidTr="00094040">
        <w:trPr>
          <w:trHeight w:val="300"/>
        </w:trPr>
        <w:tc>
          <w:tcPr>
            <w:tcW w:w="0" w:type="auto"/>
            <w:shd w:val="clear" w:color="auto" w:fill="auto"/>
            <w:noWrap/>
            <w:vAlign w:val="bottom"/>
            <w:hideMark/>
          </w:tcPr>
          <w:p w:rsidR="003953B1" w:rsidRPr="00094040" w:rsidRDefault="003953B1" w:rsidP="003953B1">
            <w:pPr>
              <w:spacing w:after="0"/>
              <w:jc w:val="right"/>
              <w:rPr>
                <w:rFonts w:eastAsia="Times New Roman" w:cs="Times New Roman"/>
                <w:sz w:val="20"/>
                <w:szCs w:val="20"/>
              </w:rPr>
            </w:pPr>
            <w:r w:rsidRPr="00094040">
              <w:rPr>
                <w:rFonts w:eastAsia="Times New Roman" w:cs="Times New Roman"/>
                <w:sz w:val="20"/>
                <w:szCs w:val="20"/>
              </w:rPr>
              <w:t>2006</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42</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41</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42</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41</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127</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334</w:t>
            </w:r>
          </w:p>
        </w:tc>
      </w:tr>
      <w:tr w:rsidR="003953B1" w:rsidRPr="003953B1" w:rsidTr="00094040">
        <w:trPr>
          <w:trHeight w:val="300"/>
        </w:trPr>
        <w:tc>
          <w:tcPr>
            <w:tcW w:w="0" w:type="auto"/>
            <w:shd w:val="clear" w:color="auto" w:fill="auto"/>
            <w:noWrap/>
            <w:vAlign w:val="bottom"/>
            <w:hideMark/>
          </w:tcPr>
          <w:p w:rsidR="003953B1" w:rsidRPr="00094040" w:rsidRDefault="003953B1" w:rsidP="003953B1">
            <w:pPr>
              <w:spacing w:after="0"/>
              <w:jc w:val="right"/>
              <w:rPr>
                <w:rFonts w:eastAsia="Times New Roman" w:cs="Times New Roman"/>
                <w:sz w:val="20"/>
                <w:szCs w:val="20"/>
              </w:rPr>
            </w:pPr>
            <w:r w:rsidRPr="00094040">
              <w:rPr>
                <w:rFonts w:eastAsia="Times New Roman" w:cs="Times New Roman"/>
                <w:sz w:val="20"/>
                <w:szCs w:val="20"/>
              </w:rPr>
              <w:t>2007</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43</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42</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43</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43</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208</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493</w:t>
            </w:r>
          </w:p>
        </w:tc>
      </w:tr>
      <w:tr w:rsidR="003953B1" w:rsidRPr="003953B1" w:rsidTr="00094040">
        <w:trPr>
          <w:trHeight w:val="300"/>
        </w:trPr>
        <w:tc>
          <w:tcPr>
            <w:tcW w:w="0" w:type="auto"/>
            <w:shd w:val="clear" w:color="auto" w:fill="auto"/>
            <w:noWrap/>
            <w:vAlign w:val="bottom"/>
            <w:hideMark/>
          </w:tcPr>
          <w:p w:rsidR="003953B1" w:rsidRPr="00094040" w:rsidRDefault="003953B1" w:rsidP="003953B1">
            <w:pPr>
              <w:spacing w:after="0"/>
              <w:jc w:val="right"/>
              <w:rPr>
                <w:rFonts w:eastAsia="Times New Roman" w:cs="Times New Roman"/>
                <w:sz w:val="20"/>
                <w:szCs w:val="20"/>
              </w:rPr>
            </w:pPr>
            <w:r w:rsidRPr="00094040">
              <w:rPr>
                <w:rFonts w:eastAsia="Times New Roman" w:cs="Times New Roman"/>
                <w:sz w:val="20"/>
                <w:szCs w:val="20"/>
              </w:rPr>
              <w:t>2008</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44</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43</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44</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44</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198</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533</w:t>
            </w:r>
          </w:p>
        </w:tc>
      </w:tr>
      <w:tr w:rsidR="003953B1" w:rsidRPr="003953B1" w:rsidTr="00094040">
        <w:trPr>
          <w:trHeight w:val="300"/>
        </w:trPr>
        <w:tc>
          <w:tcPr>
            <w:tcW w:w="0" w:type="auto"/>
            <w:shd w:val="clear" w:color="auto" w:fill="auto"/>
            <w:noWrap/>
            <w:vAlign w:val="bottom"/>
            <w:hideMark/>
          </w:tcPr>
          <w:p w:rsidR="003953B1" w:rsidRPr="00094040" w:rsidRDefault="003953B1" w:rsidP="003953B1">
            <w:pPr>
              <w:spacing w:after="0"/>
              <w:jc w:val="right"/>
              <w:rPr>
                <w:rFonts w:eastAsia="Times New Roman" w:cs="Times New Roman"/>
                <w:sz w:val="20"/>
                <w:szCs w:val="20"/>
              </w:rPr>
            </w:pPr>
            <w:r w:rsidRPr="00094040">
              <w:rPr>
                <w:rFonts w:eastAsia="Times New Roman" w:cs="Times New Roman"/>
                <w:sz w:val="20"/>
                <w:szCs w:val="20"/>
              </w:rPr>
              <w:t>2009</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41</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42</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43</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44</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181</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479</w:t>
            </w:r>
          </w:p>
        </w:tc>
      </w:tr>
      <w:tr w:rsidR="003953B1" w:rsidRPr="003953B1" w:rsidTr="00094040">
        <w:trPr>
          <w:trHeight w:val="300"/>
        </w:trPr>
        <w:tc>
          <w:tcPr>
            <w:tcW w:w="0" w:type="auto"/>
            <w:shd w:val="clear" w:color="auto" w:fill="auto"/>
            <w:noWrap/>
            <w:vAlign w:val="bottom"/>
            <w:hideMark/>
          </w:tcPr>
          <w:p w:rsidR="003953B1" w:rsidRPr="00094040" w:rsidRDefault="003953B1" w:rsidP="003953B1">
            <w:pPr>
              <w:spacing w:after="0"/>
              <w:jc w:val="right"/>
              <w:rPr>
                <w:rFonts w:eastAsia="Times New Roman" w:cs="Times New Roman"/>
                <w:sz w:val="20"/>
                <w:szCs w:val="20"/>
              </w:rPr>
            </w:pPr>
            <w:r w:rsidRPr="00094040">
              <w:rPr>
                <w:rFonts w:eastAsia="Times New Roman" w:cs="Times New Roman"/>
                <w:sz w:val="20"/>
                <w:szCs w:val="20"/>
              </w:rPr>
              <w:t>2010</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44</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41</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45</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42</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227</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450</w:t>
            </w:r>
          </w:p>
        </w:tc>
      </w:tr>
      <w:tr w:rsidR="003953B1" w:rsidRPr="003953B1" w:rsidTr="00094040">
        <w:trPr>
          <w:trHeight w:val="300"/>
        </w:trPr>
        <w:tc>
          <w:tcPr>
            <w:tcW w:w="0" w:type="auto"/>
            <w:shd w:val="clear" w:color="auto" w:fill="auto"/>
            <w:noWrap/>
            <w:vAlign w:val="bottom"/>
            <w:hideMark/>
          </w:tcPr>
          <w:p w:rsidR="003953B1" w:rsidRPr="00094040" w:rsidRDefault="003953B1" w:rsidP="003953B1">
            <w:pPr>
              <w:spacing w:after="0"/>
              <w:jc w:val="right"/>
              <w:rPr>
                <w:rFonts w:eastAsia="Times New Roman" w:cs="Times New Roman"/>
                <w:sz w:val="20"/>
                <w:szCs w:val="20"/>
              </w:rPr>
            </w:pPr>
            <w:r w:rsidRPr="00094040">
              <w:rPr>
                <w:rFonts w:eastAsia="Times New Roman" w:cs="Times New Roman"/>
                <w:sz w:val="20"/>
                <w:szCs w:val="20"/>
              </w:rPr>
              <w:t>2011</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44</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41</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45</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42</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292</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514</w:t>
            </w:r>
          </w:p>
        </w:tc>
      </w:tr>
      <w:tr w:rsidR="003953B1" w:rsidRPr="003953B1" w:rsidTr="00094040">
        <w:trPr>
          <w:trHeight w:val="300"/>
        </w:trPr>
        <w:tc>
          <w:tcPr>
            <w:tcW w:w="0" w:type="auto"/>
            <w:shd w:val="clear" w:color="auto" w:fill="auto"/>
            <w:noWrap/>
            <w:vAlign w:val="bottom"/>
            <w:hideMark/>
          </w:tcPr>
          <w:p w:rsidR="003953B1" w:rsidRPr="00094040" w:rsidRDefault="003953B1" w:rsidP="003953B1">
            <w:pPr>
              <w:spacing w:after="0"/>
              <w:jc w:val="right"/>
              <w:rPr>
                <w:rFonts w:eastAsia="Times New Roman" w:cs="Times New Roman"/>
                <w:sz w:val="20"/>
                <w:szCs w:val="20"/>
              </w:rPr>
            </w:pPr>
            <w:r w:rsidRPr="00094040">
              <w:rPr>
                <w:rFonts w:eastAsia="Times New Roman" w:cs="Times New Roman"/>
                <w:sz w:val="20"/>
                <w:szCs w:val="20"/>
              </w:rPr>
              <w:t>2012</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43</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41</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44</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43</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280</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499</w:t>
            </w:r>
          </w:p>
        </w:tc>
      </w:tr>
      <w:tr w:rsidR="003953B1" w:rsidRPr="003953B1" w:rsidTr="00094040">
        <w:trPr>
          <w:trHeight w:val="300"/>
        </w:trPr>
        <w:tc>
          <w:tcPr>
            <w:tcW w:w="0" w:type="auto"/>
            <w:shd w:val="clear" w:color="auto" w:fill="auto"/>
            <w:noWrap/>
            <w:vAlign w:val="bottom"/>
            <w:hideMark/>
          </w:tcPr>
          <w:p w:rsidR="003953B1" w:rsidRPr="00094040" w:rsidRDefault="003953B1" w:rsidP="003953B1">
            <w:pPr>
              <w:spacing w:after="0"/>
              <w:jc w:val="right"/>
              <w:rPr>
                <w:rFonts w:eastAsia="Times New Roman" w:cs="Times New Roman"/>
                <w:sz w:val="20"/>
                <w:szCs w:val="20"/>
              </w:rPr>
            </w:pPr>
            <w:r w:rsidRPr="00094040">
              <w:rPr>
                <w:rFonts w:eastAsia="Times New Roman" w:cs="Times New Roman"/>
                <w:sz w:val="20"/>
                <w:szCs w:val="20"/>
              </w:rPr>
              <w:t>2013</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45</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41</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45</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43</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344</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506</w:t>
            </w:r>
          </w:p>
        </w:tc>
      </w:tr>
      <w:tr w:rsidR="003953B1" w:rsidRPr="003953B1" w:rsidTr="00094040">
        <w:trPr>
          <w:trHeight w:val="300"/>
        </w:trPr>
        <w:tc>
          <w:tcPr>
            <w:tcW w:w="0" w:type="auto"/>
            <w:shd w:val="clear" w:color="auto" w:fill="auto"/>
            <w:noWrap/>
            <w:vAlign w:val="bottom"/>
            <w:hideMark/>
          </w:tcPr>
          <w:p w:rsidR="003953B1" w:rsidRPr="00094040" w:rsidRDefault="003953B1" w:rsidP="003953B1">
            <w:pPr>
              <w:spacing w:after="0"/>
              <w:jc w:val="right"/>
              <w:rPr>
                <w:rFonts w:eastAsia="Times New Roman" w:cs="Times New Roman"/>
                <w:sz w:val="20"/>
                <w:szCs w:val="20"/>
              </w:rPr>
            </w:pPr>
            <w:r w:rsidRPr="00094040">
              <w:rPr>
                <w:rFonts w:eastAsia="Times New Roman" w:cs="Times New Roman"/>
                <w:sz w:val="20"/>
                <w:szCs w:val="20"/>
              </w:rPr>
              <w:t>2014</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47</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42</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47</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43</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538</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650</w:t>
            </w:r>
          </w:p>
        </w:tc>
      </w:tr>
      <w:tr w:rsidR="003953B1" w:rsidRPr="003953B1" w:rsidTr="00094040">
        <w:trPr>
          <w:trHeight w:val="300"/>
        </w:trPr>
        <w:tc>
          <w:tcPr>
            <w:tcW w:w="0" w:type="auto"/>
            <w:shd w:val="clear" w:color="auto" w:fill="auto"/>
            <w:noWrap/>
            <w:vAlign w:val="bottom"/>
            <w:hideMark/>
          </w:tcPr>
          <w:p w:rsidR="003953B1" w:rsidRPr="00094040" w:rsidRDefault="003953B1" w:rsidP="003953B1">
            <w:pPr>
              <w:spacing w:after="0"/>
              <w:jc w:val="right"/>
              <w:rPr>
                <w:rFonts w:eastAsia="Times New Roman" w:cs="Times New Roman"/>
                <w:sz w:val="20"/>
                <w:szCs w:val="20"/>
              </w:rPr>
            </w:pPr>
            <w:r w:rsidRPr="00094040">
              <w:rPr>
                <w:rFonts w:eastAsia="Times New Roman" w:cs="Times New Roman"/>
                <w:sz w:val="20"/>
                <w:szCs w:val="20"/>
              </w:rPr>
              <w:t>2015</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44</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42</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45</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43</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527</w:t>
            </w:r>
          </w:p>
        </w:tc>
        <w:tc>
          <w:tcPr>
            <w:tcW w:w="0" w:type="auto"/>
            <w:shd w:val="clear" w:color="auto" w:fill="auto"/>
            <w:noWrap/>
            <w:vAlign w:val="bottom"/>
            <w:hideMark/>
          </w:tcPr>
          <w:p w:rsidR="003953B1" w:rsidRPr="00094040" w:rsidRDefault="003953B1" w:rsidP="003953B1">
            <w:pPr>
              <w:spacing w:after="0"/>
              <w:jc w:val="center"/>
              <w:rPr>
                <w:rFonts w:eastAsia="Times New Roman" w:cs="Times New Roman"/>
                <w:sz w:val="20"/>
                <w:szCs w:val="20"/>
              </w:rPr>
            </w:pPr>
            <w:r w:rsidRPr="00094040">
              <w:rPr>
                <w:rFonts w:eastAsia="Times New Roman" w:cs="Times New Roman"/>
                <w:sz w:val="20"/>
                <w:szCs w:val="20"/>
              </w:rPr>
              <w:t>653</w:t>
            </w:r>
          </w:p>
        </w:tc>
      </w:tr>
    </w:tbl>
    <w:p w:rsidR="00F64A2A" w:rsidRDefault="005B71FB" w:rsidP="002059CA">
      <w:pPr>
        <w:spacing w:line="276" w:lineRule="auto"/>
      </w:pPr>
      <w:r>
        <w:lastRenderedPageBreak/>
        <w:t xml:space="preserve">There may be many years between symptom onset, diagnosis and treatment. </w:t>
      </w:r>
      <w:r w:rsidR="00E812B9">
        <w:t xml:space="preserve">Age at initiation of </w:t>
      </w:r>
      <w:r w:rsidR="002B2913">
        <w:t>bDMARDs</w:t>
      </w:r>
      <w:r w:rsidR="003B198A">
        <w:t xml:space="preserve"> has</w:t>
      </w:r>
      <w:r w:rsidR="00E812B9">
        <w:t xml:space="preserve"> remained reasonably consistent over time </w:t>
      </w:r>
      <w:r w:rsidR="00A231A0">
        <w:t>for males and females.</w:t>
      </w:r>
      <w:r w:rsidR="00F64A2A">
        <w:t xml:space="preserve"> </w:t>
      </w:r>
    </w:p>
    <w:p w:rsidR="000753C1" w:rsidRDefault="000753C1" w:rsidP="002059CA">
      <w:pPr>
        <w:spacing w:line="276" w:lineRule="auto"/>
      </w:pPr>
      <w:r>
        <w:t xml:space="preserve">For comparison with the incidence and prevalence rates reported in the </w:t>
      </w:r>
      <w:r w:rsidR="00A231A0">
        <w:t>literature</w:t>
      </w:r>
      <w:r w:rsidR="003B198A">
        <w:t>,</w:t>
      </w:r>
      <w:r>
        <w:t xml:space="preserve"> patient </w:t>
      </w:r>
      <w:r w:rsidR="009F17AC">
        <w:t>counts</w:t>
      </w:r>
      <w:r>
        <w:t xml:space="preserve"> in Figures </w:t>
      </w:r>
      <w:r w:rsidR="005E4D5F">
        <w:t xml:space="preserve">2, </w:t>
      </w:r>
      <w:r w:rsidR="003B198A">
        <w:t>3</w:t>
      </w:r>
      <w:r w:rsidR="005E4D5F">
        <w:t xml:space="preserve"> and 4 </w:t>
      </w:r>
      <w:r>
        <w:t>have been converted to</w:t>
      </w:r>
      <w:r w:rsidR="009F17AC">
        <w:t xml:space="preserve"> a </w:t>
      </w:r>
      <w:r w:rsidR="005E4D5F">
        <w:t xml:space="preserve">bDMARD for AS </w:t>
      </w:r>
      <w:r w:rsidR="009F17AC">
        <w:t>treatment rate</w:t>
      </w:r>
      <w:r w:rsidR="0000137E">
        <w:t>, e</w:t>
      </w:r>
      <w:r w:rsidR="009F17AC">
        <w:t xml:space="preserve">xpressed as a </w:t>
      </w:r>
      <w:r>
        <w:t>percentage of the ABS population</w:t>
      </w:r>
      <w:r w:rsidR="00712441">
        <w:rPr>
          <w:rStyle w:val="FootnoteReference"/>
        </w:rPr>
        <w:footnoteReference w:id="2"/>
      </w:r>
      <w:r>
        <w:t xml:space="preserve"> in Figures 5 and 6.</w:t>
      </w:r>
    </w:p>
    <w:p w:rsidR="00A44E4F" w:rsidRDefault="00A44E4F" w:rsidP="002059CA">
      <w:pPr>
        <w:spacing w:line="276" w:lineRule="auto"/>
        <w:rPr>
          <w:b/>
        </w:rPr>
      </w:pPr>
      <w:r>
        <w:rPr>
          <w:noProof/>
        </w:rPr>
        <w:drawing>
          <wp:inline distT="0" distB="0" distL="0" distR="0" wp14:anchorId="5CD84913" wp14:editId="539CB08B">
            <wp:extent cx="5172075" cy="3381375"/>
            <wp:effectExtent l="0" t="0" r="9525" b="9525"/>
            <wp:docPr id="15" name="Picture 15" descr="graph of Treatment rate of patients initiating on and prevalent to bDMARD therapy by year of approval" title="Treatment rate of patients initiating on and prevalent to bDMARD therapy by year of 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172075" cy="3381375"/>
                    </a:xfrm>
                    <a:prstGeom prst="rect">
                      <a:avLst/>
                    </a:prstGeom>
                  </pic:spPr>
                </pic:pic>
              </a:graphicData>
            </a:graphic>
          </wp:inline>
        </w:drawing>
      </w:r>
    </w:p>
    <w:p w:rsidR="00712441" w:rsidRDefault="009F17AC" w:rsidP="002059CA">
      <w:pPr>
        <w:spacing w:line="276" w:lineRule="auto"/>
        <w:rPr>
          <w:b/>
        </w:rPr>
      </w:pPr>
      <w:r w:rsidRPr="001D4A77">
        <w:rPr>
          <w:b/>
        </w:rPr>
        <w:t xml:space="preserve">Figure </w:t>
      </w:r>
      <w:r>
        <w:rPr>
          <w:b/>
        </w:rPr>
        <w:t>5</w:t>
      </w:r>
      <w:r w:rsidR="003434F0">
        <w:rPr>
          <w:b/>
        </w:rPr>
        <w:t>:</w:t>
      </w:r>
      <w:r w:rsidRPr="001D4A77">
        <w:rPr>
          <w:b/>
        </w:rPr>
        <w:t xml:space="preserve"> </w:t>
      </w:r>
      <w:r>
        <w:rPr>
          <w:b/>
        </w:rPr>
        <w:t xml:space="preserve">Treatment rate of patients </w:t>
      </w:r>
      <w:r w:rsidRPr="001D4A77">
        <w:rPr>
          <w:b/>
        </w:rPr>
        <w:t xml:space="preserve">initiating </w:t>
      </w:r>
      <w:r>
        <w:rPr>
          <w:b/>
        </w:rPr>
        <w:t xml:space="preserve">on </w:t>
      </w:r>
      <w:r w:rsidRPr="001D4A77">
        <w:rPr>
          <w:b/>
        </w:rPr>
        <w:t>and prevalent to bDMARD therapy by year</w:t>
      </w:r>
      <w:r>
        <w:rPr>
          <w:b/>
        </w:rPr>
        <w:t xml:space="preserve"> of approval</w:t>
      </w:r>
    </w:p>
    <w:p w:rsidR="00A44E4F" w:rsidRDefault="00A44E4F" w:rsidP="002059CA">
      <w:pPr>
        <w:spacing w:line="276" w:lineRule="auto"/>
        <w:rPr>
          <w:b/>
        </w:rPr>
      </w:pPr>
      <w:r>
        <w:rPr>
          <w:noProof/>
        </w:rPr>
        <w:lastRenderedPageBreak/>
        <w:drawing>
          <wp:inline distT="0" distB="0" distL="0" distR="0" wp14:anchorId="13F5D1FB" wp14:editId="588550C4">
            <wp:extent cx="5162550" cy="3390900"/>
            <wp:effectExtent l="0" t="0" r="0" b="0"/>
            <wp:docPr id="16" name="Picture 16" descr="graph of Treatment rate of patients initiating on and prevalent to bDMARD therapy by gender and year of approval" title="Treatment rate of patients initiating on and prevalent to bDMARD therapy by gender and year of 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162550" cy="3390900"/>
                    </a:xfrm>
                    <a:prstGeom prst="rect">
                      <a:avLst/>
                    </a:prstGeom>
                  </pic:spPr>
                </pic:pic>
              </a:graphicData>
            </a:graphic>
          </wp:inline>
        </w:drawing>
      </w:r>
    </w:p>
    <w:p w:rsidR="009F17AC" w:rsidRDefault="009F17AC" w:rsidP="002059CA">
      <w:pPr>
        <w:spacing w:line="276" w:lineRule="auto"/>
        <w:rPr>
          <w:b/>
        </w:rPr>
      </w:pPr>
      <w:r w:rsidRPr="001D4A77">
        <w:rPr>
          <w:b/>
        </w:rPr>
        <w:t xml:space="preserve">Figure </w:t>
      </w:r>
      <w:r>
        <w:rPr>
          <w:b/>
        </w:rPr>
        <w:t>6</w:t>
      </w:r>
      <w:r w:rsidR="003434F0">
        <w:rPr>
          <w:b/>
        </w:rPr>
        <w:t>:</w:t>
      </w:r>
      <w:r w:rsidRPr="001D4A77">
        <w:rPr>
          <w:b/>
        </w:rPr>
        <w:t xml:space="preserve"> </w:t>
      </w:r>
      <w:r>
        <w:rPr>
          <w:b/>
        </w:rPr>
        <w:t xml:space="preserve">Treatment rate of patients </w:t>
      </w:r>
      <w:r w:rsidRPr="001D4A77">
        <w:rPr>
          <w:b/>
        </w:rPr>
        <w:t xml:space="preserve">initiating </w:t>
      </w:r>
      <w:r>
        <w:rPr>
          <w:b/>
        </w:rPr>
        <w:t xml:space="preserve">on </w:t>
      </w:r>
      <w:r w:rsidRPr="001D4A77">
        <w:rPr>
          <w:b/>
        </w:rPr>
        <w:t xml:space="preserve">and prevalent to bDMARD therapy by </w:t>
      </w:r>
      <w:r>
        <w:rPr>
          <w:b/>
        </w:rPr>
        <w:t xml:space="preserve">gender and </w:t>
      </w:r>
      <w:r w:rsidRPr="001D4A77">
        <w:rPr>
          <w:b/>
        </w:rPr>
        <w:t>year</w:t>
      </w:r>
      <w:r>
        <w:rPr>
          <w:b/>
        </w:rPr>
        <w:t xml:space="preserve"> of approval</w:t>
      </w:r>
    </w:p>
    <w:p w:rsidR="00712441" w:rsidRPr="00712441" w:rsidRDefault="00712441" w:rsidP="00C06F3C">
      <w:pPr>
        <w:spacing w:after="240" w:line="276" w:lineRule="auto"/>
      </w:pPr>
      <w:r w:rsidRPr="00712441">
        <w:t>F</w:t>
      </w:r>
      <w:r>
        <w:t xml:space="preserve">igure 6 shows that </w:t>
      </w:r>
      <w:r w:rsidR="002B61C2">
        <w:t xml:space="preserve">the treatment initiation rate for males has remained relatively constant since 2007 and the rate for females has </w:t>
      </w:r>
      <w:proofErr w:type="gramStart"/>
      <w:r w:rsidR="002B61C2">
        <w:t>risen</w:t>
      </w:r>
      <w:proofErr w:type="gramEnd"/>
      <w:r w:rsidR="002B61C2">
        <w:t xml:space="preserve"> over this period to be almost the same as for males.</w:t>
      </w:r>
    </w:p>
    <w:p w:rsidR="006F18B4" w:rsidRDefault="006F18B4">
      <w:pPr>
        <w:spacing w:line="276" w:lineRule="auto"/>
        <w:rPr>
          <w:b/>
          <w:u w:val="single"/>
        </w:rPr>
      </w:pPr>
      <w:r>
        <w:rPr>
          <w:b/>
          <w:u w:val="single"/>
        </w:rPr>
        <w:br w:type="page"/>
      </w:r>
    </w:p>
    <w:p w:rsidR="008E466D" w:rsidRPr="00FF1B8F" w:rsidRDefault="008E466D" w:rsidP="002059CA">
      <w:pPr>
        <w:spacing w:line="276" w:lineRule="auto"/>
        <w:rPr>
          <w:b/>
          <w:i/>
        </w:rPr>
      </w:pPr>
      <w:r w:rsidRPr="00FF1B8F">
        <w:rPr>
          <w:b/>
          <w:i/>
        </w:rPr>
        <w:lastRenderedPageBreak/>
        <w:t>By state analysis</w:t>
      </w:r>
    </w:p>
    <w:p w:rsidR="00A44E4F" w:rsidRDefault="00A44E4F" w:rsidP="004D5952">
      <w:pPr>
        <w:spacing w:line="276" w:lineRule="auto"/>
        <w:rPr>
          <w:b/>
        </w:rPr>
      </w:pPr>
      <w:r>
        <w:rPr>
          <w:noProof/>
        </w:rPr>
        <w:drawing>
          <wp:inline distT="0" distB="0" distL="0" distR="0" wp14:anchorId="65058287" wp14:editId="1F6D740C">
            <wp:extent cx="5162550" cy="3371850"/>
            <wp:effectExtent l="0" t="0" r="0" b="0"/>
            <wp:docPr id="1" name="Picture 1" descr="graph of Treatment rate for patients initiating on bDMARD therapy by gender, patient state and year of approval" title="Treatment rate for patients initiating on bDMARD therapy by gender, patient state and year of 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162550" cy="3371850"/>
                    </a:xfrm>
                    <a:prstGeom prst="rect">
                      <a:avLst/>
                    </a:prstGeom>
                  </pic:spPr>
                </pic:pic>
              </a:graphicData>
            </a:graphic>
          </wp:inline>
        </w:drawing>
      </w:r>
    </w:p>
    <w:p w:rsidR="004D5952" w:rsidRPr="004D5952" w:rsidRDefault="004D5952" w:rsidP="004D5952">
      <w:pPr>
        <w:spacing w:line="276" w:lineRule="auto"/>
      </w:pPr>
      <w:r w:rsidRPr="001D4A77">
        <w:rPr>
          <w:b/>
        </w:rPr>
        <w:t xml:space="preserve">Figure </w:t>
      </w:r>
      <w:r>
        <w:rPr>
          <w:b/>
        </w:rPr>
        <w:t>7</w:t>
      </w:r>
      <w:r w:rsidR="003434F0">
        <w:rPr>
          <w:b/>
        </w:rPr>
        <w:t>:</w:t>
      </w:r>
      <w:r w:rsidRPr="001D4A77">
        <w:rPr>
          <w:b/>
        </w:rPr>
        <w:t xml:space="preserve"> </w:t>
      </w:r>
      <w:r w:rsidR="008319A4">
        <w:rPr>
          <w:b/>
        </w:rPr>
        <w:t>Treatment rate for</w:t>
      </w:r>
      <w:r>
        <w:rPr>
          <w:b/>
        </w:rPr>
        <w:t xml:space="preserve"> patients </w:t>
      </w:r>
      <w:r w:rsidRPr="001D4A77">
        <w:rPr>
          <w:b/>
        </w:rPr>
        <w:t xml:space="preserve">initiating </w:t>
      </w:r>
      <w:r>
        <w:rPr>
          <w:b/>
        </w:rPr>
        <w:t xml:space="preserve">on </w:t>
      </w:r>
      <w:r w:rsidRPr="001D4A77">
        <w:rPr>
          <w:b/>
        </w:rPr>
        <w:t xml:space="preserve">bDMARD therapy by </w:t>
      </w:r>
      <w:r>
        <w:rPr>
          <w:b/>
        </w:rPr>
        <w:t xml:space="preserve">gender, </w:t>
      </w:r>
      <w:r w:rsidR="009F525B">
        <w:rPr>
          <w:b/>
        </w:rPr>
        <w:t>patient</w:t>
      </w:r>
      <w:r>
        <w:rPr>
          <w:b/>
        </w:rPr>
        <w:t xml:space="preserve"> state and </w:t>
      </w:r>
      <w:r w:rsidRPr="001D4A77">
        <w:rPr>
          <w:b/>
        </w:rPr>
        <w:t>year</w:t>
      </w:r>
      <w:r>
        <w:rPr>
          <w:b/>
        </w:rPr>
        <w:t xml:space="preserve"> of approval</w:t>
      </w:r>
    </w:p>
    <w:p w:rsidR="00CE7FBD" w:rsidRDefault="00B01FE7" w:rsidP="002059CA">
      <w:pPr>
        <w:spacing w:line="276" w:lineRule="auto"/>
      </w:pPr>
      <w:r>
        <w:t>Figure 7 shows that there are marked differences in treatment rates across some jurisdictions. Initiation rates are highest in Western Australia</w:t>
      </w:r>
      <w:r w:rsidR="008319A4">
        <w:t xml:space="preserve"> for both males and females</w:t>
      </w:r>
      <w:r>
        <w:t xml:space="preserve">. Notably </w:t>
      </w:r>
      <w:r w:rsidR="008319A4">
        <w:t xml:space="preserve">WA is the only state where the rate </w:t>
      </w:r>
      <w:r>
        <w:t xml:space="preserve">of bDMARD initiations </w:t>
      </w:r>
      <w:r w:rsidR="008319A4">
        <w:t>for females is currently above the rate for males.</w:t>
      </w:r>
      <w:r w:rsidR="003434F0">
        <w:t xml:space="preserve"> This has been the case since 2013.</w:t>
      </w:r>
      <w:r w:rsidR="008028EE">
        <w:t xml:space="preserve"> Compared with other jurisdictions</w:t>
      </w:r>
      <w:r w:rsidR="00A234FA">
        <w:t>,</w:t>
      </w:r>
      <w:r w:rsidR="008028EE">
        <w:t xml:space="preserve"> the ACT also </w:t>
      </w:r>
      <w:r w:rsidR="00E3379C">
        <w:t xml:space="preserve">had </w:t>
      </w:r>
      <w:r w:rsidR="008028EE">
        <w:t xml:space="preserve">a higher rate of prescribing in women. Tasmania had </w:t>
      </w:r>
      <w:r w:rsidR="003434F0">
        <w:t>relatively high treatment rates for males</w:t>
      </w:r>
      <w:r w:rsidR="00CE7FBD">
        <w:t>.</w:t>
      </w:r>
    </w:p>
    <w:p w:rsidR="00141CEB" w:rsidRDefault="00141CEB" w:rsidP="00141CEB">
      <w:r>
        <w:t>Treatment initiation rates for males have been lowest in QLD. Treatment initiation rates for females</w:t>
      </w:r>
      <w:r w:rsidRPr="00F578E3">
        <w:t xml:space="preserve"> </w:t>
      </w:r>
      <w:r>
        <w:t>were lowest in QLD up until 2013. However in 2014 and 2015</w:t>
      </w:r>
      <w:r w:rsidR="00A234FA">
        <w:t>,</w:t>
      </w:r>
      <w:r>
        <w:t xml:space="preserve"> the rates in QLD rose strongly</w:t>
      </w:r>
      <w:r w:rsidR="005B71FB">
        <w:t>.</w:t>
      </w:r>
      <w:r>
        <w:t xml:space="preserve"> </w:t>
      </w:r>
    </w:p>
    <w:p w:rsidR="00DA67CF" w:rsidRDefault="005B71FB" w:rsidP="002059CA">
      <w:pPr>
        <w:spacing w:line="276" w:lineRule="auto"/>
      </w:pPr>
      <w:r>
        <w:t>I</w:t>
      </w:r>
      <w:r w:rsidR="00DA67CF">
        <w:t xml:space="preserve">n most jurisdictions </w:t>
      </w:r>
      <w:r w:rsidR="00DA67CF" w:rsidRPr="00DA67CF">
        <w:t>the treatment initiation rate for males has remained relatively constant since 2007 and the rate for females has risen over this period</w:t>
      </w:r>
      <w:r w:rsidR="00DA67CF">
        <w:t xml:space="preserve">, </w:t>
      </w:r>
      <w:r w:rsidR="00F131A3">
        <w:t>creating a falling gender ratio</w:t>
      </w:r>
      <w:r w:rsidR="00DA67CF">
        <w:t xml:space="preserve"> </w:t>
      </w:r>
      <w:r w:rsidR="00F131A3">
        <w:t>over</w:t>
      </w:r>
      <w:r w:rsidR="00DA67CF">
        <w:t xml:space="preserve"> this period (see Figure 9). </w:t>
      </w:r>
      <w:proofErr w:type="gramStart"/>
      <w:r w:rsidR="009F28AE">
        <w:t>One</w:t>
      </w:r>
      <w:r w:rsidR="00DA67CF">
        <w:t xml:space="preserve"> reason for </w:t>
      </w:r>
      <w:r>
        <w:t xml:space="preserve">the </w:t>
      </w:r>
      <w:r w:rsidR="00DA67CF">
        <w:t>nation</w:t>
      </w:r>
      <w:r w:rsidR="00A0340E">
        <w:t>al</w:t>
      </w:r>
      <w:r w:rsidR="00DA67CF">
        <w:t xml:space="preserve"> treatment </w:t>
      </w:r>
      <w:r w:rsidR="00DA67CF" w:rsidRPr="00DA67CF">
        <w:t xml:space="preserve">initiation rate for </w:t>
      </w:r>
      <w:r w:rsidR="00DA67CF">
        <w:t>fe</w:t>
      </w:r>
      <w:r w:rsidR="00DA67CF" w:rsidRPr="00DA67CF">
        <w:t>males</w:t>
      </w:r>
      <w:r w:rsidR="00DA67CF">
        <w:t xml:space="preserve"> almost rising to the same level as the rate for males </w:t>
      </w:r>
      <w:r w:rsidR="00F131A3">
        <w:t xml:space="preserve">in 2014 and 2015 </w:t>
      </w:r>
      <w:r w:rsidR="00DA67CF">
        <w:t xml:space="preserve">(see Figure 6) </w:t>
      </w:r>
      <w:r w:rsidR="00F131A3">
        <w:t>wa</w:t>
      </w:r>
      <w:r w:rsidR="00DA67CF">
        <w:t>s the large increase in the WA rate for females.</w:t>
      </w:r>
      <w:proofErr w:type="gramEnd"/>
    </w:p>
    <w:p w:rsidR="009F525B" w:rsidRDefault="009F525B" w:rsidP="003434F0">
      <w:pPr>
        <w:spacing w:line="276" w:lineRule="auto"/>
        <w:rPr>
          <w:b/>
        </w:rPr>
      </w:pPr>
    </w:p>
    <w:p w:rsidR="009F525B" w:rsidRDefault="00A44E4F" w:rsidP="003434F0">
      <w:pPr>
        <w:spacing w:line="276" w:lineRule="auto"/>
        <w:rPr>
          <w:b/>
        </w:rPr>
      </w:pPr>
      <w:r>
        <w:rPr>
          <w:noProof/>
        </w:rPr>
        <w:lastRenderedPageBreak/>
        <w:drawing>
          <wp:inline distT="0" distB="0" distL="0" distR="0" wp14:anchorId="3A9E6DCE" wp14:editId="481F7104">
            <wp:extent cx="5172075" cy="3390900"/>
            <wp:effectExtent l="0" t="0" r="9525" b="0"/>
            <wp:docPr id="17" name="Picture 17" descr="graph of Treatment rate for patients prevalent to bDMARD therapy by gender, patient state and year of approval" title="Treatment rate for patients prevalent to bDMARD therapy by gender, patient state and year of 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72075" cy="3390900"/>
                    </a:xfrm>
                    <a:prstGeom prst="rect">
                      <a:avLst/>
                    </a:prstGeom>
                  </pic:spPr>
                </pic:pic>
              </a:graphicData>
            </a:graphic>
          </wp:inline>
        </w:drawing>
      </w:r>
    </w:p>
    <w:p w:rsidR="003434F0" w:rsidRPr="004D5952" w:rsidRDefault="003434F0" w:rsidP="003434F0">
      <w:pPr>
        <w:spacing w:line="276" w:lineRule="auto"/>
      </w:pPr>
      <w:r w:rsidRPr="001D4A77">
        <w:rPr>
          <w:b/>
        </w:rPr>
        <w:t xml:space="preserve">Figure </w:t>
      </w:r>
      <w:r>
        <w:rPr>
          <w:b/>
        </w:rPr>
        <w:t>8:</w:t>
      </w:r>
      <w:r w:rsidRPr="001D4A77">
        <w:rPr>
          <w:b/>
        </w:rPr>
        <w:t xml:space="preserve"> </w:t>
      </w:r>
      <w:r>
        <w:rPr>
          <w:b/>
        </w:rPr>
        <w:t xml:space="preserve">Treatment rate for patients prevalent to </w:t>
      </w:r>
      <w:r w:rsidRPr="001D4A77">
        <w:rPr>
          <w:b/>
        </w:rPr>
        <w:t xml:space="preserve">bDMARD therapy by </w:t>
      </w:r>
      <w:r>
        <w:rPr>
          <w:b/>
        </w:rPr>
        <w:t xml:space="preserve">gender, </w:t>
      </w:r>
      <w:r w:rsidR="009F525B">
        <w:rPr>
          <w:b/>
        </w:rPr>
        <w:t>patient state</w:t>
      </w:r>
      <w:r>
        <w:rPr>
          <w:b/>
        </w:rPr>
        <w:t xml:space="preserve"> and </w:t>
      </w:r>
      <w:r w:rsidRPr="001D4A77">
        <w:rPr>
          <w:b/>
        </w:rPr>
        <w:t>year</w:t>
      </w:r>
      <w:r>
        <w:rPr>
          <w:b/>
        </w:rPr>
        <w:t xml:space="preserve"> of approval</w:t>
      </w:r>
    </w:p>
    <w:p w:rsidR="00A461C5" w:rsidRDefault="00CE7FBD" w:rsidP="002059CA">
      <w:pPr>
        <w:spacing w:line="276" w:lineRule="auto"/>
      </w:pPr>
      <w:r>
        <w:t>Figure 8 shows a similar result to Figure 7 with WA</w:t>
      </w:r>
      <w:r w:rsidR="009F525B">
        <w:t xml:space="preserve"> and </w:t>
      </w:r>
      <w:r>
        <w:t>TAS having high treatment rates for males and WA and ACT having high rate for females compared to the other jurisdictions.</w:t>
      </w:r>
    </w:p>
    <w:p w:rsidR="003434F0" w:rsidRDefault="00046C49" w:rsidP="00046C49">
      <w:pPr>
        <w:spacing w:line="276" w:lineRule="auto"/>
      </w:pPr>
      <w:r>
        <w:t>Treatment prevalence rates for males and females are lowest in QLD and NT.</w:t>
      </w:r>
    </w:p>
    <w:p w:rsidR="009F525B" w:rsidRDefault="009F525B" w:rsidP="00D60242">
      <w:pPr>
        <w:spacing w:line="276" w:lineRule="auto"/>
        <w:rPr>
          <w:b/>
        </w:rPr>
      </w:pPr>
    </w:p>
    <w:p w:rsidR="000535F1" w:rsidRDefault="000535F1" w:rsidP="00D60242">
      <w:pPr>
        <w:spacing w:line="276" w:lineRule="auto"/>
        <w:rPr>
          <w:b/>
        </w:rPr>
      </w:pPr>
      <w:r>
        <w:rPr>
          <w:noProof/>
        </w:rPr>
        <w:lastRenderedPageBreak/>
        <w:drawing>
          <wp:inline distT="0" distB="0" distL="0" distR="0" wp14:anchorId="169621D3" wp14:editId="3FE4F30A">
            <wp:extent cx="5172075" cy="3390900"/>
            <wp:effectExtent l="0" t="0" r="9525" b="0"/>
            <wp:docPr id="18" name="Picture 18" descr="graph of Gender ratio (male:female patients) for patients initiating on bDMARD therapy by patient state and year of approval." title="Gender ratio (male:female patients) for patients initiating on bDMARD therapy by patient state and year of 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172075" cy="3390900"/>
                    </a:xfrm>
                    <a:prstGeom prst="rect">
                      <a:avLst/>
                    </a:prstGeom>
                  </pic:spPr>
                </pic:pic>
              </a:graphicData>
            </a:graphic>
          </wp:inline>
        </w:drawing>
      </w:r>
    </w:p>
    <w:p w:rsidR="00D60242" w:rsidRDefault="00D60242" w:rsidP="00D60242">
      <w:pPr>
        <w:spacing w:line="276" w:lineRule="auto"/>
        <w:rPr>
          <w:b/>
        </w:rPr>
      </w:pPr>
      <w:r w:rsidRPr="001D4A77">
        <w:rPr>
          <w:b/>
        </w:rPr>
        <w:t xml:space="preserve">Figure </w:t>
      </w:r>
      <w:r>
        <w:rPr>
          <w:b/>
        </w:rPr>
        <w:t>9:</w:t>
      </w:r>
      <w:r w:rsidRPr="001D4A77">
        <w:rPr>
          <w:b/>
        </w:rPr>
        <w:t xml:space="preserve"> </w:t>
      </w:r>
      <w:r w:rsidR="00DD3F66">
        <w:rPr>
          <w:b/>
        </w:rPr>
        <w:t>Gender ratio (</w:t>
      </w:r>
      <w:proofErr w:type="spellStart"/>
      <w:r w:rsidR="00DD3F66">
        <w:rPr>
          <w:b/>
        </w:rPr>
        <w:t>male</w:t>
      </w:r>
      <w:proofErr w:type="gramStart"/>
      <w:r w:rsidR="00DD3F66">
        <w:rPr>
          <w:b/>
        </w:rPr>
        <w:t>:f</w:t>
      </w:r>
      <w:r>
        <w:rPr>
          <w:b/>
        </w:rPr>
        <w:t>emale</w:t>
      </w:r>
      <w:proofErr w:type="spellEnd"/>
      <w:proofErr w:type="gramEnd"/>
      <w:r>
        <w:rPr>
          <w:b/>
        </w:rPr>
        <w:t xml:space="preserve"> patients) for patients initiating </w:t>
      </w:r>
      <w:r w:rsidR="00511089">
        <w:rPr>
          <w:b/>
        </w:rPr>
        <w:t>on</w:t>
      </w:r>
      <w:r>
        <w:rPr>
          <w:b/>
        </w:rPr>
        <w:t xml:space="preserve"> </w:t>
      </w:r>
      <w:r w:rsidRPr="001D4A77">
        <w:rPr>
          <w:b/>
        </w:rPr>
        <w:t xml:space="preserve">bDMARD therapy by </w:t>
      </w:r>
      <w:r w:rsidR="009F525B">
        <w:rPr>
          <w:b/>
        </w:rPr>
        <w:t>patient</w:t>
      </w:r>
      <w:r>
        <w:rPr>
          <w:b/>
        </w:rPr>
        <w:t xml:space="preserve"> state and </w:t>
      </w:r>
      <w:r w:rsidRPr="001D4A77">
        <w:rPr>
          <w:b/>
        </w:rPr>
        <w:t>year</w:t>
      </w:r>
      <w:r>
        <w:rPr>
          <w:b/>
        </w:rPr>
        <w:t xml:space="preserve"> of approval.</w:t>
      </w:r>
    </w:p>
    <w:p w:rsidR="00511089" w:rsidRPr="00511089" w:rsidRDefault="00511089" w:rsidP="00D60242">
      <w:pPr>
        <w:spacing w:line="276" w:lineRule="auto"/>
      </w:pPr>
      <w:r>
        <w:t xml:space="preserve">Figure 9 shows that the gender ratio for initiating patients has </w:t>
      </w:r>
      <w:r w:rsidR="00AA7486">
        <w:t>been on</w:t>
      </w:r>
      <w:r>
        <w:t xml:space="preserve"> a downward trend in all jurisdictions (with the possible exceptions of TAS</w:t>
      </w:r>
      <w:r w:rsidR="005E4D5F">
        <w:t xml:space="preserve">, </w:t>
      </w:r>
      <w:r w:rsidR="00FF1B8F">
        <w:t>ACT and</w:t>
      </w:r>
      <w:r>
        <w:t xml:space="preserve"> NT).</w:t>
      </w:r>
      <w:bookmarkStart w:id="4" w:name="_GoBack"/>
      <w:bookmarkEnd w:id="4"/>
    </w:p>
    <w:p w:rsidR="009F525B" w:rsidRDefault="009F525B" w:rsidP="00511089">
      <w:pPr>
        <w:spacing w:line="276" w:lineRule="auto"/>
        <w:rPr>
          <w:b/>
        </w:rPr>
      </w:pPr>
    </w:p>
    <w:p w:rsidR="000535F1" w:rsidRDefault="000535F1" w:rsidP="00511089">
      <w:pPr>
        <w:spacing w:line="276" w:lineRule="auto"/>
        <w:rPr>
          <w:b/>
        </w:rPr>
      </w:pPr>
    </w:p>
    <w:p w:rsidR="000535F1" w:rsidRDefault="000535F1" w:rsidP="00511089">
      <w:pPr>
        <w:spacing w:line="276" w:lineRule="auto"/>
        <w:rPr>
          <w:b/>
        </w:rPr>
      </w:pPr>
      <w:r>
        <w:rPr>
          <w:noProof/>
        </w:rPr>
        <w:lastRenderedPageBreak/>
        <w:drawing>
          <wp:inline distT="0" distB="0" distL="0" distR="0" wp14:anchorId="76BE8284" wp14:editId="3011CE8C">
            <wp:extent cx="5172075" cy="3371850"/>
            <wp:effectExtent l="0" t="0" r="9525" b="0"/>
            <wp:docPr id="19" name="Picture 19" descr="graph of Gender ratio (male:female patients) for patients prevalent to bDMARD therapy by patient state and year of approval." title="Gender ratio (male:female patients) for patients prevalent to bDMARD therapy by patient state and year of 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172075" cy="3371850"/>
                    </a:xfrm>
                    <a:prstGeom prst="rect">
                      <a:avLst/>
                    </a:prstGeom>
                  </pic:spPr>
                </pic:pic>
              </a:graphicData>
            </a:graphic>
          </wp:inline>
        </w:drawing>
      </w:r>
    </w:p>
    <w:p w:rsidR="00511089" w:rsidRPr="004D5952" w:rsidRDefault="00511089" w:rsidP="00511089">
      <w:pPr>
        <w:spacing w:line="276" w:lineRule="auto"/>
      </w:pPr>
      <w:r w:rsidRPr="001D4A77">
        <w:rPr>
          <w:b/>
        </w:rPr>
        <w:t xml:space="preserve">Figure </w:t>
      </w:r>
      <w:r>
        <w:rPr>
          <w:b/>
        </w:rPr>
        <w:t>10:</w:t>
      </w:r>
      <w:r w:rsidRPr="001D4A77">
        <w:rPr>
          <w:b/>
        </w:rPr>
        <w:t xml:space="preserve"> </w:t>
      </w:r>
      <w:r w:rsidR="00A234FA">
        <w:rPr>
          <w:b/>
        </w:rPr>
        <w:t>Gender ratio (</w:t>
      </w:r>
      <w:proofErr w:type="spellStart"/>
      <w:r w:rsidR="00A234FA">
        <w:rPr>
          <w:b/>
        </w:rPr>
        <w:t>male</w:t>
      </w:r>
      <w:proofErr w:type="gramStart"/>
      <w:r w:rsidR="00A234FA">
        <w:rPr>
          <w:b/>
        </w:rPr>
        <w:t>:f</w:t>
      </w:r>
      <w:r>
        <w:rPr>
          <w:b/>
        </w:rPr>
        <w:t>emale</w:t>
      </w:r>
      <w:proofErr w:type="spellEnd"/>
      <w:proofErr w:type="gramEnd"/>
      <w:r>
        <w:rPr>
          <w:b/>
        </w:rPr>
        <w:t xml:space="preserve"> patients) for patients prevalent to </w:t>
      </w:r>
      <w:r w:rsidRPr="001D4A77">
        <w:rPr>
          <w:b/>
        </w:rPr>
        <w:t xml:space="preserve">bDMARD therapy by </w:t>
      </w:r>
      <w:r w:rsidR="009F525B">
        <w:rPr>
          <w:b/>
        </w:rPr>
        <w:t>patient</w:t>
      </w:r>
      <w:r>
        <w:rPr>
          <w:b/>
        </w:rPr>
        <w:t xml:space="preserve"> state and </w:t>
      </w:r>
      <w:r w:rsidRPr="001D4A77">
        <w:rPr>
          <w:b/>
        </w:rPr>
        <w:t>year</w:t>
      </w:r>
      <w:r>
        <w:rPr>
          <w:b/>
        </w:rPr>
        <w:t xml:space="preserve"> of approval.</w:t>
      </w:r>
    </w:p>
    <w:p w:rsidR="00D746A6" w:rsidRDefault="00AA7486" w:rsidP="002059CA">
      <w:pPr>
        <w:spacing w:line="276" w:lineRule="auto"/>
      </w:pPr>
      <w:r>
        <w:t>Figure 10 shows a downward trend in the gender ratio for prevalent patients in all jurisdictions except NT. WA and ACT have considerably lower gender ratios (ie. 1.17 and 1.</w:t>
      </w:r>
      <w:r w:rsidR="00E3379C">
        <w:t xml:space="preserve">36 </w:t>
      </w:r>
      <w:r>
        <w:t>respectively</w:t>
      </w:r>
      <w:r w:rsidR="00A234FA">
        <w:t>,</w:t>
      </w:r>
      <w:r>
        <w:t xml:space="preserve"> in 2015) than the other large jurisdictions (ie. NSW, VIC and QLD were 2.</w:t>
      </w:r>
      <w:r w:rsidR="00E3379C">
        <w:t>35</w:t>
      </w:r>
      <w:r>
        <w:t>, 2.</w:t>
      </w:r>
      <w:r w:rsidR="00E3379C">
        <w:t xml:space="preserve">42 </w:t>
      </w:r>
      <w:r>
        <w:t>and 2.</w:t>
      </w:r>
      <w:r w:rsidR="00E3379C">
        <w:t>20</w:t>
      </w:r>
      <w:r>
        <w:t xml:space="preserve"> respectively</w:t>
      </w:r>
      <w:r w:rsidR="00A234FA">
        <w:t>,</w:t>
      </w:r>
      <w:r>
        <w:t xml:space="preserve"> in 2015</w:t>
      </w:r>
      <w:r w:rsidR="005E4D5F">
        <w:t>)</w:t>
      </w:r>
      <w:r>
        <w:t xml:space="preserve">. </w:t>
      </w:r>
      <w:r w:rsidR="00D96AE3">
        <w:t>The overall prevalent patient gender ratio in 2015 was 2.01 (see Figure 4).</w:t>
      </w:r>
    </w:p>
    <w:p w:rsidR="00D746A6" w:rsidRDefault="00D746A6">
      <w:pPr>
        <w:spacing w:line="276" w:lineRule="auto"/>
      </w:pPr>
      <w:r>
        <w:br w:type="page"/>
      </w:r>
    </w:p>
    <w:p w:rsidR="00D746A6" w:rsidRPr="00353C6F" w:rsidRDefault="00D746A6" w:rsidP="00D746A6">
      <w:pPr>
        <w:pStyle w:val="Heading4"/>
        <w:rPr>
          <w:i w:val="0"/>
        </w:rPr>
      </w:pPr>
      <w:r w:rsidRPr="00353C6F">
        <w:rPr>
          <w:i w:val="0"/>
        </w:rPr>
        <w:lastRenderedPageBreak/>
        <w:t xml:space="preserve">Discussion and </w:t>
      </w:r>
      <w:r w:rsidRPr="004D6CE4">
        <w:t>Secretariat comments</w:t>
      </w:r>
    </w:p>
    <w:p w:rsidR="00AB7BAD" w:rsidRDefault="00AB7BAD" w:rsidP="00AB7BAD">
      <w:r>
        <w:t xml:space="preserve">The key finding </w:t>
      </w:r>
      <w:r w:rsidR="00A234FA">
        <w:t xml:space="preserve">in this addendum is that the </w:t>
      </w:r>
      <w:proofErr w:type="spellStart"/>
      <w:r w:rsidR="00A234FA">
        <w:t>male</w:t>
      </w:r>
      <w:proofErr w:type="gramStart"/>
      <w:r w:rsidR="00A234FA">
        <w:t>:female</w:t>
      </w:r>
      <w:proofErr w:type="spellEnd"/>
      <w:proofErr w:type="gramEnd"/>
      <w:r>
        <w:t xml:space="preserve"> ratio for patients </w:t>
      </w:r>
      <w:r w:rsidR="005B71FB">
        <w:t xml:space="preserve">treated with </w:t>
      </w:r>
      <w:r>
        <w:t xml:space="preserve">PBS subsidised </w:t>
      </w:r>
      <w:r w:rsidR="002B2913">
        <w:t>bDMARDs</w:t>
      </w:r>
      <w:r>
        <w:t xml:space="preserve"> for ankylosing spondylitis is declining over time. In 2005, the first full year that a bDMARD was available through the PBS for ankylosing spondylitis, t</w:t>
      </w:r>
      <w:r w:rsidRPr="00243CBF">
        <w:t>he male:female ratio was approximate</w:t>
      </w:r>
      <w:r>
        <w:t>ly</w:t>
      </w:r>
      <w:r w:rsidRPr="00243CBF">
        <w:t xml:space="preserve"> 3.5</w:t>
      </w:r>
      <w:r>
        <w:t>:1</w:t>
      </w:r>
      <w:r w:rsidRPr="00243CBF">
        <w:t xml:space="preserve"> for initiating and prevalent patients</w:t>
      </w:r>
      <w:r>
        <w:t>. The</w:t>
      </w:r>
      <w:r w:rsidRPr="00243CBF">
        <w:t xml:space="preserve"> ratio</w:t>
      </w:r>
      <w:r>
        <w:t>s</w:t>
      </w:r>
      <w:r w:rsidRPr="00243CBF">
        <w:t xml:space="preserve"> for initiating and prevalent patients decreased to 1.2</w:t>
      </w:r>
      <w:r>
        <w:t>:1</w:t>
      </w:r>
      <w:r w:rsidRPr="00243CBF">
        <w:t xml:space="preserve"> and 2</w:t>
      </w:r>
      <w:r>
        <w:t>:1</w:t>
      </w:r>
      <w:r w:rsidRPr="00243CBF">
        <w:t xml:space="preserve"> respectively</w:t>
      </w:r>
      <w:r w:rsidR="00A234FA">
        <w:t>,</w:t>
      </w:r>
      <w:r w:rsidRPr="00243CBF">
        <w:t xml:space="preserve"> </w:t>
      </w:r>
      <w:r>
        <w:t>by</w:t>
      </w:r>
      <w:r w:rsidRPr="00243CBF">
        <w:t xml:space="preserve"> 2015</w:t>
      </w:r>
      <w:r>
        <w:t xml:space="preserve">. </w:t>
      </w:r>
    </w:p>
    <w:p w:rsidR="00AB7BAD" w:rsidRDefault="00AB7BAD" w:rsidP="00AB7BAD">
      <w:r>
        <w:t>A literature review was undertaken to assess trends in the epidemiology of AS. Published data on the incidence and prevalence of AS</w:t>
      </w:r>
      <w:r w:rsidR="00A234FA">
        <w:t>,</w:t>
      </w:r>
      <w:r>
        <w:t xml:space="preserve"> including stratification by </w:t>
      </w:r>
      <w:proofErr w:type="gramStart"/>
      <w:r>
        <w:t>gender</w:t>
      </w:r>
      <w:r w:rsidR="00A234FA">
        <w:t>,</w:t>
      </w:r>
      <w:proofErr w:type="gramEnd"/>
      <w:r>
        <w:t xml:space="preserve"> are limited and variable. Further, l</w:t>
      </w:r>
      <w:r w:rsidRPr="00243CBF">
        <w:t>ongitudinal epidemiological data to assess changes in incidence and prevalence over time are scarce</w:t>
      </w:r>
      <w:r>
        <w:t xml:space="preserve">, and only one Australian study was identified. Factors contributing to variability in reported values may include differences in patient characteristics such as age, ethnicity and prevalence of HLA-B27; differences in criteria used to diagnose AS and </w:t>
      </w:r>
      <w:r w:rsidR="00A234FA">
        <w:t xml:space="preserve">to </w:t>
      </w:r>
      <w:r>
        <w:t xml:space="preserve">differentiate it from other </w:t>
      </w:r>
      <w:proofErr w:type="spellStart"/>
      <w:r>
        <w:t>spondylopathies</w:t>
      </w:r>
      <w:proofErr w:type="spellEnd"/>
      <w:r>
        <w:t xml:space="preserve">; and differences in study design, size and quality. </w:t>
      </w:r>
    </w:p>
    <w:p w:rsidR="00AB7BAD" w:rsidRDefault="00AB7BAD" w:rsidP="00AB7BAD">
      <w:r w:rsidRPr="004D5272">
        <w:t xml:space="preserve">In 2004, when the first bDMARD was listed on the PBS for </w:t>
      </w:r>
      <w:r>
        <w:t>AS</w:t>
      </w:r>
      <w:r w:rsidR="006D2A93">
        <w:t>,</w:t>
      </w:r>
      <w:r w:rsidRPr="004D5272">
        <w:t xml:space="preserve"> available epidemiological data generally indicated </w:t>
      </w:r>
      <w:r>
        <w:t>a</w:t>
      </w:r>
      <w:r w:rsidRPr="004D5272">
        <w:t xml:space="preserve"> </w:t>
      </w:r>
      <w:proofErr w:type="spellStart"/>
      <w:r w:rsidR="00A234FA">
        <w:t>male</w:t>
      </w:r>
      <w:proofErr w:type="gramStart"/>
      <w:r w:rsidR="00A234FA">
        <w:t>:female</w:t>
      </w:r>
      <w:proofErr w:type="spellEnd"/>
      <w:proofErr w:type="gramEnd"/>
      <w:r w:rsidRPr="004D5272">
        <w:t xml:space="preserve"> preva</w:t>
      </w:r>
      <w:r>
        <w:t xml:space="preserve">lence ratio of </w:t>
      </w:r>
      <w:r w:rsidRPr="004D5272">
        <w:t xml:space="preserve">about </w:t>
      </w:r>
      <w:r w:rsidR="00AA1291">
        <w:t>3:1</w:t>
      </w:r>
      <w:r w:rsidR="007A36B4" w:rsidRPr="007A36B4">
        <w:rPr>
          <w:vertAlign w:val="superscript"/>
        </w:rPr>
        <w:fldChar w:fldCharType="begin"/>
      </w:r>
      <w:r w:rsidR="007A36B4" w:rsidRPr="007A36B4">
        <w:rPr>
          <w:vertAlign w:val="superscript"/>
        </w:rPr>
        <w:instrText xml:space="preserve"> NOTEREF _Ref450755388 \h </w:instrText>
      </w:r>
      <w:r w:rsidR="007A36B4">
        <w:rPr>
          <w:vertAlign w:val="superscript"/>
        </w:rPr>
        <w:instrText xml:space="preserve"> \* MERGEFORMAT </w:instrText>
      </w:r>
      <w:r w:rsidR="007A36B4" w:rsidRPr="007A36B4">
        <w:rPr>
          <w:vertAlign w:val="superscript"/>
        </w:rPr>
      </w:r>
      <w:r w:rsidR="007A36B4" w:rsidRPr="007A36B4">
        <w:rPr>
          <w:vertAlign w:val="superscript"/>
        </w:rPr>
        <w:fldChar w:fldCharType="separate"/>
      </w:r>
      <w:r w:rsidR="00EC7E49">
        <w:rPr>
          <w:vertAlign w:val="superscript"/>
        </w:rPr>
        <w:t>1</w:t>
      </w:r>
      <w:r w:rsidR="007A36B4" w:rsidRPr="007A36B4">
        <w:rPr>
          <w:vertAlign w:val="superscript"/>
        </w:rPr>
        <w:fldChar w:fldCharType="end"/>
      </w:r>
      <w:r w:rsidR="007A36B4">
        <w:rPr>
          <w:vertAlign w:val="superscript"/>
        </w:rPr>
        <w:t>,</w:t>
      </w:r>
      <w:r w:rsidR="007A36B4" w:rsidRPr="007A36B4">
        <w:rPr>
          <w:vertAlign w:val="superscript"/>
        </w:rPr>
        <w:fldChar w:fldCharType="begin"/>
      </w:r>
      <w:r w:rsidR="007A36B4" w:rsidRPr="007A36B4">
        <w:rPr>
          <w:vertAlign w:val="superscript"/>
        </w:rPr>
        <w:instrText xml:space="preserve"> NOTEREF _Ref450755391 \h </w:instrText>
      </w:r>
      <w:r w:rsidR="007A36B4">
        <w:rPr>
          <w:vertAlign w:val="superscript"/>
        </w:rPr>
        <w:instrText xml:space="preserve"> \* MERGEFORMAT </w:instrText>
      </w:r>
      <w:r w:rsidR="007A36B4" w:rsidRPr="007A36B4">
        <w:rPr>
          <w:vertAlign w:val="superscript"/>
        </w:rPr>
      </w:r>
      <w:r w:rsidR="007A36B4" w:rsidRPr="007A36B4">
        <w:rPr>
          <w:vertAlign w:val="superscript"/>
        </w:rPr>
        <w:fldChar w:fldCharType="separate"/>
      </w:r>
      <w:r w:rsidR="00EC7E49">
        <w:rPr>
          <w:vertAlign w:val="superscript"/>
        </w:rPr>
        <w:t>2</w:t>
      </w:r>
      <w:r w:rsidR="007A36B4" w:rsidRPr="007A36B4">
        <w:rPr>
          <w:vertAlign w:val="superscript"/>
        </w:rPr>
        <w:fldChar w:fldCharType="end"/>
      </w:r>
      <w:r w:rsidR="007A36B4">
        <w:rPr>
          <w:vertAlign w:val="superscript"/>
        </w:rPr>
        <w:t>,</w:t>
      </w:r>
      <w:r w:rsidR="007A36B4" w:rsidRPr="007A36B4">
        <w:rPr>
          <w:vertAlign w:val="superscript"/>
        </w:rPr>
        <w:fldChar w:fldCharType="begin"/>
      </w:r>
      <w:r w:rsidR="007A36B4" w:rsidRPr="007A36B4">
        <w:rPr>
          <w:vertAlign w:val="superscript"/>
        </w:rPr>
        <w:instrText xml:space="preserve"> NOTEREF _Ref450755393 \h </w:instrText>
      </w:r>
      <w:r w:rsidR="007A36B4">
        <w:rPr>
          <w:vertAlign w:val="superscript"/>
        </w:rPr>
        <w:instrText xml:space="preserve"> \* MERGEFORMAT </w:instrText>
      </w:r>
      <w:r w:rsidR="007A36B4" w:rsidRPr="007A36B4">
        <w:rPr>
          <w:vertAlign w:val="superscript"/>
        </w:rPr>
      </w:r>
      <w:r w:rsidR="007A36B4" w:rsidRPr="007A36B4">
        <w:rPr>
          <w:vertAlign w:val="superscript"/>
        </w:rPr>
        <w:fldChar w:fldCharType="separate"/>
      </w:r>
      <w:r w:rsidR="00EC7E49">
        <w:rPr>
          <w:vertAlign w:val="superscript"/>
        </w:rPr>
        <w:t>3</w:t>
      </w:r>
      <w:r w:rsidR="007A36B4" w:rsidRPr="007A36B4">
        <w:rPr>
          <w:vertAlign w:val="superscript"/>
        </w:rPr>
        <w:fldChar w:fldCharType="end"/>
      </w:r>
      <w:r w:rsidR="007A36B4">
        <w:rPr>
          <w:vertAlign w:val="superscript"/>
        </w:rPr>
        <w:t>,</w:t>
      </w:r>
      <w:r w:rsidR="007A36B4" w:rsidRPr="007A36B4">
        <w:rPr>
          <w:vertAlign w:val="superscript"/>
        </w:rPr>
        <w:fldChar w:fldCharType="begin"/>
      </w:r>
      <w:r w:rsidR="007A36B4" w:rsidRPr="007A36B4">
        <w:rPr>
          <w:vertAlign w:val="superscript"/>
        </w:rPr>
        <w:instrText xml:space="preserve"> NOTEREF _Ref450755396 \h </w:instrText>
      </w:r>
      <w:r w:rsidR="007A36B4">
        <w:rPr>
          <w:vertAlign w:val="superscript"/>
        </w:rPr>
        <w:instrText xml:space="preserve"> \* MERGEFORMAT </w:instrText>
      </w:r>
      <w:r w:rsidR="007A36B4" w:rsidRPr="007A36B4">
        <w:rPr>
          <w:vertAlign w:val="superscript"/>
        </w:rPr>
      </w:r>
      <w:r w:rsidR="007A36B4" w:rsidRPr="007A36B4">
        <w:rPr>
          <w:vertAlign w:val="superscript"/>
        </w:rPr>
        <w:fldChar w:fldCharType="separate"/>
      </w:r>
      <w:r w:rsidR="00EC7E49">
        <w:rPr>
          <w:vertAlign w:val="superscript"/>
        </w:rPr>
        <w:t>4</w:t>
      </w:r>
      <w:r w:rsidR="007A36B4" w:rsidRPr="007A36B4">
        <w:rPr>
          <w:vertAlign w:val="superscript"/>
        </w:rPr>
        <w:fldChar w:fldCharType="end"/>
      </w:r>
      <w:r w:rsidR="00AA1291">
        <w:rPr>
          <w:vertAlign w:val="superscript"/>
        </w:rPr>
        <w:t xml:space="preserve"> </w:t>
      </w:r>
      <w:r w:rsidR="00AA1291">
        <w:t>and an incidence of 4:1</w:t>
      </w:r>
      <w:r w:rsidR="00883E4E">
        <w:t>.</w:t>
      </w:r>
      <w:r w:rsidR="00AA1291">
        <w:rPr>
          <w:rStyle w:val="EndnoteReference"/>
        </w:rPr>
        <w:endnoteReference w:id="5"/>
      </w:r>
      <w:r w:rsidR="00532D87">
        <w:t xml:space="preserve"> </w:t>
      </w:r>
      <w:r>
        <w:t xml:space="preserve">Prevalence data published since this time include </w:t>
      </w:r>
      <w:r w:rsidRPr="00191873">
        <w:t xml:space="preserve">a </w:t>
      </w:r>
      <w:r>
        <w:t>study</w:t>
      </w:r>
      <w:r w:rsidRPr="00191873">
        <w:t xml:space="preserve"> of</w:t>
      </w:r>
      <w:r>
        <w:t xml:space="preserve"> patients</w:t>
      </w:r>
      <w:r w:rsidRPr="0032379E">
        <w:t xml:space="preserve"> </w:t>
      </w:r>
      <w:r>
        <w:t>a</w:t>
      </w:r>
      <w:r w:rsidRPr="0032379E">
        <w:t xml:space="preserve">ttending an outpatient clinic in Melbourne </w:t>
      </w:r>
      <w:r>
        <w:t xml:space="preserve">between </w:t>
      </w:r>
      <w:r w:rsidRPr="0032379E">
        <w:t>June 2004 to December 2005</w:t>
      </w:r>
      <w:r>
        <w:t xml:space="preserve"> with </w:t>
      </w:r>
      <w:r w:rsidRPr="00191873">
        <w:t>newly diagnosed AS</w:t>
      </w:r>
      <w:r w:rsidR="00A234FA">
        <w:t>,</w:t>
      </w:r>
      <w:r>
        <w:t xml:space="preserve"> according to </w:t>
      </w:r>
      <w:r w:rsidRPr="00191873">
        <w:t>the New York Criteria</w:t>
      </w:r>
      <w:r>
        <w:t xml:space="preserve"> where the gender</w:t>
      </w:r>
      <w:r w:rsidRPr="00191873">
        <w:t xml:space="preserve"> ratio </w:t>
      </w:r>
      <w:r>
        <w:t xml:space="preserve">was </w:t>
      </w:r>
      <w:r w:rsidR="00A234FA">
        <w:t>2.6:1</w:t>
      </w:r>
      <w:r w:rsidR="00AA1291">
        <w:rPr>
          <w:rStyle w:val="EndnoteReference"/>
        </w:rPr>
        <w:endnoteReference w:id="6"/>
      </w:r>
      <w:r w:rsidR="00AA1291" w:rsidRPr="00191873">
        <w:t xml:space="preserve"> </w:t>
      </w:r>
      <w:r>
        <w:t xml:space="preserve">and </w:t>
      </w:r>
      <w:r w:rsidRPr="00017DA9">
        <w:t xml:space="preserve">the German Spondyloarthritis Inception Cohort </w:t>
      </w:r>
      <w:r>
        <w:t>(GESPIC) where 64% of 236 patients with AS were male</w:t>
      </w:r>
      <w:r w:rsidRPr="00017DA9">
        <w:t xml:space="preserve"> (</w:t>
      </w:r>
      <w:r>
        <w:t>1.78:1)</w:t>
      </w:r>
      <w:r w:rsidR="00A234FA">
        <w:t>.</w:t>
      </w:r>
      <w:bookmarkStart w:id="5" w:name="_Ref450752412"/>
      <w:r w:rsidR="00AA1291">
        <w:rPr>
          <w:rStyle w:val="EndnoteReference"/>
        </w:rPr>
        <w:endnoteReference w:id="7"/>
      </w:r>
      <w:bookmarkEnd w:id="5"/>
      <w:r>
        <w:t xml:space="preserve"> M</w:t>
      </w:r>
      <w:r w:rsidRPr="006D3597">
        <w:t xml:space="preserve">ore recent studies </w:t>
      </w:r>
      <w:r>
        <w:t xml:space="preserve">continue to show a </w:t>
      </w:r>
      <w:r w:rsidR="00F85130">
        <w:t xml:space="preserve">prevalent patient </w:t>
      </w:r>
      <w:proofErr w:type="spellStart"/>
      <w:r w:rsidR="00A234FA">
        <w:t>male</w:t>
      </w:r>
      <w:proofErr w:type="gramStart"/>
      <w:r w:rsidR="00A234FA">
        <w:t>:female</w:t>
      </w:r>
      <w:proofErr w:type="spellEnd"/>
      <w:proofErr w:type="gramEnd"/>
      <w:r w:rsidR="00F85130">
        <w:t xml:space="preserve"> gender ratio </w:t>
      </w:r>
      <w:r>
        <w:t xml:space="preserve">of approximately 2-3:1, but with some variability. A study in outpatient clinics and rheumatology practices in Germany in 2010 found that 43 of 56 patients with </w:t>
      </w:r>
      <w:r w:rsidR="00A234FA">
        <w:t>AS</w:t>
      </w:r>
      <w:r>
        <w:t xml:space="preserve"> were male, giving a ratio of about 3:1</w:t>
      </w:r>
      <w:r w:rsidR="00A234FA">
        <w:t>.</w:t>
      </w:r>
      <w:bookmarkStart w:id="6" w:name="_Ref450752405"/>
      <w:r w:rsidR="00AA1291">
        <w:rPr>
          <w:rStyle w:val="EndnoteReference"/>
        </w:rPr>
        <w:endnoteReference w:id="8"/>
      </w:r>
      <w:bookmarkEnd w:id="6"/>
      <w:r>
        <w:t xml:space="preserve"> </w:t>
      </w:r>
      <w:proofErr w:type="gramStart"/>
      <w:r>
        <w:t>Similarly, AS patients attending an outpatient clinic in Toronto between January 2003 and December 2012 were predominantly male (3.2:1)</w:t>
      </w:r>
      <w:r w:rsidR="00A234FA">
        <w:t>.</w:t>
      </w:r>
      <w:bookmarkStart w:id="7" w:name="_Ref450752415"/>
      <w:proofErr w:type="gramEnd"/>
      <w:r w:rsidR="005E4D6C">
        <w:rPr>
          <w:rStyle w:val="EndnoteReference"/>
        </w:rPr>
        <w:endnoteReference w:id="9"/>
      </w:r>
      <w:bookmarkEnd w:id="7"/>
      <w:r>
        <w:t xml:space="preserve"> A study in a single rheumatology clinic in India found a higher ratio with </w:t>
      </w:r>
      <w:r w:rsidR="005B71FB">
        <w:t xml:space="preserve">men comprising </w:t>
      </w:r>
      <w:r>
        <w:t>84.5% of AS patients from October 2000 to July 2014 (5.8:1)</w:t>
      </w:r>
      <w:r w:rsidR="00A234FA">
        <w:t>,</w:t>
      </w:r>
      <w:r w:rsidR="003B4A0E">
        <w:rPr>
          <w:rStyle w:val="EndnoteReference"/>
        </w:rPr>
        <w:endnoteReference w:id="10"/>
      </w:r>
      <w:r>
        <w:t xml:space="preserve"> whereas at an</w:t>
      </w:r>
      <w:r w:rsidRPr="004648B3">
        <w:t xml:space="preserve"> </w:t>
      </w:r>
      <w:r>
        <w:t>o</w:t>
      </w:r>
      <w:r w:rsidRPr="004648B3">
        <w:t>utpatient clinic in Berlin between July 2004 and April 2007</w:t>
      </w:r>
      <w:r>
        <w:t xml:space="preserve">, </w:t>
      </w:r>
      <w:r w:rsidRPr="00191873">
        <w:t>58%</w:t>
      </w:r>
      <w:r>
        <w:t xml:space="preserve"> of referred patient with AS</w:t>
      </w:r>
      <w:r w:rsidRPr="00191873">
        <w:t xml:space="preserve"> were male (</w:t>
      </w:r>
      <w:r>
        <w:t>1.4:1</w:t>
      </w:r>
      <w:r w:rsidR="00AE4BB5">
        <w:t>)</w:t>
      </w:r>
      <w:r w:rsidR="00A234FA">
        <w:t>.</w:t>
      </w:r>
      <w:r w:rsidR="00AE4BB5">
        <w:rPr>
          <w:rStyle w:val="EndnoteReference"/>
        </w:rPr>
        <w:endnoteReference w:id="11"/>
      </w:r>
      <w:r w:rsidRPr="00191873">
        <w:t xml:space="preserve"> </w:t>
      </w:r>
      <w:r>
        <w:t>In a larger study, the Swiss Clinical Quality Management Cohort conducted from January 2005 to May 2011, 74.1% of patients diagn</w:t>
      </w:r>
      <w:r w:rsidR="00A234FA">
        <w:t xml:space="preserve">osed with radiographic axial </w:t>
      </w:r>
      <w:proofErr w:type="spellStart"/>
      <w:r w:rsidR="00883E4E">
        <w:t>spondyloarthritis</w:t>
      </w:r>
      <w:proofErr w:type="spellEnd"/>
      <w:r>
        <w:t xml:space="preserve"> were male (2.86:1)</w:t>
      </w:r>
      <w:r w:rsidR="00A234FA">
        <w:t>.</w:t>
      </w:r>
      <w:r w:rsidR="00515A84">
        <w:rPr>
          <w:rStyle w:val="EndnoteReference"/>
        </w:rPr>
        <w:endnoteReference w:id="12"/>
      </w:r>
      <w:r>
        <w:t xml:space="preserve"> A subsequent report from this same research group included patients recruited to June 2014 that shows a decrease in the gender ratio to 2.21:1</w:t>
      </w:r>
      <w:r w:rsidR="00A234FA">
        <w:t>.</w:t>
      </w:r>
      <w:r w:rsidR="00E25760">
        <w:rPr>
          <w:rStyle w:val="EndnoteReference"/>
        </w:rPr>
        <w:endnoteReference w:id="13"/>
      </w:r>
      <w:r w:rsidR="00A234FA">
        <w:t xml:space="preserve"> </w:t>
      </w:r>
      <w:r w:rsidRPr="007F3F8F">
        <w:t xml:space="preserve">Prevalence estimates from the Swedish National Patient Registry found </w:t>
      </w:r>
      <w:r>
        <w:t xml:space="preserve">a </w:t>
      </w:r>
      <w:r w:rsidR="005B71FB">
        <w:t xml:space="preserve">comparatively </w:t>
      </w:r>
      <w:r>
        <w:t xml:space="preserve">lower </w:t>
      </w:r>
      <w:r w:rsidRPr="007F3F8F">
        <w:t>male to female ratio of 1.7 in 2009</w:t>
      </w:r>
      <w:r w:rsidR="00A234FA">
        <w:t>.</w:t>
      </w:r>
      <w:r w:rsidR="00CD3313">
        <w:rPr>
          <w:rStyle w:val="EndnoteReference"/>
        </w:rPr>
        <w:endnoteReference w:id="14"/>
      </w:r>
      <w:r w:rsidRPr="007F3F8F">
        <w:t xml:space="preserve"> </w:t>
      </w:r>
      <w:r>
        <w:t>However, a</w:t>
      </w:r>
      <w:r w:rsidRPr="007F3F8F">
        <w:t xml:space="preserve"> limitation of this study is that it relies </w:t>
      </w:r>
      <w:r w:rsidR="00CD3313">
        <w:t xml:space="preserve">on </w:t>
      </w:r>
      <w:r w:rsidRPr="007F3F8F">
        <w:t xml:space="preserve">clinical diagnoses by individual clinicians rather than using established criteria. </w:t>
      </w:r>
      <w:r>
        <w:t>A</w:t>
      </w:r>
      <w:r w:rsidRPr="007F3F8F">
        <w:t xml:space="preserve"> validation study indicate</w:t>
      </w:r>
      <w:r>
        <w:t>d</w:t>
      </w:r>
      <w:r w:rsidRPr="007F3F8F">
        <w:t xml:space="preserve"> </w:t>
      </w:r>
      <w:r>
        <w:t>a</w:t>
      </w:r>
      <w:r w:rsidRPr="007F3F8F">
        <w:t xml:space="preserve"> positive-predictive value of 80% for fulfilling the modified New York Criteria</w:t>
      </w:r>
      <w:r w:rsidR="00A234FA">
        <w:t>.</w:t>
      </w:r>
      <w:r w:rsidR="00CD3313">
        <w:rPr>
          <w:rStyle w:val="EndnoteReference"/>
        </w:rPr>
        <w:endnoteReference w:id="15"/>
      </w:r>
      <w:r>
        <w:t xml:space="preserve"> </w:t>
      </w:r>
    </w:p>
    <w:p w:rsidR="00AA1291" w:rsidRDefault="00AA1291" w:rsidP="00AA1291">
      <w:r>
        <w:t>Several systematic reviews of the published literature have reported gender ratios. A report on the</w:t>
      </w:r>
      <w:r w:rsidRPr="004E6764">
        <w:t xml:space="preserve"> global prevalence of </w:t>
      </w:r>
      <w:r w:rsidR="00A234FA">
        <w:t xml:space="preserve">AS identified </w:t>
      </w:r>
      <w:proofErr w:type="spellStart"/>
      <w:r w:rsidR="00A234FA">
        <w:t>male</w:t>
      </w:r>
      <w:proofErr w:type="gramStart"/>
      <w:r w:rsidR="00A234FA">
        <w:t>:female</w:t>
      </w:r>
      <w:proofErr w:type="spellEnd"/>
      <w:proofErr w:type="gramEnd"/>
      <w:r>
        <w:t xml:space="preserve"> ratios ranging from 1.2 to 7.0:1 with a mean of 3.4:1</w:t>
      </w:r>
      <w:r w:rsidR="00A234FA">
        <w:t>.</w:t>
      </w:r>
      <w:r w:rsidR="00C2581B">
        <w:rPr>
          <w:rStyle w:val="EndnoteReference"/>
        </w:rPr>
        <w:endnoteReference w:id="16"/>
      </w:r>
      <w:r w:rsidRPr="004E6764">
        <w:t xml:space="preserve"> </w:t>
      </w:r>
      <w:r>
        <w:t>Another systematic review on the global prevalence of spondyloarthritis reported the prevalence of AS to be 0.31% in males and 0.12% in females (</w:t>
      </w:r>
      <w:proofErr w:type="spellStart"/>
      <w:r w:rsidR="00A234FA">
        <w:t>male</w:t>
      </w:r>
      <w:proofErr w:type="gramStart"/>
      <w:r w:rsidR="00A234FA">
        <w:t>:female</w:t>
      </w:r>
      <w:proofErr w:type="spellEnd"/>
      <w:proofErr w:type="gramEnd"/>
      <w:r w:rsidR="004D282D" w:rsidRPr="007A36B4">
        <w:t xml:space="preserve"> ratio=2.58:1</w:t>
      </w:r>
      <w:r>
        <w:t>)</w:t>
      </w:r>
      <w:r w:rsidR="00A234FA">
        <w:t>.</w:t>
      </w:r>
      <w:r w:rsidR="004D282D">
        <w:rPr>
          <w:rStyle w:val="EndnoteReference"/>
        </w:rPr>
        <w:endnoteReference w:id="17"/>
      </w:r>
      <w:r>
        <w:t xml:space="preserve"> One review presented incidence data from </w:t>
      </w:r>
      <w:r w:rsidR="00A234FA">
        <w:t>eight</w:t>
      </w:r>
      <w:r>
        <w:t xml:space="preserve"> studies with values ranging </w:t>
      </w:r>
      <w:r>
        <w:lastRenderedPageBreak/>
        <w:t xml:space="preserve">from 0.44 in Iceland to 7.3/100,000 in US and Northern Norway. The </w:t>
      </w:r>
      <w:proofErr w:type="spellStart"/>
      <w:r w:rsidR="00A234FA">
        <w:t>male</w:t>
      </w:r>
      <w:proofErr w:type="gramStart"/>
      <w:r w:rsidR="00A234FA">
        <w:t>:female</w:t>
      </w:r>
      <w:proofErr w:type="spellEnd"/>
      <w:proofErr w:type="gramEnd"/>
      <w:r>
        <w:t xml:space="preserve"> ratio ranged from 1.9:1 to 4.7:1</w:t>
      </w:r>
      <w:r w:rsidR="00A234FA">
        <w:t>.</w:t>
      </w:r>
      <w:bookmarkStart w:id="8" w:name="_Ref450752690"/>
      <w:r w:rsidR="004D282D">
        <w:rPr>
          <w:rStyle w:val="EndnoteReference"/>
        </w:rPr>
        <w:endnoteReference w:id="18"/>
      </w:r>
      <w:bookmarkEnd w:id="8"/>
      <w:r>
        <w:t xml:space="preserve">  </w:t>
      </w:r>
    </w:p>
    <w:p w:rsidR="00AB7BAD" w:rsidRDefault="00AB7BAD" w:rsidP="00AB7BAD">
      <w:r>
        <w:t>A longitudinal epidemiological study undertaken with Canadian provincial health administrative data between 1995 and 2010</w:t>
      </w:r>
      <w:r w:rsidR="00A234FA">
        <w:t>,</w:t>
      </w:r>
      <w:r>
        <w:t xml:space="preserve"> concluded that while men have a higher prevalence of </w:t>
      </w:r>
      <w:r w:rsidR="00A234FA">
        <w:t xml:space="preserve">AS than women, the </w:t>
      </w:r>
      <w:proofErr w:type="spellStart"/>
      <w:r w:rsidR="00A234FA">
        <w:t>male</w:t>
      </w:r>
      <w:proofErr w:type="gramStart"/>
      <w:r w:rsidR="00A234FA">
        <w:t>:</w:t>
      </w:r>
      <w:r>
        <w:t>female</w:t>
      </w:r>
      <w:proofErr w:type="spellEnd"/>
      <w:proofErr w:type="gramEnd"/>
      <w:r>
        <w:t xml:space="preserve"> prevalence ratio decreased from 1.7 in 1995 to 1.21 by 2010, and that the incidence among women has increased since 2003</w:t>
      </w:r>
      <w:r w:rsidR="00A234FA">
        <w:t>.</w:t>
      </w:r>
      <w:r w:rsidR="004D282D">
        <w:rPr>
          <w:rStyle w:val="EndnoteReference"/>
        </w:rPr>
        <w:endnoteReference w:id="19"/>
      </w:r>
      <w:r w:rsidRPr="0080143B">
        <w:t xml:space="preserve"> </w:t>
      </w:r>
      <w:r>
        <w:t xml:space="preserve">While this finding appears consistent with the findings from this </w:t>
      </w:r>
      <w:r w:rsidR="00A234FA">
        <w:t xml:space="preserve">addendum regarding declining </w:t>
      </w:r>
      <w:proofErr w:type="spellStart"/>
      <w:r w:rsidR="00A234FA">
        <w:t>male</w:t>
      </w:r>
      <w:proofErr w:type="gramStart"/>
      <w:r w:rsidR="00A234FA">
        <w:t>:female</w:t>
      </w:r>
      <w:proofErr w:type="spellEnd"/>
      <w:proofErr w:type="gramEnd"/>
      <w:r>
        <w:t xml:space="preserve"> of patients treated with bDMARDs, a major limitation of this study is that diagnosis of AS was based on a diagnostic algorithm including billing codes, not the modified New York Criteria. The prevalence estimate does not distinguish </w:t>
      </w:r>
      <w:r w:rsidR="00A234FA">
        <w:t>AS</w:t>
      </w:r>
      <w:r>
        <w:t xml:space="preserve"> characterised by radiographic changes in the sacroiliac joints from other </w:t>
      </w:r>
      <w:r w:rsidRPr="00F8205E">
        <w:t xml:space="preserve">inflammatory </w:t>
      </w:r>
      <w:proofErr w:type="spellStart"/>
      <w:r w:rsidRPr="00F8205E">
        <w:t>spondylopathies</w:t>
      </w:r>
      <w:proofErr w:type="spellEnd"/>
      <w:r>
        <w:t xml:space="preserve"> including non-radiographic axial spondyloarthritis (nr-AxSpA).  Other studies have shown that the prevalence of nr-AxSpA is higher in women than </w:t>
      </w:r>
      <w:r w:rsidRPr="007E3004">
        <w:t>men</w:t>
      </w:r>
      <w:r w:rsidR="007E3004" w:rsidRPr="007E3004">
        <w:rPr>
          <w:vertAlign w:val="superscript"/>
        </w:rPr>
        <w:fldChar w:fldCharType="begin"/>
      </w:r>
      <w:r w:rsidR="007E3004" w:rsidRPr="007E3004">
        <w:rPr>
          <w:vertAlign w:val="superscript"/>
        </w:rPr>
        <w:instrText xml:space="preserve"> NOTEREF _Ref450752412 \h  \* MERGEFORMAT </w:instrText>
      </w:r>
      <w:r w:rsidR="007E3004" w:rsidRPr="007E3004">
        <w:rPr>
          <w:vertAlign w:val="superscript"/>
        </w:rPr>
      </w:r>
      <w:r w:rsidR="007E3004" w:rsidRPr="007E3004">
        <w:rPr>
          <w:vertAlign w:val="superscript"/>
        </w:rPr>
        <w:fldChar w:fldCharType="separate"/>
      </w:r>
      <w:r w:rsidR="00EC7E49">
        <w:rPr>
          <w:vertAlign w:val="superscript"/>
        </w:rPr>
        <w:t>7</w:t>
      </w:r>
      <w:r w:rsidR="007E3004" w:rsidRPr="007E3004">
        <w:rPr>
          <w:vertAlign w:val="superscript"/>
        </w:rPr>
        <w:fldChar w:fldCharType="end"/>
      </w:r>
      <w:proofErr w:type="gramStart"/>
      <w:r w:rsidR="007E3004" w:rsidRPr="007E3004">
        <w:rPr>
          <w:vertAlign w:val="superscript"/>
        </w:rPr>
        <w:t>,</w:t>
      </w:r>
      <w:proofErr w:type="gramEnd"/>
      <w:r w:rsidR="007E3004" w:rsidRPr="007E3004">
        <w:rPr>
          <w:vertAlign w:val="superscript"/>
        </w:rPr>
        <w:fldChar w:fldCharType="begin"/>
      </w:r>
      <w:r w:rsidR="007E3004" w:rsidRPr="007E3004">
        <w:rPr>
          <w:vertAlign w:val="superscript"/>
        </w:rPr>
        <w:instrText xml:space="preserve"> NOTEREF _Ref450752405 \h  \* MERGEFORMAT </w:instrText>
      </w:r>
      <w:r w:rsidR="007E3004" w:rsidRPr="007E3004">
        <w:rPr>
          <w:vertAlign w:val="superscript"/>
        </w:rPr>
      </w:r>
      <w:r w:rsidR="007E3004" w:rsidRPr="007E3004">
        <w:rPr>
          <w:vertAlign w:val="superscript"/>
        </w:rPr>
        <w:fldChar w:fldCharType="separate"/>
      </w:r>
      <w:r w:rsidR="00EC7E49">
        <w:rPr>
          <w:vertAlign w:val="superscript"/>
        </w:rPr>
        <w:t>8</w:t>
      </w:r>
      <w:r w:rsidR="007E3004" w:rsidRPr="007E3004">
        <w:rPr>
          <w:vertAlign w:val="superscript"/>
        </w:rPr>
        <w:fldChar w:fldCharType="end"/>
      </w:r>
      <w:r w:rsidR="007E3004" w:rsidRPr="007E3004">
        <w:rPr>
          <w:vertAlign w:val="superscript"/>
        </w:rPr>
        <w:t>,</w:t>
      </w:r>
      <w:r w:rsidR="007E3004" w:rsidRPr="007E3004">
        <w:rPr>
          <w:vertAlign w:val="superscript"/>
        </w:rPr>
        <w:fldChar w:fldCharType="begin"/>
      </w:r>
      <w:r w:rsidR="007E3004" w:rsidRPr="007E3004">
        <w:rPr>
          <w:vertAlign w:val="superscript"/>
        </w:rPr>
        <w:instrText xml:space="preserve"> NOTEREF _Ref450752415 \h  \* MERGEFORMAT </w:instrText>
      </w:r>
      <w:r w:rsidR="007E3004" w:rsidRPr="007E3004">
        <w:rPr>
          <w:vertAlign w:val="superscript"/>
        </w:rPr>
      </w:r>
      <w:r w:rsidR="007E3004" w:rsidRPr="007E3004">
        <w:rPr>
          <w:vertAlign w:val="superscript"/>
        </w:rPr>
        <w:fldChar w:fldCharType="separate"/>
      </w:r>
      <w:r w:rsidR="00EC7E49">
        <w:rPr>
          <w:vertAlign w:val="superscript"/>
        </w:rPr>
        <w:t>9</w:t>
      </w:r>
      <w:r w:rsidR="007E3004" w:rsidRPr="007E3004">
        <w:rPr>
          <w:vertAlign w:val="superscript"/>
        </w:rPr>
        <w:fldChar w:fldCharType="end"/>
      </w:r>
      <w:r w:rsidRPr="007E3004">
        <w:t xml:space="preserve"> therefore</w:t>
      </w:r>
      <w:r>
        <w:t xml:space="preserve"> the increased incidence rates in the Canadian administrative data cannot be attributed to increase in radiographic disease. </w:t>
      </w:r>
    </w:p>
    <w:p w:rsidR="00E42C55" w:rsidRPr="0010072C" w:rsidRDefault="00E42C55" w:rsidP="00E42C55">
      <w:pPr>
        <w:rPr>
          <w:i/>
        </w:rPr>
      </w:pPr>
      <w:r w:rsidRPr="0010072C">
        <w:rPr>
          <w:i/>
        </w:rPr>
        <w:t xml:space="preserve">The declining gender ratio apparent in the PBS data may in part be accounted for by increased or earlier diagnosis, and increased rates of treatment with bDMARDs for women with </w:t>
      </w:r>
      <w:r w:rsidR="00883E4E">
        <w:rPr>
          <w:i/>
        </w:rPr>
        <w:t>AS</w:t>
      </w:r>
      <w:r w:rsidRPr="0010072C">
        <w:rPr>
          <w:i/>
        </w:rPr>
        <w:t>. However</w:t>
      </w:r>
      <w:r w:rsidR="00883E4E">
        <w:rPr>
          <w:i/>
        </w:rPr>
        <w:t>,</w:t>
      </w:r>
      <w:r w:rsidRPr="0010072C">
        <w:rPr>
          <w:i/>
        </w:rPr>
        <w:t xml:space="preserve"> given that females constitute a majority of patients with non-radiographic axial spondyloarthritis</w:t>
      </w:r>
      <w:r w:rsidR="00AA06D8" w:rsidRPr="0010072C">
        <w:rPr>
          <w:i/>
          <w:vertAlign w:val="superscript"/>
        </w:rPr>
        <w:fldChar w:fldCharType="begin"/>
      </w:r>
      <w:r w:rsidR="00AA06D8" w:rsidRPr="0010072C">
        <w:rPr>
          <w:i/>
          <w:vertAlign w:val="superscript"/>
        </w:rPr>
        <w:instrText xml:space="preserve"> NOTEREF _Ref450752412 \h  \* MERGEFORMAT </w:instrText>
      </w:r>
      <w:r w:rsidR="00AA06D8" w:rsidRPr="0010072C">
        <w:rPr>
          <w:i/>
          <w:vertAlign w:val="superscript"/>
        </w:rPr>
      </w:r>
      <w:r w:rsidR="00AA06D8" w:rsidRPr="0010072C">
        <w:rPr>
          <w:i/>
          <w:vertAlign w:val="superscript"/>
        </w:rPr>
        <w:fldChar w:fldCharType="separate"/>
      </w:r>
      <w:r w:rsidR="00EC7E49">
        <w:rPr>
          <w:i/>
          <w:vertAlign w:val="superscript"/>
        </w:rPr>
        <w:t>7</w:t>
      </w:r>
      <w:r w:rsidR="00AA06D8" w:rsidRPr="0010072C">
        <w:rPr>
          <w:i/>
          <w:vertAlign w:val="superscript"/>
        </w:rPr>
        <w:fldChar w:fldCharType="end"/>
      </w:r>
      <w:r w:rsidR="00AA06D8" w:rsidRPr="0010072C">
        <w:rPr>
          <w:i/>
          <w:vertAlign w:val="superscript"/>
        </w:rPr>
        <w:t>,</w:t>
      </w:r>
      <w:r w:rsidR="00AA06D8" w:rsidRPr="0010072C">
        <w:rPr>
          <w:i/>
          <w:vertAlign w:val="superscript"/>
        </w:rPr>
        <w:fldChar w:fldCharType="begin"/>
      </w:r>
      <w:r w:rsidR="00AA06D8" w:rsidRPr="0010072C">
        <w:rPr>
          <w:i/>
          <w:vertAlign w:val="superscript"/>
        </w:rPr>
        <w:instrText xml:space="preserve"> NOTEREF _Ref450752405 \h  \* MERGEFORMAT </w:instrText>
      </w:r>
      <w:r w:rsidR="00AA06D8" w:rsidRPr="0010072C">
        <w:rPr>
          <w:i/>
          <w:vertAlign w:val="superscript"/>
        </w:rPr>
      </w:r>
      <w:r w:rsidR="00AA06D8" w:rsidRPr="0010072C">
        <w:rPr>
          <w:i/>
          <w:vertAlign w:val="superscript"/>
        </w:rPr>
        <w:fldChar w:fldCharType="separate"/>
      </w:r>
      <w:r w:rsidR="00EC7E49">
        <w:rPr>
          <w:i/>
          <w:vertAlign w:val="superscript"/>
        </w:rPr>
        <w:t>8</w:t>
      </w:r>
      <w:r w:rsidR="00AA06D8" w:rsidRPr="0010072C">
        <w:rPr>
          <w:i/>
          <w:vertAlign w:val="superscript"/>
        </w:rPr>
        <w:fldChar w:fldCharType="end"/>
      </w:r>
      <w:r w:rsidR="00AA06D8" w:rsidRPr="0010072C">
        <w:rPr>
          <w:i/>
          <w:vertAlign w:val="superscript"/>
        </w:rPr>
        <w:t>,</w:t>
      </w:r>
      <w:r w:rsidR="00AA06D8" w:rsidRPr="0010072C">
        <w:rPr>
          <w:i/>
          <w:vertAlign w:val="superscript"/>
        </w:rPr>
        <w:fldChar w:fldCharType="begin"/>
      </w:r>
      <w:r w:rsidR="00AA06D8" w:rsidRPr="0010072C">
        <w:rPr>
          <w:i/>
          <w:vertAlign w:val="superscript"/>
        </w:rPr>
        <w:instrText xml:space="preserve"> NOTEREF _Ref450752415 \h  \* MERGEFORMAT </w:instrText>
      </w:r>
      <w:r w:rsidR="00AA06D8" w:rsidRPr="0010072C">
        <w:rPr>
          <w:i/>
          <w:vertAlign w:val="superscript"/>
        </w:rPr>
      </w:r>
      <w:r w:rsidR="00AA06D8" w:rsidRPr="0010072C">
        <w:rPr>
          <w:i/>
          <w:vertAlign w:val="superscript"/>
        </w:rPr>
        <w:fldChar w:fldCharType="separate"/>
      </w:r>
      <w:r w:rsidR="00EC7E49">
        <w:rPr>
          <w:i/>
          <w:vertAlign w:val="superscript"/>
        </w:rPr>
        <w:t>9</w:t>
      </w:r>
      <w:r w:rsidR="00AA06D8" w:rsidRPr="0010072C">
        <w:rPr>
          <w:i/>
          <w:vertAlign w:val="superscript"/>
        </w:rPr>
        <w:fldChar w:fldCharType="end"/>
      </w:r>
      <w:r w:rsidRPr="0010072C">
        <w:rPr>
          <w:i/>
        </w:rPr>
        <w:t xml:space="preserve"> it is possible that despite PBS criteria and authority approval requirements</w:t>
      </w:r>
      <w:r w:rsidRPr="0010072C">
        <w:rPr>
          <w:rStyle w:val="FootnoteReference"/>
          <w:i/>
        </w:rPr>
        <w:footnoteReference w:id="3"/>
      </w:r>
      <w:r w:rsidRPr="0010072C">
        <w:rPr>
          <w:i/>
        </w:rPr>
        <w:t xml:space="preserve"> there is some use in nr-</w:t>
      </w:r>
      <w:proofErr w:type="spellStart"/>
      <w:r w:rsidRPr="0010072C">
        <w:rPr>
          <w:i/>
        </w:rPr>
        <w:t>axSpA</w:t>
      </w:r>
      <w:proofErr w:type="spellEnd"/>
      <w:r w:rsidRPr="0010072C">
        <w:rPr>
          <w:i/>
        </w:rPr>
        <w:t xml:space="preserve"> contributing to increasing use in females. This concern is most apparent in Western Australia because utilisation across both genders is high compared with reported prevalence and incidence rates, the absolute number of female patients initiating treatment is higher than in any other jurisdiction despite being a less populous state, and more females are initiating treatment than males. The latter is inconsistent with every available published epidemiological study that shows that radiographic changes are more common in males. Furthermore, the number of females initiating </w:t>
      </w:r>
      <w:r w:rsidR="00750F9A" w:rsidRPr="0010072C">
        <w:rPr>
          <w:i/>
        </w:rPr>
        <w:t>bDMARDs</w:t>
      </w:r>
      <w:r w:rsidRPr="0010072C">
        <w:rPr>
          <w:i/>
        </w:rPr>
        <w:t xml:space="preserve"> in </w:t>
      </w:r>
      <w:r w:rsidR="00883E4E">
        <w:rPr>
          <w:i/>
        </w:rPr>
        <w:t>WA</w:t>
      </w:r>
      <w:r w:rsidRPr="0010072C">
        <w:rPr>
          <w:i/>
        </w:rPr>
        <w:t xml:space="preserve"> is higher than the incidence of AS. The WA incident treatment rate for females in 2015 was 0.0122% which is higher than published studies on the incidence of AS which range from 0.44 to 7.3 per 100,000 </w:t>
      </w:r>
      <w:proofErr w:type="gramStart"/>
      <w:r w:rsidRPr="0010072C">
        <w:rPr>
          <w:i/>
        </w:rPr>
        <w:t>population</w:t>
      </w:r>
      <w:proofErr w:type="gramEnd"/>
      <w:r w:rsidR="00682290" w:rsidRPr="0010072C">
        <w:rPr>
          <w:i/>
        </w:rPr>
        <w:t xml:space="preserve"> (ie. 0.00044% to 0.0073%)</w:t>
      </w:r>
      <w:r w:rsidR="00883E4E">
        <w:rPr>
          <w:i/>
        </w:rPr>
        <w:t>.</w:t>
      </w:r>
      <w:r w:rsidR="00AA06D8" w:rsidRPr="0010072C">
        <w:rPr>
          <w:i/>
          <w:vertAlign w:val="superscript"/>
        </w:rPr>
        <w:fldChar w:fldCharType="begin"/>
      </w:r>
      <w:r w:rsidR="00AA06D8" w:rsidRPr="0010072C">
        <w:rPr>
          <w:i/>
          <w:vertAlign w:val="superscript"/>
        </w:rPr>
        <w:instrText xml:space="preserve"> NOTEREF _Ref450752690 \h  \* MERGEFORMAT </w:instrText>
      </w:r>
      <w:r w:rsidR="00AA06D8" w:rsidRPr="0010072C">
        <w:rPr>
          <w:i/>
          <w:vertAlign w:val="superscript"/>
        </w:rPr>
      </w:r>
      <w:r w:rsidR="00AA06D8" w:rsidRPr="0010072C">
        <w:rPr>
          <w:i/>
          <w:vertAlign w:val="superscript"/>
        </w:rPr>
        <w:fldChar w:fldCharType="separate"/>
      </w:r>
      <w:r w:rsidR="00EC7E49">
        <w:rPr>
          <w:i/>
          <w:vertAlign w:val="superscript"/>
        </w:rPr>
        <w:t>18</w:t>
      </w:r>
      <w:r w:rsidR="00AA06D8" w:rsidRPr="0010072C">
        <w:rPr>
          <w:i/>
          <w:vertAlign w:val="superscript"/>
        </w:rPr>
        <w:fldChar w:fldCharType="end"/>
      </w:r>
      <w:r w:rsidRPr="0010072C">
        <w:rPr>
          <w:i/>
        </w:rPr>
        <w:t xml:space="preserve"> In comparing diagnosed prevalence from the literature, with treated prevalence from the PBS data, it should be noted that not all patients with AS meet the criteria for PBS subsidy and/or are suitable for treatment with a biologic agent.</w:t>
      </w:r>
    </w:p>
    <w:p w:rsidR="00353C6F" w:rsidRDefault="00353C6F">
      <w:pPr>
        <w:spacing w:line="276" w:lineRule="auto"/>
        <w:rPr>
          <w:b/>
          <w:sz w:val="32"/>
          <w:szCs w:val="32"/>
        </w:rPr>
      </w:pPr>
      <w:r>
        <w:rPr>
          <w:i/>
        </w:rPr>
        <w:br w:type="page"/>
      </w:r>
    </w:p>
    <w:p w:rsidR="000E6979" w:rsidRPr="00605DA3" w:rsidRDefault="000E6979" w:rsidP="000E6979">
      <w:pPr>
        <w:pStyle w:val="Heading4"/>
        <w:rPr>
          <w:i w:val="0"/>
        </w:rPr>
      </w:pPr>
      <w:r w:rsidRPr="00605DA3">
        <w:rPr>
          <w:i w:val="0"/>
        </w:rPr>
        <w:lastRenderedPageBreak/>
        <w:t>DUSC consideration</w:t>
      </w:r>
    </w:p>
    <w:p w:rsidR="00353C6F" w:rsidRPr="00313209" w:rsidRDefault="00353C6F" w:rsidP="00353C6F">
      <w:r w:rsidRPr="00313209">
        <w:t>DUSC noted that</w:t>
      </w:r>
      <w:r w:rsidR="00883E4E">
        <w:t>:</w:t>
      </w:r>
    </w:p>
    <w:p w:rsidR="00353C6F" w:rsidRPr="00313209" w:rsidRDefault="00353C6F" w:rsidP="00353C6F">
      <w:pPr>
        <w:numPr>
          <w:ilvl w:val="0"/>
          <w:numId w:val="14"/>
        </w:numPr>
        <w:spacing w:after="0"/>
        <w:rPr>
          <w:rFonts w:eastAsia="Calibri" w:cs="Times New Roman"/>
        </w:rPr>
      </w:pPr>
      <w:r w:rsidRPr="00313209">
        <w:rPr>
          <w:rFonts w:eastAsia="Calibri" w:cs="Times New Roman"/>
        </w:rPr>
        <w:t xml:space="preserve">Figure 2 showed the decrease in the </w:t>
      </w:r>
      <w:proofErr w:type="spellStart"/>
      <w:r w:rsidR="00883E4E">
        <w:rPr>
          <w:rFonts w:eastAsia="Calibri" w:cs="Times New Roman"/>
        </w:rPr>
        <w:t>male</w:t>
      </w:r>
      <w:proofErr w:type="gramStart"/>
      <w:r w:rsidR="00883E4E">
        <w:rPr>
          <w:rFonts w:eastAsia="Calibri" w:cs="Times New Roman"/>
        </w:rPr>
        <w:t>:female</w:t>
      </w:r>
      <w:proofErr w:type="spellEnd"/>
      <w:proofErr w:type="gramEnd"/>
      <w:r w:rsidRPr="00313209">
        <w:rPr>
          <w:rFonts w:eastAsia="Calibri" w:cs="Times New Roman"/>
        </w:rPr>
        <w:t xml:space="preserve"> ratio was primarily due to the increase in the number of women being treated whilst the number of men treated was relatively stable.</w:t>
      </w:r>
    </w:p>
    <w:p w:rsidR="00353C6F" w:rsidRPr="00313209" w:rsidRDefault="00353C6F" w:rsidP="00353C6F">
      <w:pPr>
        <w:numPr>
          <w:ilvl w:val="0"/>
          <w:numId w:val="14"/>
        </w:numPr>
        <w:spacing w:after="0"/>
        <w:rPr>
          <w:rFonts w:eastAsia="Calibri" w:cs="Times New Roman"/>
        </w:rPr>
      </w:pPr>
      <w:r w:rsidRPr="00313209">
        <w:rPr>
          <w:rFonts w:eastAsia="Calibri" w:cs="Times New Roman"/>
        </w:rPr>
        <w:t xml:space="preserve">Figure 7 showed that the treatment rate in QLD has been low. DUSC commented that there are a relatively low number of rheumatologists in QLD (not reported in the analysis) and this may explain the low treatment rate. </w:t>
      </w:r>
    </w:p>
    <w:p w:rsidR="00883E4E" w:rsidRDefault="00883E4E" w:rsidP="00883E4E">
      <w:pPr>
        <w:spacing w:after="0"/>
      </w:pPr>
    </w:p>
    <w:p w:rsidR="00353C6F" w:rsidRDefault="00353C6F" w:rsidP="00883E4E">
      <w:pPr>
        <w:spacing w:after="0"/>
      </w:pPr>
      <w:r w:rsidRPr="00313209">
        <w:t>The DUSC considered that:</w:t>
      </w:r>
    </w:p>
    <w:p w:rsidR="008E5108" w:rsidRPr="00313209" w:rsidRDefault="008E5108" w:rsidP="00883E4E">
      <w:pPr>
        <w:spacing w:after="0"/>
      </w:pPr>
    </w:p>
    <w:p w:rsidR="00353C6F" w:rsidRPr="00313209" w:rsidRDefault="00353C6F" w:rsidP="00353C6F">
      <w:pPr>
        <w:numPr>
          <w:ilvl w:val="0"/>
          <w:numId w:val="14"/>
        </w:numPr>
        <w:spacing w:after="0"/>
        <w:rPr>
          <w:rFonts w:eastAsia="Calibri" w:cs="Times New Roman"/>
        </w:rPr>
      </w:pPr>
      <w:r w:rsidRPr="00313209">
        <w:rPr>
          <w:rFonts w:eastAsia="Calibri" w:cs="Times New Roman"/>
        </w:rPr>
        <w:t xml:space="preserve">The changing </w:t>
      </w:r>
      <w:proofErr w:type="spellStart"/>
      <w:r w:rsidR="00883E4E">
        <w:rPr>
          <w:rFonts w:eastAsia="Calibri" w:cs="Times New Roman"/>
        </w:rPr>
        <w:t>male</w:t>
      </w:r>
      <w:proofErr w:type="gramStart"/>
      <w:r w:rsidR="00883E4E">
        <w:rPr>
          <w:rFonts w:eastAsia="Calibri" w:cs="Times New Roman"/>
        </w:rPr>
        <w:t>:female</w:t>
      </w:r>
      <w:proofErr w:type="spellEnd"/>
      <w:proofErr w:type="gramEnd"/>
      <w:r w:rsidRPr="00313209">
        <w:rPr>
          <w:rFonts w:eastAsia="Calibri" w:cs="Times New Roman"/>
        </w:rPr>
        <w:t xml:space="preserve"> ratio is broadly consistent with the literature. However the changing gender ratios in the literature are generally the result of changing definitions and inclusion of non-radiographic </w:t>
      </w:r>
      <w:r w:rsidR="00883E4E">
        <w:rPr>
          <w:rFonts w:eastAsia="Calibri" w:cs="Times New Roman"/>
        </w:rPr>
        <w:t xml:space="preserve">axial </w:t>
      </w:r>
      <w:proofErr w:type="spellStart"/>
      <w:r w:rsidR="00883E4E">
        <w:rPr>
          <w:rFonts w:eastAsia="Calibri" w:cs="Times New Roman"/>
        </w:rPr>
        <w:t>spondyloarthritis</w:t>
      </w:r>
      <w:proofErr w:type="spellEnd"/>
      <w:r w:rsidRPr="00313209">
        <w:rPr>
          <w:rFonts w:eastAsia="Calibri" w:cs="Times New Roman"/>
        </w:rPr>
        <w:t>. DUS</w:t>
      </w:r>
      <w:r w:rsidR="00010AEA">
        <w:rPr>
          <w:rFonts w:eastAsia="Calibri" w:cs="Times New Roman"/>
        </w:rPr>
        <w:t>C</w:t>
      </w:r>
      <w:r w:rsidRPr="00313209">
        <w:rPr>
          <w:rFonts w:eastAsia="Calibri" w:cs="Times New Roman"/>
        </w:rPr>
        <w:t xml:space="preserve"> considered that these patients should not be represented in the epidemiological data for comparison with the PBS treatment rates as the authority application requires evidence of Stage II </w:t>
      </w:r>
      <w:proofErr w:type="spellStart"/>
      <w:r w:rsidRPr="00313209">
        <w:rPr>
          <w:rFonts w:eastAsia="Calibri" w:cs="Times New Roman"/>
        </w:rPr>
        <w:t>sacroiliitis</w:t>
      </w:r>
      <w:proofErr w:type="spellEnd"/>
      <w:r w:rsidRPr="00313209">
        <w:rPr>
          <w:rFonts w:eastAsia="Calibri" w:cs="Times New Roman"/>
        </w:rPr>
        <w:t xml:space="preserve">/radiographic changes on </w:t>
      </w:r>
      <w:r w:rsidR="00883E4E">
        <w:rPr>
          <w:rFonts w:eastAsia="Calibri" w:cs="Times New Roman"/>
        </w:rPr>
        <w:t>X</w:t>
      </w:r>
      <w:r w:rsidR="00750F9A" w:rsidRPr="00313209">
        <w:rPr>
          <w:rFonts w:eastAsia="Calibri" w:cs="Times New Roman"/>
        </w:rPr>
        <w:t>-ray</w:t>
      </w:r>
      <w:r w:rsidRPr="00313209">
        <w:rPr>
          <w:rFonts w:eastAsia="Calibri" w:cs="Times New Roman"/>
        </w:rPr>
        <w:t xml:space="preserve">. </w:t>
      </w:r>
    </w:p>
    <w:p w:rsidR="00353C6F" w:rsidRPr="00313209" w:rsidRDefault="00353C6F" w:rsidP="00353C6F">
      <w:pPr>
        <w:numPr>
          <w:ilvl w:val="0"/>
          <w:numId w:val="14"/>
        </w:numPr>
        <w:spacing w:after="0"/>
        <w:rPr>
          <w:rFonts w:eastAsia="Calibri" w:cs="Times New Roman"/>
        </w:rPr>
      </w:pPr>
      <w:r w:rsidRPr="00313209">
        <w:rPr>
          <w:rFonts w:eastAsia="Calibri" w:cs="Times New Roman"/>
        </w:rPr>
        <w:t xml:space="preserve">Increased and/or earlier diagnosis in women may have contributed to some extent in the reduction of the </w:t>
      </w:r>
      <w:proofErr w:type="spellStart"/>
      <w:r w:rsidR="00883E4E">
        <w:rPr>
          <w:rFonts w:eastAsia="Calibri" w:cs="Times New Roman"/>
        </w:rPr>
        <w:t>male</w:t>
      </w:r>
      <w:proofErr w:type="gramStart"/>
      <w:r w:rsidR="00883E4E">
        <w:rPr>
          <w:rFonts w:eastAsia="Calibri" w:cs="Times New Roman"/>
        </w:rPr>
        <w:t>:female</w:t>
      </w:r>
      <w:proofErr w:type="spellEnd"/>
      <w:proofErr w:type="gramEnd"/>
      <w:r w:rsidRPr="00313209">
        <w:rPr>
          <w:rFonts w:eastAsia="Calibri" w:cs="Times New Roman"/>
        </w:rPr>
        <w:t xml:space="preserve"> treatment ratio.</w:t>
      </w:r>
    </w:p>
    <w:p w:rsidR="00353C6F" w:rsidRPr="00313209" w:rsidRDefault="00353C6F" w:rsidP="00353C6F">
      <w:pPr>
        <w:numPr>
          <w:ilvl w:val="0"/>
          <w:numId w:val="14"/>
        </w:numPr>
        <w:spacing w:after="0"/>
        <w:rPr>
          <w:rFonts w:eastAsia="Calibri" w:cs="Times New Roman"/>
        </w:rPr>
      </w:pPr>
      <w:r w:rsidRPr="00313209">
        <w:rPr>
          <w:rFonts w:eastAsia="Calibri" w:cs="Times New Roman"/>
        </w:rPr>
        <w:t>Higher use in WA is difficult to explain and could be related to a small number of prescribers.</w:t>
      </w:r>
    </w:p>
    <w:p w:rsidR="00353C6F" w:rsidRPr="00313209" w:rsidRDefault="00353C6F" w:rsidP="00353C6F">
      <w:pPr>
        <w:numPr>
          <w:ilvl w:val="0"/>
          <w:numId w:val="14"/>
        </w:numPr>
        <w:spacing w:after="0"/>
        <w:rPr>
          <w:rFonts w:eastAsia="Calibri" w:cs="Times New Roman"/>
        </w:rPr>
      </w:pPr>
      <w:r w:rsidRPr="00313209">
        <w:rPr>
          <w:rFonts w:eastAsia="Calibri" w:cs="Times New Roman"/>
        </w:rPr>
        <w:t xml:space="preserve">Differences in reporting of sacroiliac joint involvement on X-ray may occur. This has been demonstrated in </w:t>
      </w:r>
      <w:r w:rsidR="00883E4E">
        <w:rPr>
          <w:rFonts w:eastAsia="Calibri" w:cs="Times New Roman"/>
        </w:rPr>
        <w:t>randomised controlled trials</w:t>
      </w:r>
      <w:r w:rsidRPr="00313209">
        <w:rPr>
          <w:rFonts w:eastAsia="Calibri" w:cs="Times New Roman"/>
        </w:rPr>
        <w:t xml:space="preserve"> of nr-</w:t>
      </w:r>
      <w:proofErr w:type="spellStart"/>
      <w:r w:rsidRPr="00313209">
        <w:rPr>
          <w:rFonts w:eastAsia="Calibri" w:cs="Times New Roman"/>
        </w:rPr>
        <w:t>SpA</w:t>
      </w:r>
      <w:proofErr w:type="spellEnd"/>
      <w:r w:rsidRPr="00313209">
        <w:rPr>
          <w:rFonts w:eastAsia="Calibri" w:cs="Times New Roman"/>
        </w:rPr>
        <w:t xml:space="preserve"> where re-reading of X-rays has altered results. This may have contributed to the differences in treatment rates between jurisdictions.</w:t>
      </w:r>
    </w:p>
    <w:p w:rsidR="00010AEA" w:rsidRDefault="00010AEA" w:rsidP="00353C6F">
      <w:pPr>
        <w:rPr>
          <w:b/>
        </w:rPr>
      </w:pPr>
    </w:p>
    <w:p w:rsidR="00353C6F" w:rsidRPr="003E0405" w:rsidRDefault="00010AEA" w:rsidP="00353C6F">
      <w:pPr>
        <w:rPr>
          <w:b/>
        </w:rPr>
      </w:pPr>
      <w:r>
        <w:rPr>
          <w:b/>
        </w:rPr>
        <w:t>D</w:t>
      </w:r>
      <w:r w:rsidR="00353C6F" w:rsidRPr="003E0405">
        <w:rPr>
          <w:b/>
        </w:rPr>
        <w:t>USC Actions</w:t>
      </w:r>
    </w:p>
    <w:p w:rsidR="00353C6F" w:rsidRDefault="00353C6F" w:rsidP="00353C6F">
      <w:r>
        <w:t>The DUSC requested that</w:t>
      </w:r>
      <w:r w:rsidR="00883E4E">
        <w:t xml:space="preserve"> the:</w:t>
      </w:r>
    </w:p>
    <w:p w:rsidR="00353C6F" w:rsidRPr="00B46D40" w:rsidRDefault="00353C6F" w:rsidP="00353C6F">
      <w:pPr>
        <w:numPr>
          <w:ilvl w:val="0"/>
          <w:numId w:val="14"/>
        </w:numPr>
        <w:spacing w:after="0"/>
        <w:rPr>
          <w:rFonts w:eastAsia="Calibri" w:cs="Times New Roman"/>
        </w:rPr>
      </w:pPr>
      <w:r w:rsidRPr="00B46D40">
        <w:rPr>
          <w:rFonts w:eastAsia="Calibri" w:cs="Times New Roman"/>
        </w:rPr>
        <w:t xml:space="preserve">Australian </w:t>
      </w:r>
      <w:r w:rsidR="00CC0EB4">
        <w:rPr>
          <w:rFonts w:eastAsia="Calibri" w:cs="Times New Roman"/>
        </w:rPr>
        <w:t xml:space="preserve">Rheumatology Association (ARA) </w:t>
      </w:r>
      <w:proofErr w:type="gramStart"/>
      <w:r w:rsidRPr="00B46D40">
        <w:rPr>
          <w:rFonts w:eastAsia="Calibri" w:cs="Times New Roman"/>
        </w:rPr>
        <w:t>be</w:t>
      </w:r>
      <w:proofErr w:type="gramEnd"/>
      <w:r w:rsidRPr="00B46D40">
        <w:rPr>
          <w:rFonts w:eastAsia="Calibri" w:cs="Times New Roman"/>
        </w:rPr>
        <w:t xml:space="preserve"> asked </w:t>
      </w:r>
      <w:r w:rsidR="00883E4E">
        <w:rPr>
          <w:rFonts w:eastAsia="Calibri" w:cs="Times New Roman"/>
        </w:rPr>
        <w:t>to comment about these findings</w:t>
      </w:r>
      <w:r w:rsidR="006678A0">
        <w:rPr>
          <w:rFonts w:eastAsia="Calibri" w:cs="Times New Roman"/>
        </w:rPr>
        <w:t>.</w:t>
      </w:r>
      <w:r w:rsidRPr="00B46D40">
        <w:rPr>
          <w:rFonts w:eastAsia="Calibri" w:cs="Times New Roman"/>
        </w:rPr>
        <w:t xml:space="preserve"> </w:t>
      </w:r>
    </w:p>
    <w:p w:rsidR="00353C6F" w:rsidRPr="00B46D40" w:rsidRDefault="00883E4E" w:rsidP="00353C6F">
      <w:pPr>
        <w:numPr>
          <w:ilvl w:val="0"/>
          <w:numId w:val="14"/>
        </w:numPr>
        <w:spacing w:after="0"/>
        <w:rPr>
          <w:rFonts w:eastAsia="Calibri" w:cs="Times New Roman"/>
        </w:rPr>
      </w:pPr>
      <w:r>
        <w:rPr>
          <w:rFonts w:eastAsia="Calibri" w:cs="Times New Roman"/>
        </w:rPr>
        <w:t>R</w:t>
      </w:r>
      <w:r w:rsidR="00353C6F" w:rsidRPr="00B46D40">
        <w:rPr>
          <w:rFonts w:eastAsia="Calibri" w:cs="Times New Roman"/>
        </w:rPr>
        <w:t xml:space="preserve">eport </w:t>
      </w:r>
      <w:proofErr w:type="gramStart"/>
      <w:r w:rsidR="00353C6F" w:rsidRPr="00B46D40">
        <w:rPr>
          <w:rFonts w:eastAsia="Calibri" w:cs="Times New Roman"/>
        </w:rPr>
        <w:t>be</w:t>
      </w:r>
      <w:proofErr w:type="gramEnd"/>
      <w:r w:rsidR="00353C6F" w:rsidRPr="00B46D40">
        <w:rPr>
          <w:rFonts w:eastAsia="Calibri" w:cs="Times New Roman"/>
        </w:rPr>
        <w:t xml:space="preserve"> provided to the PBAC once comment has been received from the ARA. </w:t>
      </w:r>
    </w:p>
    <w:p w:rsidR="000E6979" w:rsidRDefault="000E6979" w:rsidP="00E42C55">
      <w:pPr>
        <w:rPr>
          <w:b/>
          <w:sz w:val="32"/>
          <w:szCs w:val="32"/>
        </w:rPr>
      </w:pPr>
    </w:p>
    <w:p w:rsidR="00313209" w:rsidRDefault="00313209">
      <w:pPr>
        <w:spacing w:line="276" w:lineRule="auto"/>
        <w:rPr>
          <w:rFonts w:ascii="Calibri" w:eastAsia="MS Mincho" w:hAnsi="Calibri" w:cs="Times New Roman"/>
          <w:b/>
          <w:sz w:val="32"/>
          <w:szCs w:val="32"/>
        </w:rPr>
      </w:pPr>
      <w:r>
        <w:rPr>
          <w:rFonts w:ascii="Calibri" w:eastAsia="MS Mincho" w:hAnsi="Calibri" w:cs="Times New Roman"/>
          <w:b/>
          <w:sz w:val="32"/>
          <w:szCs w:val="32"/>
        </w:rPr>
        <w:br w:type="page"/>
      </w:r>
    </w:p>
    <w:p w:rsidR="00365B75" w:rsidRPr="00365B75" w:rsidRDefault="00365B75" w:rsidP="00365B75">
      <w:pPr>
        <w:spacing w:before="240"/>
        <w:outlineLvl w:val="3"/>
        <w:rPr>
          <w:rFonts w:ascii="Calibri" w:eastAsia="MS Mincho" w:hAnsi="Calibri" w:cs="Times New Roman"/>
          <w:b/>
          <w:sz w:val="32"/>
          <w:szCs w:val="32"/>
        </w:rPr>
      </w:pPr>
      <w:r w:rsidRPr="00365B75">
        <w:rPr>
          <w:rFonts w:ascii="Calibri" w:eastAsia="MS Mincho" w:hAnsi="Calibri" w:cs="Times New Roman"/>
          <w:b/>
          <w:sz w:val="32"/>
          <w:szCs w:val="32"/>
        </w:rPr>
        <w:lastRenderedPageBreak/>
        <w:t>Context for analysis</w:t>
      </w:r>
    </w:p>
    <w:p w:rsidR="00365B75" w:rsidRPr="00365B75" w:rsidRDefault="00365B75" w:rsidP="00365B75">
      <w:pPr>
        <w:rPr>
          <w:rFonts w:ascii="Calibri" w:eastAsia="MS Mincho" w:hAnsi="Calibri" w:cs="Times New Roman"/>
        </w:rPr>
      </w:pPr>
      <w:r w:rsidRPr="00365B75">
        <w:rPr>
          <w:rFonts w:ascii="Calibri" w:eastAsia="MS Mincho" w:hAnsi="Calibri" w:cs="Times New Roman"/>
        </w:rPr>
        <w:t>The DUSC is a Sub Committee of the Pharmaceutical Benefits Advisory Committee (PBAC). The DUSC assesses estimates on projected usage and financial cost of medicines.</w:t>
      </w:r>
    </w:p>
    <w:p w:rsidR="00365B75" w:rsidRPr="00365B75" w:rsidRDefault="00365B75" w:rsidP="00365B75">
      <w:pPr>
        <w:rPr>
          <w:rFonts w:ascii="Calibri" w:eastAsia="MS Mincho" w:hAnsi="Calibri" w:cs="Times New Roman"/>
        </w:rPr>
      </w:pPr>
      <w:r w:rsidRPr="00365B75">
        <w:rPr>
          <w:rFonts w:ascii="Calibri" w:eastAsia="MS Mincho" w:hAnsi="Calibri" w:cs="Times New Roman"/>
        </w:rP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365B75" w:rsidRPr="00365B75" w:rsidRDefault="00365B75" w:rsidP="00365B75">
      <w:pPr>
        <w:rPr>
          <w:rFonts w:ascii="Calibri" w:eastAsia="MS Mincho" w:hAnsi="Calibri" w:cs="Times New Roman"/>
        </w:rPr>
      </w:pPr>
      <w:r w:rsidRPr="00365B75">
        <w:rPr>
          <w:rFonts w:ascii="Calibri" w:eastAsia="MS Mincho" w:hAnsi="Calibri" w:cs="Times New Roman"/>
        </w:rP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365B75" w:rsidRPr="00365B75" w:rsidRDefault="00365B75" w:rsidP="00365B75">
      <w:pPr>
        <w:rPr>
          <w:rFonts w:ascii="Calibri" w:eastAsia="MS Mincho" w:hAnsi="Calibri" w:cs="Times New Roman"/>
        </w:rPr>
      </w:pPr>
      <w:r w:rsidRPr="00365B75">
        <w:rPr>
          <w:rFonts w:ascii="Calibri" w:eastAsia="MS Mincho" w:hAnsi="Calibri" w:cs="Times New Roman"/>
        </w:rPr>
        <w:t>The utilisation analysis report was provided to the pharmaceutical sponsors of each drug and comments on the report were provided to DUSC prior to its consideration of the analysis.</w:t>
      </w:r>
    </w:p>
    <w:p w:rsidR="00365B75" w:rsidRPr="00365B75" w:rsidRDefault="00365B75" w:rsidP="00365B75">
      <w:pPr>
        <w:spacing w:before="240"/>
        <w:outlineLvl w:val="3"/>
        <w:rPr>
          <w:rFonts w:ascii="Calibri" w:eastAsia="MS Mincho" w:hAnsi="Calibri" w:cs="Times New Roman"/>
          <w:b/>
          <w:sz w:val="32"/>
          <w:szCs w:val="32"/>
        </w:rPr>
      </w:pPr>
      <w:r w:rsidRPr="00365B75">
        <w:rPr>
          <w:rFonts w:ascii="Calibri" w:eastAsia="MS Mincho" w:hAnsi="Calibri" w:cs="Times New Roman"/>
          <w:b/>
          <w:sz w:val="32"/>
          <w:szCs w:val="32"/>
        </w:rPr>
        <w:t>Sponsors’ comments</w:t>
      </w:r>
    </w:p>
    <w:p w:rsidR="00313209" w:rsidRDefault="00313209" w:rsidP="00313209">
      <w:proofErr w:type="spellStart"/>
      <w:r w:rsidRPr="008A55A9">
        <w:t>AbbVie</w:t>
      </w:r>
      <w:proofErr w:type="spellEnd"/>
      <w:r w:rsidRPr="008A55A9">
        <w:t xml:space="preserve"> Pty Ltd</w:t>
      </w:r>
      <w:r>
        <w:t>:</w:t>
      </w:r>
      <w:r w:rsidR="00426144">
        <w:t xml:space="preserve"> The sponsor has no comment.</w:t>
      </w:r>
    </w:p>
    <w:p w:rsidR="00313209" w:rsidRDefault="00313209" w:rsidP="00313209">
      <w:r w:rsidRPr="008A55A9">
        <w:t>Janssen-</w:t>
      </w:r>
      <w:proofErr w:type="spellStart"/>
      <w:r w:rsidRPr="008A55A9">
        <w:t>Cilag</w:t>
      </w:r>
      <w:proofErr w:type="spellEnd"/>
      <w:r w:rsidRPr="008A55A9">
        <w:t xml:space="preserve"> Pty Ltd</w:t>
      </w:r>
      <w:r>
        <w:t>:</w:t>
      </w:r>
      <w:r w:rsidR="00426144">
        <w:t xml:space="preserve"> The sponsor has no comment.</w:t>
      </w:r>
    </w:p>
    <w:p w:rsidR="00313209" w:rsidRPr="008A55A9" w:rsidRDefault="00313209" w:rsidP="00313209">
      <w:r w:rsidRPr="008A55A9">
        <w:t>Pfizer Pty Ltd</w:t>
      </w:r>
      <w:r>
        <w:t xml:space="preserve">: </w:t>
      </w:r>
      <w:r w:rsidR="00426144">
        <w:t>The sponsor has no comment.</w:t>
      </w:r>
    </w:p>
    <w:p w:rsidR="00313209" w:rsidRDefault="00313209" w:rsidP="00313209">
      <w:r>
        <w:t>UCB Australia Pty Ltd:</w:t>
      </w:r>
      <w:r w:rsidR="00426144">
        <w:t xml:space="preserve"> The sponsor has no comment.</w:t>
      </w:r>
    </w:p>
    <w:p w:rsidR="00B2660D" w:rsidRPr="00365B75" w:rsidRDefault="00B2660D" w:rsidP="00B2660D">
      <w:pPr>
        <w:spacing w:before="240"/>
        <w:outlineLvl w:val="3"/>
        <w:rPr>
          <w:rFonts w:ascii="Calibri" w:eastAsia="MS Mincho" w:hAnsi="Calibri" w:cs="Times New Roman"/>
          <w:b/>
          <w:sz w:val="32"/>
          <w:szCs w:val="32"/>
        </w:rPr>
      </w:pPr>
      <w:r w:rsidRPr="00365B75">
        <w:rPr>
          <w:rFonts w:ascii="Calibri" w:eastAsia="MS Mincho" w:hAnsi="Calibri" w:cs="Times New Roman"/>
          <w:b/>
          <w:sz w:val="32"/>
          <w:szCs w:val="32"/>
        </w:rPr>
        <w:t>Disclaimer</w:t>
      </w:r>
    </w:p>
    <w:p w:rsidR="00B2660D" w:rsidRPr="00365B75" w:rsidRDefault="00B2660D" w:rsidP="00B2660D">
      <w:pPr>
        <w:rPr>
          <w:rFonts w:ascii="Calibri" w:eastAsia="MS Mincho" w:hAnsi="Calibri" w:cs="Times New Roman"/>
        </w:rPr>
      </w:pPr>
      <w:r w:rsidRPr="00365B75">
        <w:rPr>
          <w:rFonts w:ascii="Calibri" w:eastAsia="MS Mincho" w:hAnsi="Calibri" w:cs="Times New Roman"/>
        </w:rP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B2660D" w:rsidRPr="00365B75" w:rsidRDefault="00B2660D" w:rsidP="00B2660D">
      <w:pPr>
        <w:rPr>
          <w:rFonts w:ascii="Calibri" w:eastAsia="MS Mincho" w:hAnsi="Calibri" w:cs="Times New Roman"/>
        </w:rPr>
      </w:pPr>
      <w:r w:rsidRPr="00365B75">
        <w:rPr>
          <w:rFonts w:ascii="Calibri" w:eastAsia="MS Mincho" w:hAnsi="Calibri" w:cs="Times New Roman"/>
        </w:rPr>
        <w:t>The Department of Health (</w:t>
      </w:r>
      <w:proofErr w:type="spellStart"/>
      <w:r w:rsidRPr="00365B75">
        <w:rPr>
          <w:rFonts w:ascii="Calibri" w:eastAsia="MS Mincho" w:hAnsi="Calibri" w:cs="Times New Roman"/>
        </w:rPr>
        <w:t>DoH</w:t>
      </w:r>
      <w:proofErr w:type="spellEnd"/>
      <w:r w:rsidRPr="00365B75">
        <w:rPr>
          <w:rFonts w:ascii="Calibri" w:eastAsia="MS Mincho" w:hAnsi="Calibri" w:cs="Times New Roman"/>
        </w:rP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B2660D" w:rsidRPr="00365B75" w:rsidRDefault="00B2660D" w:rsidP="00B2660D">
      <w:pPr>
        <w:rPr>
          <w:rFonts w:ascii="Calibri" w:eastAsia="MS Mincho" w:hAnsi="Calibri" w:cs="Times New Roman"/>
        </w:rPr>
      </w:pPr>
      <w:r w:rsidRPr="00365B75">
        <w:rPr>
          <w:rFonts w:ascii="Calibri" w:eastAsia="MS Mincho" w:hAnsi="Calibri" w:cs="Times New Roman"/>
        </w:rPr>
        <w:t xml:space="preserve">To the extent provided by law, </w:t>
      </w:r>
      <w:proofErr w:type="spellStart"/>
      <w:r w:rsidRPr="00365B75">
        <w:rPr>
          <w:rFonts w:ascii="Calibri" w:eastAsia="MS Mincho" w:hAnsi="Calibri" w:cs="Times New Roman"/>
        </w:rPr>
        <w:t>DoH</w:t>
      </w:r>
      <w:proofErr w:type="spellEnd"/>
      <w:r w:rsidRPr="00365B75">
        <w:rPr>
          <w:rFonts w:ascii="Calibri" w:eastAsia="MS Mincho" w:hAnsi="Calibri" w:cs="Times New Roman"/>
        </w:rPr>
        <w:t xml:space="preserve"> makes no warranties or representations as to accuracy or completeness of information contained in this report. </w:t>
      </w:r>
    </w:p>
    <w:p w:rsidR="00B2660D" w:rsidRPr="00365B75" w:rsidRDefault="00B2660D" w:rsidP="00B2660D">
      <w:pPr>
        <w:rPr>
          <w:rFonts w:ascii="Calibri" w:eastAsia="MS Mincho" w:hAnsi="Calibri" w:cs="Times New Roman"/>
        </w:rPr>
      </w:pPr>
      <w:r w:rsidRPr="00365B75">
        <w:rPr>
          <w:rFonts w:ascii="Calibri" w:eastAsia="MS Mincho" w:hAnsi="Calibri" w:cs="Times New Roman"/>
        </w:rPr>
        <w:t xml:space="preserve">To the fullest extent permitted by law, neither the </w:t>
      </w:r>
      <w:proofErr w:type="spellStart"/>
      <w:r w:rsidRPr="00365B75">
        <w:rPr>
          <w:rFonts w:ascii="Calibri" w:eastAsia="MS Mincho" w:hAnsi="Calibri" w:cs="Times New Roman"/>
        </w:rPr>
        <w:t>DoH</w:t>
      </w:r>
      <w:proofErr w:type="spellEnd"/>
      <w:r w:rsidRPr="00365B75">
        <w:rPr>
          <w:rFonts w:ascii="Calibri" w:eastAsia="MS Mincho" w:hAnsi="Calibri" w:cs="Times New Roman"/>
        </w:rPr>
        <w:t xml:space="preserve"> nor any </w:t>
      </w:r>
      <w:proofErr w:type="spellStart"/>
      <w:r w:rsidRPr="00365B75">
        <w:rPr>
          <w:rFonts w:ascii="Calibri" w:eastAsia="MS Mincho" w:hAnsi="Calibri" w:cs="Times New Roman"/>
        </w:rPr>
        <w:t>DoH</w:t>
      </w:r>
      <w:proofErr w:type="spellEnd"/>
      <w:r w:rsidRPr="00365B75">
        <w:rPr>
          <w:rFonts w:ascii="Calibri" w:eastAsia="MS Mincho" w:hAnsi="Calibri" w:cs="Times New Roman"/>
        </w:rPr>
        <w:t xml:space="preserve"> employee is liable for any liability, loss, claim, damage, expense, injury or personal injury (including death), whether direct or indirect (including consequential loss and loss of profits) and however </w:t>
      </w:r>
      <w:r w:rsidRPr="00365B75">
        <w:rPr>
          <w:rFonts w:ascii="Calibri" w:eastAsia="MS Mincho" w:hAnsi="Calibri" w:cs="Times New Roman"/>
        </w:rPr>
        <w:lastRenderedPageBreak/>
        <w:t>incurred (including in tort), caused or contributed to by any person’s use or misuse of the information available from this report or contained on any third party website referred to in this report.</w:t>
      </w:r>
    </w:p>
    <w:p w:rsidR="00883E4E" w:rsidRDefault="00883E4E">
      <w:pPr>
        <w:spacing w:line="276" w:lineRule="auto"/>
        <w:rPr>
          <w:rFonts w:ascii="Calibri" w:eastAsia="MS Mincho" w:hAnsi="Calibri" w:cs="Times New Roman"/>
          <w:b/>
          <w:sz w:val="32"/>
          <w:szCs w:val="32"/>
        </w:rPr>
      </w:pPr>
      <w:r>
        <w:rPr>
          <w:rFonts w:ascii="Calibri" w:eastAsia="MS Mincho" w:hAnsi="Calibri" w:cs="Times New Roman"/>
          <w:b/>
          <w:sz w:val="32"/>
          <w:szCs w:val="32"/>
        </w:rPr>
        <w:br w:type="page"/>
      </w:r>
    </w:p>
    <w:p w:rsidR="001F6584" w:rsidRPr="00365B75" w:rsidRDefault="001F6584" w:rsidP="00365B75">
      <w:pPr>
        <w:spacing w:before="240"/>
        <w:outlineLvl w:val="3"/>
        <w:rPr>
          <w:rFonts w:ascii="Calibri" w:eastAsia="MS Mincho" w:hAnsi="Calibri" w:cs="Times New Roman"/>
          <w:b/>
          <w:sz w:val="32"/>
          <w:szCs w:val="32"/>
        </w:rPr>
      </w:pPr>
      <w:r w:rsidRPr="00365B75">
        <w:rPr>
          <w:rFonts w:ascii="Calibri" w:eastAsia="MS Mincho" w:hAnsi="Calibri" w:cs="Times New Roman"/>
          <w:b/>
          <w:sz w:val="32"/>
          <w:szCs w:val="32"/>
        </w:rPr>
        <w:lastRenderedPageBreak/>
        <w:t>References</w:t>
      </w:r>
    </w:p>
    <w:sectPr w:rsidR="001F6584" w:rsidRPr="00365B75" w:rsidSect="00C06F3C">
      <w:headerReference w:type="even" r:id="rId20"/>
      <w:headerReference w:type="default" r:id="rId21"/>
      <w:footerReference w:type="even" r:id="rId22"/>
      <w:footerReference w:type="default" r:id="rId23"/>
      <w:headerReference w:type="first" r:id="rId24"/>
      <w:footerReference w:type="first" r:id="rId25"/>
      <w:footnotePr>
        <w:numFmt w:val="upperLetter"/>
      </w:footnotePr>
      <w:endnotePr>
        <w:numFmt w:val="decimal"/>
      </w:endnotePr>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D32" w:rsidRDefault="00904D32" w:rsidP="00821C17">
      <w:pPr>
        <w:spacing w:after="0"/>
      </w:pPr>
      <w:r>
        <w:separator/>
      </w:r>
    </w:p>
  </w:endnote>
  <w:endnote w:type="continuationSeparator" w:id="0">
    <w:p w:rsidR="00904D32" w:rsidRDefault="00904D32" w:rsidP="00821C17">
      <w:pPr>
        <w:spacing w:after="0"/>
      </w:pPr>
      <w:r>
        <w:continuationSeparator/>
      </w:r>
    </w:p>
  </w:endnote>
  <w:endnote w:id="1">
    <w:p w:rsidR="007A36B4" w:rsidRDefault="007A36B4" w:rsidP="007A36B4">
      <w:pPr>
        <w:pStyle w:val="EndnoteText"/>
        <w:rPr>
          <w:sz w:val="24"/>
          <w:szCs w:val="24"/>
        </w:rPr>
      </w:pPr>
      <w:r w:rsidRPr="00286E26">
        <w:rPr>
          <w:rStyle w:val="EndnoteReference"/>
          <w:sz w:val="24"/>
          <w:szCs w:val="24"/>
        </w:rPr>
        <w:endnoteRef/>
      </w:r>
      <w:r w:rsidRPr="00286E26">
        <w:rPr>
          <w:sz w:val="24"/>
          <w:szCs w:val="24"/>
        </w:rPr>
        <w:t xml:space="preserve"> </w:t>
      </w:r>
      <w:r>
        <w:rPr>
          <w:sz w:val="24"/>
          <w:szCs w:val="24"/>
        </w:rPr>
        <w:t>Arnett F</w:t>
      </w:r>
      <w:r w:rsidRPr="00724BF6">
        <w:rPr>
          <w:sz w:val="24"/>
          <w:szCs w:val="24"/>
        </w:rPr>
        <w:t xml:space="preserve">C (1989) </w:t>
      </w:r>
      <w:proofErr w:type="spellStart"/>
      <w:r w:rsidRPr="00724BF6">
        <w:rPr>
          <w:sz w:val="24"/>
          <w:szCs w:val="24"/>
        </w:rPr>
        <w:t>Spondyloarthropathies</w:t>
      </w:r>
      <w:proofErr w:type="spellEnd"/>
      <w:r w:rsidRPr="00724BF6">
        <w:rPr>
          <w:sz w:val="24"/>
          <w:szCs w:val="24"/>
        </w:rPr>
        <w:t>, in Textbook of Internal Medicine (</w:t>
      </w:r>
      <w:proofErr w:type="spellStart"/>
      <w:r w:rsidRPr="00724BF6">
        <w:rPr>
          <w:sz w:val="24"/>
          <w:szCs w:val="24"/>
        </w:rPr>
        <w:t>Eds</w:t>
      </w:r>
      <w:proofErr w:type="spellEnd"/>
      <w:r w:rsidRPr="00724BF6">
        <w:rPr>
          <w:sz w:val="24"/>
          <w:szCs w:val="24"/>
        </w:rPr>
        <w:t xml:space="preserve">: Kelley WB, De Vita VT Jr, </w:t>
      </w:r>
      <w:proofErr w:type="gramStart"/>
      <w:r w:rsidRPr="00724BF6">
        <w:rPr>
          <w:sz w:val="24"/>
          <w:szCs w:val="24"/>
        </w:rPr>
        <w:t>DuPont</w:t>
      </w:r>
      <w:proofErr w:type="gramEnd"/>
      <w:r w:rsidRPr="00724BF6">
        <w:rPr>
          <w:sz w:val="24"/>
          <w:szCs w:val="24"/>
        </w:rPr>
        <w:t xml:space="preserve"> HL). Philadelphia, Pa: JB Lippincott; pp 986–990.</w:t>
      </w:r>
    </w:p>
    <w:p w:rsidR="007A36B4" w:rsidRPr="00286E26" w:rsidRDefault="007A36B4" w:rsidP="007A36B4">
      <w:pPr>
        <w:pStyle w:val="EndnoteText"/>
        <w:rPr>
          <w:sz w:val="24"/>
          <w:szCs w:val="24"/>
        </w:rPr>
      </w:pPr>
    </w:p>
  </w:endnote>
  <w:endnote w:id="2">
    <w:p w:rsidR="007A36B4" w:rsidRDefault="007A36B4" w:rsidP="007A36B4">
      <w:pPr>
        <w:pStyle w:val="EndnoteText"/>
        <w:rPr>
          <w:sz w:val="24"/>
          <w:szCs w:val="24"/>
        </w:rPr>
      </w:pPr>
      <w:r w:rsidRPr="00286E26">
        <w:rPr>
          <w:rStyle w:val="EndnoteReference"/>
          <w:sz w:val="24"/>
          <w:szCs w:val="24"/>
        </w:rPr>
        <w:endnoteRef/>
      </w:r>
      <w:r w:rsidRPr="00286E26">
        <w:rPr>
          <w:sz w:val="24"/>
          <w:szCs w:val="24"/>
        </w:rPr>
        <w:t xml:space="preserve"> </w:t>
      </w:r>
      <w:proofErr w:type="spellStart"/>
      <w:r>
        <w:rPr>
          <w:sz w:val="24"/>
          <w:szCs w:val="24"/>
        </w:rPr>
        <w:t>Ba</w:t>
      </w:r>
      <w:r w:rsidRPr="00724BF6">
        <w:rPr>
          <w:sz w:val="24"/>
          <w:szCs w:val="24"/>
        </w:rPr>
        <w:t>kland</w:t>
      </w:r>
      <w:proofErr w:type="spellEnd"/>
      <w:r w:rsidRPr="00724BF6">
        <w:rPr>
          <w:sz w:val="24"/>
          <w:szCs w:val="24"/>
        </w:rPr>
        <w:t xml:space="preserve"> G, </w:t>
      </w:r>
      <w:proofErr w:type="spellStart"/>
      <w:r w:rsidRPr="003872FC">
        <w:rPr>
          <w:sz w:val="24"/>
          <w:szCs w:val="24"/>
        </w:rPr>
        <w:t>Nossent</w:t>
      </w:r>
      <w:proofErr w:type="spellEnd"/>
      <w:r>
        <w:rPr>
          <w:sz w:val="24"/>
          <w:szCs w:val="24"/>
        </w:rPr>
        <w:t xml:space="preserve"> H</w:t>
      </w:r>
      <w:r w:rsidRPr="003872FC">
        <w:rPr>
          <w:sz w:val="24"/>
          <w:szCs w:val="24"/>
        </w:rPr>
        <w:t>,</w:t>
      </w:r>
      <w:r>
        <w:rPr>
          <w:sz w:val="24"/>
          <w:szCs w:val="24"/>
        </w:rPr>
        <w:t xml:space="preserve"> </w:t>
      </w:r>
      <w:r w:rsidRPr="003872FC">
        <w:rPr>
          <w:sz w:val="24"/>
          <w:szCs w:val="24"/>
        </w:rPr>
        <w:t>Gran</w:t>
      </w:r>
      <w:r>
        <w:rPr>
          <w:sz w:val="24"/>
          <w:szCs w:val="24"/>
        </w:rPr>
        <w:t xml:space="preserve"> J</w:t>
      </w:r>
      <w:r w:rsidRPr="00724BF6">
        <w:rPr>
          <w:sz w:val="24"/>
          <w:szCs w:val="24"/>
        </w:rPr>
        <w:t xml:space="preserve"> </w:t>
      </w:r>
      <w:r>
        <w:rPr>
          <w:sz w:val="24"/>
          <w:szCs w:val="24"/>
        </w:rPr>
        <w:t>(</w:t>
      </w:r>
      <w:r w:rsidRPr="00724BF6">
        <w:rPr>
          <w:sz w:val="24"/>
          <w:szCs w:val="24"/>
        </w:rPr>
        <w:t>2005</w:t>
      </w:r>
      <w:r>
        <w:rPr>
          <w:sz w:val="24"/>
          <w:szCs w:val="24"/>
        </w:rPr>
        <w:t>)</w:t>
      </w:r>
      <w:r w:rsidRPr="00724BF6">
        <w:rPr>
          <w:sz w:val="24"/>
          <w:szCs w:val="24"/>
        </w:rPr>
        <w:t xml:space="preserve"> Incidence and prevalence of Ankylosing Spondylitis in Northern Norway. Arthritis and Rheumatism, 53(6); 850-855.</w:t>
      </w:r>
    </w:p>
    <w:p w:rsidR="007A36B4" w:rsidRPr="00286E26" w:rsidRDefault="007A36B4" w:rsidP="007A36B4">
      <w:pPr>
        <w:pStyle w:val="EndnoteText"/>
        <w:rPr>
          <w:sz w:val="24"/>
          <w:szCs w:val="24"/>
        </w:rPr>
      </w:pPr>
    </w:p>
  </w:endnote>
  <w:endnote w:id="3">
    <w:p w:rsidR="007A36B4" w:rsidRDefault="007A36B4" w:rsidP="007A36B4">
      <w:pPr>
        <w:pStyle w:val="EndnoteText"/>
        <w:rPr>
          <w:sz w:val="24"/>
          <w:szCs w:val="24"/>
        </w:rPr>
      </w:pPr>
      <w:r w:rsidRPr="00286E26">
        <w:rPr>
          <w:rStyle w:val="EndnoteReference"/>
          <w:sz w:val="24"/>
          <w:szCs w:val="24"/>
        </w:rPr>
        <w:endnoteRef/>
      </w:r>
      <w:r w:rsidRPr="00286E26">
        <w:rPr>
          <w:sz w:val="24"/>
          <w:szCs w:val="24"/>
        </w:rPr>
        <w:t xml:space="preserve"> </w:t>
      </w:r>
      <w:r w:rsidRPr="00724BF6">
        <w:rPr>
          <w:sz w:val="24"/>
          <w:szCs w:val="24"/>
        </w:rPr>
        <w:t xml:space="preserve">Braun </w:t>
      </w:r>
      <w:r>
        <w:rPr>
          <w:sz w:val="24"/>
          <w:szCs w:val="24"/>
        </w:rPr>
        <w:t xml:space="preserve">J, </w:t>
      </w:r>
      <w:proofErr w:type="spellStart"/>
      <w:r>
        <w:rPr>
          <w:sz w:val="24"/>
          <w:szCs w:val="24"/>
        </w:rPr>
        <w:t>Bollow</w:t>
      </w:r>
      <w:proofErr w:type="spellEnd"/>
      <w:r>
        <w:rPr>
          <w:sz w:val="24"/>
          <w:szCs w:val="24"/>
        </w:rPr>
        <w:t xml:space="preserve"> M, </w:t>
      </w:r>
      <w:proofErr w:type="spellStart"/>
      <w:r>
        <w:rPr>
          <w:sz w:val="24"/>
          <w:szCs w:val="24"/>
        </w:rPr>
        <w:t>Remlinger</w:t>
      </w:r>
      <w:proofErr w:type="spellEnd"/>
      <w:r>
        <w:rPr>
          <w:sz w:val="24"/>
          <w:szCs w:val="24"/>
        </w:rPr>
        <w:t xml:space="preserve"> G, et al</w:t>
      </w:r>
      <w:r w:rsidRPr="00724BF6">
        <w:rPr>
          <w:sz w:val="24"/>
          <w:szCs w:val="24"/>
        </w:rPr>
        <w:t xml:space="preserve"> </w:t>
      </w:r>
      <w:r>
        <w:rPr>
          <w:sz w:val="24"/>
          <w:szCs w:val="24"/>
        </w:rPr>
        <w:t xml:space="preserve">(1998) </w:t>
      </w:r>
      <w:r w:rsidRPr="00724BF6">
        <w:rPr>
          <w:sz w:val="24"/>
          <w:szCs w:val="24"/>
        </w:rPr>
        <w:t xml:space="preserve">Prevalence of </w:t>
      </w:r>
      <w:proofErr w:type="spellStart"/>
      <w:r w:rsidRPr="00724BF6">
        <w:rPr>
          <w:sz w:val="24"/>
          <w:szCs w:val="24"/>
        </w:rPr>
        <w:t>spondylarthropathies</w:t>
      </w:r>
      <w:proofErr w:type="spellEnd"/>
      <w:r w:rsidRPr="00724BF6">
        <w:rPr>
          <w:sz w:val="24"/>
          <w:szCs w:val="24"/>
        </w:rPr>
        <w:t xml:space="preserve"> in HLA-B27 positive and negative blood donors. Arthritis Rheum, 1998; 41(1):58-67</w:t>
      </w:r>
    </w:p>
    <w:p w:rsidR="007A36B4" w:rsidRPr="00286E26" w:rsidRDefault="007A36B4" w:rsidP="007A36B4">
      <w:pPr>
        <w:pStyle w:val="EndnoteText"/>
        <w:rPr>
          <w:sz w:val="24"/>
          <w:szCs w:val="24"/>
        </w:rPr>
      </w:pPr>
    </w:p>
  </w:endnote>
  <w:endnote w:id="4">
    <w:p w:rsidR="007A36B4" w:rsidRDefault="007A36B4" w:rsidP="007A36B4">
      <w:pPr>
        <w:pStyle w:val="EndnoteText"/>
        <w:rPr>
          <w:sz w:val="24"/>
          <w:szCs w:val="24"/>
        </w:rPr>
      </w:pPr>
      <w:r w:rsidRPr="00286E26">
        <w:rPr>
          <w:rStyle w:val="EndnoteReference"/>
          <w:sz w:val="24"/>
          <w:szCs w:val="24"/>
        </w:rPr>
        <w:endnoteRef/>
      </w:r>
      <w:r w:rsidRPr="00286E26">
        <w:rPr>
          <w:sz w:val="24"/>
          <w:szCs w:val="24"/>
        </w:rPr>
        <w:t xml:space="preserve"> </w:t>
      </w:r>
      <w:r w:rsidRPr="00724BF6">
        <w:rPr>
          <w:sz w:val="24"/>
          <w:szCs w:val="24"/>
        </w:rPr>
        <w:t>Gran J</w:t>
      </w:r>
      <w:r>
        <w:rPr>
          <w:sz w:val="24"/>
          <w:szCs w:val="24"/>
        </w:rPr>
        <w:t xml:space="preserve">, </w:t>
      </w:r>
      <w:proofErr w:type="spellStart"/>
      <w:r w:rsidRPr="00154F8B">
        <w:rPr>
          <w:sz w:val="24"/>
          <w:szCs w:val="24"/>
        </w:rPr>
        <w:t>Husby</w:t>
      </w:r>
      <w:proofErr w:type="spellEnd"/>
      <w:r>
        <w:rPr>
          <w:sz w:val="24"/>
          <w:szCs w:val="24"/>
        </w:rPr>
        <w:t xml:space="preserve"> G</w:t>
      </w:r>
      <w:r w:rsidRPr="00154F8B">
        <w:rPr>
          <w:sz w:val="24"/>
          <w:szCs w:val="24"/>
        </w:rPr>
        <w:t xml:space="preserve">, </w:t>
      </w:r>
      <w:proofErr w:type="spellStart"/>
      <w:r w:rsidRPr="00154F8B">
        <w:rPr>
          <w:sz w:val="24"/>
          <w:szCs w:val="24"/>
        </w:rPr>
        <w:t>Hordvik</w:t>
      </w:r>
      <w:proofErr w:type="spellEnd"/>
      <w:r w:rsidRPr="00724BF6">
        <w:rPr>
          <w:sz w:val="24"/>
          <w:szCs w:val="24"/>
        </w:rPr>
        <w:t xml:space="preserve"> </w:t>
      </w:r>
      <w:r>
        <w:rPr>
          <w:sz w:val="24"/>
          <w:szCs w:val="24"/>
        </w:rPr>
        <w:t>M</w:t>
      </w:r>
      <w:r w:rsidRPr="00724BF6">
        <w:rPr>
          <w:sz w:val="24"/>
          <w:szCs w:val="24"/>
        </w:rPr>
        <w:t xml:space="preserve"> (1985</w:t>
      </w:r>
      <w:r>
        <w:rPr>
          <w:sz w:val="24"/>
          <w:szCs w:val="24"/>
        </w:rPr>
        <w:t>)</w:t>
      </w:r>
      <w:r w:rsidRPr="00724BF6">
        <w:rPr>
          <w:sz w:val="24"/>
          <w:szCs w:val="24"/>
        </w:rPr>
        <w:t xml:space="preserve"> Prevalence of ankylosing spondylitis in males and females in a young middle-aged population of </w:t>
      </w:r>
      <w:proofErr w:type="spellStart"/>
      <w:r w:rsidRPr="00724BF6">
        <w:rPr>
          <w:sz w:val="24"/>
          <w:szCs w:val="24"/>
        </w:rPr>
        <w:t>Tromso</w:t>
      </w:r>
      <w:proofErr w:type="spellEnd"/>
      <w:r w:rsidRPr="00724BF6">
        <w:rPr>
          <w:sz w:val="24"/>
          <w:szCs w:val="24"/>
        </w:rPr>
        <w:t>, northern Norway, Annals of the Rheumatic Diseases, 1985, 44, 359-367</w:t>
      </w:r>
    </w:p>
    <w:p w:rsidR="007A36B4" w:rsidRPr="00286E26" w:rsidRDefault="007A36B4" w:rsidP="007A36B4">
      <w:pPr>
        <w:pStyle w:val="EndnoteText"/>
        <w:rPr>
          <w:sz w:val="24"/>
          <w:szCs w:val="24"/>
        </w:rPr>
      </w:pPr>
    </w:p>
  </w:endnote>
  <w:endnote w:id="5">
    <w:p w:rsidR="00AA1291" w:rsidRDefault="00AA1291" w:rsidP="00AA1291">
      <w:pPr>
        <w:pStyle w:val="EndnoteText"/>
        <w:rPr>
          <w:sz w:val="24"/>
          <w:szCs w:val="24"/>
        </w:rPr>
      </w:pPr>
      <w:r w:rsidRPr="005A3C05">
        <w:rPr>
          <w:rStyle w:val="EndnoteReference"/>
          <w:sz w:val="24"/>
          <w:szCs w:val="24"/>
        </w:rPr>
        <w:endnoteRef/>
      </w:r>
      <w:r w:rsidRPr="005A3C05">
        <w:rPr>
          <w:sz w:val="24"/>
          <w:szCs w:val="24"/>
        </w:rPr>
        <w:t xml:space="preserve"> Carbone LD, Cooper C, </w:t>
      </w:r>
      <w:proofErr w:type="spellStart"/>
      <w:r w:rsidRPr="005A3C05">
        <w:rPr>
          <w:sz w:val="24"/>
          <w:szCs w:val="24"/>
        </w:rPr>
        <w:t>Michet</w:t>
      </w:r>
      <w:proofErr w:type="spellEnd"/>
      <w:r w:rsidRPr="005A3C05">
        <w:rPr>
          <w:sz w:val="24"/>
          <w:szCs w:val="24"/>
        </w:rPr>
        <w:t xml:space="preserve"> CJ, et al</w:t>
      </w:r>
      <w:r>
        <w:rPr>
          <w:sz w:val="24"/>
          <w:szCs w:val="24"/>
        </w:rPr>
        <w:t xml:space="preserve"> (1992)</w:t>
      </w:r>
      <w:r w:rsidRPr="005A3C05">
        <w:rPr>
          <w:sz w:val="24"/>
          <w:szCs w:val="24"/>
        </w:rPr>
        <w:t xml:space="preserve"> Ankylosing spondylitis in Rochester, Minnesota, 1935-1989: Is the epidemiology changing? </w:t>
      </w:r>
      <w:proofErr w:type="gramStart"/>
      <w:r w:rsidRPr="005A3C05">
        <w:rPr>
          <w:sz w:val="24"/>
          <w:szCs w:val="24"/>
        </w:rPr>
        <w:t>Arthritis and Rheumatism.</w:t>
      </w:r>
      <w:proofErr w:type="gramEnd"/>
      <w:r w:rsidRPr="005A3C05">
        <w:rPr>
          <w:sz w:val="24"/>
          <w:szCs w:val="24"/>
        </w:rPr>
        <w:t xml:space="preserve"> 1992; 3</w:t>
      </w:r>
      <w:r>
        <w:rPr>
          <w:sz w:val="24"/>
          <w:szCs w:val="24"/>
        </w:rPr>
        <w:t>5(12):1476–82.</w:t>
      </w:r>
    </w:p>
    <w:p w:rsidR="00AA1291" w:rsidRPr="005D615A" w:rsidRDefault="00AA1291" w:rsidP="00AA1291">
      <w:pPr>
        <w:pStyle w:val="EndnoteText"/>
        <w:rPr>
          <w:sz w:val="24"/>
          <w:szCs w:val="24"/>
        </w:rPr>
      </w:pPr>
    </w:p>
  </w:endnote>
  <w:endnote w:id="6">
    <w:p w:rsidR="00AA1291" w:rsidRDefault="00AA1291" w:rsidP="00AA1291">
      <w:pPr>
        <w:pStyle w:val="EndnoteText"/>
        <w:rPr>
          <w:sz w:val="24"/>
          <w:szCs w:val="24"/>
        </w:rPr>
      </w:pPr>
      <w:r w:rsidRPr="005D615A">
        <w:rPr>
          <w:rStyle w:val="EndnoteReference"/>
          <w:sz w:val="24"/>
          <w:szCs w:val="24"/>
        </w:rPr>
        <w:endnoteRef/>
      </w:r>
      <w:r w:rsidRPr="005D615A">
        <w:rPr>
          <w:sz w:val="24"/>
          <w:szCs w:val="24"/>
        </w:rPr>
        <w:t xml:space="preserve"> Reed M, </w:t>
      </w:r>
      <w:proofErr w:type="spellStart"/>
      <w:r w:rsidR="00614BCF" w:rsidRPr="00614BCF">
        <w:rPr>
          <w:sz w:val="24"/>
          <w:szCs w:val="24"/>
        </w:rPr>
        <w:t>Dharmage</w:t>
      </w:r>
      <w:proofErr w:type="spellEnd"/>
      <w:r w:rsidR="00614BCF">
        <w:rPr>
          <w:sz w:val="24"/>
          <w:szCs w:val="24"/>
        </w:rPr>
        <w:t xml:space="preserve"> S</w:t>
      </w:r>
      <w:r w:rsidR="00614BCF" w:rsidRPr="00614BCF">
        <w:rPr>
          <w:sz w:val="24"/>
          <w:szCs w:val="24"/>
        </w:rPr>
        <w:t>, Boers</w:t>
      </w:r>
      <w:r w:rsidR="00614BCF">
        <w:rPr>
          <w:sz w:val="24"/>
          <w:szCs w:val="24"/>
        </w:rPr>
        <w:t xml:space="preserve"> A, </w:t>
      </w:r>
      <w:r w:rsidRPr="005D615A">
        <w:rPr>
          <w:sz w:val="24"/>
          <w:szCs w:val="24"/>
        </w:rPr>
        <w:t xml:space="preserve">et al </w:t>
      </w:r>
      <w:r>
        <w:rPr>
          <w:sz w:val="24"/>
          <w:szCs w:val="24"/>
        </w:rPr>
        <w:t>(2008)</w:t>
      </w:r>
      <w:r w:rsidRPr="005D615A">
        <w:rPr>
          <w:sz w:val="24"/>
          <w:szCs w:val="24"/>
        </w:rPr>
        <w:t xml:space="preserve"> Ankylosing spondylitis: an Australian experience. Internal Medicine Journal, 38:321-327.</w:t>
      </w:r>
    </w:p>
    <w:p w:rsidR="00AA1291" w:rsidRPr="005D615A" w:rsidRDefault="00AA1291" w:rsidP="00AA1291">
      <w:pPr>
        <w:pStyle w:val="EndnoteText"/>
        <w:rPr>
          <w:sz w:val="24"/>
          <w:szCs w:val="24"/>
        </w:rPr>
      </w:pPr>
    </w:p>
  </w:endnote>
  <w:endnote w:id="7">
    <w:p w:rsidR="00AA1291" w:rsidRDefault="00AA1291" w:rsidP="00AA1291">
      <w:pPr>
        <w:pStyle w:val="EndnoteText"/>
        <w:rPr>
          <w:sz w:val="24"/>
          <w:szCs w:val="24"/>
        </w:rPr>
      </w:pPr>
      <w:r w:rsidRPr="005D615A">
        <w:rPr>
          <w:rStyle w:val="EndnoteReference"/>
          <w:sz w:val="24"/>
          <w:szCs w:val="24"/>
        </w:rPr>
        <w:endnoteRef/>
      </w:r>
      <w:r w:rsidRPr="005D615A">
        <w:rPr>
          <w:sz w:val="24"/>
          <w:szCs w:val="24"/>
        </w:rPr>
        <w:t xml:space="preserve"> </w:t>
      </w:r>
      <w:proofErr w:type="spellStart"/>
      <w:r w:rsidRPr="005D615A">
        <w:rPr>
          <w:sz w:val="24"/>
          <w:szCs w:val="24"/>
        </w:rPr>
        <w:t>Rudwaleit</w:t>
      </w:r>
      <w:proofErr w:type="spellEnd"/>
      <w:r w:rsidRPr="005D615A">
        <w:rPr>
          <w:sz w:val="24"/>
          <w:szCs w:val="24"/>
        </w:rPr>
        <w:t xml:space="preserve"> M, </w:t>
      </w:r>
      <w:proofErr w:type="spellStart"/>
      <w:r w:rsidRPr="005D615A">
        <w:rPr>
          <w:sz w:val="24"/>
          <w:szCs w:val="24"/>
        </w:rPr>
        <w:t>Haibel</w:t>
      </w:r>
      <w:proofErr w:type="spellEnd"/>
      <w:r w:rsidRPr="005D615A">
        <w:rPr>
          <w:sz w:val="24"/>
          <w:szCs w:val="24"/>
        </w:rPr>
        <w:t xml:space="preserve"> H, </w:t>
      </w:r>
      <w:proofErr w:type="spellStart"/>
      <w:r w:rsidRPr="005D615A">
        <w:rPr>
          <w:sz w:val="24"/>
          <w:szCs w:val="24"/>
        </w:rPr>
        <w:t>Baraliakos</w:t>
      </w:r>
      <w:proofErr w:type="spellEnd"/>
      <w:r w:rsidRPr="005D615A">
        <w:rPr>
          <w:sz w:val="24"/>
          <w:szCs w:val="24"/>
        </w:rPr>
        <w:t xml:space="preserve"> X, et al (2009) </w:t>
      </w:r>
      <w:proofErr w:type="gramStart"/>
      <w:r w:rsidRPr="005D615A">
        <w:rPr>
          <w:sz w:val="24"/>
          <w:szCs w:val="24"/>
        </w:rPr>
        <w:t>The</w:t>
      </w:r>
      <w:proofErr w:type="gramEnd"/>
      <w:r w:rsidRPr="005D615A">
        <w:rPr>
          <w:sz w:val="24"/>
          <w:szCs w:val="24"/>
        </w:rPr>
        <w:t xml:space="preserve"> early disease stage in axial </w:t>
      </w:r>
      <w:proofErr w:type="spellStart"/>
      <w:r w:rsidRPr="005D615A">
        <w:rPr>
          <w:sz w:val="24"/>
          <w:szCs w:val="24"/>
        </w:rPr>
        <w:t>spondylarthritis</w:t>
      </w:r>
      <w:proofErr w:type="spellEnd"/>
      <w:r w:rsidRPr="005D615A">
        <w:rPr>
          <w:sz w:val="24"/>
          <w:szCs w:val="24"/>
        </w:rPr>
        <w:t>: results from the German Spondyloarthritis Inception Cohort. Arthritis Rheum 2009;60:717–27.</w:t>
      </w:r>
    </w:p>
    <w:p w:rsidR="00AA1291" w:rsidRPr="005D615A" w:rsidRDefault="00AA1291" w:rsidP="00AA1291">
      <w:pPr>
        <w:pStyle w:val="EndnoteText"/>
        <w:rPr>
          <w:sz w:val="24"/>
          <w:szCs w:val="24"/>
        </w:rPr>
      </w:pPr>
    </w:p>
  </w:endnote>
  <w:endnote w:id="8">
    <w:p w:rsidR="00AA1291" w:rsidRDefault="00AA1291" w:rsidP="00AA1291">
      <w:pPr>
        <w:pStyle w:val="EndnoteText"/>
        <w:rPr>
          <w:sz w:val="24"/>
          <w:szCs w:val="24"/>
        </w:rPr>
      </w:pPr>
      <w:r w:rsidRPr="00457484">
        <w:rPr>
          <w:rStyle w:val="EndnoteReference"/>
          <w:sz w:val="24"/>
          <w:szCs w:val="24"/>
        </w:rPr>
        <w:endnoteRef/>
      </w:r>
      <w:r w:rsidRPr="00457484">
        <w:rPr>
          <w:sz w:val="24"/>
          <w:szCs w:val="24"/>
        </w:rPr>
        <w:t xml:space="preserve"> </w:t>
      </w:r>
      <w:proofErr w:type="spellStart"/>
      <w:r w:rsidRPr="00457484">
        <w:rPr>
          <w:sz w:val="24"/>
          <w:szCs w:val="24"/>
        </w:rPr>
        <w:t>Kiltz</w:t>
      </w:r>
      <w:proofErr w:type="spellEnd"/>
      <w:r w:rsidRPr="00457484">
        <w:rPr>
          <w:sz w:val="24"/>
          <w:szCs w:val="24"/>
        </w:rPr>
        <w:t xml:space="preserve">, U., </w:t>
      </w:r>
      <w:proofErr w:type="spellStart"/>
      <w:r w:rsidRPr="00457484">
        <w:rPr>
          <w:sz w:val="24"/>
          <w:szCs w:val="24"/>
        </w:rPr>
        <w:t>Baraliakos</w:t>
      </w:r>
      <w:proofErr w:type="spellEnd"/>
      <w:r w:rsidRPr="00457484">
        <w:rPr>
          <w:sz w:val="24"/>
          <w:szCs w:val="24"/>
        </w:rPr>
        <w:t xml:space="preserve">, X., </w:t>
      </w:r>
      <w:proofErr w:type="spellStart"/>
      <w:r w:rsidRPr="00457484">
        <w:rPr>
          <w:sz w:val="24"/>
          <w:szCs w:val="24"/>
        </w:rPr>
        <w:t>Karakostas</w:t>
      </w:r>
      <w:proofErr w:type="spellEnd"/>
      <w:r w:rsidRPr="00457484">
        <w:rPr>
          <w:sz w:val="24"/>
          <w:szCs w:val="24"/>
        </w:rPr>
        <w:t xml:space="preserve">, P. et al (2012) Do patients with non-radiographic axial </w:t>
      </w:r>
      <w:proofErr w:type="spellStart"/>
      <w:r w:rsidRPr="00457484">
        <w:rPr>
          <w:sz w:val="24"/>
          <w:szCs w:val="24"/>
        </w:rPr>
        <w:t>spondylarthritis</w:t>
      </w:r>
      <w:proofErr w:type="spellEnd"/>
      <w:r w:rsidRPr="00457484">
        <w:rPr>
          <w:sz w:val="24"/>
          <w:szCs w:val="24"/>
        </w:rPr>
        <w:t xml:space="preserve"> differ from patients with ankylosing spondylitis?. Arthritis Care Res, 64: 1415–1422. </w:t>
      </w:r>
      <w:proofErr w:type="spellStart"/>
      <w:r w:rsidRPr="00457484">
        <w:rPr>
          <w:sz w:val="24"/>
          <w:szCs w:val="24"/>
        </w:rPr>
        <w:t>doi</w:t>
      </w:r>
      <w:proofErr w:type="spellEnd"/>
      <w:r w:rsidRPr="00457484">
        <w:rPr>
          <w:sz w:val="24"/>
          <w:szCs w:val="24"/>
        </w:rPr>
        <w:t>: 10.1002/acr.21688</w:t>
      </w:r>
    </w:p>
    <w:p w:rsidR="00AA1291" w:rsidRPr="00457484" w:rsidRDefault="00AA1291" w:rsidP="00AA1291">
      <w:pPr>
        <w:pStyle w:val="EndnoteText"/>
        <w:rPr>
          <w:sz w:val="24"/>
          <w:szCs w:val="24"/>
        </w:rPr>
      </w:pPr>
    </w:p>
  </w:endnote>
  <w:endnote w:id="9">
    <w:p w:rsidR="005E4D6C" w:rsidRPr="003B4A0E" w:rsidRDefault="005E4D6C" w:rsidP="005E4D6C">
      <w:pPr>
        <w:pStyle w:val="EndnoteText"/>
        <w:rPr>
          <w:sz w:val="24"/>
          <w:szCs w:val="24"/>
        </w:rPr>
      </w:pPr>
      <w:r w:rsidRPr="003B4A0E">
        <w:rPr>
          <w:rStyle w:val="EndnoteReference"/>
          <w:sz w:val="24"/>
          <w:szCs w:val="24"/>
        </w:rPr>
        <w:endnoteRef/>
      </w:r>
      <w:r w:rsidRPr="003B4A0E">
        <w:rPr>
          <w:sz w:val="24"/>
          <w:szCs w:val="24"/>
        </w:rPr>
        <w:t xml:space="preserve"> Wallis D, Haroon N, </w:t>
      </w:r>
      <w:proofErr w:type="spellStart"/>
      <w:r w:rsidRPr="003B4A0E">
        <w:rPr>
          <w:sz w:val="24"/>
          <w:szCs w:val="24"/>
        </w:rPr>
        <w:t>Ayearst</w:t>
      </w:r>
      <w:proofErr w:type="spellEnd"/>
      <w:r w:rsidRPr="003B4A0E">
        <w:rPr>
          <w:sz w:val="24"/>
          <w:szCs w:val="24"/>
        </w:rPr>
        <w:t xml:space="preserve"> R, et al (2013) Ankylosing Spondylitis and </w:t>
      </w:r>
      <w:proofErr w:type="spellStart"/>
      <w:r w:rsidRPr="003B4A0E">
        <w:rPr>
          <w:sz w:val="24"/>
          <w:szCs w:val="24"/>
        </w:rPr>
        <w:t>nonradiographic</w:t>
      </w:r>
      <w:proofErr w:type="spellEnd"/>
      <w:r w:rsidRPr="003B4A0E">
        <w:rPr>
          <w:sz w:val="24"/>
          <w:szCs w:val="24"/>
        </w:rPr>
        <w:t xml:space="preserve"> axial </w:t>
      </w:r>
      <w:proofErr w:type="spellStart"/>
      <w:r w:rsidRPr="003B4A0E">
        <w:rPr>
          <w:sz w:val="24"/>
          <w:szCs w:val="24"/>
        </w:rPr>
        <w:t>spondyloarthritis</w:t>
      </w:r>
      <w:proofErr w:type="spellEnd"/>
      <w:r w:rsidRPr="003B4A0E">
        <w:rPr>
          <w:sz w:val="24"/>
          <w:szCs w:val="24"/>
        </w:rPr>
        <w:t xml:space="preserve">: part of a common spectrum or distinct disease? </w:t>
      </w:r>
      <w:proofErr w:type="gramStart"/>
      <w:r w:rsidRPr="003B4A0E">
        <w:rPr>
          <w:sz w:val="24"/>
          <w:szCs w:val="24"/>
        </w:rPr>
        <w:t xml:space="preserve">J </w:t>
      </w:r>
      <w:proofErr w:type="spellStart"/>
      <w:r w:rsidRPr="003B4A0E">
        <w:rPr>
          <w:sz w:val="24"/>
          <w:szCs w:val="24"/>
        </w:rPr>
        <w:t>Rheumatol</w:t>
      </w:r>
      <w:proofErr w:type="spellEnd"/>
      <w:r w:rsidRPr="003B4A0E">
        <w:rPr>
          <w:sz w:val="24"/>
          <w:szCs w:val="24"/>
        </w:rPr>
        <w:t>.</w:t>
      </w:r>
      <w:proofErr w:type="gramEnd"/>
      <w:r w:rsidRPr="003B4A0E">
        <w:rPr>
          <w:sz w:val="24"/>
          <w:szCs w:val="24"/>
        </w:rPr>
        <w:t xml:space="preserve"> 2013</w:t>
      </w:r>
      <w:proofErr w:type="gramStart"/>
      <w:r w:rsidRPr="003B4A0E">
        <w:rPr>
          <w:sz w:val="24"/>
          <w:szCs w:val="24"/>
        </w:rPr>
        <w:t>;40:2038</w:t>
      </w:r>
      <w:proofErr w:type="gramEnd"/>
      <w:r w:rsidRPr="003B4A0E">
        <w:rPr>
          <w:sz w:val="24"/>
          <w:szCs w:val="24"/>
        </w:rPr>
        <w:t xml:space="preserve">–4. </w:t>
      </w:r>
      <w:proofErr w:type="spellStart"/>
      <w:proofErr w:type="gramStart"/>
      <w:r w:rsidRPr="003B4A0E">
        <w:rPr>
          <w:sz w:val="24"/>
          <w:szCs w:val="24"/>
        </w:rPr>
        <w:t>doi</w:t>
      </w:r>
      <w:proofErr w:type="spellEnd"/>
      <w:proofErr w:type="gramEnd"/>
      <w:r w:rsidRPr="003B4A0E">
        <w:rPr>
          <w:sz w:val="24"/>
          <w:szCs w:val="24"/>
        </w:rPr>
        <w:t>: 10.3899/jrheum.130588.</w:t>
      </w:r>
    </w:p>
    <w:p w:rsidR="003B4A0E" w:rsidRDefault="003B4A0E" w:rsidP="005E4D6C">
      <w:pPr>
        <w:pStyle w:val="EndnoteText"/>
      </w:pPr>
    </w:p>
  </w:endnote>
  <w:endnote w:id="10">
    <w:p w:rsidR="003B4A0E" w:rsidRPr="003B4A0E" w:rsidRDefault="003B4A0E">
      <w:pPr>
        <w:pStyle w:val="EndnoteText"/>
        <w:rPr>
          <w:sz w:val="24"/>
          <w:szCs w:val="24"/>
        </w:rPr>
      </w:pPr>
      <w:r w:rsidRPr="003B4A0E">
        <w:rPr>
          <w:rStyle w:val="EndnoteReference"/>
          <w:sz w:val="24"/>
          <w:szCs w:val="24"/>
        </w:rPr>
        <w:endnoteRef/>
      </w:r>
      <w:r w:rsidRPr="003B4A0E">
        <w:rPr>
          <w:sz w:val="24"/>
          <w:szCs w:val="24"/>
        </w:rPr>
        <w:t xml:space="preserve"> </w:t>
      </w:r>
      <w:proofErr w:type="spellStart"/>
      <w:r w:rsidRPr="003B4A0E">
        <w:rPr>
          <w:sz w:val="24"/>
          <w:szCs w:val="24"/>
        </w:rPr>
        <w:t>Malaviya</w:t>
      </w:r>
      <w:proofErr w:type="spellEnd"/>
      <w:r w:rsidRPr="003B4A0E">
        <w:rPr>
          <w:sz w:val="24"/>
          <w:szCs w:val="24"/>
        </w:rPr>
        <w:t xml:space="preserve"> AN, </w:t>
      </w:r>
      <w:proofErr w:type="spellStart"/>
      <w:r w:rsidRPr="003B4A0E">
        <w:rPr>
          <w:sz w:val="24"/>
          <w:szCs w:val="24"/>
        </w:rPr>
        <w:t>Kalyani</w:t>
      </w:r>
      <w:proofErr w:type="spellEnd"/>
      <w:r w:rsidRPr="003B4A0E">
        <w:rPr>
          <w:sz w:val="24"/>
          <w:szCs w:val="24"/>
        </w:rPr>
        <w:t xml:space="preserve"> A, </w:t>
      </w:r>
      <w:proofErr w:type="spellStart"/>
      <w:r w:rsidRPr="003B4A0E">
        <w:rPr>
          <w:sz w:val="24"/>
          <w:szCs w:val="24"/>
        </w:rPr>
        <w:t>Rawat</w:t>
      </w:r>
      <w:proofErr w:type="spellEnd"/>
      <w:r w:rsidRPr="003B4A0E">
        <w:rPr>
          <w:sz w:val="24"/>
          <w:szCs w:val="24"/>
        </w:rPr>
        <w:t xml:space="preserve"> R, et al (2015) Comparison of patients with ankylosing spondylitis (AS) and non-radiographic axial </w:t>
      </w:r>
      <w:proofErr w:type="spellStart"/>
      <w:r w:rsidRPr="003B4A0E">
        <w:rPr>
          <w:sz w:val="24"/>
          <w:szCs w:val="24"/>
        </w:rPr>
        <w:t>spondyloarthritis</w:t>
      </w:r>
      <w:proofErr w:type="spellEnd"/>
      <w:r w:rsidRPr="003B4A0E">
        <w:rPr>
          <w:sz w:val="24"/>
          <w:szCs w:val="24"/>
        </w:rPr>
        <w:t xml:space="preserve"> (nr-</w:t>
      </w:r>
      <w:proofErr w:type="spellStart"/>
      <w:r w:rsidRPr="003B4A0E">
        <w:rPr>
          <w:sz w:val="24"/>
          <w:szCs w:val="24"/>
        </w:rPr>
        <w:t>axSpA</w:t>
      </w:r>
      <w:proofErr w:type="spellEnd"/>
      <w:r w:rsidRPr="003B4A0E">
        <w:rPr>
          <w:sz w:val="24"/>
          <w:szCs w:val="24"/>
        </w:rPr>
        <w:t xml:space="preserve">) from a single rheumatology clinic in New Delhi. </w:t>
      </w:r>
      <w:proofErr w:type="spellStart"/>
      <w:proofErr w:type="gramStart"/>
      <w:r w:rsidRPr="003B4A0E">
        <w:rPr>
          <w:sz w:val="24"/>
          <w:szCs w:val="24"/>
        </w:rPr>
        <w:t>Int</w:t>
      </w:r>
      <w:proofErr w:type="spellEnd"/>
      <w:r w:rsidRPr="003B4A0E">
        <w:rPr>
          <w:sz w:val="24"/>
          <w:szCs w:val="24"/>
        </w:rPr>
        <w:t xml:space="preserve"> J Rheum Dis. 2015.</w:t>
      </w:r>
      <w:proofErr w:type="gramEnd"/>
      <w:r w:rsidRPr="003B4A0E">
        <w:rPr>
          <w:sz w:val="24"/>
          <w:szCs w:val="24"/>
        </w:rPr>
        <w:t xml:space="preserve"> </w:t>
      </w:r>
      <w:proofErr w:type="gramStart"/>
      <w:r w:rsidRPr="003B4A0E">
        <w:rPr>
          <w:sz w:val="24"/>
          <w:szCs w:val="24"/>
        </w:rPr>
        <w:t>doi:</w:t>
      </w:r>
      <w:proofErr w:type="gramEnd"/>
      <w:r w:rsidRPr="003B4A0E">
        <w:rPr>
          <w:sz w:val="24"/>
          <w:szCs w:val="24"/>
        </w:rPr>
        <w:t>10.​1111/​1756-185X.​12579</w:t>
      </w:r>
    </w:p>
    <w:p w:rsidR="003B4A0E" w:rsidRPr="003B4A0E" w:rsidRDefault="003B4A0E">
      <w:pPr>
        <w:pStyle w:val="EndnoteText"/>
        <w:rPr>
          <w:sz w:val="24"/>
          <w:szCs w:val="24"/>
        </w:rPr>
      </w:pPr>
    </w:p>
  </w:endnote>
  <w:endnote w:id="11">
    <w:p w:rsidR="00AE4BB5" w:rsidRPr="00AE4BB5" w:rsidRDefault="00AE4BB5">
      <w:pPr>
        <w:pStyle w:val="EndnoteText"/>
        <w:rPr>
          <w:sz w:val="24"/>
          <w:szCs w:val="24"/>
        </w:rPr>
      </w:pPr>
      <w:r w:rsidRPr="00AE4BB5">
        <w:rPr>
          <w:rStyle w:val="EndnoteReference"/>
          <w:sz w:val="24"/>
          <w:szCs w:val="24"/>
        </w:rPr>
        <w:endnoteRef/>
      </w:r>
      <w:r w:rsidRPr="00AE4BB5">
        <w:rPr>
          <w:sz w:val="24"/>
          <w:szCs w:val="24"/>
        </w:rPr>
        <w:t xml:space="preserve"> </w:t>
      </w:r>
      <w:proofErr w:type="spellStart"/>
      <w:r w:rsidRPr="00AE4BB5">
        <w:rPr>
          <w:sz w:val="24"/>
          <w:szCs w:val="24"/>
        </w:rPr>
        <w:t>Poddubnyy</w:t>
      </w:r>
      <w:proofErr w:type="spellEnd"/>
      <w:r w:rsidRPr="00AE4BB5">
        <w:rPr>
          <w:sz w:val="24"/>
          <w:szCs w:val="24"/>
        </w:rPr>
        <w:t xml:space="preserve"> D, Brandt H, Janis V, et al (2012) </w:t>
      </w:r>
      <w:proofErr w:type="gramStart"/>
      <w:r w:rsidRPr="00AE4BB5">
        <w:rPr>
          <w:sz w:val="24"/>
          <w:szCs w:val="24"/>
        </w:rPr>
        <w:t>The</w:t>
      </w:r>
      <w:proofErr w:type="gramEnd"/>
      <w:r w:rsidRPr="00AE4BB5">
        <w:rPr>
          <w:sz w:val="24"/>
          <w:szCs w:val="24"/>
        </w:rPr>
        <w:t xml:space="preserve"> frequency of non-radiographic axial </w:t>
      </w:r>
      <w:proofErr w:type="spellStart"/>
      <w:r w:rsidRPr="00AE4BB5">
        <w:rPr>
          <w:sz w:val="24"/>
          <w:szCs w:val="24"/>
        </w:rPr>
        <w:t>spndyloarthritis</w:t>
      </w:r>
      <w:proofErr w:type="spellEnd"/>
      <w:r w:rsidRPr="00AE4BB5">
        <w:rPr>
          <w:sz w:val="24"/>
          <w:szCs w:val="24"/>
        </w:rPr>
        <w:t xml:space="preserve"> in relation to symptom duration in patients referred because of chronic back pain: results from the Berlin early spondyloarthritis clinic. Ann Rheum Dis, 2012; 71:1998-2001.</w:t>
      </w:r>
    </w:p>
    <w:p w:rsidR="00AE4BB5" w:rsidRDefault="00AE4BB5">
      <w:pPr>
        <w:pStyle w:val="EndnoteText"/>
      </w:pPr>
    </w:p>
  </w:endnote>
  <w:endnote w:id="12">
    <w:p w:rsidR="00515A84" w:rsidRPr="00515A84" w:rsidRDefault="00515A84">
      <w:pPr>
        <w:pStyle w:val="EndnoteText"/>
        <w:rPr>
          <w:sz w:val="24"/>
          <w:szCs w:val="24"/>
        </w:rPr>
      </w:pPr>
      <w:r w:rsidRPr="00515A84">
        <w:rPr>
          <w:rStyle w:val="EndnoteReference"/>
          <w:sz w:val="24"/>
          <w:szCs w:val="24"/>
        </w:rPr>
        <w:endnoteRef/>
      </w:r>
      <w:r w:rsidRPr="00515A84">
        <w:rPr>
          <w:sz w:val="24"/>
          <w:szCs w:val="24"/>
        </w:rPr>
        <w:t xml:space="preserve"> </w:t>
      </w:r>
      <w:proofErr w:type="spellStart"/>
      <w:r w:rsidRPr="00515A84">
        <w:rPr>
          <w:sz w:val="24"/>
          <w:szCs w:val="24"/>
        </w:rPr>
        <w:t>Ciurea</w:t>
      </w:r>
      <w:proofErr w:type="spellEnd"/>
      <w:r w:rsidRPr="00515A84">
        <w:rPr>
          <w:sz w:val="24"/>
          <w:szCs w:val="24"/>
        </w:rPr>
        <w:t xml:space="preserve"> A, Scherer A, </w:t>
      </w:r>
      <w:proofErr w:type="spellStart"/>
      <w:r w:rsidRPr="00515A84">
        <w:rPr>
          <w:sz w:val="24"/>
          <w:szCs w:val="24"/>
        </w:rPr>
        <w:t>Exer</w:t>
      </w:r>
      <w:proofErr w:type="spellEnd"/>
      <w:r w:rsidRPr="00515A84">
        <w:rPr>
          <w:sz w:val="24"/>
          <w:szCs w:val="24"/>
        </w:rPr>
        <w:t xml:space="preserve"> P et al (2013) </w:t>
      </w:r>
      <w:proofErr w:type="spellStart"/>
      <w:r w:rsidRPr="00515A84">
        <w:rPr>
          <w:sz w:val="24"/>
          <w:szCs w:val="24"/>
        </w:rPr>
        <w:t>Tumor</w:t>
      </w:r>
      <w:proofErr w:type="spellEnd"/>
      <w:r w:rsidRPr="00515A84">
        <w:rPr>
          <w:sz w:val="24"/>
          <w:szCs w:val="24"/>
        </w:rPr>
        <w:t xml:space="preserve"> necrosis factor-α inhibition in radiographic and non-radiographic axial spondyloarthritis: results from a large observational cohort. </w:t>
      </w:r>
      <w:proofErr w:type="gramStart"/>
      <w:r w:rsidRPr="00515A84">
        <w:rPr>
          <w:sz w:val="24"/>
          <w:szCs w:val="24"/>
        </w:rPr>
        <w:t>Arthritis Rheum.</w:t>
      </w:r>
      <w:proofErr w:type="gramEnd"/>
      <w:r w:rsidRPr="00515A84">
        <w:rPr>
          <w:sz w:val="24"/>
          <w:szCs w:val="24"/>
        </w:rPr>
        <w:t xml:space="preserve"> 2013;65:3096–106</w:t>
      </w:r>
    </w:p>
    <w:p w:rsidR="00515A84" w:rsidRPr="00E336C4" w:rsidRDefault="00515A84">
      <w:pPr>
        <w:pStyle w:val="EndnoteText"/>
        <w:rPr>
          <w:sz w:val="24"/>
          <w:szCs w:val="24"/>
        </w:rPr>
      </w:pPr>
    </w:p>
  </w:endnote>
  <w:endnote w:id="13">
    <w:p w:rsidR="00E25760" w:rsidRPr="00E336C4" w:rsidRDefault="00E25760">
      <w:pPr>
        <w:pStyle w:val="EndnoteText"/>
        <w:rPr>
          <w:sz w:val="24"/>
          <w:szCs w:val="24"/>
        </w:rPr>
      </w:pPr>
      <w:r w:rsidRPr="00E336C4">
        <w:rPr>
          <w:rStyle w:val="EndnoteReference"/>
          <w:sz w:val="24"/>
          <w:szCs w:val="24"/>
        </w:rPr>
        <w:endnoteRef/>
      </w:r>
      <w:r w:rsidRPr="00E336C4">
        <w:rPr>
          <w:sz w:val="24"/>
          <w:szCs w:val="24"/>
        </w:rPr>
        <w:t xml:space="preserve"> </w:t>
      </w:r>
      <w:proofErr w:type="spellStart"/>
      <w:r w:rsidRPr="00E336C4">
        <w:rPr>
          <w:sz w:val="24"/>
          <w:szCs w:val="24"/>
        </w:rPr>
        <w:t>Ciurea</w:t>
      </w:r>
      <w:proofErr w:type="spellEnd"/>
      <w:r w:rsidRPr="00E336C4">
        <w:rPr>
          <w:sz w:val="24"/>
          <w:szCs w:val="24"/>
        </w:rPr>
        <w:t xml:space="preserve"> A, Scherer A, </w:t>
      </w:r>
      <w:proofErr w:type="gramStart"/>
      <w:r w:rsidRPr="00E336C4">
        <w:rPr>
          <w:sz w:val="24"/>
          <w:szCs w:val="24"/>
        </w:rPr>
        <w:t>Weber</w:t>
      </w:r>
      <w:proofErr w:type="gramEnd"/>
      <w:r w:rsidRPr="00E336C4">
        <w:rPr>
          <w:sz w:val="24"/>
          <w:szCs w:val="24"/>
        </w:rPr>
        <w:t xml:space="preserve"> U et al (2014) Age at symptom onset in ankylosing spondylitis: is there a gender difference? Ann Rheum Dis annrheumdis-2014-205613Published Online First: 7 August 2014</w:t>
      </w:r>
    </w:p>
  </w:endnote>
  <w:endnote w:id="14">
    <w:p w:rsidR="00CD3313" w:rsidRPr="00E336C4" w:rsidRDefault="00CD3313">
      <w:pPr>
        <w:pStyle w:val="EndnoteText"/>
        <w:rPr>
          <w:sz w:val="24"/>
          <w:szCs w:val="24"/>
        </w:rPr>
      </w:pPr>
    </w:p>
    <w:p w:rsidR="00CD3313" w:rsidRPr="00E336C4" w:rsidRDefault="00CD3313">
      <w:pPr>
        <w:pStyle w:val="EndnoteText"/>
        <w:rPr>
          <w:sz w:val="24"/>
          <w:szCs w:val="24"/>
        </w:rPr>
      </w:pPr>
      <w:r w:rsidRPr="00E336C4">
        <w:rPr>
          <w:rStyle w:val="EndnoteReference"/>
          <w:sz w:val="24"/>
          <w:szCs w:val="24"/>
        </w:rPr>
        <w:endnoteRef/>
      </w:r>
      <w:r w:rsidRPr="00E336C4">
        <w:rPr>
          <w:sz w:val="24"/>
          <w:szCs w:val="24"/>
        </w:rPr>
        <w:t xml:space="preserve"> </w:t>
      </w:r>
      <w:proofErr w:type="spellStart"/>
      <w:r w:rsidRPr="00E336C4">
        <w:rPr>
          <w:sz w:val="24"/>
          <w:szCs w:val="24"/>
        </w:rPr>
        <w:t>Exarchou</w:t>
      </w:r>
      <w:proofErr w:type="spellEnd"/>
      <w:r w:rsidRPr="00E336C4">
        <w:rPr>
          <w:sz w:val="24"/>
          <w:szCs w:val="24"/>
        </w:rPr>
        <w:t xml:space="preserve"> S,</w:t>
      </w:r>
      <w:r w:rsidR="001501C8">
        <w:rPr>
          <w:rFonts w:ascii="FjhbtxAdvTTb5929f4c" w:eastAsiaTheme="minorHAnsi" w:hAnsi="FjhbtxAdvTTb5929f4c" w:cs="FjhbtxAdvTTb5929f4c"/>
          <w:sz w:val="22"/>
          <w:szCs w:val="22"/>
          <w:lang w:eastAsia="en-US"/>
        </w:rPr>
        <w:t xml:space="preserve"> </w:t>
      </w:r>
      <w:proofErr w:type="spellStart"/>
      <w:r w:rsidR="001501C8">
        <w:rPr>
          <w:rFonts w:ascii="FjhbtxAdvTTb5929f4c" w:eastAsiaTheme="minorHAnsi" w:hAnsi="FjhbtxAdvTTb5929f4c" w:cs="FjhbtxAdvTTb5929f4c"/>
          <w:sz w:val="22"/>
          <w:szCs w:val="22"/>
          <w:lang w:eastAsia="en-US"/>
        </w:rPr>
        <w:t>Lindström</w:t>
      </w:r>
      <w:proofErr w:type="spellEnd"/>
      <w:r w:rsidR="001501C8">
        <w:rPr>
          <w:rFonts w:ascii="FjhbtxAdvTTb5929f4c" w:eastAsiaTheme="minorHAnsi" w:hAnsi="FjhbtxAdvTTb5929f4c" w:cs="FjhbtxAdvTTb5929f4c"/>
          <w:sz w:val="15"/>
          <w:szCs w:val="15"/>
          <w:lang w:eastAsia="en-US"/>
        </w:rPr>
        <w:t xml:space="preserve"> </w:t>
      </w:r>
      <w:r w:rsidR="001501C8">
        <w:rPr>
          <w:rFonts w:ascii="FjhbtxAdvTTb5929f4c" w:eastAsiaTheme="minorHAnsi" w:hAnsi="FjhbtxAdvTTb5929f4c" w:cs="FjhbtxAdvTTb5929f4c"/>
          <w:sz w:val="22"/>
          <w:szCs w:val="22"/>
          <w:lang w:eastAsia="en-US"/>
        </w:rPr>
        <w:t xml:space="preserve">U, </w:t>
      </w:r>
      <w:proofErr w:type="spellStart"/>
      <w:r w:rsidR="001501C8">
        <w:rPr>
          <w:rFonts w:ascii="FjhbtxAdvTTb5929f4c" w:eastAsiaTheme="minorHAnsi" w:hAnsi="FjhbtxAdvTTb5929f4c" w:cs="FjhbtxAdvTTb5929f4c"/>
          <w:sz w:val="22"/>
          <w:szCs w:val="22"/>
          <w:lang w:eastAsia="en-US"/>
        </w:rPr>
        <w:t>Askling</w:t>
      </w:r>
      <w:proofErr w:type="spellEnd"/>
      <w:r w:rsidRPr="00E336C4">
        <w:rPr>
          <w:sz w:val="24"/>
          <w:szCs w:val="24"/>
        </w:rPr>
        <w:t xml:space="preserve"> </w:t>
      </w:r>
      <w:r w:rsidR="001501C8">
        <w:rPr>
          <w:sz w:val="24"/>
          <w:szCs w:val="24"/>
        </w:rPr>
        <w:t xml:space="preserve">J, </w:t>
      </w:r>
      <w:r w:rsidRPr="00E336C4">
        <w:rPr>
          <w:sz w:val="24"/>
          <w:szCs w:val="24"/>
        </w:rPr>
        <w:t xml:space="preserve">et al </w:t>
      </w:r>
      <w:r w:rsidR="001501C8">
        <w:rPr>
          <w:sz w:val="24"/>
          <w:szCs w:val="24"/>
        </w:rPr>
        <w:t>(</w:t>
      </w:r>
      <w:r w:rsidRPr="00E336C4">
        <w:rPr>
          <w:sz w:val="24"/>
          <w:szCs w:val="24"/>
        </w:rPr>
        <w:t>2015</w:t>
      </w:r>
      <w:r w:rsidR="001501C8">
        <w:rPr>
          <w:sz w:val="24"/>
          <w:szCs w:val="24"/>
        </w:rPr>
        <w:t>)</w:t>
      </w:r>
      <w:r w:rsidRPr="00E336C4">
        <w:rPr>
          <w:sz w:val="24"/>
          <w:szCs w:val="24"/>
        </w:rPr>
        <w:t xml:space="preserve"> </w:t>
      </w:r>
      <w:proofErr w:type="gramStart"/>
      <w:r w:rsidRPr="00E336C4">
        <w:rPr>
          <w:sz w:val="24"/>
          <w:szCs w:val="24"/>
        </w:rPr>
        <w:t>The</w:t>
      </w:r>
      <w:proofErr w:type="gramEnd"/>
      <w:r w:rsidRPr="00E336C4">
        <w:rPr>
          <w:sz w:val="24"/>
          <w:szCs w:val="24"/>
        </w:rPr>
        <w:t xml:space="preserve"> prevalence of clinically diagnosed ankylosing spondylitis and its clinical manifestations: a nationwide register study. Arthritis research and therapy, 17:118-126</w:t>
      </w:r>
    </w:p>
    <w:p w:rsidR="00CD3313" w:rsidRPr="00E336C4" w:rsidRDefault="00CD3313">
      <w:pPr>
        <w:pStyle w:val="EndnoteText"/>
        <w:rPr>
          <w:sz w:val="24"/>
          <w:szCs w:val="24"/>
        </w:rPr>
      </w:pPr>
    </w:p>
  </w:endnote>
  <w:endnote w:id="15">
    <w:p w:rsidR="00CD3313" w:rsidRPr="00E336C4" w:rsidRDefault="00CD3313" w:rsidP="00CD3313">
      <w:pPr>
        <w:pStyle w:val="EndnoteText"/>
        <w:rPr>
          <w:sz w:val="24"/>
          <w:szCs w:val="24"/>
        </w:rPr>
      </w:pPr>
      <w:r w:rsidRPr="00E336C4">
        <w:rPr>
          <w:rStyle w:val="EndnoteReference"/>
          <w:sz w:val="24"/>
          <w:szCs w:val="24"/>
        </w:rPr>
        <w:endnoteRef/>
      </w:r>
      <w:r w:rsidRPr="00E336C4">
        <w:rPr>
          <w:sz w:val="24"/>
          <w:szCs w:val="24"/>
        </w:rPr>
        <w:t xml:space="preserve"> </w:t>
      </w:r>
      <w:proofErr w:type="spellStart"/>
      <w:r w:rsidRPr="00E336C4">
        <w:rPr>
          <w:sz w:val="24"/>
          <w:szCs w:val="24"/>
        </w:rPr>
        <w:t>Lindström</w:t>
      </w:r>
      <w:proofErr w:type="spellEnd"/>
      <w:r w:rsidRPr="00E336C4">
        <w:rPr>
          <w:sz w:val="24"/>
          <w:szCs w:val="24"/>
        </w:rPr>
        <w:t xml:space="preserve"> U, </w:t>
      </w:r>
      <w:proofErr w:type="spellStart"/>
      <w:r w:rsidRPr="00E336C4">
        <w:rPr>
          <w:sz w:val="24"/>
          <w:szCs w:val="24"/>
        </w:rPr>
        <w:t>Exarchou</w:t>
      </w:r>
      <w:proofErr w:type="spellEnd"/>
      <w:r w:rsidRPr="00E336C4">
        <w:rPr>
          <w:sz w:val="24"/>
          <w:szCs w:val="24"/>
        </w:rPr>
        <w:t xml:space="preserve"> S, </w:t>
      </w:r>
      <w:proofErr w:type="spellStart"/>
      <w:r w:rsidRPr="00E336C4">
        <w:rPr>
          <w:sz w:val="24"/>
          <w:szCs w:val="24"/>
        </w:rPr>
        <w:t>Sigurdardottir</w:t>
      </w:r>
      <w:proofErr w:type="spellEnd"/>
      <w:r w:rsidRPr="00E336C4">
        <w:rPr>
          <w:sz w:val="24"/>
          <w:szCs w:val="24"/>
        </w:rPr>
        <w:t xml:space="preserve"> V, et al (2015) Validity of ankylosing spondylitis and undifferentiated spondyloarthritis diagnoses in the Swedish National Patient </w:t>
      </w:r>
      <w:proofErr w:type="spellStart"/>
      <w:r w:rsidRPr="00E336C4">
        <w:rPr>
          <w:sz w:val="24"/>
          <w:szCs w:val="24"/>
        </w:rPr>
        <w:t>Register.Scand</w:t>
      </w:r>
      <w:proofErr w:type="spellEnd"/>
      <w:r w:rsidRPr="00E336C4">
        <w:rPr>
          <w:sz w:val="24"/>
          <w:szCs w:val="24"/>
        </w:rPr>
        <w:t xml:space="preserve"> J </w:t>
      </w:r>
      <w:proofErr w:type="spellStart"/>
      <w:r w:rsidRPr="00E336C4">
        <w:rPr>
          <w:sz w:val="24"/>
          <w:szCs w:val="24"/>
        </w:rPr>
        <w:t>Rheumatol</w:t>
      </w:r>
      <w:proofErr w:type="spellEnd"/>
      <w:r w:rsidRPr="00E336C4">
        <w:rPr>
          <w:sz w:val="24"/>
          <w:szCs w:val="24"/>
        </w:rPr>
        <w:t>. 2015</w:t>
      </w:r>
      <w:proofErr w:type="gramStart"/>
      <w:r w:rsidRPr="00E336C4">
        <w:rPr>
          <w:sz w:val="24"/>
          <w:szCs w:val="24"/>
        </w:rPr>
        <w:t>;23:1</w:t>
      </w:r>
      <w:proofErr w:type="gramEnd"/>
      <w:r w:rsidRPr="00E336C4">
        <w:rPr>
          <w:sz w:val="24"/>
          <w:szCs w:val="24"/>
        </w:rPr>
        <w:t>-8.</w:t>
      </w:r>
    </w:p>
    <w:p w:rsidR="00CD3313" w:rsidRPr="00E336C4" w:rsidRDefault="00CD3313" w:rsidP="00CD3313">
      <w:pPr>
        <w:pStyle w:val="EndnoteText"/>
        <w:rPr>
          <w:sz w:val="24"/>
          <w:szCs w:val="24"/>
        </w:rPr>
      </w:pPr>
    </w:p>
  </w:endnote>
  <w:endnote w:id="16">
    <w:p w:rsidR="00C2581B" w:rsidRPr="00E336C4" w:rsidRDefault="00C2581B">
      <w:pPr>
        <w:pStyle w:val="EndnoteText"/>
        <w:rPr>
          <w:sz w:val="24"/>
          <w:szCs w:val="24"/>
        </w:rPr>
      </w:pPr>
      <w:r w:rsidRPr="00E336C4">
        <w:rPr>
          <w:rStyle w:val="EndnoteReference"/>
          <w:sz w:val="24"/>
          <w:szCs w:val="24"/>
        </w:rPr>
        <w:endnoteRef/>
      </w:r>
      <w:r w:rsidRPr="00E336C4">
        <w:rPr>
          <w:sz w:val="24"/>
          <w:szCs w:val="24"/>
        </w:rPr>
        <w:t xml:space="preserve"> Dean LE, Jones GT, MacDonald AG, et al (2014) Global prevalence of ankylosing spondylitis. </w:t>
      </w:r>
      <w:proofErr w:type="gramStart"/>
      <w:r w:rsidRPr="00E336C4">
        <w:rPr>
          <w:sz w:val="24"/>
          <w:szCs w:val="24"/>
        </w:rPr>
        <w:t>Rheumatology (Oxford).</w:t>
      </w:r>
      <w:proofErr w:type="gramEnd"/>
      <w:r w:rsidRPr="00E336C4">
        <w:rPr>
          <w:sz w:val="24"/>
          <w:szCs w:val="24"/>
        </w:rPr>
        <w:t xml:space="preserve"> 2014 Apr;53(4):650-7.</w:t>
      </w:r>
    </w:p>
    <w:p w:rsidR="00C2581B" w:rsidRPr="00E336C4" w:rsidRDefault="00C2581B">
      <w:pPr>
        <w:pStyle w:val="EndnoteText"/>
        <w:rPr>
          <w:sz w:val="24"/>
          <w:szCs w:val="24"/>
        </w:rPr>
      </w:pPr>
    </w:p>
  </w:endnote>
  <w:endnote w:id="17">
    <w:p w:rsidR="004D282D" w:rsidRPr="00E336C4" w:rsidRDefault="004D282D" w:rsidP="00396157">
      <w:pPr>
        <w:pStyle w:val="EndnoteText"/>
        <w:rPr>
          <w:sz w:val="24"/>
          <w:szCs w:val="24"/>
        </w:rPr>
      </w:pPr>
      <w:r w:rsidRPr="00E336C4">
        <w:rPr>
          <w:rStyle w:val="EndnoteReference"/>
          <w:sz w:val="24"/>
          <w:szCs w:val="24"/>
        </w:rPr>
        <w:endnoteRef/>
      </w:r>
      <w:r w:rsidRPr="00E336C4">
        <w:rPr>
          <w:sz w:val="24"/>
          <w:szCs w:val="24"/>
        </w:rPr>
        <w:t xml:space="preserve"> </w:t>
      </w:r>
      <w:proofErr w:type="spellStart"/>
      <w:r w:rsidRPr="00E336C4">
        <w:rPr>
          <w:sz w:val="24"/>
          <w:szCs w:val="24"/>
        </w:rPr>
        <w:t>Stolwijk</w:t>
      </w:r>
      <w:proofErr w:type="spellEnd"/>
      <w:r w:rsidRPr="00E336C4">
        <w:rPr>
          <w:sz w:val="24"/>
          <w:szCs w:val="24"/>
        </w:rPr>
        <w:t xml:space="preserve"> C</w:t>
      </w:r>
      <w:r w:rsidR="00396157">
        <w:rPr>
          <w:sz w:val="24"/>
          <w:szCs w:val="24"/>
        </w:rPr>
        <w:t xml:space="preserve">, </w:t>
      </w:r>
      <w:r w:rsidR="00396157" w:rsidRPr="00396157">
        <w:rPr>
          <w:sz w:val="24"/>
          <w:szCs w:val="24"/>
        </w:rPr>
        <w:t xml:space="preserve">van </w:t>
      </w:r>
      <w:proofErr w:type="spellStart"/>
      <w:r w:rsidR="00396157" w:rsidRPr="00396157">
        <w:rPr>
          <w:sz w:val="24"/>
          <w:szCs w:val="24"/>
        </w:rPr>
        <w:t>Onna</w:t>
      </w:r>
      <w:proofErr w:type="spellEnd"/>
      <w:r w:rsidR="00396157">
        <w:rPr>
          <w:sz w:val="24"/>
          <w:szCs w:val="24"/>
        </w:rPr>
        <w:t xml:space="preserve"> M</w:t>
      </w:r>
      <w:r w:rsidR="00396157" w:rsidRPr="00396157">
        <w:rPr>
          <w:sz w:val="24"/>
          <w:szCs w:val="24"/>
        </w:rPr>
        <w:t xml:space="preserve">, </w:t>
      </w:r>
      <w:proofErr w:type="spellStart"/>
      <w:r w:rsidR="00396157" w:rsidRPr="00396157">
        <w:rPr>
          <w:sz w:val="24"/>
          <w:szCs w:val="24"/>
        </w:rPr>
        <w:t>Boonen</w:t>
      </w:r>
      <w:proofErr w:type="spellEnd"/>
      <w:r w:rsidR="00396157">
        <w:rPr>
          <w:sz w:val="24"/>
          <w:szCs w:val="24"/>
        </w:rPr>
        <w:t xml:space="preserve"> </w:t>
      </w:r>
      <w:proofErr w:type="gramStart"/>
      <w:r w:rsidR="00396157">
        <w:rPr>
          <w:sz w:val="24"/>
          <w:szCs w:val="24"/>
        </w:rPr>
        <w:t>A</w:t>
      </w:r>
      <w:proofErr w:type="gramEnd"/>
      <w:r w:rsidR="00396157" w:rsidRPr="00396157">
        <w:rPr>
          <w:sz w:val="24"/>
          <w:szCs w:val="24"/>
        </w:rPr>
        <w:t>,</w:t>
      </w:r>
      <w:r w:rsidRPr="00E336C4">
        <w:rPr>
          <w:sz w:val="24"/>
          <w:szCs w:val="24"/>
        </w:rPr>
        <w:t xml:space="preserve"> et al (2015) The global prevalence of spondyloarthritis: a systematic review and meta-regression analysis, 2015, Arthritis Care &amp; Research.</w:t>
      </w:r>
    </w:p>
    <w:p w:rsidR="004D282D" w:rsidRPr="00E336C4" w:rsidRDefault="004D282D">
      <w:pPr>
        <w:pStyle w:val="EndnoteText"/>
        <w:rPr>
          <w:sz w:val="24"/>
          <w:szCs w:val="24"/>
        </w:rPr>
      </w:pPr>
    </w:p>
  </w:endnote>
  <w:endnote w:id="18">
    <w:p w:rsidR="004D282D" w:rsidRPr="00E336C4" w:rsidRDefault="004D282D">
      <w:pPr>
        <w:pStyle w:val="EndnoteText"/>
        <w:rPr>
          <w:sz w:val="24"/>
          <w:szCs w:val="24"/>
        </w:rPr>
      </w:pPr>
      <w:r w:rsidRPr="00E336C4">
        <w:rPr>
          <w:rStyle w:val="EndnoteReference"/>
          <w:sz w:val="24"/>
          <w:szCs w:val="24"/>
        </w:rPr>
        <w:endnoteRef/>
      </w:r>
      <w:r w:rsidRPr="00E336C4">
        <w:rPr>
          <w:sz w:val="24"/>
          <w:szCs w:val="24"/>
        </w:rPr>
        <w:t xml:space="preserve"> </w:t>
      </w:r>
      <w:proofErr w:type="spellStart"/>
      <w:r w:rsidRPr="00E336C4">
        <w:rPr>
          <w:sz w:val="24"/>
          <w:szCs w:val="24"/>
        </w:rPr>
        <w:t>Stolwijk</w:t>
      </w:r>
      <w:proofErr w:type="spellEnd"/>
      <w:r w:rsidRPr="00E336C4">
        <w:rPr>
          <w:sz w:val="24"/>
          <w:szCs w:val="24"/>
        </w:rPr>
        <w:t xml:space="preserve"> C</w:t>
      </w:r>
      <w:r w:rsidR="00935D2A">
        <w:rPr>
          <w:sz w:val="24"/>
          <w:szCs w:val="24"/>
        </w:rPr>
        <w:t xml:space="preserve">, </w:t>
      </w:r>
      <w:proofErr w:type="spellStart"/>
      <w:r w:rsidR="00935D2A" w:rsidRPr="00396157">
        <w:rPr>
          <w:sz w:val="24"/>
          <w:szCs w:val="24"/>
        </w:rPr>
        <w:t>Boonen</w:t>
      </w:r>
      <w:proofErr w:type="spellEnd"/>
      <w:r w:rsidR="00935D2A">
        <w:rPr>
          <w:sz w:val="24"/>
          <w:szCs w:val="24"/>
        </w:rPr>
        <w:t xml:space="preserve"> </w:t>
      </w:r>
      <w:proofErr w:type="gramStart"/>
      <w:r w:rsidR="00935D2A">
        <w:rPr>
          <w:sz w:val="24"/>
          <w:szCs w:val="24"/>
        </w:rPr>
        <w:t>A</w:t>
      </w:r>
      <w:proofErr w:type="gramEnd"/>
      <w:r w:rsidR="00935D2A">
        <w:rPr>
          <w:sz w:val="24"/>
          <w:szCs w:val="24"/>
        </w:rPr>
        <w:t xml:space="preserve">, </w:t>
      </w:r>
      <w:proofErr w:type="spellStart"/>
      <w:r w:rsidR="00935D2A" w:rsidRPr="00935D2A">
        <w:rPr>
          <w:sz w:val="24"/>
          <w:szCs w:val="24"/>
        </w:rPr>
        <w:t>Tubergen</w:t>
      </w:r>
      <w:proofErr w:type="spellEnd"/>
      <w:r w:rsidR="00935D2A">
        <w:rPr>
          <w:sz w:val="24"/>
          <w:szCs w:val="24"/>
        </w:rPr>
        <w:t xml:space="preserve"> A</w:t>
      </w:r>
      <w:r w:rsidR="00935D2A" w:rsidRPr="00935D2A">
        <w:rPr>
          <w:sz w:val="24"/>
          <w:szCs w:val="24"/>
        </w:rPr>
        <w:t>,</w:t>
      </w:r>
      <w:r w:rsidRPr="00E336C4">
        <w:rPr>
          <w:sz w:val="24"/>
          <w:szCs w:val="24"/>
        </w:rPr>
        <w:t xml:space="preserve"> et al</w:t>
      </w:r>
      <w:r w:rsidR="00E37864">
        <w:rPr>
          <w:sz w:val="24"/>
          <w:szCs w:val="24"/>
        </w:rPr>
        <w:t xml:space="preserve"> (2012)</w:t>
      </w:r>
      <w:r w:rsidRPr="00E336C4">
        <w:rPr>
          <w:sz w:val="24"/>
          <w:szCs w:val="24"/>
        </w:rPr>
        <w:t xml:space="preserve"> Epidemiology of Spondyloarthritis. Rheumatic diseases clinics of North America 38.3 (2012): 441–476. </w:t>
      </w:r>
      <w:proofErr w:type="gramStart"/>
      <w:r w:rsidRPr="00E336C4">
        <w:rPr>
          <w:sz w:val="24"/>
          <w:szCs w:val="24"/>
        </w:rPr>
        <w:t>PMC.</w:t>
      </w:r>
      <w:proofErr w:type="gramEnd"/>
      <w:r w:rsidRPr="00E336C4">
        <w:rPr>
          <w:sz w:val="24"/>
          <w:szCs w:val="24"/>
        </w:rPr>
        <w:t xml:space="preserve"> </w:t>
      </w:r>
      <w:proofErr w:type="gramStart"/>
      <w:r w:rsidRPr="00E336C4">
        <w:rPr>
          <w:sz w:val="24"/>
          <w:szCs w:val="24"/>
        </w:rPr>
        <w:t>Web.</w:t>
      </w:r>
      <w:proofErr w:type="gramEnd"/>
      <w:r w:rsidRPr="00E336C4">
        <w:rPr>
          <w:sz w:val="24"/>
          <w:szCs w:val="24"/>
        </w:rPr>
        <w:t xml:space="preserve"> 5 May 2016.</w:t>
      </w:r>
    </w:p>
    <w:p w:rsidR="004D282D" w:rsidRPr="00E336C4" w:rsidRDefault="004D282D">
      <w:pPr>
        <w:pStyle w:val="EndnoteText"/>
        <w:rPr>
          <w:sz w:val="24"/>
          <w:szCs w:val="24"/>
        </w:rPr>
      </w:pPr>
    </w:p>
  </w:endnote>
  <w:endnote w:id="19">
    <w:p w:rsidR="004D282D" w:rsidRDefault="004D282D">
      <w:pPr>
        <w:pStyle w:val="EndnoteText"/>
        <w:rPr>
          <w:sz w:val="24"/>
          <w:szCs w:val="24"/>
        </w:rPr>
      </w:pPr>
      <w:r w:rsidRPr="00E336C4">
        <w:rPr>
          <w:rStyle w:val="EndnoteReference"/>
          <w:sz w:val="24"/>
          <w:szCs w:val="24"/>
        </w:rPr>
        <w:endnoteRef/>
      </w:r>
      <w:r w:rsidRPr="00E336C4">
        <w:rPr>
          <w:sz w:val="24"/>
          <w:szCs w:val="24"/>
        </w:rPr>
        <w:t xml:space="preserve"> Haroon N,</w:t>
      </w:r>
      <w:r w:rsidR="001F4774">
        <w:rPr>
          <w:sz w:val="24"/>
          <w:szCs w:val="24"/>
        </w:rPr>
        <w:t xml:space="preserve"> </w:t>
      </w:r>
      <w:r w:rsidR="001F4774" w:rsidRPr="001F4774">
        <w:rPr>
          <w:sz w:val="24"/>
          <w:szCs w:val="24"/>
        </w:rPr>
        <w:t>Paterson</w:t>
      </w:r>
      <w:r w:rsidR="001F4774">
        <w:rPr>
          <w:sz w:val="24"/>
          <w:szCs w:val="24"/>
        </w:rPr>
        <w:t xml:space="preserve"> J, </w:t>
      </w:r>
      <w:r w:rsidR="001F4774" w:rsidRPr="001F4774">
        <w:rPr>
          <w:sz w:val="24"/>
          <w:szCs w:val="24"/>
        </w:rPr>
        <w:t>Li</w:t>
      </w:r>
      <w:r w:rsidR="001F4774">
        <w:rPr>
          <w:sz w:val="24"/>
          <w:szCs w:val="24"/>
        </w:rPr>
        <w:t xml:space="preserve"> P,</w:t>
      </w:r>
      <w:r w:rsidRPr="00E336C4">
        <w:rPr>
          <w:sz w:val="24"/>
          <w:szCs w:val="24"/>
        </w:rPr>
        <w:t xml:space="preserve"> et al (2014) Increasing proportion of female patients with ankylosing spondylitis: a population-based study of trends in the incidence and prevalence of AS. BMJ Open;</w:t>
      </w:r>
    </w:p>
    <w:p w:rsidR="004D282D" w:rsidRDefault="004D282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FjhbtxAdvTTb5929f4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E4F" w:rsidRDefault="00A44E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430444"/>
      <w:docPartObj>
        <w:docPartGallery w:val="Page Numbers (Bottom of Page)"/>
        <w:docPartUnique/>
      </w:docPartObj>
    </w:sdtPr>
    <w:sdtEndPr/>
    <w:sdtContent>
      <w:sdt>
        <w:sdtPr>
          <w:id w:val="-2070178723"/>
          <w:docPartObj>
            <w:docPartGallery w:val="Page Numbers (Top of Page)"/>
            <w:docPartUnique/>
          </w:docPartObj>
        </w:sdtPr>
        <w:sdtEndPr/>
        <w:sdtContent>
          <w:p w:rsidR="000E6979" w:rsidRPr="000E72C6" w:rsidRDefault="000E6979" w:rsidP="000E6979">
            <w:pPr>
              <w:pStyle w:val="Footer"/>
              <w:jc w:val="center"/>
              <w:rPr>
                <w:i/>
                <w:sz w:val="20"/>
              </w:rPr>
            </w:pPr>
            <w:r>
              <w:rPr>
                <w:i/>
                <w:sz w:val="20"/>
              </w:rPr>
              <w:t>Public Release Document, June 2016 DUSC Meeting</w:t>
            </w:r>
          </w:p>
          <w:p w:rsidR="00904D32" w:rsidRPr="008F51E2" w:rsidRDefault="00904D32" w:rsidP="005425A8">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EC7E49">
              <w:rPr>
                <w:bCs/>
                <w:i/>
                <w:noProof/>
                <w:sz w:val="20"/>
              </w:rPr>
              <w:t>12</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EC7E49">
              <w:rPr>
                <w:bCs/>
                <w:i/>
                <w:noProof/>
                <w:sz w:val="20"/>
              </w:rPr>
              <w:t>19</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E4F" w:rsidRDefault="00A44E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D32" w:rsidRDefault="00904D32" w:rsidP="00821C17">
      <w:pPr>
        <w:spacing w:after="0"/>
      </w:pPr>
      <w:r>
        <w:separator/>
      </w:r>
    </w:p>
  </w:footnote>
  <w:footnote w:type="continuationSeparator" w:id="0">
    <w:p w:rsidR="00904D32" w:rsidRDefault="00904D32" w:rsidP="00821C17">
      <w:pPr>
        <w:spacing w:after="0"/>
      </w:pPr>
      <w:r>
        <w:continuationSeparator/>
      </w:r>
    </w:p>
  </w:footnote>
  <w:footnote w:id="1">
    <w:p w:rsidR="00904D32" w:rsidRDefault="00904D32" w:rsidP="00F81F38">
      <w:pPr>
        <w:pStyle w:val="FootnoteText"/>
      </w:pPr>
      <w:r>
        <w:rPr>
          <w:rStyle w:val="FootnoteReference"/>
        </w:rPr>
        <w:footnoteRef/>
      </w:r>
      <w:r w:rsidRPr="00712441">
        <w:t>3101.0 - Australian D</w:t>
      </w:r>
      <w:r>
        <w:t xml:space="preserve">emographic Statistics, Sep 2015, </w:t>
      </w:r>
      <w:r w:rsidRPr="00712441">
        <w:t>http://www.abs.gov.au/AUSSTATS/abs@.nsf/DetailsPage/3101.0Sep%202015?OpenDocument</w:t>
      </w:r>
    </w:p>
  </w:footnote>
  <w:footnote w:id="2">
    <w:p w:rsidR="00904D32" w:rsidRDefault="00904D32">
      <w:pPr>
        <w:pStyle w:val="FootnoteText"/>
      </w:pPr>
      <w:r>
        <w:rPr>
          <w:rStyle w:val="FootnoteReference"/>
        </w:rPr>
        <w:footnoteRef/>
      </w:r>
      <w:r w:rsidRPr="00712441">
        <w:t>3101.0 - Australian D</w:t>
      </w:r>
      <w:r>
        <w:t xml:space="preserve">emographic Statistics, Sep 2015, </w:t>
      </w:r>
      <w:r w:rsidRPr="00712441">
        <w:t>http://www.abs.gov.au/AUSSTATS/abs@.nsf/DetailsPage/3101.0Sep%202015?OpenDocument</w:t>
      </w:r>
    </w:p>
  </w:footnote>
  <w:footnote w:id="3">
    <w:p w:rsidR="00E42C55" w:rsidRPr="00F15D34" w:rsidRDefault="00E42C55" w:rsidP="00E42C55">
      <w:pPr>
        <w:pStyle w:val="FootnoteText"/>
      </w:pPr>
      <w:r>
        <w:rPr>
          <w:rStyle w:val="FootnoteReference"/>
        </w:rPr>
        <w:footnoteRef/>
      </w:r>
      <w:r>
        <w:t xml:space="preserve"> </w:t>
      </w:r>
      <w:r w:rsidRPr="00F15D34">
        <w:t>The authority application must be made in writing and must include:</w:t>
      </w:r>
    </w:p>
    <w:p w:rsidR="00E42C55" w:rsidRPr="00F15D34" w:rsidRDefault="00E42C55" w:rsidP="00E42C55">
      <w:pPr>
        <w:spacing w:after="0"/>
        <w:rPr>
          <w:sz w:val="18"/>
          <w:szCs w:val="20"/>
        </w:rPr>
      </w:pPr>
      <w:r w:rsidRPr="00F15D34">
        <w:rPr>
          <w:sz w:val="18"/>
          <w:szCs w:val="20"/>
        </w:rPr>
        <w:t>(a) a completed authority prescription form; and</w:t>
      </w:r>
    </w:p>
    <w:p w:rsidR="00E42C55" w:rsidRPr="00F15D34" w:rsidRDefault="00E42C55" w:rsidP="00E42C55">
      <w:pPr>
        <w:spacing w:after="0"/>
        <w:rPr>
          <w:sz w:val="18"/>
          <w:szCs w:val="20"/>
        </w:rPr>
      </w:pPr>
      <w:r w:rsidRPr="00F15D34">
        <w:rPr>
          <w:sz w:val="18"/>
          <w:szCs w:val="20"/>
        </w:rPr>
        <w:t>(b) a completed Ankylosing Spondylitis PBS Authority Application - Supporting Information Form  which must include the following:</w:t>
      </w:r>
    </w:p>
    <w:p w:rsidR="00E42C55" w:rsidRPr="00F15D34" w:rsidRDefault="00E42C55" w:rsidP="00E42C55">
      <w:pPr>
        <w:pStyle w:val="FootnoteText"/>
      </w:pPr>
      <w:r w:rsidRPr="00F15D34">
        <w:t>(</w:t>
      </w:r>
      <w:proofErr w:type="spellStart"/>
      <w:r w:rsidRPr="00F15D34">
        <w:t>i</w:t>
      </w:r>
      <w:proofErr w:type="spellEnd"/>
      <w:r w:rsidRPr="00F15D34">
        <w:t>) a copy of the radiological report confirming Grade II bilateral sacroiliitis or Grade III unilateral sacroiliitis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E4F" w:rsidRDefault="00A44E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E4F" w:rsidRDefault="00A44E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E4F" w:rsidRDefault="00A44E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6CA7"/>
    <w:multiLevelType w:val="hybridMultilevel"/>
    <w:tmpl w:val="409AA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61E5BC8"/>
    <w:multiLevelType w:val="hybridMultilevel"/>
    <w:tmpl w:val="9BBE78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66B559B"/>
    <w:multiLevelType w:val="hybridMultilevel"/>
    <w:tmpl w:val="AFB66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C84B8B"/>
    <w:multiLevelType w:val="hybridMultilevel"/>
    <w:tmpl w:val="8A6CC3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BC65D75"/>
    <w:multiLevelType w:val="multilevel"/>
    <w:tmpl w:val="53D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AE1209"/>
    <w:multiLevelType w:val="hybridMultilevel"/>
    <w:tmpl w:val="536E16C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0E5A55F9"/>
    <w:multiLevelType w:val="hybridMultilevel"/>
    <w:tmpl w:val="55424F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F85039B"/>
    <w:multiLevelType w:val="hybridMultilevel"/>
    <w:tmpl w:val="17F09F06"/>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10D036D4"/>
    <w:multiLevelType w:val="hybridMultilevel"/>
    <w:tmpl w:val="4A6CA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5DA036A"/>
    <w:multiLevelType w:val="hybridMultilevel"/>
    <w:tmpl w:val="548E43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19A874E0"/>
    <w:multiLevelType w:val="hybridMultilevel"/>
    <w:tmpl w:val="31BC8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57657B9"/>
    <w:multiLevelType w:val="hybridMultilevel"/>
    <w:tmpl w:val="2318CA04"/>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26A24445"/>
    <w:multiLevelType w:val="hybridMultilevel"/>
    <w:tmpl w:val="71C03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7F1113A"/>
    <w:multiLevelType w:val="hybridMultilevel"/>
    <w:tmpl w:val="467C83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8811B69"/>
    <w:multiLevelType w:val="hybridMultilevel"/>
    <w:tmpl w:val="9FEEE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8A572F9"/>
    <w:multiLevelType w:val="hybridMultilevel"/>
    <w:tmpl w:val="30CC7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29D7844"/>
    <w:multiLevelType w:val="hybridMultilevel"/>
    <w:tmpl w:val="14484E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nsid w:val="352E5A9A"/>
    <w:multiLevelType w:val="hybridMultilevel"/>
    <w:tmpl w:val="410279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43764FA5"/>
    <w:multiLevelType w:val="hybridMultilevel"/>
    <w:tmpl w:val="0A548A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47A83808"/>
    <w:multiLevelType w:val="hybridMultilevel"/>
    <w:tmpl w:val="B4E41F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47FE3161"/>
    <w:multiLevelType w:val="hybridMultilevel"/>
    <w:tmpl w:val="B2362DE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4AC23882"/>
    <w:multiLevelType w:val="hybridMultilevel"/>
    <w:tmpl w:val="25A80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BE2647B"/>
    <w:multiLevelType w:val="hybridMultilevel"/>
    <w:tmpl w:val="3048B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D3827F9"/>
    <w:multiLevelType w:val="hybridMultilevel"/>
    <w:tmpl w:val="79B0C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1823037"/>
    <w:multiLevelType w:val="hybridMultilevel"/>
    <w:tmpl w:val="BFB65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52DF092A"/>
    <w:multiLevelType w:val="hybridMultilevel"/>
    <w:tmpl w:val="8482E6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8126D5D"/>
    <w:multiLevelType w:val="hybridMultilevel"/>
    <w:tmpl w:val="D26058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5B6B67DB"/>
    <w:multiLevelType w:val="hybridMultilevel"/>
    <w:tmpl w:val="14EE53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E425044"/>
    <w:multiLevelType w:val="hybridMultilevel"/>
    <w:tmpl w:val="24B81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671F6223"/>
    <w:multiLevelType w:val="hybridMultilevel"/>
    <w:tmpl w:val="6054E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2880EB7"/>
    <w:multiLevelType w:val="hybridMultilevel"/>
    <w:tmpl w:val="446C32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7C0D4696"/>
    <w:multiLevelType w:val="hybridMultilevel"/>
    <w:tmpl w:val="EA00C3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2"/>
  </w:num>
  <w:num w:numId="2">
    <w:abstractNumId w:val="30"/>
  </w:num>
  <w:num w:numId="3">
    <w:abstractNumId w:val="14"/>
  </w:num>
  <w:num w:numId="4">
    <w:abstractNumId w:val="3"/>
  </w:num>
  <w:num w:numId="5">
    <w:abstractNumId w:val="2"/>
  </w:num>
  <w:num w:numId="6">
    <w:abstractNumId w:val="26"/>
  </w:num>
  <w:num w:numId="7">
    <w:abstractNumId w:val="29"/>
  </w:num>
  <w:num w:numId="8">
    <w:abstractNumId w:val="8"/>
  </w:num>
  <w:num w:numId="9">
    <w:abstractNumId w:val="22"/>
  </w:num>
  <w:num w:numId="10">
    <w:abstractNumId w:val="15"/>
  </w:num>
  <w:num w:numId="11">
    <w:abstractNumId w:val="28"/>
  </w:num>
  <w:num w:numId="12">
    <w:abstractNumId w:val="16"/>
  </w:num>
  <w:num w:numId="13">
    <w:abstractNumId w:val="24"/>
  </w:num>
  <w:num w:numId="14">
    <w:abstractNumId w:val="33"/>
  </w:num>
  <w:num w:numId="15">
    <w:abstractNumId w:val="23"/>
  </w:num>
  <w:num w:numId="16">
    <w:abstractNumId w:val="27"/>
  </w:num>
  <w:num w:numId="17">
    <w:abstractNumId w:val="7"/>
  </w:num>
  <w:num w:numId="18">
    <w:abstractNumId w:val="11"/>
  </w:num>
  <w:num w:numId="19">
    <w:abstractNumId w:val="21"/>
  </w:num>
  <w:num w:numId="20">
    <w:abstractNumId w:val="5"/>
  </w:num>
  <w:num w:numId="21">
    <w:abstractNumId w:val="31"/>
  </w:num>
  <w:num w:numId="22">
    <w:abstractNumId w:val="12"/>
  </w:num>
  <w:num w:numId="23">
    <w:abstractNumId w:val="1"/>
  </w:num>
  <w:num w:numId="24">
    <w:abstractNumId w:val="25"/>
  </w:num>
  <w:num w:numId="25">
    <w:abstractNumId w:val="13"/>
  </w:num>
  <w:num w:numId="26">
    <w:abstractNumId w:val="6"/>
  </w:num>
  <w:num w:numId="27">
    <w:abstractNumId w:val="9"/>
  </w:num>
  <w:num w:numId="28">
    <w:abstractNumId w:val="10"/>
  </w:num>
  <w:num w:numId="29">
    <w:abstractNumId w:val="19"/>
  </w:num>
  <w:num w:numId="30">
    <w:abstractNumId w:val="20"/>
  </w:num>
  <w:num w:numId="31">
    <w:abstractNumId w:val="18"/>
  </w:num>
  <w:num w:numId="32">
    <w:abstractNumId w:val="0"/>
  </w:num>
  <w:num w:numId="33">
    <w:abstractNumId w:val="4"/>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characterSpacingControl w:val="doNotCompress"/>
  <w:hdrShapeDefaults>
    <o:shapedefaults v:ext="edit" spidmax="61441"/>
  </w:hdrShapeDefaults>
  <w:footnotePr>
    <w:numFmt w:val="upperLette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17"/>
    <w:rsid w:val="00001194"/>
    <w:rsid w:val="0000137E"/>
    <w:rsid w:val="00001F68"/>
    <w:rsid w:val="000059E6"/>
    <w:rsid w:val="00010AEA"/>
    <w:rsid w:val="00013305"/>
    <w:rsid w:val="000240F2"/>
    <w:rsid w:val="000268C4"/>
    <w:rsid w:val="00044A34"/>
    <w:rsid w:val="00046C49"/>
    <w:rsid w:val="00052F09"/>
    <w:rsid w:val="00053324"/>
    <w:rsid w:val="000535F1"/>
    <w:rsid w:val="000753C1"/>
    <w:rsid w:val="000866A2"/>
    <w:rsid w:val="00094040"/>
    <w:rsid w:val="0009696B"/>
    <w:rsid w:val="000A28EC"/>
    <w:rsid w:val="000B1D59"/>
    <w:rsid w:val="000B296A"/>
    <w:rsid w:val="000B50B7"/>
    <w:rsid w:val="000B524D"/>
    <w:rsid w:val="000E586E"/>
    <w:rsid w:val="000E6979"/>
    <w:rsid w:val="000E7C76"/>
    <w:rsid w:val="000F7FEC"/>
    <w:rsid w:val="0010072C"/>
    <w:rsid w:val="00104605"/>
    <w:rsid w:val="0011175C"/>
    <w:rsid w:val="001156DF"/>
    <w:rsid w:val="00117420"/>
    <w:rsid w:val="001232F7"/>
    <w:rsid w:val="00125BF6"/>
    <w:rsid w:val="00127BCF"/>
    <w:rsid w:val="00134BF3"/>
    <w:rsid w:val="0014077C"/>
    <w:rsid w:val="00141CEB"/>
    <w:rsid w:val="0014253B"/>
    <w:rsid w:val="001501C8"/>
    <w:rsid w:val="0015051C"/>
    <w:rsid w:val="00154F8B"/>
    <w:rsid w:val="0015798B"/>
    <w:rsid w:val="00193719"/>
    <w:rsid w:val="00194844"/>
    <w:rsid w:val="00195354"/>
    <w:rsid w:val="001A1141"/>
    <w:rsid w:val="001C428A"/>
    <w:rsid w:val="001C6725"/>
    <w:rsid w:val="001D0C6F"/>
    <w:rsid w:val="001D2F46"/>
    <w:rsid w:val="001D49D6"/>
    <w:rsid w:val="001D4A77"/>
    <w:rsid w:val="001D6BF7"/>
    <w:rsid w:val="001D75D4"/>
    <w:rsid w:val="001E1100"/>
    <w:rsid w:val="001E2346"/>
    <w:rsid w:val="001E3E09"/>
    <w:rsid w:val="001E4637"/>
    <w:rsid w:val="001F3229"/>
    <w:rsid w:val="001F4774"/>
    <w:rsid w:val="001F6584"/>
    <w:rsid w:val="002059CA"/>
    <w:rsid w:val="00213581"/>
    <w:rsid w:val="00225FB8"/>
    <w:rsid w:val="002306EA"/>
    <w:rsid w:val="00231530"/>
    <w:rsid w:val="00231B4B"/>
    <w:rsid w:val="00232CC4"/>
    <w:rsid w:val="002355CB"/>
    <w:rsid w:val="002407F2"/>
    <w:rsid w:val="00243290"/>
    <w:rsid w:val="00251D3B"/>
    <w:rsid w:val="00251E77"/>
    <w:rsid w:val="002621CA"/>
    <w:rsid w:val="00266485"/>
    <w:rsid w:val="00273BDA"/>
    <w:rsid w:val="00274CCF"/>
    <w:rsid w:val="0027532F"/>
    <w:rsid w:val="00281E38"/>
    <w:rsid w:val="00286878"/>
    <w:rsid w:val="00286E26"/>
    <w:rsid w:val="00287E14"/>
    <w:rsid w:val="002B2913"/>
    <w:rsid w:val="002B61C2"/>
    <w:rsid w:val="002B6B25"/>
    <w:rsid w:val="002C70DC"/>
    <w:rsid w:val="002E0A88"/>
    <w:rsid w:val="002F572B"/>
    <w:rsid w:val="002F6A96"/>
    <w:rsid w:val="00305433"/>
    <w:rsid w:val="00313209"/>
    <w:rsid w:val="003166F2"/>
    <w:rsid w:val="00334F91"/>
    <w:rsid w:val="003434F0"/>
    <w:rsid w:val="00344849"/>
    <w:rsid w:val="00345CBD"/>
    <w:rsid w:val="00353C6F"/>
    <w:rsid w:val="00354EC7"/>
    <w:rsid w:val="00356D4E"/>
    <w:rsid w:val="0036350E"/>
    <w:rsid w:val="00365B75"/>
    <w:rsid w:val="00383C8F"/>
    <w:rsid w:val="003872FC"/>
    <w:rsid w:val="003953B1"/>
    <w:rsid w:val="00396157"/>
    <w:rsid w:val="003A3933"/>
    <w:rsid w:val="003A49D9"/>
    <w:rsid w:val="003A7FA3"/>
    <w:rsid w:val="003B198A"/>
    <w:rsid w:val="003B4A0E"/>
    <w:rsid w:val="003B4D65"/>
    <w:rsid w:val="003B4FD3"/>
    <w:rsid w:val="003B7BFC"/>
    <w:rsid w:val="003C5A04"/>
    <w:rsid w:val="003D1D58"/>
    <w:rsid w:val="003E6F55"/>
    <w:rsid w:val="003F2A16"/>
    <w:rsid w:val="003F3918"/>
    <w:rsid w:val="003F75C5"/>
    <w:rsid w:val="0040702A"/>
    <w:rsid w:val="00410D00"/>
    <w:rsid w:val="0041402C"/>
    <w:rsid w:val="00417F01"/>
    <w:rsid w:val="0042432F"/>
    <w:rsid w:val="00426144"/>
    <w:rsid w:val="00431704"/>
    <w:rsid w:val="00435430"/>
    <w:rsid w:val="004373B4"/>
    <w:rsid w:val="0044250E"/>
    <w:rsid w:val="004461D6"/>
    <w:rsid w:val="00454BAA"/>
    <w:rsid w:val="00456C3B"/>
    <w:rsid w:val="00457484"/>
    <w:rsid w:val="00461994"/>
    <w:rsid w:val="00463681"/>
    <w:rsid w:val="00463762"/>
    <w:rsid w:val="00466DA8"/>
    <w:rsid w:val="004704A2"/>
    <w:rsid w:val="00481405"/>
    <w:rsid w:val="004818C7"/>
    <w:rsid w:val="00482B92"/>
    <w:rsid w:val="00483BD9"/>
    <w:rsid w:val="00483C8E"/>
    <w:rsid w:val="004866BC"/>
    <w:rsid w:val="00486728"/>
    <w:rsid w:val="00487026"/>
    <w:rsid w:val="00495ED4"/>
    <w:rsid w:val="004963C2"/>
    <w:rsid w:val="004B0EAC"/>
    <w:rsid w:val="004B1721"/>
    <w:rsid w:val="004C03AC"/>
    <w:rsid w:val="004C7512"/>
    <w:rsid w:val="004D2154"/>
    <w:rsid w:val="004D282D"/>
    <w:rsid w:val="004D5272"/>
    <w:rsid w:val="004D5952"/>
    <w:rsid w:val="004D6CE4"/>
    <w:rsid w:val="004E0872"/>
    <w:rsid w:val="004E45B5"/>
    <w:rsid w:val="004E69D8"/>
    <w:rsid w:val="004F4502"/>
    <w:rsid w:val="004F7C7D"/>
    <w:rsid w:val="00505304"/>
    <w:rsid w:val="00511089"/>
    <w:rsid w:val="005117EA"/>
    <w:rsid w:val="00515A84"/>
    <w:rsid w:val="00517FCA"/>
    <w:rsid w:val="00523764"/>
    <w:rsid w:val="00524DC3"/>
    <w:rsid w:val="00530457"/>
    <w:rsid w:val="00532D87"/>
    <w:rsid w:val="005338C8"/>
    <w:rsid w:val="005425A8"/>
    <w:rsid w:val="00550DB4"/>
    <w:rsid w:val="00560CE5"/>
    <w:rsid w:val="00561E26"/>
    <w:rsid w:val="00562527"/>
    <w:rsid w:val="0057247B"/>
    <w:rsid w:val="00574FCA"/>
    <w:rsid w:val="00577E17"/>
    <w:rsid w:val="005817EC"/>
    <w:rsid w:val="00583F26"/>
    <w:rsid w:val="005860BB"/>
    <w:rsid w:val="00595804"/>
    <w:rsid w:val="005A1FCC"/>
    <w:rsid w:val="005A2880"/>
    <w:rsid w:val="005A328D"/>
    <w:rsid w:val="005A3C05"/>
    <w:rsid w:val="005B1875"/>
    <w:rsid w:val="005B1D7A"/>
    <w:rsid w:val="005B4595"/>
    <w:rsid w:val="005B66F5"/>
    <w:rsid w:val="005B6C1F"/>
    <w:rsid w:val="005B71FB"/>
    <w:rsid w:val="005D0030"/>
    <w:rsid w:val="005D3736"/>
    <w:rsid w:val="005D4F15"/>
    <w:rsid w:val="005D4FF0"/>
    <w:rsid w:val="005D5E11"/>
    <w:rsid w:val="005D615A"/>
    <w:rsid w:val="005D6745"/>
    <w:rsid w:val="005E0C8F"/>
    <w:rsid w:val="005E1C1E"/>
    <w:rsid w:val="005E4D5F"/>
    <w:rsid w:val="005E4D6C"/>
    <w:rsid w:val="005F1857"/>
    <w:rsid w:val="005F5F83"/>
    <w:rsid w:val="0060638A"/>
    <w:rsid w:val="00611BF5"/>
    <w:rsid w:val="00613153"/>
    <w:rsid w:val="00614BCF"/>
    <w:rsid w:val="0062397F"/>
    <w:rsid w:val="006353B4"/>
    <w:rsid w:val="006365E2"/>
    <w:rsid w:val="00642A22"/>
    <w:rsid w:val="00660348"/>
    <w:rsid w:val="00660798"/>
    <w:rsid w:val="00666922"/>
    <w:rsid w:val="006678A0"/>
    <w:rsid w:val="00682290"/>
    <w:rsid w:val="00684204"/>
    <w:rsid w:val="0068653C"/>
    <w:rsid w:val="006912FB"/>
    <w:rsid w:val="00697401"/>
    <w:rsid w:val="006B04F2"/>
    <w:rsid w:val="006B073D"/>
    <w:rsid w:val="006B2C99"/>
    <w:rsid w:val="006C2B6A"/>
    <w:rsid w:val="006C358F"/>
    <w:rsid w:val="006D036B"/>
    <w:rsid w:val="006D099C"/>
    <w:rsid w:val="006D2A93"/>
    <w:rsid w:val="006D3597"/>
    <w:rsid w:val="006D39F2"/>
    <w:rsid w:val="006D53F6"/>
    <w:rsid w:val="006D7549"/>
    <w:rsid w:val="006E0351"/>
    <w:rsid w:val="006E2901"/>
    <w:rsid w:val="006F18B4"/>
    <w:rsid w:val="00707353"/>
    <w:rsid w:val="00712441"/>
    <w:rsid w:val="00721E22"/>
    <w:rsid w:val="00721FF5"/>
    <w:rsid w:val="00724BF6"/>
    <w:rsid w:val="007260F5"/>
    <w:rsid w:val="00730458"/>
    <w:rsid w:val="0073226E"/>
    <w:rsid w:val="007345D0"/>
    <w:rsid w:val="007360E9"/>
    <w:rsid w:val="00736377"/>
    <w:rsid w:val="007447A0"/>
    <w:rsid w:val="00744888"/>
    <w:rsid w:val="00750F9A"/>
    <w:rsid w:val="0075398E"/>
    <w:rsid w:val="007627EF"/>
    <w:rsid w:val="00771432"/>
    <w:rsid w:val="00777BC2"/>
    <w:rsid w:val="00784ECD"/>
    <w:rsid w:val="00787D4A"/>
    <w:rsid w:val="00796EDD"/>
    <w:rsid w:val="007A36B4"/>
    <w:rsid w:val="007B0106"/>
    <w:rsid w:val="007C0FD8"/>
    <w:rsid w:val="007C7D3B"/>
    <w:rsid w:val="007D10CB"/>
    <w:rsid w:val="007E2E32"/>
    <w:rsid w:val="007E3004"/>
    <w:rsid w:val="007F119A"/>
    <w:rsid w:val="007F4E20"/>
    <w:rsid w:val="00800FEE"/>
    <w:rsid w:val="00801110"/>
    <w:rsid w:val="0080143B"/>
    <w:rsid w:val="008028EE"/>
    <w:rsid w:val="008134FC"/>
    <w:rsid w:val="008161B6"/>
    <w:rsid w:val="00821C17"/>
    <w:rsid w:val="008250BC"/>
    <w:rsid w:val="008319A4"/>
    <w:rsid w:val="00843E68"/>
    <w:rsid w:val="008501BD"/>
    <w:rsid w:val="008522C7"/>
    <w:rsid w:val="00865967"/>
    <w:rsid w:val="008679CD"/>
    <w:rsid w:val="008762AD"/>
    <w:rsid w:val="00880094"/>
    <w:rsid w:val="00882BBC"/>
    <w:rsid w:val="00883E4E"/>
    <w:rsid w:val="00897B50"/>
    <w:rsid w:val="008A1585"/>
    <w:rsid w:val="008A19BC"/>
    <w:rsid w:val="008B0D36"/>
    <w:rsid w:val="008B5301"/>
    <w:rsid w:val="008B631B"/>
    <w:rsid w:val="008C31A1"/>
    <w:rsid w:val="008C336A"/>
    <w:rsid w:val="008D0D6A"/>
    <w:rsid w:val="008D3415"/>
    <w:rsid w:val="008D6DD8"/>
    <w:rsid w:val="008D75A8"/>
    <w:rsid w:val="008D7A27"/>
    <w:rsid w:val="008E207D"/>
    <w:rsid w:val="008E466D"/>
    <w:rsid w:val="008E5108"/>
    <w:rsid w:val="008E7C1B"/>
    <w:rsid w:val="008E7C7C"/>
    <w:rsid w:val="008F7C0B"/>
    <w:rsid w:val="00903896"/>
    <w:rsid w:val="00904847"/>
    <w:rsid w:val="00904D32"/>
    <w:rsid w:val="00905342"/>
    <w:rsid w:val="009114DB"/>
    <w:rsid w:val="00913B69"/>
    <w:rsid w:val="00917C9C"/>
    <w:rsid w:val="00922B20"/>
    <w:rsid w:val="00926358"/>
    <w:rsid w:val="00932A56"/>
    <w:rsid w:val="00935D2A"/>
    <w:rsid w:val="009529FB"/>
    <w:rsid w:val="009650C1"/>
    <w:rsid w:val="0097298C"/>
    <w:rsid w:val="009730C4"/>
    <w:rsid w:val="00983118"/>
    <w:rsid w:val="00997756"/>
    <w:rsid w:val="009B56C2"/>
    <w:rsid w:val="009B6517"/>
    <w:rsid w:val="009C7E90"/>
    <w:rsid w:val="009D1F54"/>
    <w:rsid w:val="009F0F06"/>
    <w:rsid w:val="009F17AC"/>
    <w:rsid w:val="009F28AE"/>
    <w:rsid w:val="009F525B"/>
    <w:rsid w:val="009F542A"/>
    <w:rsid w:val="009F5D6E"/>
    <w:rsid w:val="00A0340E"/>
    <w:rsid w:val="00A121C9"/>
    <w:rsid w:val="00A231A0"/>
    <w:rsid w:val="00A234FA"/>
    <w:rsid w:val="00A24D20"/>
    <w:rsid w:val="00A2607E"/>
    <w:rsid w:val="00A30C31"/>
    <w:rsid w:val="00A32775"/>
    <w:rsid w:val="00A36E31"/>
    <w:rsid w:val="00A41B36"/>
    <w:rsid w:val="00A44E4F"/>
    <w:rsid w:val="00A461C5"/>
    <w:rsid w:val="00A61E26"/>
    <w:rsid w:val="00A70789"/>
    <w:rsid w:val="00A87EED"/>
    <w:rsid w:val="00A92C2A"/>
    <w:rsid w:val="00A969F3"/>
    <w:rsid w:val="00AA06D8"/>
    <w:rsid w:val="00AA1291"/>
    <w:rsid w:val="00AA2536"/>
    <w:rsid w:val="00AA5DAB"/>
    <w:rsid w:val="00AA727E"/>
    <w:rsid w:val="00AA7486"/>
    <w:rsid w:val="00AB1355"/>
    <w:rsid w:val="00AB1B8C"/>
    <w:rsid w:val="00AB3527"/>
    <w:rsid w:val="00AB7BAD"/>
    <w:rsid w:val="00AC762A"/>
    <w:rsid w:val="00AD4DDE"/>
    <w:rsid w:val="00AE4BB5"/>
    <w:rsid w:val="00AE73BD"/>
    <w:rsid w:val="00AF2779"/>
    <w:rsid w:val="00AF36EC"/>
    <w:rsid w:val="00B01FE7"/>
    <w:rsid w:val="00B02068"/>
    <w:rsid w:val="00B10D34"/>
    <w:rsid w:val="00B1510A"/>
    <w:rsid w:val="00B15394"/>
    <w:rsid w:val="00B15797"/>
    <w:rsid w:val="00B16C50"/>
    <w:rsid w:val="00B2660D"/>
    <w:rsid w:val="00B305E3"/>
    <w:rsid w:val="00B33624"/>
    <w:rsid w:val="00B37937"/>
    <w:rsid w:val="00B42048"/>
    <w:rsid w:val="00B60240"/>
    <w:rsid w:val="00B65598"/>
    <w:rsid w:val="00B75EA3"/>
    <w:rsid w:val="00B87F3D"/>
    <w:rsid w:val="00BA3705"/>
    <w:rsid w:val="00BA618B"/>
    <w:rsid w:val="00BA6892"/>
    <w:rsid w:val="00BA777E"/>
    <w:rsid w:val="00BB0211"/>
    <w:rsid w:val="00BC3176"/>
    <w:rsid w:val="00BC4AD4"/>
    <w:rsid w:val="00BD40CB"/>
    <w:rsid w:val="00BD5AB4"/>
    <w:rsid w:val="00BD7604"/>
    <w:rsid w:val="00BF126B"/>
    <w:rsid w:val="00C06F3C"/>
    <w:rsid w:val="00C14B23"/>
    <w:rsid w:val="00C2581B"/>
    <w:rsid w:val="00C26170"/>
    <w:rsid w:val="00C2756C"/>
    <w:rsid w:val="00C36088"/>
    <w:rsid w:val="00C41C7C"/>
    <w:rsid w:val="00C46DA2"/>
    <w:rsid w:val="00C5042B"/>
    <w:rsid w:val="00C50B93"/>
    <w:rsid w:val="00C5164D"/>
    <w:rsid w:val="00C52588"/>
    <w:rsid w:val="00C61936"/>
    <w:rsid w:val="00C62197"/>
    <w:rsid w:val="00C63556"/>
    <w:rsid w:val="00C654BB"/>
    <w:rsid w:val="00C97FEA"/>
    <w:rsid w:val="00CB191A"/>
    <w:rsid w:val="00CC0EB4"/>
    <w:rsid w:val="00CD224B"/>
    <w:rsid w:val="00CD2445"/>
    <w:rsid w:val="00CD3313"/>
    <w:rsid w:val="00CE261B"/>
    <w:rsid w:val="00CE2FAA"/>
    <w:rsid w:val="00CE7FBD"/>
    <w:rsid w:val="00CF3114"/>
    <w:rsid w:val="00CF595C"/>
    <w:rsid w:val="00D01900"/>
    <w:rsid w:val="00D03440"/>
    <w:rsid w:val="00D13F52"/>
    <w:rsid w:val="00D21BA5"/>
    <w:rsid w:val="00D328F1"/>
    <w:rsid w:val="00D36842"/>
    <w:rsid w:val="00D41CDC"/>
    <w:rsid w:val="00D43CB5"/>
    <w:rsid w:val="00D4760B"/>
    <w:rsid w:val="00D5311E"/>
    <w:rsid w:val="00D57E8D"/>
    <w:rsid w:val="00D60242"/>
    <w:rsid w:val="00D73ABB"/>
    <w:rsid w:val="00D746A6"/>
    <w:rsid w:val="00D76674"/>
    <w:rsid w:val="00D77F6F"/>
    <w:rsid w:val="00D96AE3"/>
    <w:rsid w:val="00DA4A1A"/>
    <w:rsid w:val="00DA67CF"/>
    <w:rsid w:val="00DB0067"/>
    <w:rsid w:val="00DB4EEE"/>
    <w:rsid w:val="00DC48B6"/>
    <w:rsid w:val="00DC6133"/>
    <w:rsid w:val="00DC7ACF"/>
    <w:rsid w:val="00DC7D93"/>
    <w:rsid w:val="00DD3F66"/>
    <w:rsid w:val="00DE4731"/>
    <w:rsid w:val="00DE5A42"/>
    <w:rsid w:val="00DF7AD7"/>
    <w:rsid w:val="00E03644"/>
    <w:rsid w:val="00E04DBB"/>
    <w:rsid w:val="00E06A39"/>
    <w:rsid w:val="00E07917"/>
    <w:rsid w:val="00E14EBC"/>
    <w:rsid w:val="00E17E93"/>
    <w:rsid w:val="00E21D6F"/>
    <w:rsid w:val="00E24767"/>
    <w:rsid w:val="00E25760"/>
    <w:rsid w:val="00E336C4"/>
    <w:rsid w:val="00E3379C"/>
    <w:rsid w:val="00E37864"/>
    <w:rsid w:val="00E401A2"/>
    <w:rsid w:val="00E40BA3"/>
    <w:rsid w:val="00E42C55"/>
    <w:rsid w:val="00E44232"/>
    <w:rsid w:val="00E45F90"/>
    <w:rsid w:val="00E576BE"/>
    <w:rsid w:val="00E6485D"/>
    <w:rsid w:val="00E67856"/>
    <w:rsid w:val="00E67EB4"/>
    <w:rsid w:val="00E812B9"/>
    <w:rsid w:val="00E831B4"/>
    <w:rsid w:val="00EA1304"/>
    <w:rsid w:val="00EB30AF"/>
    <w:rsid w:val="00EB3A57"/>
    <w:rsid w:val="00EB599F"/>
    <w:rsid w:val="00EC4E72"/>
    <w:rsid w:val="00EC5977"/>
    <w:rsid w:val="00EC7E49"/>
    <w:rsid w:val="00EE20E0"/>
    <w:rsid w:val="00F01E74"/>
    <w:rsid w:val="00F070B4"/>
    <w:rsid w:val="00F07371"/>
    <w:rsid w:val="00F10172"/>
    <w:rsid w:val="00F12700"/>
    <w:rsid w:val="00F131A3"/>
    <w:rsid w:val="00F15F4F"/>
    <w:rsid w:val="00F2177D"/>
    <w:rsid w:val="00F24598"/>
    <w:rsid w:val="00F3032E"/>
    <w:rsid w:val="00F3422A"/>
    <w:rsid w:val="00F3764E"/>
    <w:rsid w:val="00F506BF"/>
    <w:rsid w:val="00F50EFE"/>
    <w:rsid w:val="00F53150"/>
    <w:rsid w:val="00F55148"/>
    <w:rsid w:val="00F578E3"/>
    <w:rsid w:val="00F60F27"/>
    <w:rsid w:val="00F635AC"/>
    <w:rsid w:val="00F63AFD"/>
    <w:rsid w:val="00F64A2A"/>
    <w:rsid w:val="00F65505"/>
    <w:rsid w:val="00F71A7E"/>
    <w:rsid w:val="00F71A9F"/>
    <w:rsid w:val="00F7249D"/>
    <w:rsid w:val="00F74605"/>
    <w:rsid w:val="00F81F38"/>
    <w:rsid w:val="00F8205E"/>
    <w:rsid w:val="00F85130"/>
    <w:rsid w:val="00F871CF"/>
    <w:rsid w:val="00FA644D"/>
    <w:rsid w:val="00FB4984"/>
    <w:rsid w:val="00FB7563"/>
    <w:rsid w:val="00FC62BB"/>
    <w:rsid w:val="00FC768A"/>
    <w:rsid w:val="00FD2EA6"/>
    <w:rsid w:val="00FE1D1E"/>
    <w:rsid w:val="00FE2988"/>
    <w:rsid w:val="00FE2ED1"/>
    <w:rsid w:val="00FF1B8F"/>
    <w:rsid w:val="00FF27F9"/>
    <w:rsid w:val="00FF4F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17"/>
    <w:pPr>
      <w:spacing w:line="240" w:lineRule="auto"/>
    </w:pPr>
    <w:rPr>
      <w:rFonts w:asciiTheme="minorHAnsi" w:eastAsiaTheme="minorEastAsia" w:hAnsiTheme="minorHAnsi"/>
      <w:szCs w:val="24"/>
      <w:lang w:eastAsia="en-AU"/>
    </w:rPr>
  </w:style>
  <w:style w:type="paragraph" w:styleId="Heading1">
    <w:name w:val="heading 1"/>
    <w:basedOn w:val="Normal"/>
    <w:next w:val="Normal"/>
    <w:link w:val="Heading1Char"/>
    <w:uiPriority w:val="9"/>
    <w:qFormat/>
    <w:rsid w:val="00821C17"/>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821C17"/>
    <w:pPr>
      <w:outlineLvl w:val="1"/>
    </w:pPr>
    <w:rPr>
      <w:i w:val="0"/>
      <w:sz w:val="24"/>
      <w:szCs w:val="24"/>
    </w:rPr>
  </w:style>
  <w:style w:type="paragraph" w:styleId="Heading3">
    <w:name w:val="heading 3"/>
    <w:basedOn w:val="Normal"/>
    <w:next w:val="Normal"/>
    <w:link w:val="Heading3Char"/>
    <w:uiPriority w:val="9"/>
    <w:unhideWhenUsed/>
    <w:qFormat/>
    <w:rsid w:val="00821C17"/>
    <w:pPr>
      <w:spacing w:before="240"/>
      <w:outlineLvl w:val="2"/>
    </w:pPr>
    <w:rPr>
      <w:b/>
      <w:i/>
      <w:szCs w:val="28"/>
    </w:rPr>
  </w:style>
  <w:style w:type="paragraph" w:styleId="Heading4">
    <w:name w:val="heading 4"/>
    <w:basedOn w:val="Heading3"/>
    <w:next w:val="Normal"/>
    <w:link w:val="Heading4Char"/>
    <w:uiPriority w:val="9"/>
    <w:unhideWhenUsed/>
    <w:qFormat/>
    <w:rsid w:val="00821C17"/>
    <w:pPr>
      <w:outlineLvl w:val="3"/>
    </w:pPr>
    <w:rPr>
      <w:sz w:val="32"/>
      <w:szCs w:val="32"/>
    </w:rPr>
  </w:style>
  <w:style w:type="paragraph" w:styleId="Heading5">
    <w:name w:val="heading 5"/>
    <w:basedOn w:val="Normal"/>
    <w:next w:val="Normal"/>
    <w:link w:val="Heading5Char"/>
    <w:uiPriority w:val="9"/>
    <w:unhideWhenUsed/>
    <w:qFormat/>
    <w:rsid w:val="00821C17"/>
    <w:pPr>
      <w:keepNext/>
      <w:keepLines/>
      <w:spacing w:before="240"/>
      <w:outlineLvl w:val="4"/>
    </w:pPr>
    <w:rPr>
      <w:rFonts w:eastAsiaTheme="majorEastAsia" w:cstheme="majorBidi"/>
    </w:rPr>
  </w:style>
  <w:style w:type="paragraph" w:styleId="Heading6">
    <w:name w:val="heading 6"/>
    <w:basedOn w:val="Normal"/>
    <w:next w:val="Normal"/>
    <w:link w:val="Heading6Char"/>
    <w:uiPriority w:val="9"/>
    <w:unhideWhenUsed/>
    <w:qFormat/>
    <w:rsid w:val="00821C17"/>
    <w:pPr>
      <w:keepNext/>
      <w:keepLines/>
      <w:spacing w:before="200" w:after="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C17"/>
    <w:rPr>
      <w:rFonts w:asciiTheme="minorHAnsi" w:eastAsiaTheme="majorEastAsia" w:hAnsiTheme="minorHAnsi" w:cstheme="majorBidi"/>
      <w:b/>
      <w:bCs/>
      <w:sz w:val="40"/>
      <w:szCs w:val="28"/>
      <w:lang w:eastAsia="en-AU"/>
    </w:rPr>
  </w:style>
  <w:style w:type="character" w:customStyle="1" w:styleId="Heading2Char">
    <w:name w:val="Heading 2 Char"/>
    <w:basedOn w:val="DefaultParagraphFont"/>
    <w:link w:val="Heading2"/>
    <w:uiPriority w:val="9"/>
    <w:rsid w:val="00821C17"/>
    <w:rPr>
      <w:rFonts w:asciiTheme="minorHAnsi" w:eastAsiaTheme="minorEastAsia" w:hAnsiTheme="minorHAnsi"/>
      <w:b/>
      <w:szCs w:val="24"/>
      <w:lang w:eastAsia="en-AU"/>
    </w:rPr>
  </w:style>
  <w:style w:type="character" w:customStyle="1" w:styleId="Heading3Char">
    <w:name w:val="Heading 3 Char"/>
    <w:basedOn w:val="DefaultParagraphFont"/>
    <w:link w:val="Heading3"/>
    <w:uiPriority w:val="9"/>
    <w:rsid w:val="00821C17"/>
    <w:rPr>
      <w:rFonts w:asciiTheme="minorHAnsi" w:eastAsiaTheme="minorEastAsia" w:hAnsiTheme="minorHAnsi"/>
      <w:b/>
      <w:i/>
      <w:szCs w:val="28"/>
      <w:lang w:eastAsia="en-AU"/>
    </w:rPr>
  </w:style>
  <w:style w:type="character" w:customStyle="1" w:styleId="Heading4Char">
    <w:name w:val="Heading 4 Char"/>
    <w:basedOn w:val="DefaultParagraphFont"/>
    <w:link w:val="Heading4"/>
    <w:uiPriority w:val="9"/>
    <w:rsid w:val="00821C17"/>
    <w:rPr>
      <w:rFonts w:asciiTheme="minorHAnsi" w:eastAsiaTheme="minorEastAsia" w:hAnsiTheme="minorHAnsi"/>
      <w:b/>
      <w:i/>
      <w:sz w:val="32"/>
      <w:szCs w:val="32"/>
      <w:lang w:eastAsia="en-AU"/>
    </w:rPr>
  </w:style>
  <w:style w:type="character" w:customStyle="1" w:styleId="Heading5Char">
    <w:name w:val="Heading 5 Char"/>
    <w:basedOn w:val="DefaultParagraphFont"/>
    <w:link w:val="Heading5"/>
    <w:uiPriority w:val="9"/>
    <w:rsid w:val="00821C17"/>
    <w:rPr>
      <w:rFonts w:asciiTheme="minorHAnsi" w:eastAsiaTheme="majorEastAsia" w:hAnsiTheme="minorHAnsi" w:cstheme="majorBidi"/>
      <w:szCs w:val="24"/>
      <w:lang w:eastAsia="en-AU"/>
    </w:rPr>
  </w:style>
  <w:style w:type="character" w:customStyle="1" w:styleId="Heading6Char">
    <w:name w:val="Heading 6 Char"/>
    <w:basedOn w:val="DefaultParagraphFont"/>
    <w:link w:val="Heading6"/>
    <w:uiPriority w:val="9"/>
    <w:rsid w:val="00821C17"/>
    <w:rPr>
      <w:rFonts w:asciiTheme="majorHAnsi" w:eastAsiaTheme="majorEastAsia" w:hAnsiTheme="majorHAnsi" w:cstheme="majorBidi"/>
      <w:i/>
      <w:iCs/>
      <w:color w:val="243F60" w:themeColor="accent1" w:themeShade="7F"/>
      <w:sz w:val="22"/>
    </w:rPr>
  </w:style>
  <w:style w:type="paragraph" w:styleId="BalloonText">
    <w:name w:val="Balloon Text"/>
    <w:basedOn w:val="Normal"/>
    <w:link w:val="BalloonTextChar"/>
    <w:uiPriority w:val="99"/>
    <w:semiHidden/>
    <w:unhideWhenUsed/>
    <w:rsid w:val="00821C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C17"/>
    <w:rPr>
      <w:rFonts w:ascii="Tahoma" w:eastAsiaTheme="minorEastAsia" w:hAnsi="Tahoma" w:cs="Tahoma"/>
      <w:sz w:val="16"/>
      <w:szCs w:val="16"/>
      <w:lang w:eastAsia="en-AU"/>
    </w:rPr>
  </w:style>
  <w:style w:type="character" w:styleId="CommentReference">
    <w:name w:val="annotation reference"/>
    <w:basedOn w:val="DefaultParagraphFont"/>
    <w:uiPriority w:val="99"/>
    <w:semiHidden/>
    <w:unhideWhenUsed/>
    <w:rsid w:val="00821C17"/>
    <w:rPr>
      <w:sz w:val="16"/>
      <w:szCs w:val="16"/>
    </w:rPr>
  </w:style>
  <w:style w:type="paragraph" w:styleId="CommentText">
    <w:name w:val="annotation text"/>
    <w:basedOn w:val="Normal"/>
    <w:link w:val="CommentTextChar"/>
    <w:uiPriority w:val="99"/>
    <w:semiHidden/>
    <w:unhideWhenUsed/>
    <w:rsid w:val="00821C17"/>
    <w:rPr>
      <w:sz w:val="20"/>
      <w:szCs w:val="20"/>
    </w:rPr>
  </w:style>
  <w:style w:type="character" w:customStyle="1" w:styleId="CommentTextChar">
    <w:name w:val="Comment Text Char"/>
    <w:basedOn w:val="DefaultParagraphFont"/>
    <w:link w:val="CommentText"/>
    <w:uiPriority w:val="99"/>
    <w:semiHidden/>
    <w:rsid w:val="00821C17"/>
    <w:rPr>
      <w:rFonts w:asciiTheme="minorHAnsi" w:eastAsiaTheme="minorEastAsia" w:hAnsiTheme="minorHAnsi"/>
      <w:sz w:val="20"/>
      <w:szCs w:val="20"/>
      <w:lang w:eastAsia="en-AU"/>
    </w:rPr>
  </w:style>
  <w:style w:type="paragraph" w:styleId="CommentSubject">
    <w:name w:val="annotation subject"/>
    <w:basedOn w:val="CommentText"/>
    <w:next w:val="CommentText"/>
    <w:link w:val="CommentSubjectChar"/>
    <w:uiPriority w:val="99"/>
    <w:semiHidden/>
    <w:unhideWhenUsed/>
    <w:rsid w:val="00821C17"/>
    <w:rPr>
      <w:b/>
      <w:bCs/>
    </w:rPr>
  </w:style>
  <w:style w:type="character" w:customStyle="1" w:styleId="CommentSubjectChar">
    <w:name w:val="Comment Subject Char"/>
    <w:basedOn w:val="CommentTextChar"/>
    <w:link w:val="CommentSubject"/>
    <w:uiPriority w:val="99"/>
    <w:semiHidden/>
    <w:rsid w:val="00821C17"/>
    <w:rPr>
      <w:rFonts w:asciiTheme="minorHAnsi" w:eastAsiaTheme="minorEastAsia" w:hAnsiTheme="minorHAnsi"/>
      <w:b/>
      <w:bCs/>
      <w:sz w:val="20"/>
      <w:szCs w:val="20"/>
      <w:lang w:eastAsia="en-AU"/>
    </w:rPr>
  </w:style>
  <w:style w:type="paragraph" w:styleId="Title">
    <w:name w:val="Title"/>
    <w:basedOn w:val="Normal"/>
    <w:next w:val="Normal"/>
    <w:link w:val="TitleChar"/>
    <w:uiPriority w:val="10"/>
    <w:qFormat/>
    <w:rsid w:val="00821C17"/>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821C17"/>
    <w:rPr>
      <w:rFonts w:asciiTheme="minorHAnsi" w:eastAsiaTheme="majorEastAsia" w:hAnsiTheme="minorHAnsi" w:cstheme="majorBidi"/>
      <w:b/>
      <w:spacing w:val="5"/>
      <w:kern w:val="28"/>
      <w:sz w:val="52"/>
      <w:szCs w:val="52"/>
      <w:lang w:eastAsia="en-AU"/>
    </w:rPr>
  </w:style>
  <w:style w:type="paragraph" w:styleId="Footer">
    <w:name w:val="footer"/>
    <w:basedOn w:val="Normal"/>
    <w:link w:val="FooterChar"/>
    <w:uiPriority w:val="99"/>
    <w:unhideWhenUsed/>
    <w:rsid w:val="00821C17"/>
    <w:pPr>
      <w:tabs>
        <w:tab w:val="center" w:pos="4320"/>
        <w:tab w:val="right" w:pos="8640"/>
      </w:tabs>
      <w:spacing w:after="0"/>
    </w:pPr>
  </w:style>
  <w:style w:type="character" w:customStyle="1" w:styleId="FooterChar">
    <w:name w:val="Footer Char"/>
    <w:basedOn w:val="DefaultParagraphFont"/>
    <w:link w:val="Footer"/>
    <w:uiPriority w:val="99"/>
    <w:rsid w:val="00821C17"/>
    <w:rPr>
      <w:rFonts w:asciiTheme="minorHAnsi" w:eastAsiaTheme="minorEastAsia" w:hAnsiTheme="minorHAnsi"/>
      <w:szCs w:val="24"/>
      <w:lang w:eastAsia="en-AU"/>
    </w:rPr>
  </w:style>
  <w:style w:type="character" w:styleId="PageNumber">
    <w:name w:val="page number"/>
    <w:basedOn w:val="DefaultParagraphFont"/>
    <w:uiPriority w:val="99"/>
    <w:semiHidden/>
    <w:unhideWhenUsed/>
    <w:rsid w:val="00821C17"/>
  </w:style>
  <w:style w:type="paragraph" w:styleId="Header">
    <w:name w:val="header"/>
    <w:basedOn w:val="Normal"/>
    <w:link w:val="HeaderChar"/>
    <w:uiPriority w:val="99"/>
    <w:unhideWhenUsed/>
    <w:rsid w:val="00821C17"/>
    <w:pPr>
      <w:tabs>
        <w:tab w:val="center" w:pos="4320"/>
        <w:tab w:val="right" w:pos="8640"/>
      </w:tabs>
      <w:spacing w:after="0"/>
    </w:pPr>
  </w:style>
  <w:style w:type="character" w:customStyle="1" w:styleId="HeaderChar">
    <w:name w:val="Header Char"/>
    <w:basedOn w:val="DefaultParagraphFont"/>
    <w:link w:val="Header"/>
    <w:uiPriority w:val="99"/>
    <w:rsid w:val="00821C17"/>
    <w:rPr>
      <w:rFonts w:asciiTheme="minorHAnsi" w:eastAsiaTheme="minorEastAsia" w:hAnsiTheme="minorHAnsi"/>
      <w:szCs w:val="24"/>
      <w:lang w:eastAsia="en-AU"/>
    </w:rPr>
  </w:style>
  <w:style w:type="paragraph" w:styleId="DocumentMap">
    <w:name w:val="Document Map"/>
    <w:basedOn w:val="Normal"/>
    <w:link w:val="DocumentMapChar"/>
    <w:uiPriority w:val="99"/>
    <w:semiHidden/>
    <w:unhideWhenUsed/>
    <w:rsid w:val="00821C1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21C17"/>
    <w:rPr>
      <w:rFonts w:ascii="Lucida Grande" w:eastAsiaTheme="minorEastAsia" w:hAnsi="Lucida Grande" w:cs="Lucida Grande"/>
      <w:szCs w:val="24"/>
      <w:lang w:eastAsia="en-AU"/>
    </w:rPr>
  </w:style>
  <w:style w:type="table" w:styleId="TableGrid">
    <w:name w:val="Table Grid"/>
    <w:basedOn w:val="TableNormal"/>
    <w:rsid w:val="00821C17"/>
    <w:pPr>
      <w:spacing w:after="0" w:line="240" w:lineRule="auto"/>
    </w:pPr>
    <w:rPr>
      <w:rFonts w:asciiTheme="minorHAnsi" w:eastAsiaTheme="minorEastAsia" w:hAnsiTheme="minorHAnsi"/>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821C17"/>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821C17"/>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21C17"/>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821C17"/>
    <w:rPr>
      <w:rFonts w:cs="Baskerville"/>
      <w:sz w:val="20"/>
      <w:szCs w:val="20"/>
    </w:rPr>
  </w:style>
  <w:style w:type="paragraph" w:customStyle="1" w:styleId="Tabletitle">
    <w:name w:val="Table title"/>
    <w:basedOn w:val="Heading4"/>
    <w:link w:val="TabletitleChar"/>
    <w:qFormat/>
    <w:rsid w:val="00821C17"/>
    <w:pPr>
      <w:spacing w:after="20"/>
    </w:pPr>
    <w:rPr>
      <w:szCs w:val="24"/>
    </w:rPr>
  </w:style>
  <w:style w:type="paragraph" w:customStyle="1" w:styleId="Figurecaption">
    <w:name w:val="Figure caption"/>
    <w:basedOn w:val="Normal"/>
    <w:link w:val="FigurecaptionChar"/>
    <w:qFormat/>
    <w:rsid w:val="00821C17"/>
    <w:pPr>
      <w:spacing w:before="60" w:after="60"/>
    </w:pPr>
    <w:rPr>
      <w:sz w:val="20"/>
      <w:szCs w:val="20"/>
      <w:lang w:eastAsia="en-US"/>
    </w:rPr>
  </w:style>
  <w:style w:type="character" w:customStyle="1" w:styleId="FigurecaptionChar">
    <w:name w:val="Figure caption Char"/>
    <w:basedOn w:val="DefaultParagraphFont"/>
    <w:link w:val="Figurecaption"/>
    <w:rsid w:val="00821C17"/>
    <w:rPr>
      <w:rFonts w:asciiTheme="minorHAnsi" w:eastAsiaTheme="minorEastAsia" w:hAnsiTheme="minorHAnsi"/>
      <w:sz w:val="20"/>
      <w:szCs w:val="20"/>
    </w:rPr>
  </w:style>
  <w:style w:type="paragraph" w:styleId="FootnoteText">
    <w:name w:val="footnote text"/>
    <w:basedOn w:val="Normal"/>
    <w:link w:val="FootnoteTextChar"/>
    <w:uiPriority w:val="99"/>
    <w:semiHidden/>
    <w:unhideWhenUsed/>
    <w:rsid w:val="00821C17"/>
    <w:pPr>
      <w:spacing w:after="0"/>
    </w:pPr>
    <w:rPr>
      <w:sz w:val="18"/>
      <w:szCs w:val="20"/>
    </w:rPr>
  </w:style>
  <w:style w:type="character" w:customStyle="1" w:styleId="FootnoteTextChar">
    <w:name w:val="Footnote Text Char"/>
    <w:basedOn w:val="DefaultParagraphFont"/>
    <w:link w:val="FootnoteText"/>
    <w:uiPriority w:val="99"/>
    <w:semiHidden/>
    <w:rsid w:val="00821C17"/>
    <w:rPr>
      <w:rFonts w:asciiTheme="minorHAnsi" w:eastAsiaTheme="minorEastAsia" w:hAnsiTheme="minorHAnsi"/>
      <w:sz w:val="18"/>
      <w:szCs w:val="20"/>
      <w:lang w:eastAsia="en-AU"/>
    </w:rPr>
  </w:style>
  <w:style w:type="character" w:styleId="FootnoteReference">
    <w:name w:val="footnote reference"/>
    <w:basedOn w:val="DefaultParagraphFont"/>
    <w:uiPriority w:val="99"/>
    <w:semiHidden/>
    <w:unhideWhenUsed/>
    <w:rsid w:val="00821C17"/>
    <w:rPr>
      <w:vertAlign w:val="superscript"/>
    </w:rPr>
  </w:style>
  <w:style w:type="character" w:customStyle="1" w:styleId="TabletitleChar">
    <w:name w:val="Table title Char"/>
    <w:basedOn w:val="Heading4Char"/>
    <w:link w:val="Tabletitle"/>
    <w:rsid w:val="00821C17"/>
    <w:rPr>
      <w:rFonts w:asciiTheme="minorHAnsi" w:eastAsiaTheme="minorEastAsia" w:hAnsiTheme="minorHAnsi"/>
      <w:b/>
      <w:i/>
      <w:sz w:val="32"/>
      <w:szCs w:val="24"/>
      <w:lang w:eastAsia="en-AU"/>
    </w:rPr>
  </w:style>
  <w:style w:type="paragraph" w:customStyle="1" w:styleId="Figuretitle">
    <w:name w:val="Figure title"/>
    <w:basedOn w:val="Tabletitle"/>
    <w:link w:val="FiguretitleChar"/>
    <w:qFormat/>
    <w:rsid w:val="00821C17"/>
    <w:pPr>
      <w:spacing w:before="60" w:after="60"/>
    </w:pPr>
    <w:rPr>
      <w:i w:val="0"/>
      <w:lang w:val="en-US"/>
    </w:rPr>
  </w:style>
  <w:style w:type="character" w:customStyle="1" w:styleId="FiguretitleChar">
    <w:name w:val="Figure title Char"/>
    <w:basedOn w:val="TabletitleChar"/>
    <w:link w:val="Figuretitle"/>
    <w:rsid w:val="00821C17"/>
    <w:rPr>
      <w:rFonts w:asciiTheme="minorHAnsi" w:eastAsiaTheme="minorEastAsia" w:hAnsiTheme="minorHAnsi"/>
      <w:b/>
      <w:i w:val="0"/>
      <w:sz w:val="32"/>
      <w:szCs w:val="24"/>
      <w:lang w:val="en-US" w:eastAsia="en-AU"/>
    </w:rPr>
  </w:style>
  <w:style w:type="paragraph" w:styleId="NoSpacing">
    <w:name w:val="No Spacing"/>
    <w:uiPriority w:val="1"/>
    <w:qFormat/>
    <w:rsid w:val="00821C17"/>
    <w:pPr>
      <w:spacing w:after="0" w:line="240" w:lineRule="auto"/>
    </w:pPr>
    <w:rPr>
      <w:rFonts w:asciiTheme="minorHAnsi" w:eastAsiaTheme="minorEastAsia" w:hAnsiTheme="minorHAnsi"/>
      <w:szCs w:val="24"/>
      <w:lang w:eastAsia="en-AU"/>
    </w:rPr>
  </w:style>
  <w:style w:type="paragraph" w:styleId="ListParagraph">
    <w:name w:val="List Paragraph"/>
    <w:basedOn w:val="Normal"/>
    <w:uiPriority w:val="34"/>
    <w:qFormat/>
    <w:rsid w:val="00821C17"/>
    <w:pPr>
      <w:ind w:left="720"/>
      <w:contextualSpacing/>
    </w:pPr>
  </w:style>
  <w:style w:type="character" w:styleId="Hyperlink">
    <w:name w:val="Hyperlink"/>
    <w:basedOn w:val="DefaultParagraphFont"/>
    <w:uiPriority w:val="99"/>
    <w:unhideWhenUsed/>
    <w:rsid w:val="00821C17"/>
    <w:rPr>
      <w:color w:val="0000FF" w:themeColor="hyperlink"/>
      <w:u w:val="single"/>
    </w:rPr>
  </w:style>
  <w:style w:type="character" w:styleId="FollowedHyperlink">
    <w:name w:val="FollowedHyperlink"/>
    <w:basedOn w:val="DefaultParagraphFont"/>
    <w:uiPriority w:val="99"/>
    <w:semiHidden/>
    <w:unhideWhenUsed/>
    <w:rsid w:val="00821C17"/>
    <w:rPr>
      <w:color w:val="800080" w:themeColor="followedHyperlink"/>
      <w:u w:val="single"/>
    </w:rPr>
  </w:style>
  <w:style w:type="paragraph" w:customStyle="1" w:styleId="Table-bodytext">
    <w:name w:val="Table - body text"/>
    <w:basedOn w:val="Normal"/>
    <w:link w:val="Table-bodytextChar"/>
    <w:rsid w:val="00821C17"/>
    <w:pPr>
      <w:spacing w:after="0"/>
      <w:jc w:val="center"/>
    </w:pPr>
    <w:rPr>
      <w:rFonts w:ascii="Times New Roman" w:eastAsia="Times New Roman" w:hAnsi="Times New Roman" w:cs="Arial"/>
      <w:sz w:val="20"/>
      <w:lang w:eastAsia="en-US"/>
    </w:rPr>
  </w:style>
  <w:style w:type="character" w:customStyle="1" w:styleId="Table-bodytextChar">
    <w:name w:val="Table - body text Char"/>
    <w:basedOn w:val="DefaultParagraphFont"/>
    <w:link w:val="Table-bodytext"/>
    <w:rsid w:val="00821C17"/>
    <w:rPr>
      <w:rFonts w:eastAsia="Times New Roman" w:cs="Arial"/>
      <w:sz w:val="20"/>
      <w:szCs w:val="24"/>
    </w:rPr>
  </w:style>
  <w:style w:type="paragraph" w:customStyle="1" w:styleId="Table-columnheadings">
    <w:name w:val="Table - column headings"/>
    <w:basedOn w:val="Table-bodytext"/>
    <w:rsid w:val="00821C17"/>
    <w:pPr>
      <w:keepNext/>
    </w:pPr>
    <w:rPr>
      <w:b/>
      <w:bCs/>
    </w:rPr>
  </w:style>
  <w:style w:type="paragraph" w:customStyle="1" w:styleId="Tabletext">
    <w:name w:val="Tabletext"/>
    <w:basedOn w:val="Normal"/>
    <w:rsid w:val="00821C17"/>
    <w:pPr>
      <w:spacing w:after="0"/>
    </w:pPr>
    <w:rPr>
      <w:rFonts w:ascii="Times New Roman" w:eastAsia="Times New Roman" w:hAnsi="Times New Roman" w:cs="Times New Roman"/>
      <w:sz w:val="20"/>
      <w:lang w:eastAsia="en-US"/>
    </w:rPr>
  </w:style>
  <w:style w:type="character" w:customStyle="1" w:styleId="apple-converted-space">
    <w:name w:val="apple-converted-space"/>
    <w:basedOn w:val="DefaultParagraphFont"/>
    <w:rsid w:val="00821C17"/>
  </w:style>
  <w:style w:type="character" w:customStyle="1" w:styleId="ref-journal">
    <w:name w:val="ref-journal"/>
    <w:basedOn w:val="DefaultParagraphFont"/>
    <w:rsid w:val="00821C17"/>
  </w:style>
  <w:style w:type="character" w:customStyle="1" w:styleId="ref-vol">
    <w:name w:val="ref-vol"/>
    <w:basedOn w:val="DefaultParagraphFont"/>
    <w:rsid w:val="00821C17"/>
  </w:style>
  <w:style w:type="paragraph" w:styleId="NormalWeb">
    <w:name w:val="Normal (Web)"/>
    <w:basedOn w:val="Normal"/>
    <w:uiPriority w:val="99"/>
    <w:semiHidden/>
    <w:unhideWhenUsed/>
    <w:rsid w:val="00821C17"/>
    <w:pPr>
      <w:spacing w:before="100" w:beforeAutospacing="1" w:after="100" w:afterAutospacing="1"/>
    </w:pPr>
    <w:rPr>
      <w:rFonts w:ascii="Times New Roman" w:eastAsiaTheme="minorHAnsi" w:hAnsi="Times New Roman" w:cs="Times New Roman"/>
    </w:rPr>
  </w:style>
  <w:style w:type="character" w:styleId="PlaceholderText">
    <w:name w:val="Placeholder Text"/>
    <w:basedOn w:val="DefaultParagraphFont"/>
    <w:uiPriority w:val="99"/>
    <w:semiHidden/>
    <w:rsid w:val="001E4637"/>
    <w:rPr>
      <w:color w:val="808080"/>
    </w:rPr>
  </w:style>
  <w:style w:type="paragraph" w:customStyle="1" w:styleId="TableText0">
    <w:name w:val="Table Text"/>
    <w:basedOn w:val="Normal"/>
    <w:uiPriority w:val="99"/>
    <w:rsid w:val="00125BF6"/>
    <w:pPr>
      <w:spacing w:before="60" w:after="60"/>
    </w:pPr>
    <w:rPr>
      <w:rFonts w:ascii="Arial" w:eastAsia="Times New Roman" w:hAnsi="Arial" w:cs="Times New Roman"/>
      <w:sz w:val="18"/>
      <w:szCs w:val="20"/>
    </w:rPr>
  </w:style>
  <w:style w:type="paragraph" w:customStyle="1" w:styleId="Quote1">
    <w:name w:val="Quote1"/>
    <w:basedOn w:val="Normal"/>
    <w:autoRedefine/>
    <w:rsid w:val="008D7A27"/>
    <w:pPr>
      <w:autoSpaceDE w:val="0"/>
      <w:autoSpaceDN w:val="0"/>
      <w:adjustRightInd w:val="0"/>
      <w:spacing w:after="0"/>
      <w:ind w:left="432"/>
    </w:pPr>
    <w:rPr>
      <w:rFonts w:ascii="Times New (W1)" w:eastAsia="Times New Roman" w:hAnsi="Times New (W1)" w:cs="Times New Roman"/>
      <w:i/>
      <w:sz w:val="22"/>
      <w:lang w:val="en-US" w:eastAsia="en-US"/>
    </w:rPr>
  </w:style>
  <w:style w:type="character" w:styleId="Strong">
    <w:name w:val="Strong"/>
    <w:basedOn w:val="DefaultParagraphFont"/>
    <w:uiPriority w:val="22"/>
    <w:qFormat/>
    <w:rsid w:val="007260F5"/>
    <w:rPr>
      <w:b/>
      <w:bCs/>
    </w:rPr>
  </w:style>
  <w:style w:type="character" w:customStyle="1" w:styleId="cit">
    <w:name w:val="cit"/>
    <w:basedOn w:val="DefaultParagraphFont"/>
    <w:rsid w:val="00F55148"/>
  </w:style>
  <w:style w:type="character" w:customStyle="1" w:styleId="doi">
    <w:name w:val="doi"/>
    <w:basedOn w:val="DefaultParagraphFont"/>
    <w:rsid w:val="00F55148"/>
  </w:style>
  <w:style w:type="character" w:customStyle="1" w:styleId="fm-reuse">
    <w:name w:val="fm-reuse"/>
    <w:basedOn w:val="DefaultParagraphFont"/>
    <w:rsid w:val="00F55148"/>
  </w:style>
  <w:style w:type="paragraph" w:customStyle="1" w:styleId="contribs">
    <w:name w:val="contribs"/>
    <w:basedOn w:val="Normal"/>
    <w:rsid w:val="00F55148"/>
    <w:pPr>
      <w:spacing w:before="100" w:beforeAutospacing="1" w:after="100" w:afterAutospacing="1"/>
    </w:pPr>
    <w:rPr>
      <w:rFonts w:ascii="Times New Roman" w:eastAsia="Times New Roman" w:hAnsi="Times New Roman" w:cs="Times New Roman"/>
    </w:rPr>
  </w:style>
  <w:style w:type="character" w:customStyle="1" w:styleId="fm-role">
    <w:name w:val="fm-role"/>
    <w:basedOn w:val="DefaultParagraphFont"/>
    <w:rsid w:val="00F55148"/>
  </w:style>
  <w:style w:type="paragraph" w:customStyle="1" w:styleId="fm-aai">
    <w:name w:val="fm-aai"/>
    <w:basedOn w:val="Normal"/>
    <w:rsid w:val="00F55148"/>
    <w:pPr>
      <w:spacing w:before="100" w:beforeAutospacing="1" w:after="100" w:afterAutospacing="1"/>
    </w:pPr>
    <w:rPr>
      <w:rFonts w:ascii="Times New Roman" w:eastAsia="Times New Roman" w:hAnsi="Times New Roman" w:cs="Times New Roman"/>
    </w:rPr>
  </w:style>
  <w:style w:type="paragraph" w:customStyle="1" w:styleId="p">
    <w:name w:val="p"/>
    <w:basedOn w:val="Normal"/>
    <w:rsid w:val="00F55148"/>
    <w:pPr>
      <w:spacing w:before="100" w:beforeAutospacing="1" w:after="100" w:afterAutospacing="1"/>
    </w:pPr>
    <w:rPr>
      <w:rFonts w:ascii="Times New Roman" w:eastAsia="Times New Roman" w:hAnsi="Times New Roman" w:cs="Times New Roman"/>
    </w:rPr>
  </w:style>
  <w:style w:type="character" w:customStyle="1" w:styleId="kwd-text">
    <w:name w:val="kwd-text"/>
    <w:basedOn w:val="DefaultParagraphFont"/>
    <w:rsid w:val="00F55148"/>
  </w:style>
  <w:style w:type="character" w:customStyle="1" w:styleId="underline">
    <w:name w:val="underline"/>
    <w:basedOn w:val="DefaultParagraphFont"/>
    <w:rsid w:val="00F55148"/>
  </w:style>
  <w:style w:type="character" w:styleId="Emphasis">
    <w:name w:val="Emphasis"/>
    <w:basedOn w:val="DefaultParagraphFont"/>
    <w:uiPriority w:val="20"/>
    <w:qFormat/>
    <w:rsid w:val="00F55148"/>
    <w:rPr>
      <w:i/>
      <w:iCs/>
    </w:rPr>
  </w:style>
  <w:style w:type="character" w:customStyle="1" w:styleId="figpopup-sensitive-area">
    <w:name w:val="figpopup-sensitive-area"/>
    <w:basedOn w:val="DefaultParagraphFont"/>
    <w:rsid w:val="00F55148"/>
  </w:style>
  <w:style w:type="paragraph" w:customStyle="1" w:styleId="fn">
    <w:name w:val="fn"/>
    <w:basedOn w:val="Normal"/>
    <w:rsid w:val="00F55148"/>
    <w:pPr>
      <w:spacing w:before="100" w:beforeAutospacing="1" w:after="100" w:afterAutospacing="1"/>
    </w:pPr>
    <w:rPr>
      <w:rFonts w:ascii="Times New Roman" w:eastAsia="Times New Roman" w:hAnsi="Times New Roman" w:cs="Times New Roman"/>
    </w:rPr>
  </w:style>
  <w:style w:type="character" w:customStyle="1" w:styleId="fm-affl">
    <w:name w:val="fm-affl"/>
    <w:basedOn w:val="DefaultParagraphFont"/>
    <w:rsid w:val="00F55148"/>
  </w:style>
  <w:style w:type="character" w:customStyle="1" w:styleId="fm-citation-ids-label">
    <w:name w:val="fm-citation-ids-label"/>
    <w:basedOn w:val="DefaultParagraphFont"/>
    <w:rsid w:val="00F55148"/>
  </w:style>
  <w:style w:type="character" w:customStyle="1" w:styleId="contrib-email">
    <w:name w:val="contrib-email"/>
    <w:basedOn w:val="DefaultParagraphFont"/>
    <w:rsid w:val="00F55148"/>
  </w:style>
  <w:style w:type="character" w:customStyle="1" w:styleId="element-citation">
    <w:name w:val="element-citation"/>
    <w:basedOn w:val="DefaultParagraphFont"/>
    <w:rsid w:val="00F55148"/>
  </w:style>
  <w:style w:type="character" w:customStyle="1" w:styleId="nowrap">
    <w:name w:val="nowrap"/>
    <w:basedOn w:val="DefaultParagraphFont"/>
    <w:rsid w:val="00F55148"/>
  </w:style>
  <w:style w:type="paragraph" w:styleId="EndnoteText">
    <w:name w:val="endnote text"/>
    <w:basedOn w:val="Normal"/>
    <w:link w:val="EndnoteTextChar"/>
    <w:uiPriority w:val="99"/>
    <w:semiHidden/>
    <w:unhideWhenUsed/>
    <w:rsid w:val="00C2756C"/>
    <w:pPr>
      <w:spacing w:after="0"/>
    </w:pPr>
    <w:rPr>
      <w:sz w:val="20"/>
      <w:szCs w:val="20"/>
    </w:rPr>
  </w:style>
  <w:style w:type="character" w:customStyle="1" w:styleId="EndnoteTextChar">
    <w:name w:val="Endnote Text Char"/>
    <w:basedOn w:val="DefaultParagraphFont"/>
    <w:link w:val="EndnoteText"/>
    <w:uiPriority w:val="99"/>
    <w:semiHidden/>
    <w:rsid w:val="00C2756C"/>
    <w:rPr>
      <w:rFonts w:asciiTheme="minorHAnsi" w:eastAsiaTheme="minorEastAsia" w:hAnsiTheme="minorHAnsi"/>
      <w:sz w:val="20"/>
      <w:szCs w:val="20"/>
      <w:lang w:eastAsia="en-AU"/>
    </w:rPr>
  </w:style>
  <w:style w:type="character" w:styleId="EndnoteReference">
    <w:name w:val="endnote reference"/>
    <w:basedOn w:val="DefaultParagraphFont"/>
    <w:uiPriority w:val="99"/>
    <w:semiHidden/>
    <w:unhideWhenUsed/>
    <w:rsid w:val="00C2756C"/>
    <w:rPr>
      <w:vertAlign w:val="superscript"/>
    </w:rPr>
  </w:style>
  <w:style w:type="character" w:customStyle="1" w:styleId="ColorfulList-Accent1Char1">
    <w:name w:val="Colorful List - Accent 1 Char1"/>
    <w:aliases w:val="Footnote Char,BulletPoints Char"/>
    <w:link w:val="ColorfulList-Accent1"/>
    <w:uiPriority w:val="34"/>
    <w:rsid w:val="00353C6F"/>
    <w:rPr>
      <w:rFonts w:ascii="Calibri" w:hAnsi="Calibri" w:cs="Calibri"/>
      <w:sz w:val="22"/>
      <w:szCs w:val="22"/>
      <w:lang w:eastAsia="en-US"/>
    </w:rPr>
  </w:style>
  <w:style w:type="table" w:styleId="ColorfulList-Accent1">
    <w:name w:val="Colorful List Accent 1"/>
    <w:basedOn w:val="TableNormal"/>
    <w:link w:val="ColorfulList-Accent1Char1"/>
    <w:uiPriority w:val="34"/>
    <w:rsid w:val="00353C6F"/>
    <w:pPr>
      <w:spacing w:after="0" w:line="240" w:lineRule="auto"/>
    </w:pPr>
    <w:rPr>
      <w:rFonts w:ascii="Calibri" w:hAnsi="Calibri" w:cs="Calibri"/>
      <w:sz w:val="22"/>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17"/>
    <w:pPr>
      <w:spacing w:line="240" w:lineRule="auto"/>
    </w:pPr>
    <w:rPr>
      <w:rFonts w:asciiTheme="minorHAnsi" w:eastAsiaTheme="minorEastAsia" w:hAnsiTheme="minorHAnsi"/>
      <w:szCs w:val="24"/>
      <w:lang w:eastAsia="en-AU"/>
    </w:rPr>
  </w:style>
  <w:style w:type="paragraph" w:styleId="Heading1">
    <w:name w:val="heading 1"/>
    <w:basedOn w:val="Normal"/>
    <w:next w:val="Normal"/>
    <w:link w:val="Heading1Char"/>
    <w:uiPriority w:val="9"/>
    <w:qFormat/>
    <w:rsid w:val="00821C17"/>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821C17"/>
    <w:pPr>
      <w:outlineLvl w:val="1"/>
    </w:pPr>
    <w:rPr>
      <w:i w:val="0"/>
      <w:sz w:val="24"/>
      <w:szCs w:val="24"/>
    </w:rPr>
  </w:style>
  <w:style w:type="paragraph" w:styleId="Heading3">
    <w:name w:val="heading 3"/>
    <w:basedOn w:val="Normal"/>
    <w:next w:val="Normal"/>
    <w:link w:val="Heading3Char"/>
    <w:uiPriority w:val="9"/>
    <w:unhideWhenUsed/>
    <w:qFormat/>
    <w:rsid w:val="00821C17"/>
    <w:pPr>
      <w:spacing w:before="240"/>
      <w:outlineLvl w:val="2"/>
    </w:pPr>
    <w:rPr>
      <w:b/>
      <w:i/>
      <w:szCs w:val="28"/>
    </w:rPr>
  </w:style>
  <w:style w:type="paragraph" w:styleId="Heading4">
    <w:name w:val="heading 4"/>
    <w:basedOn w:val="Heading3"/>
    <w:next w:val="Normal"/>
    <w:link w:val="Heading4Char"/>
    <w:uiPriority w:val="9"/>
    <w:unhideWhenUsed/>
    <w:qFormat/>
    <w:rsid w:val="00821C17"/>
    <w:pPr>
      <w:outlineLvl w:val="3"/>
    </w:pPr>
    <w:rPr>
      <w:sz w:val="32"/>
      <w:szCs w:val="32"/>
    </w:rPr>
  </w:style>
  <w:style w:type="paragraph" w:styleId="Heading5">
    <w:name w:val="heading 5"/>
    <w:basedOn w:val="Normal"/>
    <w:next w:val="Normal"/>
    <w:link w:val="Heading5Char"/>
    <w:uiPriority w:val="9"/>
    <w:unhideWhenUsed/>
    <w:qFormat/>
    <w:rsid w:val="00821C17"/>
    <w:pPr>
      <w:keepNext/>
      <w:keepLines/>
      <w:spacing w:before="240"/>
      <w:outlineLvl w:val="4"/>
    </w:pPr>
    <w:rPr>
      <w:rFonts w:eastAsiaTheme="majorEastAsia" w:cstheme="majorBidi"/>
    </w:rPr>
  </w:style>
  <w:style w:type="paragraph" w:styleId="Heading6">
    <w:name w:val="heading 6"/>
    <w:basedOn w:val="Normal"/>
    <w:next w:val="Normal"/>
    <w:link w:val="Heading6Char"/>
    <w:uiPriority w:val="9"/>
    <w:unhideWhenUsed/>
    <w:qFormat/>
    <w:rsid w:val="00821C17"/>
    <w:pPr>
      <w:keepNext/>
      <w:keepLines/>
      <w:spacing w:before="200" w:after="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C17"/>
    <w:rPr>
      <w:rFonts w:asciiTheme="minorHAnsi" w:eastAsiaTheme="majorEastAsia" w:hAnsiTheme="minorHAnsi" w:cstheme="majorBidi"/>
      <w:b/>
      <w:bCs/>
      <w:sz w:val="40"/>
      <w:szCs w:val="28"/>
      <w:lang w:eastAsia="en-AU"/>
    </w:rPr>
  </w:style>
  <w:style w:type="character" w:customStyle="1" w:styleId="Heading2Char">
    <w:name w:val="Heading 2 Char"/>
    <w:basedOn w:val="DefaultParagraphFont"/>
    <w:link w:val="Heading2"/>
    <w:uiPriority w:val="9"/>
    <w:rsid w:val="00821C17"/>
    <w:rPr>
      <w:rFonts w:asciiTheme="minorHAnsi" w:eastAsiaTheme="minorEastAsia" w:hAnsiTheme="minorHAnsi"/>
      <w:b/>
      <w:szCs w:val="24"/>
      <w:lang w:eastAsia="en-AU"/>
    </w:rPr>
  </w:style>
  <w:style w:type="character" w:customStyle="1" w:styleId="Heading3Char">
    <w:name w:val="Heading 3 Char"/>
    <w:basedOn w:val="DefaultParagraphFont"/>
    <w:link w:val="Heading3"/>
    <w:uiPriority w:val="9"/>
    <w:rsid w:val="00821C17"/>
    <w:rPr>
      <w:rFonts w:asciiTheme="minorHAnsi" w:eastAsiaTheme="minorEastAsia" w:hAnsiTheme="minorHAnsi"/>
      <w:b/>
      <w:i/>
      <w:szCs w:val="28"/>
      <w:lang w:eastAsia="en-AU"/>
    </w:rPr>
  </w:style>
  <w:style w:type="character" w:customStyle="1" w:styleId="Heading4Char">
    <w:name w:val="Heading 4 Char"/>
    <w:basedOn w:val="DefaultParagraphFont"/>
    <w:link w:val="Heading4"/>
    <w:uiPriority w:val="9"/>
    <w:rsid w:val="00821C17"/>
    <w:rPr>
      <w:rFonts w:asciiTheme="minorHAnsi" w:eastAsiaTheme="minorEastAsia" w:hAnsiTheme="minorHAnsi"/>
      <w:b/>
      <w:i/>
      <w:sz w:val="32"/>
      <w:szCs w:val="32"/>
      <w:lang w:eastAsia="en-AU"/>
    </w:rPr>
  </w:style>
  <w:style w:type="character" w:customStyle="1" w:styleId="Heading5Char">
    <w:name w:val="Heading 5 Char"/>
    <w:basedOn w:val="DefaultParagraphFont"/>
    <w:link w:val="Heading5"/>
    <w:uiPriority w:val="9"/>
    <w:rsid w:val="00821C17"/>
    <w:rPr>
      <w:rFonts w:asciiTheme="minorHAnsi" w:eastAsiaTheme="majorEastAsia" w:hAnsiTheme="minorHAnsi" w:cstheme="majorBidi"/>
      <w:szCs w:val="24"/>
      <w:lang w:eastAsia="en-AU"/>
    </w:rPr>
  </w:style>
  <w:style w:type="character" w:customStyle="1" w:styleId="Heading6Char">
    <w:name w:val="Heading 6 Char"/>
    <w:basedOn w:val="DefaultParagraphFont"/>
    <w:link w:val="Heading6"/>
    <w:uiPriority w:val="9"/>
    <w:rsid w:val="00821C17"/>
    <w:rPr>
      <w:rFonts w:asciiTheme="majorHAnsi" w:eastAsiaTheme="majorEastAsia" w:hAnsiTheme="majorHAnsi" w:cstheme="majorBidi"/>
      <w:i/>
      <w:iCs/>
      <w:color w:val="243F60" w:themeColor="accent1" w:themeShade="7F"/>
      <w:sz w:val="22"/>
    </w:rPr>
  </w:style>
  <w:style w:type="paragraph" w:styleId="BalloonText">
    <w:name w:val="Balloon Text"/>
    <w:basedOn w:val="Normal"/>
    <w:link w:val="BalloonTextChar"/>
    <w:uiPriority w:val="99"/>
    <w:semiHidden/>
    <w:unhideWhenUsed/>
    <w:rsid w:val="00821C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C17"/>
    <w:rPr>
      <w:rFonts w:ascii="Tahoma" w:eastAsiaTheme="minorEastAsia" w:hAnsi="Tahoma" w:cs="Tahoma"/>
      <w:sz w:val="16"/>
      <w:szCs w:val="16"/>
      <w:lang w:eastAsia="en-AU"/>
    </w:rPr>
  </w:style>
  <w:style w:type="character" w:styleId="CommentReference">
    <w:name w:val="annotation reference"/>
    <w:basedOn w:val="DefaultParagraphFont"/>
    <w:uiPriority w:val="99"/>
    <w:semiHidden/>
    <w:unhideWhenUsed/>
    <w:rsid w:val="00821C17"/>
    <w:rPr>
      <w:sz w:val="16"/>
      <w:szCs w:val="16"/>
    </w:rPr>
  </w:style>
  <w:style w:type="paragraph" w:styleId="CommentText">
    <w:name w:val="annotation text"/>
    <w:basedOn w:val="Normal"/>
    <w:link w:val="CommentTextChar"/>
    <w:uiPriority w:val="99"/>
    <w:semiHidden/>
    <w:unhideWhenUsed/>
    <w:rsid w:val="00821C17"/>
    <w:rPr>
      <w:sz w:val="20"/>
      <w:szCs w:val="20"/>
    </w:rPr>
  </w:style>
  <w:style w:type="character" w:customStyle="1" w:styleId="CommentTextChar">
    <w:name w:val="Comment Text Char"/>
    <w:basedOn w:val="DefaultParagraphFont"/>
    <w:link w:val="CommentText"/>
    <w:uiPriority w:val="99"/>
    <w:semiHidden/>
    <w:rsid w:val="00821C17"/>
    <w:rPr>
      <w:rFonts w:asciiTheme="minorHAnsi" w:eastAsiaTheme="minorEastAsia" w:hAnsiTheme="minorHAnsi"/>
      <w:sz w:val="20"/>
      <w:szCs w:val="20"/>
      <w:lang w:eastAsia="en-AU"/>
    </w:rPr>
  </w:style>
  <w:style w:type="paragraph" w:styleId="CommentSubject">
    <w:name w:val="annotation subject"/>
    <w:basedOn w:val="CommentText"/>
    <w:next w:val="CommentText"/>
    <w:link w:val="CommentSubjectChar"/>
    <w:uiPriority w:val="99"/>
    <w:semiHidden/>
    <w:unhideWhenUsed/>
    <w:rsid w:val="00821C17"/>
    <w:rPr>
      <w:b/>
      <w:bCs/>
    </w:rPr>
  </w:style>
  <w:style w:type="character" w:customStyle="1" w:styleId="CommentSubjectChar">
    <w:name w:val="Comment Subject Char"/>
    <w:basedOn w:val="CommentTextChar"/>
    <w:link w:val="CommentSubject"/>
    <w:uiPriority w:val="99"/>
    <w:semiHidden/>
    <w:rsid w:val="00821C17"/>
    <w:rPr>
      <w:rFonts w:asciiTheme="minorHAnsi" w:eastAsiaTheme="minorEastAsia" w:hAnsiTheme="minorHAnsi"/>
      <w:b/>
      <w:bCs/>
      <w:sz w:val="20"/>
      <w:szCs w:val="20"/>
      <w:lang w:eastAsia="en-AU"/>
    </w:rPr>
  </w:style>
  <w:style w:type="paragraph" w:styleId="Title">
    <w:name w:val="Title"/>
    <w:basedOn w:val="Normal"/>
    <w:next w:val="Normal"/>
    <w:link w:val="TitleChar"/>
    <w:uiPriority w:val="10"/>
    <w:qFormat/>
    <w:rsid w:val="00821C17"/>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821C17"/>
    <w:rPr>
      <w:rFonts w:asciiTheme="minorHAnsi" w:eastAsiaTheme="majorEastAsia" w:hAnsiTheme="minorHAnsi" w:cstheme="majorBidi"/>
      <w:b/>
      <w:spacing w:val="5"/>
      <w:kern w:val="28"/>
      <w:sz w:val="52"/>
      <w:szCs w:val="52"/>
      <w:lang w:eastAsia="en-AU"/>
    </w:rPr>
  </w:style>
  <w:style w:type="paragraph" w:styleId="Footer">
    <w:name w:val="footer"/>
    <w:basedOn w:val="Normal"/>
    <w:link w:val="FooterChar"/>
    <w:uiPriority w:val="99"/>
    <w:unhideWhenUsed/>
    <w:rsid w:val="00821C17"/>
    <w:pPr>
      <w:tabs>
        <w:tab w:val="center" w:pos="4320"/>
        <w:tab w:val="right" w:pos="8640"/>
      </w:tabs>
      <w:spacing w:after="0"/>
    </w:pPr>
  </w:style>
  <w:style w:type="character" w:customStyle="1" w:styleId="FooterChar">
    <w:name w:val="Footer Char"/>
    <w:basedOn w:val="DefaultParagraphFont"/>
    <w:link w:val="Footer"/>
    <w:uiPriority w:val="99"/>
    <w:rsid w:val="00821C17"/>
    <w:rPr>
      <w:rFonts w:asciiTheme="minorHAnsi" w:eastAsiaTheme="minorEastAsia" w:hAnsiTheme="minorHAnsi"/>
      <w:szCs w:val="24"/>
      <w:lang w:eastAsia="en-AU"/>
    </w:rPr>
  </w:style>
  <w:style w:type="character" w:styleId="PageNumber">
    <w:name w:val="page number"/>
    <w:basedOn w:val="DefaultParagraphFont"/>
    <w:uiPriority w:val="99"/>
    <w:semiHidden/>
    <w:unhideWhenUsed/>
    <w:rsid w:val="00821C17"/>
  </w:style>
  <w:style w:type="paragraph" w:styleId="Header">
    <w:name w:val="header"/>
    <w:basedOn w:val="Normal"/>
    <w:link w:val="HeaderChar"/>
    <w:uiPriority w:val="99"/>
    <w:unhideWhenUsed/>
    <w:rsid w:val="00821C17"/>
    <w:pPr>
      <w:tabs>
        <w:tab w:val="center" w:pos="4320"/>
        <w:tab w:val="right" w:pos="8640"/>
      </w:tabs>
      <w:spacing w:after="0"/>
    </w:pPr>
  </w:style>
  <w:style w:type="character" w:customStyle="1" w:styleId="HeaderChar">
    <w:name w:val="Header Char"/>
    <w:basedOn w:val="DefaultParagraphFont"/>
    <w:link w:val="Header"/>
    <w:uiPriority w:val="99"/>
    <w:rsid w:val="00821C17"/>
    <w:rPr>
      <w:rFonts w:asciiTheme="minorHAnsi" w:eastAsiaTheme="minorEastAsia" w:hAnsiTheme="minorHAnsi"/>
      <w:szCs w:val="24"/>
      <w:lang w:eastAsia="en-AU"/>
    </w:rPr>
  </w:style>
  <w:style w:type="paragraph" w:styleId="DocumentMap">
    <w:name w:val="Document Map"/>
    <w:basedOn w:val="Normal"/>
    <w:link w:val="DocumentMapChar"/>
    <w:uiPriority w:val="99"/>
    <w:semiHidden/>
    <w:unhideWhenUsed/>
    <w:rsid w:val="00821C1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21C17"/>
    <w:rPr>
      <w:rFonts w:ascii="Lucida Grande" w:eastAsiaTheme="minorEastAsia" w:hAnsi="Lucida Grande" w:cs="Lucida Grande"/>
      <w:szCs w:val="24"/>
      <w:lang w:eastAsia="en-AU"/>
    </w:rPr>
  </w:style>
  <w:style w:type="table" w:styleId="TableGrid">
    <w:name w:val="Table Grid"/>
    <w:basedOn w:val="TableNormal"/>
    <w:rsid w:val="00821C17"/>
    <w:pPr>
      <w:spacing w:after="0" w:line="240" w:lineRule="auto"/>
    </w:pPr>
    <w:rPr>
      <w:rFonts w:asciiTheme="minorHAnsi" w:eastAsiaTheme="minorEastAsia" w:hAnsiTheme="minorHAnsi"/>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821C17"/>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821C17"/>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21C17"/>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821C17"/>
    <w:rPr>
      <w:rFonts w:cs="Baskerville"/>
      <w:sz w:val="20"/>
      <w:szCs w:val="20"/>
    </w:rPr>
  </w:style>
  <w:style w:type="paragraph" w:customStyle="1" w:styleId="Tabletitle">
    <w:name w:val="Table title"/>
    <w:basedOn w:val="Heading4"/>
    <w:link w:val="TabletitleChar"/>
    <w:qFormat/>
    <w:rsid w:val="00821C17"/>
    <w:pPr>
      <w:spacing w:after="20"/>
    </w:pPr>
    <w:rPr>
      <w:szCs w:val="24"/>
    </w:rPr>
  </w:style>
  <w:style w:type="paragraph" w:customStyle="1" w:styleId="Figurecaption">
    <w:name w:val="Figure caption"/>
    <w:basedOn w:val="Normal"/>
    <w:link w:val="FigurecaptionChar"/>
    <w:qFormat/>
    <w:rsid w:val="00821C17"/>
    <w:pPr>
      <w:spacing w:before="60" w:after="60"/>
    </w:pPr>
    <w:rPr>
      <w:sz w:val="20"/>
      <w:szCs w:val="20"/>
      <w:lang w:eastAsia="en-US"/>
    </w:rPr>
  </w:style>
  <w:style w:type="character" w:customStyle="1" w:styleId="FigurecaptionChar">
    <w:name w:val="Figure caption Char"/>
    <w:basedOn w:val="DefaultParagraphFont"/>
    <w:link w:val="Figurecaption"/>
    <w:rsid w:val="00821C17"/>
    <w:rPr>
      <w:rFonts w:asciiTheme="minorHAnsi" w:eastAsiaTheme="minorEastAsia" w:hAnsiTheme="minorHAnsi"/>
      <w:sz w:val="20"/>
      <w:szCs w:val="20"/>
    </w:rPr>
  </w:style>
  <w:style w:type="paragraph" w:styleId="FootnoteText">
    <w:name w:val="footnote text"/>
    <w:basedOn w:val="Normal"/>
    <w:link w:val="FootnoteTextChar"/>
    <w:uiPriority w:val="99"/>
    <w:semiHidden/>
    <w:unhideWhenUsed/>
    <w:rsid w:val="00821C17"/>
    <w:pPr>
      <w:spacing w:after="0"/>
    </w:pPr>
    <w:rPr>
      <w:sz w:val="18"/>
      <w:szCs w:val="20"/>
    </w:rPr>
  </w:style>
  <w:style w:type="character" w:customStyle="1" w:styleId="FootnoteTextChar">
    <w:name w:val="Footnote Text Char"/>
    <w:basedOn w:val="DefaultParagraphFont"/>
    <w:link w:val="FootnoteText"/>
    <w:uiPriority w:val="99"/>
    <w:semiHidden/>
    <w:rsid w:val="00821C17"/>
    <w:rPr>
      <w:rFonts w:asciiTheme="minorHAnsi" w:eastAsiaTheme="minorEastAsia" w:hAnsiTheme="minorHAnsi"/>
      <w:sz w:val="18"/>
      <w:szCs w:val="20"/>
      <w:lang w:eastAsia="en-AU"/>
    </w:rPr>
  </w:style>
  <w:style w:type="character" w:styleId="FootnoteReference">
    <w:name w:val="footnote reference"/>
    <w:basedOn w:val="DefaultParagraphFont"/>
    <w:uiPriority w:val="99"/>
    <w:semiHidden/>
    <w:unhideWhenUsed/>
    <w:rsid w:val="00821C17"/>
    <w:rPr>
      <w:vertAlign w:val="superscript"/>
    </w:rPr>
  </w:style>
  <w:style w:type="character" w:customStyle="1" w:styleId="TabletitleChar">
    <w:name w:val="Table title Char"/>
    <w:basedOn w:val="Heading4Char"/>
    <w:link w:val="Tabletitle"/>
    <w:rsid w:val="00821C17"/>
    <w:rPr>
      <w:rFonts w:asciiTheme="minorHAnsi" w:eastAsiaTheme="minorEastAsia" w:hAnsiTheme="minorHAnsi"/>
      <w:b/>
      <w:i/>
      <w:sz w:val="32"/>
      <w:szCs w:val="24"/>
      <w:lang w:eastAsia="en-AU"/>
    </w:rPr>
  </w:style>
  <w:style w:type="paragraph" w:customStyle="1" w:styleId="Figuretitle">
    <w:name w:val="Figure title"/>
    <w:basedOn w:val="Tabletitle"/>
    <w:link w:val="FiguretitleChar"/>
    <w:qFormat/>
    <w:rsid w:val="00821C17"/>
    <w:pPr>
      <w:spacing w:before="60" w:after="60"/>
    </w:pPr>
    <w:rPr>
      <w:i w:val="0"/>
      <w:lang w:val="en-US"/>
    </w:rPr>
  </w:style>
  <w:style w:type="character" w:customStyle="1" w:styleId="FiguretitleChar">
    <w:name w:val="Figure title Char"/>
    <w:basedOn w:val="TabletitleChar"/>
    <w:link w:val="Figuretitle"/>
    <w:rsid w:val="00821C17"/>
    <w:rPr>
      <w:rFonts w:asciiTheme="minorHAnsi" w:eastAsiaTheme="minorEastAsia" w:hAnsiTheme="minorHAnsi"/>
      <w:b/>
      <w:i w:val="0"/>
      <w:sz w:val="32"/>
      <w:szCs w:val="24"/>
      <w:lang w:val="en-US" w:eastAsia="en-AU"/>
    </w:rPr>
  </w:style>
  <w:style w:type="paragraph" w:styleId="NoSpacing">
    <w:name w:val="No Spacing"/>
    <w:uiPriority w:val="1"/>
    <w:qFormat/>
    <w:rsid w:val="00821C17"/>
    <w:pPr>
      <w:spacing w:after="0" w:line="240" w:lineRule="auto"/>
    </w:pPr>
    <w:rPr>
      <w:rFonts w:asciiTheme="minorHAnsi" w:eastAsiaTheme="minorEastAsia" w:hAnsiTheme="minorHAnsi"/>
      <w:szCs w:val="24"/>
      <w:lang w:eastAsia="en-AU"/>
    </w:rPr>
  </w:style>
  <w:style w:type="paragraph" w:styleId="ListParagraph">
    <w:name w:val="List Paragraph"/>
    <w:basedOn w:val="Normal"/>
    <w:uiPriority w:val="34"/>
    <w:qFormat/>
    <w:rsid w:val="00821C17"/>
    <w:pPr>
      <w:ind w:left="720"/>
      <w:contextualSpacing/>
    </w:pPr>
  </w:style>
  <w:style w:type="character" w:styleId="Hyperlink">
    <w:name w:val="Hyperlink"/>
    <w:basedOn w:val="DefaultParagraphFont"/>
    <w:uiPriority w:val="99"/>
    <w:unhideWhenUsed/>
    <w:rsid w:val="00821C17"/>
    <w:rPr>
      <w:color w:val="0000FF" w:themeColor="hyperlink"/>
      <w:u w:val="single"/>
    </w:rPr>
  </w:style>
  <w:style w:type="character" w:styleId="FollowedHyperlink">
    <w:name w:val="FollowedHyperlink"/>
    <w:basedOn w:val="DefaultParagraphFont"/>
    <w:uiPriority w:val="99"/>
    <w:semiHidden/>
    <w:unhideWhenUsed/>
    <w:rsid w:val="00821C17"/>
    <w:rPr>
      <w:color w:val="800080" w:themeColor="followedHyperlink"/>
      <w:u w:val="single"/>
    </w:rPr>
  </w:style>
  <w:style w:type="paragraph" w:customStyle="1" w:styleId="Table-bodytext">
    <w:name w:val="Table - body text"/>
    <w:basedOn w:val="Normal"/>
    <w:link w:val="Table-bodytextChar"/>
    <w:rsid w:val="00821C17"/>
    <w:pPr>
      <w:spacing w:after="0"/>
      <w:jc w:val="center"/>
    </w:pPr>
    <w:rPr>
      <w:rFonts w:ascii="Times New Roman" w:eastAsia="Times New Roman" w:hAnsi="Times New Roman" w:cs="Arial"/>
      <w:sz w:val="20"/>
      <w:lang w:eastAsia="en-US"/>
    </w:rPr>
  </w:style>
  <w:style w:type="character" w:customStyle="1" w:styleId="Table-bodytextChar">
    <w:name w:val="Table - body text Char"/>
    <w:basedOn w:val="DefaultParagraphFont"/>
    <w:link w:val="Table-bodytext"/>
    <w:rsid w:val="00821C17"/>
    <w:rPr>
      <w:rFonts w:eastAsia="Times New Roman" w:cs="Arial"/>
      <w:sz w:val="20"/>
      <w:szCs w:val="24"/>
    </w:rPr>
  </w:style>
  <w:style w:type="paragraph" w:customStyle="1" w:styleId="Table-columnheadings">
    <w:name w:val="Table - column headings"/>
    <w:basedOn w:val="Table-bodytext"/>
    <w:rsid w:val="00821C17"/>
    <w:pPr>
      <w:keepNext/>
    </w:pPr>
    <w:rPr>
      <w:b/>
      <w:bCs/>
    </w:rPr>
  </w:style>
  <w:style w:type="paragraph" w:customStyle="1" w:styleId="Tabletext">
    <w:name w:val="Tabletext"/>
    <w:basedOn w:val="Normal"/>
    <w:rsid w:val="00821C17"/>
    <w:pPr>
      <w:spacing w:after="0"/>
    </w:pPr>
    <w:rPr>
      <w:rFonts w:ascii="Times New Roman" w:eastAsia="Times New Roman" w:hAnsi="Times New Roman" w:cs="Times New Roman"/>
      <w:sz w:val="20"/>
      <w:lang w:eastAsia="en-US"/>
    </w:rPr>
  </w:style>
  <w:style w:type="character" w:customStyle="1" w:styleId="apple-converted-space">
    <w:name w:val="apple-converted-space"/>
    <w:basedOn w:val="DefaultParagraphFont"/>
    <w:rsid w:val="00821C17"/>
  </w:style>
  <w:style w:type="character" w:customStyle="1" w:styleId="ref-journal">
    <w:name w:val="ref-journal"/>
    <w:basedOn w:val="DefaultParagraphFont"/>
    <w:rsid w:val="00821C17"/>
  </w:style>
  <w:style w:type="character" w:customStyle="1" w:styleId="ref-vol">
    <w:name w:val="ref-vol"/>
    <w:basedOn w:val="DefaultParagraphFont"/>
    <w:rsid w:val="00821C17"/>
  </w:style>
  <w:style w:type="paragraph" w:styleId="NormalWeb">
    <w:name w:val="Normal (Web)"/>
    <w:basedOn w:val="Normal"/>
    <w:uiPriority w:val="99"/>
    <w:semiHidden/>
    <w:unhideWhenUsed/>
    <w:rsid w:val="00821C17"/>
    <w:pPr>
      <w:spacing w:before="100" w:beforeAutospacing="1" w:after="100" w:afterAutospacing="1"/>
    </w:pPr>
    <w:rPr>
      <w:rFonts w:ascii="Times New Roman" w:eastAsiaTheme="minorHAnsi" w:hAnsi="Times New Roman" w:cs="Times New Roman"/>
    </w:rPr>
  </w:style>
  <w:style w:type="character" w:styleId="PlaceholderText">
    <w:name w:val="Placeholder Text"/>
    <w:basedOn w:val="DefaultParagraphFont"/>
    <w:uiPriority w:val="99"/>
    <w:semiHidden/>
    <w:rsid w:val="001E4637"/>
    <w:rPr>
      <w:color w:val="808080"/>
    </w:rPr>
  </w:style>
  <w:style w:type="paragraph" w:customStyle="1" w:styleId="TableText0">
    <w:name w:val="Table Text"/>
    <w:basedOn w:val="Normal"/>
    <w:uiPriority w:val="99"/>
    <w:rsid w:val="00125BF6"/>
    <w:pPr>
      <w:spacing w:before="60" w:after="60"/>
    </w:pPr>
    <w:rPr>
      <w:rFonts w:ascii="Arial" w:eastAsia="Times New Roman" w:hAnsi="Arial" w:cs="Times New Roman"/>
      <w:sz w:val="18"/>
      <w:szCs w:val="20"/>
    </w:rPr>
  </w:style>
  <w:style w:type="paragraph" w:customStyle="1" w:styleId="Quote1">
    <w:name w:val="Quote1"/>
    <w:basedOn w:val="Normal"/>
    <w:autoRedefine/>
    <w:rsid w:val="008D7A27"/>
    <w:pPr>
      <w:autoSpaceDE w:val="0"/>
      <w:autoSpaceDN w:val="0"/>
      <w:adjustRightInd w:val="0"/>
      <w:spacing w:after="0"/>
      <w:ind w:left="432"/>
    </w:pPr>
    <w:rPr>
      <w:rFonts w:ascii="Times New (W1)" w:eastAsia="Times New Roman" w:hAnsi="Times New (W1)" w:cs="Times New Roman"/>
      <w:i/>
      <w:sz w:val="22"/>
      <w:lang w:val="en-US" w:eastAsia="en-US"/>
    </w:rPr>
  </w:style>
  <w:style w:type="character" w:styleId="Strong">
    <w:name w:val="Strong"/>
    <w:basedOn w:val="DefaultParagraphFont"/>
    <w:uiPriority w:val="22"/>
    <w:qFormat/>
    <w:rsid w:val="007260F5"/>
    <w:rPr>
      <w:b/>
      <w:bCs/>
    </w:rPr>
  </w:style>
  <w:style w:type="character" w:customStyle="1" w:styleId="cit">
    <w:name w:val="cit"/>
    <w:basedOn w:val="DefaultParagraphFont"/>
    <w:rsid w:val="00F55148"/>
  </w:style>
  <w:style w:type="character" w:customStyle="1" w:styleId="doi">
    <w:name w:val="doi"/>
    <w:basedOn w:val="DefaultParagraphFont"/>
    <w:rsid w:val="00F55148"/>
  </w:style>
  <w:style w:type="character" w:customStyle="1" w:styleId="fm-reuse">
    <w:name w:val="fm-reuse"/>
    <w:basedOn w:val="DefaultParagraphFont"/>
    <w:rsid w:val="00F55148"/>
  </w:style>
  <w:style w:type="paragraph" w:customStyle="1" w:styleId="contribs">
    <w:name w:val="contribs"/>
    <w:basedOn w:val="Normal"/>
    <w:rsid w:val="00F55148"/>
    <w:pPr>
      <w:spacing w:before="100" w:beforeAutospacing="1" w:after="100" w:afterAutospacing="1"/>
    </w:pPr>
    <w:rPr>
      <w:rFonts w:ascii="Times New Roman" w:eastAsia="Times New Roman" w:hAnsi="Times New Roman" w:cs="Times New Roman"/>
    </w:rPr>
  </w:style>
  <w:style w:type="character" w:customStyle="1" w:styleId="fm-role">
    <w:name w:val="fm-role"/>
    <w:basedOn w:val="DefaultParagraphFont"/>
    <w:rsid w:val="00F55148"/>
  </w:style>
  <w:style w:type="paragraph" w:customStyle="1" w:styleId="fm-aai">
    <w:name w:val="fm-aai"/>
    <w:basedOn w:val="Normal"/>
    <w:rsid w:val="00F55148"/>
    <w:pPr>
      <w:spacing w:before="100" w:beforeAutospacing="1" w:after="100" w:afterAutospacing="1"/>
    </w:pPr>
    <w:rPr>
      <w:rFonts w:ascii="Times New Roman" w:eastAsia="Times New Roman" w:hAnsi="Times New Roman" w:cs="Times New Roman"/>
    </w:rPr>
  </w:style>
  <w:style w:type="paragraph" w:customStyle="1" w:styleId="p">
    <w:name w:val="p"/>
    <w:basedOn w:val="Normal"/>
    <w:rsid w:val="00F55148"/>
    <w:pPr>
      <w:spacing w:before="100" w:beforeAutospacing="1" w:after="100" w:afterAutospacing="1"/>
    </w:pPr>
    <w:rPr>
      <w:rFonts w:ascii="Times New Roman" w:eastAsia="Times New Roman" w:hAnsi="Times New Roman" w:cs="Times New Roman"/>
    </w:rPr>
  </w:style>
  <w:style w:type="character" w:customStyle="1" w:styleId="kwd-text">
    <w:name w:val="kwd-text"/>
    <w:basedOn w:val="DefaultParagraphFont"/>
    <w:rsid w:val="00F55148"/>
  </w:style>
  <w:style w:type="character" w:customStyle="1" w:styleId="underline">
    <w:name w:val="underline"/>
    <w:basedOn w:val="DefaultParagraphFont"/>
    <w:rsid w:val="00F55148"/>
  </w:style>
  <w:style w:type="character" w:styleId="Emphasis">
    <w:name w:val="Emphasis"/>
    <w:basedOn w:val="DefaultParagraphFont"/>
    <w:uiPriority w:val="20"/>
    <w:qFormat/>
    <w:rsid w:val="00F55148"/>
    <w:rPr>
      <w:i/>
      <w:iCs/>
    </w:rPr>
  </w:style>
  <w:style w:type="character" w:customStyle="1" w:styleId="figpopup-sensitive-area">
    <w:name w:val="figpopup-sensitive-area"/>
    <w:basedOn w:val="DefaultParagraphFont"/>
    <w:rsid w:val="00F55148"/>
  </w:style>
  <w:style w:type="paragraph" w:customStyle="1" w:styleId="fn">
    <w:name w:val="fn"/>
    <w:basedOn w:val="Normal"/>
    <w:rsid w:val="00F55148"/>
    <w:pPr>
      <w:spacing w:before="100" w:beforeAutospacing="1" w:after="100" w:afterAutospacing="1"/>
    </w:pPr>
    <w:rPr>
      <w:rFonts w:ascii="Times New Roman" w:eastAsia="Times New Roman" w:hAnsi="Times New Roman" w:cs="Times New Roman"/>
    </w:rPr>
  </w:style>
  <w:style w:type="character" w:customStyle="1" w:styleId="fm-affl">
    <w:name w:val="fm-affl"/>
    <w:basedOn w:val="DefaultParagraphFont"/>
    <w:rsid w:val="00F55148"/>
  </w:style>
  <w:style w:type="character" w:customStyle="1" w:styleId="fm-citation-ids-label">
    <w:name w:val="fm-citation-ids-label"/>
    <w:basedOn w:val="DefaultParagraphFont"/>
    <w:rsid w:val="00F55148"/>
  </w:style>
  <w:style w:type="character" w:customStyle="1" w:styleId="contrib-email">
    <w:name w:val="contrib-email"/>
    <w:basedOn w:val="DefaultParagraphFont"/>
    <w:rsid w:val="00F55148"/>
  </w:style>
  <w:style w:type="character" w:customStyle="1" w:styleId="element-citation">
    <w:name w:val="element-citation"/>
    <w:basedOn w:val="DefaultParagraphFont"/>
    <w:rsid w:val="00F55148"/>
  </w:style>
  <w:style w:type="character" w:customStyle="1" w:styleId="nowrap">
    <w:name w:val="nowrap"/>
    <w:basedOn w:val="DefaultParagraphFont"/>
    <w:rsid w:val="00F55148"/>
  </w:style>
  <w:style w:type="paragraph" w:styleId="EndnoteText">
    <w:name w:val="endnote text"/>
    <w:basedOn w:val="Normal"/>
    <w:link w:val="EndnoteTextChar"/>
    <w:uiPriority w:val="99"/>
    <w:semiHidden/>
    <w:unhideWhenUsed/>
    <w:rsid w:val="00C2756C"/>
    <w:pPr>
      <w:spacing w:after="0"/>
    </w:pPr>
    <w:rPr>
      <w:sz w:val="20"/>
      <w:szCs w:val="20"/>
    </w:rPr>
  </w:style>
  <w:style w:type="character" w:customStyle="1" w:styleId="EndnoteTextChar">
    <w:name w:val="Endnote Text Char"/>
    <w:basedOn w:val="DefaultParagraphFont"/>
    <w:link w:val="EndnoteText"/>
    <w:uiPriority w:val="99"/>
    <w:semiHidden/>
    <w:rsid w:val="00C2756C"/>
    <w:rPr>
      <w:rFonts w:asciiTheme="minorHAnsi" w:eastAsiaTheme="minorEastAsia" w:hAnsiTheme="minorHAnsi"/>
      <w:sz w:val="20"/>
      <w:szCs w:val="20"/>
      <w:lang w:eastAsia="en-AU"/>
    </w:rPr>
  </w:style>
  <w:style w:type="character" w:styleId="EndnoteReference">
    <w:name w:val="endnote reference"/>
    <w:basedOn w:val="DefaultParagraphFont"/>
    <w:uiPriority w:val="99"/>
    <w:semiHidden/>
    <w:unhideWhenUsed/>
    <w:rsid w:val="00C2756C"/>
    <w:rPr>
      <w:vertAlign w:val="superscript"/>
    </w:rPr>
  </w:style>
  <w:style w:type="character" w:customStyle="1" w:styleId="ColorfulList-Accent1Char1">
    <w:name w:val="Colorful List - Accent 1 Char1"/>
    <w:aliases w:val="Footnote Char,BulletPoints Char"/>
    <w:link w:val="ColorfulList-Accent1"/>
    <w:uiPriority w:val="34"/>
    <w:rsid w:val="00353C6F"/>
    <w:rPr>
      <w:rFonts w:ascii="Calibri" w:hAnsi="Calibri" w:cs="Calibri"/>
      <w:sz w:val="22"/>
      <w:szCs w:val="22"/>
      <w:lang w:eastAsia="en-US"/>
    </w:rPr>
  </w:style>
  <w:style w:type="table" w:styleId="ColorfulList-Accent1">
    <w:name w:val="Colorful List Accent 1"/>
    <w:basedOn w:val="TableNormal"/>
    <w:link w:val="ColorfulList-Accent1Char1"/>
    <w:uiPriority w:val="34"/>
    <w:rsid w:val="00353C6F"/>
    <w:pPr>
      <w:spacing w:after="0" w:line="240" w:lineRule="auto"/>
    </w:pPr>
    <w:rPr>
      <w:rFonts w:ascii="Calibri" w:hAnsi="Calibri" w:cs="Calibri"/>
      <w:sz w:val="22"/>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8616">
      <w:bodyDiv w:val="1"/>
      <w:marLeft w:val="0"/>
      <w:marRight w:val="0"/>
      <w:marTop w:val="0"/>
      <w:marBottom w:val="0"/>
      <w:divBdr>
        <w:top w:val="none" w:sz="0" w:space="0" w:color="auto"/>
        <w:left w:val="none" w:sz="0" w:space="0" w:color="auto"/>
        <w:bottom w:val="none" w:sz="0" w:space="0" w:color="auto"/>
        <w:right w:val="none" w:sz="0" w:space="0" w:color="auto"/>
      </w:divBdr>
    </w:div>
    <w:div w:id="286856068">
      <w:bodyDiv w:val="1"/>
      <w:marLeft w:val="0"/>
      <w:marRight w:val="0"/>
      <w:marTop w:val="0"/>
      <w:marBottom w:val="0"/>
      <w:divBdr>
        <w:top w:val="none" w:sz="0" w:space="0" w:color="auto"/>
        <w:left w:val="none" w:sz="0" w:space="0" w:color="auto"/>
        <w:bottom w:val="none" w:sz="0" w:space="0" w:color="auto"/>
        <w:right w:val="none" w:sz="0" w:space="0" w:color="auto"/>
      </w:divBdr>
    </w:div>
    <w:div w:id="491874914">
      <w:bodyDiv w:val="1"/>
      <w:marLeft w:val="0"/>
      <w:marRight w:val="0"/>
      <w:marTop w:val="0"/>
      <w:marBottom w:val="0"/>
      <w:divBdr>
        <w:top w:val="none" w:sz="0" w:space="0" w:color="auto"/>
        <w:left w:val="none" w:sz="0" w:space="0" w:color="auto"/>
        <w:bottom w:val="none" w:sz="0" w:space="0" w:color="auto"/>
        <w:right w:val="none" w:sz="0" w:space="0" w:color="auto"/>
      </w:divBdr>
      <w:divsChild>
        <w:div w:id="1126044359">
          <w:marLeft w:val="0"/>
          <w:marRight w:val="0"/>
          <w:marTop w:val="0"/>
          <w:marBottom w:val="0"/>
          <w:divBdr>
            <w:top w:val="none" w:sz="0" w:space="0" w:color="auto"/>
            <w:left w:val="none" w:sz="0" w:space="0" w:color="auto"/>
            <w:bottom w:val="none" w:sz="0" w:space="0" w:color="auto"/>
            <w:right w:val="none" w:sz="0" w:space="0" w:color="auto"/>
          </w:divBdr>
          <w:divsChild>
            <w:div w:id="1004548151">
              <w:marLeft w:val="0"/>
              <w:marRight w:val="0"/>
              <w:marTop w:val="0"/>
              <w:marBottom w:val="0"/>
              <w:divBdr>
                <w:top w:val="none" w:sz="0" w:space="0" w:color="auto"/>
                <w:left w:val="none" w:sz="0" w:space="0" w:color="auto"/>
                <w:bottom w:val="none" w:sz="0" w:space="0" w:color="auto"/>
                <w:right w:val="none" w:sz="0" w:space="0" w:color="auto"/>
              </w:divBdr>
              <w:divsChild>
                <w:div w:id="760445809">
                  <w:marLeft w:val="0"/>
                  <w:marRight w:val="0"/>
                  <w:marTop w:val="0"/>
                  <w:marBottom w:val="0"/>
                  <w:divBdr>
                    <w:top w:val="none" w:sz="0" w:space="0" w:color="auto"/>
                    <w:left w:val="none" w:sz="0" w:space="0" w:color="auto"/>
                    <w:bottom w:val="none" w:sz="0" w:space="0" w:color="auto"/>
                    <w:right w:val="none" w:sz="0" w:space="0" w:color="auto"/>
                  </w:divBdr>
                  <w:divsChild>
                    <w:div w:id="766777810">
                      <w:marLeft w:val="0"/>
                      <w:marRight w:val="0"/>
                      <w:marTop w:val="0"/>
                      <w:marBottom w:val="0"/>
                      <w:divBdr>
                        <w:top w:val="none" w:sz="0" w:space="0" w:color="auto"/>
                        <w:left w:val="none" w:sz="0" w:space="0" w:color="auto"/>
                        <w:bottom w:val="none" w:sz="0" w:space="0" w:color="auto"/>
                        <w:right w:val="none" w:sz="0" w:space="0" w:color="auto"/>
                      </w:divBdr>
                      <w:divsChild>
                        <w:div w:id="1651904457">
                          <w:marLeft w:val="384"/>
                          <w:marRight w:val="384"/>
                          <w:marTop w:val="0"/>
                          <w:marBottom w:val="0"/>
                          <w:divBdr>
                            <w:top w:val="none" w:sz="0" w:space="0" w:color="auto"/>
                            <w:left w:val="none" w:sz="0" w:space="0" w:color="auto"/>
                            <w:bottom w:val="none" w:sz="0" w:space="0" w:color="auto"/>
                            <w:right w:val="none" w:sz="0" w:space="0" w:color="auto"/>
                          </w:divBdr>
                          <w:divsChild>
                            <w:div w:id="1892155994">
                              <w:marLeft w:val="0"/>
                              <w:marRight w:val="0"/>
                              <w:marTop w:val="332"/>
                              <w:marBottom w:val="332"/>
                              <w:divBdr>
                                <w:top w:val="none" w:sz="0" w:space="0" w:color="auto"/>
                                <w:left w:val="none" w:sz="0" w:space="0" w:color="auto"/>
                                <w:bottom w:val="none" w:sz="0" w:space="0" w:color="auto"/>
                                <w:right w:val="none" w:sz="0" w:space="0" w:color="auto"/>
                              </w:divBdr>
                              <w:divsChild>
                                <w:div w:id="837307767">
                                  <w:marLeft w:val="0"/>
                                  <w:marRight w:val="0"/>
                                  <w:marTop w:val="0"/>
                                  <w:marBottom w:val="0"/>
                                  <w:divBdr>
                                    <w:top w:val="none" w:sz="0" w:space="0" w:color="auto"/>
                                    <w:left w:val="none" w:sz="0" w:space="0" w:color="auto"/>
                                    <w:bottom w:val="none" w:sz="0" w:space="0" w:color="auto"/>
                                    <w:right w:val="none" w:sz="0" w:space="0" w:color="auto"/>
                                  </w:divBdr>
                                </w:div>
                              </w:divsChild>
                            </w:div>
                            <w:div w:id="1072237228">
                              <w:marLeft w:val="0"/>
                              <w:marRight w:val="0"/>
                              <w:marTop w:val="0"/>
                              <w:marBottom w:val="0"/>
                              <w:divBdr>
                                <w:top w:val="none" w:sz="0" w:space="0" w:color="auto"/>
                                <w:left w:val="none" w:sz="0" w:space="0" w:color="auto"/>
                                <w:bottom w:val="none" w:sz="0" w:space="0" w:color="auto"/>
                                <w:right w:val="none" w:sz="0" w:space="0" w:color="auto"/>
                              </w:divBdr>
                              <w:divsChild>
                                <w:div w:id="1606889106">
                                  <w:marLeft w:val="0"/>
                                  <w:marRight w:val="0"/>
                                  <w:marTop w:val="0"/>
                                  <w:marBottom w:val="0"/>
                                  <w:divBdr>
                                    <w:top w:val="none" w:sz="0" w:space="0" w:color="auto"/>
                                    <w:left w:val="none" w:sz="0" w:space="0" w:color="auto"/>
                                    <w:bottom w:val="none" w:sz="0" w:space="0" w:color="auto"/>
                                    <w:right w:val="none" w:sz="0" w:space="0" w:color="auto"/>
                                  </w:divBdr>
                                  <w:divsChild>
                                    <w:div w:id="565724985">
                                      <w:marLeft w:val="0"/>
                                      <w:marRight w:val="0"/>
                                      <w:marTop w:val="166"/>
                                      <w:marBottom w:val="166"/>
                                      <w:divBdr>
                                        <w:top w:val="none" w:sz="0" w:space="0" w:color="auto"/>
                                        <w:left w:val="none" w:sz="0" w:space="0" w:color="auto"/>
                                        <w:bottom w:val="none" w:sz="0" w:space="0" w:color="auto"/>
                                        <w:right w:val="none" w:sz="0" w:space="0" w:color="auto"/>
                                      </w:divBdr>
                                      <w:divsChild>
                                        <w:div w:id="404375881">
                                          <w:marLeft w:val="0"/>
                                          <w:marRight w:val="0"/>
                                          <w:marTop w:val="0"/>
                                          <w:marBottom w:val="0"/>
                                          <w:divBdr>
                                            <w:top w:val="none" w:sz="0" w:space="0" w:color="auto"/>
                                            <w:left w:val="none" w:sz="0" w:space="0" w:color="auto"/>
                                            <w:bottom w:val="none" w:sz="0" w:space="0" w:color="auto"/>
                                            <w:right w:val="none" w:sz="0" w:space="0" w:color="auto"/>
                                          </w:divBdr>
                                          <w:divsChild>
                                            <w:div w:id="1215970064">
                                              <w:marLeft w:val="0"/>
                                              <w:marRight w:val="0"/>
                                              <w:marTop w:val="0"/>
                                              <w:marBottom w:val="0"/>
                                              <w:divBdr>
                                                <w:top w:val="none" w:sz="0" w:space="0" w:color="auto"/>
                                                <w:left w:val="none" w:sz="0" w:space="0" w:color="auto"/>
                                                <w:bottom w:val="none" w:sz="0" w:space="0" w:color="auto"/>
                                                <w:right w:val="none" w:sz="0" w:space="0" w:color="auto"/>
                                              </w:divBdr>
                                            </w:div>
                                            <w:div w:id="654189741">
                                              <w:marLeft w:val="240"/>
                                              <w:marRight w:val="0"/>
                                              <w:marTop w:val="0"/>
                                              <w:marBottom w:val="0"/>
                                              <w:divBdr>
                                                <w:top w:val="none" w:sz="0" w:space="0" w:color="auto"/>
                                                <w:left w:val="none" w:sz="0" w:space="0" w:color="auto"/>
                                                <w:bottom w:val="none" w:sz="0" w:space="0" w:color="auto"/>
                                                <w:right w:val="none" w:sz="0" w:space="0" w:color="auto"/>
                                              </w:divBdr>
                                              <w:divsChild>
                                                <w:div w:id="171843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1589">
                                      <w:marLeft w:val="0"/>
                                      <w:marRight w:val="0"/>
                                      <w:marTop w:val="332"/>
                                      <w:marBottom w:val="332"/>
                                      <w:divBdr>
                                        <w:top w:val="none" w:sz="0" w:space="0" w:color="auto"/>
                                        <w:left w:val="none" w:sz="0" w:space="0" w:color="auto"/>
                                        <w:bottom w:val="none" w:sz="0" w:space="0" w:color="auto"/>
                                        <w:right w:val="none" w:sz="0" w:space="0" w:color="auto"/>
                                      </w:divBdr>
                                      <w:divsChild>
                                        <w:div w:id="2103060282">
                                          <w:marLeft w:val="0"/>
                                          <w:marRight w:val="0"/>
                                          <w:marTop w:val="0"/>
                                          <w:marBottom w:val="0"/>
                                          <w:divBdr>
                                            <w:top w:val="none" w:sz="0" w:space="0" w:color="auto"/>
                                            <w:left w:val="none" w:sz="0" w:space="0" w:color="auto"/>
                                            <w:bottom w:val="none" w:sz="0" w:space="0" w:color="auto"/>
                                            <w:right w:val="none" w:sz="0" w:space="0" w:color="auto"/>
                                          </w:divBdr>
                                        </w:div>
                                        <w:div w:id="12296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6034725">
      <w:bodyDiv w:val="1"/>
      <w:marLeft w:val="0"/>
      <w:marRight w:val="0"/>
      <w:marTop w:val="0"/>
      <w:marBottom w:val="0"/>
      <w:divBdr>
        <w:top w:val="none" w:sz="0" w:space="0" w:color="auto"/>
        <w:left w:val="none" w:sz="0" w:space="0" w:color="auto"/>
        <w:bottom w:val="none" w:sz="0" w:space="0" w:color="auto"/>
        <w:right w:val="none" w:sz="0" w:space="0" w:color="auto"/>
      </w:divBdr>
      <w:divsChild>
        <w:div w:id="718628807">
          <w:marLeft w:val="0"/>
          <w:marRight w:val="0"/>
          <w:marTop w:val="0"/>
          <w:marBottom w:val="0"/>
          <w:divBdr>
            <w:top w:val="none" w:sz="0" w:space="0" w:color="auto"/>
            <w:left w:val="none" w:sz="0" w:space="0" w:color="auto"/>
            <w:bottom w:val="none" w:sz="0" w:space="0" w:color="auto"/>
            <w:right w:val="none" w:sz="0" w:space="0" w:color="auto"/>
          </w:divBdr>
          <w:divsChild>
            <w:div w:id="1260257635">
              <w:marLeft w:val="120"/>
              <w:marRight w:val="120"/>
              <w:marTop w:val="120"/>
              <w:marBottom w:val="120"/>
              <w:divBdr>
                <w:top w:val="none" w:sz="0" w:space="0" w:color="auto"/>
                <w:left w:val="none" w:sz="0" w:space="0" w:color="auto"/>
                <w:bottom w:val="none" w:sz="0" w:space="0" w:color="auto"/>
                <w:right w:val="none" w:sz="0" w:space="0" w:color="auto"/>
              </w:divBdr>
              <w:divsChild>
                <w:div w:id="1987005664">
                  <w:marLeft w:val="0"/>
                  <w:marRight w:val="0"/>
                  <w:marTop w:val="0"/>
                  <w:marBottom w:val="0"/>
                  <w:divBdr>
                    <w:top w:val="none" w:sz="0" w:space="0" w:color="auto"/>
                    <w:left w:val="none" w:sz="0" w:space="0" w:color="auto"/>
                    <w:bottom w:val="none" w:sz="0" w:space="0" w:color="auto"/>
                    <w:right w:val="none" w:sz="0" w:space="0" w:color="auto"/>
                  </w:divBdr>
                  <w:divsChild>
                    <w:div w:id="1413819972">
                      <w:marLeft w:val="0"/>
                      <w:marRight w:val="0"/>
                      <w:marTop w:val="0"/>
                      <w:marBottom w:val="0"/>
                      <w:divBdr>
                        <w:top w:val="none" w:sz="0" w:space="0" w:color="auto"/>
                        <w:left w:val="none" w:sz="0" w:space="0" w:color="auto"/>
                        <w:bottom w:val="none" w:sz="0" w:space="0" w:color="auto"/>
                        <w:right w:val="none" w:sz="0" w:space="0" w:color="auto"/>
                      </w:divBdr>
                      <w:divsChild>
                        <w:div w:id="1636444553">
                          <w:marLeft w:val="0"/>
                          <w:marRight w:val="0"/>
                          <w:marTop w:val="0"/>
                          <w:marBottom w:val="0"/>
                          <w:divBdr>
                            <w:top w:val="none" w:sz="0" w:space="0" w:color="auto"/>
                            <w:left w:val="none" w:sz="0" w:space="0" w:color="auto"/>
                            <w:bottom w:val="none" w:sz="0" w:space="0" w:color="auto"/>
                            <w:right w:val="none" w:sz="0" w:space="0" w:color="auto"/>
                          </w:divBdr>
                        </w:div>
                        <w:div w:id="10657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75218">
          <w:marLeft w:val="0"/>
          <w:marRight w:val="0"/>
          <w:marTop w:val="0"/>
          <w:marBottom w:val="0"/>
          <w:divBdr>
            <w:top w:val="none" w:sz="0" w:space="0" w:color="auto"/>
            <w:left w:val="single" w:sz="48" w:space="0" w:color="auto"/>
            <w:bottom w:val="none" w:sz="0" w:space="0" w:color="auto"/>
            <w:right w:val="single" w:sz="48" w:space="0" w:color="auto"/>
          </w:divBdr>
          <w:divsChild>
            <w:div w:id="1675650284">
              <w:marLeft w:val="0"/>
              <w:marRight w:val="0"/>
              <w:marTop w:val="100"/>
              <w:marBottom w:val="100"/>
              <w:divBdr>
                <w:top w:val="none" w:sz="0" w:space="0" w:color="auto"/>
                <w:left w:val="none" w:sz="0" w:space="0" w:color="auto"/>
                <w:bottom w:val="none" w:sz="0" w:space="0" w:color="auto"/>
                <w:right w:val="none" w:sz="0" w:space="0" w:color="auto"/>
              </w:divBdr>
              <w:divsChild>
                <w:div w:id="1798914308">
                  <w:marLeft w:val="0"/>
                  <w:marRight w:val="0"/>
                  <w:marTop w:val="0"/>
                  <w:marBottom w:val="0"/>
                  <w:divBdr>
                    <w:top w:val="none" w:sz="0" w:space="0" w:color="auto"/>
                    <w:left w:val="none" w:sz="0" w:space="0" w:color="auto"/>
                    <w:bottom w:val="none" w:sz="0" w:space="0" w:color="auto"/>
                    <w:right w:val="none" w:sz="0" w:space="0" w:color="auto"/>
                  </w:divBdr>
                </w:div>
              </w:divsChild>
            </w:div>
            <w:div w:id="902567828">
              <w:marLeft w:val="0"/>
              <w:marRight w:val="0"/>
              <w:marTop w:val="0"/>
              <w:marBottom w:val="0"/>
              <w:divBdr>
                <w:top w:val="none" w:sz="0" w:space="0" w:color="auto"/>
                <w:left w:val="none" w:sz="0" w:space="0" w:color="auto"/>
                <w:bottom w:val="none" w:sz="0" w:space="0" w:color="auto"/>
                <w:right w:val="none" w:sz="0" w:space="0" w:color="auto"/>
              </w:divBdr>
              <w:divsChild>
                <w:div w:id="1648634160">
                  <w:marLeft w:val="0"/>
                  <w:marRight w:val="0"/>
                  <w:marTop w:val="0"/>
                  <w:marBottom w:val="0"/>
                  <w:divBdr>
                    <w:top w:val="none" w:sz="0" w:space="0" w:color="auto"/>
                    <w:left w:val="none" w:sz="0" w:space="0" w:color="auto"/>
                    <w:bottom w:val="none" w:sz="0" w:space="0" w:color="auto"/>
                    <w:right w:val="none" w:sz="0" w:space="0" w:color="auto"/>
                  </w:divBdr>
                </w:div>
                <w:div w:id="399596678">
                  <w:marLeft w:val="0"/>
                  <w:marRight w:val="0"/>
                  <w:marTop w:val="0"/>
                  <w:marBottom w:val="0"/>
                  <w:divBdr>
                    <w:top w:val="none" w:sz="0" w:space="0" w:color="auto"/>
                    <w:left w:val="none" w:sz="0" w:space="0" w:color="auto"/>
                    <w:bottom w:val="none" w:sz="0" w:space="0" w:color="auto"/>
                    <w:right w:val="none" w:sz="0" w:space="0" w:color="auto"/>
                  </w:divBdr>
                </w:div>
              </w:divsChild>
            </w:div>
            <w:div w:id="396707165">
              <w:marLeft w:val="0"/>
              <w:marRight w:val="0"/>
              <w:marTop w:val="0"/>
              <w:marBottom w:val="0"/>
              <w:divBdr>
                <w:top w:val="none" w:sz="0" w:space="0" w:color="auto"/>
                <w:left w:val="none" w:sz="0" w:space="0" w:color="auto"/>
                <w:bottom w:val="none" w:sz="0" w:space="0" w:color="auto"/>
                <w:right w:val="none" w:sz="0" w:space="0" w:color="auto"/>
              </w:divBdr>
            </w:div>
            <w:div w:id="1195383065">
              <w:marLeft w:val="0"/>
              <w:marRight w:val="0"/>
              <w:marTop w:val="0"/>
              <w:marBottom w:val="0"/>
              <w:divBdr>
                <w:top w:val="none" w:sz="0" w:space="0" w:color="auto"/>
                <w:left w:val="none" w:sz="0" w:space="0" w:color="auto"/>
                <w:bottom w:val="none" w:sz="0" w:space="0" w:color="auto"/>
                <w:right w:val="none" w:sz="0" w:space="0" w:color="auto"/>
              </w:divBdr>
              <w:divsChild>
                <w:div w:id="601108731">
                  <w:marLeft w:val="0"/>
                  <w:marRight w:val="0"/>
                  <w:marTop w:val="0"/>
                  <w:marBottom w:val="0"/>
                  <w:divBdr>
                    <w:top w:val="none" w:sz="0" w:space="0" w:color="auto"/>
                    <w:left w:val="none" w:sz="0" w:space="0" w:color="auto"/>
                    <w:bottom w:val="none" w:sz="0" w:space="0" w:color="auto"/>
                    <w:right w:val="none" w:sz="0" w:space="0" w:color="auto"/>
                  </w:divBdr>
                  <w:divsChild>
                    <w:div w:id="984970579">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256859188">
                          <w:marLeft w:val="0"/>
                          <w:marRight w:val="0"/>
                          <w:marTop w:val="0"/>
                          <w:marBottom w:val="0"/>
                          <w:divBdr>
                            <w:top w:val="none" w:sz="0" w:space="0" w:color="auto"/>
                            <w:left w:val="none" w:sz="0" w:space="0" w:color="auto"/>
                            <w:bottom w:val="none" w:sz="0" w:space="0" w:color="auto"/>
                            <w:right w:val="none" w:sz="0" w:space="0" w:color="auto"/>
                          </w:divBdr>
                          <w:divsChild>
                            <w:div w:id="533151567">
                              <w:marLeft w:val="0"/>
                              <w:marRight w:val="0"/>
                              <w:marTop w:val="0"/>
                              <w:marBottom w:val="0"/>
                              <w:divBdr>
                                <w:top w:val="none" w:sz="0" w:space="0" w:color="auto"/>
                                <w:left w:val="none" w:sz="0" w:space="0" w:color="auto"/>
                                <w:bottom w:val="none" w:sz="0" w:space="0" w:color="auto"/>
                                <w:right w:val="none" w:sz="0" w:space="0" w:color="auto"/>
                              </w:divBdr>
                            </w:div>
                            <w:div w:id="16858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70382">
                  <w:marLeft w:val="0"/>
                  <w:marRight w:val="0"/>
                  <w:marTop w:val="0"/>
                  <w:marBottom w:val="0"/>
                  <w:divBdr>
                    <w:top w:val="none" w:sz="0" w:space="0" w:color="auto"/>
                    <w:left w:val="none" w:sz="0" w:space="0" w:color="auto"/>
                    <w:bottom w:val="none" w:sz="0" w:space="0" w:color="auto"/>
                    <w:right w:val="none" w:sz="0" w:space="0" w:color="auto"/>
                  </w:divBdr>
                </w:div>
              </w:divsChild>
            </w:div>
            <w:div w:id="1459254031">
              <w:marLeft w:val="0"/>
              <w:marRight w:val="0"/>
              <w:marTop w:val="0"/>
              <w:marBottom w:val="0"/>
              <w:divBdr>
                <w:top w:val="none" w:sz="0" w:space="0" w:color="auto"/>
                <w:left w:val="none" w:sz="0" w:space="0" w:color="auto"/>
                <w:bottom w:val="none" w:sz="0" w:space="0" w:color="auto"/>
                <w:right w:val="none" w:sz="0" w:space="0" w:color="auto"/>
              </w:divBdr>
              <w:divsChild>
                <w:div w:id="167451220">
                  <w:marLeft w:val="0"/>
                  <w:marRight w:val="0"/>
                  <w:marTop w:val="0"/>
                  <w:marBottom w:val="0"/>
                  <w:divBdr>
                    <w:top w:val="none" w:sz="0" w:space="0" w:color="auto"/>
                    <w:left w:val="none" w:sz="0" w:space="0" w:color="auto"/>
                    <w:bottom w:val="none" w:sz="0" w:space="0" w:color="auto"/>
                    <w:right w:val="none" w:sz="0" w:space="0" w:color="auto"/>
                  </w:divBdr>
                  <w:divsChild>
                    <w:div w:id="1009403919">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825001879">
                          <w:marLeft w:val="0"/>
                          <w:marRight w:val="0"/>
                          <w:marTop w:val="0"/>
                          <w:marBottom w:val="0"/>
                          <w:divBdr>
                            <w:top w:val="none" w:sz="0" w:space="0" w:color="auto"/>
                            <w:left w:val="none" w:sz="0" w:space="0" w:color="auto"/>
                            <w:bottom w:val="none" w:sz="0" w:space="0" w:color="auto"/>
                            <w:right w:val="none" w:sz="0" w:space="0" w:color="auto"/>
                          </w:divBdr>
                          <w:divsChild>
                            <w:div w:id="1585341792">
                              <w:marLeft w:val="0"/>
                              <w:marRight w:val="0"/>
                              <w:marTop w:val="0"/>
                              <w:marBottom w:val="0"/>
                              <w:divBdr>
                                <w:top w:val="none" w:sz="0" w:space="0" w:color="auto"/>
                                <w:left w:val="none" w:sz="0" w:space="0" w:color="auto"/>
                                <w:bottom w:val="none" w:sz="0" w:space="0" w:color="auto"/>
                                <w:right w:val="none" w:sz="0" w:space="0" w:color="auto"/>
                              </w:divBdr>
                            </w:div>
                            <w:div w:id="10985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2760">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206722455">
                          <w:marLeft w:val="0"/>
                          <w:marRight w:val="0"/>
                          <w:marTop w:val="0"/>
                          <w:marBottom w:val="0"/>
                          <w:divBdr>
                            <w:top w:val="none" w:sz="0" w:space="0" w:color="auto"/>
                            <w:left w:val="none" w:sz="0" w:space="0" w:color="auto"/>
                            <w:bottom w:val="none" w:sz="0" w:space="0" w:color="auto"/>
                            <w:right w:val="none" w:sz="0" w:space="0" w:color="auto"/>
                          </w:divBdr>
                          <w:divsChild>
                            <w:div w:id="2013950129">
                              <w:marLeft w:val="0"/>
                              <w:marRight w:val="0"/>
                              <w:marTop w:val="0"/>
                              <w:marBottom w:val="0"/>
                              <w:divBdr>
                                <w:top w:val="none" w:sz="0" w:space="0" w:color="auto"/>
                                <w:left w:val="none" w:sz="0" w:space="0" w:color="auto"/>
                                <w:bottom w:val="none" w:sz="0" w:space="0" w:color="auto"/>
                                <w:right w:val="none" w:sz="0" w:space="0" w:color="auto"/>
                              </w:divBdr>
                            </w:div>
                            <w:div w:id="138964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3220">
                  <w:marLeft w:val="0"/>
                  <w:marRight w:val="0"/>
                  <w:marTop w:val="0"/>
                  <w:marBottom w:val="0"/>
                  <w:divBdr>
                    <w:top w:val="none" w:sz="0" w:space="0" w:color="auto"/>
                    <w:left w:val="none" w:sz="0" w:space="0" w:color="auto"/>
                    <w:bottom w:val="none" w:sz="0" w:space="0" w:color="auto"/>
                    <w:right w:val="none" w:sz="0" w:space="0" w:color="auto"/>
                  </w:divBdr>
                </w:div>
                <w:div w:id="126318412">
                  <w:marLeft w:val="0"/>
                  <w:marRight w:val="0"/>
                  <w:marTop w:val="0"/>
                  <w:marBottom w:val="0"/>
                  <w:divBdr>
                    <w:top w:val="none" w:sz="0" w:space="0" w:color="auto"/>
                    <w:left w:val="none" w:sz="0" w:space="0" w:color="auto"/>
                    <w:bottom w:val="none" w:sz="0" w:space="0" w:color="auto"/>
                    <w:right w:val="none" w:sz="0" w:space="0" w:color="auto"/>
                  </w:divBdr>
                  <w:divsChild>
                    <w:div w:id="1132750949">
                      <w:marLeft w:val="0"/>
                      <w:marRight w:val="0"/>
                      <w:marTop w:val="0"/>
                      <w:marBottom w:val="0"/>
                      <w:divBdr>
                        <w:top w:val="none" w:sz="0" w:space="0" w:color="auto"/>
                        <w:left w:val="none" w:sz="0" w:space="0" w:color="auto"/>
                        <w:bottom w:val="none" w:sz="0" w:space="0" w:color="auto"/>
                        <w:right w:val="none" w:sz="0" w:space="0" w:color="auto"/>
                      </w:divBdr>
                    </w:div>
                    <w:div w:id="714819422">
                      <w:marLeft w:val="0"/>
                      <w:marRight w:val="0"/>
                      <w:marTop w:val="0"/>
                      <w:marBottom w:val="0"/>
                      <w:divBdr>
                        <w:top w:val="none" w:sz="0" w:space="0" w:color="auto"/>
                        <w:left w:val="none" w:sz="0" w:space="0" w:color="auto"/>
                        <w:bottom w:val="none" w:sz="0" w:space="0" w:color="auto"/>
                        <w:right w:val="none" w:sz="0" w:space="0" w:color="auto"/>
                      </w:divBdr>
                      <w:divsChild>
                        <w:div w:id="543370167">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317466144">
                              <w:marLeft w:val="0"/>
                              <w:marRight w:val="0"/>
                              <w:marTop w:val="0"/>
                              <w:marBottom w:val="0"/>
                              <w:divBdr>
                                <w:top w:val="none" w:sz="0" w:space="0" w:color="auto"/>
                                <w:left w:val="none" w:sz="0" w:space="0" w:color="auto"/>
                                <w:bottom w:val="none" w:sz="0" w:space="0" w:color="auto"/>
                                <w:right w:val="none" w:sz="0" w:space="0" w:color="auto"/>
                              </w:divBdr>
                              <w:divsChild>
                                <w:div w:id="94984742">
                                  <w:marLeft w:val="0"/>
                                  <w:marRight w:val="0"/>
                                  <w:marTop w:val="0"/>
                                  <w:marBottom w:val="0"/>
                                  <w:divBdr>
                                    <w:top w:val="none" w:sz="0" w:space="0" w:color="auto"/>
                                    <w:left w:val="none" w:sz="0" w:space="0" w:color="auto"/>
                                    <w:bottom w:val="none" w:sz="0" w:space="0" w:color="auto"/>
                                    <w:right w:val="none" w:sz="0" w:space="0" w:color="auto"/>
                                  </w:divBdr>
                                </w:div>
                                <w:div w:id="16247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14973">
                      <w:marLeft w:val="0"/>
                      <w:marRight w:val="0"/>
                      <w:marTop w:val="0"/>
                      <w:marBottom w:val="0"/>
                      <w:divBdr>
                        <w:top w:val="none" w:sz="0" w:space="0" w:color="auto"/>
                        <w:left w:val="none" w:sz="0" w:space="0" w:color="auto"/>
                        <w:bottom w:val="none" w:sz="0" w:space="0" w:color="auto"/>
                        <w:right w:val="none" w:sz="0" w:space="0" w:color="auto"/>
                      </w:divBdr>
                    </w:div>
                  </w:divsChild>
                </w:div>
                <w:div w:id="1037005564">
                  <w:marLeft w:val="0"/>
                  <w:marRight w:val="0"/>
                  <w:marTop w:val="0"/>
                  <w:marBottom w:val="0"/>
                  <w:divBdr>
                    <w:top w:val="none" w:sz="0" w:space="0" w:color="auto"/>
                    <w:left w:val="none" w:sz="0" w:space="0" w:color="auto"/>
                    <w:bottom w:val="none" w:sz="0" w:space="0" w:color="auto"/>
                    <w:right w:val="none" w:sz="0" w:space="0" w:color="auto"/>
                  </w:divBdr>
                  <w:divsChild>
                    <w:div w:id="1907568427">
                      <w:marLeft w:val="0"/>
                      <w:marRight w:val="0"/>
                      <w:marTop w:val="0"/>
                      <w:marBottom w:val="0"/>
                      <w:divBdr>
                        <w:top w:val="none" w:sz="0" w:space="0" w:color="auto"/>
                        <w:left w:val="none" w:sz="0" w:space="0" w:color="auto"/>
                        <w:bottom w:val="none" w:sz="0" w:space="0" w:color="auto"/>
                        <w:right w:val="none" w:sz="0" w:space="0" w:color="auto"/>
                      </w:divBdr>
                      <w:divsChild>
                        <w:div w:id="943073175">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032415781">
                              <w:marLeft w:val="0"/>
                              <w:marRight w:val="0"/>
                              <w:marTop w:val="0"/>
                              <w:marBottom w:val="0"/>
                              <w:divBdr>
                                <w:top w:val="none" w:sz="0" w:space="0" w:color="auto"/>
                                <w:left w:val="none" w:sz="0" w:space="0" w:color="auto"/>
                                <w:bottom w:val="none" w:sz="0" w:space="0" w:color="auto"/>
                                <w:right w:val="none" w:sz="0" w:space="0" w:color="auto"/>
                              </w:divBdr>
                              <w:divsChild>
                                <w:div w:id="1003901876">
                                  <w:marLeft w:val="0"/>
                                  <w:marRight w:val="0"/>
                                  <w:marTop w:val="0"/>
                                  <w:marBottom w:val="0"/>
                                  <w:divBdr>
                                    <w:top w:val="none" w:sz="0" w:space="0" w:color="auto"/>
                                    <w:left w:val="none" w:sz="0" w:space="0" w:color="auto"/>
                                    <w:bottom w:val="none" w:sz="0" w:space="0" w:color="auto"/>
                                    <w:right w:val="none" w:sz="0" w:space="0" w:color="auto"/>
                                  </w:divBdr>
                                </w:div>
                                <w:div w:id="89620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04375">
                      <w:marLeft w:val="0"/>
                      <w:marRight w:val="0"/>
                      <w:marTop w:val="0"/>
                      <w:marBottom w:val="0"/>
                      <w:divBdr>
                        <w:top w:val="none" w:sz="0" w:space="0" w:color="auto"/>
                        <w:left w:val="none" w:sz="0" w:space="0" w:color="auto"/>
                        <w:bottom w:val="none" w:sz="0" w:space="0" w:color="auto"/>
                        <w:right w:val="none" w:sz="0" w:space="0" w:color="auto"/>
                      </w:divBdr>
                    </w:div>
                  </w:divsChild>
                </w:div>
                <w:div w:id="1728020419">
                  <w:marLeft w:val="0"/>
                  <w:marRight w:val="0"/>
                  <w:marTop w:val="0"/>
                  <w:marBottom w:val="0"/>
                  <w:divBdr>
                    <w:top w:val="none" w:sz="0" w:space="0" w:color="auto"/>
                    <w:left w:val="none" w:sz="0" w:space="0" w:color="auto"/>
                    <w:bottom w:val="none" w:sz="0" w:space="0" w:color="auto"/>
                    <w:right w:val="none" w:sz="0" w:space="0" w:color="auto"/>
                  </w:divBdr>
                </w:div>
                <w:div w:id="313417031">
                  <w:marLeft w:val="0"/>
                  <w:marRight w:val="0"/>
                  <w:marTop w:val="0"/>
                  <w:marBottom w:val="0"/>
                  <w:divBdr>
                    <w:top w:val="none" w:sz="0" w:space="0" w:color="auto"/>
                    <w:left w:val="none" w:sz="0" w:space="0" w:color="auto"/>
                    <w:bottom w:val="none" w:sz="0" w:space="0" w:color="auto"/>
                    <w:right w:val="none" w:sz="0" w:space="0" w:color="auto"/>
                  </w:divBdr>
                </w:div>
                <w:div w:id="512453383">
                  <w:marLeft w:val="0"/>
                  <w:marRight w:val="0"/>
                  <w:marTop w:val="0"/>
                  <w:marBottom w:val="0"/>
                  <w:divBdr>
                    <w:top w:val="none" w:sz="0" w:space="0" w:color="auto"/>
                    <w:left w:val="none" w:sz="0" w:space="0" w:color="auto"/>
                    <w:bottom w:val="none" w:sz="0" w:space="0" w:color="auto"/>
                    <w:right w:val="none" w:sz="0" w:space="0" w:color="auto"/>
                  </w:divBdr>
                </w:div>
                <w:div w:id="250626380">
                  <w:marLeft w:val="0"/>
                  <w:marRight w:val="0"/>
                  <w:marTop w:val="0"/>
                  <w:marBottom w:val="0"/>
                  <w:divBdr>
                    <w:top w:val="none" w:sz="0" w:space="0" w:color="auto"/>
                    <w:left w:val="none" w:sz="0" w:space="0" w:color="auto"/>
                    <w:bottom w:val="none" w:sz="0" w:space="0" w:color="auto"/>
                    <w:right w:val="none" w:sz="0" w:space="0" w:color="auto"/>
                  </w:divBdr>
                  <w:divsChild>
                    <w:div w:id="832381858">
                      <w:marLeft w:val="0"/>
                      <w:marRight w:val="0"/>
                      <w:marTop w:val="0"/>
                      <w:marBottom w:val="0"/>
                      <w:divBdr>
                        <w:top w:val="none" w:sz="0" w:space="0" w:color="auto"/>
                        <w:left w:val="none" w:sz="0" w:space="0" w:color="auto"/>
                        <w:bottom w:val="none" w:sz="0" w:space="0" w:color="auto"/>
                        <w:right w:val="none" w:sz="0" w:space="0" w:color="auto"/>
                      </w:divBdr>
                      <w:divsChild>
                        <w:div w:id="256526059">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250390381">
                              <w:marLeft w:val="0"/>
                              <w:marRight w:val="0"/>
                              <w:marTop w:val="0"/>
                              <w:marBottom w:val="0"/>
                              <w:divBdr>
                                <w:top w:val="none" w:sz="0" w:space="0" w:color="auto"/>
                                <w:left w:val="none" w:sz="0" w:space="0" w:color="auto"/>
                                <w:bottom w:val="none" w:sz="0" w:space="0" w:color="auto"/>
                                <w:right w:val="none" w:sz="0" w:space="0" w:color="auto"/>
                              </w:divBdr>
                              <w:divsChild>
                                <w:div w:id="118766606">
                                  <w:marLeft w:val="0"/>
                                  <w:marRight w:val="0"/>
                                  <w:marTop w:val="0"/>
                                  <w:marBottom w:val="0"/>
                                  <w:divBdr>
                                    <w:top w:val="none" w:sz="0" w:space="0" w:color="auto"/>
                                    <w:left w:val="none" w:sz="0" w:space="0" w:color="auto"/>
                                    <w:bottom w:val="none" w:sz="0" w:space="0" w:color="auto"/>
                                    <w:right w:val="none" w:sz="0" w:space="0" w:color="auto"/>
                                  </w:divBdr>
                                </w:div>
                                <w:div w:id="2863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6508">
                      <w:marLeft w:val="0"/>
                      <w:marRight w:val="0"/>
                      <w:marTop w:val="0"/>
                      <w:marBottom w:val="0"/>
                      <w:divBdr>
                        <w:top w:val="none" w:sz="0" w:space="0" w:color="auto"/>
                        <w:left w:val="none" w:sz="0" w:space="0" w:color="auto"/>
                        <w:bottom w:val="none" w:sz="0" w:space="0" w:color="auto"/>
                        <w:right w:val="none" w:sz="0" w:space="0" w:color="auto"/>
                      </w:divBdr>
                      <w:divsChild>
                        <w:div w:id="1630280142">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94973860">
                              <w:marLeft w:val="0"/>
                              <w:marRight w:val="0"/>
                              <w:marTop w:val="0"/>
                              <w:marBottom w:val="0"/>
                              <w:divBdr>
                                <w:top w:val="none" w:sz="0" w:space="0" w:color="auto"/>
                                <w:left w:val="none" w:sz="0" w:space="0" w:color="auto"/>
                                <w:bottom w:val="none" w:sz="0" w:space="0" w:color="auto"/>
                                <w:right w:val="none" w:sz="0" w:space="0" w:color="auto"/>
                              </w:divBdr>
                              <w:divsChild>
                                <w:div w:id="13655532">
                                  <w:marLeft w:val="0"/>
                                  <w:marRight w:val="0"/>
                                  <w:marTop w:val="0"/>
                                  <w:marBottom w:val="0"/>
                                  <w:divBdr>
                                    <w:top w:val="none" w:sz="0" w:space="0" w:color="auto"/>
                                    <w:left w:val="none" w:sz="0" w:space="0" w:color="auto"/>
                                    <w:bottom w:val="none" w:sz="0" w:space="0" w:color="auto"/>
                                    <w:right w:val="none" w:sz="0" w:space="0" w:color="auto"/>
                                  </w:divBdr>
                                </w:div>
                                <w:div w:id="13625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562539">
                  <w:marLeft w:val="0"/>
                  <w:marRight w:val="0"/>
                  <w:marTop w:val="0"/>
                  <w:marBottom w:val="0"/>
                  <w:divBdr>
                    <w:top w:val="none" w:sz="0" w:space="0" w:color="auto"/>
                    <w:left w:val="none" w:sz="0" w:space="0" w:color="auto"/>
                    <w:bottom w:val="none" w:sz="0" w:space="0" w:color="auto"/>
                    <w:right w:val="none" w:sz="0" w:space="0" w:color="auto"/>
                  </w:divBdr>
                </w:div>
                <w:div w:id="439224241">
                  <w:marLeft w:val="0"/>
                  <w:marRight w:val="0"/>
                  <w:marTop w:val="0"/>
                  <w:marBottom w:val="0"/>
                  <w:divBdr>
                    <w:top w:val="none" w:sz="0" w:space="0" w:color="auto"/>
                    <w:left w:val="none" w:sz="0" w:space="0" w:color="auto"/>
                    <w:bottom w:val="none" w:sz="0" w:space="0" w:color="auto"/>
                    <w:right w:val="none" w:sz="0" w:space="0" w:color="auto"/>
                  </w:divBdr>
                  <w:divsChild>
                    <w:div w:id="1299458270">
                      <w:marLeft w:val="0"/>
                      <w:marRight w:val="0"/>
                      <w:marTop w:val="0"/>
                      <w:marBottom w:val="0"/>
                      <w:divBdr>
                        <w:top w:val="none" w:sz="0" w:space="0" w:color="auto"/>
                        <w:left w:val="none" w:sz="0" w:space="0" w:color="auto"/>
                        <w:bottom w:val="none" w:sz="0" w:space="0" w:color="auto"/>
                        <w:right w:val="none" w:sz="0" w:space="0" w:color="auto"/>
                      </w:divBdr>
                      <w:divsChild>
                        <w:div w:id="935939807">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742827609">
                              <w:marLeft w:val="0"/>
                              <w:marRight w:val="0"/>
                              <w:marTop w:val="0"/>
                              <w:marBottom w:val="0"/>
                              <w:divBdr>
                                <w:top w:val="none" w:sz="0" w:space="0" w:color="auto"/>
                                <w:left w:val="none" w:sz="0" w:space="0" w:color="auto"/>
                                <w:bottom w:val="none" w:sz="0" w:space="0" w:color="auto"/>
                                <w:right w:val="none" w:sz="0" w:space="0" w:color="auto"/>
                              </w:divBdr>
                              <w:divsChild>
                                <w:div w:id="1803225891">
                                  <w:marLeft w:val="0"/>
                                  <w:marRight w:val="0"/>
                                  <w:marTop w:val="0"/>
                                  <w:marBottom w:val="0"/>
                                  <w:divBdr>
                                    <w:top w:val="none" w:sz="0" w:space="0" w:color="auto"/>
                                    <w:left w:val="none" w:sz="0" w:space="0" w:color="auto"/>
                                    <w:bottom w:val="none" w:sz="0" w:space="0" w:color="auto"/>
                                    <w:right w:val="none" w:sz="0" w:space="0" w:color="auto"/>
                                  </w:divBdr>
                                </w:div>
                                <w:div w:id="11194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91466">
                      <w:marLeft w:val="0"/>
                      <w:marRight w:val="0"/>
                      <w:marTop w:val="0"/>
                      <w:marBottom w:val="0"/>
                      <w:divBdr>
                        <w:top w:val="none" w:sz="0" w:space="0" w:color="auto"/>
                        <w:left w:val="none" w:sz="0" w:space="0" w:color="auto"/>
                        <w:bottom w:val="none" w:sz="0" w:space="0" w:color="auto"/>
                        <w:right w:val="none" w:sz="0" w:space="0" w:color="auto"/>
                      </w:divBdr>
                    </w:div>
                  </w:divsChild>
                </w:div>
                <w:div w:id="1292057600">
                  <w:marLeft w:val="0"/>
                  <w:marRight w:val="0"/>
                  <w:marTop w:val="0"/>
                  <w:marBottom w:val="0"/>
                  <w:divBdr>
                    <w:top w:val="none" w:sz="0" w:space="0" w:color="auto"/>
                    <w:left w:val="none" w:sz="0" w:space="0" w:color="auto"/>
                    <w:bottom w:val="none" w:sz="0" w:space="0" w:color="auto"/>
                    <w:right w:val="none" w:sz="0" w:space="0" w:color="auto"/>
                  </w:divBdr>
                  <w:divsChild>
                    <w:div w:id="299044186">
                      <w:marLeft w:val="0"/>
                      <w:marRight w:val="0"/>
                      <w:marTop w:val="0"/>
                      <w:marBottom w:val="0"/>
                      <w:divBdr>
                        <w:top w:val="none" w:sz="0" w:space="0" w:color="auto"/>
                        <w:left w:val="none" w:sz="0" w:space="0" w:color="auto"/>
                        <w:bottom w:val="none" w:sz="0" w:space="0" w:color="auto"/>
                        <w:right w:val="none" w:sz="0" w:space="0" w:color="auto"/>
                      </w:divBdr>
                      <w:divsChild>
                        <w:div w:id="878394996">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629096060">
                              <w:marLeft w:val="0"/>
                              <w:marRight w:val="0"/>
                              <w:marTop w:val="0"/>
                              <w:marBottom w:val="0"/>
                              <w:divBdr>
                                <w:top w:val="none" w:sz="0" w:space="0" w:color="auto"/>
                                <w:left w:val="none" w:sz="0" w:space="0" w:color="auto"/>
                                <w:bottom w:val="none" w:sz="0" w:space="0" w:color="auto"/>
                                <w:right w:val="none" w:sz="0" w:space="0" w:color="auto"/>
                              </w:divBdr>
                              <w:divsChild>
                                <w:div w:id="458501206">
                                  <w:marLeft w:val="0"/>
                                  <w:marRight w:val="0"/>
                                  <w:marTop w:val="0"/>
                                  <w:marBottom w:val="0"/>
                                  <w:divBdr>
                                    <w:top w:val="none" w:sz="0" w:space="0" w:color="auto"/>
                                    <w:left w:val="none" w:sz="0" w:space="0" w:color="auto"/>
                                    <w:bottom w:val="none" w:sz="0" w:space="0" w:color="auto"/>
                                    <w:right w:val="none" w:sz="0" w:space="0" w:color="auto"/>
                                  </w:divBdr>
                                </w:div>
                                <w:div w:id="18304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1883">
                      <w:marLeft w:val="0"/>
                      <w:marRight w:val="0"/>
                      <w:marTop w:val="0"/>
                      <w:marBottom w:val="0"/>
                      <w:divBdr>
                        <w:top w:val="none" w:sz="0" w:space="0" w:color="auto"/>
                        <w:left w:val="none" w:sz="0" w:space="0" w:color="auto"/>
                        <w:bottom w:val="none" w:sz="0" w:space="0" w:color="auto"/>
                        <w:right w:val="none" w:sz="0" w:space="0" w:color="auto"/>
                      </w:divBdr>
                    </w:div>
                    <w:div w:id="71843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646">
              <w:marLeft w:val="0"/>
              <w:marRight w:val="0"/>
              <w:marTop w:val="0"/>
              <w:marBottom w:val="0"/>
              <w:divBdr>
                <w:top w:val="none" w:sz="0" w:space="0" w:color="auto"/>
                <w:left w:val="none" w:sz="0" w:space="0" w:color="auto"/>
                <w:bottom w:val="none" w:sz="0" w:space="0" w:color="auto"/>
                <w:right w:val="none" w:sz="0" w:space="0" w:color="auto"/>
              </w:divBdr>
            </w:div>
            <w:div w:id="2113042748">
              <w:marLeft w:val="0"/>
              <w:marRight w:val="0"/>
              <w:marTop w:val="0"/>
              <w:marBottom w:val="0"/>
              <w:divBdr>
                <w:top w:val="none" w:sz="0" w:space="0" w:color="auto"/>
                <w:left w:val="none" w:sz="0" w:space="0" w:color="auto"/>
                <w:bottom w:val="none" w:sz="0" w:space="0" w:color="auto"/>
                <w:right w:val="none" w:sz="0" w:space="0" w:color="auto"/>
              </w:divBdr>
              <w:divsChild>
                <w:div w:id="54478069">
                  <w:marLeft w:val="0"/>
                  <w:marRight w:val="0"/>
                  <w:marTop w:val="0"/>
                  <w:marBottom w:val="0"/>
                  <w:divBdr>
                    <w:top w:val="none" w:sz="0" w:space="0" w:color="auto"/>
                    <w:left w:val="none" w:sz="0" w:space="0" w:color="auto"/>
                    <w:bottom w:val="none" w:sz="0" w:space="0" w:color="auto"/>
                    <w:right w:val="none" w:sz="0" w:space="0" w:color="auto"/>
                  </w:divBdr>
                </w:div>
              </w:divsChild>
            </w:div>
            <w:div w:id="410811505">
              <w:marLeft w:val="0"/>
              <w:marRight w:val="0"/>
              <w:marTop w:val="0"/>
              <w:marBottom w:val="0"/>
              <w:divBdr>
                <w:top w:val="none" w:sz="0" w:space="0" w:color="auto"/>
                <w:left w:val="none" w:sz="0" w:space="0" w:color="auto"/>
                <w:bottom w:val="none" w:sz="0" w:space="0" w:color="auto"/>
                <w:right w:val="none" w:sz="0" w:space="0" w:color="auto"/>
              </w:divBdr>
            </w:div>
            <w:div w:id="451365605">
              <w:marLeft w:val="0"/>
              <w:marRight w:val="0"/>
              <w:marTop w:val="0"/>
              <w:marBottom w:val="0"/>
              <w:divBdr>
                <w:top w:val="none" w:sz="0" w:space="0" w:color="auto"/>
                <w:left w:val="none" w:sz="0" w:space="0" w:color="auto"/>
                <w:bottom w:val="none" w:sz="0" w:space="0" w:color="auto"/>
                <w:right w:val="none" w:sz="0" w:space="0" w:color="auto"/>
              </w:divBdr>
              <w:divsChild>
                <w:div w:id="343824421">
                  <w:marLeft w:val="0"/>
                  <w:marRight w:val="0"/>
                  <w:marTop w:val="0"/>
                  <w:marBottom w:val="0"/>
                  <w:divBdr>
                    <w:top w:val="none" w:sz="0" w:space="0" w:color="auto"/>
                    <w:left w:val="none" w:sz="0" w:space="0" w:color="auto"/>
                    <w:bottom w:val="none" w:sz="0" w:space="0" w:color="auto"/>
                    <w:right w:val="none" w:sz="0" w:space="0" w:color="auto"/>
                  </w:divBdr>
                  <w:divsChild>
                    <w:div w:id="897939858">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77431770">
                          <w:marLeft w:val="0"/>
                          <w:marRight w:val="0"/>
                          <w:marTop w:val="0"/>
                          <w:marBottom w:val="0"/>
                          <w:divBdr>
                            <w:top w:val="none" w:sz="0" w:space="0" w:color="auto"/>
                            <w:left w:val="none" w:sz="0" w:space="0" w:color="auto"/>
                            <w:bottom w:val="none" w:sz="0" w:space="0" w:color="auto"/>
                            <w:right w:val="none" w:sz="0" w:space="0" w:color="auto"/>
                          </w:divBdr>
                          <w:divsChild>
                            <w:div w:id="571937079">
                              <w:marLeft w:val="0"/>
                              <w:marRight w:val="0"/>
                              <w:marTop w:val="0"/>
                              <w:marBottom w:val="0"/>
                              <w:divBdr>
                                <w:top w:val="none" w:sz="0" w:space="0" w:color="auto"/>
                                <w:left w:val="none" w:sz="0" w:space="0" w:color="auto"/>
                                <w:bottom w:val="none" w:sz="0" w:space="0" w:color="auto"/>
                                <w:right w:val="none" w:sz="0" w:space="0" w:color="auto"/>
                              </w:divBdr>
                            </w:div>
                            <w:div w:id="17835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4039">
                      <w:marLeft w:val="0"/>
                      <w:marRight w:val="0"/>
                      <w:marTop w:val="0"/>
                      <w:marBottom w:val="0"/>
                      <w:divBdr>
                        <w:top w:val="none" w:sz="0" w:space="0" w:color="auto"/>
                        <w:left w:val="none" w:sz="0" w:space="0" w:color="auto"/>
                        <w:bottom w:val="none" w:sz="0" w:space="0" w:color="auto"/>
                        <w:right w:val="none" w:sz="0" w:space="0" w:color="auto"/>
                      </w:divBdr>
                      <w:divsChild>
                        <w:div w:id="48967246">
                          <w:marLeft w:val="0"/>
                          <w:marRight w:val="0"/>
                          <w:marTop w:val="0"/>
                          <w:marBottom w:val="0"/>
                          <w:divBdr>
                            <w:top w:val="none" w:sz="0" w:space="0" w:color="auto"/>
                            <w:left w:val="none" w:sz="0" w:space="0" w:color="auto"/>
                            <w:bottom w:val="none" w:sz="0" w:space="0" w:color="auto"/>
                            <w:right w:val="none" w:sz="0" w:space="0" w:color="auto"/>
                          </w:divBdr>
                        </w:div>
                        <w:div w:id="1680162474">
                          <w:marLeft w:val="0"/>
                          <w:marRight w:val="0"/>
                          <w:marTop w:val="0"/>
                          <w:marBottom w:val="0"/>
                          <w:divBdr>
                            <w:top w:val="none" w:sz="0" w:space="0" w:color="auto"/>
                            <w:left w:val="none" w:sz="0" w:space="0" w:color="auto"/>
                            <w:bottom w:val="none" w:sz="0" w:space="0" w:color="auto"/>
                            <w:right w:val="none" w:sz="0" w:space="0" w:color="auto"/>
                          </w:divBdr>
                        </w:div>
                        <w:div w:id="584147238">
                          <w:marLeft w:val="0"/>
                          <w:marRight w:val="0"/>
                          <w:marTop w:val="0"/>
                          <w:marBottom w:val="0"/>
                          <w:divBdr>
                            <w:top w:val="none" w:sz="0" w:space="0" w:color="auto"/>
                            <w:left w:val="none" w:sz="0" w:space="0" w:color="auto"/>
                            <w:bottom w:val="none" w:sz="0" w:space="0" w:color="auto"/>
                            <w:right w:val="none" w:sz="0" w:space="0" w:color="auto"/>
                          </w:divBdr>
                        </w:div>
                        <w:div w:id="339115885">
                          <w:marLeft w:val="0"/>
                          <w:marRight w:val="0"/>
                          <w:marTop w:val="0"/>
                          <w:marBottom w:val="0"/>
                          <w:divBdr>
                            <w:top w:val="none" w:sz="0" w:space="0" w:color="auto"/>
                            <w:left w:val="none" w:sz="0" w:space="0" w:color="auto"/>
                            <w:bottom w:val="none" w:sz="0" w:space="0" w:color="auto"/>
                            <w:right w:val="none" w:sz="0" w:space="0" w:color="auto"/>
                          </w:divBdr>
                        </w:div>
                        <w:div w:id="638656391">
                          <w:marLeft w:val="0"/>
                          <w:marRight w:val="0"/>
                          <w:marTop w:val="0"/>
                          <w:marBottom w:val="0"/>
                          <w:divBdr>
                            <w:top w:val="none" w:sz="0" w:space="0" w:color="auto"/>
                            <w:left w:val="none" w:sz="0" w:space="0" w:color="auto"/>
                            <w:bottom w:val="none" w:sz="0" w:space="0" w:color="auto"/>
                            <w:right w:val="none" w:sz="0" w:space="0" w:color="auto"/>
                          </w:divBdr>
                        </w:div>
                        <w:div w:id="209659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0906">
              <w:marLeft w:val="0"/>
              <w:marRight w:val="0"/>
              <w:marTop w:val="0"/>
              <w:marBottom w:val="0"/>
              <w:divBdr>
                <w:top w:val="none" w:sz="0" w:space="0" w:color="auto"/>
                <w:left w:val="none" w:sz="0" w:space="0" w:color="auto"/>
                <w:bottom w:val="none" w:sz="0" w:space="0" w:color="auto"/>
                <w:right w:val="none" w:sz="0" w:space="0" w:color="auto"/>
              </w:divBdr>
              <w:divsChild>
                <w:div w:id="1467822146">
                  <w:marLeft w:val="0"/>
                  <w:marRight w:val="0"/>
                  <w:marTop w:val="0"/>
                  <w:marBottom w:val="0"/>
                  <w:divBdr>
                    <w:top w:val="none" w:sz="0" w:space="0" w:color="auto"/>
                    <w:left w:val="none" w:sz="0" w:space="0" w:color="auto"/>
                    <w:bottom w:val="none" w:sz="0" w:space="0" w:color="auto"/>
                    <w:right w:val="none" w:sz="0" w:space="0" w:color="auto"/>
                  </w:divBdr>
                </w:div>
              </w:divsChild>
            </w:div>
            <w:div w:id="522548878">
              <w:marLeft w:val="0"/>
              <w:marRight w:val="0"/>
              <w:marTop w:val="0"/>
              <w:marBottom w:val="0"/>
              <w:divBdr>
                <w:top w:val="none" w:sz="0" w:space="0" w:color="auto"/>
                <w:left w:val="none" w:sz="0" w:space="0" w:color="auto"/>
                <w:bottom w:val="none" w:sz="0" w:space="0" w:color="auto"/>
                <w:right w:val="none" w:sz="0" w:space="0" w:color="auto"/>
              </w:divBdr>
            </w:div>
            <w:div w:id="74979127">
              <w:marLeft w:val="0"/>
              <w:marRight w:val="0"/>
              <w:marTop w:val="0"/>
              <w:marBottom w:val="0"/>
              <w:divBdr>
                <w:top w:val="none" w:sz="0" w:space="0" w:color="auto"/>
                <w:left w:val="none" w:sz="0" w:space="0" w:color="auto"/>
                <w:bottom w:val="none" w:sz="0" w:space="0" w:color="auto"/>
                <w:right w:val="none" w:sz="0" w:space="0" w:color="auto"/>
              </w:divBdr>
              <w:divsChild>
                <w:div w:id="2035302214">
                  <w:marLeft w:val="0"/>
                  <w:marRight w:val="0"/>
                  <w:marTop w:val="0"/>
                  <w:marBottom w:val="0"/>
                  <w:divBdr>
                    <w:top w:val="none" w:sz="0" w:space="0" w:color="auto"/>
                    <w:left w:val="none" w:sz="0" w:space="0" w:color="auto"/>
                    <w:bottom w:val="none" w:sz="0" w:space="0" w:color="auto"/>
                    <w:right w:val="none" w:sz="0" w:space="0" w:color="auto"/>
                  </w:divBdr>
                  <w:divsChild>
                    <w:div w:id="48461451">
                      <w:marLeft w:val="0"/>
                      <w:marRight w:val="0"/>
                      <w:marTop w:val="256"/>
                      <w:marBottom w:val="256"/>
                      <w:divBdr>
                        <w:top w:val="none" w:sz="0" w:space="0" w:color="auto"/>
                        <w:left w:val="none" w:sz="0" w:space="0" w:color="auto"/>
                        <w:bottom w:val="none" w:sz="0" w:space="0" w:color="auto"/>
                        <w:right w:val="none" w:sz="0" w:space="0" w:color="auto"/>
                      </w:divBdr>
                      <w:divsChild>
                        <w:div w:id="1799303405">
                          <w:marLeft w:val="0"/>
                          <w:marRight w:val="0"/>
                          <w:marTop w:val="0"/>
                          <w:marBottom w:val="0"/>
                          <w:divBdr>
                            <w:top w:val="none" w:sz="0" w:space="0" w:color="auto"/>
                            <w:left w:val="none" w:sz="0" w:space="0" w:color="auto"/>
                            <w:bottom w:val="none" w:sz="0" w:space="0" w:color="auto"/>
                            <w:right w:val="none" w:sz="0" w:space="0" w:color="auto"/>
                          </w:divBdr>
                          <w:divsChild>
                            <w:div w:id="866135495">
                              <w:marLeft w:val="0"/>
                              <w:marRight w:val="0"/>
                              <w:marTop w:val="0"/>
                              <w:marBottom w:val="0"/>
                              <w:divBdr>
                                <w:top w:val="none" w:sz="0" w:space="0" w:color="auto"/>
                                <w:left w:val="none" w:sz="0" w:space="0" w:color="auto"/>
                                <w:bottom w:val="none" w:sz="0" w:space="0" w:color="auto"/>
                                <w:right w:val="none" w:sz="0" w:space="0" w:color="auto"/>
                              </w:divBdr>
                              <w:divsChild>
                                <w:div w:id="1397505884">
                                  <w:marLeft w:val="0"/>
                                  <w:marRight w:val="0"/>
                                  <w:marTop w:val="0"/>
                                  <w:marBottom w:val="0"/>
                                  <w:divBdr>
                                    <w:top w:val="none" w:sz="0" w:space="0" w:color="auto"/>
                                    <w:left w:val="none" w:sz="0" w:space="0" w:color="auto"/>
                                    <w:bottom w:val="none" w:sz="0" w:space="0" w:color="auto"/>
                                    <w:right w:val="none" w:sz="0" w:space="0" w:color="auto"/>
                                  </w:divBdr>
                                </w:div>
                                <w:div w:id="1280992866">
                                  <w:marLeft w:val="0"/>
                                  <w:marRight w:val="0"/>
                                  <w:marTop w:val="0"/>
                                  <w:marBottom w:val="0"/>
                                  <w:divBdr>
                                    <w:top w:val="none" w:sz="0" w:space="0" w:color="auto"/>
                                    <w:left w:val="none" w:sz="0" w:space="0" w:color="auto"/>
                                    <w:bottom w:val="none" w:sz="0" w:space="0" w:color="auto"/>
                                    <w:right w:val="none" w:sz="0" w:space="0" w:color="auto"/>
                                  </w:divBdr>
                                </w:div>
                                <w:div w:id="314456753">
                                  <w:marLeft w:val="240"/>
                                  <w:marRight w:val="0"/>
                                  <w:marTop w:val="0"/>
                                  <w:marBottom w:val="0"/>
                                  <w:divBdr>
                                    <w:top w:val="none" w:sz="0" w:space="0" w:color="auto"/>
                                    <w:left w:val="none" w:sz="0" w:space="0" w:color="auto"/>
                                    <w:bottom w:val="none" w:sz="0" w:space="0" w:color="auto"/>
                                    <w:right w:val="none" w:sz="0" w:space="0" w:color="auto"/>
                                  </w:divBdr>
                                  <w:divsChild>
                                    <w:div w:id="17713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15946">
                              <w:marLeft w:val="0"/>
                              <w:marRight w:val="0"/>
                              <w:marTop w:val="0"/>
                              <w:marBottom w:val="0"/>
                              <w:divBdr>
                                <w:top w:val="none" w:sz="0" w:space="0" w:color="auto"/>
                                <w:left w:val="none" w:sz="0" w:space="0" w:color="auto"/>
                                <w:bottom w:val="none" w:sz="0" w:space="0" w:color="auto"/>
                                <w:right w:val="none" w:sz="0" w:space="0" w:color="auto"/>
                              </w:divBdr>
                              <w:divsChild>
                                <w:div w:id="1261377378">
                                  <w:marLeft w:val="0"/>
                                  <w:marRight w:val="0"/>
                                  <w:marTop w:val="0"/>
                                  <w:marBottom w:val="0"/>
                                  <w:divBdr>
                                    <w:top w:val="none" w:sz="0" w:space="0" w:color="auto"/>
                                    <w:left w:val="none" w:sz="0" w:space="0" w:color="auto"/>
                                    <w:bottom w:val="none" w:sz="0" w:space="0" w:color="auto"/>
                                    <w:right w:val="none" w:sz="0" w:space="0" w:color="auto"/>
                                  </w:divBdr>
                                </w:div>
                                <w:div w:id="45058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87086">
                      <w:marLeft w:val="0"/>
                      <w:marRight w:val="0"/>
                      <w:marTop w:val="0"/>
                      <w:marBottom w:val="0"/>
                      <w:divBdr>
                        <w:top w:val="none" w:sz="0" w:space="0" w:color="auto"/>
                        <w:left w:val="none" w:sz="0" w:space="0" w:color="auto"/>
                        <w:bottom w:val="none" w:sz="0" w:space="0" w:color="auto"/>
                        <w:right w:val="none" w:sz="0" w:space="0" w:color="auto"/>
                      </w:divBdr>
                      <w:divsChild>
                        <w:div w:id="1272784403">
                          <w:marLeft w:val="0"/>
                          <w:marRight w:val="0"/>
                          <w:marTop w:val="256"/>
                          <w:marBottom w:val="256"/>
                          <w:divBdr>
                            <w:top w:val="none" w:sz="0" w:space="0" w:color="auto"/>
                            <w:left w:val="none" w:sz="0" w:space="0" w:color="auto"/>
                            <w:bottom w:val="none" w:sz="0" w:space="0" w:color="auto"/>
                            <w:right w:val="none" w:sz="0" w:space="0" w:color="auto"/>
                          </w:divBdr>
                        </w:div>
                      </w:divsChild>
                    </w:div>
                    <w:div w:id="919948037">
                      <w:marLeft w:val="0"/>
                      <w:marRight w:val="0"/>
                      <w:marTop w:val="256"/>
                      <w:marBottom w:val="256"/>
                      <w:divBdr>
                        <w:top w:val="none" w:sz="0" w:space="0" w:color="auto"/>
                        <w:left w:val="none" w:sz="0" w:space="0" w:color="auto"/>
                        <w:bottom w:val="none" w:sz="0" w:space="0" w:color="auto"/>
                        <w:right w:val="none" w:sz="0" w:space="0" w:color="auto"/>
                      </w:divBdr>
                      <w:divsChild>
                        <w:div w:id="1100878821">
                          <w:marLeft w:val="0"/>
                          <w:marRight w:val="0"/>
                          <w:marTop w:val="256"/>
                          <w:marBottom w:val="256"/>
                          <w:divBdr>
                            <w:top w:val="none" w:sz="0" w:space="0" w:color="auto"/>
                            <w:left w:val="none" w:sz="0" w:space="0" w:color="auto"/>
                            <w:bottom w:val="none" w:sz="0" w:space="0" w:color="auto"/>
                            <w:right w:val="none" w:sz="0" w:space="0" w:color="auto"/>
                          </w:divBdr>
                          <w:divsChild>
                            <w:div w:id="476265488">
                              <w:marLeft w:val="0"/>
                              <w:marRight w:val="0"/>
                              <w:marTop w:val="0"/>
                              <w:marBottom w:val="0"/>
                              <w:divBdr>
                                <w:top w:val="none" w:sz="0" w:space="0" w:color="auto"/>
                                <w:left w:val="none" w:sz="0" w:space="0" w:color="auto"/>
                                <w:bottom w:val="none" w:sz="0" w:space="0" w:color="auto"/>
                                <w:right w:val="none" w:sz="0" w:space="0" w:color="auto"/>
                              </w:divBdr>
                            </w:div>
                            <w:div w:id="961955750">
                              <w:marLeft w:val="0"/>
                              <w:marRight w:val="0"/>
                              <w:marTop w:val="0"/>
                              <w:marBottom w:val="0"/>
                              <w:divBdr>
                                <w:top w:val="none" w:sz="0" w:space="0" w:color="auto"/>
                                <w:left w:val="none" w:sz="0" w:space="0" w:color="auto"/>
                                <w:bottom w:val="none" w:sz="0" w:space="0" w:color="auto"/>
                                <w:right w:val="none" w:sz="0" w:space="0" w:color="auto"/>
                              </w:divBdr>
                            </w:div>
                            <w:div w:id="1066220628">
                              <w:marLeft w:val="0"/>
                              <w:marRight w:val="0"/>
                              <w:marTop w:val="0"/>
                              <w:marBottom w:val="0"/>
                              <w:divBdr>
                                <w:top w:val="none" w:sz="0" w:space="0" w:color="auto"/>
                                <w:left w:val="none" w:sz="0" w:space="0" w:color="auto"/>
                                <w:bottom w:val="none" w:sz="0" w:space="0" w:color="auto"/>
                                <w:right w:val="none" w:sz="0" w:space="0" w:color="auto"/>
                              </w:divBdr>
                            </w:div>
                            <w:div w:id="1858538645">
                              <w:marLeft w:val="0"/>
                              <w:marRight w:val="0"/>
                              <w:marTop w:val="0"/>
                              <w:marBottom w:val="0"/>
                              <w:divBdr>
                                <w:top w:val="none" w:sz="0" w:space="0" w:color="auto"/>
                                <w:left w:val="none" w:sz="0" w:space="0" w:color="auto"/>
                                <w:bottom w:val="none" w:sz="0" w:space="0" w:color="auto"/>
                                <w:right w:val="none" w:sz="0" w:space="0" w:color="auto"/>
                              </w:divBdr>
                            </w:div>
                          </w:divsChild>
                        </w:div>
                        <w:div w:id="2040008826">
                          <w:marLeft w:val="0"/>
                          <w:marRight w:val="0"/>
                          <w:marTop w:val="256"/>
                          <w:marBottom w:val="256"/>
                          <w:divBdr>
                            <w:top w:val="none" w:sz="0" w:space="0" w:color="auto"/>
                            <w:left w:val="none" w:sz="0" w:space="0" w:color="auto"/>
                            <w:bottom w:val="none" w:sz="0" w:space="0" w:color="auto"/>
                            <w:right w:val="none" w:sz="0" w:space="0" w:color="auto"/>
                          </w:divBdr>
                          <w:divsChild>
                            <w:div w:id="1241915235">
                              <w:marLeft w:val="0"/>
                              <w:marRight w:val="0"/>
                              <w:marTop w:val="0"/>
                              <w:marBottom w:val="0"/>
                              <w:divBdr>
                                <w:top w:val="none" w:sz="0" w:space="0" w:color="auto"/>
                                <w:left w:val="none" w:sz="0" w:space="0" w:color="auto"/>
                                <w:bottom w:val="none" w:sz="0" w:space="0" w:color="auto"/>
                                <w:right w:val="none" w:sz="0" w:space="0" w:color="auto"/>
                              </w:divBdr>
                            </w:div>
                            <w:div w:id="8761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4085">
                      <w:marLeft w:val="0"/>
                      <w:marRight w:val="0"/>
                      <w:marTop w:val="256"/>
                      <w:marBottom w:val="256"/>
                      <w:divBdr>
                        <w:top w:val="none" w:sz="0" w:space="0" w:color="auto"/>
                        <w:left w:val="none" w:sz="0" w:space="0" w:color="auto"/>
                        <w:bottom w:val="none" w:sz="0" w:space="0" w:color="auto"/>
                        <w:right w:val="none" w:sz="0" w:space="0" w:color="auto"/>
                      </w:divBdr>
                      <w:divsChild>
                        <w:div w:id="873351422">
                          <w:marLeft w:val="0"/>
                          <w:marRight w:val="0"/>
                          <w:marTop w:val="0"/>
                          <w:marBottom w:val="0"/>
                          <w:divBdr>
                            <w:top w:val="none" w:sz="0" w:space="0" w:color="auto"/>
                            <w:left w:val="none" w:sz="0" w:space="0" w:color="auto"/>
                            <w:bottom w:val="none" w:sz="0" w:space="0" w:color="auto"/>
                            <w:right w:val="none" w:sz="0" w:space="0" w:color="auto"/>
                          </w:divBdr>
                          <w:divsChild>
                            <w:div w:id="366296314">
                              <w:marLeft w:val="0"/>
                              <w:marRight w:val="0"/>
                              <w:marTop w:val="0"/>
                              <w:marBottom w:val="0"/>
                              <w:divBdr>
                                <w:top w:val="none" w:sz="0" w:space="0" w:color="auto"/>
                                <w:left w:val="none" w:sz="0" w:space="0" w:color="auto"/>
                                <w:bottom w:val="none" w:sz="0" w:space="0" w:color="auto"/>
                                <w:right w:val="none" w:sz="0" w:space="0" w:color="auto"/>
                              </w:divBdr>
                            </w:div>
                            <w:div w:id="13152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498059">
              <w:marLeft w:val="0"/>
              <w:marRight w:val="0"/>
              <w:marTop w:val="0"/>
              <w:marBottom w:val="0"/>
              <w:divBdr>
                <w:top w:val="none" w:sz="0" w:space="0" w:color="auto"/>
                <w:left w:val="none" w:sz="0" w:space="0" w:color="auto"/>
                <w:bottom w:val="none" w:sz="0" w:space="0" w:color="auto"/>
                <w:right w:val="none" w:sz="0" w:space="0" w:color="auto"/>
              </w:divBdr>
              <w:divsChild>
                <w:div w:id="338847487">
                  <w:marLeft w:val="0"/>
                  <w:marRight w:val="0"/>
                  <w:marTop w:val="256"/>
                  <w:marBottom w:val="256"/>
                  <w:divBdr>
                    <w:top w:val="none" w:sz="0" w:space="0" w:color="auto"/>
                    <w:left w:val="none" w:sz="0" w:space="0" w:color="auto"/>
                    <w:bottom w:val="none" w:sz="0" w:space="0" w:color="auto"/>
                    <w:right w:val="none" w:sz="0" w:space="0" w:color="auto"/>
                  </w:divBdr>
                  <w:divsChild>
                    <w:div w:id="410933806">
                      <w:marLeft w:val="0"/>
                      <w:marRight w:val="0"/>
                      <w:marTop w:val="256"/>
                      <w:marBottom w:val="256"/>
                      <w:divBdr>
                        <w:top w:val="none" w:sz="0" w:space="0" w:color="auto"/>
                        <w:left w:val="none" w:sz="0" w:space="0" w:color="auto"/>
                        <w:bottom w:val="none" w:sz="0" w:space="0" w:color="auto"/>
                        <w:right w:val="none" w:sz="0" w:space="0" w:color="auto"/>
                      </w:divBdr>
                    </w:div>
                    <w:div w:id="1284769016">
                      <w:marLeft w:val="0"/>
                      <w:marRight w:val="0"/>
                      <w:marTop w:val="256"/>
                      <w:marBottom w:val="256"/>
                      <w:divBdr>
                        <w:top w:val="none" w:sz="0" w:space="0" w:color="auto"/>
                        <w:left w:val="none" w:sz="0" w:space="0" w:color="auto"/>
                        <w:bottom w:val="none" w:sz="0" w:space="0" w:color="auto"/>
                        <w:right w:val="none" w:sz="0" w:space="0" w:color="auto"/>
                      </w:divBdr>
                    </w:div>
                    <w:div w:id="610207879">
                      <w:marLeft w:val="0"/>
                      <w:marRight w:val="0"/>
                      <w:marTop w:val="256"/>
                      <w:marBottom w:val="256"/>
                      <w:divBdr>
                        <w:top w:val="none" w:sz="0" w:space="0" w:color="auto"/>
                        <w:left w:val="none" w:sz="0" w:space="0" w:color="auto"/>
                        <w:bottom w:val="none" w:sz="0" w:space="0" w:color="auto"/>
                        <w:right w:val="none" w:sz="0" w:space="0" w:color="auto"/>
                      </w:divBdr>
                    </w:div>
                    <w:div w:id="496575152">
                      <w:marLeft w:val="0"/>
                      <w:marRight w:val="0"/>
                      <w:marTop w:val="256"/>
                      <w:marBottom w:val="256"/>
                      <w:divBdr>
                        <w:top w:val="none" w:sz="0" w:space="0" w:color="auto"/>
                        <w:left w:val="none" w:sz="0" w:space="0" w:color="auto"/>
                        <w:bottom w:val="none" w:sz="0" w:space="0" w:color="auto"/>
                        <w:right w:val="none" w:sz="0" w:space="0" w:color="auto"/>
                      </w:divBdr>
                    </w:div>
                    <w:div w:id="1522740607">
                      <w:marLeft w:val="0"/>
                      <w:marRight w:val="0"/>
                      <w:marTop w:val="256"/>
                      <w:marBottom w:val="256"/>
                      <w:divBdr>
                        <w:top w:val="none" w:sz="0" w:space="0" w:color="auto"/>
                        <w:left w:val="none" w:sz="0" w:space="0" w:color="auto"/>
                        <w:bottom w:val="none" w:sz="0" w:space="0" w:color="auto"/>
                        <w:right w:val="none" w:sz="0" w:space="0" w:color="auto"/>
                      </w:divBdr>
                    </w:div>
                    <w:div w:id="135489757">
                      <w:marLeft w:val="0"/>
                      <w:marRight w:val="0"/>
                      <w:marTop w:val="256"/>
                      <w:marBottom w:val="256"/>
                      <w:divBdr>
                        <w:top w:val="none" w:sz="0" w:space="0" w:color="auto"/>
                        <w:left w:val="none" w:sz="0" w:space="0" w:color="auto"/>
                        <w:bottom w:val="none" w:sz="0" w:space="0" w:color="auto"/>
                        <w:right w:val="none" w:sz="0" w:space="0" w:color="auto"/>
                      </w:divBdr>
                    </w:div>
                    <w:div w:id="72750666">
                      <w:marLeft w:val="0"/>
                      <w:marRight w:val="0"/>
                      <w:marTop w:val="256"/>
                      <w:marBottom w:val="256"/>
                      <w:divBdr>
                        <w:top w:val="none" w:sz="0" w:space="0" w:color="auto"/>
                        <w:left w:val="none" w:sz="0" w:space="0" w:color="auto"/>
                        <w:bottom w:val="none" w:sz="0" w:space="0" w:color="auto"/>
                        <w:right w:val="none" w:sz="0" w:space="0" w:color="auto"/>
                      </w:divBdr>
                    </w:div>
                    <w:div w:id="436684474">
                      <w:marLeft w:val="0"/>
                      <w:marRight w:val="0"/>
                      <w:marTop w:val="256"/>
                      <w:marBottom w:val="256"/>
                      <w:divBdr>
                        <w:top w:val="none" w:sz="0" w:space="0" w:color="auto"/>
                        <w:left w:val="none" w:sz="0" w:space="0" w:color="auto"/>
                        <w:bottom w:val="none" w:sz="0" w:space="0" w:color="auto"/>
                        <w:right w:val="none" w:sz="0" w:space="0" w:color="auto"/>
                      </w:divBdr>
                    </w:div>
                    <w:div w:id="1571190639">
                      <w:marLeft w:val="0"/>
                      <w:marRight w:val="0"/>
                      <w:marTop w:val="256"/>
                      <w:marBottom w:val="256"/>
                      <w:divBdr>
                        <w:top w:val="none" w:sz="0" w:space="0" w:color="auto"/>
                        <w:left w:val="none" w:sz="0" w:space="0" w:color="auto"/>
                        <w:bottom w:val="none" w:sz="0" w:space="0" w:color="auto"/>
                        <w:right w:val="none" w:sz="0" w:space="0" w:color="auto"/>
                      </w:divBdr>
                    </w:div>
                    <w:div w:id="2106802365">
                      <w:marLeft w:val="0"/>
                      <w:marRight w:val="0"/>
                      <w:marTop w:val="256"/>
                      <w:marBottom w:val="256"/>
                      <w:divBdr>
                        <w:top w:val="none" w:sz="0" w:space="0" w:color="auto"/>
                        <w:left w:val="none" w:sz="0" w:space="0" w:color="auto"/>
                        <w:bottom w:val="none" w:sz="0" w:space="0" w:color="auto"/>
                        <w:right w:val="none" w:sz="0" w:space="0" w:color="auto"/>
                      </w:divBdr>
                    </w:div>
                    <w:div w:id="873733127">
                      <w:marLeft w:val="0"/>
                      <w:marRight w:val="0"/>
                      <w:marTop w:val="256"/>
                      <w:marBottom w:val="256"/>
                      <w:divBdr>
                        <w:top w:val="none" w:sz="0" w:space="0" w:color="auto"/>
                        <w:left w:val="none" w:sz="0" w:space="0" w:color="auto"/>
                        <w:bottom w:val="none" w:sz="0" w:space="0" w:color="auto"/>
                        <w:right w:val="none" w:sz="0" w:space="0" w:color="auto"/>
                      </w:divBdr>
                    </w:div>
                    <w:div w:id="1501388138">
                      <w:marLeft w:val="0"/>
                      <w:marRight w:val="0"/>
                      <w:marTop w:val="256"/>
                      <w:marBottom w:val="256"/>
                      <w:divBdr>
                        <w:top w:val="none" w:sz="0" w:space="0" w:color="auto"/>
                        <w:left w:val="none" w:sz="0" w:space="0" w:color="auto"/>
                        <w:bottom w:val="none" w:sz="0" w:space="0" w:color="auto"/>
                        <w:right w:val="none" w:sz="0" w:space="0" w:color="auto"/>
                      </w:divBdr>
                    </w:div>
                    <w:div w:id="1079795091">
                      <w:marLeft w:val="0"/>
                      <w:marRight w:val="0"/>
                      <w:marTop w:val="256"/>
                      <w:marBottom w:val="256"/>
                      <w:divBdr>
                        <w:top w:val="none" w:sz="0" w:space="0" w:color="auto"/>
                        <w:left w:val="none" w:sz="0" w:space="0" w:color="auto"/>
                        <w:bottom w:val="none" w:sz="0" w:space="0" w:color="auto"/>
                        <w:right w:val="none" w:sz="0" w:space="0" w:color="auto"/>
                      </w:divBdr>
                    </w:div>
                    <w:div w:id="1769501778">
                      <w:marLeft w:val="0"/>
                      <w:marRight w:val="0"/>
                      <w:marTop w:val="256"/>
                      <w:marBottom w:val="256"/>
                      <w:divBdr>
                        <w:top w:val="none" w:sz="0" w:space="0" w:color="auto"/>
                        <w:left w:val="none" w:sz="0" w:space="0" w:color="auto"/>
                        <w:bottom w:val="none" w:sz="0" w:space="0" w:color="auto"/>
                        <w:right w:val="none" w:sz="0" w:space="0" w:color="auto"/>
                      </w:divBdr>
                    </w:div>
                    <w:div w:id="385493059">
                      <w:marLeft w:val="0"/>
                      <w:marRight w:val="0"/>
                      <w:marTop w:val="256"/>
                      <w:marBottom w:val="256"/>
                      <w:divBdr>
                        <w:top w:val="none" w:sz="0" w:space="0" w:color="auto"/>
                        <w:left w:val="none" w:sz="0" w:space="0" w:color="auto"/>
                        <w:bottom w:val="none" w:sz="0" w:space="0" w:color="auto"/>
                        <w:right w:val="none" w:sz="0" w:space="0" w:color="auto"/>
                      </w:divBdr>
                    </w:div>
                    <w:div w:id="368184214">
                      <w:marLeft w:val="0"/>
                      <w:marRight w:val="0"/>
                      <w:marTop w:val="256"/>
                      <w:marBottom w:val="256"/>
                      <w:divBdr>
                        <w:top w:val="none" w:sz="0" w:space="0" w:color="auto"/>
                        <w:left w:val="none" w:sz="0" w:space="0" w:color="auto"/>
                        <w:bottom w:val="none" w:sz="0" w:space="0" w:color="auto"/>
                        <w:right w:val="none" w:sz="0" w:space="0" w:color="auto"/>
                      </w:divBdr>
                    </w:div>
                    <w:div w:id="273172270">
                      <w:marLeft w:val="0"/>
                      <w:marRight w:val="0"/>
                      <w:marTop w:val="256"/>
                      <w:marBottom w:val="256"/>
                      <w:divBdr>
                        <w:top w:val="none" w:sz="0" w:space="0" w:color="auto"/>
                        <w:left w:val="none" w:sz="0" w:space="0" w:color="auto"/>
                        <w:bottom w:val="none" w:sz="0" w:space="0" w:color="auto"/>
                        <w:right w:val="none" w:sz="0" w:space="0" w:color="auto"/>
                      </w:divBdr>
                    </w:div>
                    <w:div w:id="1247888058">
                      <w:marLeft w:val="0"/>
                      <w:marRight w:val="0"/>
                      <w:marTop w:val="256"/>
                      <w:marBottom w:val="256"/>
                      <w:divBdr>
                        <w:top w:val="none" w:sz="0" w:space="0" w:color="auto"/>
                        <w:left w:val="none" w:sz="0" w:space="0" w:color="auto"/>
                        <w:bottom w:val="none" w:sz="0" w:space="0" w:color="auto"/>
                        <w:right w:val="none" w:sz="0" w:space="0" w:color="auto"/>
                      </w:divBdr>
                    </w:div>
                    <w:div w:id="1902668351">
                      <w:marLeft w:val="0"/>
                      <w:marRight w:val="0"/>
                      <w:marTop w:val="256"/>
                      <w:marBottom w:val="256"/>
                      <w:divBdr>
                        <w:top w:val="none" w:sz="0" w:space="0" w:color="auto"/>
                        <w:left w:val="none" w:sz="0" w:space="0" w:color="auto"/>
                        <w:bottom w:val="none" w:sz="0" w:space="0" w:color="auto"/>
                        <w:right w:val="none" w:sz="0" w:space="0" w:color="auto"/>
                      </w:divBdr>
                    </w:div>
                    <w:div w:id="706025220">
                      <w:marLeft w:val="0"/>
                      <w:marRight w:val="0"/>
                      <w:marTop w:val="256"/>
                      <w:marBottom w:val="256"/>
                      <w:divBdr>
                        <w:top w:val="none" w:sz="0" w:space="0" w:color="auto"/>
                        <w:left w:val="none" w:sz="0" w:space="0" w:color="auto"/>
                        <w:bottom w:val="none" w:sz="0" w:space="0" w:color="auto"/>
                        <w:right w:val="none" w:sz="0" w:space="0" w:color="auto"/>
                      </w:divBdr>
                    </w:div>
                    <w:div w:id="357703804">
                      <w:marLeft w:val="0"/>
                      <w:marRight w:val="0"/>
                      <w:marTop w:val="256"/>
                      <w:marBottom w:val="256"/>
                      <w:divBdr>
                        <w:top w:val="none" w:sz="0" w:space="0" w:color="auto"/>
                        <w:left w:val="none" w:sz="0" w:space="0" w:color="auto"/>
                        <w:bottom w:val="none" w:sz="0" w:space="0" w:color="auto"/>
                        <w:right w:val="none" w:sz="0" w:space="0" w:color="auto"/>
                      </w:divBdr>
                    </w:div>
                    <w:div w:id="962231445">
                      <w:marLeft w:val="0"/>
                      <w:marRight w:val="0"/>
                      <w:marTop w:val="256"/>
                      <w:marBottom w:val="256"/>
                      <w:divBdr>
                        <w:top w:val="none" w:sz="0" w:space="0" w:color="auto"/>
                        <w:left w:val="none" w:sz="0" w:space="0" w:color="auto"/>
                        <w:bottom w:val="none" w:sz="0" w:space="0" w:color="auto"/>
                        <w:right w:val="none" w:sz="0" w:space="0" w:color="auto"/>
                      </w:divBdr>
                    </w:div>
                    <w:div w:id="357657078">
                      <w:marLeft w:val="0"/>
                      <w:marRight w:val="0"/>
                      <w:marTop w:val="256"/>
                      <w:marBottom w:val="256"/>
                      <w:divBdr>
                        <w:top w:val="none" w:sz="0" w:space="0" w:color="auto"/>
                        <w:left w:val="none" w:sz="0" w:space="0" w:color="auto"/>
                        <w:bottom w:val="none" w:sz="0" w:space="0" w:color="auto"/>
                        <w:right w:val="none" w:sz="0" w:space="0" w:color="auto"/>
                      </w:divBdr>
                    </w:div>
                    <w:div w:id="497891431">
                      <w:marLeft w:val="0"/>
                      <w:marRight w:val="0"/>
                      <w:marTop w:val="256"/>
                      <w:marBottom w:val="256"/>
                      <w:divBdr>
                        <w:top w:val="none" w:sz="0" w:space="0" w:color="auto"/>
                        <w:left w:val="none" w:sz="0" w:space="0" w:color="auto"/>
                        <w:bottom w:val="none" w:sz="0" w:space="0" w:color="auto"/>
                        <w:right w:val="none" w:sz="0" w:space="0" w:color="auto"/>
                      </w:divBdr>
                    </w:div>
                    <w:div w:id="1359085873">
                      <w:marLeft w:val="0"/>
                      <w:marRight w:val="0"/>
                      <w:marTop w:val="256"/>
                      <w:marBottom w:val="256"/>
                      <w:divBdr>
                        <w:top w:val="none" w:sz="0" w:space="0" w:color="auto"/>
                        <w:left w:val="none" w:sz="0" w:space="0" w:color="auto"/>
                        <w:bottom w:val="none" w:sz="0" w:space="0" w:color="auto"/>
                        <w:right w:val="none" w:sz="0" w:space="0" w:color="auto"/>
                      </w:divBdr>
                    </w:div>
                    <w:div w:id="817575240">
                      <w:marLeft w:val="0"/>
                      <w:marRight w:val="0"/>
                      <w:marTop w:val="256"/>
                      <w:marBottom w:val="256"/>
                      <w:divBdr>
                        <w:top w:val="none" w:sz="0" w:space="0" w:color="auto"/>
                        <w:left w:val="none" w:sz="0" w:space="0" w:color="auto"/>
                        <w:bottom w:val="none" w:sz="0" w:space="0" w:color="auto"/>
                        <w:right w:val="none" w:sz="0" w:space="0" w:color="auto"/>
                      </w:divBdr>
                    </w:div>
                    <w:div w:id="711463010">
                      <w:marLeft w:val="0"/>
                      <w:marRight w:val="0"/>
                      <w:marTop w:val="256"/>
                      <w:marBottom w:val="256"/>
                      <w:divBdr>
                        <w:top w:val="none" w:sz="0" w:space="0" w:color="auto"/>
                        <w:left w:val="none" w:sz="0" w:space="0" w:color="auto"/>
                        <w:bottom w:val="none" w:sz="0" w:space="0" w:color="auto"/>
                        <w:right w:val="none" w:sz="0" w:space="0" w:color="auto"/>
                      </w:divBdr>
                    </w:div>
                    <w:div w:id="463812162">
                      <w:marLeft w:val="0"/>
                      <w:marRight w:val="0"/>
                      <w:marTop w:val="256"/>
                      <w:marBottom w:val="256"/>
                      <w:divBdr>
                        <w:top w:val="none" w:sz="0" w:space="0" w:color="auto"/>
                        <w:left w:val="none" w:sz="0" w:space="0" w:color="auto"/>
                        <w:bottom w:val="none" w:sz="0" w:space="0" w:color="auto"/>
                        <w:right w:val="none" w:sz="0" w:space="0" w:color="auto"/>
                      </w:divBdr>
                    </w:div>
                    <w:div w:id="374889247">
                      <w:marLeft w:val="0"/>
                      <w:marRight w:val="0"/>
                      <w:marTop w:val="256"/>
                      <w:marBottom w:val="256"/>
                      <w:divBdr>
                        <w:top w:val="none" w:sz="0" w:space="0" w:color="auto"/>
                        <w:left w:val="none" w:sz="0" w:space="0" w:color="auto"/>
                        <w:bottom w:val="none" w:sz="0" w:space="0" w:color="auto"/>
                        <w:right w:val="none" w:sz="0" w:space="0" w:color="auto"/>
                      </w:divBdr>
                    </w:div>
                    <w:div w:id="1757940203">
                      <w:marLeft w:val="0"/>
                      <w:marRight w:val="0"/>
                      <w:marTop w:val="256"/>
                      <w:marBottom w:val="256"/>
                      <w:divBdr>
                        <w:top w:val="none" w:sz="0" w:space="0" w:color="auto"/>
                        <w:left w:val="none" w:sz="0" w:space="0" w:color="auto"/>
                        <w:bottom w:val="none" w:sz="0" w:space="0" w:color="auto"/>
                        <w:right w:val="none" w:sz="0" w:space="0" w:color="auto"/>
                      </w:divBdr>
                    </w:div>
                    <w:div w:id="180166502">
                      <w:marLeft w:val="0"/>
                      <w:marRight w:val="0"/>
                      <w:marTop w:val="256"/>
                      <w:marBottom w:val="256"/>
                      <w:divBdr>
                        <w:top w:val="none" w:sz="0" w:space="0" w:color="auto"/>
                        <w:left w:val="none" w:sz="0" w:space="0" w:color="auto"/>
                        <w:bottom w:val="none" w:sz="0" w:space="0" w:color="auto"/>
                        <w:right w:val="none" w:sz="0" w:space="0" w:color="auto"/>
                      </w:divBdr>
                    </w:div>
                    <w:div w:id="391537134">
                      <w:marLeft w:val="0"/>
                      <w:marRight w:val="0"/>
                      <w:marTop w:val="256"/>
                      <w:marBottom w:val="256"/>
                      <w:divBdr>
                        <w:top w:val="none" w:sz="0" w:space="0" w:color="auto"/>
                        <w:left w:val="none" w:sz="0" w:space="0" w:color="auto"/>
                        <w:bottom w:val="none" w:sz="0" w:space="0" w:color="auto"/>
                        <w:right w:val="none" w:sz="0" w:space="0" w:color="auto"/>
                      </w:divBdr>
                    </w:div>
                    <w:div w:id="165943426">
                      <w:marLeft w:val="0"/>
                      <w:marRight w:val="0"/>
                      <w:marTop w:val="256"/>
                      <w:marBottom w:val="256"/>
                      <w:divBdr>
                        <w:top w:val="none" w:sz="0" w:space="0" w:color="auto"/>
                        <w:left w:val="none" w:sz="0" w:space="0" w:color="auto"/>
                        <w:bottom w:val="none" w:sz="0" w:space="0" w:color="auto"/>
                        <w:right w:val="none" w:sz="0" w:space="0" w:color="auto"/>
                      </w:divBdr>
                    </w:div>
                    <w:div w:id="971902686">
                      <w:marLeft w:val="0"/>
                      <w:marRight w:val="0"/>
                      <w:marTop w:val="256"/>
                      <w:marBottom w:val="256"/>
                      <w:divBdr>
                        <w:top w:val="none" w:sz="0" w:space="0" w:color="auto"/>
                        <w:left w:val="none" w:sz="0" w:space="0" w:color="auto"/>
                        <w:bottom w:val="none" w:sz="0" w:space="0" w:color="auto"/>
                        <w:right w:val="none" w:sz="0" w:space="0" w:color="auto"/>
                      </w:divBdr>
                    </w:div>
                    <w:div w:id="1994985391">
                      <w:marLeft w:val="0"/>
                      <w:marRight w:val="0"/>
                      <w:marTop w:val="256"/>
                      <w:marBottom w:val="256"/>
                      <w:divBdr>
                        <w:top w:val="none" w:sz="0" w:space="0" w:color="auto"/>
                        <w:left w:val="none" w:sz="0" w:space="0" w:color="auto"/>
                        <w:bottom w:val="none" w:sz="0" w:space="0" w:color="auto"/>
                        <w:right w:val="none" w:sz="0" w:space="0" w:color="auto"/>
                      </w:divBdr>
                    </w:div>
                    <w:div w:id="1169634792">
                      <w:marLeft w:val="0"/>
                      <w:marRight w:val="0"/>
                      <w:marTop w:val="256"/>
                      <w:marBottom w:val="256"/>
                      <w:divBdr>
                        <w:top w:val="none" w:sz="0" w:space="0" w:color="auto"/>
                        <w:left w:val="none" w:sz="0" w:space="0" w:color="auto"/>
                        <w:bottom w:val="none" w:sz="0" w:space="0" w:color="auto"/>
                        <w:right w:val="none" w:sz="0" w:space="0" w:color="auto"/>
                      </w:divBdr>
                    </w:div>
                    <w:div w:id="737366918">
                      <w:marLeft w:val="0"/>
                      <w:marRight w:val="0"/>
                      <w:marTop w:val="256"/>
                      <w:marBottom w:val="256"/>
                      <w:divBdr>
                        <w:top w:val="none" w:sz="0" w:space="0" w:color="auto"/>
                        <w:left w:val="none" w:sz="0" w:space="0" w:color="auto"/>
                        <w:bottom w:val="none" w:sz="0" w:space="0" w:color="auto"/>
                        <w:right w:val="none" w:sz="0" w:space="0" w:color="auto"/>
                      </w:divBdr>
                    </w:div>
                    <w:div w:id="1538351566">
                      <w:marLeft w:val="0"/>
                      <w:marRight w:val="0"/>
                      <w:marTop w:val="256"/>
                      <w:marBottom w:val="256"/>
                      <w:divBdr>
                        <w:top w:val="none" w:sz="0" w:space="0" w:color="auto"/>
                        <w:left w:val="none" w:sz="0" w:space="0" w:color="auto"/>
                        <w:bottom w:val="none" w:sz="0" w:space="0" w:color="auto"/>
                        <w:right w:val="none" w:sz="0" w:space="0" w:color="auto"/>
                      </w:divBdr>
                    </w:div>
                    <w:div w:id="839660084">
                      <w:marLeft w:val="0"/>
                      <w:marRight w:val="0"/>
                      <w:marTop w:val="256"/>
                      <w:marBottom w:val="256"/>
                      <w:divBdr>
                        <w:top w:val="none" w:sz="0" w:space="0" w:color="auto"/>
                        <w:left w:val="none" w:sz="0" w:space="0" w:color="auto"/>
                        <w:bottom w:val="none" w:sz="0" w:space="0" w:color="auto"/>
                        <w:right w:val="none" w:sz="0" w:space="0" w:color="auto"/>
                      </w:divBdr>
                    </w:div>
                    <w:div w:id="200291633">
                      <w:marLeft w:val="0"/>
                      <w:marRight w:val="0"/>
                      <w:marTop w:val="256"/>
                      <w:marBottom w:val="256"/>
                      <w:divBdr>
                        <w:top w:val="none" w:sz="0" w:space="0" w:color="auto"/>
                        <w:left w:val="none" w:sz="0" w:space="0" w:color="auto"/>
                        <w:bottom w:val="none" w:sz="0" w:space="0" w:color="auto"/>
                        <w:right w:val="none" w:sz="0" w:space="0" w:color="auto"/>
                      </w:divBdr>
                    </w:div>
                    <w:div w:id="960305168">
                      <w:marLeft w:val="0"/>
                      <w:marRight w:val="0"/>
                      <w:marTop w:val="256"/>
                      <w:marBottom w:val="256"/>
                      <w:divBdr>
                        <w:top w:val="none" w:sz="0" w:space="0" w:color="auto"/>
                        <w:left w:val="none" w:sz="0" w:space="0" w:color="auto"/>
                        <w:bottom w:val="none" w:sz="0" w:space="0" w:color="auto"/>
                        <w:right w:val="none" w:sz="0" w:space="0" w:color="auto"/>
                      </w:divBdr>
                    </w:div>
                    <w:div w:id="698119036">
                      <w:marLeft w:val="0"/>
                      <w:marRight w:val="0"/>
                      <w:marTop w:val="256"/>
                      <w:marBottom w:val="256"/>
                      <w:divBdr>
                        <w:top w:val="none" w:sz="0" w:space="0" w:color="auto"/>
                        <w:left w:val="none" w:sz="0" w:space="0" w:color="auto"/>
                        <w:bottom w:val="none" w:sz="0" w:space="0" w:color="auto"/>
                        <w:right w:val="none" w:sz="0" w:space="0" w:color="auto"/>
                      </w:divBdr>
                    </w:div>
                    <w:div w:id="31151374">
                      <w:marLeft w:val="0"/>
                      <w:marRight w:val="0"/>
                      <w:marTop w:val="256"/>
                      <w:marBottom w:val="256"/>
                      <w:divBdr>
                        <w:top w:val="none" w:sz="0" w:space="0" w:color="auto"/>
                        <w:left w:val="none" w:sz="0" w:space="0" w:color="auto"/>
                        <w:bottom w:val="none" w:sz="0" w:space="0" w:color="auto"/>
                        <w:right w:val="none" w:sz="0" w:space="0" w:color="auto"/>
                      </w:divBdr>
                    </w:div>
                    <w:div w:id="327052852">
                      <w:marLeft w:val="0"/>
                      <w:marRight w:val="0"/>
                      <w:marTop w:val="256"/>
                      <w:marBottom w:val="256"/>
                      <w:divBdr>
                        <w:top w:val="none" w:sz="0" w:space="0" w:color="auto"/>
                        <w:left w:val="none" w:sz="0" w:space="0" w:color="auto"/>
                        <w:bottom w:val="none" w:sz="0" w:space="0" w:color="auto"/>
                        <w:right w:val="none" w:sz="0" w:space="0" w:color="auto"/>
                      </w:divBdr>
                    </w:div>
                    <w:div w:id="1706444067">
                      <w:marLeft w:val="0"/>
                      <w:marRight w:val="0"/>
                      <w:marTop w:val="256"/>
                      <w:marBottom w:val="256"/>
                      <w:divBdr>
                        <w:top w:val="none" w:sz="0" w:space="0" w:color="auto"/>
                        <w:left w:val="none" w:sz="0" w:space="0" w:color="auto"/>
                        <w:bottom w:val="none" w:sz="0" w:space="0" w:color="auto"/>
                        <w:right w:val="none" w:sz="0" w:space="0" w:color="auto"/>
                      </w:divBdr>
                    </w:div>
                    <w:div w:id="1698382625">
                      <w:marLeft w:val="0"/>
                      <w:marRight w:val="0"/>
                      <w:marTop w:val="256"/>
                      <w:marBottom w:val="256"/>
                      <w:divBdr>
                        <w:top w:val="none" w:sz="0" w:space="0" w:color="auto"/>
                        <w:left w:val="none" w:sz="0" w:space="0" w:color="auto"/>
                        <w:bottom w:val="none" w:sz="0" w:space="0" w:color="auto"/>
                        <w:right w:val="none" w:sz="0" w:space="0" w:color="auto"/>
                      </w:divBdr>
                    </w:div>
                    <w:div w:id="1871066344">
                      <w:marLeft w:val="0"/>
                      <w:marRight w:val="0"/>
                      <w:marTop w:val="256"/>
                      <w:marBottom w:val="256"/>
                      <w:divBdr>
                        <w:top w:val="none" w:sz="0" w:space="0" w:color="auto"/>
                        <w:left w:val="none" w:sz="0" w:space="0" w:color="auto"/>
                        <w:bottom w:val="none" w:sz="0" w:space="0" w:color="auto"/>
                        <w:right w:val="none" w:sz="0" w:space="0" w:color="auto"/>
                      </w:divBdr>
                    </w:div>
                    <w:div w:id="1164473855">
                      <w:marLeft w:val="0"/>
                      <w:marRight w:val="0"/>
                      <w:marTop w:val="256"/>
                      <w:marBottom w:val="256"/>
                      <w:divBdr>
                        <w:top w:val="none" w:sz="0" w:space="0" w:color="auto"/>
                        <w:left w:val="none" w:sz="0" w:space="0" w:color="auto"/>
                        <w:bottom w:val="none" w:sz="0" w:space="0" w:color="auto"/>
                        <w:right w:val="none" w:sz="0" w:space="0" w:color="auto"/>
                      </w:divBdr>
                    </w:div>
                    <w:div w:id="1717002044">
                      <w:marLeft w:val="0"/>
                      <w:marRight w:val="0"/>
                      <w:marTop w:val="256"/>
                      <w:marBottom w:val="256"/>
                      <w:divBdr>
                        <w:top w:val="none" w:sz="0" w:space="0" w:color="auto"/>
                        <w:left w:val="none" w:sz="0" w:space="0" w:color="auto"/>
                        <w:bottom w:val="none" w:sz="0" w:space="0" w:color="auto"/>
                        <w:right w:val="none" w:sz="0" w:space="0" w:color="auto"/>
                      </w:divBdr>
                    </w:div>
                    <w:div w:id="869487346">
                      <w:marLeft w:val="0"/>
                      <w:marRight w:val="0"/>
                      <w:marTop w:val="256"/>
                      <w:marBottom w:val="256"/>
                      <w:divBdr>
                        <w:top w:val="none" w:sz="0" w:space="0" w:color="auto"/>
                        <w:left w:val="none" w:sz="0" w:space="0" w:color="auto"/>
                        <w:bottom w:val="none" w:sz="0" w:space="0" w:color="auto"/>
                        <w:right w:val="none" w:sz="0" w:space="0" w:color="auto"/>
                      </w:divBdr>
                    </w:div>
                    <w:div w:id="853224076">
                      <w:marLeft w:val="0"/>
                      <w:marRight w:val="0"/>
                      <w:marTop w:val="256"/>
                      <w:marBottom w:val="256"/>
                      <w:divBdr>
                        <w:top w:val="none" w:sz="0" w:space="0" w:color="auto"/>
                        <w:left w:val="none" w:sz="0" w:space="0" w:color="auto"/>
                        <w:bottom w:val="none" w:sz="0" w:space="0" w:color="auto"/>
                        <w:right w:val="none" w:sz="0" w:space="0" w:color="auto"/>
                      </w:divBdr>
                    </w:div>
                    <w:div w:id="1391685673">
                      <w:marLeft w:val="0"/>
                      <w:marRight w:val="0"/>
                      <w:marTop w:val="256"/>
                      <w:marBottom w:val="256"/>
                      <w:divBdr>
                        <w:top w:val="none" w:sz="0" w:space="0" w:color="auto"/>
                        <w:left w:val="none" w:sz="0" w:space="0" w:color="auto"/>
                        <w:bottom w:val="none" w:sz="0" w:space="0" w:color="auto"/>
                        <w:right w:val="none" w:sz="0" w:space="0" w:color="auto"/>
                      </w:divBdr>
                    </w:div>
                    <w:div w:id="2054885726">
                      <w:marLeft w:val="0"/>
                      <w:marRight w:val="0"/>
                      <w:marTop w:val="256"/>
                      <w:marBottom w:val="256"/>
                      <w:divBdr>
                        <w:top w:val="none" w:sz="0" w:space="0" w:color="auto"/>
                        <w:left w:val="none" w:sz="0" w:space="0" w:color="auto"/>
                        <w:bottom w:val="none" w:sz="0" w:space="0" w:color="auto"/>
                        <w:right w:val="none" w:sz="0" w:space="0" w:color="auto"/>
                      </w:divBdr>
                    </w:div>
                    <w:div w:id="1622497174">
                      <w:marLeft w:val="0"/>
                      <w:marRight w:val="0"/>
                      <w:marTop w:val="256"/>
                      <w:marBottom w:val="256"/>
                      <w:divBdr>
                        <w:top w:val="none" w:sz="0" w:space="0" w:color="auto"/>
                        <w:left w:val="none" w:sz="0" w:space="0" w:color="auto"/>
                        <w:bottom w:val="none" w:sz="0" w:space="0" w:color="auto"/>
                        <w:right w:val="none" w:sz="0" w:space="0" w:color="auto"/>
                      </w:divBdr>
                    </w:div>
                    <w:div w:id="1000543257">
                      <w:marLeft w:val="0"/>
                      <w:marRight w:val="0"/>
                      <w:marTop w:val="256"/>
                      <w:marBottom w:val="256"/>
                      <w:divBdr>
                        <w:top w:val="none" w:sz="0" w:space="0" w:color="auto"/>
                        <w:left w:val="none" w:sz="0" w:space="0" w:color="auto"/>
                        <w:bottom w:val="none" w:sz="0" w:space="0" w:color="auto"/>
                        <w:right w:val="none" w:sz="0" w:space="0" w:color="auto"/>
                      </w:divBdr>
                    </w:div>
                    <w:div w:id="337580643">
                      <w:marLeft w:val="0"/>
                      <w:marRight w:val="0"/>
                      <w:marTop w:val="256"/>
                      <w:marBottom w:val="256"/>
                      <w:divBdr>
                        <w:top w:val="none" w:sz="0" w:space="0" w:color="auto"/>
                        <w:left w:val="none" w:sz="0" w:space="0" w:color="auto"/>
                        <w:bottom w:val="none" w:sz="0" w:space="0" w:color="auto"/>
                        <w:right w:val="none" w:sz="0" w:space="0" w:color="auto"/>
                      </w:divBdr>
                    </w:div>
                    <w:div w:id="1874414856">
                      <w:marLeft w:val="0"/>
                      <w:marRight w:val="0"/>
                      <w:marTop w:val="256"/>
                      <w:marBottom w:val="256"/>
                      <w:divBdr>
                        <w:top w:val="none" w:sz="0" w:space="0" w:color="auto"/>
                        <w:left w:val="none" w:sz="0" w:space="0" w:color="auto"/>
                        <w:bottom w:val="none" w:sz="0" w:space="0" w:color="auto"/>
                        <w:right w:val="none" w:sz="0" w:space="0" w:color="auto"/>
                      </w:divBdr>
                    </w:div>
                    <w:div w:id="1522426318">
                      <w:marLeft w:val="0"/>
                      <w:marRight w:val="0"/>
                      <w:marTop w:val="256"/>
                      <w:marBottom w:val="256"/>
                      <w:divBdr>
                        <w:top w:val="none" w:sz="0" w:space="0" w:color="auto"/>
                        <w:left w:val="none" w:sz="0" w:space="0" w:color="auto"/>
                        <w:bottom w:val="none" w:sz="0" w:space="0" w:color="auto"/>
                        <w:right w:val="none" w:sz="0" w:space="0" w:color="auto"/>
                      </w:divBdr>
                    </w:div>
                    <w:div w:id="1370640184">
                      <w:marLeft w:val="0"/>
                      <w:marRight w:val="0"/>
                      <w:marTop w:val="256"/>
                      <w:marBottom w:val="256"/>
                      <w:divBdr>
                        <w:top w:val="none" w:sz="0" w:space="0" w:color="auto"/>
                        <w:left w:val="none" w:sz="0" w:space="0" w:color="auto"/>
                        <w:bottom w:val="none" w:sz="0" w:space="0" w:color="auto"/>
                        <w:right w:val="none" w:sz="0" w:space="0" w:color="auto"/>
                      </w:divBdr>
                    </w:div>
                    <w:div w:id="951328588">
                      <w:marLeft w:val="0"/>
                      <w:marRight w:val="0"/>
                      <w:marTop w:val="256"/>
                      <w:marBottom w:val="256"/>
                      <w:divBdr>
                        <w:top w:val="none" w:sz="0" w:space="0" w:color="auto"/>
                        <w:left w:val="none" w:sz="0" w:space="0" w:color="auto"/>
                        <w:bottom w:val="none" w:sz="0" w:space="0" w:color="auto"/>
                        <w:right w:val="none" w:sz="0" w:space="0" w:color="auto"/>
                      </w:divBdr>
                    </w:div>
                    <w:div w:id="1000156899">
                      <w:marLeft w:val="0"/>
                      <w:marRight w:val="0"/>
                      <w:marTop w:val="256"/>
                      <w:marBottom w:val="256"/>
                      <w:divBdr>
                        <w:top w:val="none" w:sz="0" w:space="0" w:color="auto"/>
                        <w:left w:val="none" w:sz="0" w:space="0" w:color="auto"/>
                        <w:bottom w:val="none" w:sz="0" w:space="0" w:color="auto"/>
                        <w:right w:val="none" w:sz="0" w:space="0" w:color="auto"/>
                      </w:divBdr>
                    </w:div>
                    <w:div w:id="1346404331">
                      <w:marLeft w:val="0"/>
                      <w:marRight w:val="0"/>
                      <w:marTop w:val="256"/>
                      <w:marBottom w:val="256"/>
                      <w:divBdr>
                        <w:top w:val="none" w:sz="0" w:space="0" w:color="auto"/>
                        <w:left w:val="none" w:sz="0" w:space="0" w:color="auto"/>
                        <w:bottom w:val="none" w:sz="0" w:space="0" w:color="auto"/>
                        <w:right w:val="none" w:sz="0" w:space="0" w:color="auto"/>
                      </w:divBdr>
                    </w:div>
                    <w:div w:id="454645473">
                      <w:marLeft w:val="0"/>
                      <w:marRight w:val="0"/>
                      <w:marTop w:val="256"/>
                      <w:marBottom w:val="256"/>
                      <w:divBdr>
                        <w:top w:val="none" w:sz="0" w:space="0" w:color="auto"/>
                        <w:left w:val="none" w:sz="0" w:space="0" w:color="auto"/>
                        <w:bottom w:val="none" w:sz="0" w:space="0" w:color="auto"/>
                        <w:right w:val="none" w:sz="0" w:space="0" w:color="auto"/>
                      </w:divBdr>
                    </w:div>
                    <w:div w:id="654996707">
                      <w:marLeft w:val="0"/>
                      <w:marRight w:val="0"/>
                      <w:marTop w:val="256"/>
                      <w:marBottom w:val="256"/>
                      <w:divBdr>
                        <w:top w:val="none" w:sz="0" w:space="0" w:color="auto"/>
                        <w:left w:val="none" w:sz="0" w:space="0" w:color="auto"/>
                        <w:bottom w:val="none" w:sz="0" w:space="0" w:color="auto"/>
                        <w:right w:val="none" w:sz="0" w:space="0" w:color="auto"/>
                      </w:divBdr>
                    </w:div>
                    <w:div w:id="1515458567">
                      <w:marLeft w:val="0"/>
                      <w:marRight w:val="0"/>
                      <w:marTop w:val="256"/>
                      <w:marBottom w:val="256"/>
                      <w:divBdr>
                        <w:top w:val="none" w:sz="0" w:space="0" w:color="auto"/>
                        <w:left w:val="none" w:sz="0" w:space="0" w:color="auto"/>
                        <w:bottom w:val="none" w:sz="0" w:space="0" w:color="auto"/>
                        <w:right w:val="none" w:sz="0" w:space="0" w:color="auto"/>
                      </w:divBdr>
                    </w:div>
                    <w:div w:id="1958027405">
                      <w:marLeft w:val="0"/>
                      <w:marRight w:val="0"/>
                      <w:marTop w:val="256"/>
                      <w:marBottom w:val="256"/>
                      <w:divBdr>
                        <w:top w:val="none" w:sz="0" w:space="0" w:color="auto"/>
                        <w:left w:val="none" w:sz="0" w:space="0" w:color="auto"/>
                        <w:bottom w:val="none" w:sz="0" w:space="0" w:color="auto"/>
                        <w:right w:val="none" w:sz="0" w:space="0" w:color="auto"/>
                      </w:divBdr>
                    </w:div>
                    <w:div w:id="1574047446">
                      <w:marLeft w:val="0"/>
                      <w:marRight w:val="0"/>
                      <w:marTop w:val="256"/>
                      <w:marBottom w:val="256"/>
                      <w:divBdr>
                        <w:top w:val="none" w:sz="0" w:space="0" w:color="auto"/>
                        <w:left w:val="none" w:sz="0" w:space="0" w:color="auto"/>
                        <w:bottom w:val="none" w:sz="0" w:space="0" w:color="auto"/>
                        <w:right w:val="none" w:sz="0" w:space="0" w:color="auto"/>
                      </w:divBdr>
                    </w:div>
                    <w:div w:id="700282403">
                      <w:marLeft w:val="0"/>
                      <w:marRight w:val="0"/>
                      <w:marTop w:val="256"/>
                      <w:marBottom w:val="256"/>
                      <w:divBdr>
                        <w:top w:val="none" w:sz="0" w:space="0" w:color="auto"/>
                        <w:left w:val="none" w:sz="0" w:space="0" w:color="auto"/>
                        <w:bottom w:val="none" w:sz="0" w:space="0" w:color="auto"/>
                        <w:right w:val="none" w:sz="0" w:space="0" w:color="auto"/>
                      </w:divBdr>
                    </w:div>
                    <w:div w:id="1452283307">
                      <w:marLeft w:val="0"/>
                      <w:marRight w:val="0"/>
                      <w:marTop w:val="256"/>
                      <w:marBottom w:val="256"/>
                      <w:divBdr>
                        <w:top w:val="none" w:sz="0" w:space="0" w:color="auto"/>
                        <w:left w:val="none" w:sz="0" w:space="0" w:color="auto"/>
                        <w:bottom w:val="none" w:sz="0" w:space="0" w:color="auto"/>
                        <w:right w:val="none" w:sz="0" w:space="0" w:color="auto"/>
                      </w:divBdr>
                    </w:div>
                    <w:div w:id="1580287736">
                      <w:marLeft w:val="0"/>
                      <w:marRight w:val="0"/>
                      <w:marTop w:val="256"/>
                      <w:marBottom w:val="256"/>
                      <w:divBdr>
                        <w:top w:val="none" w:sz="0" w:space="0" w:color="auto"/>
                        <w:left w:val="none" w:sz="0" w:space="0" w:color="auto"/>
                        <w:bottom w:val="none" w:sz="0" w:space="0" w:color="auto"/>
                        <w:right w:val="none" w:sz="0" w:space="0" w:color="auto"/>
                      </w:divBdr>
                    </w:div>
                    <w:div w:id="1066149658">
                      <w:marLeft w:val="0"/>
                      <w:marRight w:val="0"/>
                      <w:marTop w:val="256"/>
                      <w:marBottom w:val="256"/>
                      <w:divBdr>
                        <w:top w:val="none" w:sz="0" w:space="0" w:color="auto"/>
                        <w:left w:val="none" w:sz="0" w:space="0" w:color="auto"/>
                        <w:bottom w:val="none" w:sz="0" w:space="0" w:color="auto"/>
                        <w:right w:val="none" w:sz="0" w:space="0" w:color="auto"/>
                      </w:divBdr>
                    </w:div>
                    <w:div w:id="327251331">
                      <w:marLeft w:val="0"/>
                      <w:marRight w:val="0"/>
                      <w:marTop w:val="256"/>
                      <w:marBottom w:val="256"/>
                      <w:divBdr>
                        <w:top w:val="none" w:sz="0" w:space="0" w:color="auto"/>
                        <w:left w:val="none" w:sz="0" w:space="0" w:color="auto"/>
                        <w:bottom w:val="none" w:sz="0" w:space="0" w:color="auto"/>
                        <w:right w:val="none" w:sz="0" w:space="0" w:color="auto"/>
                      </w:divBdr>
                    </w:div>
                    <w:div w:id="985547695">
                      <w:marLeft w:val="0"/>
                      <w:marRight w:val="0"/>
                      <w:marTop w:val="256"/>
                      <w:marBottom w:val="256"/>
                      <w:divBdr>
                        <w:top w:val="none" w:sz="0" w:space="0" w:color="auto"/>
                        <w:left w:val="none" w:sz="0" w:space="0" w:color="auto"/>
                        <w:bottom w:val="none" w:sz="0" w:space="0" w:color="auto"/>
                        <w:right w:val="none" w:sz="0" w:space="0" w:color="auto"/>
                      </w:divBdr>
                    </w:div>
                    <w:div w:id="953436739">
                      <w:marLeft w:val="0"/>
                      <w:marRight w:val="0"/>
                      <w:marTop w:val="256"/>
                      <w:marBottom w:val="256"/>
                      <w:divBdr>
                        <w:top w:val="none" w:sz="0" w:space="0" w:color="auto"/>
                        <w:left w:val="none" w:sz="0" w:space="0" w:color="auto"/>
                        <w:bottom w:val="none" w:sz="0" w:space="0" w:color="auto"/>
                        <w:right w:val="none" w:sz="0" w:space="0" w:color="auto"/>
                      </w:divBdr>
                    </w:div>
                    <w:div w:id="159463436">
                      <w:marLeft w:val="0"/>
                      <w:marRight w:val="0"/>
                      <w:marTop w:val="256"/>
                      <w:marBottom w:val="256"/>
                      <w:divBdr>
                        <w:top w:val="none" w:sz="0" w:space="0" w:color="auto"/>
                        <w:left w:val="none" w:sz="0" w:space="0" w:color="auto"/>
                        <w:bottom w:val="none" w:sz="0" w:space="0" w:color="auto"/>
                        <w:right w:val="none" w:sz="0" w:space="0" w:color="auto"/>
                      </w:divBdr>
                    </w:div>
                    <w:div w:id="795759507">
                      <w:marLeft w:val="0"/>
                      <w:marRight w:val="0"/>
                      <w:marTop w:val="256"/>
                      <w:marBottom w:val="256"/>
                      <w:divBdr>
                        <w:top w:val="none" w:sz="0" w:space="0" w:color="auto"/>
                        <w:left w:val="none" w:sz="0" w:space="0" w:color="auto"/>
                        <w:bottom w:val="none" w:sz="0" w:space="0" w:color="auto"/>
                        <w:right w:val="none" w:sz="0" w:space="0" w:color="auto"/>
                      </w:divBdr>
                    </w:div>
                    <w:div w:id="1499226629">
                      <w:marLeft w:val="0"/>
                      <w:marRight w:val="0"/>
                      <w:marTop w:val="256"/>
                      <w:marBottom w:val="256"/>
                      <w:divBdr>
                        <w:top w:val="none" w:sz="0" w:space="0" w:color="auto"/>
                        <w:left w:val="none" w:sz="0" w:space="0" w:color="auto"/>
                        <w:bottom w:val="none" w:sz="0" w:space="0" w:color="auto"/>
                        <w:right w:val="none" w:sz="0" w:space="0" w:color="auto"/>
                      </w:divBdr>
                    </w:div>
                    <w:div w:id="1903175632">
                      <w:marLeft w:val="0"/>
                      <w:marRight w:val="0"/>
                      <w:marTop w:val="256"/>
                      <w:marBottom w:val="256"/>
                      <w:divBdr>
                        <w:top w:val="none" w:sz="0" w:space="0" w:color="auto"/>
                        <w:left w:val="none" w:sz="0" w:space="0" w:color="auto"/>
                        <w:bottom w:val="none" w:sz="0" w:space="0" w:color="auto"/>
                        <w:right w:val="none" w:sz="0" w:space="0" w:color="auto"/>
                      </w:divBdr>
                    </w:div>
                    <w:div w:id="1702633089">
                      <w:marLeft w:val="0"/>
                      <w:marRight w:val="0"/>
                      <w:marTop w:val="256"/>
                      <w:marBottom w:val="256"/>
                      <w:divBdr>
                        <w:top w:val="none" w:sz="0" w:space="0" w:color="auto"/>
                        <w:left w:val="none" w:sz="0" w:space="0" w:color="auto"/>
                        <w:bottom w:val="none" w:sz="0" w:space="0" w:color="auto"/>
                        <w:right w:val="none" w:sz="0" w:space="0" w:color="auto"/>
                      </w:divBdr>
                    </w:div>
                    <w:div w:id="1322730103">
                      <w:marLeft w:val="0"/>
                      <w:marRight w:val="0"/>
                      <w:marTop w:val="256"/>
                      <w:marBottom w:val="256"/>
                      <w:divBdr>
                        <w:top w:val="none" w:sz="0" w:space="0" w:color="auto"/>
                        <w:left w:val="none" w:sz="0" w:space="0" w:color="auto"/>
                        <w:bottom w:val="none" w:sz="0" w:space="0" w:color="auto"/>
                        <w:right w:val="none" w:sz="0" w:space="0" w:color="auto"/>
                      </w:divBdr>
                    </w:div>
                    <w:div w:id="1623268994">
                      <w:marLeft w:val="0"/>
                      <w:marRight w:val="0"/>
                      <w:marTop w:val="256"/>
                      <w:marBottom w:val="256"/>
                      <w:divBdr>
                        <w:top w:val="none" w:sz="0" w:space="0" w:color="auto"/>
                        <w:left w:val="none" w:sz="0" w:space="0" w:color="auto"/>
                        <w:bottom w:val="none" w:sz="0" w:space="0" w:color="auto"/>
                        <w:right w:val="none" w:sz="0" w:space="0" w:color="auto"/>
                      </w:divBdr>
                    </w:div>
                    <w:div w:id="2133550983">
                      <w:marLeft w:val="0"/>
                      <w:marRight w:val="0"/>
                      <w:marTop w:val="256"/>
                      <w:marBottom w:val="256"/>
                      <w:divBdr>
                        <w:top w:val="none" w:sz="0" w:space="0" w:color="auto"/>
                        <w:left w:val="none" w:sz="0" w:space="0" w:color="auto"/>
                        <w:bottom w:val="none" w:sz="0" w:space="0" w:color="auto"/>
                        <w:right w:val="none" w:sz="0" w:space="0" w:color="auto"/>
                      </w:divBdr>
                    </w:div>
                    <w:div w:id="1004095270">
                      <w:marLeft w:val="0"/>
                      <w:marRight w:val="0"/>
                      <w:marTop w:val="256"/>
                      <w:marBottom w:val="256"/>
                      <w:divBdr>
                        <w:top w:val="none" w:sz="0" w:space="0" w:color="auto"/>
                        <w:left w:val="none" w:sz="0" w:space="0" w:color="auto"/>
                        <w:bottom w:val="none" w:sz="0" w:space="0" w:color="auto"/>
                        <w:right w:val="none" w:sz="0" w:space="0" w:color="auto"/>
                      </w:divBdr>
                    </w:div>
                    <w:div w:id="299237633">
                      <w:marLeft w:val="0"/>
                      <w:marRight w:val="0"/>
                      <w:marTop w:val="256"/>
                      <w:marBottom w:val="256"/>
                      <w:divBdr>
                        <w:top w:val="none" w:sz="0" w:space="0" w:color="auto"/>
                        <w:left w:val="none" w:sz="0" w:space="0" w:color="auto"/>
                        <w:bottom w:val="none" w:sz="0" w:space="0" w:color="auto"/>
                        <w:right w:val="none" w:sz="0" w:space="0" w:color="auto"/>
                      </w:divBdr>
                    </w:div>
                    <w:div w:id="2083334153">
                      <w:marLeft w:val="0"/>
                      <w:marRight w:val="0"/>
                      <w:marTop w:val="256"/>
                      <w:marBottom w:val="256"/>
                      <w:divBdr>
                        <w:top w:val="none" w:sz="0" w:space="0" w:color="auto"/>
                        <w:left w:val="none" w:sz="0" w:space="0" w:color="auto"/>
                        <w:bottom w:val="none" w:sz="0" w:space="0" w:color="auto"/>
                        <w:right w:val="none" w:sz="0" w:space="0" w:color="auto"/>
                      </w:divBdr>
                    </w:div>
                    <w:div w:id="75828504">
                      <w:marLeft w:val="0"/>
                      <w:marRight w:val="0"/>
                      <w:marTop w:val="256"/>
                      <w:marBottom w:val="256"/>
                      <w:divBdr>
                        <w:top w:val="none" w:sz="0" w:space="0" w:color="auto"/>
                        <w:left w:val="none" w:sz="0" w:space="0" w:color="auto"/>
                        <w:bottom w:val="none" w:sz="0" w:space="0" w:color="auto"/>
                        <w:right w:val="none" w:sz="0" w:space="0" w:color="auto"/>
                      </w:divBdr>
                    </w:div>
                    <w:div w:id="1690375263">
                      <w:marLeft w:val="0"/>
                      <w:marRight w:val="0"/>
                      <w:marTop w:val="256"/>
                      <w:marBottom w:val="256"/>
                      <w:divBdr>
                        <w:top w:val="none" w:sz="0" w:space="0" w:color="auto"/>
                        <w:left w:val="none" w:sz="0" w:space="0" w:color="auto"/>
                        <w:bottom w:val="none" w:sz="0" w:space="0" w:color="auto"/>
                        <w:right w:val="none" w:sz="0" w:space="0" w:color="auto"/>
                      </w:divBdr>
                    </w:div>
                    <w:div w:id="14550">
                      <w:marLeft w:val="0"/>
                      <w:marRight w:val="0"/>
                      <w:marTop w:val="256"/>
                      <w:marBottom w:val="256"/>
                      <w:divBdr>
                        <w:top w:val="none" w:sz="0" w:space="0" w:color="auto"/>
                        <w:left w:val="none" w:sz="0" w:space="0" w:color="auto"/>
                        <w:bottom w:val="none" w:sz="0" w:space="0" w:color="auto"/>
                        <w:right w:val="none" w:sz="0" w:space="0" w:color="auto"/>
                      </w:divBdr>
                    </w:div>
                    <w:div w:id="174194862">
                      <w:marLeft w:val="0"/>
                      <w:marRight w:val="0"/>
                      <w:marTop w:val="256"/>
                      <w:marBottom w:val="256"/>
                      <w:divBdr>
                        <w:top w:val="none" w:sz="0" w:space="0" w:color="auto"/>
                        <w:left w:val="none" w:sz="0" w:space="0" w:color="auto"/>
                        <w:bottom w:val="none" w:sz="0" w:space="0" w:color="auto"/>
                        <w:right w:val="none" w:sz="0" w:space="0" w:color="auto"/>
                      </w:divBdr>
                    </w:div>
                    <w:div w:id="690113000">
                      <w:marLeft w:val="0"/>
                      <w:marRight w:val="0"/>
                      <w:marTop w:val="256"/>
                      <w:marBottom w:val="256"/>
                      <w:divBdr>
                        <w:top w:val="none" w:sz="0" w:space="0" w:color="auto"/>
                        <w:left w:val="none" w:sz="0" w:space="0" w:color="auto"/>
                        <w:bottom w:val="none" w:sz="0" w:space="0" w:color="auto"/>
                        <w:right w:val="none" w:sz="0" w:space="0" w:color="auto"/>
                      </w:divBdr>
                    </w:div>
                    <w:div w:id="1919712163">
                      <w:marLeft w:val="0"/>
                      <w:marRight w:val="0"/>
                      <w:marTop w:val="256"/>
                      <w:marBottom w:val="256"/>
                      <w:divBdr>
                        <w:top w:val="none" w:sz="0" w:space="0" w:color="auto"/>
                        <w:left w:val="none" w:sz="0" w:space="0" w:color="auto"/>
                        <w:bottom w:val="none" w:sz="0" w:space="0" w:color="auto"/>
                        <w:right w:val="none" w:sz="0" w:space="0" w:color="auto"/>
                      </w:divBdr>
                    </w:div>
                    <w:div w:id="1281260916">
                      <w:marLeft w:val="0"/>
                      <w:marRight w:val="0"/>
                      <w:marTop w:val="256"/>
                      <w:marBottom w:val="256"/>
                      <w:divBdr>
                        <w:top w:val="none" w:sz="0" w:space="0" w:color="auto"/>
                        <w:left w:val="none" w:sz="0" w:space="0" w:color="auto"/>
                        <w:bottom w:val="none" w:sz="0" w:space="0" w:color="auto"/>
                        <w:right w:val="none" w:sz="0" w:space="0" w:color="auto"/>
                      </w:divBdr>
                    </w:div>
                    <w:div w:id="1949652769">
                      <w:marLeft w:val="0"/>
                      <w:marRight w:val="0"/>
                      <w:marTop w:val="256"/>
                      <w:marBottom w:val="256"/>
                      <w:divBdr>
                        <w:top w:val="none" w:sz="0" w:space="0" w:color="auto"/>
                        <w:left w:val="none" w:sz="0" w:space="0" w:color="auto"/>
                        <w:bottom w:val="none" w:sz="0" w:space="0" w:color="auto"/>
                        <w:right w:val="none" w:sz="0" w:space="0" w:color="auto"/>
                      </w:divBdr>
                    </w:div>
                    <w:div w:id="588008269">
                      <w:marLeft w:val="0"/>
                      <w:marRight w:val="0"/>
                      <w:marTop w:val="256"/>
                      <w:marBottom w:val="256"/>
                      <w:divBdr>
                        <w:top w:val="none" w:sz="0" w:space="0" w:color="auto"/>
                        <w:left w:val="none" w:sz="0" w:space="0" w:color="auto"/>
                        <w:bottom w:val="none" w:sz="0" w:space="0" w:color="auto"/>
                        <w:right w:val="none" w:sz="0" w:space="0" w:color="auto"/>
                      </w:divBdr>
                    </w:div>
                    <w:div w:id="1623465277">
                      <w:marLeft w:val="0"/>
                      <w:marRight w:val="0"/>
                      <w:marTop w:val="256"/>
                      <w:marBottom w:val="256"/>
                      <w:divBdr>
                        <w:top w:val="none" w:sz="0" w:space="0" w:color="auto"/>
                        <w:left w:val="none" w:sz="0" w:space="0" w:color="auto"/>
                        <w:bottom w:val="none" w:sz="0" w:space="0" w:color="auto"/>
                        <w:right w:val="none" w:sz="0" w:space="0" w:color="auto"/>
                      </w:divBdr>
                    </w:div>
                    <w:div w:id="779841727">
                      <w:marLeft w:val="0"/>
                      <w:marRight w:val="0"/>
                      <w:marTop w:val="256"/>
                      <w:marBottom w:val="256"/>
                      <w:divBdr>
                        <w:top w:val="none" w:sz="0" w:space="0" w:color="auto"/>
                        <w:left w:val="none" w:sz="0" w:space="0" w:color="auto"/>
                        <w:bottom w:val="none" w:sz="0" w:space="0" w:color="auto"/>
                        <w:right w:val="none" w:sz="0" w:space="0" w:color="auto"/>
                      </w:divBdr>
                    </w:div>
                    <w:div w:id="2132507035">
                      <w:marLeft w:val="0"/>
                      <w:marRight w:val="0"/>
                      <w:marTop w:val="256"/>
                      <w:marBottom w:val="256"/>
                      <w:divBdr>
                        <w:top w:val="none" w:sz="0" w:space="0" w:color="auto"/>
                        <w:left w:val="none" w:sz="0" w:space="0" w:color="auto"/>
                        <w:bottom w:val="none" w:sz="0" w:space="0" w:color="auto"/>
                        <w:right w:val="none" w:sz="0" w:space="0" w:color="auto"/>
                      </w:divBdr>
                    </w:div>
                    <w:div w:id="1230652852">
                      <w:marLeft w:val="0"/>
                      <w:marRight w:val="0"/>
                      <w:marTop w:val="256"/>
                      <w:marBottom w:val="256"/>
                      <w:divBdr>
                        <w:top w:val="none" w:sz="0" w:space="0" w:color="auto"/>
                        <w:left w:val="none" w:sz="0" w:space="0" w:color="auto"/>
                        <w:bottom w:val="none" w:sz="0" w:space="0" w:color="auto"/>
                        <w:right w:val="none" w:sz="0" w:space="0" w:color="auto"/>
                      </w:divBdr>
                    </w:div>
                    <w:div w:id="516970192">
                      <w:marLeft w:val="0"/>
                      <w:marRight w:val="0"/>
                      <w:marTop w:val="256"/>
                      <w:marBottom w:val="256"/>
                      <w:divBdr>
                        <w:top w:val="none" w:sz="0" w:space="0" w:color="auto"/>
                        <w:left w:val="none" w:sz="0" w:space="0" w:color="auto"/>
                        <w:bottom w:val="none" w:sz="0" w:space="0" w:color="auto"/>
                        <w:right w:val="none" w:sz="0" w:space="0" w:color="auto"/>
                      </w:divBdr>
                    </w:div>
                    <w:div w:id="465661665">
                      <w:marLeft w:val="0"/>
                      <w:marRight w:val="0"/>
                      <w:marTop w:val="256"/>
                      <w:marBottom w:val="256"/>
                      <w:divBdr>
                        <w:top w:val="none" w:sz="0" w:space="0" w:color="auto"/>
                        <w:left w:val="none" w:sz="0" w:space="0" w:color="auto"/>
                        <w:bottom w:val="none" w:sz="0" w:space="0" w:color="auto"/>
                        <w:right w:val="none" w:sz="0" w:space="0" w:color="auto"/>
                      </w:divBdr>
                    </w:div>
                    <w:div w:id="1433284236">
                      <w:marLeft w:val="0"/>
                      <w:marRight w:val="0"/>
                      <w:marTop w:val="256"/>
                      <w:marBottom w:val="256"/>
                      <w:divBdr>
                        <w:top w:val="none" w:sz="0" w:space="0" w:color="auto"/>
                        <w:left w:val="none" w:sz="0" w:space="0" w:color="auto"/>
                        <w:bottom w:val="none" w:sz="0" w:space="0" w:color="auto"/>
                        <w:right w:val="none" w:sz="0" w:space="0" w:color="auto"/>
                      </w:divBdr>
                    </w:div>
                    <w:div w:id="1410884323">
                      <w:marLeft w:val="0"/>
                      <w:marRight w:val="0"/>
                      <w:marTop w:val="256"/>
                      <w:marBottom w:val="256"/>
                      <w:divBdr>
                        <w:top w:val="none" w:sz="0" w:space="0" w:color="auto"/>
                        <w:left w:val="none" w:sz="0" w:space="0" w:color="auto"/>
                        <w:bottom w:val="none" w:sz="0" w:space="0" w:color="auto"/>
                        <w:right w:val="none" w:sz="0" w:space="0" w:color="auto"/>
                      </w:divBdr>
                    </w:div>
                    <w:div w:id="860583568">
                      <w:marLeft w:val="0"/>
                      <w:marRight w:val="0"/>
                      <w:marTop w:val="256"/>
                      <w:marBottom w:val="256"/>
                      <w:divBdr>
                        <w:top w:val="none" w:sz="0" w:space="0" w:color="auto"/>
                        <w:left w:val="none" w:sz="0" w:space="0" w:color="auto"/>
                        <w:bottom w:val="none" w:sz="0" w:space="0" w:color="auto"/>
                        <w:right w:val="none" w:sz="0" w:space="0" w:color="auto"/>
                      </w:divBdr>
                    </w:div>
                    <w:div w:id="193081065">
                      <w:marLeft w:val="0"/>
                      <w:marRight w:val="0"/>
                      <w:marTop w:val="256"/>
                      <w:marBottom w:val="256"/>
                      <w:divBdr>
                        <w:top w:val="none" w:sz="0" w:space="0" w:color="auto"/>
                        <w:left w:val="none" w:sz="0" w:space="0" w:color="auto"/>
                        <w:bottom w:val="none" w:sz="0" w:space="0" w:color="auto"/>
                        <w:right w:val="none" w:sz="0" w:space="0" w:color="auto"/>
                      </w:divBdr>
                    </w:div>
                    <w:div w:id="958023836">
                      <w:marLeft w:val="0"/>
                      <w:marRight w:val="0"/>
                      <w:marTop w:val="256"/>
                      <w:marBottom w:val="256"/>
                      <w:divBdr>
                        <w:top w:val="none" w:sz="0" w:space="0" w:color="auto"/>
                        <w:left w:val="none" w:sz="0" w:space="0" w:color="auto"/>
                        <w:bottom w:val="none" w:sz="0" w:space="0" w:color="auto"/>
                        <w:right w:val="none" w:sz="0" w:space="0" w:color="auto"/>
                      </w:divBdr>
                    </w:div>
                    <w:div w:id="720860070">
                      <w:marLeft w:val="0"/>
                      <w:marRight w:val="0"/>
                      <w:marTop w:val="256"/>
                      <w:marBottom w:val="256"/>
                      <w:divBdr>
                        <w:top w:val="none" w:sz="0" w:space="0" w:color="auto"/>
                        <w:left w:val="none" w:sz="0" w:space="0" w:color="auto"/>
                        <w:bottom w:val="none" w:sz="0" w:space="0" w:color="auto"/>
                        <w:right w:val="none" w:sz="0" w:space="0" w:color="auto"/>
                      </w:divBdr>
                    </w:div>
                    <w:div w:id="1688294190">
                      <w:marLeft w:val="0"/>
                      <w:marRight w:val="0"/>
                      <w:marTop w:val="256"/>
                      <w:marBottom w:val="256"/>
                      <w:divBdr>
                        <w:top w:val="none" w:sz="0" w:space="0" w:color="auto"/>
                        <w:left w:val="none" w:sz="0" w:space="0" w:color="auto"/>
                        <w:bottom w:val="none" w:sz="0" w:space="0" w:color="auto"/>
                        <w:right w:val="none" w:sz="0" w:space="0" w:color="auto"/>
                      </w:divBdr>
                    </w:div>
                    <w:div w:id="1011763606">
                      <w:marLeft w:val="0"/>
                      <w:marRight w:val="0"/>
                      <w:marTop w:val="256"/>
                      <w:marBottom w:val="256"/>
                      <w:divBdr>
                        <w:top w:val="none" w:sz="0" w:space="0" w:color="auto"/>
                        <w:left w:val="none" w:sz="0" w:space="0" w:color="auto"/>
                        <w:bottom w:val="none" w:sz="0" w:space="0" w:color="auto"/>
                        <w:right w:val="none" w:sz="0" w:space="0" w:color="auto"/>
                      </w:divBdr>
                    </w:div>
                    <w:div w:id="519466418">
                      <w:marLeft w:val="0"/>
                      <w:marRight w:val="0"/>
                      <w:marTop w:val="256"/>
                      <w:marBottom w:val="256"/>
                      <w:divBdr>
                        <w:top w:val="none" w:sz="0" w:space="0" w:color="auto"/>
                        <w:left w:val="none" w:sz="0" w:space="0" w:color="auto"/>
                        <w:bottom w:val="none" w:sz="0" w:space="0" w:color="auto"/>
                        <w:right w:val="none" w:sz="0" w:space="0" w:color="auto"/>
                      </w:divBdr>
                    </w:div>
                    <w:div w:id="1751153573">
                      <w:marLeft w:val="0"/>
                      <w:marRight w:val="0"/>
                      <w:marTop w:val="256"/>
                      <w:marBottom w:val="256"/>
                      <w:divBdr>
                        <w:top w:val="none" w:sz="0" w:space="0" w:color="auto"/>
                        <w:left w:val="none" w:sz="0" w:space="0" w:color="auto"/>
                        <w:bottom w:val="none" w:sz="0" w:space="0" w:color="auto"/>
                        <w:right w:val="none" w:sz="0" w:space="0" w:color="auto"/>
                      </w:divBdr>
                    </w:div>
                    <w:div w:id="481508149">
                      <w:marLeft w:val="0"/>
                      <w:marRight w:val="0"/>
                      <w:marTop w:val="256"/>
                      <w:marBottom w:val="256"/>
                      <w:divBdr>
                        <w:top w:val="none" w:sz="0" w:space="0" w:color="auto"/>
                        <w:left w:val="none" w:sz="0" w:space="0" w:color="auto"/>
                        <w:bottom w:val="none" w:sz="0" w:space="0" w:color="auto"/>
                        <w:right w:val="none" w:sz="0" w:space="0" w:color="auto"/>
                      </w:divBdr>
                    </w:div>
                    <w:div w:id="2118209808">
                      <w:marLeft w:val="0"/>
                      <w:marRight w:val="0"/>
                      <w:marTop w:val="256"/>
                      <w:marBottom w:val="256"/>
                      <w:divBdr>
                        <w:top w:val="none" w:sz="0" w:space="0" w:color="auto"/>
                        <w:left w:val="none" w:sz="0" w:space="0" w:color="auto"/>
                        <w:bottom w:val="none" w:sz="0" w:space="0" w:color="auto"/>
                        <w:right w:val="none" w:sz="0" w:space="0" w:color="auto"/>
                      </w:divBdr>
                    </w:div>
                    <w:div w:id="1742747567">
                      <w:marLeft w:val="0"/>
                      <w:marRight w:val="0"/>
                      <w:marTop w:val="256"/>
                      <w:marBottom w:val="256"/>
                      <w:divBdr>
                        <w:top w:val="none" w:sz="0" w:space="0" w:color="auto"/>
                        <w:left w:val="none" w:sz="0" w:space="0" w:color="auto"/>
                        <w:bottom w:val="none" w:sz="0" w:space="0" w:color="auto"/>
                        <w:right w:val="none" w:sz="0" w:space="0" w:color="auto"/>
                      </w:divBdr>
                    </w:div>
                    <w:div w:id="1569001341">
                      <w:marLeft w:val="0"/>
                      <w:marRight w:val="0"/>
                      <w:marTop w:val="256"/>
                      <w:marBottom w:val="256"/>
                      <w:divBdr>
                        <w:top w:val="none" w:sz="0" w:space="0" w:color="auto"/>
                        <w:left w:val="none" w:sz="0" w:space="0" w:color="auto"/>
                        <w:bottom w:val="none" w:sz="0" w:space="0" w:color="auto"/>
                        <w:right w:val="none" w:sz="0" w:space="0" w:color="auto"/>
                      </w:divBdr>
                    </w:div>
                    <w:div w:id="909189721">
                      <w:marLeft w:val="0"/>
                      <w:marRight w:val="0"/>
                      <w:marTop w:val="256"/>
                      <w:marBottom w:val="256"/>
                      <w:divBdr>
                        <w:top w:val="none" w:sz="0" w:space="0" w:color="auto"/>
                        <w:left w:val="none" w:sz="0" w:space="0" w:color="auto"/>
                        <w:bottom w:val="none" w:sz="0" w:space="0" w:color="auto"/>
                        <w:right w:val="none" w:sz="0" w:space="0" w:color="auto"/>
                      </w:divBdr>
                    </w:div>
                    <w:div w:id="1207109219">
                      <w:marLeft w:val="0"/>
                      <w:marRight w:val="0"/>
                      <w:marTop w:val="256"/>
                      <w:marBottom w:val="256"/>
                      <w:divBdr>
                        <w:top w:val="none" w:sz="0" w:space="0" w:color="auto"/>
                        <w:left w:val="none" w:sz="0" w:space="0" w:color="auto"/>
                        <w:bottom w:val="none" w:sz="0" w:space="0" w:color="auto"/>
                        <w:right w:val="none" w:sz="0" w:space="0" w:color="auto"/>
                      </w:divBdr>
                    </w:div>
                    <w:div w:id="411320483">
                      <w:marLeft w:val="0"/>
                      <w:marRight w:val="0"/>
                      <w:marTop w:val="256"/>
                      <w:marBottom w:val="256"/>
                      <w:divBdr>
                        <w:top w:val="none" w:sz="0" w:space="0" w:color="auto"/>
                        <w:left w:val="none" w:sz="0" w:space="0" w:color="auto"/>
                        <w:bottom w:val="none" w:sz="0" w:space="0" w:color="auto"/>
                        <w:right w:val="none" w:sz="0" w:space="0" w:color="auto"/>
                      </w:divBdr>
                    </w:div>
                    <w:div w:id="1357805175">
                      <w:marLeft w:val="0"/>
                      <w:marRight w:val="0"/>
                      <w:marTop w:val="256"/>
                      <w:marBottom w:val="256"/>
                      <w:divBdr>
                        <w:top w:val="none" w:sz="0" w:space="0" w:color="auto"/>
                        <w:left w:val="none" w:sz="0" w:space="0" w:color="auto"/>
                        <w:bottom w:val="none" w:sz="0" w:space="0" w:color="auto"/>
                        <w:right w:val="none" w:sz="0" w:space="0" w:color="auto"/>
                      </w:divBdr>
                    </w:div>
                    <w:div w:id="1874879282">
                      <w:marLeft w:val="0"/>
                      <w:marRight w:val="0"/>
                      <w:marTop w:val="256"/>
                      <w:marBottom w:val="256"/>
                      <w:divBdr>
                        <w:top w:val="none" w:sz="0" w:space="0" w:color="auto"/>
                        <w:left w:val="none" w:sz="0" w:space="0" w:color="auto"/>
                        <w:bottom w:val="none" w:sz="0" w:space="0" w:color="auto"/>
                        <w:right w:val="none" w:sz="0" w:space="0" w:color="auto"/>
                      </w:divBdr>
                    </w:div>
                    <w:div w:id="209612066">
                      <w:marLeft w:val="0"/>
                      <w:marRight w:val="0"/>
                      <w:marTop w:val="256"/>
                      <w:marBottom w:val="256"/>
                      <w:divBdr>
                        <w:top w:val="none" w:sz="0" w:space="0" w:color="auto"/>
                        <w:left w:val="none" w:sz="0" w:space="0" w:color="auto"/>
                        <w:bottom w:val="none" w:sz="0" w:space="0" w:color="auto"/>
                        <w:right w:val="none" w:sz="0" w:space="0" w:color="auto"/>
                      </w:divBdr>
                    </w:div>
                    <w:div w:id="1489439486">
                      <w:marLeft w:val="0"/>
                      <w:marRight w:val="0"/>
                      <w:marTop w:val="256"/>
                      <w:marBottom w:val="256"/>
                      <w:divBdr>
                        <w:top w:val="none" w:sz="0" w:space="0" w:color="auto"/>
                        <w:left w:val="none" w:sz="0" w:space="0" w:color="auto"/>
                        <w:bottom w:val="none" w:sz="0" w:space="0" w:color="auto"/>
                        <w:right w:val="none" w:sz="0" w:space="0" w:color="auto"/>
                      </w:divBdr>
                    </w:div>
                    <w:div w:id="953681637">
                      <w:marLeft w:val="0"/>
                      <w:marRight w:val="0"/>
                      <w:marTop w:val="256"/>
                      <w:marBottom w:val="256"/>
                      <w:divBdr>
                        <w:top w:val="none" w:sz="0" w:space="0" w:color="auto"/>
                        <w:left w:val="none" w:sz="0" w:space="0" w:color="auto"/>
                        <w:bottom w:val="none" w:sz="0" w:space="0" w:color="auto"/>
                        <w:right w:val="none" w:sz="0" w:space="0" w:color="auto"/>
                      </w:divBdr>
                    </w:div>
                    <w:div w:id="2092120827">
                      <w:marLeft w:val="0"/>
                      <w:marRight w:val="0"/>
                      <w:marTop w:val="256"/>
                      <w:marBottom w:val="256"/>
                      <w:divBdr>
                        <w:top w:val="none" w:sz="0" w:space="0" w:color="auto"/>
                        <w:left w:val="none" w:sz="0" w:space="0" w:color="auto"/>
                        <w:bottom w:val="none" w:sz="0" w:space="0" w:color="auto"/>
                        <w:right w:val="none" w:sz="0" w:space="0" w:color="auto"/>
                      </w:divBdr>
                    </w:div>
                    <w:div w:id="1097676733">
                      <w:marLeft w:val="0"/>
                      <w:marRight w:val="0"/>
                      <w:marTop w:val="256"/>
                      <w:marBottom w:val="256"/>
                      <w:divBdr>
                        <w:top w:val="none" w:sz="0" w:space="0" w:color="auto"/>
                        <w:left w:val="none" w:sz="0" w:space="0" w:color="auto"/>
                        <w:bottom w:val="none" w:sz="0" w:space="0" w:color="auto"/>
                        <w:right w:val="none" w:sz="0" w:space="0" w:color="auto"/>
                      </w:divBdr>
                    </w:div>
                    <w:div w:id="1652901513">
                      <w:marLeft w:val="0"/>
                      <w:marRight w:val="0"/>
                      <w:marTop w:val="256"/>
                      <w:marBottom w:val="256"/>
                      <w:divBdr>
                        <w:top w:val="none" w:sz="0" w:space="0" w:color="auto"/>
                        <w:left w:val="none" w:sz="0" w:space="0" w:color="auto"/>
                        <w:bottom w:val="none" w:sz="0" w:space="0" w:color="auto"/>
                        <w:right w:val="none" w:sz="0" w:space="0" w:color="auto"/>
                      </w:divBdr>
                    </w:div>
                    <w:div w:id="593130958">
                      <w:marLeft w:val="0"/>
                      <w:marRight w:val="0"/>
                      <w:marTop w:val="256"/>
                      <w:marBottom w:val="256"/>
                      <w:divBdr>
                        <w:top w:val="none" w:sz="0" w:space="0" w:color="auto"/>
                        <w:left w:val="none" w:sz="0" w:space="0" w:color="auto"/>
                        <w:bottom w:val="none" w:sz="0" w:space="0" w:color="auto"/>
                        <w:right w:val="none" w:sz="0" w:space="0" w:color="auto"/>
                      </w:divBdr>
                    </w:div>
                    <w:div w:id="64686009">
                      <w:marLeft w:val="0"/>
                      <w:marRight w:val="0"/>
                      <w:marTop w:val="256"/>
                      <w:marBottom w:val="256"/>
                      <w:divBdr>
                        <w:top w:val="none" w:sz="0" w:space="0" w:color="auto"/>
                        <w:left w:val="none" w:sz="0" w:space="0" w:color="auto"/>
                        <w:bottom w:val="none" w:sz="0" w:space="0" w:color="auto"/>
                        <w:right w:val="none" w:sz="0" w:space="0" w:color="auto"/>
                      </w:divBdr>
                    </w:div>
                    <w:div w:id="1464810649">
                      <w:marLeft w:val="0"/>
                      <w:marRight w:val="0"/>
                      <w:marTop w:val="256"/>
                      <w:marBottom w:val="256"/>
                      <w:divBdr>
                        <w:top w:val="none" w:sz="0" w:space="0" w:color="auto"/>
                        <w:left w:val="none" w:sz="0" w:space="0" w:color="auto"/>
                        <w:bottom w:val="none" w:sz="0" w:space="0" w:color="auto"/>
                        <w:right w:val="none" w:sz="0" w:space="0" w:color="auto"/>
                      </w:divBdr>
                    </w:div>
                    <w:div w:id="1571498531">
                      <w:marLeft w:val="0"/>
                      <w:marRight w:val="0"/>
                      <w:marTop w:val="256"/>
                      <w:marBottom w:val="256"/>
                      <w:divBdr>
                        <w:top w:val="none" w:sz="0" w:space="0" w:color="auto"/>
                        <w:left w:val="none" w:sz="0" w:space="0" w:color="auto"/>
                        <w:bottom w:val="none" w:sz="0" w:space="0" w:color="auto"/>
                        <w:right w:val="none" w:sz="0" w:space="0" w:color="auto"/>
                      </w:divBdr>
                    </w:div>
                  </w:divsChild>
                </w:div>
              </w:divsChild>
            </w:div>
          </w:divsChild>
        </w:div>
      </w:divsChild>
    </w:div>
    <w:div w:id="660542953">
      <w:bodyDiv w:val="1"/>
      <w:marLeft w:val="0"/>
      <w:marRight w:val="0"/>
      <w:marTop w:val="0"/>
      <w:marBottom w:val="0"/>
      <w:divBdr>
        <w:top w:val="none" w:sz="0" w:space="0" w:color="auto"/>
        <w:left w:val="none" w:sz="0" w:space="0" w:color="auto"/>
        <w:bottom w:val="none" w:sz="0" w:space="0" w:color="auto"/>
        <w:right w:val="none" w:sz="0" w:space="0" w:color="auto"/>
      </w:divBdr>
      <w:divsChild>
        <w:div w:id="1853181576">
          <w:marLeft w:val="0"/>
          <w:marRight w:val="0"/>
          <w:marTop w:val="0"/>
          <w:marBottom w:val="0"/>
          <w:divBdr>
            <w:top w:val="none" w:sz="0" w:space="0" w:color="auto"/>
            <w:left w:val="none" w:sz="0" w:space="0" w:color="auto"/>
            <w:bottom w:val="none" w:sz="0" w:space="0" w:color="auto"/>
            <w:right w:val="none" w:sz="0" w:space="0" w:color="auto"/>
          </w:divBdr>
        </w:div>
        <w:div w:id="1385448073">
          <w:marLeft w:val="0"/>
          <w:marRight w:val="0"/>
          <w:marTop w:val="0"/>
          <w:marBottom w:val="0"/>
          <w:divBdr>
            <w:top w:val="none" w:sz="0" w:space="0" w:color="auto"/>
            <w:left w:val="none" w:sz="0" w:space="0" w:color="auto"/>
            <w:bottom w:val="none" w:sz="0" w:space="0" w:color="auto"/>
            <w:right w:val="none" w:sz="0" w:space="0" w:color="auto"/>
          </w:divBdr>
        </w:div>
      </w:divsChild>
    </w:div>
    <w:div w:id="1015108637">
      <w:bodyDiv w:val="1"/>
      <w:marLeft w:val="0"/>
      <w:marRight w:val="0"/>
      <w:marTop w:val="0"/>
      <w:marBottom w:val="0"/>
      <w:divBdr>
        <w:top w:val="none" w:sz="0" w:space="0" w:color="auto"/>
        <w:left w:val="none" w:sz="0" w:space="0" w:color="auto"/>
        <w:bottom w:val="none" w:sz="0" w:space="0" w:color="auto"/>
        <w:right w:val="none" w:sz="0" w:space="0" w:color="auto"/>
      </w:divBdr>
    </w:div>
    <w:div w:id="1059940924">
      <w:bodyDiv w:val="1"/>
      <w:marLeft w:val="0"/>
      <w:marRight w:val="0"/>
      <w:marTop w:val="0"/>
      <w:marBottom w:val="0"/>
      <w:divBdr>
        <w:top w:val="none" w:sz="0" w:space="0" w:color="auto"/>
        <w:left w:val="none" w:sz="0" w:space="0" w:color="auto"/>
        <w:bottom w:val="none" w:sz="0" w:space="0" w:color="auto"/>
        <w:right w:val="none" w:sz="0" w:space="0" w:color="auto"/>
      </w:divBdr>
      <w:divsChild>
        <w:div w:id="1789809069">
          <w:marLeft w:val="0"/>
          <w:marRight w:val="0"/>
          <w:marTop w:val="0"/>
          <w:marBottom w:val="0"/>
          <w:divBdr>
            <w:top w:val="none" w:sz="0" w:space="0" w:color="auto"/>
            <w:left w:val="none" w:sz="0" w:space="0" w:color="auto"/>
            <w:bottom w:val="none" w:sz="0" w:space="0" w:color="auto"/>
            <w:right w:val="none" w:sz="0" w:space="0" w:color="auto"/>
          </w:divBdr>
        </w:div>
        <w:div w:id="1762943148">
          <w:marLeft w:val="0"/>
          <w:marRight w:val="0"/>
          <w:marTop w:val="0"/>
          <w:marBottom w:val="0"/>
          <w:divBdr>
            <w:top w:val="none" w:sz="0" w:space="0" w:color="auto"/>
            <w:left w:val="none" w:sz="0" w:space="0" w:color="auto"/>
            <w:bottom w:val="none" w:sz="0" w:space="0" w:color="auto"/>
            <w:right w:val="none" w:sz="0" w:space="0" w:color="auto"/>
          </w:divBdr>
        </w:div>
      </w:divsChild>
    </w:div>
    <w:div w:id="1288050323">
      <w:bodyDiv w:val="1"/>
      <w:marLeft w:val="0"/>
      <w:marRight w:val="0"/>
      <w:marTop w:val="0"/>
      <w:marBottom w:val="0"/>
      <w:divBdr>
        <w:top w:val="none" w:sz="0" w:space="0" w:color="auto"/>
        <w:left w:val="none" w:sz="0" w:space="0" w:color="auto"/>
        <w:bottom w:val="none" w:sz="0" w:space="0" w:color="auto"/>
        <w:right w:val="none" w:sz="0" w:space="0" w:color="auto"/>
      </w:divBdr>
    </w:div>
    <w:div w:id="1359429001">
      <w:bodyDiv w:val="1"/>
      <w:marLeft w:val="0"/>
      <w:marRight w:val="0"/>
      <w:marTop w:val="0"/>
      <w:marBottom w:val="0"/>
      <w:divBdr>
        <w:top w:val="none" w:sz="0" w:space="0" w:color="auto"/>
        <w:left w:val="none" w:sz="0" w:space="0" w:color="auto"/>
        <w:bottom w:val="none" w:sz="0" w:space="0" w:color="auto"/>
        <w:right w:val="none" w:sz="0" w:space="0" w:color="auto"/>
      </w:divBdr>
      <w:divsChild>
        <w:div w:id="975918115">
          <w:marLeft w:val="0"/>
          <w:marRight w:val="0"/>
          <w:marTop w:val="0"/>
          <w:marBottom w:val="0"/>
          <w:divBdr>
            <w:top w:val="none" w:sz="0" w:space="0" w:color="auto"/>
            <w:left w:val="none" w:sz="0" w:space="0" w:color="auto"/>
            <w:bottom w:val="none" w:sz="0" w:space="0" w:color="auto"/>
            <w:right w:val="none" w:sz="0" w:space="0" w:color="auto"/>
          </w:divBdr>
          <w:divsChild>
            <w:div w:id="1719431598">
              <w:marLeft w:val="120"/>
              <w:marRight w:val="120"/>
              <w:marTop w:val="120"/>
              <w:marBottom w:val="120"/>
              <w:divBdr>
                <w:top w:val="none" w:sz="0" w:space="0" w:color="auto"/>
                <w:left w:val="none" w:sz="0" w:space="0" w:color="auto"/>
                <w:bottom w:val="none" w:sz="0" w:space="0" w:color="auto"/>
                <w:right w:val="none" w:sz="0" w:space="0" w:color="auto"/>
              </w:divBdr>
              <w:divsChild>
                <w:div w:id="798108808">
                  <w:marLeft w:val="0"/>
                  <w:marRight w:val="0"/>
                  <w:marTop w:val="0"/>
                  <w:marBottom w:val="0"/>
                  <w:divBdr>
                    <w:top w:val="none" w:sz="0" w:space="0" w:color="auto"/>
                    <w:left w:val="none" w:sz="0" w:space="0" w:color="auto"/>
                    <w:bottom w:val="none" w:sz="0" w:space="0" w:color="auto"/>
                    <w:right w:val="none" w:sz="0" w:space="0" w:color="auto"/>
                  </w:divBdr>
                  <w:divsChild>
                    <w:div w:id="1346857762">
                      <w:marLeft w:val="0"/>
                      <w:marRight w:val="0"/>
                      <w:marTop w:val="0"/>
                      <w:marBottom w:val="0"/>
                      <w:divBdr>
                        <w:top w:val="none" w:sz="0" w:space="0" w:color="auto"/>
                        <w:left w:val="none" w:sz="0" w:space="0" w:color="auto"/>
                        <w:bottom w:val="none" w:sz="0" w:space="0" w:color="auto"/>
                        <w:right w:val="none" w:sz="0" w:space="0" w:color="auto"/>
                      </w:divBdr>
                      <w:divsChild>
                        <w:div w:id="1498957106">
                          <w:marLeft w:val="0"/>
                          <w:marRight w:val="0"/>
                          <w:marTop w:val="0"/>
                          <w:marBottom w:val="0"/>
                          <w:divBdr>
                            <w:top w:val="none" w:sz="0" w:space="0" w:color="auto"/>
                            <w:left w:val="none" w:sz="0" w:space="0" w:color="auto"/>
                            <w:bottom w:val="none" w:sz="0" w:space="0" w:color="auto"/>
                            <w:right w:val="none" w:sz="0" w:space="0" w:color="auto"/>
                          </w:divBdr>
                        </w:div>
                        <w:div w:id="11823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014393">
          <w:marLeft w:val="0"/>
          <w:marRight w:val="0"/>
          <w:marTop w:val="0"/>
          <w:marBottom w:val="0"/>
          <w:divBdr>
            <w:top w:val="none" w:sz="0" w:space="0" w:color="auto"/>
            <w:left w:val="single" w:sz="48" w:space="0" w:color="auto"/>
            <w:bottom w:val="none" w:sz="0" w:space="0" w:color="auto"/>
            <w:right w:val="single" w:sz="48" w:space="0" w:color="auto"/>
          </w:divBdr>
          <w:divsChild>
            <w:div w:id="1724984787">
              <w:marLeft w:val="0"/>
              <w:marRight w:val="0"/>
              <w:marTop w:val="100"/>
              <w:marBottom w:val="100"/>
              <w:divBdr>
                <w:top w:val="none" w:sz="0" w:space="0" w:color="auto"/>
                <w:left w:val="none" w:sz="0" w:space="0" w:color="auto"/>
                <w:bottom w:val="none" w:sz="0" w:space="0" w:color="auto"/>
                <w:right w:val="none" w:sz="0" w:space="0" w:color="auto"/>
              </w:divBdr>
              <w:divsChild>
                <w:div w:id="1966346634">
                  <w:marLeft w:val="0"/>
                  <w:marRight w:val="0"/>
                  <w:marTop w:val="0"/>
                  <w:marBottom w:val="0"/>
                  <w:divBdr>
                    <w:top w:val="none" w:sz="0" w:space="0" w:color="auto"/>
                    <w:left w:val="none" w:sz="0" w:space="0" w:color="auto"/>
                    <w:bottom w:val="none" w:sz="0" w:space="0" w:color="auto"/>
                    <w:right w:val="none" w:sz="0" w:space="0" w:color="auto"/>
                  </w:divBdr>
                </w:div>
              </w:divsChild>
            </w:div>
            <w:div w:id="1683628044">
              <w:marLeft w:val="0"/>
              <w:marRight w:val="0"/>
              <w:marTop w:val="0"/>
              <w:marBottom w:val="0"/>
              <w:divBdr>
                <w:top w:val="none" w:sz="0" w:space="0" w:color="auto"/>
                <w:left w:val="none" w:sz="0" w:space="0" w:color="auto"/>
                <w:bottom w:val="none" w:sz="0" w:space="0" w:color="auto"/>
                <w:right w:val="none" w:sz="0" w:space="0" w:color="auto"/>
              </w:divBdr>
              <w:divsChild>
                <w:div w:id="243493733">
                  <w:marLeft w:val="0"/>
                  <w:marRight w:val="0"/>
                  <w:marTop w:val="0"/>
                  <w:marBottom w:val="0"/>
                  <w:divBdr>
                    <w:top w:val="none" w:sz="0" w:space="0" w:color="auto"/>
                    <w:left w:val="none" w:sz="0" w:space="0" w:color="auto"/>
                    <w:bottom w:val="none" w:sz="0" w:space="0" w:color="auto"/>
                    <w:right w:val="none" w:sz="0" w:space="0" w:color="auto"/>
                  </w:divBdr>
                </w:div>
                <w:div w:id="959797083">
                  <w:marLeft w:val="0"/>
                  <w:marRight w:val="0"/>
                  <w:marTop w:val="0"/>
                  <w:marBottom w:val="0"/>
                  <w:divBdr>
                    <w:top w:val="none" w:sz="0" w:space="0" w:color="auto"/>
                    <w:left w:val="none" w:sz="0" w:space="0" w:color="auto"/>
                    <w:bottom w:val="none" w:sz="0" w:space="0" w:color="auto"/>
                    <w:right w:val="none" w:sz="0" w:space="0" w:color="auto"/>
                  </w:divBdr>
                </w:div>
              </w:divsChild>
            </w:div>
            <w:div w:id="1051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41762">
      <w:bodyDiv w:val="1"/>
      <w:marLeft w:val="0"/>
      <w:marRight w:val="0"/>
      <w:marTop w:val="0"/>
      <w:marBottom w:val="0"/>
      <w:divBdr>
        <w:top w:val="none" w:sz="0" w:space="0" w:color="auto"/>
        <w:left w:val="none" w:sz="0" w:space="0" w:color="auto"/>
        <w:bottom w:val="none" w:sz="0" w:space="0" w:color="auto"/>
        <w:right w:val="none" w:sz="0" w:space="0" w:color="auto"/>
      </w:divBdr>
    </w:div>
    <w:div w:id="1570798553">
      <w:bodyDiv w:val="1"/>
      <w:marLeft w:val="0"/>
      <w:marRight w:val="0"/>
      <w:marTop w:val="0"/>
      <w:marBottom w:val="0"/>
      <w:divBdr>
        <w:top w:val="none" w:sz="0" w:space="0" w:color="auto"/>
        <w:left w:val="none" w:sz="0" w:space="0" w:color="auto"/>
        <w:bottom w:val="none" w:sz="0" w:space="0" w:color="auto"/>
        <w:right w:val="none" w:sz="0" w:space="0" w:color="auto"/>
      </w:divBdr>
      <w:divsChild>
        <w:div w:id="1774747177">
          <w:marLeft w:val="0"/>
          <w:marRight w:val="0"/>
          <w:marTop w:val="0"/>
          <w:marBottom w:val="0"/>
          <w:divBdr>
            <w:top w:val="none" w:sz="0" w:space="0" w:color="auto"/>
            <w:left w:val="none" w:sz="0" w:space="0" w:color="auto"/>
            <w:bottom w:val="none" w:sz="0" w:space="0" w:color="auto"/>
            <w:right w:val="none" w:sz="0" w:space="0" w:color="auto"/>
          </w:divBdr>
          <w:divsChild>
            <w:div w:id="414134625">
              <w:marLeft w:val="0"/>
              <w:marRight w:val="0"/>
              <w:marTop w:val="0"/>
              <w:marBottom w:val="0"/>
              <w:divBdr>
                <w:top w:val="none" w:sz="0" w:space="0" w:color="auto"/>
                <w:left w:val="none" w:sz="0" w:space="0" w:color="auto"/>
                <w:bottom w:val="none" w:sz="0" w:space="0" w:color="auto"/>
                <w:right w:val="none" w:sz="0" w:space="0" w:color="auto"/>
              </w:divBdr>
              <w:divsChild>
                <w:div w:id="683019716">
                  <w:marLeft w:val="0"/>
                  <w:marRight w:val="0"/>
                  <w:marTop w:val="0"/>
                  <w:marBottom w:val="0"/>
                  <w:divBdr>
                    <w:top w:val="none" w:sz="0" w:space="0" w:color="auto"/>
                    <w:left w:val="none" w:sz="0" w:space="0" w:color="auto"/>
                    <w:bottom w:val="none" w:sz="0" w:space="0" w:color="auto"/>
                    <w:right w:val="none" w:sz="0" w:space="0" w:color="auto"/>
                  </w:divBdr>
                  <w:divsChild>
                    <w:div w:id="305018177">
                      <w:marLeft w:val="0"/>
                      <w:marRight w:val="0"/>
                      <w:marTop w:val="0"/>
                      <w:marBottom w:val="0"/>
                      <w:divBdr>
                        <w:top w:val="none" w:sz="0" w:space="0" w:color="auto"/>
                        <w:left w:val="none" w:sz="0" w:space="0" w:color="auto"/>
                        <w:bottom w:val="none" w:sz="0" w:space="0" w:color="auto"/>
                        <w:right w:val="none" w:sz="0" w:space="0" w:color="auto"/>
                      </w:divBdr>
                      <w:divsChild>
                        <w:div w:id="468742873">
                          <w:marLeft w:val="384"/>
                          <w:marRight w:val="384"/>
                          <w:marTop w:val="0"/>
                          <w:marBottom w:val="0"/>
                          <w:divBdr>
                            <w:top w:val="none" w:sz="0" w:space="0" w:color="auto"/>
                            <w:left w:val="none" w:sz="0" w:space="0" w:color="auto"/>
                            <w:bottom w:val="none" w:sz="0" w:space="0" w:color="auto"/>
                            <w:right w:val="none" w:sz="0" w:space="0" w:color="auto"/>
                          </w:divBdr>
                          <w:divsChild>
                            <w:div w:id="1904607279">
                              <w:marLeft w:val="0"/>
                              <w:marRight w:val="0"/>
                              <w:marTop w:val="0"/>
                              <w:marBottom w:val="0"/>
                              <w:divBdr>
                                <w:top w:val="none" w:sz="0" w:space="0" w:color="auto"/>
                                <w:left w:val="none" w:sz="0" w:space="0" w:color="auto"/>
                                <w:bottom w:val="none" w:sz="0" w:space="0" w:color="auto"/>
                                <w:right w:val="none" w:sz="0" w:space="0" w:color="auto"/>
                              </w:divBdr>
                              <w:divsChild>
                                <w:div w:id="1300652996">
                                  <w:marLeft w:val="0"/>
                                  <w:marRight w:val="0"/>
                                  <w:marTop w:val="0"/>
                                  <w:marBottom w:val="0"/>
                                  <w:divBdr>
                                    <w:top w:val="none" w:sz="0" w:space="0" w:color="auto"/>
                                    <w:left w:val="none" w:sz="0" w:space="0" w:color="auto"/>
                                    <w:bottom w:val="none" w:sz="0" w:space="0" w:color="auto"/>
                                    <w:right w:val="none" w:sz="0" w:space="0" w:color="auto"/>
                                  </w:divBdr>
                                  <w:divsChild>
                                    <w:div w:id="1899510790">
                                      <w:marLeft w:val="0"/>
                                      <w:marRight w:val="0"/>
                                      <w:marTop w:val="332"/>
                                      <w:marBottom w:val="332"/>
                                      <w:divBdr>
                                        <w:top w:val="none" w:sz="0" w:space="0" w:color="auto"/>
                                        <w:left w:val="none" w:sz="0" w:space="0" w:color="auto"/>
                                        <w:bottom w:val="none" w:sz="0" w:space="0" w:color="auto"/>
                                        <w:right w:val="none" w:sz="0" w:space="0" w:color="auto"/>
                                      </w:divBdr>
                                      <w:divsChild>
                                        <w:div w:id="478888744">
                                          <w:marLeft w:val="0"/>
                                          <w:marRight w:val="0"/>
                                          <w:marTop w:val="332"/>
                                          <w:marBottom w:val="332"/>
                                          <w:divBdr>
                                            <w:top w:val="none" w:sz="0" w:space="0" w:color="auto"/>
                                            <w:left w:val="none" w:sz="0" w:space="0" w:color="auto"/>
                                            <w:bottom w:val="none" w:sz="0" w:space="0" w:color="auto"/>
                                            <w:right w:val="none" w:sz="0" w:space="0" w:color="auto"/>
                                          </w:divBdr>
                                          <w:divsChild>
                                            <w:div w:id="1565723341">
                                              <w:marLeft w:val="0"/>
                                              <w:marRight w:val="0"/>
                                              <w:marTop w:val="0"/>
                                              <w:marBottom w:val="0"/>
                                              <w:divBdr>
                                                <w:top w:val="none" w:sz="0" w:space="0" w:color="auto"/>
                                                <w:left w:val="none" w:sz="0" w:space="0" w:color="auto"/>
                                                <w:bottom w:val="none" w:sz="0" w:space="0" w:color="auto"/>
                                                <w:right w:val="none" w:sz="0" w:space="0" w:color="auto"/>
                                              </w:divBdr>
                                            </w:div>
                                            <w:div w:id="6755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750331">
      <w:bodyDiv w:val="1"/>
      <w:marLeft w:val="0"/>
      <w:marRight w:val="0"/>
      <w:marTop w:val="0"/>
      <w:marBottom w:val="0"/>
      <w:divBdr>
        <w:top w:val="none" w:sz="0" w:space="0" w:color="auto"/>
        <w:left w:val="none" w:sz="0" w:space="0" w:color="auto"/>
        <w:bottom w:val="none" w:sz="0" w:space="0" w:color="auto"/>
        <w:right w:val="none" w:sz="0" w:space="0" w:color="auto"/>
      </w:divBdr>
    </w:div>
    <w:div w:id="1601329193">
      <w:bodyDiv w:val="1"/>
      <w:marLeft w:val="0"/>
      <w:marRight w:val="0"/>
      <w:marTop w:val="0"/>
      <w:marBottom w:val="0"/>
      <w:divBdr>
        <w:top w:val="none" w:sz="0" w:space="0" w:color="auto"/>
        <w:left w:val="none" w:sz="0" w:space="0" w:color="auto"/>
        <w:bottom w:val="none" w:sz="0" w:space="0" w:color="auto"/>
        <w:right w:val="none" w:sz="0" w:space="0" w:color="auto"/>
      </w:divBdr>
    </w:div>
    <w:div w:id="183710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http://www.pbs.gov.au/info/industry/listing/participants/public-release-docs/2016-02/bdmards-for-ankylosing-spondylitis2016-02" TargetMode="Externa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5E204-45E7-4059-8877-EDF5FB53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3136</Words>
  <Characters>17879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2016-08-28T23:15:00Z</dcterms:created>
  <dcterms:modified xsi:type="dcterms:W3CDTF">2016-10-17T05:01:00Z</dcterms:modified>
</cp:coreProperties>
</file>