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rawings/drawing1.xml" ContentType="application/vnd.openxmlformats-officedocument.drawingml.chartshapes+xml"/>
  <Override PartName="/word/charts/chart4.xml" ContentType="application/vnd.openxmlformats-officedocument.drawingml.chart+xml"/>
  <Override PartName="/word/drawings/drawing2.xml" ContentType="application/vnd.openxmlformats-officedocument.drawingml.chartshap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C17" w:rsidRDefault="0080335A" w:rsidP="00821C17">
      <w:pPr>
        <w:pStyle w:val="Title"/>
      </w:pPr>
      <w:proofErr w:type="gramStart"/>
      <w:r>
        <w:t>bDMARDs</w:t>
      </w:r>
      <w:proofErr w:type="gramEnd"/>
      <w:r>
        <w:t xml:space="preserve"> </w:t>
      </w:r>
      <w:r w:rsidR="00821C17" w:rsidRPr="00233053">
        <w:t xml:space="preserve">for </w:t>
      </w:r>
      <w:r w:rsidR="00821C17">
        <w:t>p</w:t>
      </w:r>
      <w:r w:rsidR="00821C17" w:rsidRPr="00233053">
        <w:t xml:space="preserve">soriatic </w:t>
      </w:r>
      <w:r w:rsidR="00821C17">
        <w:t>a</w:t>
      </w:r>
      <w:r w:rsidR="00821C17" w:rsidRPr="00233053">
        <w:t>rthritis</w:t>
      </w:r>
      <w:r w:rsidR="00821C17">
        <w:t xml:space="preserve">: </w:t>
      </w:r>
      <w:r w:rsidR="00821C17" w:rsidRPr="00233053">
        <w:t xml:space="preserve">addendum to </w:t>
      </w:r>
      <w:r w:rsidR="00821C17">
        <w:t xml:space="preserve">the </w:t>
      </w:r>
      <w:r w:rsidR="00821C17" w:rsidRPr="00233053">
        <w:t>Oct</w:t>
      </w:r>
      <w:r w:rsidR="00821C17">
        <w:t>ober</w:t>
      </w:r>
      <w:r w:rsidR="00821C17" w:rsidRPr="00233053">
        <w:t xml:space="preserve"> 2015 analysis</w:t>
      </w:r>
      <w:r w:rsidR="00821C17">
        <w:t xml:space="preserve"> </w:t>
      </w:r>
    </w:p>
    <w:p w:rsidR="00821C17" w:rsidRDefault="00821C17" w:rsidP="00821C17">
      <w:pPr>
        <w:pStyle w:val="Heading1"/>
      </w:pPr>
      <w:r>
        <w:t>D</w:t>
      </w:r>
      <w:r w:rsidRPr="0063631C">
        <w:t xml:space="preserve">rug utilisation sub-committee </w:t>
      </w:r>
      <w:r>
        <w:t>(DUSC)</w:t>
      </w:r>
    </w:p>
    <w:p w:rsidR="00821C17" w:rsidRPr="0080335A" w:rsidRDefault="00821C17" w:rsidP="00821C17">
      <w:pPr>
        <w:pStyle w:val="Heading2"/>
        <w:rPr>
          <w:i/>
        </w:rPr>
      </w:pPr>
      <w:r w:rsidRPr="0080335A">
        <w:rPr>
          <w:i/>
        </w:rPr>
        <w:t>February 2016</w:t>
      </w:r>
    </w:p>
    <w:p w:rsidR="00821C17" w:rsidRPr="0080335A" w:rsidRDefault="00821C17" w:rsidP="00821C17">
      <w:pPr>
        <w:pStyle w:val="Heading3"/>
        <w:rPr>
          <w:i w:val="0"/>
          <w:sz w:val="32"/>
          <w:szCs w:val="32"/>
        </w:rPr>
      </w:pPr>
      <w:r w:rsidRPr="0080335A">
        <w:rPr>
          <w:i w:val="0"/>
          <w:sz w:val="32"/>
          <w:szCs w:val="32"/>
        </w:rPr>
        <w:t>Abstract</w:t>
      </w:r>
    </w:p>
    <w:p w:rsidR="00821C17" w:rsidRPr="0080335A" w:rsidRDefault="00821C17" w:rsidP="00821C17">
      <w:pPr>
        <w:pStyle w:val="Heading2"/>
        <w:rPr>
          <w:i/>
        </w:rPr>
      </w:pPr>
      <w:r w:rsidRPr="0080335A">
        <w:rPr>
          <w:i/>
        </w:rPr>
        <w:t>Purpose</w:t>
      </w:r>
    </w:p>
    <w:p w:rsidR="00821C17" w:rsidRPr="004014CC" w:rsidRDefault="00821C17" w:rsidP="00821C17">
      <w:r>
        <w:t xml:space="preserve">To </w:t>
      </w:r>
      <w:r w:rsidRPr="00C60134">
        <w:t>assess</w:t>
      </w:r>
      <w:r>
        <w:t xml:space="preserve"> the utilisation of disease modifying anti-rheumatic drugs (</w:t>
      </w:r>
      <w:r w:rsidRPr="00C60134">
        <w:t>DMARD</w:t>
      </w:r>
      <w:r>
        <w:t>)</w:t>
      </w:r>
      <w:r w:rsidRPr="00C60134">
        <w:t xml:space="preserve"> prior to initiation o</w:t>
      </w:r>
      <w:r>
        <w:t>f</w:t>
      </w:r>
      <w:r w:rsidRPr="00C60134">
        <w:t xml:space="preserve"> </w:t>
      </w:r>
      <w:r>
        <w:t xml:space="preserve">biological </w:t>
      </w:r>
      <w:r w:rsidRPr="00C60134">
        <w:t xml:space="preserve">DMARDs </w:t>
      </w:r>
      <w:r>
        <w:t xml:space="preserve">(bDMARDs) </w:t>
      </w:r>
      <w:r w:rsidRPr="00C60134">
        <w:t>for psoriatic arthritis</w:t>
      </w:r>
      <w:r>
        <w:t xml:space="preserve">. </w:t>
      </w:r>
      <w:r w:rsidRPr="00C60134">
        <w:t xml:space="preserve"> </w:t>
      </w:r>
    </w:p>
    <w:p w:rsidR="00821C17" w:rsidRPr="0080335A" w:rsidRDefault="00821C17" w:rsidP="00821C17">
      <w:pPr>
        <w:pStyle w:val="Heading2"/>
        <w:rPr>
          <w:i/>
        </w:rPr>
      </w:pPr>
      <w:r w:rsidRPr="0080335A">
        <w:rPr>
          <w:i/>
        </w:rPr>
        <w:t>Date of listing on the Pharmaceutical Benefits Scheme (PBS)</w:t>
      </w:r>
      <w:r w:rsidR="0080335A" w:rsidRPr="0080335A">
        <w:rPr>
          <w:i/>
        </w:rPr>
        <w:t xml:space="preserve"> for this indication</w:t>
      </w:r>
    </w:p>
    <w:p w:rsidR="00821C17" w:rsidRDefault="00821C17" w:rsidP="00821C17">
      <w:pPr>
        <w:pStyle w:val="ListParagraph"/>
        <w:numPr>
          <w:ilvl w:val="0"/>
          <w:numId w:val="8"/>
        </w:numPr>
      </w:pPr>
      <w:r>
        <w:t>Adalimumab: 1 August 2006</w:t>
      </w:r>
    </w:p>
    <w:p w:rsidR="00821C17" w:rsidRDefault="00821C17" w:rsidP="00821C17">
      <w:pPr>
        <w:pStyle w:val="ListParagraph"/>
        <w:numPr>
          <w:ilvl w:val="0"/>
          <w:numId w:val="8"/>
        </w:numPr>
      </w:pPr>
      <w:proofErr w:type="spellStart"/>
      <w:r>
        <w:t>Etanercept</w:t>
      </w:r>
      <w:proofErr w:type="spellEnd"/>
      <w:r>
        <w:t>: 1 August 2006</w:t>
      </w:r>
    </w:p>
    <w:p w:rsidR="00821C17" w:rsidRDefault="00821C17" w:rsidP="00821C17">
      <w:pPr>
        <w:pStyle w:val="ListParagraph"/>
        <w:numPr>
          <w:ilvl w:val="0"/>
          <w:numId w:val="8"/>
        </w:numPr>
      </w:pPr>
      <w:r>
        <w:t>Infliximab: 1 August 2006</w:t>
      </w:r>
    </w:p>
    <w:p w:rsidR="00821C17" w:rsidRDefault="00821C17" w:rsidP="00821C17">
      <w:pPr>
        <w:pStyle w:val="ListParagraph"/>
        <w:numPr>
          <w:ilvl w:val="0"/>
          <w:numId w:val="8"/>
        </w:numPr>
      </w:pPr>
      <w:proofErr w:type="spellStart"/>
      <w:r>
        <w:t>Golimumab</w:t>
      </w:r>
      <w:proofErr w:type="spellEnd"/>
      <w:r>
        <w:t>: 1 August 2010</w:t>
      </w:r>
    </w:p>
    <w:p w:rsidR="00821C17" w:rsidRPr="00497333" w:rsidRDefault="00821C17" w:rsidP="00821C17">
      <w:pPr>
        <w:pStyle w:val="ListParagraph"/>
        <w:numPr>
          <w:ilvl w:val="0"/>
          <w:numId w:val="8"/>
        </w:numPr>
      </w:pPr>
      <w:proofErr w:type="spellStart"/>
      <w:r>
        <w:t>Certolizumab</w:t>
      </w:r>
      <w:proofErr w:type="spellEnd"/>
      <w:r>
        <w:t xml:space="preserve"> </w:t>
      </w:r>
      <w:proofErr w:type="spellStart"/>
      <w:r>
        <w:t>pegol</w:t>
      </w:r>
      <w:proofErr w:type="spellEnd"/>
      <w:r>
        <w:t>: 1 April 2015</w:t>
      </w:r>
    </w:p>
    <w:p w:rsidR="00821C17" w:rsidRPr="0080335A" w:rsidRDefault="00821C17" w:rsidP="00821C17">
      <w:pPr>
        <w:pStyle w:val="Heading2"/>
        <w:rPr>
          <w:i/>
        </w:rPr>
      </w:pPr>
      <w:r w:rsidRPr="0080335A">
        <w:rPr>
          <w:i/>
        </w:rPr>
        <w:t>Data Source / methodology</w:t>
      </w:r>
    </w:p>
    <w:p w:rsidR="00821C17" w:rsidRPr="0093416F" w:rsidRDefault="00821C17" w:rsidP="00821C17">
      <w:r>
        <w:t>The DHS prescription claims database was used for the analyses in this addendum.</w:t>
      </w:r>
    </w:p>
    <w:p w:rsidR="00821C17" w:rsidRPr="0080335A" w:rsidRDefault="00821C17" w:rsidP="00821C17">
      <w:pPr>
        <w:pStyle w:val="Heading2"/>
        <w:rPr>
          <w:i/>
        </w:rPr>
      </w:pPr>
      <w:r w:rsidRPr="0080335A">
        <w:rPr>
          <w:i/>
        </w:rPr>
        <w:t>Key Findings</w:t>
      </w:r>
    </w:p>
    <w:p w:rsidR="00821C17" w:rsidRPr="003D20E6" w:rsidRDefault="00821C17" w:rsidP="00821C17">
      <w:pPr>
        <w:pStyle w:val="NoSpacing"/>
        <w:numPr>
          <w:ilvl w:val="0"/>
          <w:numId w:val="14"/>
        </w:numPr>
      </w:pPr>
      <w:r>
        <w:t xml:space="preserve">Approximately 17% of patients may not have trialled methotrexate and </w:t>
      </w:r>
      <w:r w:rsidRPr="00AA5403">
        <w:t xml:space="preserve">sulfasalazine </w:t>
      </w:r>
      <w:r>
        <w:t xml:space="preserve">or </w:t>
      </w:r>
      <w:proofErr w:type="spellStart"/>
      <w:r>
        <w:t>leflunomide</w:t>
      </w:r>
      <w:proofErr w:type="spellEnd"/>
      <w:r>
        <w:t xml:space="preserve"> prior to </w:t>
      </w:r>
      <w:r w:rsidRPr="003D20E6">
        <w:t>their first bDMARD</w:t>
      </w:r>
      <w:r>
        <w:t xml:space="preserve"> in accordance with the PBS restriction</w:t>
      </w:r>
      <w:r w:rsidRPr="003D20E6">
        <w:t>.</w:t>
      </w:r>
      <w:r>
        <w:t xml:space="preserve"> Patients with a contraindication are exempt from this requirement for the relevant medicine.</w:t>
      </w:r>
    </w:p>
    <w:p w:rsidR="00821C17" w:rsidRDefault="00821C17" w:rsidP="00821C17">
      <w:pPr>
        <w:pStyle w:val="NoSpacing"/>
        <w:numPr>
          <w:ilvl w:val="0"/>
          <w:numId w:val="14"/>
        </w:numPr>
      </w:pPr>
      <w:r>
        <w:t xml:space="preserve">The proportion of </w:t>
      </w:r>
      <w:proofErr w:type="gramStart"/>
      <w:r>
        <w:t>patients</w:t>
      </w:r>
      <w:proofErr w:type="gramEnd"/>
      <w:r>
        <w:t xml:space="preserve"> trialling none of the restriction specified drugs (methotrexate, </w:t>
      </w:r>
      <w:r w:rsidRPr="00AA5403">
        <w:t xml:space="preserve">sulfasalazine </w:t>
      </w:r>
      <w:r>
        <w:t xml:space="preserve">and </w:t>
      </w:r>
      <w:proofErr w:type="spellStart"/>
      <w:r>
        <w:t>leflunomide</w:t>
      </w:r>
      <w:proofErr w:type="spellEnd"/>
      <w:r>
        <w:t>) may be slowly increasing (see Figure 1).</w:t>
      </w:r>
    </w:p>
    <w:p w:rsidR="00821C17" w:rsidRDefault="00821C17" w:rsidP="00821C17">
      <w:pPr>
        <w:pStyle w:val="ListParagraph"/>
        <w:numPr>
          <w:ilvl w:val="0"/>
          <w:numId w:val="14"/>
        </w:numPr>
      </w:pPr>
      <w:r>
        <w:t xml:space="preserve">At initiation to bDMARD therapy for </w:t>
      </w:r>
      <w:r w:rsidRPr="00233053">
        <w:t>psoriatic arthritis</w:t>
      </w:r>
      <w:r>
        <w:t>, 35% of patients added the bDMARD to an existing DMARD regimen, 52% of patients substituted one or more drugs in an existing DMARD regimen and 13% initiated without having been on any DMARD at the time.</w:t>
      </w:r>
    </w:p>
    <w:p w:rsidR="00821C17" w:rsidRDefault="00821C17" w:rsidP="00821C17">
      <w:pPr>
        <w:pStyle w:val="ListParagraph"/>
        <w:numPr>
          <w:ilvl w:val="0"/>
          <w:numId w:val="14"/>
        </w:numPr>
      </w:pPr>
      <w:r>
        <w:t xml:space="preserve">At initiation 40% of patients were on bDMARD monotherapy and 60% were using a combination of DMARD and bDMARD. Twelve months after initiation 42% of </w:t>
      </w:r>
      <w:r w:rsidR="00380AA7">
        <w:t>patients were</w:t>
      </w:r>
      <w:r>
        <w:t xml:space="preserve"> on bDMARD monotherapy and 58% were using a combination of DMARD and bDMARD.</w:t>
      </w:r>
    </w:p>
    <w:p w:rsidR="00821C17" w:rsidRDefault="00821C17" w:rsidP="00821C17"/>
    <w:p w:rsidR="00821C17" w:rsidRPr="0080335A" w:rsidRDefault="00821C17" w:rsidP="00821C17">
      <w:pPr>
        <w:pStyle w:val="Heading4"/>
        <w:rPr>
          <w:i w:val="0"/>
        </w:rPr>
      </w:pPr>
      <w:r w:rsidRPr="0080335A">
        <w:rPr>
          <w:i w:val="0"/>
        </w:rPr>
        <w:lastRenderedPageBreak/>
        <w:t>Background</w:t>
      </w:r>
    </w:p>
    <w:p w:rsidR="00821C17" w:rsidRPr="00555A23" w:rsidRDefault="00821C17" w:rsidP="00821C17">
      <w:r>
        <w:t xml:space="preserve">The DUSC considered a report on the use of </w:t>
      </w:r>
      <w:r w:rsidR="00380AA7">
        <w:t>bDMARDs</w:t>
      </w:r>
      <w:r>
        <w:t xml:space="preserve"> at its October 2015 meeting. </w:t>
      </w:r>
      <w:r w:rsidR="0080335A">
        <w:t xml:space="preserve">A </w:t>
      </w:r>
      <w:r w:rsidR="00A8455E">
        <w:t>p</w:t>
      </w:r>
      <w:r w:rsidR="0080335A">
        <w:t xml:space="preserve">ublic </w:t>
      </w:r>
      <w:r w:rsidR="00A8455E">
        <w:t>r</w:t>
      </w:r>
      <w:r w:rsidR="00555150">
        <w:t xml:space="preserve">elease version </w:t>
      </w:r>
      <w:r w:rsidR="0080335A">
        <w:t>of this report is available</w:t>
      </w:r>
      <w:r w:rsidR="0080335A">
        <w:rPr>
          <w:rStyle w:val="FootnoteReference"/>
        </w:rPr>
        <w:footnoteReference w:id="1"/>
      </w:r>
      <w:r w:rsidR="0080335A">
        <w:t xml:space="preserve">. </w:t>
      </w:r>
      <w:r>
        <w:t>At this meeting the DUSC requested that “…</w:t>
      </w:r>
      <w:r w:rsidRPr="004D27E0">
        <w:rPr>
          <w:i/>
        </w:rPr>
        <w:t>an assessment of DMARD use prior to initiation on bDMARDs for psoriatic arthritis be undertaken and presented to DUSC at a future meeting</w:t>
      </w:r>
      <w:r>
        <w:rPr>
          <w:i/>
        </w:rPr>
        <w:t>…</w:t>
      </w:r>
      <w:proofErr w:type="gramStart"/>
      <w:r>
        <w:rPr>
          <w:i/>
        </w:rPr>
        <w:t>”</w:t>
      </w:r>
      <w:r w:rsidRPr="004D27E0">
        <w:rPr>
          <w:i/>
        </w:rPr>
        <w:t>.</w:t>
      </w:r>
      <w:proofErr w:type="gramEnd"/>
    </w:p>
    <w:p w:rsidR="00821C17" w:rsidRDefault="00821C17" w:rsidP="00821C17">
      <w:pPr>
        <w:spacing w:line="276" w:lineRule="auto"/>
      </w:pPr>
      <w:r>
        <w:t xml:space="preserve">To be eligible for a PBS subsidised bDMARD for </w:t>
      </w:r>
      <w:r w:rsidR="00AD2E42">
        <w:t xml:space="preserve">psoriatic arthritis </w:t>
      </w:r>
      <w:r>
        <w:t xml:space="preserve">the patients must have: </w:t>
      </w:r>
    </w:p>
    <w:p w:rsidR="00821C17" w:rsidRDefault="00821C17" w:rsidP="00821C17">
      <w:pPr>
        <w:spacing w:line="276" w:lineRule="auto"/>
      </w:pPr>
      <w:proofErr w:type="gramStart"/>
      <w:r>
        <w:t>failed</w:t>
      </w:r>
      <w:proofErr w:type="gramEnd"/>
      <w:r>
        <w:t xml:space="preserve"> to achieve an adequate response to methotrexate at a dose of at least 20 mg weekly for a minimum period of 3 months,</w:t>
      </w:r>
    </w:p>
    <w:p w:rsidR="00821C17" w:rsidRDefault="00821C17" w:rsidP="00821C17">
      <w:pPr>
        <w:spacing w:line="276" w:lineRule="auto"/>
      </w:pPr>
      <w:r>
        <w:t>AND</w:t>
      </w:r>
    </w:p>
    <w:p w:rsidR="00821C17" w:rsidRDefault="00821C17" w:rsidP="00821C17">
      <w:pPr>
        <w:spacing w:line="276" w:lineRule="auto"/>
      </w:pPr>
      <w:proofErr w:type="gramStart"/>
      <w:r>
        <w:t>failed</w:t>
      </w:r>
      <w:proofErr w:type="gramEnd"/>
      <w:r>
        <w:t xml:space="preserve"> to achieve an adequate response to sulfasalazine at a dose of at least 2 g per day for a minimum period of 3 months; OR</w:t>
      </w:r>
    </w:p>
    <w:p w:rsidR="00821C17" w:rsidRDefault="00821C17" w:rsidP="00821C17">
      <w:pPr>
        <w:spacing w:line="276" w:lineRule="auto"/>
      </w:pPr>
      <w:proofErr w:type="gramStart"/>
      <w:r>
        <w:t>failed</w:t>
      </w:r>
      <w:proofErr w:type="gramEnd"/>
      <w:r>
        <w:t xml:space="preserve"> to achieve an adequate response to </w:t>
      </w:r>
      <w:proofErr w:type="spellStart"/>
      <w:r>
        <w:t>leflunomide</w:t>
      </w:r>
      <w:proofErr w:type="spellEnd"/>
      <w:r>
        <w:t xml:space="preserve"> at a dose of up to 20 mg daily for a minimum period of 3 months.</w:t>
      </w:r>
    </w:p>
    <w:p w:rsidR="00821C17" w:rsidRDefault="00821C17" w:rsidP="00821C17">
      <w:pPr>
        <w:spacing w:line="276" w:lineRule="auto"/>
      </w:pPr>
      <w:r>
        <w:t xml:space="preserve">Where treatment with methotrexate, sulfasalazine or </w:t>
      </w:r>
      <w:proofErr w:type="spellStart"/>
      <w:r>
        <w:t>leflunomide</w:t>
      </w:r>
      <w:proofErr w:type="spellEnd"/>
      <w:r>
        <w:t xml:space="preserve"> is contraindicated according to the relevant TGA-approved Product Information, details must be provided at the time of application for the initial treatment authority approval.</w:t>
      </w:r>
    </w:p>
    <w:p w:rsidR="00821C17" w:rsidRDefault="00821C17" w:rsidP="00821C17">
      <w:pPr>
        <w:spacing w:line="276" w:lineRule="auto"/>
        <w:rPr>
          <w:highlight w:val="yellow"/>
        </w:rPr>
      </w:pPr>
      <w:r>
        <w:t xml:space="preserve">Where intolerance to treatment with methotrexate, sulfasalazine or </w:t>
      </w:r>
      <w:proofErr w:type="spellStart"/>
      <w:r>
        <w:t>leflunomide</w:t>
      </w:r>
      <w:proofErr w:type="spellEnd"/>
      <w:r>
        <w:t xml:space="preserve"> developed during the relevant period of use, which was of a severity to necessitate permanent treatment withdrawal, details of the degree of this toxicity must be provided at the time of application.</w:t>
      </w:r>
    </w:p>
    <w:p w:rsidR="00821C17" w:rsidRPr="0080335A" w:rsidRDefault="00821C17" w:rsidP="00821C17">
      <w:pPr>
        <w:pStyle w:val="Heading4"/>
        <w:rPr>
          <w:i w:val="0"/>
        </w:rPr>
      </w:pPr>
      <w:r w:rsidRPr="0080335A">
        <w:rPr>
          <w:i w:val="0"/>
        </w:rPr>
        <w:t>Methods</w:t>
      </w:r>
    </w:p>
    <w:p w:rsidR="00821C17" w:rsidRDefault="00821C17" w:rsidP="00821C17">
      <w:r>
        <w:rPr>
          <w:rFonts w:eastAsia="Calibri" w:cs="Times New Roman"/>
        </w:rPr>
        <w:t>The analyses were undertaken using prescriptions supplied from August 2006 to September</w:t>
      </w:r>
      <w:r w:rsidR="00A8455E">
        <w:rPr>
          <w:rFonts w:eastAsia="Calibri" w:cs="Times New Roman"/>
        </w:rPr>
        <w:t> </w:t>
      </w:r>
      <w:r>
        <w:rPr>
          <w:rFonts w:eastAsia="Calibri" w:cs="Times New Roman"/>
        </w:rPr>
        <w:t xml:space="preserve">2015 from the </w:t>
      </w:r>
      <w:r>
        <w:t xml:space="preserve">DHS prescription claims database. The first step was to find all the patients who had been supplied a </w:t>
      </w:r>
      <w:r w:rsidRPr="008977CA">
        <w:t>bDMARD for psoriatic arthritis (</w:t>
      </w:r>
      <w:proofErr w:type="spellStart"/>
      <w:r w:rsidRPr="008977CA">
        <w:t>P</w:t>
      </w:r>
      <w:r>
        <w:t>s</w:t>
      </w:r>
      <w:r w:rsidRPr="008977CA">
        <w:t>A</w:t>
      </w:r>
      <w:proofErr w:type="spellEnd"/>
      <w:r w:rsidRPr="008977CA">
        <w:t>)</w:t>
      </w:r>
      <w:r>
        <w:t xml:space="preserve">. Different cohorts of patients were used in each analysis as described further below. </w:t>
      </w:r>
    </w:p>
    <w:p w:rsidR="00821C17" w:rsidRDefault="00821C17" w:rsidP="00821C17">
      <w:pPr>
        <w:rPr>
          <w:rFonts w:eastAsia="Calibri" w:cs="Times New Roman"/>
        </w:rPr>
      </w:pPr>
      <w:r>
        <w:t xml:space="preserve">The PBS item codes for </w:t>
      </w:r>
      <w:r w:rsidR="00380AA7">
        <w:t>bDMARDs</w:t>
      </w:r>
      <w:r>
        <w:t xml:space="preserve"> are restriction specific. Item codes for </w:t>
      </w:r>
      <w:proofErr w:type="spellStart"/>
      <w:r>
        <w:t>PsA</w:t>
      </w:r>
      <w:proofErr w:type="spellEnd"/>
      <w:r>
        <w:t xml:space="preserve"> are shown in Table 1. </w:t>
      </w:r>
    </w:p>
    <w:p w:rsidR="00821C17" w:rsidRDefault="00821C17" w:rsidP="00821C17">
      <w:pPr>
        <w:spacing w:line="276" w:lineRule="auto"/>
        <w:rPr>
          <w:b/>
        </w:rPr>
      </w:pPr>
      <w:r>
        <w:rPr>
          <w:b/>
        </w:rPr>
        <w:br w:type="page"/>
      </w:r>
    </w:p>
    <w:p w:rsidR="00821C17" w:rsidRDefault="00821C17" w:rsidP="00821C17">
      <w:pPr>
        <w:spacing w:before="200" w:after="20"/>
        <w:rPr>
          <w:b/>
        </w:rPr>
      </w:pPr>
      <w:r>
        <w:rPr>
          <w:b/>
        </w:rPr>
        <w:lastRenderedPageBreak/>
        <w:t xml:space="preserve">Table 1: bDMARD PBS items for </w:t>
      </w:r>
      <w:r w:rsidRPr="002A54AA">
        <w:rPr>
          <w:b/>
        </w:rPr>
        <w:t>psoriatic arthritis</w:t>
      </w:r>
    </w:p>
    <w:tbl>
      <w:tblPr>
        <w:tblW w:w="861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1531"/>
        <w:gridCol w:w="907"/>
        <w:gridCol w:w="5216"/>
      </w:tblGrid>
      <w:tr w:rsidR="00821C17" w:rsidRPr="00244241" w:rsidTr="0080335A">
        <w:tc>
          <w:tcPr>
            <w:tcW w:w="964" w:type="dxa"/>
            <w:tcBorders>
              <w:left w:val="single" w:sz="4" w:space="0" w:color="auto"/>
              <w:bottom w:val="single" w:sz="4" w:space="0" w:color="auto"/>
            </w:tcBorders>
            <w:shd w:val="clear" w:color="auto" w:fill="BFBFBF" w:themeFill="background1" w:themeFillShade="BF"/>
            <w:noWrap/>
            <w:hideMark/>
          </w:tcPr>
          <w:p w:rsidR="00821C17" w:rsidRPr="00FB1643" w:rsidRDefault="00821C17" w:rsidP="0080335A">
            <w:pPr>
              <w:spacing w:after="0"/>
              <w:jc w:val="center"/>
              <w:rPr>
                <w:rFonts w:eastAsia="Times New Roman" w:cs="Times New Roman"/>
                <w:b/>
                <w:bCs/>
                <w:color w:val="000000"/>
                <w:sz w:val="20"/>
                <w:szCs w:val="20"/>
              </w:rPr>
            </w:pPr>
            <w:r w:rsidRPr="00FB1643">
              <w:rPr>
                <w:rFonts w:eastAsia="Times New Roman" w:cs="Times New Roman"/>
                <w:b/>
                <w:bCs/>
                <w:color w:val="000000"/>
                <w:sz w:val="20"/>
                <w:szCs w:val="20"/>
              </w:rPr>
              <w:t>ATC code</w:t>
            </w:r>
          </w:p>
        </w:tc>
        <w:tc>
          <w:tcPr>
            <w:tcW w:w="1531" w:type="dxa"/>
            <w:tcBorders>
              <w:bottom w:val="single" w:sz="4" w:space="0" w:color="auto"/>
            </w:tcBorders>
            <w:shd w:val="clear" w:color="auto" w:fill="BFBFBF" w:themeFill="background1" w:themeFillShade="BF"/>
          </w:tcPr>
          <w:p w:rsidR="00821C17" w:rsidRPr="00FB1643" w:rsidRDefault="00821C17" w:rsidP="0080335A">
            <w:pPr>
              <w:spacing w:after="0"/>
              <w:jc w:val="center"/>
              <w:rPr>
                <w:rFonts w:eastAsia="Times New Roman" w:cs="Times New Roman"/>
                <w:b/>
                <w:bCs/>
                <w:color w:val="000000"/>
                <w:sz w:val="20"/>
                <w:szCs w:val="20"/>
              </w:rPr>
            </w:pPr>
            <w:r w:rsidRPr="00FB1643">
              <w:rPr>
                <w:rFonts w:eastAsia="Times New Roman" w:cs="Times New Roman"/>
                <w:b/>
                <w:bCs/>
                <w:color w:val="000000"/>
                <w:sz w:val="20"/>
                <w:szCs w:val="20"/>
              </w:rPr>
              <w:t>Drug name</w:t>
            </w:r>
          </w:p>
        </w:tc>
        <w:tc>
          <w:tcPr>
            <w:tcW w:w="907" w:type="dxa"/>
            <w:shd w:val="clear" w:color="auto" w:fill="BFBFBF" w:themeFill="background1" w:themeFillShade="BF"/>
          </w:tcPr>
          <w:p w:rsidR="00821C17" w:rsidRPr="00FB1643" w:rsidRDefault="00821C17" w:rsidP="0080335A">
            <w:pPr>
              <w:spacing w:after="0"/>
              <w:jc w:val="center"/>
              <w:rPr>
                <w:rFonts w:eastAsia="Times New Roman" w:cs="Times New Roman"/>
                <w:b/>
                <w:bCs/>
                <w:color w:val="000000"/>
                <w:sz w:val="20"/>
                <w:szCs w:val="20"/>
              </w:rPr>
            </w:pPr>
            <w:r w:rsidRPr="00FB1643">
              <w:rPr>
                <w:rFonts w:eastAsia="Times New Roman" w:cs="Times New Roman"/>
                <w:b/>
                <w:bCs/>
                <w:color w:val="000000"/>
                <w:sz w:val="20"/>
                <w:szCs w:val="20"/>
              </w:rPr>
              <w:t>PBS item code</w:t>
            </w:r>
          </w:p>
        </w:tc>
        <w:tc>
          <w:tcPr>
            <w:tcW w:w="5216" w:type="dxa"/>
            <w:shd w:val="clear" w:color="auto" w:fill="BFBFBF" w:themeFill="background1" w:themeFillShade="BF"/>
          </w:tcPr>
          <w:p w:rsidR="00821C17" w:rsidRPr="00FB1643" w:rsidRDefault="00821C17" w:rsidP="0080335A">
            <w:pPr>
              <w:spacing w:after="0"/>
              <w:jc w:val="center"/>
              <w:rPr>
                <w:rFonts w:eastAsia="Times New Roman" w:cs="Times New Roman"/>
                <w:b/>
                <w:bCs/>
                <w:color w:val="000000"/>
                <w:sz w:val="20"/>
                <w:szCs w:val="20"/>
              </w:rPr>
            </w:pPr>
            <w:r>
              <w:rPr>
                <w:rFonts w:eastAsia="Times New Roman" w:cs="Times New Roman"/>
                <w:b/>
                <w:bCs/>
                <w:color w:val="000000"/>
                <w:sz w:val="20"/>
                <w:szCs w:val="20"/>
              </w:rPr>
              <w:t>Form and strength</w:t>
            </w:r>
          </w:p>
        </w:tc>
      </w:tr>
      <w:tr w:rsidR="00821C17" w:rsidRPr="008A43B1" w:rsidTr="008033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64" w:type="dxa"/>
            <w:tcBorders>
              <w:top w:val="single" w:sz="4" w:space="0" w:color="auto"/>
              <w:left w:val="single" w:sz="4" w:space="0" w:color="auto"/>
              <w:right w:val="single" w:sz="4" w:space="0" w:color="auto"/>
            </w:tcBorders>
            <w:shd w:val="clear" w:color="auto" w:fill="auto"/>
            <w:noWrap/>
            <w:hideMark/>
          </w:tcPr>
          <w:p w:rsidR="00821C17" w:rsidRPr="008A43B1" w:rsidRDefault="00821C17" w:rsidP="0080335A">
            <w:pPr>
              <w:spacing w:after="0"/>
              <w:rPr>
                <w:rFonts w:ascii="Calibri" w:eastAsia="Times New Roman" w:hAnsi="Calibri" w:cs="Times New Roman"/>
                <w:bCs/>
                <w:color w:val="000000"/>
                <w:sz w:val="20"/>
                <w:szCs w:val="20"/>
              </w:rPr>
            </w:pPr>
            <w:r w:rsidRPr="008A43B1">
              <w:rPr>
                <w:rFonts w:ascii="Calibri" w:eastAsia="Times New Roman" w:hAnsi="Calibri" w:cs="Times New Roman"/>
                <w:bCs/>
                <w:color w:val="000000"/>
                <w:sz w:val="20"/>
                <w:szCs w:val="20"/>
              </w:rPr>
              <w:t>L04AB01</w:t>
            </w:r>
          </w:p>
        </w:tc>
        <w:tc>
          <w:tcPr>
            <w:tcW w:w="1531" w:type="dxa"/>
            <w:tcBorders>
              <w:top w:val="single" w:sz="4" w:space="0" w:color="auto"/>
              <w:left w:val="single" w:sz="4" w:space="0" w:color="auto"/>
              <w:right w:val="single" w:sz="4" w:space="0" w:color="auto"/>
            </w:tcBorders>
            <w:shd w:val="clear" w:color="auto" w:fill="auto"/>
            <w:noWrap/>
            <w:hideMark/>
          </w:tcPr>
          <w:p w:rsidR="00821C17" w:rsidRPr="008A43B1" w:rsidRDefault="00821C17" w:rsidP="0080335A">
            <w:pPr>
              <w:spacing w:after="0"/>
              <w:rPr>
                <w:rFonts w:ascii="Calibri" w:eastAsia="Times New Roman" w:hAnsi="Calibri" w:cs="Times New Roman"/>
                <w:sz w:val="20"/>
                <w:szCs w:val="20"/>
              </w:rPr>
            </w:pPr>
            <w:proofErr w:type="spellStart"/>
            <w:r w:rsidRPr="008A43B1">
              <w:rPr>
                <w:rFonts w:ascii="Calibri" w:eastAsia="Times New Roman" w:hAnsi="Calibri" w:cs="Times New Roman"/>
                <w:sz w:val="20"/>
                <w:szCs w:val="20"/>
              </w:rPr>
              <w:t>Etanercept</w:t>
            </w:r>
            <w:proofErr w:type="spellEnd"/>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1C17" w:rsidRPr="008A43B1" w:rsidRDefault="00821C17" w:rsidP="0080335A">
            <w:pPr>
              <w:spacing w:after="0"/>
              <w:rPr>
                <w:rFonts w:ascii="Calibri" w:eastAsia="Times New Roman" w:hAnsi="Calibri" w:cs="Times New Roman"/>
                <w:sz w:val="20"/>
                <w:szCs w:val="20"/>
              </w:rPr>
            </w:pPr>
            <w:r w:rsidRPr="005D4713">
              <w:rPr>
                <w:rFonts w:ascii="Calibri" w:eastAsia="Times New Roman" w:hAnsi="Calibri" w:cs="Times New Roman"/>
                <w:sz w:val="20"/>
                <w:szCs w:val="20"/>
              </w:rPr>
              <w:t>09035M</w:t>
            </w:r>
          </w:p>
        </w:tc>
        <w:tc>
          <w:tcPr>
            <w:tcW w:w="5216" w:type="dxa"/>
            <w:tcBorders>
              <w:top w:val="single" w:sz="4" w:space="0" w:color="auto"/>
              <w:left w:val="single" w:sz="4" w:space="0" w:color="auto"/>
              <w:bottom w:val="single" w:sz="4" w:space="0" w:color="auto"/>
              <w:right w:val="single" w:sz="4" w:space="0" w:color="auto"/>
            </w:tcBorders>
            <w:vAlign w:val="bottom"/>
          </w:tcPr>
          <w:p w:rsidR="00821C17" w:rsidRPr="005D4713" w:rsidRDefault="00821C17" w:rsidP="0080335A">
            <w:pPr>
              <w:spacing w:after="0"/>
              <w:rPr>
                <w:rFonts w:ascii="Calibri" w:eastAsia="Times New Roman" w:hAnsi="Calibri" w:cs="Times New Roman"/>
                <w:sz w:val="20"/>
                <w:szCs w:val="20"/>
              </w:rPr>
            </w:pPr>
            <w:r w:rsidRPr="005D4713">
              <w:rPr>
                <w:rFonts w:ascii="Calibri" w:eastAsia="Times New Roman" w:hAnsi="Calibri" w:cs="Times New Roman"/>
                <w:sz w:val="20"/>
                <w:szCs w:val="20"/>
              </w:rPr>
              <w:t>Injection set containing 4 vials powder for injection 25 mg and 4 pre-filled syr</w:t>
            </w:r>
            <w:r>
              <w:rPr>
                <w:rFonts w:ascii="Calibri" w:eastAsia="Times New Roman" w:hAnsi="Calibri" w:cs="Times New Roman"/>
                <w:sz w:val="20"/>
                <w:szCs w:val="20"/>
              </w:rPr>
              <w:t>inge</w:t>
            </w:r>
          </w:p>
        </w:tc>
      </w:tr>
      <w:tr w:rsidR="00821C17" w:rsidRPr="008A43B1" w:rsidTr="008033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64" w:type="dxa"/>
            <w:tcBorders>
              <w:left w:val="single" w:sz="4" w:space="0" w:color="auto"/>
              <w:right w:val="single" w:sz="4" w:space="0" w:color="auto"/>
            </w:tcBorders>
            <w:shd w:val="clear" w:color="auto" w:fill="auto"/>
            <w:noWrap/>
            <w:hideMark/>
          </w:tcPr>
          <w:p w:rsidR="00821C17" w:rsidRPr="008A43B1" w:rsidRDefault="00821C17" w:rsidP="0080335A">
            <w:pPr>
              <w:spacing w:after="0"/>
              <w:rPr>
                <w:rFonts w:ascii="Calibri" w:eastAsia="Times New Roman" w:hAnsi="Calibri" w:cs="Times New Roman"/>
                <w:bCs/>
                <w:color w:val="000000"/>
                <w:sz w:val="20"/>
                <w:szCs w:val="20"/>
              </w:rPr>
            </w:pPr>
          </w:p>
        </w:tc>
        <w:tc>
          <w:tcPr>
            <w:tcW w:w="1531" w:type="dxa"/>
            <w:tcBorders>
              <w:left w:val="single" w:sz="4" w:space="0" w:color="auto"/>
              <w:right w:val="single" w:sz="4" w:space="0" w:color="auto"/>
            </w:tcBorders>
            <w:shd w:val="clear" w:color="auto" w:fill="auto"/>
            <w:noWrap/>
            <w:hideMark/>
          </w:tcPr>
          <w:p w:rsidR="00821C17" w:rsidRPr="008A43B1" w:rsidRDefault="00821C17" w:rsidP="0080335A">
            <w:pPr>
              <w:spacing w:after="0"/>
              <w:rPr>
                <w:rFonts w:ascii="Calibri" w:eastAsia="Times New Roman" w:hAnsi="Calibri"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1C17" w:rsidRPr="008A43B1" w:rsidRDefault="00821C17" w:rsidP="0080335A">
            <w:pPr>
              <w:spacing w:after="0"/>
              <w:rPr>
                <w:rFonts w:ascii="Calibri" w:eastAsia="Times New Roman" w:hAnsi="Calibri" w:cs="Times New Roman"/>
                <w:sz w:val="20"/>
                <w:szCs w:val="20"/>
              </w:rPr>
            </w:pPr>
            <w:r w:rsidRPr="005D4713">
              <w:rPr>
                <w:rFonts w:ascii="Calibri" w:eastAsia="Times New Roman" w:hAnsi="Calibri" w:cs="Times New Roman"/>
                <w:sz w:val="20"/>
                <w:szCs w:val="20"/>
              </w:rPr>
              <w:t>09036N</w:t>
            </w:r>
          </w:p>
        </w:tc>
        <w:tc>
          <w:tcPr>
            <w:tcW w:w="5216" w:type="dxa"/>
            <w:tcBorders>
              <w:top w:val="single" w:sz="4" w:space="0" w:color="auto"/>
              <w:left w:val="single" w:sz="4" w:space="0" w:color="auto"/>
              <w:bottom w:val="single" w:sz="4" w:space="0" w:color="auto"/>
              <w:right w:val="single" w:sz="4" w:space="0" w:color="auto"/>
            </w:tcBorders>
            <w:vAlign w:val="bottom"/>
          </w:tcPr>
          <w:p w:rsidR="00821C17" w:rsidRPr="005D4713" w:rsidRDefault="00821C17" w:rsidP="0080335A">
            <w:pPr>
              <w:spacing w:after="0"/>
              <w:rPr>
                <w:rFonts w:ascii="Calibri" w:eastAsia="Times New Roman" w:hAnsi="Calibri" w:cs="Times New Roman"/>
                <w:sz w:val="20"/>
                <w:szCs w:val="20"/>
              </w:rPr>
            </w:pPr>
            <w:r w:rsidRPr="005D4713">
              <w:rPr>
                <w:rFonts w:ascii="Calibri" w:eastAsia="Times New Roman" w:hAnsi="Calibri" w:cs="Times New Roman"/>
                <w:sz w:val="20"/>
                <w:szCs w:val="20"/>
              </w:rPr>
              <w:t>Injection set containing 4 vials powder for injection 25 mg and 4 pre-filled syr</w:t>
            </w:r>
            <w:r>
              <w:rPr>
                <w:rFonts w:ascii="Calibri" w:eastAsia="Times New Roman" w:hAnsi="Calibri" w:cs="Times New Roman"/>
                <w:sz w:val="20"/>
                <w:szCs w:val="20"/>
              </w:rPr>
              <w:t>inge</w:t>
            </w:r>
          </w:p>
        </w:tc>
      </w:tr>
      <w:tr w:rsidR="00821C17" w:rsidRPr="008A43B1" w:rsidTr="008033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64" w:type="dxa"/>
            <w:tcBorders>
              <w:left w:val="single" w:sz="4" w:space="0" w:color="auto"/>
              <w:right w:val="single" w:sz="4" w:space="0" w:color="auto"/>
            </w:tcBorders>
            <w:shd w:val="clear" w:color="auto" w:fill="auto"/>
            <w:noWrap/>
            <w:hideMark/>
          </w:tcPr>
          <w:p w:rsidR="00821C17" w:rsidRPr="008A43B1" w:rsidRDefault="00821C17" w:rsidP="0080335A">
            <w:pPr>
              <w:spacing w:after="0"/>
              <w:rPr>
                <w:rFonts w:ascii="Calibri" w:eastAsia="Times New Roman" w:hAnsi="Calibri" w:cs="Times New Roman"/>
                <w:bCs/>
                <w:color w:val="000000"/>
                <w:sz w:val="20"/>
                <w:szCs w:val="20"/>
              </w:rPr>
            </w:pPr>
          </w:p>
        </w:tc>
        <w:tc>
          <w:tcPr>
            <w:tcW w:w="1531" w:type="dxa"/>
            <w:tcBorders>
              <w:left w:val="single" w:sz="4" w:space="0" w:color="auto"/>
              <w:right w:val="single" w:sz="4" w:space="0" w:color="auto"/>
            </w:tcBorders>
            <w:shd w:val="clear" w:color="auto" w:fill="auto"/>
            <w:noWrap/>
            <w:hideMark/>
          </w:tcPr>
          <w:p w:rsidR="00821C17" w:rsidRPr="008A43B1" w:rsidRDefault="00821C17" w:rsidP="0080335A">
            <w:pPr>
              <w:spacing w:after="0"/>
              <w:rPr>
                <w:rFonts w:ascii="Calibri" w:eastAsia="Times New Roman" w:hAnsi="Calibri"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1C17" w:rsidRPr="008A43B1" w:rsidRDefault="00821C17" w:rsidP="0080335A">
            <w:pPr>
              <w:spacing w:after="0"/>
              <w:rPr>
                <w:rFonts w:ascii="Calibri" w:eastAsia="Times New Roman" w:hAnsi="Calibri" w:cs="Times New Roman"/>
                <w:sz w:val="20"/>
                <w:szCs w:val="20"/>
              </w:rPr>
            </w:pPr>
            <w:r w:rsidRPr="005D4713">
              <w:rPr>
                <w:rFonts w:ascii="Calibri" w:eastAsia="Times New Roman" w:hAnsi="Calibri" w:cs="Times New Roman"/>
                <w:sz w:val="20"/>
                <w:szCs w:val="20"/>
              </w:rPr>
              <w:t>09087G</w:t>
            </w:r>
          </w:p>
        </w:tc>
        <w:tc>
          <w:tcPr>
            <w:tcW w:w="5216" w:type="dxa"/>
            <w:tcBorders>
              <w:top w:val="single" w:sz="4" w:space="0" w:color="auto"/>
              <w:left w:val="single" w:sz="4" w:space="0" w:color="auto"/>
              <w:bottom w:val="single" w:sz="4" w:space="0" w:color="auto"/>
              <w:right w:val="single" w:sz="4" w:space="0" w:color="auto"/>
            </w:tcBorders>
            <w:vAlign w:val="bottom"/>
          </w:tcPr>
          <w:p w:rsidR="00821C17" w:rsidRPr="005D4713" w:rsidRDefault="00821C17" w:rsidP="0080335A">
            <w:pPr>
              <w:spacing w:after="0"/>
              <w:rPr>
                <w:rFonts w:ascii="Calibri" w:eastAsia="Times New Roman" w:hAnsi="Calibri" w:cs="Times New Roman"/>
                <w:sz w:val="20"/>
                <w:szCs w:val="20"/>
              </w:rPr>
            </w:pPr>
            <w:r w:rsidRPr="005D4713">
              <w:rPr>
                <w:rFonts w:ascii="Calibri" w:eastAsia="Times New Roman" w:hAnsi="Calibri" w:cs="Times New Roman"/>
                <w:sz w:val="20"/>
                <w:szCs w:val="20"/>
              </w:rPr>
              <w:t>Injections 50 mg in 1 mL single use pre-filled syringes, 4</w:t>
            </w:r>
          </w:p>
        </w:tc>
      </w:tr>
      <w:tr w:rsidR="00821C17" w:rsidRPr="008A43B1" w:rsidTr="008033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64" w:type="dxa"/>
            <w:tcBorders>
              <w:left w:val="single" w:sz="4" w:space="0" w:color="auto"/>
              <w:right w:val="single" w:sz="4" w:space="0" w:color="auto"/>
            </w:tcBorders>
            <w:shd w:val="clear" w:color="auto" w:fill="auto"/>
            <w:noWrap/>
            <w:hideMark/>
          </w:tcPr>
          <w:p w:rsidR="00821C17" w:rsidRPr="008A43B1" w:rsidRDefault="00821C17" w:rsidP="0080335A">
            <w:pPr>
              <w:spacing w:after="0"/>
              <w:rPr>
                <w:rFonts w:ascii="Calibri" w:eastAsia="Times New Roman" w:hAnsi="Calibri" w:cs="Times New Roman"/>
                <w:bCs/>
                <w:color w:val="000000"/>
                <w:sz w:val="20"/>
                <w:szCs w:val="20"/>
              </w:rPr>
            </w:pPr>
          </w:p>
        </w:tc>
        <w:tc>
          <w:tcPr>
            <w:tcW w:w="1531" w:type="dxa"/>
            <w:tcBorders>
              <w:left w:val="single" w:sz="4" w:space="0" w:color="auto"/>
              <w:right w:val="single" w:sz="4" w:space="0" w:color="auto"/>
            </w:tcBorders>
            <w:shd w:val="clear" w:color="auto" w:fill="auto"/>
            <w:noWrap/>
            <w:hideMark/>
          </w:tcPr>
          <w:p w:rsidR="00821C17" w:rsidRPr="008A43B1" w:rsidRDefault="00821C17" w:rsidP="0080335A">
            <w:pPr>
              <w:spacing w:after="0"/>
              <w:rPr>
                <w:rFonts w:ascii="Calibri" w:eastAsia="Times New Roman" w:hAnsi="Calibri"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1C17" w:rsidRPr="008A43B1" w:rsidRDefault="00821C17" w:rsidP="0080335A">
            <w:pPr>
              <w:spacing w:after="0"/>
              <w:rPr>
                <w:rFonts w:ascii="Calibri" w:eastAsia="Times New Roman" w:hAnsi="Calibri" w:cs="Times New Roman"/>
                <w:sz w:val="20"/>
                <w:szCs w:val="20"/>
              </w:rPr>
            </w:pPr>
            <w:r w:rsidRPr="005D4713">
              <w:rPr>
                <w:rFonts w:ascii="Calibri" w:eastAsia="Times New Roman" w:hAnsi="Calibri" w:cs="Times New Roman"/>
                <w:sz w:val="20"/>
                <w:szCs w:val="20"/>
              </w:rPr>
              <w:t>09088H</w:t>
            </w:r>
          </w:p>
        </w:tc>
        <w:tc>
          <w:tcPr>
            <w:tcW w:w="5216" w:type="dxa"/>
            <w:tcBorders>
              <w:top w:val="single" w:sz="4" w:space="0" w:color="auto"/>
              <w:left w:val="single" w:sz="4" w:space="0" w:color="auto"/>
              <w:bottom w:val="single" w:sz="4" w:space="0" w:color="auto"/>
              <w:right w:val="single" w:sz="4" w:space="0" w:color="auto"/>
            </w:tcBorders>
            <w:vAlign w:val="bottom"/>
          </w:tcPr>
          <w:p w:rsidR="00821C17" w:rsidRPr="005D4713" w:rsidRDefault="00821C17" w:rsidP="0080335A">
            <w:pPr>
              <w:spacing w:after="0"/>
              <w:rPr>
                <w:rFonts w:ascii="Calibri" w:eastAsia="Times New Roman" w:hAnsi="Calibri" w:cs="Times New Roman"/>
                <w:sz w:val="20"/>
                <w:szCs w:val="20"/>
              </w:rPr>
            </w:pPr>
            <w:r w:rsidRPr="005D4713">
              <w:rPr>
                <w:rFonts w:ascii="Calibri" w:eastAsia="Times New Roman" w:hAnsi="Calibri" w:cs="Times New Roman"/>
                <w:sz w:val="20"/>
                <w:szCs w:val="20"/>
              </w:rPr>
              <w:t>Injections 50 mg in 1 mL single use pre-filled syringes, 4</w:t>
            </w:r>
          </w:p>
        </w:tc>
      </w:tr>
      <w:tr w:rsidR="00821C17" w:rsidRPr="008A43B1" w:rsidTr="008033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64" w:type="dxa"/>
            <w:tcBorders>
              <w:left w:val="single" w:sz="4" w:space="0" w:color="auto"/>
              <w:right w:val="single" w:sz="4" w:space="0" w:color="auto"/>
            </w:tcBorders>
            <w:shd w:val="clear" w:color="auto" w:fill="auto"/>
            <w:noWrap/>
            <w:hideMark/>
          </w:tcPr>
          <w:p w:rsidR="00821C17" w:rsidRPr="008A43B1" w:rsidRDefault="00821C17" w:rsidP="0080335A">
            <w:pPr>
              <w:spacing w:after="0"/>
              <w:rPr>
                <w:rFonts w:ascii="Calibri" w:eastAsia="Times New Roman" w:hAnsi="Calibri" w:cs="Times New Roman"/>
                <w:bCs/>
                <w:color w:val="000000"/>
                <w:sz w:val="20"/>
                <w:szCs w:val="20"/>
              </w:rPr>
            </w:pPr>
          </w:p>
        </w:tc>
        <w:tc>
          <w:tcPr>
            <w:tcW w:w="1531" w:type="dxa"/>
            <w:tcBorders>
              <w:left w:val="single" w:sz="4" w:space="0" w:color="auto"/>
              <w:right w:val="single" w:sz="4" w:space="0" w:color="auto"/>
            </w:tcBorders>
            <w:shd w:val="clear" w:color="auto" w:fill="auto"/>
            <w:noWrap/>
            <w:hideMark/>
          </w:tcPr>
          <w:p w:rsidR="00821C17" w:rsidRPr="008A43B1" w:rsidRDefault="00821C17" w:rsidP="0080335A">
            <w:pPr>
              <w:spacing w:after="0"/>
              <w:rPr>
                <w:rFonts w:ascii="Calibri" w:eastAsia="Times New Roman" w:hAnsi="Calibri"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1C17" w:rsidRPr="008A43B1" w:rsidRDefault="00821C17" w:rsidP="0080335A">
            <w:pPr>
              <w:spacing w:after="0"/>
              <w:rPr>
                <w:rFonts w:ascii="Calibri" w:eastAsia="Times New Roman" w:hAnsi="Calibri" w:cs="Times New Roman"/>
                <w:sz w:val="20"/>
                <w:szCs w:val="20"/>
              </w:rPr>
            </w:pPr>
            <w:r w:rsidRPr="005D4713">
              <w:rPr>
                <w:rFonts w:ascii="Calibri" w:eastAsia="Times New Roman" w:hAnsi="Calibri" w:cs="Times New Roman"/>
                <w:sz w:val="20"/>
                <w:szCs w:val="20"/>
              </w:rPr>
              <w:t>09457R</w:t>
            </w:r>
          </w:p>
        </w:tc>
        <w:tc>
          <w:tcPr>
            <w:tcW w:w="5216" w:type="dxa"/>
            <w:tcBorders>
              <w:top w:val="single" w:sz="4" w:space="0" w:color="auto"/>
              <w:left w:val="single" w:sz="4" w:space="0" w:color="auto"/>
              <w:bottom w:val="single" w:sz="4" w:space="0" w:color="auto"/>
              <w:right w:val="single" w:sz="4" w:space="0" w:color="auto"/>
            </w:tcBorders>
            <w:vAlign w:val="bottom"/>
          </w:tcPr>
          <w:p w:rsidR="00821C17" w:rsidRPr="005D4713" w:rsidRDefault="00821C17" w:rsidP="0080335A">
            <w:pPr>
              <w:spacing w:after="0"/>
              <w:rPr>
                <w:rFonts w:ascii="Calibri" w:eastAsia="Times New Roman" w:hAnsi="Calibri" w:cs="Times New Roman"/>
                <w:sz w:val="20"/>
                <w:szCs w:val="20"/>
              </w:rPr>
            </w:pPr>
            <w:r w:rsidRPr="005D4713">
              <w:rPr>
                <w:rFonts w:ascii="Calibri" w:eastAsia="Times New Roman" w:hAnsi="Calibri" w:cs="Times New Roman"/>
                <w:sz w:val="20"/>
                <w:szCs w:val="20"/>
              </w:rPr>
              <w:t>Injection 50 mg in 1 mL single use auto-injector, 4</w:t>
            </w:r>
          </w:p>
        </w:tc>
      </w:tr>
      <w:tr w:rsidR="00821C17" w:rsidRPr="008A43B1" w:rsidTr="008033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64" w:type="dxa"/>
            <w:tcBorders>
              <w:left w:val="single" w:sz="4" w:space="0" w:color="auto"/>
              <w:bottom w:val="single" w:sz="4" w:space="0" w:color="auto"/>
              <w:right w:val="single" w:sz="4" w:space="0" w:color="auto"/>
            </w:tcBorders>
            <w:shd w:val="clear" w:color="auto" w:fill="auto"/>
            <w:noWrap/>
            <w:hideMark/>
          </w:tcPr>
          <w:p w:rsidR="00821C17" w:rsidRPr="008A43B1" w:rsidRDefault="00821C17" w:rsidP="0080335A">
            <w:pPr>
              <w:spacing w:after="0"/>
              <w:rPr>
                <w:rFonts w:ascii="Calibri" w:eastAsia="Times New Roman" w:hAnsi="Calibri" w:cs="Times New Roman"/>
                <w:bCs/>
                <w:color w:val="000000"/>
                <w:sz w:val="20"/>
                <w:szCs w:val="20"/>
              </w:rPr>
            </w:pPr>
          </w:p>
        </w:tc>
        <w:tc>
          <w:tcPr>
            <w:tcW w:w="1531" w:type="dxa"/>
            <w:tcBorders>
              <w:left w:val="single" w:sz="4" w:space="0" w:color="auto"/>
              <w:bottom w:val="single" w:sz="4" w:space="0" w:color="auto"/>
              <w:right w:val="single" w:sz="4" w:space="0" w:color="auto"/>
            </w:tcBorders>
            <w:shd w:val="clear" w:color="auto" w:fill="auto"/>
            <w:noWrap/>
            <w:hideMark/>
          </w:tcPr>
          <w:p w:rsidR="00821C17" w:rsidRPr="008A43B1" w:rsidRDefault="00821C17" w:rsidP="0080335A">
            <w:pPr>
              <w:spacing w:after="0"/>
              <w:rPr>
                <w:rFonts w:ascii="Calibri" w:eastAsia="Times New Roman" w:hAnsi="Calibri"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1C17" w:rsidRPr="008A43B1" w:rsidRDefault="00821C17" w:rsidP="0080335A">
            <w:pPr>
              <w:spacing w:after="0"/>
              <w:rPr>
                <w:rFonts w:ascii="Calibri" w:eastAsia="Times New Roman" w:hAnsi="Calibri" w:cs="Times New Roman"/>
                <w:sz w:val="20"/>
                <w:szCs w:val="20"/>
              </w:rPr>
            </w:pPr>
            <w:r w:rsidRPr="005D4713">
              <w:rPr>
                <w:rFonts w:ascii="Calibri" w:eastAsia="Times New Roman" w:hAnsi="Calibri" w:cs="Times New Roman"/>
                <w:sz w:val="20"/>
                <w:szCs w:val="20"/>
              </w:rPr>
              <w:t>09458T</w:t>
            </w:r>
          </w:p>
        </w:tc>
        <w:tc>
          <w:tcPr>
            <w:tcW w:w="5216" w:type="dxa"/>
            <w:tcBorders>
              <w:top w:val="single" w:sz="4" w:space="0" w:color="auto"/>
              <w:left w:val="single" w:sz="4" w:space="0" w:color="auto"/>
              <w:bottom w:val="single" w:sz="4" w:space="0" w:color="auto"/>
              <w:right w:val="single" w:sz="4" w:space="0" w:color="auto"/>
            </w:tcBorders>
            <w:vAlign w:val="bottom"/>
          </w:tcPr>
          <w:p w:rsidR="00821C17" w:rsidRPr="005D4713" w:rsidRDefault="00821C17" w:rsidP="0080335A">
            <w:pPr>
              <w:spacing w:after="0"/>
              <w:rPr>
                <w:rFonts w:ascii="Calibri" w:eastAsia="Times New Roman" w:hAnsi="Calibri" w:cs="Times New Roman"/>
                <w:sz w:val="20"/>
                <w:szCs w:val="20"/>
              </w:rPr>
            </w:pPr>
            <w:r w:rsidRPr="005D4713">
              <w:rPr>
                <w:rFonts w:ascii="Calibri" w:eastAsia="Times New Roman" w:hAnsi="Calibri" w:cs="Times New Roman"/>
                <w:sz w:val="20"/>
                <w:szCs w:val="20"/>
              </w:rPr>
              <w:t>Injection 50 mg in 1 mL single use auto-injector, 4</w:t>
            </w:r>
          </w:p>
        </w:tc>
      </w:tr>
      <w:tr w:rsidR="00821C17" w:rsidRPr="008A43B1" w:rsidTr="008033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64" w:type="dxa"/>
            <w:tcBorders>
              <w:top w:val="single" w:sz="4" w:space="0" w:color="auto"/>
              <w:left w:val="single" w:sz="4" w:space="0" w:color="auto"/>
              <w:right w:val="single" w:sz="4" w:space="0" w:color="auto"/>
            </w:tcBorders>
            <w:shd w:val="clear" w:color="auto" w:fill="auto"/>
            <w:noWrap/>
            <w:hideMark/>
          </w:tcPr>
          <w:p w:rsidR="00821C17" w:rsidRPr="008A43B1" w:rsidRDefault="00821C17" w:rsidP="0080335A">
            <w:pPr>
              <w:spacing w:after="0"/>
              <w:rPr>
                <w:rFonts w:ascii="Calibri" w:eastAsia="Times New Roman" w:hAnsi="Calibri" w:cs="Times New Roman"/>
                <w:bCs/>
                <w:color w:val="000000"/>
                <w:sz w:val="20"/>
                <w:szCs w:val="20"/>
              </w:rPr>
            </w:pPr>
            <w:r w:rsidRPr="008A43B1">
              <w:rPr>
                <w:rFonts w:ascii="Calibri" w:eastAsia="Times New Roman" w:hAnsi="Calibri" w:cs="Times New Roman"/>
                <w:bCs/>
                <w:color w:val="000000"/>
                <w:sz w:val="20"/>
                <w:szCs w:val="20"/>
              </w:rPr>
              <w:t>L04AB02</w:t>
            </w:r>
          </w:p>
        </w:tc>
        <w:tc>
          <w:tcPr>
            <w:tcW w:w="1531" w:type="dxa"/>
            <w:tcBorders>
              <w:top w:val="single" w:sz="4" w:space="0" w:color="auto"/>
              <w:left w:val="single" w:sz="4" w:space="0" w:color="auto"/>
              <w:right w:val="single" w:sz="4" w:space="0" w:color="auto"/>
            </w:tcBorders>
            <w:shd w:val="clear" w:color="auto" w:fill="auto"/>
            <w:noWrap/>
            <w:hideMark/>
          </w:tcPr>
          <w:p w:rsidR="00821C17" w:rsidRPr="008A43B1" w:rsidRDefault="00821C17" w:rsidP="0080335A">
            <w:pPr>
              <w:spacing w:after="0"/>
              <w:rPr>
                <w:rFonts w:ascii="Calibri" w:eastAsia="Times New Roman" w:hAnsi="Calibri" w:cs="Times New Roman"/>
                <w:sz w:val="20"/>
                <w:szCs w:val="20"/>
              </w:rPr>
            </w:pPr>
            <w:r w:rsidRPr="008A43B1">
              <w:rPr>
                <w:rFonts w:ascii="Calibri" w:eastAsia="Times New Roman" w:hAnsi="Calibri" w:cs="Times New Roman"/>
                <w:sz w:val="20"/>
                <w:szCs w:val="20"/>
              </w:rPr>
              <w:t>Infliximab</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1C17" w:rsidRPr="008A43B1" w:rsidRDefault="00821C17" w:rsidP="0080335A">
            <w:pPr>
              <w:spacing w:after="0"/>
              <w:rPr>
                <w:rFonts w:ascii="Calibri" w:eastAsia="Times New Roman" w:hAnsi="Calibri" w:cs="Times New Roman"/>
                <w:sz w:val="20"/>
                <w:szCs w:val="20"/>
              </w:rPr>
            </w:pPr>
            <w:r w:rsidRPr="005D4713">
              <w:rPr>
                <w:rFonts w:ascii="Calibri" w:eastAsia="Times New Roman" w:hAnsi="Calibri" w:cs="Times New Roman"/>
                <w:sz w:val="20"/>
                <w:szCs w:val="20"/>
              </w:rPr>
              <w:t>05756Y</w:t>
            </w:r>
          </w:p>
        </w:tc>
        <w:tc>
          <w:tcPr>
            <w:tcW w:w="5216" w:type="dxa"/>
            <w:tcBorders>
              <w:top w:val="single" w:sz="4" w:space="0" w:color="auto"/>
              <w:left w:val="single" w:sz="4" w:space="0" w:color="auto"/>
              <w:bottom w:val="single" w:sz="4" w:space="0" w:color="auto"/>
              <w:right w:val="single" w:sz="4" w:space="0" w:color="auto"/>
            </w:tcBorders>
            <w:vAlign w:val="bottom"/>
          </w:tcPr>
          <w:p w:rsidR="00821C17" w:rsidRPr="005D4713" w:rsidRDefault="00821C17" w:rsidP="0080335A">
            <w:pPr>
              <w:spacing w:after="0"/>
              <w:rPr>
                <w:rFonts w:ascii="Calibri" w:eastAsia="Times New Roman" w:hAnsi="Calibri" w:cs="Times New Roman"/>
                <w:sz w:val="20"/>
                <w:szCs w:val="20"/>
              </w:rPr>
            </w:pPr>
            <w:r w:rsidRPr="005D4713">
              <w:rPr>
                <w:rFonts w:ascii="Calibri" w:eastAsia="Times New Roman" w:hAnsi="Calibri" w:cs="Times New Roman"/>
                <w:sz w:val="20"/>
                <w:szCs w:val="20"/>
              </w:rPr>
              <w:t>Powder for I.V. infusion 100 mg</w:t>
            </w:r>
          </w:p>
        </w:tc>
      </w:tr>
      <w:tr w:rsidR="00821C17" w:rsidRPr="008A43B1" w:rsidTr="008033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64" w:type="dxa"/>
            <w:tcBorders>
              <w:left w:val="single" w:sz="4" w:space="0" w:color="auto"/>
              <w:bottom w:val="single" w:sz="4" w:space="0" w:color="auto"/>
              <w:right w:val="single" w:sz="4" w:space="0" w:color="auto"/>
            </w:tcBorders>
            <w:shd w:val="clear" w:color="auto" w:fill="auto"/>
            <w:noWrap/>
            <w:hideMark/>
          </w:tcPr>
          <w:p w:rsidR="00821C17" w:rsidRPr="008A43B1" w:rsidRDefault="00821C17" w:rsidP="0080335A">
            <w:pPr>
              <w:spacing w:after="0"/>
              <w:rPr>
                <w:rFonts w:ascii="Calibri" w:eastAsia="Times New Roman" w:hAnsi="Calibri" w:cs="Times New Roman"/>
                <w:bCs/>
                <w:color w:val="000000"/>
                <w:sz w:val="20"/>
                <w:szCs w:val="20"/>
              </w:rPr>
            </w:pPr>
          </w:p>
        </w:tc>
        <w:tc>
          <w:tcPr>
            <w:tcW w:w="1531" w:type="dxa"/>
            <w:tcBorders>
              <w:left w:val="single" w:sz="4" w:space="0" w:color="auto"/>
              <w:bottom w:val="single" w:sz="4" w:space="0" w:color="auto"/>
              <w:right w:val="single" w:sz="4" w:space="0" w:color="auto"/>
            </w:tcBorders>
            <w:shd w:val="clear" w:color="auto" w:fill="auto"/>
            <w:noWrap/>
            <w:hideMark/>
          </w:tcPr>
          <w:p w:rsidR="00821C17" w:rsidRPr="008A43B1" w:rsidRDefault="00821C17" w:rsidP="0080335A">
            <w:pPr>
              <w:spacing w:after="0"/>
              <w:rPr>
                <w:rFonts w:ascii="Calibri" w:eastAsia="Times New Roman" w:hAnsi="Calibri"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1C17" w:rsidRPr="008A43B1" w:rsidRDefault="00821C17" w:rsidP="0080335A">
            <w:pPr>
              <w:spacing w:after="0"/>
              <w:rPr>
                <w:rFonts w:ascii="Calibri" w:eastAsia="Times New Roman" w:hAnsi="Calibri" w:cs="Times New Roman"/>
                <w:sz w:val="20"/>
                <w:szCs w:val="20"/>
              </w:rPr>
            </w:pPr>
            <w:r w:rsidRPr="005D4713">
              <w:rPr>
                <w:rFonts w:ascii="Calibri" w:eastAsia="Times New Roman" w:hAnsi="Calibri" w:cs="Times New Roman"/>
                <w:sz w:val="20"/>
                <w:szCs w:val="20"/>
              </w:rPr>
              <w:t>06496X</w:t>
            </w:r>
          </w:p>
        </w:tc>
        <w:tc>
          <w:tcPr>
            <w:tcW w:w="5216" w:type="dxa"/>
            <w:tcBorders>
              <w:top w:val="single" w:sz="4" w:space="0" w:color="auto"/>
              <w:left w:val="single" w:sz="4" w:space="0" w:color="auto"/>
              <w:bottom w:val="single" w:sz="4" w:space="0" w:color="auto"/>
              <w:right w:val="single" w:sz="4" w:space="0" w:color="auto"/>
            </w:tcBorders>
            <w:vAlign w:val="bottom"/>
          </w:tcPr>
          <w:p w:rsidR="00821C17" w:rsidRPr="005D4713" w:rsidRDefault="00821C17" w:rsidP="0080335A">
            <w:pPr>
              <w:spacing w:after="0"/>
              <w:rPr>
                <w:rFonts w:ascii="Calibri" w:eastAsia="Times New Roman" w:hAnsi="Calibri" w:cs="Times New Roman"/>
                <w:sz w:val="20"/>
                <w:szCs w:val="20"/>
              </w:rPr>
            </w:pPr>
            <w:r w:rsidRPr="005D4713">
              <w:rPr>
                <w:rFonts w:ascii="Calibri" w:eastAsia="Times New Roman" w:hAnsi="Calibri" w:cs="Times New Roman"/>
                <w:sz w:val="20"/>
                <w:szCs w:val="20"/>
              </w:rPr>
              <w:t>Powder for I.V. infusion 100 mg</w:t>
            </w:r>
          </w:p>
        </w:tc>
      </w:tr>
      <w:tr w:rsidR="00821C17" w:rsidRPr="008A43B1" w:rsidTr="008033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64" w:type="dxa"/>
            <w:tcBorders>
              <w:top w:val="single" w:sz="4" w:space="0" w:color="auto"/>
              <w:left w:val="single" w:sz="4" w:space="0" w:color="auto"/>
              <w:right w:val="single" w:sz="4" w:space="0" w:color="auto"/>
            </w:tcBorders>
            <w:shd w:val="clear" w:color="auto" w:fill="auto"/>
            <w:noWrap/>
            <w:hideMark/>
          </w:tcPr>
          <w:p w:rsidR="00821C17" w:rsidRPr="008A43B1" w:rsidRDefault="00821C17" w:rsidP="0080335A">
            <w:pPr>
              <w:spacing w:after="0"/>
              <w:rPr>
                <w:rFonts w:ascii="Calibri" w:eastAsia="Times New Roman" w:hAnsi="Calibri" w:cs="Times New Roman"/>
                <w:bCs/>
                <w:color w:val="000000"/>
                <w:sz w:val="20"/>
                <w:szCs w:val="20"/>
              </w:rPr>
            </w:pPr>
            <w:r w:rsidRPr="008A43B1">
              <w:rPr>
                <w:rFonts w:ascii="Calibri" w:eastAsia="Times New Roman" w:hAnsi="Calibri" w:cs="Times New Roman"/>
                <w:bCs/>
                <w:color w:val="000000"/>
                <w:sz w:val="20"/>
                <w:szCs w:val="20"/>
              </w:rPr>
              <w:t>L04AB04</w:t>
            </w:r>
          </w:p>
        </w:tc>
        <w:tc>
          <w:tcPr>
            <w:tcW w:w="1531" w:type="dxa"/>
            <w:tcBorders>
              <w:top w:val="single" w:sz="4" w:space="0" w:color="auto"/>
              <w:left w:val="single" w:sz="4" w:space="0" w:color="auto"/>
              <w:right w:val="single" w:sz="4" w:space="0" w:color="auto"/>
            </w:tcBorders>
            <w:shd w:val="clear" w:color="auto" w:fill="auto"/>
            <w:noWrap/>
            <w:hideMark/>
          </w:tcPr>
          <w:p w:rsidR="00821C17" w:rsidRPr="008A43B1" w:rsidRDefault="00821C17" w:rsidP="0080335A">
            <w:pPr>
              <w:spacing w:after="0"/>
              <w:rPr>
                <w:rFonts w:ascii="Calibri" w:eastAsia="Times New Roman" w:hAnsi="Calibri" w:cs="Times New Roman"/>
                <w:sz w:val="20"/>
                <w:szCs w:val="20"/>
              </w:rPr>
            </w:pPr>
            <w:r w:rsidRPr="008A43B1">
              <w:rPr>
                <w:rFonts w:ascii="Calibri" w:eastAsia="Times New Roman" w:hAnsi="Calibri" w:cs="Times New Roman"/>
                <w:sz w:val="20"/>
                <w:szCs w:val="20"/>
              </w:rPr>
              <w:t>Adalimumab</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1C17" w:rsidRPr="008A43B1" w:rsidRDefault="00821C17" w:rsidP="0080335A">
            <w:pPr>
              <w:spacing w:after="0"/>
              <w:rPr>
                <w:rFonts w:ascii="Calibri" w:eastAsia="Times New Roman" w:hAnsi="Calibri" w:cs="Times New Roman"/>
                <w:sz w:val="20"/>
                <w:szCs w:val="20"/>
              </w:rPr>
            </w:pPr>
            <w:r w:rsidRPr="005D4713">
              <w:rPr>
                <w:rFonts w:ascii="Calibri" w:eastAsia="Times New Roman" w:hAnsi="Calibri" w:cs="Times New Roman"/>
                <w:sz w:val="20"/>
                <w:szCs w:val="20"/>
              </w:rPr>
              <w:t>09033K</w:t>
            </w:r>
          </w:p>
        </w:tc>
        <w:tc>
          <w:tcPr>
            <w:tcW w:w="5216" w:type="dxa"/>
            <w:tcBorders>
              <w:top w:val="single" w:sz="4" w:space="0" w:color="auto"/>
              <w:left w:val="single" w:sz="4" w:space="0" w:color="auto"/>
              <w:bottom w:val="single" w:sz="4" w:space="0" w:color="auto"/>
              <w:right w:val="single" w:sz="4" w:space="0" w:color="auto"/>
            </w:tcBorders>
            <w:vAlign w:val="bottom"/>
          </w:tcPr>
          <w:p w:rsidR="00821C17" w:rsidRPr="005D4713" w:rsidRDefault="00821C17" w:rsidP="0080335A">
            <w:pPr>
              <w:spacing w:after="0"/>
              <w:rPr>
                <w:rFonts w:ascii="Calibri" w:eastAsia="Times New Roman" w:hAnsi="Calibri" w:cs="Times New Roman"/>
                <w:sz w:val="20"/>
                <w:szCs w:val="20"/>
              </w:rPr>
            </w:pPr>
            <w:r w:rsidRPr="005D4713">
              <w:rPr>
                <w:rFonts w:ascii="Calibri" w:eastAsia="Times New Roman" w:hAnsi="Calibri" w:cs="Times New Roman"/>
                <w:sz w:val="20"/>
                <w:szCs w:val="20"/>
              </w:rPr>
              <w:t>Injection 40 mg in 0.8 mL pre-filled syringe</w:t>
            </w:r>
          </w:p>
        </w:tc>
      </w:tr>
      <w:tr w:rsidR="00821C17" w:rsidRPr="008A43B1" w:rsidTr="008033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64" w:type="dxa"/>
            <w:tcBorders>
              <w:left w:val="single" w:sz="4" w:space="0" w:color="auto"/>
              <w:right w:val="single" w:sz="4" w:space="0" w:color="auto"/>
            </w:tcBorders>
            <w:shd w:val="clear" w:color="auto" w:fill="auto"/>
            <w:noWrap/>
            <w:hideMark/>
          </w:tcPr>
          <w:p w:rsidR="00821C17" w:rsidRPr="008A43B1" w:rsidRDefault="00821C17" w:rsidP="0080335A">
            <w:pPr>
              <w:spacing w:after="0"/>
              <w:rPr>
                <w:rFonts w:ascii="Calibri" w:eastAsia="Times New Roman" w:hAnsi="Calibri" w:cs="Times New Roman"/>
                <w:bCs/>
                <w:color w:val="000000"/>
                <w:sz w:val="20"/>
                <w:szCs w:val="20"/>
              </w:rPr>
            </w:pPr>
          </w:p>
        </w:tc>
        <w:tc>
          <w:tcPr>
            <w:tcW w:w="1531" w:type="dxa"/>
            <w:tcBorders>
              <w:left w:val="single" w:sz="4" w:space="0" w:color="auto"/>
              <w:right w:val="single" w:sz="4" w:space="0" w:color="auto"/>
            </w:tcBorders>
            <w:shd w:val="clear" w:color="auto" w:fill="auto"/>
            <w:noWrap/>
            <w:hideMark/>
          </w:tcPr>
          <w:p w:rsidR="00821C17" w:rsidRPr="008A43B1" w:rsidRDefault="00821C17" w:rsidP="0080335A">
            <w:pPr>
              <w:spacing w:after="0"/>
              <w:rPr>
                <w:rFonts w:ascii="Calibri" w:eastAsia="Times New Roman" w:hAnsi="Calibri"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1C17" w:rsidRPr="008A43B1" w:rsidRDefault="00821C17" w:rsidP="0080335A">
            <w:pPr>
              <w:spacing w:after="0"/>
              <w:rPr>
                <w:rFonts w:ascii="Calibri" w:eastAsia="Times New Roman" w:hAnsi="Calibri" w:cs="Times New Roman"/>
                <w:sz w:val="20"/>
                <w:szCs w:val="20"/>
              </w:rPr>
            </w:pPr>
            <w:r w:rsidRPr="005D4713">
              <w:rPr>
                <w:rFonts w:ascii="Calibri" w:eastAsia="Times New Roman" w:hAnsi="Calibri" w:cs="Times New Roman"/>
                <w:sz w:val="20"/>
                <w:szCs w:val="20"/>
              </w:rPr>
              <w:t>09034L</w:t>
            </w:r>
          </w:p>
        </w:tc>
        <w:tc>
          <w:tcPr>
            <w:tcW w:w="5216" w:type="dxa"/>
            <w:tcBorders>
              <w:top w:val="single" w:sz="4" w:space="0" w:color="auto"/>
              <w:left w:val="single" w:sz="4" w:space="0" w:color="auto"/>
              <w:bottom w:val="single" w:sz="4" w:space="0" w:color="auto"/>
              <w:right w:val="single" w:sz="4" w:space="0" w:color="auto"/>
            </w:tcBorders>
            <w:vAlign w:val="bottom"/>
          </w:tcPr>
          <w:p w:rsidR="00821C17" w:rsidRPr="005D4713" w:rsidRDefault="00821C17" w:rsidP="0080335A">
            <w:pPr>
              <w:spacing w:after="0"/>
              <w:rPr>
                <w:rFonts w:ascii="Calibri" w:eastAsia="Times New Roman" w:hAnsi="Calibri" w:cs="Times New Roman"/>
                <w:sz w:val="20"/>
                <w:szCs w:val="20"/>
              </w:rPr>
            </w:pPr>
            <w:r w:rsidRPr="005D4713">
              <w:rPr>
                <w:rFonts w:ascii="Calibri" w:eastAsia="Times New Roman" w:hAnsi="Calibri" w:cs="Times New Roman"/>
                <w:sz w:val="20"/>
                <w:szCs w:val="20"/>
              </w:rPr>
              <w:t>Injection 40 mg in 0.8 mL pre-filled syringe</w:t>
            </w:r>
          </w:p>
        </w:tc>
      </w:tr>
      <w:tr w:rsidR="00821C17" w:rsidRPr="008A43B1" w:rsidTr="008033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64" w:type="dxa"/>
            <w:tcBorders>
              <w:left w:val="single" w:sz="4" w:space="0" w:color="auto"/>
              <w:right w:val="single" w:sz="4" w:space="0" w:color="auto"/>
            </w:tcBorders>
            <w:shd w:val="clear" w:color="auto" w:fill="auto"/>
            <w:noWrap/>
            <w:hideMark/>
          </w:tcPr>
          <w:p w:rsidR="00821C17" w:rsidRPr="008A43B1" w:rsidRDefault="00821C17" w:rsidP="0080335A">
            <w:pPr>
              <w:spacing w:after="0"/>
              <w:rPr>
                <w:rFonts w:ascii="Calibri" w:eastAsia="Times New Roman" w:hAnsi="Calibri" w:cs="Times New Roman"/>
                <w:bCs/>
                <w:color w:val="000000"/>
                <w:sz w:val="20"/>
                <w:szCs w:val="20"/>
              </w:rPr>
            </w:pPr>
          </w:p>
        </w:tc>
        <w:tc>
          <w:tcPr>
            <w:tcW w:w="1531" w:type="dxa"/>
            <w:tcBorders>
              <w:left w:val="single" w:sz="4" w:space="0" w:color="auto"/>
              <w:right w:val="single" w:sz="4" w:space="0" w:color="auto"/>
            </w:tcBorders>
            <w:shd w:val="clear" w:color="auto" w:fill="auto"/>
            <w:noWrap/>
            <w:hideMark/>
          </w:tcPr>
          <w:p w:rsidR="00821C17" w:rsidRPr="008A43B1" w:rsidRDefault="00821C17" w:rsidP="0080335A">
            <w:pPr>
              <w:spacing w:after="0"/>
              <w:rPr>
                <w:rFonts w:ascii="Calibri" w:eastAsia="Times New Roman" w:hAnsi="Calibri"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1C17" w:rsidRPr="008A43B1" w:rsidRDefault="00821C17" w:rsidP="0080335A">
            <w:pPr>
              <w:spacing w:after="0"/>
              <w:rPr>
                <w:rFonts w:ascii="Calibri" w:eastAsia="Times New Roman" w:hAnsi="Calibri" w:cs="Times New Roman"/>
                <w:sz w:val="20"/>
                <w:szCs w:val="20"/>
              </w:rPr>
            </w:pPr>
            <w:r w:rsidRPr="005D4713">
              <w:rPr>
                <w:rFonts w:ascii="Calibri" w:eastAsia="Times New Roman" w:hAnsi="Calibri" w:cs="Times New Roman"/>
                <w:sz w:val="20"/>
                <w:szCs w:val="20"/>
              </w:rPr>
              <w:t>09101B</w:t>
            </w:r>
          </w:p>
        </w:tc>
        <w:tc>
          <w:tcPr>
            <w:tcW w:w="5216" w:type="dxa"/>
            <w:tcBorders>
              <w:top w:val="single" w:sz="4" w:space="0" w:color="auto"/>
              <w:left w:val="single" w:sz="4" w:space="0" w:color="auto"/>
              <w:bottom w:val="single" w:sz="4" w:space="0" w:color="auto"/>
              <w:right w:val="single" w:sz="4" w:space="0" w:color="auto"/>
            </w:tcBorders>
            <w:vAlign w:val="bottom"/>
          </w:tcPr>
          <w:p w:rsidR="00821C17" w:rsidRPr="005D4713" w:rsidRDefault="00821C17" w:rsidP="0080335A">
            <w:pPr>
              <w:spacing w:after="0"/>
              <w:rPr>
                <w:rFonts w:ascii="Calibri" w:eastAsia="Times New Roman" w:hAnsi="Calibri" w:cs="Times New Roman"/>
                <w:sz w:val="20"/>
                <w:szCs w:val="20"/>
              </w:rPr>
            </w:pPr>
            <w:r w:rsidRPr="005D4713">
              <w:rPr>
                <w:rFonts w:ascii="Calibri" w:eastAsia="Times New Roman" w:hAnsi="Calibri" w:cs="Times New Roman"/>
                <w:sz w:val="20"/>
                <w:szCs w:val="20"/>
              </w:rPr>
              <w:t>Injection 40 mg in 0.8 mL pre-filled pen</w:t>
            </w:r>
          </w:p>
        </w:tc>
      </w:tr>
      <w:tr w:rsidR="00821C17" w:rsidRPr="008A43B1" w:rsidTr="008033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64" w:type="dxa"/>
            <w:tcBorders>
              <w:left w:val="single" w:sz="4" w:space="0" w:color="auto"/>
              <w:bottom w:val="single" w:sz="4" w:space="0" w:color="auto"/>
              <w:right w:val="single" w:sz="4" w:space="0" w:color="auto"/>
            </w:tcBorders>
            <w:shd w:val="clear" w:color="auto" w:fill="auto"/>
            <w:noWrap/>
            <w:hideMark/>
          </w:tcPr>
          <w:p w:rsidR="00821C17" w:rsidRPr="008A43B1" w:rsidRDefault="00821C17" w:rsidP="0080335A">
            <w:pPr>
              <w:spacing w:after="0"/>
              <w:rPr>
                <w:rFonts w:ascii="Calibri" w:eastAsia="Times New Roman" w:hAnsi="Calibri" w:cs="Times New Roman"/>
                <w:bCs/>
                <w:color w:val="000000"/>
                <w:sz w:val="20"/>
                <w:szCs w:val="20"/>
              </w:rPr>
            </w:pPr>
          </w:p>
        </w:tc>
        <w:tc>
          <w:tcPr>
            <w:tcW w:w="1531" w:type="dxa"/>
            <w:tcBorders>
              <w:left w:val="single" w:sz="4" w:space="0" w:color="auto"/>
              <w:bottom w:val="single" w:sz="4" w:space="0" w:color="auto"/>
              <w:right w:val="single" w:sz="4" w:space="0" w:color="auto"/>
            </w:tcBorders>
            <w:shd w:val="clear" w:color="auto" w:fill="auto"/>
            <w:noWrap/>
            <w:hideMark/>
          </w:tcPr>
          <w:p w:rsidR="00821C17" w:rsidRPr="008A43B1" w:rsidRDefault="00821C17" w:rsidP="0080335A">
            <w:pPr>
              <w:spacing w:after="0"/>
              <w:rPr>
                <w:rFonts w:ascii="Calibri" w:eastAsia="Times New Roman" w:hAnsi="Calibri"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1C17" w:rsidRPr="008A43B1" w:rsidRDefault="00821C17" w:rsidP="0080335A">
            <w:pPr>
              <w:spacing w:after="0"/>
              <w:rPr>
                <w:rFonts w:ascii="Calibri" w:eastAsia="Times New Roman" w:hAnsi="Calibri" w:cs="Times New Roman"/>
                <w:sz w:val="20"/>
                <w:szCs w:val="20"/>
              </w:rPr>
            </w:pPr>
            <w:r w:rsidRPr="005D4713">
              <w:rPr>
                <w:rFonts w:ascii="Calibri" w:eastAsia="Times New Roman" w:hAnsi="Calibri" w:cs="Times New Roman"/>
                <w:sz w:val="20"/>
                <w:szCs w:val="20"/>
              </w:rPr>
              <w:t>09102C</w:t>
            </w:r>
          </w:p>
        </w:tc>
        <w:tc>
          <w:tcPr>
            <w:tcW w:w="5216" w:type="dxa"/>
            <w:tcBorders>
              <w:top w:val="single" w:sz="4" w:space="0" w:color="auto"/>
              <w:left w:val="single" w:sz="4" w:space="0" w:color="auto"/>
              <w:bottom w:val="single" w:sz="4" w:space="0" w:color="auto"/>
              <w:right w:val="single" w:sz="4" w:space="0" w:color="auto"/>
            </w:tcBorders>
            <w:vAlign w:val="bottom"/>
          </w:tcPr>
          <w:p w:rsidR="00821C17" w:rsidRPr="005D4713" w:rsidRDefault="00821C17" w:rsidP="0080335A">
            <w:pPr>
              <w:spacing w:after="0"/>
              <w:rPr>
                <w:rFonts w:ascii="Calibri" w:eastAsia="Times New Roman" w:hAnsi="Calibri" w:cs="Times New Roman"/>
                <w:sz w:val="20"/>
                <w:szCs w:val="20"/>
              </w:rPr>
            </w:pPr>
            <w:r w:rsidRPr="005D4713">
              <w:rPr>
                <w:rFonts w:ascii="Calibri" w:eastAsia="Times New Roman" w:hAnsi="Calibri" w:cs="Times New Roman"/>
                <w:sz w:val="20"/>
                <w:szCs w:val="20"/>
              </w:rPr>
              <w:t>Injection 40 mg in 0.8 mL pre-filled pen</w:t>
            </w:r>
          </w:p>
        </w:tc>
      </w:tr>
      <w:tr w:rsidR="00821C17" w:rsidRPr="008A43B1" w:rsidTr="008033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64" w:type="dxa"/>
            <w:tcBorders>
              <w:top w:val="single" w:sz="4" w:space="0" w:color="auto"/>
              <w:left w:val="single" w:sz="4" w:space="0" w:color="auto"/>
              <w:bottom w:val="single" w:sz="4" w:space="0" w:color="auto"/>
              <w:right w:val="single" w:sz="4" w:space="0" w:color="auto"/>
            </w:tcBorders>
            <w:shd w:val="clear" w:color="auto" w:fill="auto"/>
            <w:noWrap/>
            <w:hideMark/>
          </w:tcPr>
          <w:p w:rsidR="00821C17" w:rsidRPr="008A43B1" w:rsidRDefault="00821C17" w:rsidP="0080335A">
            <w:pPr>
              <w:spacing w:after="0"/>
              <w:rPr>
                <w:rFonts w:ascii="Calibri" w:eastAsia="Times New Roman" w:hAnsi="Calibri" w:cs="Times New Roman"/>
                <w:bCs/>
                <w:color w:val="000000"/>
                <w:sz w:val="20"/>
                <w:szCs w:val="20"/>
              </w:rPr>
            </w:pPr>
            <w:r w:rsidRPr="008A43B1">
              <w:rPr>
                <w:rFonts w:ascii="Calibri" w:eastAsia="Times New Roman" w:hAnsi="Calibri" w:cs="Times New Roman"/>
                <w:bCs/>
                <w:color w:val="000000"/>
                <w:sz w:val="20"/>
                <w:szCs w:val="20"/>
              </w:rPr>
              <w:t>L04AB05</w:t>
            </w:r>
          </w:p>
        </w:tc>
        <w:tc>
          <w:tcPr>
            <w:tcW w:w="1531" w:type="dxa"/>
            <w:tcBorders>
              <w:top w:val="single" w:sz="4" w:space="0" w:color="auto"/>
              <w:left w:val="single" w:sz="4" w:space="0" w:color="auto"/>
              <w:bottom w:val="single" w:sz="4" w:space="0" w:color="auto"/>
              <w:right w:val="single" w:sz="4" w:space="0" w:color="auto"/>
            </w:tcBorders>
            <w:shd w:val="clear" w:color="auto" w:fill="auto"/>
            <w:noWrap/>
            <w:hideMark/>
          </w:tcPr>
          <w:p w:rsidR="00821C17" w:rsidRPr="008A43B1" w:rsidRDefault="00821C17" w:rsidP="0080335A">
            <w:pPr>
              <w:spacing w:after="0"/>
              <w:rPr>
                <w:rFonts w:ascii="Calibri" w:eastAsia="Times New Roman" w:hAnsi="Calibri" w:cs="Times New Roman"/>
                <w:sz w:val="20"/>
                <w:szCs w:val="20"/>
              </w:rPr>
            </w:pPr>
            <w:proofErr w:type="spellStart"/>
            <w:r w:rsidRPr="008A43B1">
              <w:rPr>
                <w:rFonts w:ascii="Calibri" w:eastAsia="Times New Roman" w:hAnsi="Calibri" w:cs="Times New Roman"/>
                <w:sz w:val="20"/>
                <w:szCs w:val="20"/>
              </w:rPr>
              <w:t>Certolizumab</w:t>
            </w:r>
            <w:proofErr w:type="spellEnd"/>
            <w:r w:rsidRPr="008A43B1">
              <w:rPr>
                <w:rFonts w:ascii="Calibri" w:eastAsia="Times New Roman" w:hAnsi="Calibri" w:cs="Times New Roman"/>
                <w:sz w:val="20"/>
                <w:szCs w:val="20"/>
              </w:rPr>
              <w:t xml:space="preserve"> </w:t>
            </w:r>
            <w:proofErr w:type="spellStart"/>
            <w:r w:rsidRPr="008A43B1">
              <w:rPr>
                <w:rFonts w:ascii="Calibri" w:eastAsia="Times New Roman" w:hAnsi="Calibri" w:cs="Times New Roman"/>
                <w:sz w:val="20"/>
                <w:szCs w:val="20"/>
              </w:rPr>
              <w:t>Pegol</w:t>
            </w:r>
            <w:proofErr w:type="spellEnd"/>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1C17" w:rsidRPr="008A43B1" w:rsidRDefault="00821C17" w:rsidP="0080335A">
            <w:pPr>
              <w:spacing w:after="0"/>
              <w:rPr>
                <w:rFonts w:ascii="Calibri" w:eastAsia="Times New Roman" w:hAnsi="Calibri" w:cs="Times New Roman"/>
                <w:sz w:val="20"/>
                <w:szCs w:val="20"/>
              </w:rPr>
            </w:pPr>
            <w:r w:rsidRPr="005D4713">
              <w:rPr>
                <w:rFonts w:ascii="Calibri" w:eastAsia="Times New Roman" w:hAnsi="Calibri" w:cs="Times New Roman"/>
                <w:sz w:val="20"/>
                <w:szCs w:val="20"/>
              </w:rPr>
              <w:t>10238W</w:t>
            </w:r>
          </w:p>
        </w:tc>
        <w:tc>
          <w:tcPr>
            <w:tcW w:w="5216" w:type="dxa"/>
            <w:tcBorders>
              <w:top w:val="single" w:sz="4" w:space="0" w:color="auto"/>
              <w:left w:val="single" w:sz="4" w:space="0" w:color="auto"/>
              <w:bottom w:val="single" w:sz="4" w:space="0" w:color="auto"/>
              <w:right w:val="single" w:sz="4" w:space="0" w:color="auto"/>
            </w:tcBorders>
            <w:vAlign w:val="bottom"/>
          </w:tcPr>
          <w:p w:rsidR="00821C17" w:rsidRPr="005D4713" w:rsidRDefault="00821C17" w:rsidP="0080335A">
            <w:pPr>
              <w:spacing w:after="0"/>
              <w:rPr>
                <w:rFonts w:ascii="Calibri" w:eastAsia="Times New Roman" w:hAnsi="Calibri" w:cs="Times New Roman"/>
                <w:sz w:val="20"/>
                <w:szCs w:val="20"/>
              </w:rPr>
            </w:pPr>
            <w:r w:rsidRPr="005D4713">
              <w:rPr>
                <w:rFonts w:ascii="Calibri" w:eastAsia="Times New Roman" w:hAnsi="Calibri" w:cs="Times New Roman"/>
                <w:sz w:val="20"/>
                <w:szCs w:val="20"/>
              </w:rPr>
              <w:t>Injection 200 mg in 1 mL single use pre-filled syringe</w:t>
            </w:r>
          </w:p>
        </w:tc>
      </w:tr>
      <w:tr w:rsidR="00821C17" w:rsidRPr="008A43B1" w:rsidTr="008033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64" w:type="dxa"/>
            <w:tcBorders>
              <w:top w:val="single" w:sz="4" w:space="0" w:color="auto"/>
              <w:left w:val="single" w:sz="4" w:space="0" w:color="auto"/>
              <w:right w:val="single" w:sz="4" w:space="0" w:color="auto"/>
            </w:tcBorders>
            <w:shd w:val="clear" w:color="auto" w:fill="auto"/>
            <w:noWrap/>
            <w:hideMark/>
          </w:tcPr>
          <w:p w:rsidR="00821C17" w:rsidRPr="008A43B1" w:rsidRDefault="00821C17" w:rsidP="0080335A">
            <w:pPr>
              <w:spacing w:after="0"/>
              <w:rPr>
                <w:rFonts w:ascii="Calibri" w:eastAsia="Times New Roman" w:hAnsi="Calibri" w:cs="Times New Roman"/>
                <w:bCs/>
                <w:color w:val="000000"/>
                <w:sz w:val="20"/>
                <w:szCs w:val="20"/>
              </w:rPr>
            </w:pPr>
            <w:r w:rsidRPr="008A43B1">
              <w:rPr>
                <w:rFonts w:ascii="Calibri" w:eastAsia="Times New Roman" w:hAnsi="Calibri" w:cs="Times New Roman"/>
                <w:bCs/>
                <w:color w:val="000000"/>
                <w:sz w:val="20"/>
                <w:szCs w:val="20"/>
              </w:rPr>
              <w:t>L04AB06</w:t>
            </w:r>
          </w:p>
        </w:tc>
        <w:tc>
          <w:tcPr>
            <w:tcW w:w="1531" w:type="dxa"/>
            <w:tcBorders>
              <w:top w:val="single" w:sz="4" w:space="0" w:color="auto"/>
              <w:left w:val="single" w:sz="4" w:space="0" w:color="auto"/>
              <w:right w:val="single" w:sz="4" w:space="0" w:color="auto"/>
            </w:tcBorders>
            <w:shd w:val="clear" w:color="auto" w:fill="auto"/>
            <w:noWrap/>
            <w:hideMark/>
          </w:tcPr>
          <w:p w:rsidR="00821C17" w:rsidRPr="008A43B1" w:rsidRDefault="00821C17" w:rsidP="0080335A">
            <w:pPr>
              <w:spacing w:after="0"/>
              <w:rPr>
                <w:rFonts w:ascii="Calibri" w:eastAsia="Times New Roman" w:hAnsi="Calibri" w:cs="Times New Roman"/>
                <w:sz w:val="20"/>
                <w:szCs w:val="20"/>
              </w:rPr>
            </w:pPr>
            <w:proofErr w:type="spellStart"/>
            <w:r w:rsidRPr="008A43B1">
              <w:rPr>
                <w:rFonts w:ascii="Calibri" w:eastAsia="Times New Roman" w:hAnsi="Calibri" w:cs="Times New Roman"/>
                <w:sz w:val="20"/>
                <w:szCs w:val="20"/>
              </w:rPr>
              <w:t>Golimumab</w:t>
            </w:r>
            <w:proofErr w:type="spellEnd"/>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1C17" w:rsidRPr="008A43B1" w:rsidRDefault="00821C17" w:rsidP="0080335A">
            <w:pPr>
              <w:spacing w:after="0"/>
              <w:rPr>
                <w:rFonts w:ascii="Calibri" w:eastAsia="Times New Roman" w:hAnsi="Calibri" w:cs="Times New Roman"/>
                <w:sz w:val="20"/>
                <w:szCs w:val="20"/>
              </w:rPr>
            </w:pPr>
            <w:r w:rsidRPr="005D4713">
              <w:rPr>
                <w:rFonts w:ascii="Calibri" w:eastAsia="Times New Roman" w:hAnsi="Calibri" w:cs="Times New Roman"/>
                <w:sz w:val="20"/>
                <w:szCs w:val="20"/>
              </w:rPr>
              <w:t>03430M</w:t>
            </w:r>
          </w:p>
        </w:tc>
        <w:tc>
          <w:tcPr>
            <w:tcW w:w="5216" w:type="dxa"/>
            <w:tcBorders>
              <w:top w:val="single" w:sz="4" w:space="0" w:color="auto"/>
              <w:left w:val="single" w:sz="4" w:space="0" w:color="auto"/>
              <w:bottom w:val="single" w:sz="4" w:space="0" w:color="auto"/>
              <w:right w:val="single" w:sz="4" w:space="0" w:color="auto"/>
            </w:tcBorders>
            <w:vAlign w:val="bottom"/>
          </w:tcPr>
          <w:p w:rsidR="00821C17" w:rsidRPr="005D4713" w:rsidRDefault="00821C17" w:rsidP="0080335A">
            <w:pPr>
              <w:spacing w:after="0"/>
              <w:rPr>
                <w:rFonts w:ascii="Calibri" w:eastAsia="Times New Roman" w:hAnsi="Calibri" w:cs="Times New Roman"/>
                <w:sz w:val="20"/>
                <w:szCs w:val="20"/>
              </w:rPr>
            </w:pPr>
            <w:r w:rsidRPr="005D4713">
              <w:rPr>
                <w:rFonts w:ascii="Calibri" w:eastAsia="Times New Roman" w:hAnsi="Calibri" w:cs="Times New Roman"/>
                <w:sz w:val="20"/>
                <w:szCs w:val="20"/>
              </w:rPr>
              <w:t>Injection 50 mg in 0.5 mL single use pre-filled syringe</w:t>
            </w:r>
          </w:p>
        </w:tc>
      </w:tr>
      <w:tr w:rsidR="00821C17" w:rsidRPr="008A43B1" w:rsidTr="008033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64" w:type="dxa"/>
            <w:tcBorders>
              <w:left w:val="single" w:sz="4" w:space="0" w:color="auto"/>
              <w:right w:val="single" w:sz="4" w:space="0" w:color="auto"/>
            </w:tcBorders>
            <w:shd w:val="clear" w:color="auto" w:fill="auto"/>
            <w:noWrap/>
            <w:hideMark/>
          </w:tcPr>
          <w:p w:rsidR="00821C17" w:rsidRPr="008A43B1" w:rsidRDefault="00821C17" w:rsidP="0080335A">
            <w:pPr>
              <w:spacing w:after="0"/>
              <w:rPr>
                <w:rFonts w:ascii="Calibri" w:eastAsia="Times New Roman" w:hAnsi="Calibri" w:cs="Times New Roman"/>
                <w:bCs/>
                <w:color w:val="000000"/>
                <w:sz w:val="20"/>
                <w:szCs w:val="20"/>
              </w:rPr>
            </w:pPr>
          </w:p>
        </w:tc>
        <w:tc>
          <w:tcPr>
            <w:tcW w:w="1531" w:type="dxa"/>
            <w:tcBorders>
              <w:left w:val="single" w:sz="4" w:space="0" w:color="auto"/>
              <w:right w:val="single" w:sz="4" w:space="0" w:color="auto"/>
            </w:tcBorders>
            <w:shd w:val="clear" w:color="auto" w:fill="auto"/>
            <w:noWrap/>
            <w:hideMark/>
          </w:tcPr>
          <w:p w:rsidR="00821C17" w:rsidRPr="008A43B1" w:rsidRDefault="00821C17" w:rsidP="0080335A">
            <w:pPr>
              <w:spacing w:after="0"/>
              <w:rPr>
                <w:rFonts w:ascii="Calibri" w:eastAsia="Times New Roman" w:hAnsi="Calibri"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1C17" w:rsidRPr="008A43B1" w:rsidRDefault="00821C17" w:rsidP="0080335A">
            <w:pPr>
              <w:spacing w:after="0"/>
              <w:rPr>
                <w:rFonts w:ascii="Calibri" w:eastAsia="Times New Roman" w:hAnsi="Calibri" w:cs="Times New Roman"/>
                <w:sz w:val="20"/>
                <w:szCs w:val="20"/>
              </w:rPr>
            </w:pPr>
            <w:r w:rsidRPr="005D4713">
              <w:rPr>
                <w:rFonts w:ascii="Calibri" w:eastAsia="Times New Roman" w:hAnsi="Calibri" w:cs="Times New Roman"/>
                <w:sz w:val="20"/>
                <w:szCs w:val="20"/>
              </w:rPr>
              <w:t>03431N</w:t>
            </w:r>
          </w:p>
        </w:tc>
        <w:tc>
          <w:tcPr>
            <w:tcW w:w="5216" w:type="dxa"/>
            <w:tcBorders>
              <w:top w:val="single" w:sz="4" w:space="0" w:color="auto"/>
              <w:left w:val="single" w:sz="4" w:space="0" w:color="auto"/>
              <w:bottom w:val="single" w:sz="4" w:space="0" w:color="auto"/>
              <w:right w:val="single" w:sz="4" w:space="0" w:color="auto"/>
            </w:tcBorders>
            <w:vAlign w:val="bottom"/>
          </w:tcPr>
          <w:p w:rsidR="00821C17" w:rsidRPr="005D4713" w:rsidRDefault="00821C17" w:rsidP="0080335A">
            <w:pPr>
              <w:spacing w:after="0"/>
              <w:rPr>
                <w:rFonts w:ascii="Calibri" w:eastAsia="Times New Roman" w:hAnsi="Calibri" w:cs="Times New Roman"/>
                <w:sz w:val="20"/>
                <w:szCs w:val="20"/>
              </w:rPr>
            </w:pPr>
            <w:r w:rsidRPr="005D4713">
              <w:rPr>
                <w:rFonts w:ascii="Calibri" w:eastAsia="Times New Roman" w:hAnsi="Calibri" w:cs="Times New Roman"/>
                <w:sz w:val="20"/>
                <w:szCs w:val="20"/>
              </w:rPr>
              <w:t>Injection 50 mg in 0.5 mL single use pre-filled pen</w:t>
            </w:r>
          </w:p>
        </w:tc>
      </w:tr>
      <w:tr w:rsidR="00821C17" w:rsidRPr="008A43B1" w:rsidTr="008033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64" w:type="dxa"/>
            <w:tcBorders>
              <w:left w:val="single" w:sz="4" w:space="0" w:color="auto"/>
              <w:right w:val="single" w:sz="4" w:space="0" w:color="auto"/>
            </w:tcBorders>
            <w:shd w:val="clear" w:color="auto" w:fill="auto"/>
            <w:noWrap/>
            <w:hideMark/>
          </w:tcPr>
          <w:p w:rsidR="00821C17" w:rsidRPr="008A43B1" w:rsidRDefault="00821C17" w:rsidP="0080335A">
            <w:pPr>
              <w:spacing w:after="0"/>
              <w:rPr>
                <w:rFonts w:ascii="Calibri" w:eastAsia="Times New Roman" w:hAnsi="Calibri" w:cs="Times New Roman"/>
                <w:bCs/>
                <w:color w:val="000000"/>
                <w:sz w:val="20"/>
                <w:szCs w:val="20"/>
              </w:rPr>
            </w:pPr>
          </w:p>
        </w:tc>
        <w:tc>
          <w:tcPr>
            <w:tcW w:w="1531" w:type="dxa"/>
            <w:tcBorders>
              <w:left w:val="single" w:sz="4" w:space="0" w:color="auto"/>
              <w:right w:val="single" w:sz="4" w:space="0" w:color="auto"/>
            </w:tcBorders>
            <w:shd w:val="clear" w:color="auto" w:fill="auto"/>
            <w:noWrap/>
            <w:hideMark/>
          </w:tcPr>
          <w:p w:rsidR="00821C17" w:rsidRPr="008A43B1" w:rsidRDefault="00821C17" w:rsidP="0080335A">
            <w:pPr>
              <w:spacing w:after="0"/>
              <w:rPr>
                <w:rFonts w:ascii="Calibri" w:eastAsia="Times New Roman" w:hAnsi="Calibri"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1C17" w:rsidRPr="008A43B1" w:rsidRDefault="00821C17" w:rsidP="0080335A">
            <w:pPr>
              <w:spacing w:after="0"/>
              <w:rPr>
                <w:rFonts w:ascii="Calibri" w:eastAsia="Times New Roman" w:hAnsi="Calibri" w:cs="Times New Roman"/>
                <w:sz w:val="20"/>
                <w:szCs w:val="20"/>
              </w:rPr>
            </w:pPr>
            <w:r w:rsidRPr="005D4713">
              <w:rPr>
                <w:rFonts w:ascii="Calibri" w:eastAsia="Times New Roman" w:hAnsi="Calibri" w:cs="Times New Roman"/>
                <w:sz w:val="20"/>
                <w:szCs w:val="20"/>
              </w:rPr>
              <w:t>03432P</w:t>
            </w:r>
          </w:p>
        </w:tc>
        <w:tc>
          <w:tcPr>
            <w:tcW w:w="5216" w:type="dxa"/>
            <w:tcBorders>
              <w:top w:val="single" w:sz="4" w:space="0" w:color="auto"/>
              <w:left w:val="single" w:sz="4" w:space="0" w:color="auto"/>
              <w:bottom w:val="single" w:sz="4" w:space="0" w:color="auto"/>
              <w:right w:val="single" w:sz="4" w:space="0" w:color="auto"/>
            </w:tcBorders>
            <w:vAlign w:val="bottom"/>
          </w:tcPr>
          <w:p w:rsidR="00821C17" w:rsidRPr="005D4713" w:rsidRDefault="00821C17" w:rsidP="0080335A">
            <w:pPr>
              <w:spacing w:after="0"/>
              <w:rPr>
                <w:rFonts w:ascii="Calibri" w:eastAsia="Times New Roman" w:hAnsi="Calibri" w:cs="Times New Roman"/>
                <w:sz w:val="20"/>
                <w:szCs w:val="20"/>
              </w:rPr>
            </w:pPr>
            <w:r w:rsidRPr="005D4713">
              <w:rPr>
                <w:rFonts w:ascii="Calibri" w:eastAsia="Times New Roman" w:hAnsi="Calibri" w:cs="Times New Roman"/>
                <w:sz w:val="20"/>
                <w:szCs w:val="20"/>
              </w:rPr>
              <w:t>Injection 50 mg in 0.5 mL single use pre-filled syringe</w:t>
            </w:r>
          </w:p>
        </w:tc>
      </w:tr>
      <w:tr w:rsidR="00821C17" w:rsidRPr="008A43B1" w:rsidTr="008033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64" w:type="dxa"/>
            <w:tcBorders>
              <w:left w:val="single" w:sz="4" w:space="0" w:color="auto"/>
              <w:bottom w:val="single" w:sz="4" w:space="0" w:color="auto"/>
              <w:right w:val="single" w:sz="4" w:space="0" w:color="auto"/>
            </w:tcBorders>
            <w:shd w:val="clear" w:color="auto" w:fill="auto"/>
            <w:noWrap/>
            <w:hideMark/>
          </w:tcPr>
          <w:p w:rsidR="00821C17" w:rsidRPr="008A43B1" w:rsidRDefault="00821C17" w:rsidP="0080335A">
            <w:pPr>
              <w:spacing w:after="0"/>
              <w:rPr>
                <w:rFonts w:ascii="Calibri" w:eastAsia="Times New Roman" w:hAnsi="Calibri" w:cs="Times New Roman"/>
                <w:bCs/>
                <w:color w:val="000000"/>
                <w:sz w:val="20"/>
                <w:szCs w:val="20"/>
              </w:rPr>
            </w:pPr>
          </w:p>
        </w:tc>
        <w:tc>
          <w:tcPr>
            <w:tcW w:w="1531" w:type="dxa"/>
            <w:tcBorders>
              <w:left w:val="single" w:sz="4" w:space="0" w:color="auto"/>
              <w:bottom w:val="single" w:sz="4" w:space="0" w:color="auto"/>
              <w:right w:val="single" w:sz="4" w:space="0" w:color="auto"/>
            </w:tcBorders>
            <w:shd w:val="clear" w:color="auto" w:fill="auto"/>
            <w:noWrap/>
            <w:hideMark/>
          </w:tcPr>
          <w:p w:rsidR="00821C17" w:rsidRPr="008A43B1" w:rsidRDefault="00821C17" w:rsidP="0080335A">
            <w:pPr>
              <w:spacing w:after="0"/>
              <w:rPr>
                <w:rFonts w:ascii="Calibri" w:eastAsia="Times New Roman" w:hAnsi="Calibri"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1C17" w:rsidRPr="008A43B1" w:rsidRDefault="00821C17" w:rsidP="0080335A">
            <w:pPr>
              <w:spacing w:after="0"/>
              <w:rPr>
                <w:rFonts w:ascii="Calibri" w:eastAsia="Times New Roman" w:hAnsi="Calibri" w:cs="Times New Roman"/>
                <w:sz w:val="20"/>
                <w:szCs w:val="20"/>
              </w:rPr>
            </w:pPr>
            <w:r w:rsidRPr="005D4713">
              <w:rPr>
                <w:rFonts w:ascii="Calibri" w:eastAsia="Times New Roman" w:hAnsi="Calibri" w:cs="Times New Roman"/>
                <w:sz w:val="20"/>
                <w:szCs w:val="20"/>
              </w:rPr>
              <w:t>03433Q</w:t>
            </w:r>
          </w:p>
        </w:tc>
        <w:tc>
          <w:tcPr>
            <w:tcW w:w="5216" w:type="dxa"/>
            <w:tcBorders>
              <w:top w:val="single" w:sz="4" w:space="0" w:color="auto"/>
              <w:left w:val="single" w:sz="4" w:space="0" w:color="auto"/>
              <w:bottom w:val="single" w:sz="4" w:space="0" w:color="auto"/>
              <w:right w:val="single" w:sz="4" w:space="0" w:color="auto"/>
            </w:tcBorders>
            <w:vAlign w:val="bottom"/>
          </w:tcPr>
          <w:p w:rsidR="00821C17" w:rsidRPr="005D4713" w:rsidRDefault="00821C17" w:rsidP="0080335A">
            <w:pPr>
              <w:spacing w:after="0"/>
              <w:rPr>
                <w:rFonts w:ascii="Calibri" w:eastAsia="Times New Roman" w:hAnsi="Calibri" w:cs="Times New Roman"/>
                <w:sz w:val="20"/>
                <w:szCs w:val="20"/>
              </w:rPr>
            </w:pPr>
            <w:r w:rsidRPr="005D4713">
              <w:rPr>
                <w:rFonts w:ascii="Calibri" w:eastAsia="Times New Roman" w:hAnsi="Calibri" w:cs="Times New Roman"/>
                <w:sz w:val="20"/>
                <w:szCs w:val="20"/>
              </w:rPr>
              <w:t>Injection 50 mg in 0.5 mL single use pre-filled pen</w:t>
            </w:r>
          </w:p>
        </w:tc>
      </w:tr>
    </w:tbl>
    <w:p w:rsidR="00821C17" w:rsidRDefault="00821C17" w:rsidP="00821C17">
      <w:pPr>
        <w:rPr>
          <w:rFonts w:eastAsia="Calibri" w:cs="Times New Roman"/>
        </w:rPr>
      </w:pPr>
    </w:p>
    <w:p w:rsidR="00821C17" w:rsidRDefault="00821C17" w:rsidP="00821C17">
      <w:pPr>
        <w:rPr>
          <w:rFonts w:eastAsia="Calibri" w:cs="Times New Roman"/>
        </w:rPr>
      </w:pPr>
      <w:r>
        <w:rPr>
          <w:rFonts w:eastAsia="Calibri" w:cs="Times New Roman"/>
        </w:rPr>
        <w:t xml:space="preserve">The next step was to extract all DMARDs for the </w:t>
      </w:r>
      <w:proofErr w:type="spellStart"/>
      <w:r>
        <w:rPr>
          <w:rFonts w:eastAsia="Calibri" w:cs="Times New Roman"/>
        </w:rPr>
        <w:t>PsA</w:t>
      </w:r>
      <w:proofErr w:type="spellEnd"/>
      <w:r>
        <w:rPr>
          <w:rFonts w:eastAsia="Calibri" w:cs="Times New Roman"/>
        </w:rPr>
        <w:t xml:space="preserve"> patients identified in step 1. The list of drugs to include in the DMARD category was determined from the Therapeutic Guidelines</w:t>
      </w:r>
      <w:r>
        <w:rPr>
          <w:rStyle w:val="FootnoteReference"/>
          <w:rFonts w:eastAsia="Calibri" w:cs="Times New Roman"/>
        </w:rPr>
        <w:footnoteReference w:id="2"/>
      </w:r>
      <w:r>
        <w:rPr>
          <w:rFonts w:eastAsia="Calibri" w:cs="Times New Roman"/>
        </w:rPr>
        <w:t>. Due to data size considerations, the DMARD prescription supply time period was limited to January 2010 to September 2015. Table 2 shows the DMARDS that were extracted.</w:t>
      </w:r>
    </w:p>
    <w:p w:rsidR="00821C17" w:rsidRDefault="00821C17" w:rsidP="00821C17">
      <w:pPr>
        <w:spacing w:before="200" w:after="20"/>
        <w:rPr>
          <w:b/>
        </w:rPr>
      </w:pPr>
      <w:r>
        <w:rPr>
          <w:b/>
        </w:rPr>
        <w:t xml:space="preserve">Table 2: DMARDs extracted for all </w:t>
      </w:r>
      <w:proofErr w:type="spellStart"/>
      <w:r>
        <w:rPr>
          <w:b/>
        </w:rPr>
        <w:t>PsA</w:t>
      </w:r>
      <w:proofErr w:type="spellEnd"/>
      <w:r>
        <w:rPr>
          <w:b/>
        </w:rPr>
        <w:t xml:space="preserve"> patients </w:t>
      </w:r>
    </w:p>
    <w:tbl>
      <w:tblPr>
        <w:tblW w:w="611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5"/>
        <w:gridCol w:w="945"/>
        <w:gridCol w:w="1991"/>
      </w:tblGrid>
      <w:tr w:rsidR="00821C17" w:rsidRPr="00244241" w:rsidTr="0080335A">
        <w:tc>
          <w:tcPr>
            <w:tcW w:w="3175" w:type="dxa"/>
            <w:tcBorders>
              <w:bottom w:val="single" w:sz="4" w:space="0" w:color="auto"/>
            </w:tcBorders>
            <w:shd w:val="clear" w:color="auto" w:fill="BFBFBF" w:themeFill="background1" w:themeFillShade="BF"/>
          </w:tcPr>
          <w:p w:rsidR="00821C17" w:rsidRPr="00244241" w:rsidRDefault="00821C17" w:rsidP="0080335A">
            <w:pPr>
              <w:spacing w:after="0"/>
              <w:jc w:val="center"/>
              <w:rPr>
                <w:rFonts w:eastAsia="Times New Roman" w:cs="Times New Roman"/>
                <w:b/>
                <w:bCs/>
                <w:color w:val="000000"/>
                <w:sz w:val="20"/>
                <w:szCs w:val="20"/>
              </w:rPr>
            </w:pPr>
            <w:r w:rsidRPr="00244241">
              <w:rPr>
                <w:rFonts w:eastAsia="Times New Roman" w:cs="Times New Roman"/>
                <w:b/>
                <w:bCs/>
                <w:color w:val="000000"/>
                <w:sz w:val="20"/>
                <w:szCs w:val="20"/>
              </w:rPr>
              <w:t>Drug Group</w:t>
            </w:r>
          </w:p>
        </w:tc>
        <w:tc>
          <w:tcPr>
            <w:tcW w:w="945" w:type="dxa"/>
            <w:shd w:val="clear" w:color="auto" w:fill="BFBFBF" w:themeFill="background1" w:themeFillShade="BF"/>
            <w:noWrap/>
            <w:vAlign w:val="bottom"/>
            <w:hideMark/>
          </w:tcPr>
          <w:p w:rsidR="00821C17" w:rsidRPr="00244241" w:rsidRDefault="00821C17" w:rsidP="0080335A">
            <w:pPr>
              <w:spacing w:after="0"/>
              <w:jc w:val="center"/>
              <w:rPr>
                <w:rFonts w:eastAsia="Times New Roman" w:cs="Times New Roman"/>
                <w:b/>
                <w:bCs/>
                <w:color w:val="000000"/>
                <w:sz w:val="20"/>
                <w:szCs w:val="20"/>
              </w:rPr>
            </w:pPr>
            <w:r w:rsidRPr="00244241">
              <w:rPr>
                <w:rFonts w:eastAsia="Times New Roman" w:cs="Times New Roman"/>
                <w:b/>
                <w:bCs/>
                <w:color w:val="000000"/>
                <w:sz w:val="20"/>
                <w:szCs w:val="20"/>
              </w:rPr>
              <w:t>ATC code</w:t>
            </w:r>
          </w:p>
        </w:tc>
        <w:tc>
          <w:tcPr>
            <w:tcW w:w="1991" w:type="dxa"/>
            <w:shd w:val="clear" w:color="auto" w:fill="BFBFBF" w:themeFill="background1" w:themeFillShade="BF"/>
            <w:noWrap/>
            <w:vAlign w:val="bottom"/>
            <w:hideMark/>
          </w:tcPr>
          <w:p w:rsidR="00821C17" w:rsidRPr="00244241" w:rsidRDefault="00821C17" w:rsidP="0080335A">
            <w:pPr>
              <w:spacing w:after="0"/>
              <w:jc w:val="center"/>
              <w:rPr>
                <w:rFonts w:eastAsia="Times New Roman" w:cs="Times New Roman"/>
                <w:b/>
                <w:bCs/>
                <w:color w:val="000000"/>
                <w:sz w:val="20"/>
                <w:szCs w:val="20"/>
              </w:rPr>
            </w:pPr>
            <w:r w:rsidRPr="00244241">
              <w:rPr>
                <w:rFonts w:eastAsia="Times New Roman" w:cs="Times New Roman"/>
                <w:b/>
                <w:bCs/>
                <w:color w:val="000000"/>
                <w:sz w:val="20"/>
                <w:szCs w:val="20"/>
              </w:rPr>
              <w:t>Drug name</w:t>
            </w:r>
          </w:p>
        </w:tc>
      </w:tr>
      <w:tr w:rsidR="00821C17" w:rsidRPr="00252E2E" w:rsidTr="0080335A">
        <w:tc>
          <w:tcPr>
            <w:tcW w:w="3175" w:type="dxa"/>
            <w:tcBorders>
              <w:top w:val="single" w:sz="4" w:space="0" w:color="auto"/>
              <w:bottom w:val="nil"/>
            </w:tcBorders>
          </w:tcPr>
          <w:p w:rsidR="00821C17" w:rsidRPr="00FB1643" w:rsidRDefault="00821C17" w:rsidP="0080335A">
            <w:pPr>
              <w:spacing w:after="0"/>
              <w:rPr>
                <w:rFonts w:eastAsia="Times New Roman" w:cs="Times New Roman"/>
                <w:bCs/>
                <w:color w:val="000000"/>
                <w:sz w:val="20"/>
                <w:szCs w:val="20"/>
              </w:rPr>
            </w:pPr>
            <w:r w:rsidRPr="00FB1643">
              <w:rPr>
                <w:rFonts w:ascii="Calibri" w:hAnsi="Calibri"/>
                <w:bCs/>
                <w:color w:val="000000"/>
                <w:sz w:val="20"/>
                <w:szCs w:val="20"/>
              </w:rPr>
              <w:t>DMARDs</w:t>
            </w:r>
          </w:p>
        </w:tc>
        <w:tc>
          <w:tcPr>
            <w:tcW w:w="945" w:type="dxa"/>
            <w:shd w:val="clear" w:color="auto" w:fill="auto"/>
            <w:noWrap/>
            <w:vAlign w:val="bottom"/>
            <w:hideMark/>
          </w:tcPr>
          <w:p w:rsidR="00821C17" w:rsidRPr="00FB1643" w:rsidRDefault="00821C17" w:rsidP="0080335A">
            <w:pPr>
              <w:spacing w:after="0"/>
              <w:rPr>
                <w:rFonts w:eastAsia="Times New Roman" w:cs="Times New Roman"/>
                <w:bCs/>
                <w:color w:val="000000"/>
                <w:sz w:val="20"/>
                <w:szCs w:val="20"/>
              </w:rPr>
            </w:pPr>
            <w:r w:rsidRPr="00FB1643">
              <w:rPr>
                <w:rFonts w:ascii="Calibri" w:hAnsi="Calibri"/>
                <w:bCs/>
                <w:color w:val="000000"/>
                <w:sz w:val="20"/>
                <w:szCs w:val="20"/>
              </w:rPr>
              <w:t>A07EC01</w:t>
            </w:r>
          </w:p>
        </w:tc>
        <w:tc>
          <w:tcPr>
            <w:tcW w:w="1991" w:type="dxa"/>
            <w:shd w:val="clear" w:color="auto" w:fill="auto"/>
            <w:noWrap/>
            <w:vAlign w:val="bottom"/>
            <w:hideMark/>
          </w:tcPr>
          <w:p w:rsidR="00821C17" w:rsidRPr="00FB1643" w:rsidRDefault="00821C17" w:rsidP="0080335A">
            <w:pPr>
              <w:spacing w:after="0"/>
              <w:rPr>
                <w:rFonts w:eastAsia="Times New Roman" w:cs="Times New Roman"/>
                <w:sz w:val="20"/>
                <w:szCs w:val="20"/>
              </w:rPr>
            </w:pPr>
            <w:r w:rsidRPr="00FB1643">
              <w:rPr>
                <w:rFonts w:ascii="Calibri" w:hAnsi="Calibri"/>
                <w:sz w:val="20"/>
                <w:szCs w:val="20"/>
              </w:rPr>
              <w:t>Sulfasalazine</w:t>
            </w:r>
          </w:p>
        </w:tc>
      </w:tr>
      <w:tr w:rsidR="00821C17" w:rsidRPr="00252E2E" w:rsidTr="0080335A">
        <w:tc>
          <w:tcPr>
            <w:tcW w:w="3175" w:type="dxa"/>
            <w:tcBorders>
              <w:top w:val="nil"/>
              <w:bottom w:val="nil"/>
            </w:tcBorders>
          </w:tcPr>
          <w:p w:rsidR="00821C17" w:rsidRPr="00FB1643" w:rsidRDefault="00821C17" w:rsidP="0080335A">
            <w:pPr>
              <w:spacing w:after="0"/>
              <w:rPr>
                <w:rFonts w:ascii="Calibri" w:hAnsi="Calibri"/>
                <w:bCs/>
                <w:color w:val="000000"/>
                <w:sz w:val="20"/>
                <w:szCs w:val="20"/>
              </w:rPr>
            </w:pPr>
          </w:p>
        </w:tc>
        <w:tc>
          <w:tcPr>
            <w:tcW w:w="945" w:type="dxa"/>
            <w:shd w:val="clear" w:color="auto" w:fill="auto"/>
            <w:noWrap/>
            <w:vAlign w:val="bottom"/>
            <w:hideMark/>
          </w:tcPr>
          <w:p w:rsidR="00821C17" w:rsidRPr="00FB1643" w:rsidRDefault="00821C17" w:rsidP="0080335A">
            <w:pPr>
              <w:spacing w:after="0"/>
              <w:rPr>
                <w:rFonts w:eastAsia="Times New Roman" w:cs="Times New Roman"/>
                <w:bCs/>
                <w:color w:val="000000"/>
                <w:sz w:val="20"/>
                <w:szCs w:val="20"/>
              </w:rPr>
            </w:pPr>
            <w:r w:rsidRPr="00FB1643">
              <w:rPr>
                <w:rFonts w:ascii="Calibri" w:hAnsi="Calibri"/>
                <w:bCs/>
                <w:color w:val="000000"/>
                <w:sz w:val="20"/>
                <w:szCs w:val="20"/>
              </w:rPr>
              <w:t>L01BA01</w:t>
            </w:r>
          </w:p>
        </w:tc>
        <w:tc>
          <w:tcPr>
            <w:tcW w:w="1991" w:type="dxa"/>
            <w:shd w:val="clear" w:color="auto" w:fill="auto"/>
            <w:noWrap/>
            <w:vAlign w:val="bottom"/>
            <w:hideMark/>
          </w:tcPr>
          <w:p w:rsidR="00821C17" w:rsidRPr="00FB1643" w:rsidRDefault="00821C17" w:rsidP="0080335A">
            <w:pPr>
              <w:spacing w:after="0"/>
              <w:rPr>
                <w:rFonts w:eastAsia="Times New Roman" w:cs="Times New Roman"/>
                <w:sz w:val="20"/>
                <w:szCs w:val="20"/>
              </w:rPr>
            </w:pPr>
            <w:r w:rsidRPr="00FB1643">
              <w:rPr>
                <w:rFonts w:ascii="Calibri" w:hAnsi="Calibri"/>
                <w:sz w:val="20"/>
                <w:szCs w:val="20"/>
              </w:rPr>
              <w:t>Methotrexate</w:t>
            </w:r>
          </w:p>
        </w:tc>
      </w:tr>
      <w:tr w:rsidR="00821C17" w:rsidRPr="00252E2E" w:rsidTr="0080335A">
        <w:tc>
          <w:tcPr>
            <w:tcW w:w="3175" w:type="dxa"/>
            <w:tcBorders>
              <w:top w:val="nil"/>
              <w:bottom w:val="nil"/>
            </w:tcBorders>
          </w:tcPr>
          <w:p w:rsidR="00821C17" w:rsidRPr="00FB1643" w:rsidRDefault="00821C17" w:rsidP="0080335A">
            <w:pPr>
              <w:spacing w:after="0"/>
              <w:rPr>
                <w:rFonts w:ascii="Calibri" w:hAnsi="Calibri"/>
                <w:bCs/>
                <w:color w:val="000000"/>
                <w:sz w:val="20"/>
                <w:szCs w:val="20"/>
              </w:rPr>
            </w:pPr>
          </w:p>
        </w:tc>
        <w:tc>
          <w:tcPr>
            <w:tcW w:w="945" w:type="dxa"/>
            <w:shd w:val="clear" w:color="auto" w:fill="auto"/>
            <w:noWrap/>
            <w:vAlign w:val="bottom"/>
            <w:hideMark/>
          </w:tcPr>
          <w:p w:rsidR="00821C17" w:rsidRPr="00FB1643" w:rsidRDefault="00821C17" w:rsidP="0080335A">
            <w:pPr>
              <w:spacing w:after="0"/>
              <w:rPr>
                <w:rFonts w:eastAsia="Times New Roman" w:cs="Times New Roman"/>
                <w:bCs/>
                <w:color w:val="000000"/>
                <w:sz w:val="20"/>
                <w:szCs w:val="20"/>
              </w:rPr>
            </w:pPr>
            <w:r w:rsidRPr="00FB1643">
              <w:rPr>
                <w:rFonts w:ascii="Calibri" w:hAnsi="Calibri"/>
                <w:bCs/>
                <w:color w:val="000000"/>
                <w:sz w:val="20"/>
                <w:szCs w:val="20"/>
              </w:rPr>
              <w:t>L01BB02</w:t>
            </w:r>
          </w:p>
        </w:tc>
        <w:tc>
          <w:tcPr>
            <w:tcW w:w="1991" w:type="dxa"/>
            <w:shd w:val="clear" w:color="auto" w:fill="auto"/>
            <w:noWrap/>
            <w:vAlign w:val="bottom"/>
            <w:hideMark/>
          </w:tcPr>
          <w:p w:rsidR="00821C17" w:rsidRPr="00FB1643" w:rsidRDefault="00821C17" w:rsidP="0080335A">
            <w:pPr>
              <w:spacing w:after="0"/>
              <w:rPr>
                <w:rFonts w:eastAsia="Times New Roman" w:cs="Times New Roman"/>
                <w:sz w:val="20"/>
                <w:szCs w:val="20"/>
              </w:rPr>
            </w:pPr>
            <w:proofErr w:type="spellStart"/>
            <w:r w:rsidRPr="00FB1643">
              <w:rPr>
                <w:rFonts w:ascii="Calibri" w:hAnsi="Calibri"/>
                <w:sz w:val="20"/>
                <w:szCs w:val="20"/>
              </w:rPr>
              <w:t>Mercaptopurine</w:t>
            </w:r>
            <w:proofErr w:type="spellEnd"/>
          </w:p>
        </w:tc>
      </w:tr>
      <w:tr w:rsidR="00821C17" w:rsidRPr="00252E2E" w:rsidTr="0080335A">
        <w:tc>
          <w:tcPr>
            <w:tcW w:w="3175" w:type="dxa"/>
            <w:tcBorders>
              <w:top w:val="nil"/>
              <w:bottom w:val="nil"/>
            </w:tcBorders>
          </w:tcPr>
          <w:p w:rsidR="00821C17" w:rsidRPr="00FB1643" w:rsidRDefault="00821C17" w:rsidP="0080335A">
            <w:pPr>
              <w:spacing w:after="0"/>
              <w:rPr>
                <w:rFonts w:ascii="Calibri" w:hAnsi="Calibri"/>
                <w:bCs/>
                <w:color w:val="000000"/>
                <w:sz w:val="20"/>
                <w:szCs w:val="20"/>
              </w:rPr>
            </w:pPr>
          </w:p>
        </w:tc>
        <w:tc>
          <w:tcPr>
            <w:tcW w:w="945" w:type="dxa"/>
            <w:shd w:val="clear" w:color="auto" w:fill="auto"/>
            <w:noWrap/>
            <w:vAlign w:val="bottom"/>
            <w:hideMark/>
          </w:tcPr>
          <w:p w:rsidR="00821C17" w:rsidRPr="00FB1643" w:rsidRDefault="00821C17" w:rsidP="0080335A">
            <w:pPr>
              <w:spacing w:after="0"/>
              <w:rPr>
                <w:rFonts w:eastAsia="Times New Roman" w:cs="Times New Roman"/>
                <w:bCs/>
                <w:color w:val="000000"/>
                <w:sz w:val="20"/>
                <w:szCs w:val="20"/>
              </w:rPr>
            </w:pPr>
            <w:r w:rsidRPr="00FB1643">
              <w:rPr>
                <w:rFonts w:ascii="Calibri" w:hAnsi="Calibri"/>
                <w:bCs/>
                <w:color w:val="000000"/>
                <w:sz w:val="20"/>
                <w:szCs w:val="20"/>
              </w:rPr>
              <w:t>L04AA13</w:t>
            </w:r>
          </w:p>
        </w:tc>
        <w:tc>
          <w:tcPr>
            <w:tcW w:w="1991" w:type="dxa"/>
            <w:shd w:val="clear" w:color="auto" w:fill="auto"/>
            <w:noWrap/>
            <w:vAlign w:val="bottom"/>
            <w:hideMark/>
          </w:tcPr>
          <w:p w:rsidR="00821C17" w:rsidRPr="00FB1643" w:rsidRDefault="00821C17" w:rsidP="0080335A">
            <w:pPr>
              <w:spacing w:after="0"/>
              <w:rPr>
                <w:rFonts w:eastAsia="Times New Roman" w:cs="Times New Roman"/>
                <w:sz w:val="20"/>
                <w:szCs w:val="20"/>
              </w:rPr>
            </w:pPr>
            <w:proofErr w:type="spellStart"/>
            <w:r w:rsidRPr="00FB1643">
              <w:rPr>
                <w:rFonts w:ascii="Calibri" w:hAnsi="Calibri"/>
                <w:sz w:val="20"/>
                <w:szCs w:val="20"/>
              </w:rPr>
              <w:t>Leflunomide</w:t>
            </w:r>
            <w:proofErr w:type="spellEnd"/>
          </w:p>
        </w:tc>
      </w:tr>
      <w:tr w:rsidR="00821C17" w:rsidRPr="00252E2E" w:rsidTr="0080335A">
        <w:tc>
          <w:tcPr>
            <w:tcW w:w="3175" w:type="dxa"/>
            <w:tcBorders>
              <w:top w:val="nil"/>
              <w:bottom w:val="nil"/>
            </w:tcBorders>
          </w:tcPr>
          <w:p w:rsidR="00821C17" w:rsidRPr="00FB1643" w:rsidRDefault="00821C17" w:rsidP="0080335A">
            <w:pPr>
              <w:spacing w:after="0"/>
              <w:rPr>
                <w:rFonts w:ascii="Calibri" w:hAnsi="Calibri"/>
                <w:bCs/>
                <w:color w:val="000000"/>
                <w:sz w:val="20"/>
                <w:szCs w:val="20"/>
              </w:rPr>
            </w:pPr>
          </w:p>
        </w:tc>
        <w:tc>
          <w:tcPr>
            <w:tcW w:w="945" w:type="dxa"/>
            <w:shd w:val="clear" w:color="auto" w:fill="auto"/>
            <w:noWrap/>
            <w:vAlign w:val="bottom"/>
            <w:hideMark/>
          </w:tcPr>
          <w:p w:rsidR="00821C17" w:rsidRPr="00FB1643" w:rsidRDefault="00821C17" w:rsidP="0080335A">
            <w:pPr>
              <w:spacing w:after="0"/>
              <w:rPr>
                <w:rFonts w:eastAsia="Times New Roman" w:cs="Times New Roman"/>
                <w:bCs/>
                <w:color w:val="000000"/>
                <w:sz w:val="20"/>
                <w:szCs w:val="20"/>
              </w:rPr>
            </w:pPr>
            <w:r w:rsidRPr="00FB1643">
              <w:rPr>
                <w:rFonts w:ascii="Calibri" w:hAnsi="Calibri"/>
                <w:bCs/>
                <w:color w:val="000000"/>
                <w:sz w:val="20"/>
                <w:szCs w:val="20"/>
              </w:rPr>
              <w:t>L04AD01</w:t>
            </w:r>
          </w:p>
        </w:tc>
        <w:tc>
          <w:tcPr>
            <w:tcW w:w="1991" w:type="dxa"/>
            <w:shd w:val="clear" w:color="auto" w:fill="auto"/>
            <w:noWrap/>
            <w:vAlign w:val="bottom"/>
            <w:hideMark/>
          </w:tcPr>
          <w:p w:rsidR="00821C17" w:rsidRPr="00FB1643" w:rsidRDefault="00821C17" w:rsidP="0080335A">
            <w:pPr>
              <w:spacing w:after="0"/>
              <w:rPr>
                <w:rFonts w:eastAsia="Times New Roman" w:cs="Times New Roman"/>
                <w:sz w:val="20"/>
                <w:szCs w:val="20"/>
              </w:rPr>
            </w:pPr>
            <w:proofErr w:type="spellStart"/>
            <w:r w:rsidRPr="00FB1643">
              <w:rPr>
                <w:rFonts w:ascii="Calibri" w:hAnsi="Calibri"/>
                <w:sz w:val="20"/>
                <w:szCs w:val="20"/>
              </w:rPr>
              <w:t>Cyclosporin</w:t>
            </w:r>
            <w:proofErr w:type="spellEnd"/>
          </w:p>
        </w:tc>
      </w:tr>
      <w:tr w:rsidR="00821C17" w:rsidRPr="00252E2E" w:rsidTr="0080335A">
        <w:tc>
          <w:tcPr>
            <w:tcW w:w="3175" w:type="dxa"/>
            <w:tcBorders>
              <w:top w:val="nil"/>
              <w:bottom w:val="nil"/>
            </w:tcBorders>
          </w:tcPr>
          <w:p w:rsidR="00821C17" w:rsidRPr="00FB1643" w:rsidRDefault="00821C17" w:rsidP="0080335A">
            <w:pPr>
              <w:spacing w:after="0"/>
              <w:rPr>
                <w:rFonts w:ascii="Calibri" w:hAnsi="Calibri"/>
                <w:bCs/>
                <w:color w:val="000000"/>
                <w:sz w:val="20"/>
                <w:szCs w:val="20"/>
              </w:rPr>
            </w:pPr>
          </w:p>
        </w:tc>
        <w:tc>
          <w:tcPr>
            <w:tcW w:w="945" w:type="dxa"/>
            <w:shd w:val="clear" w:color="auto" w:fill="auto"/>
            <w:noWrap/>
            <w:vAlign w:val="bottom"/>
            <w:hideMark/>
          </w:tcPr>
          <w:p w:rsidR="00821C17" w:rsidRPr="00FB1643" w:rsidRDefault="00821C17" w:rsidP="0080335A">
            <w:pPr>
              <w:spacing w:after="0"/>
              <w:rPr>
                <w:rFonts w:eastAsia="Times New Roman" w:cs="Times New Roman"/>
                <w:bCs/>
                <w:color w:val="000000"/>
                <w:sz w:val="20"/>
                <w:szCs w:val="20"/>
              </w:rPr>
            </w:pPr>
            <w:r w:rsidRPr="00FB1643">
              <w:rPr>
                <w:rFonts w:ascii="Calibri" w:hAnsi="Calibri"/>
                <w:bCs/>
                <w:color w:val="000000"/>
                <w:sz w:val="20"/>
                <w:szCs w:val="20"/>
              </w:rPr>
              <w:t>L04AX01</w:t>
            </w:r>
          </w:p>
        </w:tc>
        <w:tc>
          <w:tcPr>
            <w:tcW w:w="1991" w:type="dxa"/>
            <w:shd w:val="clear" w:color="auto" w:fill="auto"/>
            <w:noWrap/>
            <w:vAlign w:val="bottom"/>
            <w:hideMark/>
          </w:tcPr>
          <w:p w:rsidR="00821C17" w:rsidRPr="00FB1643" w:rsidRDefault="00821C17" w:rsidP="0080335A">
            <w:pPr>
              <w:spacing w:after="0"/>
              <w:rPr>
                <w:rFonts w:eastAsia="Times New Roman" w:cs="Times New Roman"/>
                <w:sz w:val="20"/>
                <w:szCs w:val="20"/>
              </w:rPr>
            </w:pPr>
            <w:r w:rsidRPr="00FB1643">
              <w:rPr>
                <w:rFonts w:ascii="Calibri" w:hAnsi="Calibri"/>
                <w:sz w:val="20"/>
                <w:szCs w:val="20"/>
              </w:rPr>
              <w:t>Azathioprine</w:t>
            </w:r>
          </w:p>
        </w:tc>
      </w:tr>
      <w:tr w:rsidR="00821C17" w:rsidRPr="00252E2E" w:rsidTr="0080335A">
        <w:tc>
          <w:tcPr>
            <w:tcW w:w="3175" w:type="dxa"/>
            <w:tcBorders>
              <w:top w:val="nil"/>
              <w:bottom w:val="single" w:sz="4" w:space="0" w:color="auto"/>
            </w:tcBorders>
          </w:tcPr>
          <w:p w:rsidR="00821C17" w:rsidRPr="00FB1643" w:rsidRDefault="00821C17" w:rsidP="0080335A">
            <w:pPr>
              <w:spacing w:after="0"/>
              <w:rPr>
                <w:rFonts w:ascii="Calibri" w:hAnsi="Calibri"/>
                <w:bCs/>
                <w:color w:val="000000"/>
                <w:sz w:val="20"/>
                <w:szCs w:val="20"/>
              </w:rPr>
            </w:pPr>
          </w:p>
        </w:tc>
        <w:tc>
          <w:tcPr>
            <w:tcW w:w="945" w:type="dxa"/>
            <w:shd w:val="clear" w:color="auto" w:fill="auto"/>
            <w:noWrap/>
            <w:vAlign w:val="bottom"/>
            <w:hideMark/>
          </w:tcPr>
          <w:p w:rsidR="00821C17" w:rsidRPr="00FB1643" w:rsidRDefault="00821C17" w:rsidP="0080335A">
            <w:pPr>
              <w:spacing w:after="0"/>
              <w:rPr>
                <w:rFonts w:eastAsia="Times New Roman" w:cs="Times New Roman"/>
                <w:bCs/>
                <w:color w:val="000000"/>
                <w:sz w:val="20"/>
                <w:szCs w:val="20"/>
              </w:rPr>
            </w:pPr>
            <w:r w:rsidRPr="00FB1643">
              <w:rPr>
                <w:rFonts w:ascii="Calibri" w:hAnsi="Calibri"/>
                <w:bCs/>
                <w:color w:val="000000"/>
                <w:sz w:val="20"/>
                <w:szCs w:val="20"/>
              </w:rPr>
              <w:t>M01CA</w:t>
            </w:r>
          </w:p>
        </w:tc>
        <w:tc>
          <w:tcPr>
            <w:tcW w:w="1991" w:type="dxa"/>
            <w:shd w:val="clear" w:color="auto" w:fill="auto"/>
            <w:noWrap/>
            <w:vAlign w:val="bottom"/>
            <w:hideMark/>
          </w:tcPr>
          <w:p w:rsidR="00821C17" w:rsidRPr="00FB1643" w:rsidRDefault="00821C17" w:rsidP="0080335A">
            <w:pPr>
              <w:spacing w:after="0"/>
              <w:rPr>
                <w:rFonts w:eastAsia="Times New Roman" w:cs="Times New Roman"/>
                <w:sz w:val="20"/>
                <w:szCs w:val="20"/>
              </w:rPr>
            </w:pPr>
            <w:proofErr w:type="spellStart"/>
            <w:r w:rsidRPr="00FB1643">
              <w:rPr>
                <w:rFonts w:ascii="Calibri" w:hAnsi="Calibri"/>
                <w:sz w:val="20"/>
                <w:szCs w:val="20"/>
              </w:rPr>
              <w:t>Hydroxychloroquine</w:t>
            </w:r>
            <w:proofErr w:type="spellEnd"/>
          </w:p>
        </w:tc>
      </w:tr>
    </w:tbl>
    <w:p w:rsidR="00821C17" w:rsidRDefault="00821C17" w:rsidP="00821C17">
      <w:pPr>
        <w:rPr>
          <w:rFonts w:eastAsia="Calibri" w:cs="Times New Roman"/>
        </w:rPr>
      </w:pPr>
    </w:p>
    <w:p w:rsidR="00821C17" w:rsidRDefault="00821C17" w:rsidP="00821C17">
      <w:pPr>
        <w:rPr>
          <w:rFonts w:eastAsia="Calibri" w:cs="Times New Roman"/>
        </w:rPr>
      </w:pPr>
    </w:p>
    <w:p w:rsidR="0098053E" w:rsidRDefault="0098053E" w:rsidP="00821C17">
      <w:pPr>
        <w:rPr>
          <w:rFonts w:eastAsia="Calibri" w:cs="Times New Roman"/>
          <w:u w:val="single"/>
        </w:rPr>
      </w:pPr>
    </w:p>
    <w:p w:rsidR="00821C17" w:rsidRPr="0098053E" w:rsidRDefault="00821C17" w:rsidP="00821C17">
      <w:pPr>
        <w:rPr>
          <w:rFonts w:eastAsia="Calibri" w:cs="Times New Roman"/>
          <w:b/>
          <w:i/>
        </w:rPr>
      </w:pPr>
      <w:r w:rsidRPr="0098053E">
        <w:rPr>
          <w:rFonts w:eastAsia="Calibri" w:cs="Times New Roman"/>
          <w:b/>
          <w:i/>
        </w:rPr>
        <w:lastRenderedPageBreak/>
        <w:t>DMARDs supplied prior to initiation to bDMARD therapy for psoriatic arthritis</w:t>
      </w:r>
    </w:p>
    <w:p w:rsidR="00821C17" w:rsidRPr="00041AC5" w:rsidRDefault="00821C17" w:rsidP="00821C17">
      <w:r>
        <w:t xml:space="preserve">Initiation was defined as the date of patient’s first supply of a bDMARD since the listing of the first bDMARD for </w:t>
      </w:r>
      <w:proofErr w:type="spellStart"/>
      <w:r>
        <w:t>PsA</w:t>
      </w:r>
      <w:proofErr w:type="spellEnd"/>
      <w:r>
        <w:t xml:space="preserve"> in August 2006. The data extracted in step 2 enabled an analysis of prior DMARDs for all patients who initiated their first bDMARD therapy in the period January 2014 to September 2015 with a look back period of 4 years (i</w:t>
      </w:r>
      <w:r w:rsidR="00A8455E">
        <w:t>.</w:t>
      </w:r>
      <w:r>
        <w:t>e. to January 2010). The analysis was done with both a constant lookup period (i</w:t>
      </w:r>
      <w:r w:rsidR="00A8455E">
        <w:t>.</w:t>
      </w:r>
      <w:r>
        <w:t>e. each patient’s DMARD prescription history started exactly 4 years prior to their bDMARD therapy initiation) and with at least 4 years look back (i</w:t>
      </w:r>
      <w:r w:rsidR="00A8455E">
        <w:t>.</w:t>
      </w:r>
      <w:r>
        <w:t>e. the DMARD history back to January 2010 was used for all patients, resulting in a 4 year look back period for patients initiating in January 2014 and a 5 year and 8 month look back period for patients initiating in September 2015). There was little difference between the two methods. The constant look back results are presented in this report as these avoid any bias in cohort comparison due to unequal look back periods.</w:t>
      </w:r>
    </w:p>
    <w:p w:rsidR="00821C17" w:rsidRPr="0098053E" w:rsidRDefault="00821C17" w:rsidP="00821C17">
      <w:pPr>
        <w:rPr>
          <w:b/>
          <w:i/>
        </w:rPr>
      </w:pPr>
      <w:r w:rsidRPr="0098053E">
        <w:rPr>
          <w:b/>
          <w:i/>
        </w:rPr>
        <w:t>Estimated patient drug regimen analysis</w:t>
      </w:r>
    </w:p>
    <w:p w:rsidR="00821C17" w:rsidRDefault="00821C17" w:rsidP="00821C17">
      <w:r>
        <w:t>The analysis was undertaken for patients who initiated treatment with in the 12 month period October 2013 to September 2014 (inclusive). This cohort of patients was chosen because it is the most recent one that has a sufficient minimum follow-up period (i</w:t>
      </w:r>
      <w:r w:rsidR="00A8455E">
        <w:t>.</w:t>
      </w:r>
      <w:r>
        <w:t xml:space="preserve">e. 12 months to the end of September 2015). </w:t>
      </w:r>
    </w:p>
    <w:p w:rsidR="00821C17" w:rsidRDefault="00821C17" w:rsidP="00821C17">
      <w:r>
        <w:t>This cohort had at least 3 years and 9 months pre-initiation prescription history. However only 18 months of the pre-initiation period is covered by the collection of under</w:t>
      </w:r>
      <w:r w:rsidR="00EC540F">
        <w:t> </w:t>
      </w:r>
      <w:r>
        <w:t>co</w:t>
      </w:r>
      <w:r w:rsidR="00EC540F">
        <w:t>-</w:t>
      </w:r>
      <w:r>
        <w:t>payment prescriptions (i</w:t>
      </w:r>
      <w:r w:rsidR="00A8455E">
        <w:t>.</w:t>
      </w:r>
      <w:r>
        <w:t>e. from April 2012).</w:t>
      </w:r>
    </w:p>
    <w:p w:rsidR="00821C17" w:rsidRDefault="00821C17" w:rsidP="00821C17">
      <w:r>
        <w:t xml:space="preserve">For more details see Appendix A: Detailed methodology to </w:t>
      </w:r>
      <w:r w:rsidRPr="003C6919">
        <w:t>estimate drug regimens and regimen transitions</w:t>
      </w:r>
      <w:r>
        <w:t>.</w:t>
      </w:r>
    </w:p>
    <w:p w:rsidR="00821C17" w:rsidRDefault="00821C17" w:rsidP="00821C17">
      <w:r w:rsidRPr="00AF6ACC">
        <w:rPr>
          <w:rFonts w:eastAsia="Calibri" w:cs="Times New Roman"/>
        </w:rPr>
        <w:t xml:space="preserve">Data </w:t>
      </w:r>
      <w:r>
        <w:rPr>
          <w:rFonts w:eastAsia="Calibri" w:cs="Times New Roman"/>
        </w:rPr>
        <w:t xml:space="preserve">analysis </w:t>
      </w:r>
      <w:r w:rsidRPr="00AF6ACC">
        <w:rPr>
          <w:rFonts w:eastAsia="Calibri" w:cs="Times New Roman"/>
        </w:rPr>
        <w:t>was undertaken using SAS.</w:t>
      </w:r>
      <w:r w:rsidRPr="00683A1F">
        <w:rPr>
          <w:rFonts w:eastAsia="Calibri" w:cs="Times New Roman"/>
        </w:rPr>
        <w:t xml:space="preserve"> </w:t>
      </w:r>
      <w:r>
        <w:t>As this analysis uses date of supply prescription data, there may be small differences compared with publicly available Department of Human Services (DHS) PBS date of processing data.</w:t>
      </w:r>
      <w:r>
        <w:rPr>
          <w:rStyle w:val="FootnoteReference"/>
        </w:rPr>
        <w:footnoteReference w:id="3"/>
      </w:r>
      <w:r>
        <w:t xml:space="preserve"> </w:t>
      </w:r>
    </w:p>
    <w:p w:rsidR="00821C17" w:rsidRDefault="00821C17" w:rsidP="00821C17">
      <w:pPr>
        <w:spacing w:line="276" w:lineRule="auto"/>
        <w:rPr>
          <w:b/>
          <w:i/>
          <w:sz w:val="32"/>
          <w:szCs w:val="32"/>
        </w:rPr>
      </w:pPr>
      <w:r>
        <w:br w:type="page"/>
      </w:r>
    </w:p>
    <w:p w:rsidR="00821C17" w:rsidRPr="0098053E" w:rsidRDefault="00821C17" w:rsidP="00821C17">
      <w:pPr>
        <w:pStyle w:val="Heading4"/>
        <w:rPr>
          <w:i w:val="0"/>
        </w:rPr>
      </w:pPr>
      <w:r w:rsidRPr="0098053E">
        <w:rPr>
          <w:i w:val="0"/>
        </w:rPr>
        <w:lastRenderedPageBreak/>
        <w:t>Results</w:t>
      </w:r>
    </w:p>
    <w:p w:rsidR="00821C17" w:rsidRDefault="00821C17" w:rsidP="00821C17">
      <w:pPr>
        <w:pStyle w:val="Heading3"/>
      </w:pPr>
      <w:r>
        <w:t>DMARDs supplied prior to initiation to bDMARD therapy for psoriatic arthritis</w:t>
      </w:r>
    </w:p>
    <w:p w:rsidR="00821C17" w:rsidRDefault="00821C17" w:rsidP="00821C17">
      <w:pPr>
        <w:spacing w:line="276" w:lineRule="auto"/>
      </w:pPr>
      <w:r>
        <w:t xml:space="preserve">Figure 1 shows the percentage of patients that were supplied methotrexate and </w:t>
      </w:r>
      <w:r w:rsidRPr="00AA5403">
        <w:t xml:space="preserve">sulfasalazine </w:t>
      </w:r>
      <w:r>
        <w:t xml:space="preserve">or </w:t>
      </w:r>
      <w:proofErr w:type="spellStart"/>
      <w:r>
        <w:t>leflunomide</w:t>
      </w:r>
      <w:proofErr w:type="spellEnd"/>
      <w:r>
        <w:t xml:space="preserve"> anytime in the four years prior to the patient initiating bDMARD therapy for psoriatic arthritis, by quarter of initiation. </w:t>
      </w:r>
    </w:p>
    <w:p w:rsidR="00821C17" w:rsidRPr="00D34F37" w:rsidRDefault="00821C17" w:rsidP="00821C17">
      <w:pPr>
        <w:spacing w:line="276" w:lineRule="auto"/>
      </w:pPr>
      <w:r>
        <w:rPr>
          <w:noProof/>
        </w:rPr>
        <w:drawing>
          <wp:inline distT="0" distB="0" distL="0" distR="0" wp14:anchorId="1517ADFE" wp14:editId="487AB075">
            <wp:extent cx="5686425" cy="3619500"/>
            <wp:effectExtent l="0" t="0" r="9525" b="19050"/>
            <wp:docPr id="1" name="Chart 1" title="Figure 1: Percent of patients supplied DMARDs of interest prior to initiating bDMARD therapy"/>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072D2F">
        <w:rPr>
          <w:b/>
        </w:rPr>
        <w:t xml:space="preserve">Figure </w:t>
      </w:r>
      <w:r>
        <w:rPr>
          <w:b/>
        </w:rPr>
        <w:t>1</w:t>
      </w:r>
      <w:r w:rsidRPr="00072D2F">
        <w:rPr>
          <w:b/>
        </w:rPr>
        <w:t xml:space="preserve">: </w:t>
      </w:r>
      <w:r>
        <w:rPr>
          <w:b/>
        </w:rPr>
        <w:t>Percent of</w:t>
      </w:r>
      <w:r w:rsidRPr="009801B0">
        <w:rPr>
          <w:b/>
        </w:rPr>
        <w:t xml:space="preserve"> patients </w:t>
      </w:r>
      <w:r>
        <w:rPr>
          <w:b/>
        </w:rPr>
        <w:t>supplied DMARDs of interest prior to initiating bDMARD therapy</w:t>
      </w:r>
      <w:r>
        <w:rPr>
          <w:b/>
        </w:rPr>
        <w:br/>
      </w:r>
      <w:r w:rsidRPr="00C35FE4">
        <w:rPr>
          <w:sz w:val="20"/>
          <w:szCs w:val="20"/>
        </w:rPr>
        <w:t>Note</w:t>
      </w:r>
      <w:r>
        <w:rPr>
          <w:sz w:val="20"/>
          <w:szCs w:val="20"/>
        </w:rPr>
        <w:t>:</w:t>
      </w:r>
      <w:r w:rsidRPr="009801B0">
        <w:rPr>
          <w:sz w:val="20"/>
          <w:szCs w:val="20"/>
        </w:rPr>
        <w:t xml:space="preserve"> Using prescription </w:t>
      </w:r>
      <w:r>
        <w:rPr>
          <w:sz w:val="20"/>
          <w:szCs w:val="20"/>
        </w:rPr>
        <w:t xml:space="preserve">look back period of 4 years prior to bDMARD initiation for each patient. </w:t>
      </w:r>
    </w:p>
    <w:p w:rsidR="00821C17" w:rsidRDefault="00821C17" w:rsidP="00821C17">
      <w:pPr>
        <w:spacing w:line="276" w:lineRule="auto"/>
      </w:pPr>
      <w:r>
        <w:t xml:space="preserve">In the third quarter of 2015 81.3% of patients (248 of 305 patients) had been supplied methotrexate and </w:t>
      </w:r>
      <w:r w:rsidRPr="00AA5403">
        <w:t xml:space="preserve">sulfasalazine </w:t>
      </w:r>
      <w:r>
        <w:t xml:space="preserve">or </w:t>
      </w:r>
      <w:proofErr w:type="spellStart"/>
      <w:r>
        <w:t>leflunomide</w:t>
      </w:r>
      <w:proofErr w:type="spellEnd"/>
      <w:r>
        <w:t xml:space="preserve"> in the 4 years prior to initiation to bDMARD therapy. This means </w:t>
      </w:r>
      <w:r w:rsidR="00F01A01">
        <w:t>th</w:t>
      </w:r>
      <w:r>
        <w:t xml:space="preserve">at approximately 18.7% of patients that initiated in this quarter do not appear to have fulfilled the prior DMARD aspect of the restriction criteria.  However, some of these patients may have a contraindication that exempts them from this requirement. The percentage of patients receiving no supply of any of the three drugs seems to be increasing slowly over time to 6.6% in 2015 Q3. </w:t>
      </w:r>
    </w:p>
    <w:p w:rsidR="00821C17" w:rsidRDefault="00821C17" w:rsidP="004B44E8">
      <w:pPr>
        <w:pStyle w:val="NoSpacing"/>
        <w:spacing w:line="276" w:lineRule="auto"/>
      </w:pPr>
      <w:r>
        <w:t xml:space="preserve">A sensitivity analysis was undertaken using a look back period of exactly 5 years from each patient’s bDMARD initiation date (this was only possible for the three quarters in 2015). The result was 83.0% of patients had been supplied methotrexate and </w:t>
      </w:r>
      <w:r w:rsidRPr="00AA5403">
        <w:t xml:space="preserve">sulfasalazine </w:t>
      </w:r>
      <w:r>
        <w:t xml:space="preserve">or </w:t>
      </w:r>
      <w:proofErr w:type="spellStart"/>
      <w:r>
        <w:t>leflunomide</w:t>
      </w:r>
      <w:proofErr w:type="spellEnd"/>
      <w:r>
        <w:t xml:space="preserve"> prior to initiation in 2015 Q3 and so 17.0% of patients did not fulfil the prior </w:t>
      </w:r>
      <w:r>
        <w:lastRenderedPageBreak/>
        <w:t>DMARD criteria. Thus the addition of an extra year of look back reduced the estimate of patients not fulfilling the prior DMARD criteria by 1.7%.</w:t>
      </w:r>
    </w:p>
    <w:p w:rsidR="00821C17" w:rsidRDefault="00821C17" w:rsidP="00821C17">
      <w:pPr>
        <w:pStyle w:val="NoSpacing"/>
      </w:pPr>
    </w:p>
    <w:p w:rsidR="00821C17" w:rsidRDefault="00821C17" w:rsidP="00821C17">
      <w:pPr>
        <w:spacing w:line="276" w:lineRule="auto"/>
      </w:pPr>
      <w:r>
        <w:t>The reason for the different pattern of use in quarter 2 of 2015 is unknown.</w:t>
      </w:r>
    </w:p>
    <w:p w:rsidR="00821C17" w:rsidRDefault="00821C17" w:rsidP="00821C17">
      <w:pPr>
        <w:spacing w:line="276" w:lineRule="auto"/>
      </w:pPr>
      <w:r>
        <w:t xml:space="preserve">The analysis in Figure 1 does not have regard to whether or not the restriction specified 3 months trial period or dose has been satisfied. As such the percentage of patients fulfilling the restriction criteria quoted above is a possible overestimate. That is, even if a patient has methotrexate and </w:t>
      </w:r>
      <w:r w:rsidRPr="00AA5403">
        <w:t xml:space="preserve">sulfasalazine </w:t>
      </w:r>
      <w:r>
        <w:t xml:space="preserve">or </w:t>
      </w:r>
      <w:proofErr w:type="spellStart"/>
      <w:r>
        <w:t>leflunomide</w:t>
      </w:r>
      <w:proofErr w:type="spellEnd"/>
      <w:r>
        <w:t xml:space="preserve"> prior to initiation they may still fail the duration and dose criteria.</w:t>
      </w:r>
    </w:p>
    <w:p w:rsidR="00821C17" w:rsidRDefault="00821C17" w:rsidP="00821C17">
      <w:pPr>
        <w:spacing w:line="276" w:lineRule="auto"/>
      </w:pPr>
      <w:r>
        <w:t>Some strengths and pack sizes of methotrexate are priced under the general co</w:t>
      </w:r>
      <w:r w:rsidR="00A8455E">
        <w:t>-</w:t>
      </w:r>
      <w:r>
        <w:t>payment. As under</w:t>
      </w:r>
      <w:r w:rsidR="00A8455E">
        <w:t xml:space="preserve"> </w:t>
      </w:r>
      <w:r>
        <w:t>co</w:t>
      </w:r>
      <w:r w:rsidR="00A8455E">
        <w:t>-</w:t>
      </w:r>
      <w:r>
        <w:t xml:space="preserve">payment data was not available in the PBS dataset prior to April 2012, the prescription history for methotrexate for general patients prior to this time will be missing.  To address this limitation </w:t>
      </w:r>
      <w:r w:rsidR="00144FD1">
        <w:t xml:space="preserve">of </w:t>
      </w:r>
      <w:r>
        <w:t>the analysis</w:t>
      </w:r>
      <w:r w:rsidR="00144FD1">
        <w:t>,</w:t>
      </w:r>
      <w:r>
        <w:t xml:space="preserve"> a sensitivity analysis was undertaken using a “concessional only” cohort, as these patients are more likely get methotrexate on the PBS for financial reasons (i</w:t>
      </w:r>
      <w:r w:rsidR="00A8455E">
        <w:t>.</w:t>
      </w:r>
      <w:r>
        <w:t>e. the concessional co</w:t>
      </w:r>
      <w:r w:rsidR="00A8455E">
        <w:t>-</w:t>
      </w:r>
      <w:r>
        <w:t xml:space="preserve">payment is less than PBS price and likely to be less than the private script price. Also PBS scripts contribute to a patient reaching the PBS Safety Net). Concessional only patients were defined as those who did not have any “General Patient” category prescriptions for DMARDs or </w:t>
      </w:r>
      <w:r w:rsidR="00380AA7">
        <w:t>bDMARDs</w:t>
      </w:r>
      <w:r>
        <w:t xml:space="preserve"> in the 4 years prior to their initiation to bDMARD therapy. The results for these patients are shown in Figure 2.</w:t>
      </w:r>
    </w:p>
    <w:p w:rsidR="00821C17" w:rsidRPr="00B617A8" w:rsidRDefault="00821C17" w:rsidP="00821C17">
      <w:pPr>
        <w:spacing w:line="276" w:lineRule="auto"/>
      </w:pPr>
      <w:r>
        <w:rPr>
          <w:noProof/>
        </w:rPr>
        <w:drawing>
          <wp:inline distT="0" distB="0" distL="0" distR="0" wp14:anchorId="3D996E01" wp14:editId="421DEF75">
            <wp:extent cx="5687695" cy="3706724"/>
            <wp:effectExtent l="0" t="0" r="27305" b="27305"/>
            <wp:docPr id="22" name="Chart 22" title="Figure 2: Percent of concessional only patients by supply of DMARDs prior to initiation to bDMARD therapy"/>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072D2F">
        <w:rPr>
          <w:b/>
        </w:rPr>
        <w:t xml:space="preserve">Figure </w:t>
      </w:r>
      <w:r>
        <w:rPr>
          <w:b/>
        </w:rPr>
        <w:t>2</w:t>
      </w:r>
      <w:r w:rsidRPr="00072D2F">
        <w:rPr>
          <w:b/>
        </w:rPr>
        <w:t xml:space="preserve">: </w:t>
      </w:r>
      <w:r>
        <w:rPr>
          <w:b/>
        </w:rPr>
        <w:t>Percent of</w:t>
      </w:r>
      <w:r w:rsidRPr="009801B0">
        <w:rPr>
          <w:b/>
        </w:rPr>
        <w:t xml:space="preserve"> </w:t>
      </w:r>
      <w:r>
        <w:rPr>
          <w:b/>
        </w:rPr>
        <w:t xml:space="preserve">concessional only patients </w:t>
      </w:r>
      <w:r w:rsidRPr="009801B0">
        <w:rPr>
          <w:b/>
        </w:rPr>
        <w:t xml:space="preserve">by </w:t>
      </w:r>
      <w:r>
        <w:rPr>
          <w:b/>
        </w:rPr>
        <w:t xml:space="preserve">supply of DMARDs prior to initiation to </w:t>
      </w:r>
      <w:r>
        <w:rPr>
          <w:b/>
        </w:rPr>
        <w:lastRenderedPageBreak/>
        <w:t xml:space="preserve">bDMARD therapy </w:t>
      </w:r>
      <w:r>
        <w:rPr>
          <w:b/>
        </w:rPr>
        <w:br/>
      </w:r>
      <w:r w:rsidRPr="00C35FE4">
        <w:rPr>
          <w:sz w:val="20"/>
          <w:szCs w:val="20"/>
        </w:rPr>
        <w:t>Note</w:t>
      </w:r>
      <w:r>
        <w:rPr>
          <w:sz w:val="20"/>
          <w:szCs w:val="20"/>
        </w:rPr>
        <w:t>:</w:t>
      </w:r>
      <w:r w:rsidRPr="009801B0">
        <w:rPr>
          <w:sz w:val="20"/>
          <w:szCs w:val="20"/>
        </w:rPr>
        <w:t xml:space="preserve"> Using prescription data back to </w:t>
      </w:r>
      <w:r>
        <w:rPr>
          <w:sz w:val="20"/>
          <w:szCs w:val="20"/>
        </w:rPr>
        <w:t xml:space="preserve">4 years prior to bDMARD initiation for each patient. </w:t>
      </w:r>
    </w:p>
    <w:p w:rsidR="00821C17" w:rsidRPr="00692B9C" w:rsidRDefault="00821C17" w:rsidP="004B44E8">
      <w:pPr>
        <w:spacing w:line="276" w:lineRule="auto"/>
      </w:pPr>
      <w:r>
        <w:t xml:space="preserve">Comparison of </w:t>
      </w:r>
      <w:r w:rsidRPr="00692B9C">
        <w:t>Figure 2</w:t>
      </w:r>
      <w:r>
        <w:t xml:space="preserve"> with Figure 1</w:t>
      </w:r>
      <w:r w:rsidRPr="00692B9C">
        <w:t xml:space="preserve"> shows </w:t>
      </w:r>
      <w:r>
        <w:t xml:space="preserve">that the results for concessional only patients were similar to the analysis of the total PBS population for those categories that contain methotrexate. The percentage of patients who had been supplied methotrexate and at least one of </w:t>
      </w:r>
      <w:r w:rsidRPr="00AA5403">
        <w:t xml:space="preserve">sulfasalazine </w:t>
      </w:r>
      <w:r>
        <w:t xml:space="preserve">or </w:t>
      </w:r>
      <w:proofErr w:type="spellStart"/>
      <w:r>
        <w:t>leflunomide</w:t>
      </w:r>
      <w:proofErr w:type="spellEnd"/>
      <w:r>
        <w:t xml:space="preserve"> in the third quarter of 2015 was 81.3% for all patients (Figure 1) and 77.9% for concessional only patients (67 of 86 patients, Figure 2). Further, the percentage of patients who have received methotrexate but not </w:t>
      </w:r>
      <w:r w:rsidRPr="00AA5403">
        <w:t xml:space="preserve">sulfasalazine </w:t>
      </w:r>
      <w:r>
        <w:t xml:space="preserve">or </w:t>
      </w:r>
      <w:proofErr w:type="spellStart"/>
      <w:r>
        <w:t>leflunomide</w:t>
      </w:r>
      <w:proofErr w:type="spellEnd"/>
      <w:r>
        <w:t xml:space="preserve"> in the same period was 7.5% for all patients and 8.1% for concessional only patients. </w:t>
      </w:r>
      <w:r w:rsidR="00EC540F">
        <w:t>Overall, for the third quarter of 2015, 88.8% of all patients and 86.0% of concessional patients were supplied methotrexate, suggesting that the absence of under co-payment data prior to April 2012 has minimal impact on the findings of the analysis.</w:t>
      </w:r>
    </w:p>
    <w:p w:rsidR="00821C17" w:rsidRPr="0098053E" w:rsidRDefault="00821C17" w:rsidP="00821C17">
      <w:pPr>
        <w:pStyle w:val="Heading2"/>
        <w:rPr>
          <w:i/>
        </w:rPr>
      </w:pPr>
      <w:r w:rsidRPr="0098053E">
        <w:rPr>
          <w:i/>
        </w:rPr>
        <w:t>Duration and Dose</w:t>
      </w:r>
    </w:p>
    <w:p w:rsidR="00821C17" w:rsidRDefault="00821C17" w:rsidP="00821C17">
      <w:pPr>
        <w:spacing w:line="276" w:lineRule="auto"/>
      </w:pPr>
      <w:r>
        <w:t xml:space="preserve">Testing compliance to the duration and dose intensity criteria in the PBS restriction could be undertaken by </w:t>
      </w:r>
      <w:r w:rsidRPr="00C947E1">
        <w:t>estimating</w:t>
      </w:r>
      <w:r>
        <w:t xml:space="preserve"> the</w:t>
      </w:r>
      <w:r w:rsidRPr="00C947E1">
        <w:t xml:space="preserve"> duration and average dose for the three drugs (methotrexate, sulfasalazine and </w:t>
      </w:r>
      <w:proofErr w:type="spellStart"/>
      <w:r w:rsidRPr="00C947E1">
        <w:t>leflunomide</w:t>
      </w:r>
      <w:proofErr w:type="spellEnd"/>
      <w:r w:rsidRPr="00C947E1">
        <w:t>) for each patient</w:t>
      </w:r>
      <w:r>
        <w:t xml:space="preserve">. However this is complex task because the PBS data does not include information on the dose prescribed; doses can vary widely (both within a patient and across the population), and there are multiple pack sizes and strengths available.  </w:t>
      </w:r>
    </w:p>
    <w:p w:rsidR="00821C17" w:rsidRDefault="00821C17" w:rsidP="00821C17">
      <w:pPr>
        <w:spacing w:line="276" w:lineRule="auto"/>
        <w:rPr>
          <w:b/>
          <w:i/>
          <w:szCs w:val="28"/>
        </w:rPr>
      </w:pPr>
      <w:r>
        <w:t>As an alternative, some information about the duration of the drugs trialled can be inferred from the drug regimen analysis in the following section (see Figure 3).</w:t>
      </w:r>
    </w:p>
    <w:p w:rsidR="00821C17" w:rsidRDefault="00821C17" w:rsidP="00821C17">
      <w:pPr>
        <w:spacing w:line="276" w:lineRule="auto"/>
        <w:rPr>
          <w:b/>
          <w:i/>
          <w:szCs w:val="28"/>
        </w:rPr>
      </w:pPr>
      <w:r>
        <w:br w:type="page"/>
      </w:r>
    </w:p>
    <w:p w:rsidR="00821C17" w:rsidRPr="009B3E9D" w:rsidRDefault="00821C17" w:rsidP="00821C17">
      <w:pPr>
        <w:pStyle w:val="Heading3"/>
      </w:pPr>
      <w:r w:rsidRPr="009B3E9D">
        <w:lastRenderedPageBreak/>
        <w:t xml:space="preserve">Estimated Patient Drug </w:t>
      </w:r>
      <w:r w:rsidRPr="003C5D85">
        <w:t>Regimen</w:t>
      </w:r>
      <w:r>
        <w:t xml:space="preserve"> t</w:t>
      </w:r>
      <w:r w:rsidRPr="009B3E9D">
        <w:t>ransitions</w:t>
      </w:r>
      <w:r>
        <w:t xml:space="preserve"> at initiation to bDMARD therapy</w:t>
      </w:r>
    </w:p>
    <w:p w:rsidR="00821C17" w:rsidRDefault="00821C17" w:rsidP="00821C17">
      <w:r>
        <w:t>The estimated p</w:t>
      </w:r>
      <w:r w:rsidRPr="00280004">
        <w:t xml:space="preserve">atient </w:t>
      </w:r>
      <w:r>
        <w:t>d</w:t>
      </w:r>
      <w:r w:rsidRPr="00280004">
        <w:t xml:space="preserve">rug </w:t>
      </w:r>
      <w:r>
        <w:t>r</w:t>
      </w:r>
      <w:r w:rsidRPr="00280004">
        <w:t xml:space="preserve">egimen </w:t>
      </w:r>
      <w:r>
        <w:t>t</w:t>
      </w:r>
      <w:r w:rsidRPr="00280004">
        <w:t xml:space="preserve">ransitions </w:t>
      </w:r>
      <w:r>
        <w:t xml:space="preserve">at the point of initiation to bDMARD therapy for </w:t>
      </w:r>
      <w:r w:rsidRPr="004A7C1A">
        <w:t xml:space="preserve">psoriatic arthritis </w:t>
      </w:r>
      <w:r>
        <w:t>are shown in the table below. These are for patients who initiated therapy in the 12 month period October 2013 to September 2014 (inclusive). See the Methods section for more details regarding this analysis and cohort.</w:t>
      </w:r>
    </w:p>
    <w:p w:rsidR="00821C17" w:rsidRPr="0098053E" w:rsidRDefault="00821C17" w:rsidP="00821C17">
      <w:pPr>
        <w:pStyle w:val="Figuretitle"/>
        <w:rPr>
          <w:sz w:val="24"/>
        </w:rPr>
      </w:pPr>
      <w:r w:rsidRPr="0098053E">
        <w:rPr>
          <w:sz w:val="24"/>
        </w:rPr>
        <w:t>Table 3: Estimated drug regimen transitions at initiation to bDMARD therapy for psoriatic arthritis</w:t>
      </w:r>
    </w:p>
    <w:tbl>
      <w:tblPr>
        <w:tblW w:w="9286" w:type="dxa"/>
        <w:tblInd w:w="93" w:type="dxa"/>
        <w:tblLayout w:type="fixed"/>
        <w:tblLook w:val="04A0" w:firstRow="1" w:lastRow="0" w:firstColumn="1" w:lastColumn="0" w:noHBand="0" w:noVBand="1"/>
      </w:tblPr>
      <w:tblGrid>
        <w:gridCol w:w="2425"/>
        <w:gridCol w:w="3119"/>
        <w:gridCol w:w="1134"/>
        <w:gridCol w:w="907"/>
        <w:gridCol w:w="935"/>
        <w:gridCol w:w="766"/>
      </w:tblGrid>
      <w:tr w:rsidR="00821C17" w:rsidRPr="00131E0E" w:rsidTr="0080335A">
        <w:trPr>
          <w:trHeight w:val="510"/>
        </w:trPr>
        <w:tc>
          <w:tcPr>
            <w:tcW w:w="2425" w:type="dxa"/>
            <w:tcBorders>
              <w:top w:val="single" w:sz="4" w:space="0" w:color="000000"/>
              <w:left w:val="single" w:sz="4" w:space="0" w:color="000000"/>
              <w:bottom w:val="nil"/>
              <w:right w:val="nil"/>
            </w:tcBorders>
            <w:shd w:val="clear" w:color="auto" w:fill="BFBFBF" w:themeFill="background1" w:themeFillShade="BF"/>
            <w:vAlign w:val="bottom"/>
            <w:hideMark/>
          </w:tcPr>
          <w:p w:rsidR="00821C17" w:rsidRPr="00656877" w:rsidRDefault="00821C17" w:rsidP="0080335A">
            <w:pPr>
              <w:spacing w:after="0"/>
              <w:jc w:val="center"/>
              <w:rPr>
                <w:rFonts w:eastAsia="Times New Roman" w:cs="Times New Roman"/>
                <w:b/>
                <w:sz w:val="18"/>
                <w:szCs w:val="18"/>
              </w:rPr>
            </w:pPr>
            <w:r w:rsidRPr="00656877">
              <w:rPr>
                <w:rFonts w:eastAsia="Times New Roman" w:cs="Times New Roman"/>
                <w:b/>
                <w:sz w:val="18"/>
                <w:szCs w:val="18"/>
              </w:rPr>
              <w:t>Pre-initiation (week=-1)</w:t>
            </w:r>
          </w:p>
        </w:tc>
        <w:tc>
          <w:tcPr>
            <w:tcW w:w="3119" w:type="dxa"/>
            <w:tcBorders>
              <w:top w:val="single" w:sz="4" w:space="0" w:color="000000"/>
              <w:left w:val="single" w:sz="4" w:space="0" w:color="000000"/>
              <w:bottom w:val="nil"/>
              <w:right w:val="nil"/>
            </w:tcBorders>
            <w:shd w:val="clear" w:color="auto" w:fill="BFBFBF" w:themeFill="background1" w:themeFillShade="BF"/>
            <w:vAlign w:val="bottom"/>
            <w:hideMark/>
          </w:tcPr>
          <w:p w:rsidR="00821C17" w:rsidRPr="00656877" w:rsidRDefault="00821C17" w:rsidP="0080335A">
            <w:pPr>
              <w:spacing w:after="0"/>
              <w:jc w:val="center"/>
              <w:rPr>
                <w:rFonts w:eastAsia="Times New Roman" w:cs="Times New Roman"/>
                <w:b/>
                <w:sz w:val="18"/>
                <w:szCs w:val="18"/>
              </w:rPr>
            </w:pPr>
            <w:r w:rsidRPr="00656877">
              <w:rPr>
                <w:rFonts w:eastAsia="Times New Roman" w:cs="Times New Roman"/>
                <w:b/>
                <w:sz w:val="18"/>
                <w:szCs w:val="18"/>
              </w:rPr>
              <w:t>Post-initiation (week=0)</w:t>
            </w:r>
          </w:p>
        </w:tc>
        <w:tc>
          <w:tcPr>
            <w:tcW w:w="1134" w:type="dxa"/>
            <w:tcBorders>
              <w:top w:val="single" w:sz="4" w:space="0" w:color="000000"/>
              <w:left w:val="single" w:sz="4" w:space="0" w:color="000000"/>
              <w:bottom w:val="nil"/>
              <w:right w:val="single" w:sz="4" w:space="0" w:color="auto"/>
            </w:tcBorders>
            <w:shd w:val="clear" w:color="auto" w:fill="BFBFBF" w:themeFill="background1" w:themeFillShade="BF"/>
            <w:vAlign w:val="bottom"/>
            <w:hideMark/>
          </w:tcPr>
          <w:p w:rsidR="00821C17" w:rsidRPr="00656877" w:rsidRDefault="00821C17" w:rsidP="0080335A">
            <w:pPr>
              <w:spacing w:after="0"/>
              <w:jc w:val="center"/>
              <w:rPr>
                <w:rFonts w:eastAsia="Times New Roman" w:cs="Times New Roman"/>
                <w:b/>
                <w:sz w:val="18"/>
                <w:szCs w:val="18"/>
              </w:rPr>
            </w:pPr>
            <w:r w:rsidRPr="00656877">
              <w:rPr>
                <w:rFonts w:eastAsia="Times New Roman" w:cs="Times New Roman"/>
                <w:b/>
                <w:sz w:val="18"/>
                <w:szCs w:val="18"/>
              </w:rPr>
              <w:t>Switch or Add?</w:t>
            </w:r>
          </w:p>
        </w:tc>
        <w:tc>
          <w:tcPr>
            <w:tcW w:w="90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821C17" w:rsidRPr="00656877" w:rsidRDefault="00821C17" w:rsidP="0080335A">
            <w:pPr>
              <w:spacing w:after="0"/>
              <w:jc w:val="center"/>
              <w:rPr>
                <w:rFonts w:eastAsia="Times New Roman" w:cs="Times New Roman"/>
                <w:b/>
                <w:sz w:val="18"/>
                <w:szCs w:val="18"/>
              </w:rPr>
            </w:pPr>
            <w:r w:rsidRPr="00656877">
              <w:rPr>
                <w:rFonts w:eastAsia="Times New Roman" w:cs="Times New Roman"/>
                <w:b/>
                <w:sz w:val="18"/>
                <w:szCs w:val="18"/>
              </w:rPr>
              <w:t>Patients</w:t>
            </w:r>
          </w:p>
        </w:tc>
        <w:tc>
          <w:tcPr>
            <w:tcW w:w="935" w:type="dxa"/>
            <w:tcBorders>
              <w:top w:val="single" w:sz="4" w:space="0" w:color="000000"/>
              <w:left w:val="single" w:sz="4" w:space="0" w:color="auto"/>
              <w:bottom w:val="nil"/>
              <w:right w:val="single" w:sz="4" w:space="0" w:color="000000"/>
            </w:tcBorders>
            <w:shd w:val="clear" w:color="auto" w:fill="BFBFBF" w:themeFill="background1" w:themeFillShade="BF"/>
            <w:vAlign w:val="bottom"/>
            <w:hideMark/>
          </w:tcPr>
          <w:p w:rsidR="00821C17" w:rsidRPr="00656877" w:rsidRDefault="00821C17" w:rsidP="0080335A">
            <w:pPr>
              <w:spacing w:after="0"/>
              <w:jc w:val="center"/>
              <w:rPr>
                <w:rFonts w:eastAsia="Times New Roman" w:cs="Times New Roman"/>
                <w:b/>
                <w:sz w:val="18"/>
                <w:szCs w:val="18"/>
              </w:rPr>
            </w:pPr>
            <w:r w:rsidRPr="00656877">
              <w:rPr>
                <w:rFonts w:eastAsia="Times New Roman" w:cs="Times New Roman"/>
                <w:b/>
                <w:sz w:val="18"/>
                <w:szCs w:val="18"/>
              </w:rPr>
              <w:t>% patients</w:t>
            </w:r>
          </w:p>
        </w:tc>
        <w:tc>
          <w:tcPr>
            <w:tcW w:w="766"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821C17" w:rsidRPr="00656877" w:rsidRDefault="00821C17" w:rsidP="0080335A">
            <w:pPr>
              <w:spacing w:after="0"/>
              <w:jc w:val="center"/>
              <w:rPr>
                <w:rFonts w:eastAsia="Times New Roman" w:cs="Times New Roman"/>
                <w:b/>
                <w:sz w:val="18"/>
                <w:szCs w:val="18"/>
              </w:rPr>
            </w:pPr>
            <w:r w:rsidRPr="00656877">
              <w:rPr>
                <w:rFonts w:eastAsia="Times New Roman" w:cs="Times New Roman"/>
                <w:b/>
                <w:sz w:val="18"/>
                <w:szCs w:val="18"/>
              </w:rPr>
              <w:t>Rank</w:t>
            </w:r>
          </w:p>
        </w:tc>
      </w:tr>
      <w:tr w:rsidR="00821C17" w:rsidRPr="00131E0E" w:rsidTr="0080335A">
        <w:trPr>
          <w:trHeight w:val="255"/>
        </w:trPr>
        <w:tc>
          <w:tcPr>
            <w:tcW w:w="2425" w:type="dxa"/>
            <w:tcBorders>
              <w:top w:val="single" w:sz="4" w:space="0" w:color="000000"/>
              <w:left w:val="single" w:sz="4" w:space="0" w:color="000000"/>
              <w:bottom w:val="nil"/>
              <w:right w:val="nil"/>
            </w:tcBorders>
            <w:shd w:val="clear" w:color="auto" w:fill="auto"/>
            <w:noWrap/>
            <w:vAlign w:val="bottom"/>
            <w:hideMark/>
          </w:tcPr>
          <w:p w:rsidR="00821C17" w:rsidRPr="00656877" w:rsidRDefault="00821C17" w:rsidP="0080335A">
            <w:pPr>
              <w:spacing w:after="0"/>
              <w:rPr>
                <w:rFonts w:eastAsia="Times New Roman" w:cs="Times New Roman"/>
                <w:sz w:val="16"/>
                <w:szCs w:val="16"/>
              </w:rPr>
            </w:pPr>
            <w:r w:rsidRPr="00656877">
              <w:rPr>
                <w:sz w:val="16"/>
                <w:szCs w:val="16"/>
              </w:rPr>
              <w:t>Methotrexate</w:t>
            </w:r>
          </w:p>
        </w:tc>
        <w:tc>
          <w:tcPr>
            <w:tcW w:w="3119" w:type="dxa"/>
            <w:tcBorders>
              <w:top w:val="single" w:sz="4" w:space="0" w:color="000000"/>
              <w:left w:val="single" w:sz="4" w:space="0" w:color="000000"/>
              <w:bottom w:val="nil"/>
              <w:right w:val="nil"/>
            </w:tcBorders>
            <w:shd w:val="clear" w:color="auto" w:fill="auto"/>
            <w:noWrap/>
            <w:vAlign w:val="bottom"/>
            <w:hideMark/>
          </w:tcPr>
          <w:p w:rsidR="00821C17" w:rsidRPr="00656877" w:rsidRDefault="00821C17" w:rsidP="0080335A">
            <w:pPr>
              <w:spacing w:after="0"/>
              <w:rPr>
                <w:rFonts w:eastAsia="Times New Roman" w:cs="Times New Roman"/>
                <w:sz w:val="16"/>
                <w:szCs w:val="16"/>
              </w:rPr>
            </w:pPr>
            <w:proofErr w:type="spellStart"/>
            <w:r w:rsidRPr="00656877">
              <w:rPr>
                <w:sz w:val="16"/>
                <w:szCs w:val="16"/>
              </w:rPr>
              <w:t>Adalimumab+Methotrexate</w:t>
            </w:r>
            <w:proofErr w:type="spellEnd"/>
          </w:p>
        </w:tc>
        <w:tc>
          <w:tcPr>
            <w:tcW w:w="1134" w:type="dxa"/>
            <w:tcBorders>
              <w:top w:val="single" w:sz="4" w:space="0" w:color="000000"/>
              <w:left w:val="single" w:sz="4" w:space="0" w:color="000000"/>
              <w:bottom w:val="nil"/>
              <w:right w:val="single" w:sz="4" w:space="0" w:color="auto"/>
            </w:tcBorders>
            <w:shd w:val="clear" w:color="auto" w:fill="auto"/>
            <w:noWrap/>
            <w:vAlign w:val="bottom"/>
            <w:hideMark/>
          </w:tcPr>
          <w:p w:rsidR="00821C17" w:rsidRPr="00656877" w:rsidRDefault="00821C17" w:rsidP="0080335A">
            <w:pPr>
              <w:spacing w:after="0"/>
              <w:jc w:val="center"/>
              <w:rPr>
                <w:rFonts w:eastAsia="Times New Roman" w:cs="Times New Roman"/>
                <w:sz w:val="16"/>
                <w:szCs w:val="16"/>
              </w:rPr>
            </w:pPr>
            <w:r w:rsidRPr="00656877">
              <w:rPr>
                <w:sz w:val="16"/>
                <w:szCs w:val="16"/>
              </w:rPr>
              <w:t>Add</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1C17" w:rsidRPr="00656877" w:rsidRDefault="00821C17" w:rsidP="0080335A">
            <w:pPr>
              <w:spacing w:after="0"/>
              <w:jc w:val="center"/>
              <w:rPr>
                <w:rFonts w:eastAsia="Times New Roman" w:cs="Times New Roman"/>
                <w:sz w:val="16"/>
                <w:szCs w:val="16"/>
              </w:rPr>
            </w:pPr>
            <w:r w:rsidRPr="00656877">
              <w:rPr>
                <w:sz w:val="16"/>
                <w:szCs w:val="16"/>
              </w:rPr>
              <w:t>76</w:t>
            </w:r>
          </w:p>
        </w:tc>
        <w:tc>
          <w:tcPr>
            <w:tcW w:w="935" w:type="dxa"/>
            <w:tcBorders>
              <w:top w:val="single" w:sz="4" w:space="0" w:color="000000"/>
              <w:left w:val="single" w:sz="4" w:space="0" w:color="auto"/>
              <w:bottom w:val="nil"/>
              <w:right w:val="single" w:sz="4" w:space="0" w:color="000000"/>
            </w:tcBorders>
            <w:shd w:val="clear" w:color="auto" w:fill="auto"/>
            <w:noWrap/>
            <w:vAlign w:val="center"/>
            <w:hideMark/>
          </w:tcPr>
          <w:p w:rsidR="00821C17" w:rsidRPr="00656877" w:rsidRDefault="00821C17" w:rsidP="0080335A">
            <w:pPr>
              <w:spacing w:after="0"/>
              <w:jc w:val="center"/>
              <w:rPr>
                <w:rFonts w:eastAsia="Times New Roman" w:cs="Times New Roman"/>
                <w:sz w:val="16"/>
                <w:szCs w:val="16"/>
              </w:rPr>
            </w:pPr>
            <w:r w:rsidRPr="00656877">
              <w:rPr>
                <w:sz w:val="16"/>
                <w:szCs w:val="16"/>
              </w:rPr>
              <w:t>8.2%</w:t>
            </w:r>
          </w:p>
        </w:tc>
        <w:tc>
          <w:tcPr>
            <w:tcW w:w="766" w:type="dxa"/>
            <w:tcBorders>
              <w:top w:val="nil"/>
              <w:left w:val="nil"/>
              <w:bottom w:val="single" w:sz="4" w:space="0" w:color="auto"/>
              <w:right w:val="single" w:sz="4" w:space="0" w:color="auto"/>
            </w:tcBorders>
            <w:shd w:val="clear" w:color="auto" w:fill="auto"/>
            <w:noWrap/>
            <w:vAlign w:val="center"/>
            <w:hideMark/>
          </w:tcPr>
          <w:p w:rsidR="00821C17" w:rsidRPr="00656877" w:rsidRDefault="00821C17" w:rsidP="0080335A">
            <w:pPr>
              <w:spacing w:after="0"/>
              <w:jc w:val="center"/>
              <w:rPr>
                <w:rFonts w:eastAsia="Times New Roman" w:cs="Times New Roman"/>
                <w:sz w:val="16"/>
                <w:szCs w:val="16"/>
              </w:rPr>
            </w:pPr>
            <w:r w:rsidRPr="00656877">
              <w:rPr>
                <w:sz w:val="16"/>
                <w:szCs w:val="16"/>
              </w:rPr>
              <w:t>1</w:t>
            </w:r>
          </w:p>
        </w:tc>
      </w:tr>
      <w:tr w:rsidR="00821C17" w:rsidRPr="00131E0E" w:rsidTr="0080335A">
        <w:trPr>
          <w:trHeight w:val="255"/>
        </w:trPr>
        <w:tc>
          <w:tcPr>
            <w:tcW w:w="2425" w:type="dxa"/>
            <w:tcBorders>
              <w:top w:val="single" w:sz="4" w:space="0" w:color="000000"/>
              <w:left w:val="single" w:sz="4" w:space="0" w:color="000000"/>
              <w:bottom w:val="nil"/>
              <w:right w:val="nil"/>
            </w:tcBorders>
            <w:shd w:val="clear" w:color="auto" w:fill="auto"/>
            <w:noWrap/>
            <w:vAlign w:val="bottom"/>
            <w:hideMark/>
          </w:tcPr>
          <w:p w:rsidR="00821C17" w:rsidRPr="00656877" w:rsidRDefault="00821C17" w:rsidP="0080335A">
            <w:pPr>
              <w:spacing w:after="0"/>
              <w:rPr>
                <w:rFonts w:eastAsia="Times New Roman" w:cs="Times New Roman"/>
                <w:sz w:val="16"/>
                <w:szCs w:val="16"/>
              </w:rPr>
            </w:pPr>
            <w:r w:rsidRPr="00656877">
              <w:rPr>
                <w:sz w:val="16"/>
                <w:szCs w:val="16"/>
              </w:rPr>
              <w:t>Methotrexate</w:t>
            </w:r>
          </w:p>
        </w:tc>
        <w:tc>
          <w:tcPr>
            <w:tcW w:w="3119" w:type="dxa"/>
            <w:tcBorders>
              <w:top w:val="single" w:sz="4" w:space="0" w:color="000000"/>
              <w:left w:val="single" w:sz="4" w:space="0" w:color="000000"/>
              <w:bottom w:val="nil"/>
              <w:right w:val="nil"/>
            </w:tcBorders>
            <w:shd w:val="clear" w:color="auto" w:fill="auto"/>
            <w:noWrap/>
            <w:vAlign w:val="bottom"/>
            <w:hideMark/>
          </w:tcPr>
          <w:p w:rsidR="00821C17" w:rsidRPr="00656877" w:rsidRDefault="00821C17" w:rsidP="0080335A">
            <w:pPr>
              <w:spacing w:after="0"/>
              <w:rPr>
                <w:rFonts w:eastAsia="Times New Roman" w:cs="Times New Roman"/>
                <w:sz w:val="16"/>
                <w:szCs w:val="16"/>
              </w:rPr>
            </w:pPr>
            <w:r w:rsidRPr="00656877">
              <w:rPr>
                <w:sz w:val="16"/>
                <w:szCs w:val="16"/>
              </w:rPr>
              <w:t>Adalimumab</w:t>
            </w:r>
          </w:p>
        </w:tc>
        <w:tc>
          <w:tcPr>
            <w:tcW w:w="1134" w:type="dxa"/>
            <w:tcBorders>
              <w:top w:val="single" w:sz="4" w:space="0" w:color="000000"/>
              <w:left w:val="single" w:sz="4" w:space="0" w:color="000000"/>
              <w:bottom w:val="nil"/>
              <w:right w:val="single" w:sz="4" w:space="0" w:color="auto"/>
            </w:tcBorders>
            <w:shd w:val="clear" w:color="auto" w:fill="auto"/>
            <w:noWrap/>
            <w:vAlign w:val="bottom"/>
            <w:hideMark/>
          </w:tcPr>
          <w:p w:rsidR="00821C17" w:rsidRPr="00656877" w:rsidRDefault="00821C17" w:rsidP="0080335A">
            <w:pPr>
              <w:spacing w:after="0"/>
              <w:jc w:val="center"/>
              <w:rPr>
                <w:rFonts w:eastAsia="Times New Roman" w:cs="Times New Roman"/>
                <w:sz w:val="16"/>
                <w:szCs w:val="16"/>
              </w:rPr>
            </w:pPr>
            <w:r w:rsidRPr="00656877">
              <w:rPr>
                <w:sz w:val="16"/>
                <w:szCs w:val="16"/>
              </w:rPr>
              <w:t>Switch</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1C17" w:rsidRPr="00656877" w:rsidRDefault="00821C17" w:rsidP="0080335A">
            <w:pPr>
              <w:spacing w:after="0"/>
              <w:jc w:val="center"/>
              <w:rPr>
                <w:rFonts w:eastAsia="Times New Roman" w:cs="Times New Roman"/>
                <w:sz w:val="16"/>
                <w:szCs w:val="16"/>
              </w:rPr>
            </w:pPr>
            <w:r w:rsidRPr="00656877">
              <w:rPr>
                <w:sz w:val="16"/>
                <w:szCs w:val="16"/>
              </w:rPr>
              <w:t>63</w:t>
            </w:r>
          </w:p>
        </w:tc>
        <w:tc>
          <w:tcPr>
            <w:tcW w:w="935" w:type="dxa"/>
            <w:tcBorders>
              <w:top w:val="single" w:sz="4" w:space="0" w:color="000000"/>
              <w:left w:val="single" w:sz="4" w:space="0" w:color="auto"/>
              <w:bottom w:val="nil"/>
              <w:right w:val="single" w:sz="4" w:space="0" w:color="000000"/>
            </w:tcBorders>
            <w:shd w:val="clear" w:color="auto" w:fill="auto"/>
            <w:noWrap/>
            <w:vAlign w:val="center"/>
            <w:hideMark/>
          </w:tcPr>
          <w:p w:rsidR="00821C17" w:rsidRPr="00656877" w:rsidRDefault="00821C17" w:rsidP="0080335A">
            <w:pPr>
              <w:spacing w:after="0"/>
              <w:jc w:val="center"/>
              <w:rPr>
                <w:rFonts w:eastAsia="Times New Roman" w:cs="Times New Roman"/>
                <w:sz w:val="16"/>
                <w:szCs w:val="16"/>
              </w:rPr>
            </w:pPr>
            <w:r w:rsidRPr="00656877">
              <w:rPr>
                <w:sz w:val="16"/>
                <w:szCs w:val="16"/>
              </w:rPr>
              <w:t>6.8%</w:t>
            </w:r>
          </w:p>
        </w:tc>
        <w:tc>
          <w:tcPr>
            <w:tcW w:w="766" w:type="dxa"/>
            <w:tcBorders>
              <w:top w:val="nil"/>
              <w:left w:val="nil"/>
              <w:bottom w:val="single" w:sz="4" w:space="0" w:color="auto"/>
              <w:right w:val="single" w:sz="4" w:space="0" w:color="auto"/>
            </w:tcBorders>
            <w:shd w:val="clear" w:color="auto" w:fill="auto"/>
            <w:noWrap/>
            <w:vAlign w:val="center"/>
            <w:hideMark/>
          </w:tcPr>
          <w:p w:rsidR="00821C17" w:rsidRPr="00656877" w:rsidRDefault="00821C17" w:rsidP="0080335A">
            <w:pPr>
              <w:spacing w:after="0"/>
              <w:jc w:val="center"/>
              <w:rPr>
                <w:rFonts w:eastAsia="Times New Roman" w:cs="Times New Roman"/>
                <w:sz w:val="16"/>
                <w:szCs w:val="16"/>
              </w:rPr>
            </w:pPr>
            <w:r w:rsidRPr="00656877">
              <w:rPr>
                <w:sz w:val="16"/>
                <w:szCs w:val="16"/>
              </w:rPr>
              <w:t>2</w:t>
            </w:r>
          </w:p>
        </w:tc>
      </w:tr>
      <w:tr w:rsidR="00821C17" w:rsidRPr="00131E0E" w:rsidTr="0080335A">
        <w:trPr>
          <w:trHeight w:val="255"/>
        </w:trPr>
        <w:tc>
          <w:tcPr>
            <w:tcW w:w="2425" w:type="dxa"/>
            <w:tcBorders>
              <w:top w:val="single" w:sz="4" w:space="0" w:color="000000"/>
              <w:left w:val="single" w:sz="4" w:space="0" w:color="000000"/>
              <w:bottom w:val="nil"/>
              <w:right w:val="nil"/>
            </w:tcBorders>
            <w:shd w:val="clear" w:color="auto" w:fill="auto"/>
            <w:noWrap/>
            <w:vAlign w:val="bottom"/>
            <w:hideMark/>
          </w:tcPr>
          <w:p w:rsidR="00821C17" w:rsidRPr="00656877" w:rsidRDefault="00821C17" w:rsidP="0080335A">
            <w:pPr>
              <w:spacing w:after="0"/>
              <w:rPr>
                <w:rFonts w:eastAsia="Times New Roman" w:cs="Times New Roman"/>
                <w:sz w:val="16"/>
                <w:szCs w:val="16"/>
              </w:rPr>
            </w:pPr>
            <w:r w:rsidRPr="00656877">
              <w:rPr>
                <w:sz w:val="16"/>
                <w:szCs w:val="16"/>
              </w:rPr>
              <w:t>None</w:t>
            </w:r>
          </w:p>
        </w:tc>
        <w:tc>
          <w:tcPr>
            <w:tcW w:w="3119" w:type="dxa"/>
            <w:tcBorders>
              <w:top w:val="single" w:sz="4" w:space="0" w:color="000000"/>
              <w:left w:val="single" w:sz="4" w:space="0" w:color="000000"/>
              <w:bottom w:val="nil"/>
              <w:right w:val="nil"/>
            </w:tcBorders>
            <w:shd w:val="clear" w:color="auto" w:fill="auto"/>
            <w:noWrap/>
            <w:vAlign w:val="bottom"/>
            <w:hideMark/>
          </w:tcPr>
          <w:p w:rsidR="00821C17" w:rsidRPr="00656877" w:rsidRDefault="00821C17" w:rsidP="0080335A">
            <w:pPr>
              <w:spacing w:after="0"/>
              <w:rPr>
                <w:rFonts w:eastAsia="Times New Roman" w:cs="Times New Roman"/>
                <w:sz w:val="16"/>
                <w:szCs w:val="16"/>
              </w:rPr>
            </w:pPr>
            <w:r w:rsidRPr="00656877">
              <w:rPr>
                <w:sz w:val="16"/>
                <w:szCs w:val="16"/>
              </w:rPr>
              <w:t>Adalimumab</w:t>
            </w:r>
          </w:p>
        </w:tc>
        <w:tc>
          <w:tcPr>
            <w:tcW w:w="1134" w:type="dxa"/>
            <w:tcBorders>
              <w:top w:val="single" w:sz="4" w:space="0" w:color="000000"/>
              <w:left w:val="single" w:sz="4" w:space="0" w:color="000000"/>
              <w:bottom w:val="nil"/>
              <w:right w:val="single" w:sz="4" w:space="0" w:color="auto"/>
            </w:tcBorders>
            <w:shd w:val="clear" w:color="auto" w:fill="auto"/>
            <w:noWrap/>
            <w:vAlign w:val="bottom"/>
            <w:hideMark/>
          </w:tcPr>
          <w:p w:rsidR="00821C17" w:rsidRPr="00656877" w:rsidRDefault="00821C17" w:rsidP="0080335A">
            <w:pPr>
              <w:spacing w:after="0"/>
              <w:jc w:val="center"/>
              <w:rPr>
                <w:rFonts w:eastAsia="Times New Roman" w:cs="Times New Roman"/>
                <w:sz w:val="16"/>
                <w:szCs w:val="16"/>
              </w:rPr>
            </w:pPr>
            <w:r w:rsidRPr="00656877">
              <w:rPr>
                <w:sz w:val="16"/>
                <w:szCs w:val="16"/>
              </w:rPr>
              <w:t>From None</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1C17" w:rsidRPr="00656877" w:rsidRDefault="00821C17" w:rsidP="0080335A">
            <w:pPr>
              <w:spacing w:after="0"/>
              <w:jc w:val="center"/>
              <w:rPr>
                <w:rFonts w:eastAsia="Times New Roman" w:cs="Times New Roman"/>
                <w:sz w:val="16"/>
                <w:szCs w:val="16"/>
              </w:rPr>
            </w:pPr>
            <w:r w:rsidRPr="00656877">
              <w:rPr>
                <w:sz w:val="16"/>
                <w:szCs w:val="16"/>
              </w:rPr>
              <w:t>59</w:t>
            </w:r>
          </w:p>
        </w:tc>
        <w:tc>
          <w:tcPr>
            <w:tcW w:w="935" w:type="dxa"/>
            <w:tcBorders>
              <w:top w:val="single" w:sz="4" w:space="0" w:color="000000"/>
              <w:left w:val="single" w:sz="4" w:space="0" w:color="auto"/>
              <w:bottom w:val="nil"/>
              <w:right w:val="single" w:sz="4" w:space="0" w:color="000000"/>
            </w:tcBorders>
            <w:shd w:val="clear" w:color="auto" w:fill="auto"/>
            <w:noWrap/>
            <w:vAlign w:val="center"/>
            <w:hideMark/>
          </w:tcPr>
          <w:p w:rsidR="00821C17" w:rsidRPr="00656877" w:rsidRDefault="00821C17" w:rsidP="0080335A">
            <w:pPr>
              <w:spacing w:after="0"/>
              <w:jc w:val="center"/>
              <w:rPr>
                <w:rFonts w:eastAsia="Times New Roman" w:cs="Times New Roman"/>
                <w:sz w:val="16"/>
                <w:szCs w:val="16"/>
              </w:rPr>
            </w:pPr>
            <w:r w:rsidRPr="00656877">
              <w:rPr>
                <w:sz w:val="16"/>
                <w:szCs w:val="16"/>
              </w:rPr>
              <w:t>6.3%</w:t>
            </w:r>
          </w:p>
        </w:tc>
        <w:tc>
          <w:tcPr>
            <w:tcW w:w="766" w:type="dxa"/>
            <w:tcBorders>
              <w:top w:val="nil"/>
              <w:left w:val="nil"/>
              <w:bottom w:val="single" w:sz="4" w:space="0" w:color="auto"/>
              <w:right w:val="single" w:sz="4" w:space="0" w:color="auto"/>
            </w:tcBorders>
            <w:shd w:val="clear" w:color="auto" w:fill="auto"/>
            <w:noWrap/>
            <w:vAlign w:val="center"/>
          </w:tcPr>
          <w:p w:rsidR="00821C17" w:rsidRPr="00656877" w:rsidRDefault="00821C17" w:rsidP="0080335A">
            <w:pPr>
              <w:spacing w:after="0"/>
              <w:jc w:val="center"/>
              <w:rPr>
                <w:rFonts w:eastAsia="Times New Roman" w:cs="Times New Roman"/>
                <w:sz w:val="16"/>
                <w:szCs w:val="16"/>
              </w:rPr>
            </w:pPr>
            <w:r w:rsidRPr="00656877">
              <w:rPr>
                <w:sz w:val="16"/>
                <w:szCs w:val="16"/>
              </w:rPr>
              <w:t>3</w:t>
            </w:r>
          </w:p>
        </w:tc>
      </w:tr>
      <w:tr w:rsidR="00821C17" w:rsidRPr="00131E0E" w:rsidTr="0080335A">
        <w:trPr>
          <w:trHeight w:val="255"/>
        </w:trPr>
        <w:tc>
          <w:tcPr>
            <w:tcW w:w="2425" w:type="dxa"/>
            <w:tcBorders>
              <w:top w:val="single" w:sz="4" w:space="0" w:color="000000"/>
              <w:left w:val="single" w:sz="4" w:space="0" w:color="000000"/>
              <w:bottom w:val="nil"/>
              <w:right w:val="nil"/>
            </w:tcBorders>
            <w:shd w:val="clear" w:color="auto" w:fill="auto"/>
            <w:noWrap/>
            <w:vAlign w:val="bottom"/>
            <w:hideMark/>
          </w:tcPr>
          <w:p w:rsidR="00821C17" w:rsidRPr="00656877" w:rsidRDefault="00821C17" w:rsidP="0080335A">
            <w:pPr>
              <w:spacing w:after="0"/>
              <w:rPr>
                <w:rFonts w:eastAsia="Times New Roman" w:cs="Times New Roman"/>
                <w:sz w:val="16"/>
                <w:szCs w:val="16"/>
              </w:rPr>
            </w:pPr>
            <w:proofErr w:type="spellStart"/>
            <w:r w:rsidRPr="00656877">
              <w:rPr>
                <w:sz w:val="16"/>
                <w:szCs w:val="16"/>
              </w:rPr>
              <w:t>Leflunomide+Methotrexate</w:t>
            </w:r>
            <w:proofErr w:type="spellEnd"/>
          </w:p>
        </w:tc>
        <w:tc>
          <w:tcPr>
            <w:tcW w:w="3119" w:type="dxa"/>
            <w:tcBorders>
              <w:top w:val="single" w:sz="4" w:space="0" w:color="000000"/>
              <w:left w:val="single" w:sz="4" w:space="0" w:color="000000"/>
              <w:bottom w:val="nil"/>
              <w:right w:val="nil"/>
            </w:tcBorders>
            <w:shd w:val="clear" w:color="auto" w:fill="auto"/>
            <w:noWrap/>
            <w:vAlign w:val="bottom"/>
            <w:hideMark/>
          </w:tcPr>
          <w:p w:rsidR="00821C17" w:rsidRPr="00656877" w:rsidRDefault="00821C17" w:rsidP="0080335A">
            <w:pPr>
              <w:spacing w:after="0"/>
              <w:rPr>
                <w:rFonts w:eastAsia="Times New Roman" w:cs="Times New Roman"/>
                <w:sz w:val="16"/>
                <w:szCs w:val="16"/>
              </w:rPr>
            </w:pPr>
            <w:proofErr w:type="spellStart"/>
            <w:r w:rsidRPr="00656877">
              <w:rPr>
                <w:sz w:val="16"/>
                <w:szCs w:val="16"/>
              </w:rPr>
              <w:t>Adalimumab+Methotrexate</w:t>
            </w:r>
            <w:proofErr w:type="spellEnd"/>
          </w:p>
        </w:tc>
        <w:tc>
          <w:tcPr>
            <w:tcW w:w="1134" w:type="dxa"/>
            <w:tcBorders>
              <w:top w:val="single" w:sz="4" w:space="0" w:color="000000"/>
              <w:left w:val="single" w:sz="4" w:space="0" w:color="000000"/>
              <w:bottom w:val="nil"/>
              <w:right w:val="single" w:sz="4" w:space="0" w:color="auto"/>
            </w:tcBorders>
            <w:shd w:val="clear" w:color="auto" w:fill="auto"/>
            <w:noWrap/>
            <w:vAlign w:val="bottom"/>
            <w:hideMark/>
          </w:tcPr>
          <w:p w:rsidR="00821C17" w:rsidRPr="00656877" w:rsidRDefault="00821C17" w:rsidP="0080335A">
            <w:pPr>
              <w:spacing w:after="0"/>
              <w:jc w:val="center"/>
              <w:rPr>
                <w:rFonts w:eastAsia="Times New Roman" w:cs="Times New Roman"/>
                <w:sz w:val="16"/>
                <w:szCs w:val="16"/>
              </w:rPr>
            </w:pPr>
            <w:r w:rsidRPr="00656877">
              <w:rPr>
                <w:sz w:val="16"/>
                <w:szCs w:val="16"/>
              </w:rPr>
              <w:t>Switch</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1C17" w:rsidRPr="00656877" w:rsidRDefault="00821C17" w:rsidP="0080335A">
            <w:pPr>
              <w:spacing w:after="0"/>
              <w:jc w:val="center"/>
              <w:rPr>
                <w:rFonts w:eastAsia="Times New Roman" w:cs="Times New Roman"/>
                <w:sz w:val="16"/>
                <w:szCs w:val="16"/>
              </w:rPr>
            </w:pPr>
            <w:r w:rsidRPr="00656877">
              <w:rPr>
                <w:sz w:val="16"/>
                <w:szCs w:val="16"/>
              </w:rPr>
              <w:t>50</w:t>
            </w:r>
          </w:p>
        </w:tc>
        <w:tc>
          <w:tcPr>
            <w:tcW w:w="935" w:type="dxa"/>
            <w:tcBorders>
              <w:top w:val="single" w:sz="4" w:space="0" w:color="000000"/>
              <w:left w:val="single" w:sz="4" w:space="0" w:color="auto"/>
              <w:bottom w:val="nil"/>
              <w:right w:val="single" w:sz="4" w:space="0" w:color="000000"/>
            </w:tcBorders>
            <w:shd w:val="clear" w:color="auto" w:fill="auto"/>
            <w:noWrap/>
            <w:vAlign w:val="center"/>
            <w:hideMark/>
          </w:tcPr>
          <w:p w:rsidR="00821C17" w:rsidRPr="00656877" w:rsidRDefault="00821C17" w:rsidP="0080335A">
            <w:pPr>
              <w:spacing w:after="0"/>
              <w:jc w:val="center"/>
              <w:rPr>
                <w:rFonts w:eastAsia="Times New Roman" w:cs="Times New Roman"/>
                <w:sz w:val="16"/>
                <w:szCs w:val="16"/>
              </w:rPr>
            </w:pPr>
            <w:r w:rsidRPr="00656877">
              <w:rPr>
                <w:sz w:val="16"/>
                <w:szCs w:val="16"/>
              </w:rPr>
              <w:t>5.4%</w:t>
            </w:r>
          </w:p>
        </w:tc>
        <w:tc>
          <w:tcPr>
            <w:tcW w:w="766" w:type="dxa"/>
            <w:tcBorders>
              <w:top w:val="nil"/>
              <w:left w:val="nil"/>
              <w:bottom w:val="single" w:sz="4" w:space="0" w:color="auto"/>
              <w:right w:val="single" w:sz="4" w:space="0" w:color="auto"/>
            </w:tcBorders>
            <w:shd w:val="clear" w:color="auto" w:fill="auto"/>
            <w:noWrap/>
            <w:vAlign w:val="center"/>
          </w:tcPr>
          <w:p w:rsidR="00821C17" w:rsidRPr="00656877" w:rsidRDefault="00821C17" w:rsidP="0080335A">
            <w:pPr>
              <w:spacing w:after="0"/>
              <w:jc w:val="center"/>
              <w:rPr>
                <w:rFonts w:eastAsia="Times New Roman" w:cs="Times New Roman"/>
                <w:sz w:val="16"/>
                <w:szCs w:val="16"/>
              </w:rPr>
            </w:pPr>
            <w:r w:rsidRPr="00656877">
              <w:rPr>
                <w:sz w:val="16"/>
                <w:szCs w:val="16"/>
              </w:rPr>
              <w:t>4</w:t>
            </w:r>
          </w:p>
        </w:tc>
      </w:tr>
      <w:tr w:rsidR="00821C17" w:rsidRPr="00131E0E" w:rsidTr="0080335A">
        <w:trPr>
          <w:trHeight w:val="255"/>
        </w:trPr>
        <w:tc>
          <w:tcPr>
            <w:tcW w:w="2425" w:type="dxa"/>
            <w:tcBorders>
              <w:top w:val="single" w:sz="4" w:space="0" w:color="000000"/>
              <w:left w:val="single" w:sz="4" w:space="0" w:color="000000"/>
              <w:bottom w:val="nil"/>
              <w:right w:val="nil"/>
            </w:tcBorders>
            <w:shd w:val="clear" w:color="auto" w:fill="auto"/>
            <w:noWrap/>
            <w:vAlign w:val="bottom"/>
            <w:hideMark/>
          </w:tcPr>
          <w:p w:rsidR="00821C17" w:rsidRPr="00656877" w:rsidRDefault="00821C17" w:rsidP="0080335A">
            <w:pPr>
              <w:spacing w:after="0"/>
              <w:rPr>
                <w:rFonts w:eastAsia="Times New Roman" w:cs="Times New Roman"/>
                <w:sz w:val="16"/>
                <w:szCs w:val="16"/>
              </w:rPr>
            </w:pPr>
            <w:proofErr w:type="spellStart"/>
            <w:r w:rsidRPr="00656877">
              <w:rPr>
                <w:sz w:val="16"/>
                <w:szCs w:val="16"/>
              </w:rPr>
              <w:t>Methotrexate+Sulfasalazine</w:t>
            </w:r>
            <w:proofErr w:type="spellEnd"/>
          </w:p>
        </w:tc>
        <w:tc>
          <w:tcPr>
            <w:tcW w:w="3119" w:type="dxa"/>
            <w:tcBorders>
              <w:top w:val="single" w:sz="4" w:space="0" w:color="000000"/>
              <w:left w:val="single" w:sz="4" w:space="0" w:color="000000"/>
              <w:bottom w:val="nil"/>
              <w:right w:val="nil"/>
            </w:tcBorders>
            <w:shd w:val="clear" w:color="auto" w:fill="auto"/>
            <w:noWrap/>
            <w:vAlign w:val="bottom"/>
            <w:hideMark/>
          </w:tcPr>
          <w:p w:rsidR="00821C17" w:rsidRPr="00656877" w:rsidRDefault="00821C17" w:rsidP="0080335A">
            <w:pPr>
              <w:spacing w:after="0"/>
              <w:rPr>
                <w:rFonts w:eastAsia="Times New Roman" w:cs="Times New Roman"/>
                <w:sz w:val="16"/>
                <w:szCs w:val="16"/>
              </w:rPr>
            </w:pPr>
            <w:proofErr w:type="spellStart"/>
            <w:r w:rsidRPr="00656877">
              <w:rPr>
                <w:sz w:val="16"/>
                <w:szCs w:val="16"/>
              </w:rPr>
              <w:t>Adalimumab+Methotrexate+Sulfasalazine</w:t>
            </w:r>
            <w:proofErr w:type="spellEnd"/>
          </w:p>
        </w:tc>
        <w:tc>
          <w:tcPr>
            <w:tcW w:w="1134" w:type="dxa"/>
            <w:tcBorders>
              <w:top w:val="single" w:sz="4" w:space="0" w:color="000000"/>
              <w:left w:val="single" w:sz="4" w:space="0" w:color="000000"/>
              <w:bottom w:val="nil"/>
              <w:right w:val="single" w:sz="4" w:space="0" w:color="auto"/>
            </w:tcBorders>
            <w:shd w:val="clear" w:color="auto" w:fill="auto"/>
            <w:noWrap/>
            <w:vAlign w:val="bottom"/>
            <w:hideMark/>
          </w:tcPr>
          <w:p w:rsidR="00821C17" w:rsidRPr="00656877" w:rsidRDefault="00821C17" w:rsidP="0080335A">
            <w:pPr>
              <w:spacing w:after="0"/>
              <w:jc w:val="center"/>
              <w:rPr>
                <w:rFonts w:eastAsia="Times New Roman" w:cs="Times New Roman"/>
                <w:sz w:val="16"/>
                <w:szCs w:val="16"/>
              </w:rPr>
            </w:pPr>
            <w:r w:rsidRPr="00656877">
              <w:rPr>
                <w:sz w:val="16"/>
                <w:szCs w:val="16"/>
              </w:rPr>
              <w:t>Add</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1C17" w:rsidRPr="00656877" w:rsidRDefault="00821C17" w:rsidP="0080335A">
            <w:pPr>
              <w:spacing w:after="0"/>
              <w:jc w:val="center"/>
              <w:rPr>
                <w:rFonts w:eastAsia="Times New Roman" w:cs="Times New Roman"/>
                <w:sz w:val="16"/>
                <w:szCs w:val="16"/>
              </w:rPr>
            </w:pPr>
            <w:r w:rsidRPr="00656877">
              <w:rPr>
                <w:sz w:val="16"/>
                <w:szCs w:val="16"/>
              </w:rPr>
              <w:t>45</w:t>
            </w:r>
          </w:p>
        </w:tc>
        <w:tc>
          <w:tcPr>
            <w:tcW w:w="935" w:type="dxa"/>
            <w:tcBorders>
              <w:top w:val="single" w:sz="4" w:space="0" w:color="000000"/>
              <w:left w:val="single" w:sz="4" w:space="0" w:color="auto"/>
              <w:bottom w:val="nil"/>
              <w:right w:val="single" w:sz="4" w:space="0" w:color="000000"/>
            </w:tcBorders>
            <w:shd w:val="clear" w:color="auto" w:fill="auto"/>
            <w:noWrap/>
            <w:vAlign w:val="center"/>
            <w:hideMark/>
          </w:tcPr>
          <w:p w:rsidR="00821C17" w:rsidRPr="00656877" w:rsidRDefault="00821C17" w:rsidP="0080335A">
            <w:pPr>
              <w:spacing w:after="0"/>
              <w:jc w:val="center"/>
              <w:rPr>
                <w:rFonts w:eastAsia="Times New Roman" w:cs="Times New Roman"/>
                <w:sz w:val="16"/>
                <w:szCs w:val="16"/>
              </w:rPr>
            </w:pPr>
            <w:r w:rsidRPr="00656877">
              <w:rPr>
                <w:sz w:val="16"/>
                <w:szCs w:val="16"/>
              </w:rPr>
              <w:t>4.8%</w:t>
            </w:r>
          </w:p>
        </w:tc>
        <w:tc>
          <w:tcPr>
            <w:tcW w:w="766" w:type="dxa"/>
            <w:tcBorders>
              <w:top w:val="nil"/>
              <w:left w:val="nil"/>
              <w:bottom w:val="single" w:sz="4" w:space="0" w:color="auto"/>
              <w:right w:val="single" w:sz="4" w:space="0" w:color="auto"/>
            </w:tcBorders>
            <w:shd w:val="clear" w:color="auto" w:fill="auto"/>
            <w:noWrap/>
            <w:vAlign w:val="center"/>
          </w:tcPr>
          <w:p w:rsidR="00821C17" w:rsidRPr="00656877" w:rsidRDefault="00821C17" w:rsidP="0080335A">
            <w:pPr>
              <w:spacing w:after="0"/>
              <w:jc w:val="center"/>
              <w:rPr>
                <w:rFonts w:eastAsia="Times New Roman" w:cs="Times New Roman"/>
                <w:sz w:val="16"/>
                <w:szCs w:val="16"/>
              </w:rPr>
            </w:pPr>
            <w:r w:rsidRPr="00656877">
              <w:rPr>
                <w:sz w:val="16"/>
                <w:szCs w:val="16"/>
              </w:rPr>
              <w:t>5</w:t>
            </w:r>
          </w:p>
        </w:tc>
      </w:tr>
      <w:tr w:rsidR="00821C17" w:rsidRPr="00131E0E" w:rsidTr="0080335A">
        <w:trPr>
          <w:trHeight w:val="255"/>
        </w:trPr>
        <w:tc>
          <w:tcPr>
            <w:tcW w:w="2425" w:type="dxa"/>
            <w:tcBorders>
              <w:top w:val="single" w:sz="4" w:space="0" w:color="000000"/>
              <w:left w:val="single" w:sz="4" w:space="0" w:color="000000"/>
              <w:bottom w:val="nil"/>
              <w:right w:val="nil"/>
            </w:tcBorders>
            <w:shd w:val="clear" w:color="auto" w:fill="auto"/>
            <w:noWrap/>
            <w:vAlign w:val="bottom"/>
            <w:hideMark/>
          </w:tcPr>
          <w:p w:rsidR="00821C17" w:rsidRPr="00656877" w:rsidRDefault="00821C17" w:rsidP="0080335A">
            <w:pPr>
              <w:spacing w:after="0"/>
              <w:rPr>
                <w:rFonts w:eastAsia="Times New Roman" w:cs="Times New Roman"/>
                <w:sz w:val="16"/>
                <w:szCs w:val="16"/>
              </w:rPr>
            </w:pPr>
            <w:proofErr w:type="spellStart"/>
            <w:r w:rsidRPr="00656877">
              <w:rPr>
                <w:sz w:val="16"/>
                <w:szCs w:val="16"/>
              </w:rPr>
              <w:t>Leflunomide+Methotrexate</w:t>
            </w:r>
            <w:proofErr w:type="spellEnd"/>
          </w:p>
        </w:tc>
        <w:tc>
          <w:tcPr>
            <w:tcW w:w="3119" w:type="dxa"/>
            <w:tcBorders>
              <w:top w:val="single" w:sz="4" w:space="0" w:color="000000"/>
              <w:left w:val="single" w:sz="4" w:space="0" w:color="000000"/>
              <w:bottom w:val="nil"/>
              <w:right w:val="nil"/>
            </w:tcBorders>
            <w:shd w:val="clear" w:color="auto" w:fill="auto"/>
            <w:noWrap/>
            <w:vAlign w:val="bottom"/>
            <w:hideMark/>
          </w:tcPr>
          <w:p w:rsidR="00821C17" w:rsidRPr="00656877" w:rsidRDefault="00821C17" w:rsidP="0080335A">
            <w:pPr>
              <w:spacing w:after="0"/>
              <w:rPr>
                <w:rFonts w:eastAsia="Times New Roman" w:cs="Times New Roman"/>
                <w:sz w:val="16"/>
                <w:szCs w:val="16"/>
              </w:rPr>
            </w:pPr>
            <w:proofErr w:type="spellStart"/>
            <w:r w:rsidRPr="00656877">
              <w:rPr>
                <w:sz w:val="16"/>
                <w:szCs w:val="16"/>
              </w:rPr>
              <w:t>Adalimumab+Leflunomide+Methotrexate</w:t>
            </w:r>
            <w:proofErr w:type="spellEnd"/>
          </w:p>
        </w:tc>
        <w:tc>
          <w:tcPr>
            <w:tcW w:w="1134" w:type="dxa"/>
            <w:tcBorders>
              <w:top w:val="single" w:sz="4" w:space="0" w:color="000000"/>
              <w:left w:val="single" w:sz="4" w:space="0" w:color="000000"/>
              <w:bottom w:val="nil"/>
              <w:right w:val="single" w:sz="4" w:space="0" w:color="auto"/>
            </w:tcBorders>
            <w:shd w:val="clear" w:color="auto" w:fill="auto"/>
            <w:noWrap/>
            <w:vAlign w:val="bottom"/>
            <w:hideMark/>
          </w:tcPr>
          <w:p w:rsidR="00821C17" w:rsidRPr="00656877" w:rsidRDefault="00821C17" w:rsidP="0080335A">
            <w:pPr>
              <w:spacing w:after="0"/>
              <w:jc w:val="center"/>
              <w:rPr>
                <w:rFonts w:eastAsia="Times New Roman" w:cs="Times New Roman"/>
                <w:sz w:val="16"/>
                <w:szCs w:val="16"/>
              </w:rPr>
            </w:pPr>
            <w:r w:rsidRPr="00656877">
              <w:rPr>
                <w:sz w:val="16"/>
                <w:szCs w:val="16"/>
              </w:rPr>
              <w:t>Add</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1C17" w:rsidRPr="00656877" w:rsidRDefault="00821C17" w:rsidP="0080335A">
            <w:pPr>
              <w:spacing w:after="0"/>
              <w:jc w:val="center"/>
              <w:rPr>
                <w:rFonts w:eastAsia="Times New Roman" w:cs="Times New Roman"/>
                <w:sz w:val="16"/>
                <w:szCs w:val="16"/>
              </w:rPr>
            </w:pPr>
            <w:r w:rsidRPr="00656877">
              <w:rPr>
                <w:sz w:val="16"/>
                <w:szCs w:val="16"/>
              </w:rPr>
              <w:t>42</w:t>
            </w:r>
          </w:p>
        </w:tc>
        <w:tc>
          <w:tcPr>
            <w:tcW w:w="935" w:type="dxa"/>
            <w:tcBorders>
              <w:top w:val="single" w:sz="4" w:space="0" w:color="000000"/>
              <w:left w:val="single" w:sz="4" w:space="0" w:color="auto"/>
              <w:bottom w:val="nil"/>
              <w:right w:val="single" w:sz="4" w:space="0" w:color="000000"/>
            </w:tcBorders>
            <w:shd w:val="clear" w:color="auto" w:fill="auto"/>
            <w:noWrap/>
            <w:vAlign w:val="center"/>
            <w:hideMark/>
          </w:tcPr>
          <w:p w:rsidR="00821C17" w:rsidRPr="00656877" w:rsidRDefault="00821C17" w:rsidP="0080335A">
            <w:pPr>
              <w:spacing w:after="0"/>
              <w:jc w:val="center"/>
              <w:rPr>
                <w:rFonts w:eastAsia="Times New Roman" w:cs="Times New Roman"/>
                <w:sz w:val="16"/>
                <w:szCs w:val="16"/>
              </w:rPr>
            </w:pPr>
            <w:r w:rsidRPr="00656877">
              <w:rPr>
                <w:sz w:val="16"/>
                <w:szCs w:val="16"/>
              </w:rPr>
              <w:t>4.5%</w:t>
            </w:r>
          </w:p>
        </w:tc>
        <w:tc>
          <w:tcPr>
            <w:tcW w:w="766" w:type="dxa"/>
            <w:tcBorders>
              <w:top w:val="nil"/>
              <w:left w:val="nil"/>
              <w:bottom w:val="single" w:sz="4" w:space="0" w:color="auto"/>
              <w:right w:val="single" w:sz="4" w:space="0" w:color="auto"/>
            </w:tcBorders>
            <w:shd w:val="clear" w:color="auto" w:fill="auto"/>
            <w:noWrap/>
            <w:vAlign w:val="center"/>
          </w:tcPr>
          <w:p w:rsidR="00821C17" w:rsidRPr="00656877" w:rsidRDefault="00821C17" w:rsidP="0080335A">
            <w:pPr>
              <w:spacing w:after="0"/>
              <w:jc w:val="center"/>
              <w:rPr>
                <w:rFonts w:eastAsia="Times New Roman" w:cs="Times New Roman"/>
                <w:sz w:val="16"/>
                <w:szCs w:val="16"/>
              </w:rPr>
            </w:pPr>
            <w:r w:rsidRPr="00656877">
              <w:rPr>
                <w:sz w:val="16"/>
                <w:szCs w:val="16"/>
              </w:rPr>
              <w:t>6</w:t>
            </w:r>
          </w:p>
        </w:tc>
      </w:tr>
      <w:tr w:rsidR="00821C17" w:rsidRPr="00131E0E" w:rsidTr="0080335A">
        <w:trPr>
          <w:trHeight w:val="255"/>
        </w:trPr>
        <w:tc>
          <w:tcPr>
            <w:tcW w:w="2425" w:type="dxa"/>
            <w:tcBorders>
              <w:top w:val="single" w:sz="4" w:space="0" w:color="000000"/>
              <w:left w:val="single" w:sz="4" w:space="0" w:color="000000"/>
              <w:bottom w:val="nil"/>
              <w:right w:val="nil"/>
            </w:tcBorders>
            <w:shd w:val="clear" w:color="auto" w:fill="auto"/>
            <w:noWrap/>
            <w:vAlign w:val="bottom"/>
            <w:hideMark/>
          </w:tcPr>
          <w:p w:rsidR="00821C17" w:rsidRPr="00656877" w:rsidRDefault="00821C17" w:rsidP="0080335A">
            <w:pPr>
              <w:spacing w:after="0"/>
              <w:rPr>
                <w:rFonts w:eastAsia="Times New Roman" w:cs="Times New Roman"/>
                <w:sz w:val="16"/>
                <w:szCs w:val="16"/>
              </w:rPr>
            </w:pPr>
            <w:r w:rsidRPr="00656877">
              <w:rPr>
                <w:sz w:val="16"/>
                <w:szCs w:val="16"/>
              </w:rPr>
              <w:t>Methotrexate</w:t>
            </w:r>
          </w:p>
        </w:tc>
        <w:tc>
          <w:tcPr>
            <w:tcW w:w="3119" w:type="dxa"/>
            <w:tcBorders>
              <w:top w:val="single" w:sz="4" w:space="0" w:color="000000"/>
              <w:left w:val="single" w:sz="4" w:space="0" w:color="000000"/>
              <w:bottom w:val="nil"/>
              <w:right w:val="nil"/>
            </w:tcBorders>
            <w:shd w:val="clear" w:color="auto" w:fill="auto"/>
            <w:noWrap/>
            <w:vAlign w:val="bottom"/>
            <w:hideMark/>
          </w:tcPr>
          <w:p w:rsidR="00821C17" w:rsidRPr="00656877" w:rsidRDefault="00821C17" w:rsidP="0080335A">
            <w:pPr>
              <w:spacing w:after="0"/>
              <w:rPr>
                <w:rFonts w:eastAsia="Times New Roman" w:cs="Times New Roman"/>
                <w:sz w:val="16"/>
                <w:szCs w:val="16"/>
              </w:rPr>
            </w:pPr>
            <w:proofErr w:type="spellStart"/>
            <w:r w:rsidRPr="00656877">
              <w:rPr>
                <w:sz w:val="16"/>
                <w:szCs w:val="16"/>
              </w:rPr>
              <w:t>Etanercept</w:t>
            </w:r>
            <w:proofErr w:type="spellEnd"/>
          </w:p>
        </w:tc>
        <w:tc>
          <w:tcPr>
            <w:tcW w:w="1134" w:type="dxa"/>
            <w:tcBorders>
              <w:top w:val="single" w:sz="4" w:space="0" w:color="000000"/>
              <w:left w:val="single" w:sz="4" w:space="0" w:color="000000"/>
              <w:bottom w:val="nil"/>
              <w:right w:val="single" w:sz="4" w:space="0" w:color="auto"/>
            </w:tcBorders>
            <w:shd w:val="clear" w:color="auto" w:fill="auto"/>
            <w:noWrap/>
            <w:vAlign w:val="bottom"/>
            <w:hideMark/>
          </w:tcPr>
          <w:p w:rsidR="00821C17" w:rsidRPr="00656877" w:rsidRDefault="00821C17" w:rsidP="0080335A">
            <w:pPr>
              <w:spacing w:after="0"/>
              <w:jc w:val="center"/>
              <w:rPr>
                <w:rFonts w:eastAsia="Times New Roman" w:cs="Times New Roman"/>
                <w:sz w:val="16"/>
                <w:szCs w:val="16"/>
              </w:rPr>
            </w:pPr>
            <w:r w:rsidRPr="00656877">
              <w:rPr>
                <w:sz w:val="16"/>
                <w:szCs w:val="16"/>
              </w:rPr>
              <w:t>Switch</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1C17" w:rsidRPr="00656877" w:rsidRDefault="00821C17" w:rsidP="0080335A">
            <w:pPr>
              <w:spacing w:after="0"/>
              <w:jc w:val="center"/>
              <w:rPr>
                <w:rFonts w:eastAsia="Times New Roman" w:cs="Times New Roman"/>
                <w:sz w:val="16"/>
                <w:szCs w:val="16"/>
              </w:rPr>
            </w:pPr>
            <w:r w:rsidRPr="00656877">
              <w:rPr>
                <w:sz w:val="16"/>
                <w:szCs w:val="16"/>
              </w:rPr>
              <w:t>36</w:t>
            </w:r>
          </w:p>
        </w:tc>
        <w:tc>
          <w:tcPr>
            <w:tcW w:w="935" w:type="dxa"/>
            <w:tcBorders>
              <w:top w:val="single" w:sz="4" w:space="0" w:color="000000"/>
              <w:left w:val="single" w:sz="4" w:space="0" w:color="auto"/>
              <w:bottom w:val="nil"/>
              <w:right w:val="single" w:sz="4" w:space="0" w:color="000000"/>
            </w:tcBorders>
            <w:shd w:val="clear" w:color="auto" w:fill="auto"/>
            <w:noWrap/>
            <w:vAlign w:val="center"/>
            <w:hideMark/>
          </w:tcPr>
          <w:p w:rsidR="00821C17" w:rsidRPr="00656877" w:rsidRDefault="00821C17" w:rsidP="0080335A">
            <w:pPr>
              <w:spacing w:after="0"/>
              <w:jc w:val="center"/>
              <w:rPr>
                <w:rFonts w:eastAsia="Times New Roman" w:cs="Times New Roman"/>
                <w:sz w:val="16"/>
                <w:szCs w:val="16"/>
              </w:rPr>
            </w:pPr>
            <w:r w:rsidRPr="00656877">
              <w:rPr>
                <w:sz w:val="16"/>
                <w:szCs w:val="16"/>
              </w:rPr>
              <w:t>3.9%</w:t>
            </w:r>
          </w:p>
        </w:tc>
        <w:tc>
          <w:tcPr>
            <w:tcW w:w="766" w:type="dxa"/>
            <w:tcBorders>
              <w:top w:val="nil"/>
              <w:left w:val="nil"/>
              <w:bottom w:val="single" w:sz="4" w:space="0" w:color="auto"/>
              <w:right w:val="single" w:sz="4" w:space="0" w:color="auto"/>
            </w:tcBorders>
            <w:shd w:val="clear" w:color="auto" w:fill="auto"/>
            <w:noWrap/>
            <w:vAlign w:val="center"/>
          </w:tcPr>
          <w:p w:rsidR="00821C17" w:rsidRPr="00656877" w:rsidRDefault="00821C17" w:rsidP="0080335A">
            <w:pPr>
              <w:spacing w:after="0"/>
              <w:jc w:val="center"/>
              <w:rPr>
                <w:rFonts w:eastAsia="Times New Roman" w:cs="Times New Roman"/>
                <w:sz w:val="16"/>
                <w:szCs w:val="16"/>
              </w:rPr>
            </w:pPr>
            <w:r w:rsidRPr="00656877">
              <w:rPr>
                <w:sz w:val="16"/>
                <w:szCs w:val="16"/>
              </w:rPr>
              <w:t>7</w:t>
            </w:r>
          </w:p>
        </w:tc>
      </w:tr>
      <w:tr w:rsidR="00821C17" w:rsidRPr="00131E0E" w:rsidTr="0080335A">
        <w:trPr>
          <w:trHeight w:val="255"/>
        </w:trPr>
        <w:tc>
          <w:tcPr>
            <w:tcW w:w="2425" w:type="dxa"/>
            <w:tcBorders>
              <w:top w:val="single" w:sz="4" w:space="0" w:color="000000"/>
              <w:left w:val="single" w:sz="4" w:space="0" w:color="000000"/>
              <w:bottom w:val="nil"/>
              <w:right w:val="nil"/>
            </w:tcBorders>
            <w:shd w:val="clear" w:color="auto" w:fill="auto"/>
            <w:noWrap/>
            <w:vAlign w:val="bottom"/>
            <w:hideMark/>
          </w:tcPr>
          <w:p w:rsidR="00821C17" w:rsidRPr="00656877" w:rsidRDefault="00821C17" w:rsidP="0080335A">
            <w:pPr>
              <w:spacing w:after="0"/>
              <w:rPr>
                <w:rFonts w:eastAsia="Times New Roman" w:cs="Times New Roman"/>
                <w:sz w:val="16"/>
                <w:szCs w:val="16"/>
              </w:rPr>
            </w:pPr>
            <w:r w:rsidRPr="00656877">
              <w:rPr>
                <w:sz w:val="16"/>
                <w:szCs w:val="16"/>
              </w:rPr>
              <w:t>None</w:t>
            </w:r>
          </w:p>
        </w:tc>
        <w:tc>
          <w:tcPr>
            <w:tcW w:w="3119" w:type="dxa"/>
            <w:tcBorders>
              <w:top w:val="single" w:sz="4" w:space="0" w:color="000000"/>
              <w:left w:val="single" w:sz="4" w:space="0" w:color="000000"/>
              <w:bottom w:val="nil"/>
              <w:right w:val="nil"/>
            </w:tcBorders>
            <w:shd w:val="clear" w:color="auto" w:fill="auto"/>
            <w:noWrap/>
            <w:vAlign w:val="bottom"/>
            <w:hideMark/>
          </w:tcPr>
          <w:p w:rsidR="00821C17" w:rsidRPr="00656877" w:rsidRDefault="00821C17" w:rsidP="0080335A">
            <w:pPr>
              <w:spacing w:after="0"/>
              <w:rPr>
                <w:rFonts w:eastAsia="Times New Roman" w:cs="Times New Roman"/>
                <w:sz w:val="16"/>
                <w:szCs w:val="16"/>
              </w:rPr>
            </w:pPr>
            <w:proofErr w:type="spellStart"/>
            <w:r w:rsidRPr="00656877">
              <w:rPr>
                <w:sz w:val="16"/>
                <w:szCs w:val="16"/>
              </w:rPr>
              <w:t>Etanercept</w:t>
            </w:r>
            <w:proofErr w:type="spellEnd"/>
          </w:p>
        </w:tc>
        <w:tc>
          <w:tcPr>
            <w:tcW w:w="1134" w:type="dxa"/>
            <w:tcBorders>
              <w:top w:val="single" w:sz="4" w:space="0" w:color="000000"/>
              <w:left w:val="single" w:sz="4" w:space="0" w:color="000000"/>
              <w:bottom w:val="nil"/>
              <w:right w:val="single" w:sz="4" w:space="0" w:color="auto"/>
            </w:tcBorders>
            <w:shd w:val="clear" w:color="auto" w:fill="auto"/>
            <w:noWrap/>
            <w:vAlign w:val="bottom"/>
            <w:hideMark/>
          </w:tcPr>
          <w:p w:rsidR="00821C17" w:rsidRPr="00656877" w:rsidRDefault="00821C17" w:rsidP="0080335A">
            <w:pPr>
              <w:spacing w:after="0"/>
              <w:jc w:val="center"/>
              <w:rPr>
                <w:rFonts w:eastAsia="Times New Roman" w:cs="Times New Roman"/>
                <w:sz w:val="16"/>
                <w:szCs w:val="16"/>
              </w:rPr>
            </w:pPr>
            <w:r w:rsidRPr="00656877">
              <w:rPr>
                <w:sz w:val="16"/>
                <w:szCs w:val="16"/>
              </w:rPr>
              <w:t>From None</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1C17" w:rsidRPr="00656877" w:rsidRDefault="00821C17" w:rsidP="0080335A">
            <w:pPr>
              <w:spacing w:after="0"/>
              <w:jc w:val="center"/>
              <w:rPr>
                <w:rFonts w:eastAsia="Times New Roman" w:cs="Times New Roman"/>
                <w:sz w:val="16"/>
                <w:szCs w:val="16"/>
              </w:rPr>
            </w:pPr>
            <w:r w:rsidRPr="00656877">
              <w:rPr>
                <w:sz w:val="16"/>
                <w:szCs w:val="16"/>
              </w:rPr>
              <w:t>33</w:t>
            </w:r>
          </w:p>
        </w:tc>
        <w:tc>
          <w:tcPr>
            <w:tcW w:w="935" w:type="dxa"/>
            <w:tcBorders>
              <w:top w:val="single" w:sz="4" w:space="0" w:color="000000"/>
              <w:left w:val="single" w:sz="4" w:space="0" w:color="auto"/>
              <w:bottom w:val="nil"/>
              <w:right w:val="single" w:sz="4" w:space="0" w:color="000000"/>
            </w:tcBorders>
            <w:shd w:val="clear" w:color="auto" w:fill="auto"/>
            <w:noWrap/>
            <w:vAlign w:val="center"/>
            <w:hideMark/>
          </w:tcPr>
          <w:p w:rsidR="00821C17" w:rsidRPr="00656877" w:rsidRDefault="00821C17" w:rsidP="0080335A">
            <w:pPr>
              <w:spacing w:after="0"/>
              <w:jc w:val="center"/>
              <w:rPr>
                <w:rFonts w:eastAsia="Times New Roman" w:cs="Times New Roman"/>
                <w:sz w:val="16"/>
                <w:szCs w:val="16"/>
              </w:rPr>
            </w:pPr>
            <w:r w:rsidRPr="00656877">
              <w:rPr>
                <w:sz w:val="16"/>
                <w:szCs w:val="16"/>
              </w:rPr>
              <w:t>3.5%</w:t>
            </w:r>
          </w:p>
        </w:tc>
        <w:tc>
          <w:tcPr>
            <w:tcW w:w="766" w:type="dxa"/>
            <w:tcBorders>
              <w:top w:val="nil"/>
              <w:left w:val="nil"/>
              <w:bottom w:val="single" w:sz="4" w:space="0" w:color="auto"/>
              <w:right w:val="single" w:sz="4" w:space="0" w:color="auto"/>
            </w:tcBorders>
            <w:shd w:val="clear" w:color="auto" w:fill="auto"/>
            <w:noWrap/>
            <w:vAlign w:val="center"/>
          </w:tcPr>
          <w:p w:rsidR="00821C17" w:rsidRPr="00656877" w:rsidRDefault="00821C17" w:rsidP="0080335A">
            <w:pPr>
              <w:spacing w:after="0"/>
              <w:jc w:val="center"/>
              <w:rPr>
                <w:rFonts w:eastAsia="Times New Roman" w:cs="Times New Roman"/>
                <w:sz w:val="16"/>
                <w:szCs w:val="16"/>
              </w:rPr>
            </w:pPr>
            <w:r w:rsidRPr="00656877">
              <w:rPr>
                <w:sz w:val="16"/>
                <w:szCs w:val="16"/>
              </w:rPr>
              <w:t>8</w:t>
            </w:r>
          </w:p>
        </w:tc>
      </w:tr>
      <w:tr w:rsidR="00821C17" w:rsidRPr="00131E0E" w:rsidTr="0080335A">
        <w:trPr>
          <w:trHeight w:val="255"/>
        </w:trPr>
        <w:tc>
          <w:tcPr>
            <w:tcW w:w="2425" w:type="dxa"/>
            <w:tcBorders>
              <w:top w:val="single" w:sz="4" w:space="0" w:color="000000"/>
              <w:left w:val="single" w:sz="4" w:space="0" w:color="000000"/>
              <w:bottom w:val="nil"/>
              <w:right w:val="nil"/>
            </w:tcBorders>
            <w:shd w:val="clear" w:color="auto" w:fill="auto"/>
            <w:noWrap/>
            <w:vAlign w:val="bottom"/>
            <w:hideMark/>
          </w:tcPr>
          <w:p w:rsidR="00821C17" w:rsidRPr="00656877" w:rsidRDefault="00821C17" w:rsidP="0080335A">
            <w:pPr>
              <w:spacing w:after="0"/>
              <w:rPr>
                <w:rFonts w:eastAsia="Times New Roman" w:cs="Times New Roman"/>
                <w:sz w:val="16"/>
                <w:szCs w:val="16"/>
              </w:rPr>
            </w:pPr>
            <w:proofErr w:type="spellStart"/>
            <w:r w:rsidRPr="00656877">
              <w:rPr>
                <w:sz w:val="16"/>
                <w:szCs w:val="16"/>
              </w:rPr>
              <w:t>Methotrexate+Sulfasalazine</w:t>
            </w:r>
            <w:proofErr w:type="spellEnd"/>
          </w:p>
        </w:tc>
        <w:tc>
          <w:tcPr>
            <w:tcW w:w="3119" w:type="dxa"/>
            <w:tcBorders>
              <w:top w:val="single" w:sz="4" w:space="0" w:color="000000"/>
              <w:left w:val="single" w:sz="4" w:space="0" w:color="000000"/>
              <w:bottom w:val="nil"/>
              <w:right w:val="nil"/>
            </w:tcBorders>
            <w:shd w:val="clear" w:color="auto" w:fill="auto"/>
            <w:noWrap/>
            <w:vAlign w:val="bottom"/>
            <w:hideMark/>
          </w:tcPr>
          <w:p w:rsidR="00821C17" w:rsidRPr="00656877" w:rsidRDefault="00821C17" w:rsidP="0080335A">
            <w:pPr>
              <w:spacing w:after="0"/>
              <w:rPr>
                <w:rFonts w:eastAsia="Times New Roman" w:cs="Times New Roman"/>
                <w:sz w:val="16"/>
                <w:szCs w:val="16"/>
              </w:rPr>
            </w:pPr>
            <w:proofErr w:type="spellStart"/>
            <w:r w:rsidRPr="00656877">
              <w:rPr>
                <w:sz w:val="16"/>
                <w:szCs w:val="16"/>
              </w:rPr>
              <w:t>Adalimumab+Methotrexate</w:t>
            </w:r>
            <w:proofErr w:type="spellEnd"/>
          </w:p>
        </w:tc>
        <w:tc>
          <w:tcPr>
            <w:tcW w:w="1134" w:type="dxa"/>
            <w:tcBorders>
              <w:top w:val="single" w:sz="4" w:space="0" w:color="000000"/>
              <w:left w:val="single" w:sz="4" w:space="0" w:color="000000"/>
              <w:bottom w:val="nil"/>
              <w:right w:val="single" w:sz="4" w:space="0" w:color="auto"/>
            </w:tcBorders>
            <w:shd w:val="clear" w:color="auto" w:fill="auto"/>
            <w:noWrap/>
            <w:vAlign w:val="bottom"/>
            <w:hideMark/>
          </w:tcPr>
          <w:p w:rsidR="00821C17" w:rsidRPr="00656877" w:rsidRDefault="00821C17" w:rsidP="0080335A">
            <w:pPr>
              <w:spacing w:after="0"/>
              <w:jc w:val="center"/>
              <w:rPr>
                <w:rFonts w:eastAsia="Times New Roman" w:cs="Times New Roman"/>
                <w:sz w:val="16"/>
                <w:szCs w:val="16"/>
              </w:rPr>
            </w:pPr>
            <w:r w:rsidRPr="00656877">
              <w:rPr>
                <w:sz w:val="16"/>
                <w:szCs w:val="16"/>
              </w:rPr>
              <w:t>Switch</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1C17" w:rsidRPr="00656877" w:rsidRDefault="00821C17" w:rsidP="0080335A">
            <w:pPr>
              <w:spacing w:after="0"/>
              <w:jc w:val="center"/>
              <w:rPr>
                <w:rFonts w:eastAsia="Times New Roman" w:cs="Times New Roman"/>
                <w:sz w:val="16"/>
                <w:szCs w:val="16"/>
              </w:rPr>
            </w:pPr>
            <w:r w:rsidRPr="00656877">
              <w:rPr>
                <w:sz w:val="16"/>
                <w:szCs w:val="16"/>
              </w:rPr>
              <w:t>30</w:t>
            </w:r>
          </w:p>
        </w:tc>
        <w:tc>
          <w:tcPr>
            <w:tcW w:w="935" w:type="dxa"/>
            <w:tcBorders>
              <w:top w:val="single" w:sz="4" w:space="0" w:color="000000"/>
              <w:left w:val="single" w:sz="4" w:space="0" w:color="auto"/>
              <w:bottom w:val="nil"/>
              <w:right w:val="single" w:sz="4" w:space="0" w:color="000000"/>
            </w:tcBorders>
            <w:shd w:val="clear" w:color="auto" w:fill="auto"/>
            <w:noWrap/>
            <w:vAlign w:val="center"/>
            <w:hideMark/>
          </w:tcPr>
          <w:p w:rsidR="00821C17" w:rsidRPr="00656877" w:rsidRDefault="00821C17" w:rsidP="0080335A">
            <w:pPr>
              <w:spacing w:after="0"/>
              <w:jc w:val="center"/>
              <w:rPr>
                <w:rFonts w:eastAsia="Times New Roman" w:cs="Times New Roman"/>
                <w:sz w:val="16"/>
                <w:szCs w:val="16"/>
              </w:rPr>
            </w:pPr>
            <w:r w:rsidRPr="00656877">
              <w:rPr>
                <w:sz w:val="16"/>
                <w:szCs w:val="16"/>
              </w:rPr>
              <w:t>3.2%</w:t>
            </w:r>
          </w:p>
        </w:tc>
        <w:tc>
          <w:tcPr>
            <w:tcW w:w="766" w:type="dxa"/>
            <w:tcBorders>
              <w:top w:val="nil"/>
              <w:left w:val="nil"/>
              <w:bottom w:val="single" w:sz="4" w:space="0" w:color="auto"/>
              <w:right w:val="single" w:sz="4" w:space="0" w:color="auto"/>
            </w:tcBorders>
            <w:shd w:val="clear" w:color="auto" w:fill="auto"/>
            <w:noWrap/>
            <w:vAlign w:val="center"/>
          </w:tcPr>
          <w:p w:rsidR="00821C17" w:rsidRPr="00656877" w:rsidRDefault="00821C17" w:rsidP="0080335A">
            <w:pPr>
              <w:spacing w:after="0"/>
              <w:jc w:val="center"/>
              <w:rPr>
                <w:rFonts w:eastAsia="Times New Roman" w:cs="Times New Roman"/>
                <w:sz w:val="16"/>
                <w:szCs w:val="16"/>
              </w:rPr>
            </w:pPr>
            <w:r w:rsidRPr="00656877">
              <w:rPr>
                <w:sz w:val="16"/>
                <w:szCs w:val="16"/>
              </w:rPr>
              <w:t>9</w:t>
            </w:r>
          </w:p>
        </w:tc>
      </w:tr>
      <w:tr w:rsidR="00821C17" w:rsidRPr="00131E0E" w:rsidTr="0080335A">
        <w:trPr>
          <w:trHeight w:val="255"/>
        </w:trPr>
        <w:tc>
          <w:tcPr>
            <w:tcW w:w="2425" w:type="dxa"/>
            <w:tcBorders>
              <w:top w:val="single" w:sz="4" w:space="0" w:color="000000"/>
              <w:left w:val="single" w:sz="4" w:space="0" w:color="000000"/>
              <w:bottom w:val="nil"/>
              <w:right w:val="nil"/>
            </w:tcBorders>
            <w:shd w:val="clear" w:color="auto" w:fill="auto"/>
            <w:noWrap/>
            <w:vAlign w:val="bottom"/>
            <w:hideMark/>
          </w:tcPr>
          <w:p w:rsidR="00821C17" w:rsidRPr="00656877" w:rsidRDefault="00821C17" w:rsidP="0080335A">
            <w:pPr>
              <w:spacing w:after="0"/>
              <w:rPr>
                <w:rFonts w:eastAsia="Times New Roman" w:cs="Times New Roman"/>
                <w:sz w:val="16"/>
                <w:szCs w:val="16"/>
              </w:rPr>
            </w:pPr>
            <w:proofErr w:type="spellStart"/>
            <w:r w:rsidRPr="00656877">
              <w:rPr>
                <w:sz w:val="16"/>
                <w:szCs w:val="16"/>
              </w:rPr>
              <w:t>Leflunomide+Methotrexate</w:t>
            </w:r>
            <w:proofErr w:type="spellEnd"/>
          </w:p>
        </w:tc>
        <w:tc>
          <w:tcPr>
            <w:tcW w:w="3119" w:type="dxa"/>
            <w:tcBorders>
              <w:top w:val="single" w:sz="4" w:space="0" w:color="000000"/>
              <w:left w:val="single" w:sz="4" w:space="0" w:color="000000"/>
              <w:bottom w:val="nil"/>
              <w:right w:val="nil"/>
            </w:tcBorders>
            <w:shd w:val="clear" w:color="auto" w:fill="auto"/>
            <w:noWrap/>
            <w:vAlign w:val="bottom"/>
            <w:hideMark/>
          </w:tcPr>
          <w:p w:rsidR="00821C17" w:rsidRPr="00656877" w:rsidRDefault="00821C17" w:rsidP="0080335A">
            <w:pPr>
              <w:spacing w:after="0"/>
              <w:rPr>
                <w:rFonts w:eastAsia="Times New Roman" w:cs="Times New Roman"/>
                <w:sz w:val="16"/>
                <w:szCs w:val="16"/>
              </w:rPr>
            </w:pPr>
            <w:r w:rsidRPr="00656877">
              <w:rPr>
                <w:sz w:val="16"/>
                <w:szCs w:val="16"/>
              </w:rPr>
              <w:t>Adalimumab</w:t>
            </w:r>
          </w:p>
        </w:tc>
        <w:tc>
          <w:tcPr>
            <w:tcW w:w="1134" w:type="dxa"/>
            <w:tcBorders>
              <w:top w:val="single" w:sz="4" w:space="0" w:color="000000"/>
              <w:left w:val="single" w:sz="4" w:space="0" w:color="000000"/>
              <w:bottom w:val="nil"/>
              <w:right w:val="single" w:sz="4" w:space="0" w:color="auto"/>
            </w:tcBorders>
            <w:shd w:val="clear" w:color="auto" w:fill="auto"/>
            <w:noWrap/>
            <w:vAlign w:val="bottom"/>
            <w:hideMark/>
          </w:tcPr>
          <w:p w:rsidR="00821C17" w:rsidRPr="00656877" w:rsidRDefault="00821C17" w:rsidP="0080335A">
            <w:pPr>
              <w:spacing w:after="0"/>
              <w:jc w:val="center"/>
              <w:rPr>
                <w:rFonts w:eastAsia="Times New Roman" w:cs="Times New Roman"/>
                <w:sz w:val="16"/>
                <w:szCs w:val="16"/>
              </w:rPr>
            </w:pPr>
            <w:r w:rsidRPr="00656877">
              <w:rPr>
                <w:sz w:val="16"/>
                <w:szCs w:val="16"/>
              </w:rPr>
              <w:t>Switch</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1C17" w:rsidRPr="00656877" w:rsidRDefault="00821C17" w:rsidP="0080335A">
            <w:pPr>
              <w:spacing w:after="0"/>
              <w:jc w:val="center"/>
              <w:rPr>
                <w:rFonts w:eastAsia="Times New Roman" w:cs="Times New Roman"/>
                <w:sz w:val="16"/>
                <w:szCs w:val="16"/>
              </w:rPr>
            </w:pPr>
            <w:r w:rsidRPr="00656877">
              <w:rPr>
                <w:sz w:val="16"/>
                <w:szCs w:val="16"/>
              </w:rPr>
              <w:t>28</w:t>
            </w:r>
          </w:p>
        </w:tc>
        <w:tc>
          <w:tcPr>
            <w:tcW w:w="935" w:type="dxa"/>
            <w:tcBorders>
              <w:top w:val="single" w:sz="4" w:space="0" w:color="000000"/>
              <w:left w:val="single" w:sz="4" w:space="0" w:color="auto"/>
              <w:bottom w:val="nil"/>
              <w:right w:val="single" w:sz="4" w:space="0" w:color="000000"/>
            </w:tcBorders>
            <w:shd w:val="clear" w:color="auto" w:fill="auto"/>
            <w:noWrap/>
            <w:vAlign w:val="center"/>
            <w:hideMark/>
          </w:tcPr>
          <w:p w:rsidR="00821C17" w:rsidRPr="00656877" w:rsidRDefault="00821C17" w:rsidP="0080335A">
            <w:pPr>
              <w:spacing w:after="0"/>
              <w:jc w:val="center"/>
              <w:rPr>
                <w:rFonts w:eastAsia="Times New Roman" w:cs="Times New Roman"/>
                <w:sz w:val="16"/>
                <w:szCs w:val="16"/>
              </w:rPr>
            </w:pPr>
            <w:r w:rsidRPr="00656877">
              <w:rPr>
                <w:sz w:val="16"/>
                <w:szCs w:val="16"/>
              </w:rPr>
              <w:t>3.0%</w:t>
            </w:r>
          </w:p>
        </w:tc>
        <w:tc>
          <w:tcPr>
            <w:tcW w:w="766" w:type="dxa"/>
            <w:tcBorders>
              <w:top w:val="nil"/>
              <w:left w:val="nil"/>
              <w:bottom w:val="single" w:sz="4" w:space="0" w:color="auto"/>
              <w:right w:val="single" w:sz="4" w:space="0" w:color="auto"/>
            </w:tcBorders>
            <w:shd w:val="clear" w:color="auto" w:fill="auto"/>
            <w:noWrap/>
            <w:vAlign w:val="center"/>
          </w:tcPr>
          <w:p w:rsidR="00821C17" w:rsidRPr="00656877" w:rsidRDefault="00821C17" w:rsidP="0080335A">
            <w:pPr>
              <w:spacing w:after="0"/>
              <w:jc w:val="center"/>
              <w:rPr>
                <w:rFonts w:eastAsia="Times New Roman" w:cs="Times New Roman"/>
                <w:sz w:val="16"/>
                <w:szCs w:val="16"/>
              </w:rPr>
            </w:pPr>
            <w:r w:rsidRPr="00656877">
              <w:rPr>
                <w:sz w:val="16"/>
                <w:szCs w:val="16"/>
              </w:rPr>
              <w:t>10</w:t>
            </w:r>
          </w:p>
        </w:tc>
      </w:tr>
      <w:tr w:rsidR="00821C17" w:rsidRPr="00131E0E" w:rsidTr="0080335A">
        <w:trPr>
          <w:trHeight w:val="255"/>
        </w:trPr>
        <w:tc>
          <w:tcPr>
            <w:tcW w:w="2425" w:type="dxa"/>
            <w:tcBorders>
              <w:top w:val="single" w:sz="4" w:space="0" w:color="000000"/>
              <w:left w:val="single" w:sz="4" w:space="0" w:color="000000"/>
              <w:bottom w:val="nil"/>
              <w:right w:val="nil"/>
            </w:tcBorders>
            <w:shd w:val="clear" w:color="auto" w:fill="auto"/>
            <w:noWrap/>
            <w:vAlign w:val="bottom"/>
            <w:hideMark/>
          </w:tcPr>
          <w:p w:rsidR="00821C17" w:rsidRPr="00656877" w:rsidRDefault="00821C17" w:rsidP="0080335A">
            <w:pPr>
              <w:spacing w:after="0"/>
              <w:rPr>
                <w:rFonts w:eastAsia="Times New Roman" w:cs="Times New Roman"/>
                <w:sz w:val="16"/>
                <w:szCs w:val="16"/>
              </w:rPr>
            </w:pPr>
            <w:proofErr w:type="spellStart"/>
            <w:r w:rsidRPr="00656877">
              <w:rPr>
                <w:sz w:val="16"/>
                <w:szCs w:val="16"/>
              </w:rPr>
              <w:t>Methotrexate+Sulfasalazine</w:t>
            </w:r>
            <w:proofErr w:type="spellEnd"/>
          </w:p>
        </w:tc>
        <w:tc>
          <w:tcPr>
            <w:tcW w:w="3119" w:type="dxa"/>
            <w:tcBorders>
              <w:top w:val="single" w:sz="4" w:space="0" w:color="000000"/>
              <w:left w:val="single" w:sz="4" w:space="0" w:color="000000"/>
              <w:bottom w:val="nil"/>
              <w:right w:val="nil"/>
            </w:tcBorders>
            <w:shd w:val="clear" w:color="auto" w:fill="auto"/>
            <w:noWrap/>
            <w:vAlign w:val="bottom"/>
            <w:hideMark/>
          </w:tcPr>
          <w:p w:rsidR="00821C17" w:rsidRPr="00656877" w:rsidRDefault="00821C17" w:rsidP="0080335A">
            <w:pPr>
              <w:spacing w:after="0"/>
              <w:rPr>
                <w:rFonts w:eastAsia="Times New Roman" w:cs="Times New Roman"/>
                <w:sz w:val="16"/>
                <w:szCs w:val="16"/>
              </w:rPr>
            </w:pPr>
            <w:r w:rsidRPr="00656877">
              <w:rPr>
                <w:sz w:val="16"/>
                <w:szCs w:val="16"/>
              </w:rPr>
              <w:t>Adalimumab</w:t>
            </w:r>
          </w:p>
        </w:tc>
        <w:tc>
          <w:tcPr>
            <w:tcW w:w="1134" w:type="dxa"/>
            <w:tcBorders>
              <w:top w:val="single" w:sz="4" w:space="0" w:color="000000"/>
              <w:left w:val="single" w:sz="4" w:space="0" w:color="000000"/>
              <w:bottom w:val="nil"/>
              <w:right w:val="single" w:sz="4" w:space="0" w:color="auto"/>
            </w:tcBorders>
            <w:shd w:val="clear" w:color="auto" w:fill="auto"/>
            <w:noWrap/>
            <w:vAlign w:val="bottom"/>
            <w:hideMark/>
          </w:tcPr>
          <w:p w:rsidR="00821C17" w:rsidRPr="00656877" w:rsidRDefault="00821C17" w:rsidP="0080335A">
            <w:pPr>
              <w:spacing w:after="0"/>
              <w:jc w:val="center"/>
              <w:rPr>
                <w:rFonts w:eastAsia="Times New Roman" w:cs="Times New Roman"/>
                <w:sz w:val="16"/>
                <w:szCs w:val="16"/>
              </w:rPr>
            </w:pPr>
            <w:r w:rsidRPr="00656877">
              <w:rPr>
                <w:sz w:val="16"/>
                <w:szCs w:val="16"/>
              </w:rPr>
              <w:t>Switch</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1C17" w:rsidRPr="00656877" w:rsidRDefault="00821C17" w:rsidP="0080335A">
            <w:pPr>
              <w:spacing w:after="0"/>
              <w:jc w:val="center"/>
              <w:rPr>
                <w:rFonts w:eastAsia="Times New Roman" w:cs="Times New Roman"/>
                <w:sz w:val="16"/>
                <w:szCs w:val="16"/>
              </w:rPr>
            </w:pPr>
            <w:r w:rsidRPr="00656877">
              <w:rPr>
                <w:sz w:val="16"/>
                <w:szCs w:val="16"/>
              </w:rPr>
              <w:t>28</w:t>
            </w:r>
          </w:p>
        </w:tc>
        <w:tc>
          <w:tcPr>
            <w:tcW w:w="935" w:type="dxa"/>
            <w:tcBorders>
              <w:top w:val="single" w:sz="4" w:space="0" w:color="000000"/>
              <w:left w:val="single" w:sz="4" w:space="0" w:color="auto"/>
              <w:bottom w:val="nil"/>
              <w:right w:val="single" w:sz="4" w:space="0" w:color="000000"/>
            </w:tcBorders>
            <w:shd w:val="clear" w:color="auto" w:fill="auto"/>
            <w:noWrap/>
            <w:vAlign w:val="center"/>
            <w:hideMark/>
          </w:tcPr>
          <w:p w:rsidR="00821C17" w:rsidRPr="00656877" w:rsidRDefault="00821C17" w:rsidP="0080335A">
            <w:pPr>
              <w:spacing w:after="0"/>
              <w:jc w:val="center"/>
              <w:rPr>
                <w:rFonts w:eastAsia="Times New Roman" w:cs="Times New Roman"/>
                <w:sz w:val="16"/>
                <w:szCs w:val="16"/>
              </w:rPr>
            </w:pPr>
            <w:r w:rsidRPr="00656877">
              <w:rPr>
                <w:sz w:val="16"/>
                <w:szCs w:val="16"/>
              </w:rPr>
              <w:t>3.0%</w:t>
            </w:r>
          </w:p>
        </w:tc>
        <w:tc>
          <w:tcPr>
            <w:tcW w:w="766" w:type="dxa"/>
            <w:tcBorders>
              <w:top w:val="nil"/>
              <w:left w:val="nil"/>
              <w:bottom w:val="single" w:sz="4" w:space="0" w:color="auto"/>
              <w:right w:val="single" w:sz="4" w:space="0" w:color="auto"/>
            </w:tcBorders>
            <w:shd w:val="clear" w:color="auto" w:fill="auto"/>
            <w:noWrap/>
            <w:vAlign w:val="center"/>
          </w:tcPr>
          <w:p w:rsidR="00821C17" w:rsidRPr="00656877" w:rsidRDefault="00821C17" w:rsidP="0080335A">
            <w:pPr>
              <w:spacing w:after="0"/>
              <w:jc w:val="center"/>
              <w:rPr>
                <w:rFonts w:eastAsia="Times New Roman" w:cs="Times New Roman"/>
                <w:sz w:val="16"/>
                <w:szCs w:val="16"/>
              </w:rPr>
            </w:pPr>
            <w:r w:rsidRPr="00656877">
              <w:rPr>
                <w:sz w:val="16"/>
                <w:szCs w:val="16"/>
              </w:rPr>
              <w:t>11</w:t>
            </w:r>
          </w:p>
        </w:tc>
      </w:tr>
      <w:tr w:rsidR="00821C17" w:rsidRPr="00131E0E" w:rsidTr="0080335A">
        <w:trPr>
          <w:trHeight w:val="255"/>
        </w:trPr>
        <w:tc>
          <w:tcPr>
            <w:tcW w:w="2425" w:type="dxa"/>
            <w:tcBorders>
              <w:top w:val="single" w:sz="4" w:space="0" w:color="000000"/>
              <w:left w:val="single" w:sz="4" w:space="0" w:color="000000"/>
              <w:bottom w:val="nil"/>
              <w:right w:val="nil"/>
            </w:tcBorders>
            <w:shd w:val="clear" w:color="auto" w:fill="auto"/>
            <w:noWrap/>
            <w:vAlign w:val="bottom"/>
            <w:hideMark/>
          </w:tcPr>
          <w:p w:rsidR="00821C17" w:rsidRPr="00656877" w:rsidRDefault="00821C17" w:rsidP="0080335A">
            <w:pPr>
              <w:spacing w:after="0"/>
              <w:rPr>
                <w:rFonts w:eastAsia="Times New Roman" w:cs="Times New Roman"/>
                <w:sz w:val="16"/>
                <w:szCs w:val="16"/>
              </w:rPr>
            </w:pPr>
            <w:r w:rsidRPr="00656877">
              <w:rPr>
                <w:sz w:val="16"/>
                <w:szCs w:val="16"/>
              </w:rPr>
              <w:t>Methotrexate</w:t>
            </w:r>
          </w:p>
        </w:tc>
        <w:tc>
          <w:tcPr>
            <w:tcW w:w="3119" w:type="dxa"/>
            <w:tcBorders>
              <w:top w:val="single" w:sz="4" w:space="0" w:color="000000"/>
              <w:left w:val="single" w:sz="4" w:space="0" w:color="000000"/>
              <w:bottom w:val="nil"/>
              <w:right w:val="nil"/>
            </w:tcBorders>
            <w:shd w:val="clear" w:color="auto" w:fill="auto"/>
            <w:noWrap/>
            <w:vAlign w:val="bottom"/>
            <w:hideMark/>
          </w:tcPr>
          <w:p w:rsidR="00821C17" w:rsidRPr="00656877" w:rsidRDefault="00821C17" w:rsidP="0080335A">
            <w:pPr>
              <w:spacing w:after="0"/>
              <w:rPr>
                <w:rFonts w:eastAsia="Times New Roman" w:cs="Times New Roman"/>
                <w:sz w:val="16"/>
                <w:szCs w:val="16"/>
              </w:rPr>
            </w:pPr>
            <w:proofErr w:type="spellStart"/>
            <w:r w:rsidRPr="00656877">
              <w:rPr>
                <w:sz w:val="16"/>
                <w:szCs w:val="16"/>
              </w:rPr>
              <w:t>Etanercept+Methotrexate</w:t>
            </w:r>
            <w:proofErr w:type="spellEnd"/>
          </w:p>
        </w:tc>
        <w:tc>
          <w:tcPr>
            <w:tcW w:w="1134" w:type="dxa"/>
            <w:tcBorders>
              <w:top w:val="single" w:sz="4" w:space="0" w:color="000000"/>
              <w:left w:val="single" w:sz="4" w:space="0" w:color="000000"/>
              <w:bottom w:val="nil"/>
              <w:right w:val="single" w:sz="4" w:space="0" w:color="auto"/>
            </w:tcBorders>
            <w:shd w:val="clear" w:color="auto" w:fill="auto"/>
            <w:noWrap/>
            <w:vAlign w:val="bottom"/>
            <w:hideMark/>
          </w:tcPr>
          <w:p w:rsidR="00821C17" w:rsidRPr="00656877" w:rsidRDefault="00821C17" w:rsidP="0080335A">
            <w:pPr>
              <w:spacing w:after="0"/>
              <w:jc w:val="center"/>
              <w:rPr>
                <w:rFonts w:eastAsia="Times New Roman" w:cs="Times New Roman"/>
                <w:sz w:val="16"/>
                <w:szCs w:val="16"/>
              </w:rPr>
            </w:pPr>
            <w:r w:rsidRPr="00656877">
              <w:rPr>
                <w:sz w:val="16"/>
                <w:szCs w:val="16"/>
              </w:rPr>
              <w:t>Add</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1C17" w:rsidRPr="00656877" w:rsidRDefault="00821C17" w:rsidP="0080335A">
            <w:pPr>
              <w:spacing w:after="0"/>
              <w:jc w:val="center"/>
              <w:rPr>
                <w:rFonts w:eastAsia="Times New Roman" w:cs="Times New Roman"/>
                <w:sz w:val="16"/>
                <w:szCs w:val="16"/>
              </w:rPr>
            </w:pPr>
            <w:r w:rsidRPr="00656877">
              <w:rPr>
                <w:sz w:val="16"/>
                <w:szCs w:val="16"/>
              </w:rPr>
              <w:t>28</w:t>
            </w:r>
          </w:p>
        </w:tc>
        <w:tc>
          <w:tcPr>
            <w:tcW w:w="935" w:type="dxa"/>
            <w:tcBorders>
              <w:top w:val="single" w:sz="4" w:space="0" w:color="000000"/>
              <w:left w:val="single" w:sz="4" w:space="0" w:color="auto"/>
              <w:bottom w:val="nil"/>
              <w:right w:val="single" w:sz="4" w:space="0" w:color="000000"/>
            </w:tcBorders>
            <w:shd w:val="clear" w:color="auto" w:fill="auto"/>
            <w:noWrap/>
            <w:vAlign w:val="center"/>
            <w:hideMark/>
          </w:tcPr>
          <w:p w:rsidR="00821C17" w:rsidRPr="00656877" w:rsidRDefault="00821C17" w:rsidP="0080335A">
            <w:pPr>
              <w:spacing w:after="0"/>
              <w:jc w:val="center"/>
              <w:rPr>
                <w:rFonts w:eastAsia="Times New Roman" w:cs="Times New Roman"/>
                <w:sz w:val="16"/>
                <w:szCs w:val="16"/>
              </w:rPr>
            </w:pPr>
            <w:r w:rsidRPr="00656877">
              <w:rPr>
                <w:sz w:val="16"/>
                <w:szCs w:val="16"/>
              </w:rPr>
              <w:t>3.0%</w:t>
            </w:r>
          </w:p>
        </w:tc>
        <w:tc>
          <w:tcPr>
            <w:tcW w:w="766" w:type="dxa"/>
            <w:tcBorders>
              <w:top w:val="nil"/>
              <w:left w:val="nil"/>
              <w:bottom w:val="single" w:sz="4" w:space="0" w:color="auto"/>
              <w:right w:val="single" w:sz="4" w:space="0" w:color="auto"/>
            </w:tcBorders>
            <w:shd w:val="clear" w:color="auto" w:fill="auto"/>
            <w:noWrap/>
            <w:vAlign w:val="center"/>
          </w:tcPr>
          <w:p w:rsidR="00821C17" w:rsidRPr="00656877" w:rsidRDefault="00821C17" w:rsidP="0080335A">
            <w:pPr>
              <w:spacing w:after="0"/>
              <w:jc w:val="center"/>
              <w:rPr>
                <w:rFonts w:eastAsia="Times New Roman" w:cs="Times New Roman"/>
                <w:sz w:val="16"/>
                <w:szCs w:val="16"/>
              </w:rPr>
            </w:pPr>
            <w:r w:rsidRPr="00656877">
              <w:rPr>
                <w:sz w:val="16"/>
                <w:szCs w:val="16"/>
              </w:rPr>
              <w:t>12</w:t>
            </w:r>
          </w:p>
        </w:tc>
      </w:tr>
      <w:tr w:rsidR="00821C17" w:rsidRPr="00131E0E" w:rsidTr="0080335A">
        <w:trPr>
          <w:trHeight w:val="255"/>
        </w:trPr>
        <w:tc>
          <w:tcPr>
            <w:tcW w:w="2425" w:type="dxa"/>
            <w:tcBorders>
              <w:top w:val="single" w:sz="4" w:space="0" w:color="000000"/>
              <w:left w:val="single" w:sz="4" w:space="0" w:color="000000"/>
              <w:bottom w:val="nil"/>
              <w:right w:val="nil"/>
            </w:tcBorders>
            <w:shd w:val="clear" w:color="auto" w:fill="auto"/>
            <w:noWrap/>
            <w:vAlign w:val="bottom"/>
            <w:hideMark/>
          </w:tcPr>
          <w:p w:rsidR="00821C17" w:rsidRPr="00656877" w:rsidRDefault="00821C17" w:rsidP="0080335A">
            <w:pPr>
              <w:spacing w:after="0"/>
              <w:rPr>
                <w:rFonts w:eastAsia="Times New Roman" w:cs="Times New Roman"/>
                <w:sz w:val="16"/>
                <w:szCs w:val="16"/>
              </w:rPr>
            </w:pPr>
            <w:r w:rsidRPr="00656877">
              <w:rPr>
                <w:sz w:val="16"/>
                <w:szCs w:val="16"/>
              </w:rPr>
              <w:t>None</w:t>
            </w:r>
          </w:p>
        </w:tc>
        <w:tc>
          <w:tcPr>
            <w:tcW w:w="3119" w:type="dxa"/>
            <w:tcBorders>
              <w:top w:val="single" w:sz="4" w:space="0" w:color="000000"/>
              <w:left w:val="single" w:sz="4" w:space="0" w:color="000000"/>
              <w:bottom w:val="nil"/>
              <w:right w:val="nil"/>
            </w:tcBorders>
            <w:shd w:val="clear" w:color="auto" w:fill="auto"/>
            <w:noWrap/>
            <w:vAlign w:val="bottom"/>
            <w:hideMark/>
          </w:tcPr>
          <w:p w:rsidR="00821C17" w:rsidRPr="00656877" w:rsidRDefault="00821C17" w:rsidP="0080335A">
            <w:pPr>
              <w:spacing w:after="0"/>
              <w:rPr>
                <w:rFonts w:eastAsia="Times New Roman" w:cs="Times New Roman"/>
                <w:sz w:val="16"/>
                <w:szCs w:val="16"/>
              </w:rPr>
            </w:pPr>
            <w:proofErr w:type="spellStart"/>
            <w:r w:rsidRPr="00656877">
              <w:rPr>
                <w:sz w:val="16"/>
                <w:szCs w:val="16"/>
              </w:rPr>
              <w:t>Golimumab</w:t>
            </w:r>
            <w:proofErr w:type="spellEnd"/>
          </w:p>
        </w:tc>
        <w:tc>
          <w:tcPr>
            <w:tcW w:w="1134" w:type="dxa"/>
            <w:tcBorders>
              <w:top w:val="single" w:sz="4" w:space="0" w:color="000000"/>
              <w:left w:val="single" w:sz="4" w:space="0" w:color="000000"/>
              <w:bottom w:val="nil"/>
              <w:right w:val="single" w:sz="4" w:space="0" w:color="auto"/>
            </w:tcBorders>
            <w:shd w:val="clear" w:color="auto" w:fill="auto"/>
            <w:noWrap/>
            <w:vAlign w:val="bottom"/>
            <w:hideMark/>
          </w:tcPr>
          <w:p w:rsidR="00821C17" w:rsidRPr="00656877" w:rsidRDefault="00821C17" w:rsidP="0080335A">
            <w:pPr>
              <w:spacing w:after="0"/>
              <w:jc w:val="center"/>
              <w:rPr>
                <w:rFonts w:eastAsia="Times New Roman" w:cs="Times New Roman"/>
                <w:sz w:val="16"/>
                <w:szCs w:val="16"/>
              </w:rPr>
            </w:pPr>
            <w:r w:rsidRPr="00656877">
              <w:rPr>
                <w:sz w:val="16"/>
                <w:szCs w:val="16"/>
              </w:rPr>
              <w:t>From None</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1C17" w:rsidRPr="00656877" w:rsidRDefault="00821C17" w:rsidP="0080335A">
            <w:pPr>
              <w:spacing w:after="0"/>
              <w:jc w:val="center"/>
              <w:rPr>
                <w:rFonts w:eastAsia="Times New Roman" w:cs="Times New Roman"/>
                <w:sz w:val="16"/>
                <w:szCs w:val="16"/>
              </w:rPr>
            </w:pPr>
            <w:r w:rsidRPr="00656877">
              <w:rPr>
                <w:sz w:val="16"/>
                <w:szCs w:val="16"/>
              </w:rPr>
              <w:t>26</w:t>
            </w:r>
          </w:p>
        </w:tc>
        <w:tc>
          <w:tcPr>
            <w:tcW w:w="935" w:type="dxa"/>
            <w:tcBorders>
              <w:top w:val="single" w:sz="4" w:space="0" w:color="000000"/>
              <w:left w:val="single" w:sz="4" w:space="0" w:color="auto"/>
              <w:bottom w:val="nil"/>
              <w:right w:val="single" w:sz="4" w:space="0" w:color="000000"/>
            </w:tcBorders>
            <w:shd w:val="clear" w:color="auto" w:fill="auto"/>
            <w:noWrap/>
            <w:vAlign w:val="center"/>
            <w:hideMark/>
          </w:tcPr>
          <w:p w:rsidR="00821C17" w:rsidRPr="00656877" w:rsidRDefault="00821C17" w:rsidP="0080335A">
            <w:pPr>
              <w:spacing w:after="0"/>
              <w:jc w:val="center"/>
              <w:rPr>
                <w:rFonts w:eastAsia="Times New Roman" w:cs="Times New Roman"/>
                <w:sz w:val="16"/>
                <w:szCs w:val="16"/>
              </w:rPr>
            </w:pPr>
            <w:r w:rsidRPr="00656877">
              <w:rPr>
                <w:sz w:val="16"/>
                <w:szCs w:val="16"/>
              </w:rPr>
              <w:t>2.8%</w:t>
            </w:r>
          </w:p>
        </w:tc>
        <w:tc>
          <w:tcPr>
            <w:tcW w:w="766" w:type="dxa"/>
            <w:tcBorders>
              <w:top w:val="nil"/>
              <w:left w:val="nil"/>
              <w:bottom w:val="single" w:sz="4" w:space="0" w:color="auto"/>
              <w:right w:val="single" w:sz="4" w:space="0" w:color="auto"/>
            </w:tcBorders>
            <w:shd w:val="clear" w:color="auto" w:fill="auto"/>
            <w:noWrap/>
            <w:vAlign w:val="center"/>
          </w:tcPr>
          <w:p w:rsidR="00821C17" w:rsidRPr="00656877" w:rsidRDefault="00821C17" w:rsidP="0080335A">
            <w:pPr>
              <w:spacing w:after="0"/>
              <w:jc w:val="center"/>
              <w:rPr>
                <w:rFonts w:eastAsia="Times New Roman" w:cs="Times New Roman"/>
                <w:sz w:val="16"/>
                <w:szCs w:val="16"/>
              </w:rPr>
            </w:pPr>
            <w:r w:rsidRPr="00656877">
              <w:rPr>
                <w:sz w:val="16"/>
                <w:szCs w:val="16"/>
              </w:rPr>
              <w:t>13</w:t>
            </w:r>
          </w:p>
        </w:tc>
      </w:tr>
      <w:tr w:rsidR="00821C17" w:rsidRPr="00131E0E" w:rsidTr="0080335A">
        <w:trPr>
          <w:trHeight w:val="255"/>
        </w:trPr>
        <w:tc>
          <w:tcPr>
            <w:tcW w:w="2425" w:type="dxa"/>
            <w:tcBorders>
              <w:top w:val="single" w:sz="4" w:space="0" w:color="000000"/>
              <w:left w:val="single" w:sz="4" w:space="0" w:color="000000"/>
              <w:bottom w:val="nil"/>
              <w:right w:val="nil"/>
            </w:tcBorders>
            <w:shd w:val="clear" w:color="auto" w:fill="auto"/>
            <w:noWrap/>
            <w:vAlign w:val="bottom"/>
            <w:hideMark/>
          </w:tcPr>
          <w:p w:rsidR="00821C17" w:rsidRPr="00656877" w:rsidRDefault="00821C17" w:rsidP="0080335A">
            <w:pPr>
              <w:spacing w:after="0"/>
              <w:rPr>
                <w:rFonts w:eastAsia="Times New Roman" w:cs="Times New Roman"/>
                <w:sz w:val="16"/>
                <w:szCs w:val="16"/>
              </w:rPr>
            </w:pPr>
            <w:r w:rsidRPr="00656877">
              <w:rPr>
                <w:sz w:val="16"/>
                <w:szCs w:val="16"/>
              </w:rPr>
              <w:t>Methotrexate</w:t>
            </w:r>
          </w:p>
        </w:tc>
        <w:tc>
          <w:tcPr>
            <w:tcW w:w="3119" w:type="dxa"/>
            <w:tcBorders>
              <w:top w:val="single" w:sz="4" w:space="0" w:color="000000"/>
              <w:left w:val="single" w:sz="4" w:space="0" w:color="000000"/>
              <w:bottom w:val="nil"/>
              <w:right w:val="nil"/>
            </w:tcBorders>
            <w:shd w:val="clear" w:color="auto" w:fill="auto"/>
            <w:noWrap/>
            <w:vAlign w:val="bottom"/>
            <w:hideMark/>
          </w:tcPr>
          <w:p w:rsidR="00821C17" w:rsidRPr="00656877" w:rsidRDefault="00821C17" w:rsidP="0080335A">
            <w:pPr>
              <w:spacing w:after="0"/>
              <w:rPr>
                <w:rFonts w:eastAsia="Times New Roman" w:cs="Times New Roman"/>
                <w:sz w:val="16"/>
                <w:szCs w:val="16"/>
              </w:rPr>
            </w:pPr>
            <w:proofErr w:type="spellStart"/>
            <w:r w:rsidRPr="00656877">
              <w:rPr>
                <w:sz w:val="16"/>
                <w:szCs w:val="16"/>
              </w:rPr>
              <w:t>Golimumab</w:t>
            </w:r>
            <w:proofErr w:type="spellEnd"/>
          </w:p>
        </w:tc>
        <w:tc>
          <w:tcPr>
            <w:tcW w:w="1134" w:type="dxa"/>
            <w:tcBorders>
              <w:top w:val="single" w:sz="4" w:space="0" w:color="000000"/>
              <w:left w:val="single" w:sz="4" w:space="0" w:color="000000"/>
              <w:bottom w:val="nil"/>
              <w:right w:val="single" w:sz="4" w:space="0" w:color="auto"/>
            </w:tcBorders>
            <w:shd w:val="clear" w:color="auto" w:fill="auto"/>
            <w:noWrap/>
            <w:vAlign w:val="bottom"/>
            <w:hideMark/>
          </w:tcPr>
          <w:p w:rsidR="00821C17" w:rsidRPr="00656877" w:rsidRDefault="00821C17" w:rsidP="0080335A">
            <w:pPr>
              <w:spacing w:after="0"/>
              <w:jc w:val="center"/>
              <w:rPr>
                <w:rFonts w:eastAsia="Times New Roman" w:cs="Times New Roman"/>
                <w:sz w:val="16"/>
                <w:szCs w:val="16"/>
              </w:rPr>
            </w:pPr>
            <w:r w:rsidRPr="00656877">
              <w:rPr>
                <w:sz w:val="16"/>
                <w:szCs w:val="16"/>
              </w:rPr>
              <w:t>Switch</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1C17" w:rsidRPr="00656877" w:rsidRDefault="00821C17" w:rsidP="0080335A">
            <w:pPr>
              <w:spacing w:after="0"/>
              <w:jc w:val="center"/>
              <w:rPr>
                <w:rFonts w:eastAsia="Times New Roman" w:cs="Times New Roman"/>
                <w:sz w:val="16"/>
                <w:szCs w:val="16"/>
              </w:rPr>
            </w:pPr>
            <w:r w:rsidRPr="00656877">
              <w:rPr>
                <w:sz w:val="16"/>
                <w:szCs w:val="16"/>
              </w:rPr>
              <w:t>25</w:t>
            </w:r>
          </w:p>
        </w:tc>
        <w:tc>
          <w:tcPr>
            <w:tcW w:w="935" w:type="dxa"/>
            <w:tcBorders>
              <w:top w:val="single" w:sz="4" w:space="0" w:color="000000"/>
              <w:left w:val="single" w:sz="4" w:space="0" w:color="auto"/>
              <w:bottom w:val="nil"/>
              <w:right w:val="single" w:sz="4" w:space="0" w:color="000000"/>
            </w:tcBorders>
            <w:shd w:val="clear" w:color="auto" w:fill="auto"/>
            <w:noWrap/>
            <w:vAlign w:val="center"/>
            <w:hideMark/>
          </w:tcPr>
          <w:p w:rsidR="00821C17" w:rsidRPr="00656877" w:rsidRDefault="00821C17" w:rsidP="0080335A">
            <w:pPr>
              <w:spacing w:after="0"/>
              <w:jc w:val="center"/>
              <w:rPr>
                <w:rFonts w:eastAsia="Times New Roman" w:cs="Times New Roman"/>
                <w:sz w:val="16"/>
                <w:szCs w:val="16"/>
              </w:rPr>
            </w:pPr>
            <w:r w:rsidRPr="00656877">
              <w:rPr>
                <w:sz w:val="16"/>
                <w:szCs w:val="16"/>
              </w:rPr>
              <w:t>2.7%</w:t>
            </w:r>
          </w:p>
        </w:tc>
        <w:tc>
          <w:tcPr>
            <w:tcW w:w="766" w:type="dxa"/>
            <w:tcBorders>
              <w:top w:val="nil"/>
              <w:left w:val="nil"/>
              <w:bottom w:val="single" w:sz="4" w:space="0" w:color="auto"/>
              <w:right w:val="single" w:sz="4" w:space="0" w:color="auto"/>
            </w:tcBorders>
            <w:shd w:val="clear" w:color="auto" w:fill="auto"/>
            <w:noWrap/>
            <w:vAlign w:val="center"/>
          </w:tcPr>
          <w:p w:rsidR="00821C17" w:rsidRPr="00656877" w:rsidRDefault="00821C17" w:rsidP="0080335A">
            <w:pPr>
              <w:spacing w:after="0"/>
              <w:jc w:val="center"/>
              <w:rPr>
                <w:rFonts w:eastAsia="Times New Roman" w:cs="Times New Roman"/>
                <w:sz w:val="16"/>
                <w:szCs w:val="16"/>
              </w:rPr>
            </w:pPr>
            <w:r w:rsidRPr="00656877">
              <w:rPr>
                <w:sz w:val="16"/>
                <w:szCs w:val="16"/>
              </w:rPr>
              <w:t>14</w:t>
            </w:r>
          </w:p>
        </w:tc>
      </w:tr>
      <w:tr w:rsidR="00821C17" w:rsidRPr="00131E0E" w:rsidTr="0080335A">
        <w:trPr>
          <w:trHeight w:val="255"/>
        </w:trPr>
        <w:tc>
          <w:tcPr>
            <w:tcW w:w="2425" w:type="dxa"/>
            <w:tcBorders>
              <w:top w:val="single" w:sz="4" w:space="0" w:color="000000"/>
              <w:left w:val="single" w:sz="4" w:space="0" w:color="000000"/>
              <w:bottom w:val="nil"/>
              <w:right w:val="nil"/>
            </w:tcBorders>
            <w:shd w:val="clear" w:color="auto" w:fill="auto"/>
            <w:noWrap/>
            <w:vAlign w:val="bottom"/>
            <w:hideMark/>
          </w:tcPr>
          <w:p w:rsidR="00821C17" w:rsidRPr="00656877" w:rsidRDefault="00821C17" w:rsidP="0080335A">
            <w:pPr>
              <w:spacing w:after="0"/>
              <w:rPr>
                <w:rFonts w:eastAsia="Times New Roman" w:cs="Times New Roman"/>
                <w:sz w:val="16"/>
                <w:szCs w:val="16"/>
              </w:rPr>
            </w:pPr>
            <w:r w:rsidRPr="00656877">
              <w:rPr>
                <w:sz w:val="16"/>
                <w:szCs w:val="16"/>
              </w:rPr>
              <w:t>Methotrexate</w:t>
            </w:r>
          </w:p>
        </w:tc>
        <w:tc>
          <w:tcPr>
            <w:tcW w:w="3119" w:type="dxa"/>
            <w:tcBorders>
              <w:top w:val="single" w:sz="4" w:space="0" w:color="000000"/>
              <w:left w:val="single" w:sz="4" w:space="0" w:color="000000"/>
              <w:bottom w:val="nil"/>
              <w:right w:val="nil"/>
            </w:tcBorders>
            <w:shd w:val="clear" w:color="auto" w:fill="auto"/>
            <w:noWrap/>
            <w:vAlign w:val="bottom"/>
            <w:hideMark/>
          </w:tcPr>
          <w:p w:rsidR="00821C17" w:rsidRPr="00656877" w:rsidRDefault="00821C17" w:rsidP="0080335A">
            <w:pPr>
              <w:spacing w:after="0"/>
              <w:rPr>
                <w:rFonts w:eastAsia="Times New Roman" w:cs="Times New Roman"/>
                <w:sz w:val="16"/>
                <w:szCs w:val="16"/>
              </w:rPr>
            </w:pPr>
            <w:proofErr w:type="spellStart"/>
            <w:r w:rsidRPr="00656877">
              <w:rPr>
                <w:sz w:val="16"/>
                <w:szCs w:val="16"/>
              </w:rPr>
              <w:t>Golimumab+Methotrexate</w:t>
            </w:r>
            <w:proofErr w:type="spellEnd"/>
          </w:p>
        </w:tc>
        <w:tc>
          <w:tcPr>
            <w:tcW w:w="1134" w:type="dxa"/>
            <w:tcBorders>
              <w:top w:val="single" w:sz="4" w:space="0" w:color="000000"/>
              <w:left w:val="single" w:sz="4" w:space="0" w:color="000000"/>
              <w:bottom w:val="nil"/>
              <w:right w:val="single" w:sz="4" w:space="0" w:color="auto"/>
            </w:tcBorders>
            <w:shd w:val="clear" w:color="auto" w:fill="auto"/>
            <w:noWrap/>
            <w:vAlign w:val="bottom"/>
            <w:hideMark/>
          </w:tcPr>
          <w:p w:rsidR="00821C17" w:rsidRPr="00656877" w:rsidRDefault="00821C17" w:rsidP="0080335A">
            <w:pPr>
              <w:spacing w:after="0"/>
              <w:jc w:val="center"/>
              <w:rPr>
                <w:rFonts w:eastAsia="Times New Roman" w:cs="Times New Roman"/>
                <w:sz w:val="16"/>
                <w:szCs w:val="16"/>
              </w:rPr>
            </w:pPr>
            <w:r w:rsidRPr="00656877">
              <w:rPr>
                <w:sz w:val="16"/>
                <w:szCs w:val="16"/>
              </w:rPr>
              <w:t>Add</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1C17" w:rsidRPr="00656877" w:rsidRDefault="00821C17" w:rsidP="0080335A">
            <w:pPr>
              <w:spacing w:after="0"/>
              <w:jc w:val="center"/>
              <w:rPr>
                <w:rFonts w:eastAsia="Times New Roman" w:cs="Times New Roman"/>
                <w:sz w:val="16"/>
                <w:szCs w:val="16"/>
              </w:rPr>
            </w:pPr>
            <w:r w:rsidRPr="00656877">
              <w:rPr>
                <w:sz w:val="16"/>
                <w:szCs w:val="16"/>
              </w:rPr>
              <w:t>24</w:t>
            </w:r>
          </w:p>
        </w:tc>
        <w:tc>
          <w:tcPr>
            <w:tcW w:w="935" w:type="dxa"/>
            <w:tcBorders>
              <w:top w:val="single" w:sz="4" w:space="0" w:color="000000"/>
              <w:left w:val="single" w:sz="4" w:space="0" w:color="auto"/>
              <w:bottom w:val="nil"/>
              <w:right w:val="single" w:sz="4" w:space="0" w:color="000000"/>
            </w:tcBorders>
            <w:shd w:val="clear" w:color="auto" w:fill="auto"/>
            <w:noWrap/>
            <w:vAlign w:val="center"/>
            <w:hideMark/>
          </w:tcPr>
          <w:p w:rsidR="00821C17" w:rsidRPr="00656877" w:rsidRDefault="00821C17" w:rsidP="0080335A">
            <w:pPr>
              <w:spacing w:after="0"/>
              <w:jc w:val="center"/>
              <w:rPr>
                <w:rFonts w:eastAsia="Times New Roman" w:cs="Times New Roman"/>
                <w:sz w:val="16"/>
                <w:szCs w:val="16"/>
              </w:rPr>
            </w:pPr>
            <w:r w:rsidRPr="00656877">
              <w:rPr>
                <w:sz w:val="16"/>
                <w:szCs w:val="16"/>
              </w:rPr>
              <w:t>2.6%</w:t>
            </w:r>
          </w:p>
        </w:tc>
        <w:tc>
          <w:tcPr>
            <w:tcW w:w="766" w:type="dxa"/>
            <w:tcBorders>
              <w:top w:val="nil"/>
              <w:left w:val="nil"/>
              <w:bottom w:val="single" w:sz="4" w:space="0" w:color="auto"/>
              <w:right w:val="single" w:sz="4" w:space="0" w:color="auto"/>
            </w:tcBorders>
            <w:shd w:val="clear" w:color="auto" w:fill="auto"/>
            <w:noWrap/>
            <w:vAlign w:val="center"/>
          </w:tcPr>
          <w:p w:rsidR="00821C17" w:rsidRPr="00656877" w:rsidRDefault="00821C17" w:rsidP="0080335A">
            <w:pPr>
              <w:spacing w:after="0"/>
              <w:jc w:val="center"/>
              <w:rPr>
                <w:rFonts w:eastAsia="Times New Roman" w:cs="Times New Roman"/>
                <w:sz w:val="16"/>
                <w:szCs w:val="16"/>
              </w:rPr>
            </w:pPr>
            <w:r w:rsidRPr="00656877">
              <w:rPr>
                <w:sz w:val="16"/>
                <w:szCs w:val="16"/>
              </w:rPr>
              <w:t>15</w:t>
            </w:r>
          </w:p>
        </w:tc>
      </w:tr>
      <w:tr w:rsidR="00821C17" w:rsidRPr="00131E0E" w:rsidTr="0080335A">
        <w:trPr>
          <w:trHeight w:val="255"/>
        </w:trPr>
        <w:tc>
          <w:tcPr>
            <w:tcW w:w="2425" w:type="dxa"/>
            <w:tcBorders>
              <w:top w:val="single" w:sz="4" w:space="0" w:color="000000"/>
              <w:left w:val="single" w:sz="4" w:space="0" w:color="000000"/>
              <w:bottom w:val="nil"/>
              <w:right w:val="nil"/>
            </w:tcBorders>
            <w:shd w:val="clear" w:color="auto" w:fill="auto"/>
            <w:noWrap/>
            <w:vAlign w:val="bottom"/>
            <w:hideMark/>
          </w:tcPr>
          <w:p w:rsidR="00821C17" w:rsidRPr="00656877" w:rsidRDefault="00821C17" w:rsidP="0080335A">
            <w:pPr>
              <w:spacing w:after="0"/>
              <w:rPr>
                <w:rFonts w:eastAsia="Times New Roman" w:cs="Times New Roman"/>
                <w:sz w:val="16"/>
                <w:szCs w:val="16"/>
              </w:rPr>
            </w:pPr>
            <w:proofErr w:type="spellStart"/>
            <w:r w:rsidRPr="00656877">
              <w:rPr>
                <w:sz w:val="16"/>
                <w:szCs w:val="16"/>
              </w:rPr>
              <w:t>Leflunomide+Methotrexate</w:t>
            </w:r>
            <w:proofErr w:type="spellEnd"/>
          </w:p>
        </w:tc>
        <w:tc>
          <w:tcPr>
            <w:tcW w:w="3119" w:type="dxa"/>
            <w:tcBorders>
              <w:top w:val="single" w:sz="4" w:space="0" w:color="000000"/>
              <w:left w:val="single" w:sz="4" w:space="0" w:color="000000"/>
              <w:bottom w:val="nil"/>
              <w:right w:val="nil"/>
            </w:tcBorders>
            <w:shd w:val="clear" w:color="auto" w:fill="auto"/>
            <w:noWrap/>
            <w:vAlign w:val="bottom"/>
            <w:hideMark/>
          </w:tcPr>
          <w:p w:rsidR="00821C17" w:rsidRPr="00656877" w:rsidRDefault="00821C17" w:rsidP="0080335A">
            <w:pPr>
              <w:spacing w:after="0"/>
              <w:rPr>
                <w:rFonts w:eastAsia="Times New Roman" w:cs="Times New Roman"/>
                <w:sz w:val="16"/>
                <w:szCs w:val="16"/>
              </w:rPr>
            </w:pPr>
            <w:proofErr w:type="spellStart"/>
            <w:r w:rsidRPr="00656877">
              <w:rPr>
                <w:sz w:val="16"/>
                <w:szCs w:val="16"/>
              </w:rPr>
              <w:t>Etanercept+Methotrexate</w:t>
            </w:r>
            <w:proofErr w:type="spellEnd"/>
          </w:p>
        </w:tc>
        <w:tc>
          <w:tcPr>
            <w:tcW w:w="1134" w:type="dxa"/>
            <w:tcBorders>
              <w:top w:val="single" w:sz="4" w:space="0" w:color="000000"/>
              <w:left w:val="single" w:sz="4" w:space="0" w:color="000000"/>
              <w:bottom w:val="nil"/>
              <w:right w:val="single" w:sz="4" w:space="0" w:color="auto"/>
            </w:tcBorders>
            <w:shd w:val="clear" w:color="auto" w:fill="auto"/>
            <w:noWrap/>
            <w:vAlign w:val="bottom"/>
            <w:hideMark/>
          </w:tcPr>
          <w:p w:rsidR="00821C17" w:rsidRPr="00656877" w:rsidRDefault="00821C17" w:rsidP="0080335A">
            <w:pPr>
              <w:spacing w:after="0"/>
              <w:jc w:val="center"/>
              <w:rPr>
                <w:rFonts w:eastAsia="Times New Roman" w:cs="Times New Roman"/>
                <w:sz w:val="16"/>
                <w:szCs w:val="16"/>
              </w:rPr>
            </w:pPr>
            <w:r w:rsidRPr="00656877">
              <w:rPr>
                <w:sz w:val="16"/>
                <w:szCs w:val="16"/>
              </w:rPr>
              <w:t>Switch</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1C17" w:rsidRPr="00656877" w:rsidRDefault="00821C17" w:rsidP="0080335A">
            <w:pPr>
              <w:spacing w:after="0"/>
              <w:jc w:val="center"/>
              <w:rPr>
                <w:rFonts w:eastAsia="Times New Roman" w:cs="Times New Roman"/>
                <w:sz w:val="16"/>
                <w:szCs w:val="16"/>
              </w:rPr>
            </w:pPr>
            <w:r w:rsidRPr="00656877">
              <w:rPr>
                <w:sz w:val="16"/>
                <w:szCs w:val="16"/>
              </w:rPr>
              <w:t>20</w:t>
            </w:r>
          </w:p>
        </w:tc>
        <w:tc>
          <w:tcPr>
            <w:tcW w:w="935" w:type="dxa"/>
            <w:tcBorders>
              <w:top w:val="single" w:sz="4" w:space="0" w:color="000000"/>
              <w:left w:val="single" w:sz="4" w:space="0" w:color="auto"/>
              <w:bottom w:val="nil"/>
              <w:right w:val="single" w:sz="4" w:space="0" w:color="000000"/>
            </w:tcBorders>
            <w:shd w:val="clear" w:color="auto" w:fill="auto"/>
            <w:noWrap/>
            <w:vAlign w:val="center"/>
            <w:hideMark/>
          </w:tcPr>
          <w:p w:rsidR="00821C17" w:rsidRPr="00656877" w:rsidRDefault="00821C17" w:rsidP="0080335A">
            <w:pPr>
              <w:spacing w:after="0"/>
              <w:jc w:val="center"/>
              <w:rPr>
                <w:rFonts w:eastAsia="Times New Roman" w:cs="Times New Roman"/>
                <w:sz w:val="16"/>
                <w:szCs w:val="16"/>
              </w:rPr>
            </w:pPr>
            <w:r w:rsidRPr="00656877">
              <w:rPr>
                <w:sz w:val="16"/>
                <w:szCs w:val="16"/>
              </w:rPr>
              <w:t>2.2%</w:t>
            </w:r>
          </w:p>
        </w:tc>
        <w:tc>
          <w:tcPr>
            <w:tcW w:w="766" w:type="dxa"/>
            <w:tcBorders>
              <w:top w:val="nil"/>
              <w:left w:val="nil"/>
              <w:bottom w:val="single" w:sz="4" w:space="0" w:color="auto"/>
              <w:right w:val="single" w:sz="4" w:space="0" w:color="auto"/>
            </w:tcBorders>
            <w:shd w:val="clear" w:color="auto" w:fill="auto"/>
            <w:noWrap/>
            <w:vAlign w:val="center"/>
          </w:tcPr>
          <w:p w:rsidR="00821C17" w:rsidRPr="00656877" w:rsidRDefault="00821C17" w:rsidP="0080335A">
            <w:pPr>
              <w:spacing w:after="0"/>
              <w:jc w:val="center"/>
              <w:rPr>
                <w:rFonts w:eastAsia="Times New Roman" w:cs="Times New Roman"/>
                <w:sz w:val="16"/>
                <w:szCs w:val="16"/>
              </w:rPr>
            </w:pPr>
            <w:r w:rsidRPr="00656877">
              <w:rPr>
                <w:sz w:val="16"/>
                <w:szCs w:val="16"/>
              </w:rPr>
              <w:t>16</w:t>
            </w:r>
          </w:p>
        </w:tc>
      </w:tr>
      <w:tr w:rsidR="00821C17" w:rsidRPr="00131E0E" w:rsidTr="0080335A">
        <w:trPr>
          <w:trHeight w:val="255"/>
        </w:trPr>
        <w:tc>
          <w:tcPr>
            <w:tcW w:w="2425" w:type="dxa"/>
            <w:tcBorders>
              <w:top w:val="single" w:sz="4" w:space="0" w:color="000000"/>
              <w:left w:val="single" w:sz="4" w:space="0" w:color="000000"/>
              <w:bottom w:val="nil"/>
              <w:right w:val="nil"/>
            </w:tcBorders>
            <w:shd w:val="clear" w:color="auto" w:fill="auto"/>
            <w:noWrap/>
            <w:vAlign w:val="bottom"/>
            <w:hideMark/>
          </w:tcPr>
          <w:p w:rsidR="00821C17" w:rsidRPr="00656877" w:rsidRDefault="00821C17" w:rsidP="0080335A">
            <w:pPr>
              <w:spacing w:after="0"/>
              <w:rPr>
                <w:rFonts w:eastAsia="Times New Roman" w:cs="Times New Roman"/>
                <w:sz w:val="16"/>
                <w:szCs w:val="16"/>
              </w:rPr>
            </w:pPr>
            <w:proofErr w:type="spellStart"/>
            <w:r w:rsidRPr="00656877">
              <w:rPr>
                <w:sz w:val="16"/>
                <w:szCs w:val="16"/>
              </w:rPr>
              <w:t>Methotrexate+Sulfasalazine</w:t>
            </w:r>
            <w:proofErr w:type="spellEnd"/>
          </w:p>
        </w:tc>
        <w:tc>
          <w:tcPr>
            <w:tcW w:w="3119" w:type="dxa"/>
            <w:tcBorders>
              <w:top w:val="single" w:sz="4" w:space="0" w:color="000000"/>
              <w:left w:val="single" w:sz="4" w:space="0" w:color="000000"/>
              <w:bottom w:val="nil"/>
              <w:right w:val="nil"/>
            </w:tcBorders>
            <w:shd w:val="clear" w:color="auto" w:fill="auto"/>
            <w:noWrap/>
            <w:vAlign w:val="bottom"/>
            <w:hideMark/>
          </w:tcPr>
          <w:p w:rsidR="00821C17" w:rsidRPr="00656877" w:rsidRDefault="00821C17" w:rsidP="0080335A">
            <w:pPr>
              <w:spacing w:after="0"/>
              <w:rPr>
                <w:rFonts w:eastAsia="Times New Roman" w:cs="Times New Roman"/>
                <w:sz w:val="16"/>
                <w:szCs w:val="16"/>
              </w:rPr>
            </w:pPr>
            <w:proofErr w:type="spellStart"/>
            <w:r w:rsidRPr="00656877">
              <w:rPr>
                <w:sz w:val="16"/>
                <w:szCs w:val="16"/>
              </w:rPr>
              <w:t>Etanercept+Methotrexate</w:t>
            </w:r>
            <w:proofErr w:type="spellEnd"/>
          </w:p>
        </w:tc>
        <w:tc>
          <w:tcPr>
            <w:tcW w:w="1134" w:type="dxa"/>
            <w:tcBorders>
              <w:top w:val="single" w:sz="4" w:space="0" w:color="000000"/>
              <w:left w:val="single" w:sz="4" w:space="0" w:color="000000"/>
              <w:bottom w:val="nil"/>
              <w:right w:val="single" w:sz="4" w:space="0" w:color="auto"/>
            </w:tcBorders>
            <w:shd w:val="clear" w:color="auto" w:fill="auto"/>
            <w:noWrap/>
            <w:vAlign w:val="bottom"/>
            <w:hideMark/>
          </w:tcPr>
          <w:p w:rsidR="00821C17" w:rsidRPr="00656877" w:rsidRDefault="00821C17" w:rsidP="0080335A">
            <w:pPr>
              <w:spacing w:after="0"/>
              <w:jc w:val="center"/>
              <w:rPr>
                <w:rFonts w:eastAsia="Times New Roman" w:cs="Times New Roman"/>
                <w:sz w:val="16"/>
                <w:szCs w:val="16"/>
              </w:rPr>
            </w:pPr>
            <w:r w:rsidRPr="00656877">
              <w:rPr>
                <w:sz w:val="16"/>
                <w:szCs w:val="16"/>
              </w:rPr>
              <w:t>Switch</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1C17" w:rsidRPr="00656877" w:rsidRDefault="00821C17" w:rsidP="0080335A">
            <w:pPr>
              <w:spacing w:after="0"/>
              <w:jc w:val="center"/>
              <w:rPr>
                <w:rFonts w:eastAsia="Times New Roman" w:cs="Times New Roman"/>
                <w:sz w:val="16"/>
                <w:szCs w:val="16"/>
              </w:rPr>
            </w:pPr>
            <w:r w:rsidRPr="00656877">
              <w:rPr>
                <w:sz w:val="16"/>
                <w:szCs w:val="16"/>
              </w:rPr>
              <w:t>19</w:t>
            </w:r>
          </w:p>
        </w:tc>
        <w:tc>
          <w:tcPr>
            <w:tcW w:w="935" w:type="dxa"/>
            <w:tcBorders>
              <w:top w:val="single" w:sz="4" w:space="0" w:color="000000"/>
              <w:left w:val="single" w:sz="4" w:space="0" w:color="auto"/>
              <w:bottom w:val="nil"/>
              <w:right w:val="single" w:sz="4" w:space="0" w:color="000000"/>
            </w:tcBorders>
            <w:shd w:val="clear" w:color="auto" w:fill="auto"/>
            <w:noWrap/>
            <w:vAlign w:val="center"/>
            <w:hideMark/>
          </w:tcPr>
          <w:p w:rsidR="00821C17" w:rsidRPr="00656877" w:rsidRDefault="00821C17" w:rsidP="0080335A">
            <w:pPr>
              <w:spacing w:after="0"/>
              <w:jc w:val="center"/>
              <w:rPr>
                <w:rFonts w:eastAsia="Times New Roman" w:cs="Times New Roman"/>
                <w:sz w:val="16"/>
                <w:szCs w:val="16"/>
              </w:rPr>
            </w:pPr>
            <w:r w:rsidRPr="00656877">
              <w:rPr>
                <w:sz w:val="16"/>
                <w:szCs w:val="16"/>
              </w:rPr>
              <w:t>2.0%</w:t>
            </w:r>
          </w:p>
        </w:tc>
        <w:tc>
          <w:tcPr>
            <w:tcW w:w="766" w:type="dxa"/>
            <w:tcBorders>
              <w:top w:val="nil"/>
              <w:left w:val="nil"/>
              <w:bottom w:val="single" w:sz="4" w:space="0" w:color="auto"/>
              <w:right w:val="single" w:sz="4" w:space="0" w:color="auto"/>
            </w:tcBorders>
            <w:shd w:val="clear" w:color="auto" w:fill="auto"/>
            <w:noWrap/>
            <w:vAlign w:val="center"/>
          </w:tcPr>
          <w:p w:rsidR="00821C17" w:rsidRPr="00656877" w:rsidRDefault="00821C17" w:rsidP="0080335A">
            <w:pPr>
              <w:spacing w:after="0"/>
              <w:jc w:val="center"/>
              <w:rPr>
                <w:rFonts w:eastAsia="Times New Roman" w:cs="Times New Roman"/>
                <w:sz w:val="16"/>
                <w:szCs w:val="16"/>
              </w:rPr>
            </w:pPr>
            <w:r w:rsidRPr="00656877">
              <w:rPr>
                <w:sz w:val="16"/>
                <w:szCs w:val="16"/>
              </w:rPr>
              <w:t>17</w:t>
            </w:r>
          </w:p>
        </w:tc>
      </w:tr>
      <w:tr w:rsidR="00821C17" w:rsidRPr="00131E0E" w:rsidTr="0080335A">
        <w:trPr>
          <w:trHeight w:val="255"/>
        </w:trPr>
        <w:tc>
          <w:tcPr>
            <w:tcW w:w="2425" w:type="dxa"/>
            <w:tcBorders>
              <w:top w:val="single" w:sz="4" w:space="0" w:color="000000"/>
              <w:left w:val="single" w:sz="4" w:space="0" w:color="000000"/>
              <w:bottom w:val="nil"/>
              <w:right w:val="nil"/>
            </w:tcBorders>
            <w:shd w:val="clear" w:color="auto" w:fill="auto"/>
            <w:noWrap/>
            <w:vAlign w:val="bottom"/>
            <w:hideMark/>
          </w:tcPr>
          <w:p w:rsidR="00821C17" w:rsidRPr="00656877" w:rsidRDefault="00821C17" w:rsidP="0080335A">
            <w:pPr>
              <w:spacing w:after="0"/>
              <w:rPr>
                <w:rFonts w:eastAsia="Times New Roman" w:cs="Times New Roman"/>
                <w:sz w:val="16"/>
                <w:szCs w:val="16"/>
              </w:rPr>
            </w:pPr>
            <w:proofErr w:type="spellStart"/>
            <w:r w:rsidRPr="00656877">
              <w:rPr>
                <w:sz w:val="16"/>
                <w:szCs w:val="16"/>
              </w:rPr>
              <w:t>Leflunomide+Methotrexate</w:t>
            </w:r>
            <w:proofErr w:type="spellEnd"/>
          </w:p>
        </w:tc>
        <w:tc>
          <w:tcPr>
            <w:tcW w:w="3119" w:type="dxa"/>
            <w:tcBorders>
              <w:top w:val="single" w:sz="4" w:space="0" w:color="000000"/>
              <w:left w:val="single" w:sz="4" w:space="0" w:color="000000"/>
              <w:bottom w:val="nil"/>
              <w:right w:val="nil"/>
            </w:tcBorders>
            <w:shd w:val="clear" w:color="auto" w:fill="auto"/>
            <w:noWrap/>
            <w:vAlign w:val="bottom"/>
            <w:hideMark/>
          </w:tcPr>
          <w:p w:rsidR="00821C17" w:rsidRPr="00656877" w:rsidRDefault="00821C17" w:rsidP="0080335A">
            <w:pPr>
              <w:spacing w:after="0"/>
              <w:rPr>
                <w:rFonts w:eastAsia="Times New Roman" w:cs="Times New Roman"/>
                <w:sz w:val="16"/>
                <w:szCs w:val="16"/>
              </w:rPr>
            </w:pPr>
            <w:proofErr w:type="spellStart"/>
            <w:r w:rsidRPr="00656877">
              <w:rPr>
                <w:sz w:val="16"/>
                <w:szCs w:val="16"/>
              </w:rPr>
              <w:t>Adalimumab+Leflunomide</w:t>
            </w:r>
            <w:proofErr w:type="spellEnd"/>
          </w:p>
        </w:tc>
        <w:tc>
          <w:tcPr>
            <w:tcW w:w="1134" w:type="dxa"/>
            <w:tcBorders>
              <w:top w:val="single" w:sz="4" w:space="0" w:color="000000"/>
              <w:left w:val="single" w:sz="4" w:space="0" w:color="000000"/>
              <w:bottom w:val="nil"/>
              <w:right w:val="single" w:sz="4" w:space="0" w:color="auto"/>
            </w:tcBorders>
            <w:shd w:val="clear" w:color="auto" w:fill="auto"/>
            <w:noWrap/>
            <w:vAlign w:val="bottom"/>
            <w:hideMark/>
          </w:tcPr>
          <w:p w:rsidR="00821C17" w:rsidRPr="00656877" w:rsidRDefault="00821C17" w:rsidP="0080335A">
            <w:pPr>
              <w:spacing w:after="0"/>
              <w:jc w:val="center"/>
              <w:rPr>
                <w:rFonts w:eastAsia="Times New Roman" w:cs="Times New Roman"/>
                <w:sz w:val="16"/>
                <w:szCs w:val="16"/>
              </w:rPr>
            </w:pPr>
            <w:r w:rsidRPr="00656877">
              <w:rPr>
                <w:sz w:val="16"/>
                <w:szCs w:val="16"/>
              </w:rPr>
              <w:t>Switch</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1C17" w:rsidRPr="00656877" w:rsidRDefault="00821C17" w:rsidP="0080335A">
            <w:pPr>
              <w:spacing w:after="0"/>
              <w:jc w:val="center"/>
              <w:rPr>
                <w:rFonts w:eastAsia="Times New Roman" w:cs="Times New Roman"/>
                <w:sz w:val="16"/>
                <w:szCs w:val="16"/>
              </w:rPr>
            </w:pPr>
            <w:r w:rsidRPr="00656877">
              <w:rPr>
                <w:sz w:val="16"/>
                <w:szCs w:val="16"/>
              </w:rPr>
              <w:t>19</w:t>
            </w:r>
          </w:p>
        </w:tc>
        <w:tc>
          <w:tcPr>
            <w:tcW w:w="935" w:type="dxa"/>
            <w:tcBorders>
              <w:top w:val="single" w:sz="4" w:space="0" w:color="000000"/>
              <w:left w:val="single" w:sz="4" w:space="0" w:color="auto"/>
              <w:bottom w:val="nil"/>
              <w:right w:val="single" w:sz="4" w:space="0" w:color="000000"/>
            </w:tcBorders>
            <w:shd w:val="clear" w:color="auto" w:fill="auto"/>
            <w:noWrap/>
            <w:vAlign w:val="center"/>
            <w:hideMark/>
          </w:tcPr>
          <w:p w:rsidR="00821C17" w:rsidRPr="00656877" w:rsidRDefault="00821C17" w:rsidP="0080335A">
            <w:pPr>
              <w:spacing w:after="0"/>
              <w:jc w:val="center"/>
              <w:rPr>
                <w:rFonts w:eastAsia="Times New Roman" w:cs="Times New Roman"/>
                <w:sz w:val="16"/>
                <w:szCs w:val="16"/>
              </w:rPr>
            </w:pPr>
            <w:r w:rsidRPr="00656877">
              <w:rPr>
                <w:sz w:val="16"/>
                <w:szCs w:val="16"/>
              </w:rPr>
              <w:t>2.0%</w:t>
            </w:r>
          </w:p>
        </w:tc>
        <w:tc>
          <w:tcPr>
            <w:tcW w:w="766" w:type="dxa"/>
            <w:tcBorders>
              <w:top w:val="nil"/>
              <w:left w:val="nil"/>
              <w:bottom w:val="single" w:sz="4" w:space="0" w:color="auto"/>
              <w:right w:val="single" w:sz="4" w:space="0" w:color="auto"/>
            </w:tcBorders>
            <w:shd w:val="clear" w:color="auto" w:fill="auto"/>
            <w:noWrap/>
            <w:vAlign w:val="center"/>
          </w:tcPr>
          <w:p w:rsidR="00821C17" w:rsidRPr="00656877" w:rsidRDefault="00821C17" w:rsidP="0080335A">
            <w:pPr>
              <w:spacing w:after="0"/>
              <w:jc w:val="center"/>
              <w:rPr>
                <w:rFonts w:eastAsia="Times New Roman" w:cs="Times New Roman"/>
                <w:sz w:val="16"/>
                <w:szCs w:val="16"/>
              </w:rPr>
            </w:pPr>
            <w:r w:rsidRPr="00656877">
              <w:rPr>
                <w:sz w:val="16"/>
                <w:szCs w:val="16"/>
              </w:rPr>
              <w:t>18</w:t>
            </w:r>
          </w:p>
        </w:tc>
      </w:tr>
      <w:tr w:rsidR="00821C17" w:rsidRPr="00131E0E" w:rsidTr="0080335A">
        <w:trPr>
          <w:trHeight w:val="255"/>
        </w:trPr>
        <w:tc>
          <w:tcPr>
            <w:tcW w:w="2425" w:type="dxa"/>
            <w:tcBorders>
              <w:top w:val="single" w:sz="4" w:space="0" w:color="000000"/>
              <w:left w:val="single" w:sz="4" w:space="0" w:color="000000"/>
              <w:bottom w:val="nil"/>
              <w:right w:val="nil"/>
            </w:tcBorders>
            <w:shd w:val="clear" w:color="auto" w:fill="auto"/>
            <w:noWrap/>
            <w:vAlign w:val="bottom"/>
            <w:hideMark/>
          </w:tcPr>
          <w:p w:rsidR="00821C17" w:rsidRPr="00656877" w:rsidRDefault="00821C17" w:rsidP="0080335A">
            <w:pPr>
              <w:spacing w:after="0"/>
              <w:rPr>
                <w:rFonts w:eastAsia="Times New Roman" w:cs="Times New Roman"/>
                <w:sz w:val="16"/>
                <w:szCs w:val="16"/>
              </w:rPr>
            </w:pPr>
            <w:proofErr w:type="spellStart"/>
            <w:r w:rsidRPr="00656877">
              <w:rPr>
                <w:sz w:val="16"/>
                <w:szCs w:val="16"/>
              </w:rPr>
              <w:t>Leflunomide+Methotrexate</w:t>
            </w:r>
            <w:proofErr w:type="spellEnd"/>
          </w:p>
        </w:tc>
        <w:tc>
          <w:tcPr>
            <w:tcW w:w="3119" w:type="dxa"/>
            <w:tcBorders>
              <w:top w:val="single" w:sz="4" w:space="0" w:color="000000"/>
              <w:left w:val="single" w:sz="4" w:space="0" w:color="000000"/>
              <w:bottom w:val="nil"/>
              <w:right w:val="nil"/>
            </w:tcBorders>
            <w:shd w:val="clear" w:color="auto" w:fill="auto"/>
            <w:noWrap/>
            <w:vAlign w:val="bottom"/>
            <w:hideMark/>
          </w:tcPr>
          <w:p w:rsidR="00821C17" w:rsidRPr="00656877" w:rsidRDefault="00821C17" w:rsidP="0080335A">
            <w:pPr>
              <w:spacing w:after="0"/>
              <w:rPr>
                <w:rFonts w:eastAsia="Times New Roman" w:cs="Times New Roman"/>
                <w:sz w:val="16"/>
                <w:szCs w:val="16"/>
              </w:rPr>
            </w:pPr>
            <w:proofErr w:type="spellStart"/>
            <w:r w:rsidRPr="00656877">
              <w:rPr>
                <w:sz w:val="16"/>
                <w:szCs w:val="16"/>
              </w:rPr>
              <w:t>Golimumab+Methotrexate</w:t>
            </w:r>
            <w:proofErr w:type="spellEnd"/>
          </w:p>
        </w:tc>
        <w:tc>
          <w:tcPr>
            <w:tcW w:w="1134" w:type="dxa"/>
            <w:tcBorders>
              <w:top w:val="single" w:sz="4" w:space="0" w:color="000000"/>
              <w:left w:val="single" w:sz="4" w:space="0" w:color="000000"/>
              <w:bottom w:val="nil"/>
              <w:right w:val="single" w:sz="4" w:space="0" w:color="auto"/>
            </w:tcBorders>
            <w:shd w:val="clear" w:color="auto" w:fill="auto"/>
            <w:noWrap/>
            <w:vAlign w:val="bottom"/>
            <w:hideMark/>
          </w:tcPr>
          <w:p w:rsidR="00821C17" w:rsidRPr="00656877" w:rsidRDefault="00821C17" w:rsidP="0080335A">
            <w:pPr>
              <w:spacing w:after="0"/>
              <w:jc w:val="center"/>
              <w:rPr>
                <w:rFonts w:eastAsia="Times New Roman" w:cs="Times New Roman"/>
                <w:sz w:val="16"/>
                <w:szCs w:val="16"/>
              </w:rPr>
            </w:pPr>
            <w:r w:rsidRPr="00656877">
              <w:rPr>
                <w:sz w:val="16"/>
                <w:szCs w:val="16"/>
              </w:rPr>
              <w:t>Switch</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1C17" w:rsidRPr="00656877" w:rsidRDefault="00821C17" w:rsidP="0080335A">
            <w:pPr>
              <w:spacing w:after="0"/>
              <w:jc w:val="center"/>
              <w:rPr>
                <w:rFonts w:eastAsia="Times New Roman" w:cs="Times New Roman"/>
                <w:sz w:val="16"/>
                <w:szCs w:val="16"/>
              </w:rPr>
            </w:pPr>
            <w:r w:rsidRPr="00656877">
              <w:rPr>
                <w:sz w:val="16"/>
                <w:szCs w:val="16"/>
              </w:rPr>
              <w:t>15</w:t>
            </w:r>
          </w:p>
        </w:tc>
        <w:tc>
          <w:tcPr>
            <w:tcW w:w="935" w:type="dxa"/>
            <w:tcBorders>
              <w:top w:val="single" w:sz="4" w:space="0" w:color="000000"/>
              <w:left w:val="single" w:sz="4" w:space="0" w:color="auto"/>
              <w:bottom w:val="nil"/>
              <w:right w:val="single" w:sz="4" w:space="0" w:color="000000"/>
            </w:tcBorders>
            <w:shd w:val="clear" w:color="auto" w:fill="auto"/>
            <w:noWrap/>
            <w:vAlign w:val="center"/>
            <w:hideMark/>
          </w:tcPr>
          <w:p w:rsidR="00821C17" w:rsidRPr="00656877" w:rsidRDefault="00821C17" w:rsidP="0080335A">
            <w:pPr>
              <w:spacing w:after="0"/>
              <w:jc w:val="center"/>
              <w:rPr>
                <w:rFonts w:eastAsia="Times New Roman" w:cs="Times New Roman"/>
                <w:sz w:val="16"/>
                <w:szCs w:val="16"/>
              </w:rPr>
            </w:pPr>
            <w:r w:rsidRPr="00656877">
              <w:rPr>
                <w:sz w:val="16"/>
                <w:szCs w:val="16"/>
              </w:rPr>
              <w:t>1.6%</w:t>
            </w:r>
          </w:p>
        </w:tc>
        <w:tc>
          <w:tcPr>
            <w:tcW w:w="766" w:type="dxa"/>
            <w:tcBorders>
              <w:top w:val="nil"/>
              <w:left w:val="nil"/>
              <w:bottom w:val="single" w:sz="4" w:space="0" w:color="auto"/>
              <w:right w:val="single" w:sz="4" w:space="0" w:color="auto"/>
            </w:tcBorders>
            <w:shd w:val="clear" w:color="auto" w:fill="auto"/>
            <w:noWrap/>
            <w:vAlign w:val="center"/>
          </w:tcPr>
          <w:p w:rsidR="00821C17" w:rsidRPr="00656877" w:rsidRDefault="00821C17" w:rsidP="0080335A">
            <w:pPr>
              <w:spacing w:after="0"/>
              <w:jc w:val="center"/>
              <w:rPr>
                <w:rFonts w:eastAsia="Times New Roman" w:cs="Times New Roman"/>
                <w:sz w:val="16"/>
                <w:szCs w:val="16"/>
              </w:rPr>
            </w:pPr>
            <w:r w:rsidRPr="00656877">
              <w:rPr>
                <w:sz w:val="16"/>
                <w:szCs w:val="16"/>
              </w:rPr>
              <w:t>19</w:t>
            </w:r>
          </w:p>
        </w:tc>
      </w:tr>
      <w:tr w:rsidR="00821C17" w:rsidRPr="00131E0E" w:rsidTr="0080335A">
        <w:trPr>
          <w:trHeight w:val="255"/>
        </w:trPr>
        <w:tc>
          <w:tcPr>
            <w:tcW w:w="2425" w:type="dxa"/>
            <w:tcBorders>
              <w:top w:val="single" w:sz="4" w:space="0" w:color="000000"/>
              <w:left w:val="single" w:sz="4" w:space="0" w:color="000000"/>
              <w:bottom w:val="nil"/>
              <w:right w:val="nil"/>
            </w:tcBorders>
            <w:shd w:val="clear" w:color="auto" w:fill="auto"/>
            <w:noWrap/>
            <w:vAlign w:val="bottom"/>
            <w:hideMark/>
          </w:tcPr>
          <w:p w:rsidR="00821C17" w:rsidRPr="00656877" w:rsidRDefault="00821C17" w:rsidP="0080335A">
            <w:pPr>
              <w:spacing w:after="0"/>
              <w:rPr>
                <w:rFonts w:eastAsia="Times New Roman" w:cs="Times New Roman"/>
                <w:sz w:val="16"/>
                <w:szCs w:val="16"/>
              </w:rPr>
            </w:pPr>
            <w:proofErr w:type="spellStart"/>
            <w:r w:rsidRPr="00656877">
              <w:rPr>
                <w:sz w:val="16"/>
                <w:szCs w:val="16"/>
              </w:rPr>
              <w:t>Methotrexate+Sulfasalazine</w:t>
            </w:r>
            <w:proofErr w:type="spellEnd"/>
          </w:p>
        </w:tc>
        <w:tc>
          <w:tcPr>
            <w:tcW w:w="3119" w:type="dxa"/>
            <w:tcBorders>
              <w:top w:val="single" w:sz="4" w:space="0" w:color="000000"/>
              <w:left w:val="single" w:sz="4" w:space="0" w:color="000000"/>
              <w:bottom w:val="nil"/>
              <w:right w:val="nil"/>
            </w:tcBorders>
            <w:shd w:val="clear" w:color="auto" w:fill="auto"/>
            <w:noWrap/>
            <w:vAlign w:val="bottom"/>
            <w:hideMark/>
          </w:tcPr>
          <w:p w:rsidR="00821C17" w:rsidRPr="00656877" w:rsidRDefault="00821C17" w:rsidP="0080335A">
            <w:pPr>
              <w:spacing w:after="0"/>
              <w:rPr>
                <w:rFonts w:eastAsia="Times New Roman" w:cs="Times New Roman"/>
                <w:sz w:val="16"/>
                <w:szCs w:val="16"/>
              </w:rPr>
            </w:pPr>
            <w:proofErr w:type="spellStart"/>
            <w:r w:rsidRPr="00656877">
              <w:rPr>
                <w:sz w:val="16"/>
                <w:szCs w:val="16"/>
              </w:rPr>
              <w:t>Etanercept+Methotrexate+Sulfasalazine</w:t>
            </w:r>
            <w:proofErr w:type="spellEnd"/>
          </w:p>
        </w:tc>
        <w:tc>
          <w:tcPr>
            <w:tcW w:w="1134" w:type="dxa"/>
            <w:tcBorders>
              <w:top w:val="single" w:sz="4" w:space="0" w:color="000000"/>
              <w:left w:val="single" w:sz="4" w:space="0" w:color="000000"/>
              <w:bottom w:val="nil"/>
              <w:right w:val="single" w:sz="4" w:space="0" w:color="auto"/>
            </w:tcBorders>
            <w:shd w:val="clear" w:color="auto" w:fill="auto"/>
            <w:noWrap/>
            <w:vAlign w:val="bottom"/>
            <w:hideMark/>
          </w:tcPr>
          <w:p w:rsidR="00821C17" w:rsidRPr="00656877" w:rsidRDefault="00821C17" w:rsidP="0080335A">
            <w:pPr>
              <w:spacing w:after="0"/>
              <w:jc w:val="center"/>
              <w:rPr>
                <w:rFonts w:eastAsia="Times New Roman" w:cs="Times New Roman"/>
                <w:sz w:val="16"/>
                <w:szCs w:val="16"/>
              </w:rPr>
            </w:pPr>
            <w:r w:rsidRPr="00656877">
              <w:rPr>
                <w:sz w:val="16"/>
                <w:szCs w:val="16"/>
              </w:rPr>
              <w:t>Add</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1C17" w:rsidRPr="00656877" w:rsidRDefault="00821C17" w:rsidP="0080335A">
            <w:pPr>
              <w:spacing w:after="0"/>
              <w:jc w:val="center"/>
              <w:rPr>
                <w:rFonts w:eastAsia="Times New Roman" w:cs="Times New Roman"/>
                <w:sz w:val="16"/>
                <w:szCs w:val="16"/>
              </w:rPr>
            </w:pPr>
            <w:r w:rsidRPr="00656877">
              <w:rPr>
                <w:sz w:val="16"/>
                <w:szCs w:val="16"/>
              </w:rPr>
              <w:t>14</w:t>
            </w:r>
          </w:p>
        </w:tc>
        <w:tc>
          <w:tcPr>
            <w:tcW w:w="935" w:type="dxa"/>
            <w:tcBorders>
              <w:top w:val="single" w:sz="4" w:space="0" w:color="000000"/>
              <w:left w:val="single" w:sz="4" w:space="0" w:color="auto"/>
              <w:bottom w:val="nil"/>
              <w:right w:val="single" w:sz="4" w:space="0" w:color="000000"/>
            </w:tcBorders>
            <w:shd w:val="clear" w:color="auto" w:fill="auto"/>
            <w:noWrap/>
            <w:vAlign w:val="center"/>
            <w:hideMark/>
          </w:tcPr>
          <w:p w:rsidR="00821C17" w:rsidRPr="00656877" w:rsidRDefault="00821C17" w:rsidP="0080335A">
            <w:pPr>
              <w:spacing w:after="0"/>
              <w:jc w:val="center"/>
              <w:rPr>
                <w:rFonts w:eastAsia="Times New Roman" w:cs="Times New Roman"/>
                <w:sz w:val="16"/>
                <w:szCs w:val="16"/>
              </w:rPr>
            </w:pPr>
            <w:r w:rsidRPr="00656877">
              <w:rPr>
                <w:sz w:val="16"/>
                <w:szCs w:val="16"/>
              </w:rPr>
              <w:t>1.5%</w:t>
            </w:r>
          </w:p>
        </w:tc>
        <w:tc>
          <w:tcPr>
            <w:tcW w:w="766" w:type="dxa"/>
            <w:tcBorders>
              <w:top w:val="nil"/>
              <w:left w:val="nil"/>
              <w:bottom w:val="single" w:sz="4" w:space="0" w:color="auto"/>
              <w:right w:val="single" w:sz="4" w:space="0" w:color="auto"/>
            </w:tcBorders>
            <w:shd w:val="clear" w:color="auto" w:fill="auto"/>
            <w:noWrap/>
            <w:vAlign w:val="center"/>
          </w:tcPr>
          <w:p w:rsidR="00821C17" w:rsidRPr="00656877" w:rsidRDefault="00821C17" w:rsidP="0080335A">
            <w:pPr>
              <w:spacing w:after="0"/>
              <w:jc w:val="center"/>
              <w:rPr>
                <w:rFonts w:eastAsia="Times New Roman" w:cs="Times New Roman"/>
                <w:sz w:val="16"/>
                <w:szCs w:val="16"/>
              </w:rPr>
            </w:pPr>
            <w:r w:rsidRPr="00656877">
              <w:rPr>
                <w:sz w:val="16"/>
                <w:szCs w:val="16"/>
              </w:rPr>
              <w:t>20</w:t>
            </w:r>
          </w:p>
        </w:tc>
      </w:tr>
      <w:tr w:rsidR="00821C17" w:rsidRPr="00131E0E" w:rsidTr="0080335A">
        <w:trPr>
          <w:trHeight w:val="255"/>
        </w:trPr>
        <w:tc>
          <w:tcPr>
            <w:tcW w:w="2425" w:type="dxa"/>
            <w:tcBorders>
              <w:top w:val="single" w:sz="4" w:space="0" w:color="000000"/>
              <w:left w:val="single" w:sz="4" w:space="0" w:color="000000"/>
              <w:bottom w:val="nil"/>
              <w:right w:val="nil"/>
            </w:tcBorders>
            <w:shd w:val="clear" w:color="auto" w:fill="auto"/>
            <w:noWrap/>
            <w:vAlign w:val="bottom"/>
            <w:hideMark/>
          </w:tcPr>
          <w:p w:rsidR="00821C17" w:rsidRPr="00656877" w:rsidRDefault="00821C17" w:rsidP="0080335A">
            <w:pPr>
              <w:spacing w:after="0"/>
              <w:rPr>
                <w:rFonts w:eastAsia="Times New Roman" w:cs="Times New Roman"/>
                <w:sz w:val="16"/>
                <w:szCs w:val="16"/>
              </w:rPr>
            </w:pPr>
            <w:proofErr w:type="spellStart"/>
            <w:r w:rsidRPr="00656877">
              <w:rPr>
                <w:sz w:val="16"/>
                <w:szCs w:val="16"/>
              </w:rPr>
              <w:t>Methotrexate+Sulfasalazine</w:t>
            </w:r>
            <w:proofErr w:type="spellEnd"/>
          </w:p>
        </w:tc>
        <w:tc>
          <w:tcPr>
            <w:tcW w:w="3119" w:type="dxa"/>
            <w:tcBorders>
              <w:top w:val="single" w:sz="4" w:space="0" w:color="000000"/>
              <w:left w:val="single" w:sz="4" w:space="0" w:color="000000"/>
              <w:bottom w:val="nil"/>
              <w:right w:val="nil"/>
            </w:tcBorders>
            <w:shd w:val="clear" w:color="auto" w:fill="auto"/>
            <w:noWrap/>
            <w:vAlign w:val="bottom"/>
            <w:hideMark/>
          </w:tcPr>
          <w:p w:rsidR="00821C17" w:rsidRPr="00656877" w:rsidRDefault="00821C17" w:rsidP="0080335A">
            <w:pPr>
              <w:spacing w:after="0"/>
              <w:rPr>
                <w:rFonts w:eastAsia="Times New Roman" w:cs="Times New Roman"/>
                <w:sz w:val="16"/>
                <w:szCs w:val="16"/>
              </w:rPr>
            </w:pPr>
            <w:proofErr w:type="spellStart"/>
            <w:r w:rsidRPr="00656877">
              <w:rPr>
                <w:sz w:val="16"/>
                <w:szCs w:val="16"/>
              </w:rPr>
              <w:t>Adalimumab+Sulfasalazine</w:t>
            </w:r>
            <w:proofErr w:type="spellEnd"/>
          </w:p>
        </w:tc>
        <w:tc>
          <w:tcPr>
            <w:tcW w:w="1134" w:type="dxa"/>
            <w:tcBorders>
              <w:top w:val="single" w:sz="4" w:space="0" w:color="000000"/>
              <w:left w:val="single" w:sz="4" w:space="0" w:color="000000"/>
              <w:bottom w:val="nil"/>
              <w:right w:val="single" w:sz="4" w:space="0" w:color="auto"/>
            </w:tcBorders>
            <w:shd w:val="clear" w:color="auto" w:fill="auto"/>
            <w:noWrap/>
            <w:vAlign w:val="bottom"/>
            <w:hideMark/>
          </w:tcPr>
          <w:p w:rsidR="00821C17" w:rsidRPr="00656877" w:rsidRDefault="00821C17" w:rsidP="0080335A">
            <w:pPr>
              <w:spacing w:after="0"/>
              <w:jc w:val="center"/>
              <w:rPr>
                <w:rFonts w:eastAsia="Times New Roman" w:cs="Times New Roman"/>
                <w:sz w:val="16"/>
                <w:szCs w:val="16"/>
              </w:rPr>
            </w:pPr>
            <w:r w:rsidRPr="00656877">
              <w:rPr>
                <w:sz w:val="16"/>
                <w:szCs w:val="16"/>
              </w:rPr>
              <w:t>Switch</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1C17" w:rsidRPr="00656877" w:rsidRDefault="00821C17" w:rsidP="0080335A">
            <w:pPr>
              <w:spacing w:after="0"/>
              <w:jc w:val="center"/>
              <w:rPr>
                <w:rFonts w:eastAsia="Times New Roman" w:cs="Times New Roman"/>
                <w:sz w:val="16"/>
                <w:szCs w:val="16"/>
              </w:rPr>
            </w:pPr>
            <w:r w:rsidRPr="00656877">
              <w:rPr>
                <w:sz w:val="16"/>
                <w:szCs w:val="16"/>
              </w:rPr>
              <w:t>12</w:t>
            </w:r>
          </w:p>
        </w:tc>
        <w:tc>
          <w:tcPr>
            <w:tcW w:w="935" w:type="dxa"/>
            <w:tcBorders>
              <w:top w:val="single" w:sz="4" w:space="0" w:color="000000"/>
              <w:left w:val="single" w:sz="4" w:space="0" w:color="auto"/>
              <w:bottom w:val="nil"/>
              <w:right w:val="single" w:sz="4" w:space="0" w:color="000000"/>
            </w:tcBorders>
            <w:shd w:val="clear" w:color="auto" w:fill="auto"/>
            <w:noWrap/>
            <w:vAlign w:val="center"/>
            <w:hideMark/>
          </w:tcPr>
          <w:p w:rsidR="00821C17" w:rsidRPr="00656877" w:rsidRDefault="00821C17" w:rsidP="0080335A">
            <w:pPr>
              <w:spacing w:after="0"/>
              <w:jc w:val="center"/>
              <w:rPr>
                <w:rFonts w:eastAsia="Times New Roman" w:cs="Times New Roman"/>
                <w:sz w:val="16"/>
                <w:szCs w:val="16"/>
              </w:rPr>
            </w:pPr>
            <w:r w:rsidRPr="00656877">
              <w:rPr>
                <w:sz w:val="16"/>
                <w:szCs w:val="16"/>
              </w:rPr>
              <w:t>1.3%</w:t>
            </w:r>
          </w:p>
        </w:tc>
        <w:tc>
          <w:tcPr>
            <w:tcW w:w="766" w:type="dxa"/>
            <w:tcBorders>
              <w:top w:val="nil"/>
              <w:left w:val="nil"/>
              <w:bottom w:val="single" w:sz="4" w:space="0" w:color="auto"/>
              <w:right w:val="single" w:sz="4" w:space="0" w:color="auto"/>
            </w:tcBorders>
            <w:shd w:val="clear" w:color="auto" w:fill="auto"/>
            <w:noWrap/>
            <w:vAlign w:val="center"/>
          </w:tcPr>
          <w:p w:rsidR="00821C17" w:rsidRPr="00656877" w:rsidRDefault="00821C17" w:rsidP="0080335A">
            <w:pPr>
              <w:spacing w:after="0"/>
              <w:jc w:val="center"/>
              <w:rPr>
                <w:rFonts w:eastAsia="Times New Roman" w:cs="Times New Roman"/>
                <w:sz w:val="16"/>
                <w:szCs w:val="16"/>
              </w:rPr>
            </w:pPr>
            <w:r w:rsidRPr="00656877">
              <w:rPr>
                <w:sz w:val="16"/>
                <w:szCs w:val="16"/>
              </w:rPr>
              <w:t>21</w:t>
            </w:r>
          </w:p>
        </w:tc>
      </w:tr>
      <w:tr w:rsidR="00821C17" w:rsidRPr="00131E0E" w:rsidTr="0080335A">
        <w:trPr>
          <w:trHeight w:val="255"/>
        </w:trPr>
        <w:tc>
          <w:tcPr>
            <w:tcW w:w="2425" w:type="dxa"/>
            <w:tcBorders>
              <w:top w:val="single" w:sz="4" w:space="0" w:color="000000"/>
              <w:left w:val="single" w:sz="4" w:space="0" w:color="000000"/>
              <w:bottom w:val="nil"/>
              <w:right w:val="nil"/>
            </w:tcBorders>
            <w:shd w:val="clear" w:color="auto" w:fill="auto"/>
            <w:noWrap/>
            <w:vAlign w:val="bottom"/>
            <w:hideMark/>
          </w:tcPr>
          <w:p w:rsidR="00821C17" w:rsidRPr="00656877" w:rsidRDefault="00821C17" w:rsidP="0080335A">
            <w:pPr>
              <w:spacing w:after="0"/>
              <w:rPr>
                <w:rFonts w:eastAsia="Times New Roman" w:cs="Times New Roman"/>
                <w:sz w:val="16"/>
                <w:szCs w:val="16"/>
              </w:rPr>
            </w:pPr>
            <w:proofErr w:type="spellStart"/>
            <w:r w:rsidRPr="00656877">
              <w:rPr>
                <w:sz w:val="16"/>
                <w:szCs w:val="16"/>
              </w:rPr>
              <w:t>Leflunomide</w:t>
            </w:r>
            <w:proofErr w:type="spellEnd"/>
          </w:p>
        </w:tc>
        <w:tc>
          <w:tcPr>
            <w:tcW w:w="3119" w:type="dxa"/>
            <w:tcBorders>
              <w:top w:val="single" w:sz="4" w:space="0" w:color="000000"/>
              <w:left w:val="single" w:sz="4" w:space="0" w:color="000000"/>
              <w:bottom w:val="nil"/>
              <w:right w:val="nil"/>
            </w:tcBorders>
            <w:shd w:val="clear" w:color="auto" w:fill="auto"/>
            <w:noWrap/>
            <w:vAlign w:val="bottom"/>
            <w:hideMark/>
          </w:tcPr>
          <w:p w:rsidR="00821C17" w:rsidRPr="00656877" w:rsidRDefault="00821C17" w:rsidP="0080335A">
            <w:pPr>
              <w:spacing w:after="0"/>
              <w:rPr>
                <w:rFonts w:eastAsia="Times New Roman" w:cs="Times New Roman"/>
                <w:sz w:val="16"/>
                <w:szCs w:val="16"/>
              </w:rPr>
            </w:pPr>
            <w:r w:rsidRPr="00656877">
              <w:rPr>
                <w:sz w:val="16"/>
                <w:szCs w:val="16"/>
              </w:rPr>
              <w:t>Adalimumab</w:t>
            </w:r>
          </w:p>
        </w:tc>
        <w:tc>
          <w:tcPr>
            <w:tcW w:w="1134" w:type="dxa"/>
            <w:tcBorders>
              <w:top w:val="single" w:sz="4" w:space="0" w:color="000000"/>
              <w:left w:val="single" w:sz="4" w:space="0" w:color="000000"/>
              <w:bottom w:val="nil"/>
              <w:right w:val="single" w:sz="4" w:space="0" w:color="auto"/>
            </w:tcBorders>
            <w:shd w:val="clear" w:color="auto" w:fill="auto"/>
            <w:noWrap/>
            <w:vAlign w:val="bottom"/>
            <w:hideMark/>
          </w:tcPr>
          <w:p w:rsidR="00821C17" w:rsidRPr="00656877" w:rsidRDefault="00821C17" w:rsidP="0080335A">
            <w:pPr>
              <w:spacing w:after="0"/>
              <w:jc w:val="center"/>
              <w:rPr>
                <w:rFonts w:eastAsia="Times New Roman" w:cs="Times New Roman"/>
                <w:sz w:val="16"/>
                <w:szCs w:val="16"/>
              </w:rPr>
            </w:pPr>
            <w:r w:rsidRPr="00656877">
              <w:rPr>
                <w:sz w:val="16"/>
                <w:szCs w:val="16"/>
              </w:rPr>
              <w:t>Switch</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1C17" w:rsidRPr="00656877" w:rsidRDefault="00821C17" w:rsidP="0080335A">
            <w:pPr>
              <w:spacing w:after="0"/>
              <w:jc w:val="center"/>
              <w:rPr>
                <w:rFonts w:eastAsia="Times New Roman" w:cs="Times New Roman"/>
                <w:sz w:val="16"/>
                <w:szCs w:val="16"/>
              </w:rPr>
            </w:pPr>
            <w:r w:rsidRPr="00656877">
              <w:rPr>
                <w:sz w:val="16"/>
                <w:szCs w:val="16"/>
              </w:rPr>
              <w:t>11</w:t>
            </w:r>
          </w:p>
        </w:tc>
        <w:tc>
          <w:tcPr>
            <w:tcW w:w="935" w:type="dxa"/>
            <w:tcBorders>
              <w:top w:val="single" w:sz="4" w:space="0" w:color="000000"/>
              <w:left w:val="single" w:sz="4" w:space="0" w:color="auto"/>
              <w:bottom w:val="nil"/>
              <w:right w:val="single" w:sz="4" w:space="0" w:color="000000"/>
            </w:tcBorders>
            <w:shd w:val="clear" w:color="auto" w:fill="auto"/>
            <w:noWrap/>
            <w:vAlign w:val="center"/>
            <w:hideMark/>
          </w:tcPr>
          <w:p w:rsidR="00821C17" w:rsidRPr="00656877" w:rsidRDefault="00821C17" w:rsidP="0080335A">
            <w:pPr>
              <w:spacing w:after="0"/>
              <w:jc w:val="center"/>
              <w:rPr>
                <w:rFonts w:eastAsia="Times New Roman" w:cs="Times New Roman"/>
                <w:sz w:val="16"/>
                <w:szCs w:val="16"/>
              </w:rPr>
            </w:pPr>
            <w:r w:rsidRPr="00656877">
              <w:rPr>
                <w:sz w:val="16"/>
                <w:szCs w:val="16"/>
              </w:rPr>
              <w:t>1.2%</w:t>
            </w:r>
          </w:p>
        </w:tc>
        <w:tc>
          <w:tcPr>
            <w:tcW w:w="766" w:type="dxa"/>
            <w:tcBorders>
              <w:top w:val="nil"/>
              <w:left w:val="nil"/>
              <w:bottom w:val="single" w:sz="4" w:space="0" w:color="auto"/>
              <w:right w:val="single" w:sz="4" w:space="0" w:color="auto"/>
            </w:tcBorders>
            <w:shd w:val="clear" w:color="auto" w:fill="auto"/>
            <w:noWrap/>
            <w:vAlign w:val="center"/>
          </w:tcPr>
          <w:p w:rsidR="00821C17" w:rsidRPr="00656877" w:rsidRDefault="00821C17" w:rsidP="0080335A">
            <w:pPr>
              <w:spacing w:after="0"/>
              <w:jc w:val="center"/>
              <w:rPr>
                <w:rFonts w:eastAsia="Times New Roman" w:cs="Times New Roman"/>
                <w:sz w:val="16"/>
                <w:szCs w:val="16"/>
              </w:rPr>
            </w:pPr>
            <w:r w:rsidRPr="00656877">
              <w:rPr>
                <w:sz w:val="16"/>
                <w:szCs w:val="16"/>
              </w:rPr>
              <w:t>22</w:t>
            </w:r>
          </w:p>
        </w:tc>
      </w:tr>
      <w:tr w:rsidR="00821C17" w:rsidRPr="00131E0E" w:rsidTr="0080335A">
        <w:trPr>
          <w:trHeight w:val="255"/>
        </w:trPr>
        <w:tc>
          <w:tcPr>
            <w:tcW w:w="2425" w:type="dxa"/>
            <w:tcBorders>
              <w:top w:val="single" w:sz="4" w:space="0" w:color="000000"/>
              <w:left w:val="single" w:sz="4" w:space="0" w:color="000000"/>
              <w:bottom w:val="nil"/>
              <w:right w:val="nil"/>
            </w:tcBorders>
            <w:shd w:val="clear" w:color="auto" w:fill="auto"/>
            <w:noWrap/>
            <w:vAlign w:val="bottom"/>
            <w:hideMark/>
          </w:tcPr>
          <w:p w:rsidR="00821C17" w:rsidRPr="00656877" w:rsidRDefault="00821C17" w:rsidP="0080335A">
            <w:pPr>
              <w:spacing w:after="0"/>
              <w:rPr>
                <w:rFonts w:eastAsia="Times New Roman" w:cs="Times New Roman"/>
                <w:sz w:val="16"/>
                <w:szCs w:val="16"/>
              </w:rPr>
            </w:pPr>
            <w:proofErr w:type="spellStart"/>
            <w:r w:rsidRPr="00656877">
              <w:rPr>
                <w:sz w:val="16"/>
                <w:szCs w:val="16"/>
              </w:rPr>
              <w:t>Leflunomide</w:t>
            </w:r>
            <w:proofErr w:type="spellEnd"/>
          </w:p>
        </w:tc>
        <w:tc>
          <w:tcPr>
            <w:tcW w:w="3119" w:type="dxa"/>
            <w:tcBorders>
              <w:top w:val="single" w:sz="4" w:space="0" w:color="000000"/>
              <w:left w:val="single" w:sz="4" w:space="0" w:color="000000"/>
              <w:bottom w:val="nil"/>
              <w:right w:val="nil"/>
            </w:tcBorders>
            <w:shd w:val="clear" w:color="auto" w:fill="auto"/>
            <w:noWrap/>
            <w:vAlign w:val="bottom"/>
            <w:hideMark/>
          </w:tcPr>
          <w:p w:rsidR="00821C17" w:rsidRPr="00656877" w:rsidRDefault="00821C17" w:rsidP="0080335A">
            <w:pPr>
              <w:spacing w:after="0"/>
              <w:rPr>
                <w:rFonts w:eastAsia="Times New Roman" w:cs="Times New Roman"/>
                <w:sz w:val="16"/>
                <w:szCs w:val="16"/>
              </w:rPr>
            </w:pPr>
            <w:proofErr w:type="spellStart"/>
            <w:r w:rsidRPr="00656877">
              <w:rPr>
                <w:sz w:val="16"/>
                <w:szCs w:val="16"/>
              </w:rPr>
              <w:t>Adalimumab+Leflunomide</w:t>
            </w:r>
            <w:proofErr w:type="spellEnd"/>
          </w:p>
        </w:tc>
        <w:tc>
          <w:tcPr>
            <w:tcW w:w="1134" w:type="dxa"/>
            <w:tcBorders>
              <w:top w:val="single" w:sz="4" w:space="0" w:color="000000"/>
              <w:left w:val="single" w:sz="4" w:space="0" w:color="000000"/>
              <w:bottom w:val="nil"/>
              <w:right w:val="single" w:sz="4" w:space="0" w:color="auto"/>
            </w:tcBorders>
            <w:shd w:val="clear" w:color="auto" w:fill="auto"/>
            <w:noWrap/>
            <w:vAlign w:val="bottom"/>
            <w:hideMark/>
          </w:tcPr>
          <w:p w:rsidR="00821C17" w:rsidRPr="00656877" w:rsidRDefault="00821C17" w:rsidP="0080335A">
            <w:pPr>
              <w:spacing w:after="0"/>
              <w:jc w:val="center"/>
              <w:rPr>
                <w:rFonts w:eastAsia="Times New Roman" w:cs="Times New Roman"/>
                <w:sz w:val="16"/>
                <w:szCs w:val="16"/>
              </w:rPr>
            </w:pPr>
            <w:r w:rsidRPr="00656877">
              <w:rPr>
                <w:sz w:val="16"/>
                <w:szCs w:val="16"/>
              </w:rPr>
              <w:t>Add</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1C17" w:rsidRPr="00656877" w:rsidRDefault="00821C17" w:rsidP="0080335A">
            <w:pPr>
              <w:spacing w:after="0"/>
              <w:jc w:val="center"/>
              <w:rPr>
                <w:rFonts w:eastAsia="Times New Roman" w:cs="Times New Roman"/>
                <w:sz w:val="16"/>
                <w:szCs w:val="16"/>
              </w:rPr>
            </w:pPr>
            <w:r w:rsidRPr="00656877">
              <w:rPr>
                <w:sz w:val="16"/>
                <w:szCs w:val="16"/>
              </w:rPr>
              <w:t>11</w:t>
            </w:r>
          </w:p>
        </w:tc>
        <w:tc>
          <w:tcPr>
            <w:tcW w:w="935" w:type="dxa"/>
            <w:tcBorders>
              <w:top w:val="single" w:sz="4" w:space="0" w:color="000000"/>
              <w:left w:val="single" w:sz="4" w:space="0" w:color="auto"/>
              <w:bottom w:val="nil"/>
              <w:right w:val="single" w:sz="4" w:space="0" w:color="000000"/>
            </w:tcBorders>
            <w:shd w:val="clear" w:color="auto" w:fill="auto"/>
            <w:noWrap/>
            <w:vAlign w:val="center"/>
            <w:hideMark/>
          </w:tcPr>
          <w:p w:rsidR="00821C17" w:rsidRPr="00656877" w:rsidRDefault="00821C17" w:rsidP="0080335A">
            <w:pPr>
              <w:spacing w:after="0"/>
              <w:jc w:val="center"/>
              <w:rPr>
                <w:rFonts w:eastAsia="Times New Roman" w:cs="Times New Roman"/>
                <w:sz w:val="16"/>
                <w:szCs w:val="16"/>
              </w:rPr>
            </w:pPr>
            <w:r w:rsidRPr="00656877">
              <w:rPr>
                <w:sz w:val="16"/>
                <w:szCs w:val="16"/>
              </w:rPr>
              <w:t>1.2%</w:t>
            </w:r>
          </w:p>
        </w:tc>
        <w:tc>
          <w:tcPr>
            <w:tcW w:w="766" w:type="dxa"/>
            <w:tcBorders>
              <w:top w:val="nil"/>
              <w:left w:val="nil"/>
              <w:bottom w:val="single" w:sz="4" w:space="0" w:color="auto"/>
              <w:right w:val="single" w:sz="4" w:space="0" w:color="auto"/>
            </w:tcBorders>
            <w:shd w:val="clear" w:color="auto" w:fill="auto"/>
            <w:noWrap/>
            <w:vAlign w:val="center"/>
          </w:tcPr>
          <w:p w:rsidR="00821C17" w:rsidRPr="00656877" w:rsidRDefault="00821C17" w:rsidP="0080335A">
            <w:pPr>
              <w:spacing w:after="0"/>
              <w:jc w:val="center"/>
              <w:rPr>
                <w:rFonts w:eastAsia="Times New Roman" w:cs="Times New Roman"/>
                <w:sz w:val="16"/>
                <w:szCs w:val="16"/>
              </w:rPr>
            </w:pPr>
            <w:r w:rsidRPr="00656877">
              <w:rPr>
                <w:sz w:val="16"/>
                <w:szCs w:val="16"/>
              </w:rPr>
              <w:t>23</w:t>
            </w:r>
          </w:p>
        </w:tc>
      </w:tr>
      <w:tr w:rsidR="00821C17" w:rsidRPr="00131E0E" w:rsidTr="0080335A">
        <w:trPr>
          <w:trHeight w:val="255"/>
        </w:trPr>
        <w:tc>
          <w:tcPr>
            <w:tcW w:w="2425" w:type="dxa"/>
            <w:tcBorders>
              <w:top w:val="single" w:sz="4" w:space="0" w:color="000000"/>
              <w:left w:val="single" w:sz="4" w:space="0" w:color="000000"/>
              <w:bottom w:val="nil"/>
              <w:right w:val="nil"/>
            </w:tcBorders>
            <w:shd w:val="clear" w:color="auto" w:fill="auto"/>
            <w:noWrap/>
            <w:vAlign w:val="bottom"/>
            <w:hideMark/>
          </w:tcPr>
          <w:p w:rsidR="00821C17" w:rsidRPr="00656877" w:rsidRDefault="00821C17" w:rsidP="0080335A">
            <w:pPr>
              <w:spacing w:after="0"/>
              <w:rPr>
                <w:rFonts w:eastAsia="Times New Roman" w:cs="Times New Roman"/>
                <w:sz w:val="16"/>
                <w:szCs w:val="16"/>
              </w:rPr>
            </w:pPr>
            <w:proofErr w:type="spellStart"/>
            <w:r w:rsidRPr="00656877">
              <w:rPr>
                <w:sz w:val="16"/>
                <w:szCs w:val="16"/>
              </w:rPr>
              <w:t>Methotrexate+Sulfasalazine</w:t>
            </w:r>
            <w:proofErr w:type="spellEnd"/>
          </w:p>
        </w:tc>
        <w:tc>
          <w:tcPr>
            <w:tcW w:w="3119" w:type="dxa"/>
            <w:tcBorders>
              <w:top w:val="single" w:sz="4" w:space="0" w:color="000000"/>
              <w:left w:val="single" w:sz="4" w:space="0" w:color="000000"/>
              <w:bottom w:val="nil"/>
              <w:right w:val="nil"/>
            </w:tcBorders>
            <w:shd w:val="clear" w:color="auto" w:fill="auto"/>
            <w:noWrap/>
            <w:vAlign w:val="bottom"/>
            <w:hideMark/>
          </w:tcPr>
          <w:p w:rsidR="00821C17" w:rsidRPr="00656877" w:rsidRDefault="00821C17" w:rsidP="0080335A">
            <w:pPr>
              <w:spacing w:after="0"/>
              <w:rPr>
                <w:rFonts w:eastAsia="Times New Roman" w:cs="Times New Roman"/>
                <w:sz w:val="16"/>
                <w:szCs w:val="16"/>
              </w:rPr>
            </w:pPr>
            <w:proofErr w:type="spellStart"/>
            <w:r w:rsidRPr="00656877">
              <w:rPr>
                <w:sz w:val="16"/>
                <w:szCs w:val="16"/>
              </w:rPr>
              <w:t>Golimumab+Methotrexate+Sulfasalazine</w:t>
            </w:r>
            <w:proofErr w:type="spellEnd"/>
          </w:p>
        </w:tc>
        <w:tc>
          <w:tcPr>
            <w:tcW w:w="1134" w:type="dxa"/>
            <w:tcBorders>
              <w:top w:val="single" w:sz="4" w:space="0" w:color="000000"/>
              <w:left w:val="single" w:sz="4" w:space="0" w:color="000000"/>
              <w:bottom w:val="nil"/>
              <w:right w:val="single" w:sz="4" w:space="0" w:color="auto"/>
            </w:tcBorders>
            <w:shd w:val="clear" w:color="auto" w:fill="auto"/>
            <w:noWrap/>
            <w:vAlign w:val="bottom"/>
            <w:hideMark/>
          </w:tcPr>
          <w:p w:rsidR="00821C17" w:rsidRPr="00656877" w:rsidRDefault="00821C17" w:rsidP="0080335A">
            <w:pPr>
              <w:spacing w:after="0"/>
              <w:jc w:val="center"/>
              <w:rPr>
                <w:rFonts w:eastAsia="Times New Roman" w:cs="Times New Roman"/>
                <w:sz w:val="16"/>
                <w:szCs w:val="16"/>
              </w:rPr>
            </w:pPr>
            <w:r w:rsidRPr="00656877">
              <w:rPr>
                <w:sz w:val="16"/>
                <w:szCs w:val="16"/>
              </w:rPr>
              <w:t>Add</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1C17" w:rsidRPr="00656877" w:rsidRDefault="00821C17" w:rsidP="0080335A">
            <w:pPr>
              <w:spacing w:after="0"/>
              <w:jc w:val="center"/>
              <w:rPr>
                <w:rFonts w:eastAsia="Times New Roman" w:cs="Times New Roman"/>
                <w:sz w:val="16"/>
                <w:szCs w:val="16"/>
              </w:rPr>
            </w:pPr>
            <w:r w:rsidRPr="00656877">
              <w:rPr>
                <w:sz w:val="16"/>
                <w:szCs w:val="16"/>
              </w:rPr>
              <w:t>11</w:t>
            </w:r>
          </w:p>
        </w:tc>
        <w:tc>
          <w:tcPr>
            <w:tcW w:w="935" w:type="dxa"/>
            <w:tcBorders>
              <w:top w:val="single" w:sz="4" w:space="0" w:color="000000"/>
              <w:left w:val="single" w:sz="4" w:space="0" w:color="auto"/>
              <w:bottom w:val="nil"/>
              <w:right w:val="single" w:sz="4" w:space="0" w:color="000000"/>
            </w:tcBorders>
            <w:shd w:val="clear" w:color="auto" w:fill="auto"/>
            <w:noWrap/>
            <w:vAlign w:val="center"/>
            <w:hideMark/>
          </w:tcPr>
          <w:p w:rsidR="00821C17" w:rsidRPr="00656877" w:rsidRDefault="00821C17" w:rsidP="0080335A">
            <w:pPr>
              <w:spacing w:after="0"/>
              <w:jc w:val="center"/>
              <w:rPr>
                <w:rFonts w:eastAsia="Times New Roman" w:cs="Times New Roman"/>
                <w:sz w:val="16"/>
                <w:szCs w:val="16"/>
              </w:rPr>
            </w:pPr>
            <w:r w:rsidRPr="00656877">
              <w:rPr>
                <w:sz w:val="16"/>
                <w:szCs w:val="16"/>
              </w:rPr>
              <w:t>1.2%</w:t>
            </w:r>
          </w:p>
        </w:tc>
        <w:tc>
          <w:tcPr>
            <w:tcW w:w="766" w:type="dxa"/>
            <w:tcBorders>
              <w:top w:val="nil"/>
              <w:left w:val="nil"/>
              <w:bottom w:val="single" w:sz="4" w:space="0" w:color="auto"/>
              <w:right w:val="single" w:sz="4" w:space="0" w:color="auto"/>
            </w:tcBorders>
            <w:shd w:val="clear" w:color="auto" w:fill="auto"/>
            <w:noWrap/>
            <w:vAlign w:val="center"/>
          </w:tcPr>
          <w:p w:rsidR="00821C17" w:rsidRPr="00656877" w:rsidRDefault="00821C17" w:rsidP="0080335A">
            <w:pPr>
              <w:spacing w:after="0"/>
              <w:jc w:val="center"/>
              <w:rPr>
                <w:rFonts w:eastAsia="Times New Roman" w:cs="Times New Roman"/>
                <w:sz w:val="16"/>
                <w:szCs w:val="16"/>
              </w:rPr>
            </w:pPr>
            <w:r w:rsidRPr="00656877">
              <w:rPr>
                <w:sz w:val="16"/>
                <w:szCs w:val="16"/>
              </w:rPr>
              <w:t>24</w:t>
            </w:r>
          </w:p>
        </w:tc>
      </w:tr>
      <w:tr w:rsidR="00821C17" w:rsidRPr="00131E0E" w:rsidTr="0080335A">
        <w:trPr>
          <w:trHeight w:val="255"/>
        </w:trPr>
        <w:tc>
          <w:tcPr>
            <w:tcW w:w="2425" w:type="dxa"/>
            <w:tcBorders>
              <w:top w:val="single" w:sz="4" w:space="0" w:color="000000"/>
              <w:left w:val="single" w:sz="4" w:space="0" w:color="000000"/>
              <w:bottom w:val="nil"/>
              <w:right w:val="nil"/>
            </w:tcBorders>
            <w:shd w:val="clear" w:color="auto" w:fill="auto"/>
            <w:noWrap/>
            <w:vAlign w:val="bottom"/>
            <w:hideMark/>
          </w:tcPr>
          <w:p w:rsidR="00821C17" w:rsidRPr="00656877" w:rsidRDefault="00821C17" w:rsidP="0080335A">
            <w:pPr>
              <w:spacing w:after="0"/>
              <w:rPr>
                <w:rFonts w:eastAsia="Times New Roman" w:cs="Times New Roman"/>
                <w:sz w:val="16"/>
                <w:szCs w:val="16"/>
              </w:rPr>
            </w:pPr>
            <w:proofErr w:type="spellStart"/>
            <w:r w:rsidRPr="00656877">
              <w:rPr>
                <w:sz w:val="16"/>
                <w:szCs w:val="16"/>
              </w:rPr>
              <w:t>Leflunomide+Methotrexate</w:t>
            </w:r>
            <w:proofErr w:type="spellEnd"/>
          </w:p>
        </w:tc>
        <w:tc>
          <w:tcPr>
            <w:tcW w:w="3119" w:type="dxa"/>
            <w:tcBorders>
              <w:top w:val="single" w:sz="4" w:space="0" w:color="000000"/>
              <w:left w:val="single" w:sz="4" w:space="0" w:color="000000"/>
              <w:bottom w:val="nil"/>
              <w:right w:val="nil"/>
            </w:tcBorders>
            <w:shd w:val="clear" w:color="auto" w:fill="auto"/>
            <w:noWrap/>
            <w:vAlign w:val="bottom"/>
            <w:hideMark/>
          </w:tcPr>
          <w:p w:rsidR="00821C17" w:rsidRPr="00656877" w:rsidRDefault="00821C17" w:rsidP="0080335A">
            <w:pPr>
              <w:spacing w:after="0"/>
              <w:rPr>
                <w:rFonts w:eastAsia="Times New Roman" w:cs="Times New Roman"/>
                <w:sz w:val="16"/>
                <w:szCs w:val="16"/>
              </w:rPr>
            </w:pPr>
            <w:proofErr w:type="spellStart"/>
            <w:r w:rsidRPr="00656877">
              <w:rPr>
                <w:sz w:val="16"/>
                <w:szCs w:val="16"/>
              </w:rPr>
              <w:t>Etanercept+Leflunomide+Methotrexate</w:t>
            </w:r>
            <w:proofErr w:type="spellEnd"/>
          </w:p>
        </w:tc>
        <w:tc>
          <w:tcPr>
            <w:tcW w:w="1134" w:type="dxa"/>
            <w:tcBorders>
              <w:top w:val="single" w:sz="4" w:space="0" w:color="000000"/>
              <w:left w:val="single" w:sz="4" w:space="0" w:color="000000"/>
              <w:bottom w:val="nil"/>
              <w:right w:val="single" w:sz="4" w:space="0" w:color="auto"/>
            </w:tcBorders>
            <w:shd w:val="clear" w:color="auto" w:fill="auto"/>
            <w:noWrap/>
            <w:vAlign w:val="bottom"/>
            <w:hideMark/>
          </w:tcPr>
          <w:p w:rsidR="00821C17" w:rsidRPr="00656877" w:rsidRDefault="00821C17" w:rsidP="0080335A">
            <w:pPr>
              <w:spacing w:after="0"/>
              <w:jc w:val="center"/>
              <w:rPr>
                <w:rFonts w:eastAsia="Times New Roman" w:cs="Times New Roman"/>
                <w:sz w:val="16"/>
                <w:szCs w:val="16"/>
              </w:rPr>
            </w:pPr>
            <w:r w:rsidRPr="00656877">
              <w:rPr>
                <w:sz w:val="16"/>
                <w:szCs w:val="16"/>
              </w:rPr>
              <w:t>Add</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1C17" w:rsidRPr="00656877" w:rsidRDefault="00821C17" w:rsidP="0080335A">
            <w:pPr>
              <w:spacing w:after="0"/>
              <w:jc w:val="center"/>
              <w:rPr>
                <w:rFonts w:eastAsia="Times New Roman" w:cs="Times New Roman"/>
                <w:sz w:val="16"/>
                <w:szCs w:val="16"/>
              </w:rPr>
            </w:pPr>
            <w:r w:rsidRPr="00656877">
              <w:rPr>
                <w:sz w:val="16"/>
                <w:szCs w:val="16"/>
              </w:rPr>
              <w:t>11</w:t>
            </w:r>
          </w:p>
        </w:tc>
        <w:tc>
          <w:tcPr>
            <w:tcW w:w="935" w:type="dxa"/>
            <w:tcBorders>
              <w:top w:val="single" w:sz="4" w:space="0" w:color="000000"/>
              <w:left w:val="single" w:sz="4" w:space="0" w:color="auto"/>
              <w:bottom w:val="nil"/>
              <w:right w:val="single" w:sz="4" w:space="0" w:color="000000"/>
            </w:tcBorders>
            <w:shd w:val="clear" w:color="auto" w:fill="auto"/>
            <w:noWrap/>
            <w:vAlign w:val="center"/>
            <w:hideMark/>
          </w:tcPr>
          <w:p w:rsidR="00821C17" w:rsidRPr="00656877" w:rsidRDefault="00821C17" w:rsidP="0080335A">
            <w:pPr>
              <w:spacing w:after="0"/>
              <w:jc w:val="center"/>
              <w:rPr>
                <w:rFonts w:eastAsia="Times New Roman" w:cs="Times New Roman"/>
                <w:sz w:val="16"/>
                <w:szCs w:val="16"/>
              </w:rPr>
            </w:pPr>
            <w:r w:rsidRPr="00656877">
              <w:rPr>
                <w:sz w:val="16"/>
                <w:szCs w:val="16"/>
              </w:rPr>
              <w:t>1.2%</w:t>
            </w:r>
          </w:p>
        </w:tc>
        <w:tc>
          <w:tcPr>
            <w:tcW w:w="766" w:type="dxa"/>
            <w:tcBorders>
              <w:top w:val="nil"/>
              <w:left w:val="nil"/>
              <w:bottom w:val="single" w:sz="4" w:space="0" w:color="auto"/>
              <w:right w:val="single" w:sz="4" w:space="0" w:color="auto"/>
            </w:tcBorders>
            <w:shd w:val="clear" w:color="auto" w:fill="auto"/>
            <w:noWrap/>
            <w:vAlign w:val="center"/>
          </w:tcPr>
          <w:p w:rsidR="00821C17" w:rsidRPr="00656877" w:rsidRDefault="00821C17" w:rsidP="0080335A">
            <w:pPr>
              <w:spacing w:after="0"/>
              <w:jc w:val="center"/>
              <w:rPr>
                <w:rFonts w:eastAsia="Times New Roman" w:cs="Times New Roman"/>
                <w:sz w:val="16"/>
                <w:szCs w:val="16"/>
              </w:rPr>
            </w:pPr>
            <w:r w:rsidRPr="00656877">
              <w:rPr>
                <w:sz w:val="16"/>
                <w:szCs w:val="16"/>
              </w:rPr>
              <w:t>25</w:t>
            </w:r>
          </w:p>
        </w:tc>
      </w:tr>
      <w:tr w:rsidR="00821C17" w:rsidRPr="00131E0E" w:rsidTr="0080335A">
        <w:trPr>
          <w:trHeight w:val="255"/>
        </w:trPr>
        <w:tc>
          <w:tcPr>
            <w:tcW w:w="2425" w:type="dxa"/>
            <w:tcBorders>
              <w:top w:val="single" w:sz="4" w:space="0" w:color="000000"/>
              <w:left w:val="single" w:sz="4" w:space="0" w:color="000000"/>
              <w:bottom w:val="nil"/>
              <w:right w:val="nil"/>
            </w:tcBorders>
            <w:shd w:val="clear" w:color="auto" w:fill="auto"/>
            <w:noWrap/>
            <w:vAlign w:val="bottom"/>
            <w:hideMark/>
          </w:tcPr>
          <w:p w:rsidR="00821C17" w:rsidRPr="00656877" w:rsidRDefault="00821C17" w:rsidP="0080335A">
            <w:pPr>
              <w:spacing w:after="0"/>
              <w:rPr>
                <w:rFonts w:eastAsia="Times New Roman" w:cs="Times New Roman"/>
                <w:sz w:val="16"/>
                <w:szCs w:val="16"/>
              </w:rPr>
            </w:pPr>
            <w:proofErr w:type="spellStart"/>
            <w:r w:rsidRPr="00656877">
              <w:rPr>
                <w:sz w:val="16"/>
                <w:szCs w:val="16"/>
              </w:rPr>
              <w:t>Methotrexate+Sulfasalazine</w:t>
            </w:r>
            <w:proofErr w:type="spellEnd"/>
          </w:p>
        </w:tc>
        <w:tc>
          <w:tcPr>
            <w:tcW w:w="3119" w:type="dxa"/>
            <w:tcBorders>
              <w:top w:val="single" w:sz="4" w:space="0" w:color="000000"/>
              <w:left w:val="single" w:sz="4" w:space="0" w:color="000000"/>
              <w:bottom w:val="nil"/>
              <w:right w:val="nil"/>
            </w:tcBorders>
            <w:shd w:val="clear" w:color="auto" w:fill="auto"/>
            <w:noWrap/>
            <w:vAlign w:val="bottom"/>
            <w:hideMark/>
          </w:tcPr>
          <w:p w:rsidR="00821C17" w:rsidRPr="00656877" w:rsidRDefault="00821C17" w:rsidP="0080335A">
            <w:pPr>
              <w:spacing w:after="0"/>
              <w:rPr>
                <w:rFonts w:eastAsia="Times New Roman" w:cs="Times New Roman"/>
                <w:sz w:val="16"/>
                <w:szCs w:val="16"/>
              </w:rPr>
            </w:pPr>
            <w:proofErr w:type="spellStart"/>
            <w:r w:rsidRPr="00656877">
              <w:rPr>
                <w:sz w:val="16"/>
                <w:szCs w:val="16"/>
              </w:rPr>
              <w:t>Etanercept</w:t>
            </w:r>
            <w:proofErr w:type="spellEnd"/>
          </w:p>
        </w:tc>
        <w:tc>
          <w:tcPr>
            <w:tcW w:w="1134" w:type="dxa"/>
            <w:tcBorders>
              <w:top w:val="single" w:sz="4" w:space="0" w:color="000000"/>
              <w:left w:val="single" w:sz="4" w:space="0" w:color="000000"/>
              <w:bottom w:val="nil"/>
              <w:right w:val="single" w:sz="4" w:space="0" w:color="auto"/>
            </w:tcBorders>
            <w:shd w:val="clear" w:color="auto" w:fill="auto"/>
            <w:noWrap/>
            <w:vAlign w:val="bottom"/>
            <w:hideMark/>
          </w:tcPr>
          <w:p w:rsidR="00821C17" w:rsidRPr="00656877" w:rsidRDefault="00821C17" w:rsidP="0080335A">
            <w:pPr>
              <w:spacing w:after="0"/>
              <w:jc w:val="center"/>
              <w:rPr>
                <w:rFonts w:eastAsia="Times New Roman" w:cs="Times New Roman"/>
                <w:sz w:val="16"/>
                <w:szCs w:val="16"/>
              </w:rPr>
            </w:pPr>
            <w:r w:rsidRPr="00656877">
              <w:rPr>
                <w:sz w:val="16"/>
                <w:szCs w:val="16"/>
              </w:rPr>
              <w:t>Switch</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1C17" w:rsidRPr="00656877" w:rsidRDefault="00821C17" w:rsidP="0080335A">
            <w:pPr>
              <w:spacing w:after="0"/>
              <w:jc w:val="center"/>
              <w:rPr>
                <w:rFonts w:eastAsia="Times New Roman" w:cs="Times New Roman"/>
                <w:sz w:val="16"/>
                <w:szCs w:val="16"/>
              </w:rPr>
            </w:pPr>
            <w:r w:rsidRPr="00656877">
              <w:rPr>
                <w:sz w:val="16"/>
                <w:szCs w:val="16"/>
              </w:rPr>
              <w:t>10</w:t>
            </w:r>
          </w:p>
        </w:tc>
        <w:tc>
          <w:tcPr>
            <w:tcW w:w="935" w:type="dxa"/>
            <w:tcBorders>
              <w:top w:val="single" w:sz="4" w:space="0" w:color="000000"/>
              <w:left w:val="single" w:sz="4" w:space="0" w:color="auto"/>
              <w:bottom w:val="nil"/>
              <w:right w:val="single" w:sz="4" w:space="0" w:color="000000"/>
            </w:tcBorders>
            <w:shd w:val="clear" w:color="auto" w:fill="auto"/>
            <w:noWrap/>
            <w:vAlign w:val="center"/>
            <w:hideMark/>
          </w:tcPr>
          <w:p w:rsidR="00821C17" w:rsidRPr="00656877" w:rsidRDefault="00821C17" w:rsidP="0080335A">
            <w:pPr>
              <w:spacing w:after="0"/>
              <w:jc w:val="center"/>
              <w:rPr>
                <w:rFonts w:eastAsia="Times New Roman" w:cs="Times New Roman"/>
                <w:sz w:val="16"/>
                <w:szCs w:val="16"/>
              </w:rPr>
            </w:pPr>
            <w:r w:rsidRPr="00656877">
              <w:rPr>
                <w:sz w:val="16"/>
                <w:szCs w:val="16"/>
              </w:rPr>
              <w:t>1.1%</w:t>
            </w:r>
          </w:p>
        </w:tc>
        <w:tc>
          <w:tcPr>
            <w:tcW w:w="766" w:type="dxa"/>
            <w:tcBorders>
              <w:top w:val="nil"/>
              <w:left w:val="nil"/>
              <w:bottom w:val="single" w:sz="4" w:space="0" w:color="auto"/>
              <w:right w:val="single" w:sz="4" w:space="0" w:color="auto"/>
            </w:tcBorders>
            <w:shd w:val="clear" w:color="auto" w:fill="auto"/>
            <w:noWrap/>
            <w:vAlign w:val="center"/>
          </w:tcPr>
          <w:p w:rsidR="00821C17" w:rsidRPr="00656877" w:rsidRDefault="00821C17" w:rsidP="0080335A">
            <w:pPr>
              <w:spacing w:after="0"/>
              <w:jc w:val="center"/>
              <w:rPr>
                <w:rFonts w:eastAsia="Times New Roman" w:cs="Times New Roman"/>
                <w:sz w:val="16"/>
                <w:szCs w:val="16"/>
              </w:rPr>
            </w:pPr>
            <w:r w:rsidRPr="00656877">
              <w:rPr>
                <w:sz w:val="16"/>
                <w:szCs w:val="16"/>
              </w:rPr>
              <w:t>26</w:t>
            </w:r>
          </w:p>
        </w:tc>
      </w:tr>
      <w:tr w:rsidR="00821C17" w:rsidRPr="00131E0E" w:rsidTr="0080335A">
        <w:trPr>
          <w:trHeight w:val="255"/>
        </w:trPr>
        <w:tc>
          <w:tcPr>
            <w:tcW w:w="2425" w:type="dxa"/>
            <w:tcBorders>
              <w:top w:val="single" w:sz="4" w:space="0" w:color="000000"/>
              <w:left w:val="single" w:sz="4" w:space="0" w:color="000000"/>
              <w:bottom w:val="nil"/>
              <w:right w:val="nil"/>
            </w:tcBorders>
            <w:shd w:val="clear" w:color="auto" w:fill="auto"/>
            <w:noWrap/>
            <w:vAlign w:val="bottom"/>
            <w:hideMark/>
          </w:tcPr>
          <w:p w:rsidR="00821C17" w:rsidRPr="00656877" w:rsidRDefault="00821C17" w:rsidP="0080335A">
            <w:pPr>
              <w:spacing w:after="0"/>
              <w:rPr>
                <w:rFonts w:eastAsia="Times New Roman" w:cs="Times New Roman"/>
                <w:sz w:val="16"/>
                <w:szCs w:val="16"/>
              </w:rPr>
            </w:pPr>
            <w:proofErr w:type="spellStart"/>
            <w:r w:rsidRPr="00656877">
              <w:rPr>
                <w:sz w:val="16"/>
                <w:szCs w:val="16"/>
              </w:rPr>
              <w:t>Leflunomide+Methotrexate</w:t>
            </w:r>
            <w:proofErr w:type="spellEnd"/>
          </w:p>
        </w:tc>
        <w:tc>
          <w:tcPr>
            <w:tcW w:w="3119" w:type="dxa"/>
            <w:tcBorders>
              <w:top w:val="single" w:sz="4" w:space="0" w:color="000000"/>
              <w:left w:val="single" w:sz="4" w:space="0" w:color="000000"/>
              <w:bottom w:val="nil"/>
              <w:right w:val="nil"/>
            </w:tcBorders>
            <w:shd w:val="clear" w:color="auto" w:fill="auto"/>
            <w:noWrap/>
            <w:vAlign w:val="bottom"/>
            <w:hideMark/>
          </w:tcPr>
          <w:p w:rsidR="00821C17" w:rsidRPr="00656877" w:rsidRDefault="00821C17" w:rsidP="0080335A">
            <w:pPr>
              <w:spacing w:after="0"/>
              <w:rPr>
                <w:rFonts w:eastAsia="Times New Roman" w:cs="Times New Roman"/>
                <w:sz w:val="16"/>
                <w:szCs w:val="16"/>
              </w:rPr>
            </w:pPr>
            <w:proofErr w:type="spellStart"/>
            <w:r w:rsidRPr="00656877">
              <w:rPr>
                <w:sz w:val="16"/>
                <w:szCs w:val="16"/>
              </w:rPr>
              <w:t>Golimumab</w:t>
            </w:r>
            <w:proofErr w:type="spellEnd"/>
          </w:p>
        </w:tc>
        <w:tc>
          <w:tcPr>
            <w:tcW w:w="1134" w:type="dxa"/>
            <w:tcBorders>
              <w:top w:val="single" w:sz="4" w:space="0" w:color="000000"/>
              <w:left w:val="single" w:sz="4" w:space="0" w:color="000000"/>
              <w:bottom w:val="nil"/>
              <w:right w:val="single" w:sz="4" w:space="0" w:color="auto"/>
            </w:tcBorders>
            <w:shd w:val="clear" w:color="auto" w:fill="auto"/>
            <w:noWrap/>
            <w:vAlign w:val="bottom"/>
            <w:hideMark/>
          </w:tcPr>
          <w:p w:rsidR="00821C17" w:rsidRPr="00656877" w:rsidRDefault="00821C17" w:rsidP="0080335A">
            <w:pPr>
              <w:spacing w:after="0"/>
              <w:jc w:val="center"/>
              <w:rPr>
                <w:rFonts w:eastAsia="Times New Roman" w:cs="Times New Roman"/>
                <w:sz w:val="16"/>
                <w:szCs w:val="16"/>
              </w:rPr>
            </w:pPr>
            <w:r w:rsidRPr="00656877">
              <w:rPr>
                <w:sz w:val="16"/>
                <w:szCs w:val="16"/>
              </w:rPr>
              <w:t>Switch</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1C17" w:rsidRPr="00656877" w:rsidRDefault="00821C17" w:rsidP="0080335A">
            <w:pPr>
              <w:spacing w:after="0"/>
              <w:jc w:val="center"/>
              <w:rPr>
                <w:rFonts w:eastAsia="Times New Roman" w:cs="Times New Roman"/>
                <w:sz w:val="16"/>
                <w:szCs w:val="16"/>
              </w:rPr>
            </w:pPr>
            <w:r w:rsidRPr="00656877">
              <w:rPr>
                <w:sz w:val="16"/>
                <w:szCs w:val="16"/>
              </w:rPr>
              <w:t>9</w:t>
            </w:r>
          </w:p>
        </w:tc>
        <w:tc>
          <w:tcPr>
            <w:tcW w:w="935" w:type="dxa"/>
            <w:tcBorders>
              <w:top w:val="single" w:sz="4" w:space="0" w:color="000000"/>
              <w:left w:val="single" w:sz="4" w:space="0" w:color="auto"/>
              <w:bottom w:val="nil"/>
              <w:right w:val="single" w:sz="4" w:space="0" w:color="000000"/>
            </w:tcBorders>
            <w:shd w:val="clear" w:color="auto" w:fill="auto"/>
            <w:noWrap/>
            <w:vAlign w:val="center"/>
            <w:hideMark/>
          </w:tcPr>
          <w:p w:rsidR="00821C17" w:rsidRPr="00656877" w:rsidRDefault="00821C17" w:rsidP="0080335A">
            <w:pPr>
              <w:spacing w:after="0"/>
              <w:jc w:val="center"/>
              <w:rPr>
                <w:rFonts w:eastAsia="Times New Roman" w:cs="Times New Roman"/>
                <w:sz w:val="16"/>
                <w:szCs w:val="16"/>
              </w:rPr>
            </w:pPr>
            <w:r w:rsidRPr="00656877">
              <w:rPr>
                <w:sz w:val="16"/>
                <w:szCs w:val="16"/>
              </w:rPr>
              <w:t>1.0%</w:t>
            </w:r>
          </w:p>
        </w:tc>
        <w:tc>
          <w:tcPr>
            <w:tcW w:w="766" w:type="dxa"/>
            <w:tcBorders>
              <w:top w:val="nil"/>
              <w:left w:val="nil"/>
              <w:bottom w:val="single" w:sz="4" w:space="0" w:color="auto"/>
              <w:right w:val="single" w:sz="4" w:space="0" w:color="auto"/>
            </w:tcBorders>
            <w:shd w:val="clear" w:color="auto" w:fill="auto"/>
            <w:noWrap/>
            <w:vAlign w:val="center"/>
          </w:tcPr>
          <w:p w:rsidR="00821C17" w:rsidRPr="00656877" w:rsidRDefault="00821C17" w:rsidP="0080335A">
            <w:pPr>
              <w:spacing w:after="0"/>
              <w:jc w:val="center"/>
              <w:rPr>
                <w:rFonts w:eastAsia="Times New Roman" w:cs="Times New Roman"/>
                <w:sz w:val="16"/>
                <w:szCs w:val="16"/>
              </w:rPr>
            </w:pPr>
            <w:r w:rsidRPr="00656877">
              <w:rPr>
                <w:sz w:val="16"/>
                <w:szCs w:val="16"/>
              </w:rPr>
              <w:t>27</w:t>
            </w:r>
          </w:p>
        </w:tc>
      </w:tr>
      <w:tr w:rsidR="00821C17" w:rsidRPr="00131E0E" w:rsidTr="0080335A">
        <w:trPr>
          <w:trHeight w:val="255"/>
        </w:trPr>
        <w:tc>
          <w:tcPr>
            <w:tcW w:w="2425" w:type="dxa"/>
            <w:tcBorders>
              <w:top w:val="single" w:sz="4" w:space="0" w:color="000000"/>
              <w:left w:val="single" w:sz="4" w:space="0" w:color="000000"/>
              <w:bottom w:val="nil"/>
              <w:right w:val="nil"/>
            </w:tcBorders>
            <w:shd w:val="clear" w:color="auto" w:fill="auto"/>
            <w:noWrap/>
            <w:vAlign w:val="bottom"/>
            <w:hideMark/>
          </w:tcPr>
          <w:p w:rsidR="00821C17" w:rsidRPr="00656877" w:rsidRDefault="00821C17" w:rsidP="0080335A">
            <w:pPr>
              <w:spacing w:after="0"/>
              <w:rPr>
                <w:rFonts w:eastAsia="Times New Roman" w:cs="Times New Roman"/>
                <w:sz w:val="16"/>
                <w:szCs w:val="16"/>
              </w:rPr>
            </w:pPr>
            <w:proofErr w:type="spellStart"/>
            <w:r w:rsidRPr="00656877">
              <w:rPr>
                <w:sz w:val="16"/>
                <w:szCs w:val="16"/>
              </w:rPr>
              <w:t>Leflunomide</w:t>
            </w:r>
            <w:proofErr w:type="spellEnd"/>
          </w:p>
        </w:tc>
        <w:tc>
          <w:tcPr>
            <w:tcW w:w="3119" w:type="dxa"/>
            <w:tcBorders>
              <w:top w:val="single" w:sz="4" w:space="0" w:color="000000"/>
              <w:left w:val="single" w:sz="4" w:space="0" w:color="000000"/>
              <w:bottom w:val="nil"/>
              <w:right w:val="nil"/>
            </w:tcBorders>
            <w:shd w:val="clear" w:color="auto" w:fill="auto"/>
            <w:noWrap/>
            <w:vAlign w:val="bottom"/>
            <w:hideMark/>
          </w:tcPr>
          <w:p w:rsidR="00821C17" w:rsidRPr="00656877" w:rsidRDefault="00821C17" w:rsidP="0080335A">
            <w:pPr>
              <w:spacing w:after="0"/>
              <w:rPr>
                <w:rFonts w:eastAsia="Times New Roman" w:cs="Times New Roman"/>
                <w:sz w:val="16"/>
                <w:szCs w:val="16"/>
              </w:rPr>
            </w:pPr>
            <w:proofErr w:type="spellStart"/>
            <w:r w:rsidRPr="00656877">
              <w:rPr>
                <w:sz w:val="16"/>
                <w:szCs w:val="16"/>
              </w:rPr>
              <w:t>Etanercept+Leflunomide</w:t>
            </w:r>
            <w:proofErr w:type="spellEnd"/>
          </w:p>
        </w:tc>
        <w:tc>
          <w:tcPr>
            <w:tcW w:w="1134" w:type="dxa"/>
            <w:tcBorders>
              <w:top w:val="single" w:sz="4" w:space="0" w:color="000000"/>
              <w:left w:val="single" w:sz="4" w:space="0" w:color="000000"/>
              <w:bottom w:val="nil"/>
              <w:right w:val="single" w:sz="4" w:space="0" w:color="auto"/>
            </w:tcBorders>
            <w:shd w:val="clear" w:color="auto" w:fill="auto"/>
            <w:noWrap/>
            <w:vAlign w:val="bottom"/>
            <w:hideMark/>
          </w:tcPr>
          <w:p w:rsidR="00821C17" w:rsidRPr="00656877" w:rsidRDefault="00821C17" w:rsidP="0080335A">
            <w:pPr>
              <w:spacing w:after="0"/>
              <w:jc w:val="center"/>
              <w:rPr>
                <w:rFonts w:eastAsia="Times New Roman" w:cs="Times New Roman"/>
                <w:sz w:val="16"/>
                <w:szCs w:val="16"/>
              </w:rPr>
            </w:pPr>
            <w:r w:rsidRPr="00656877">
              <w:rPr>
                <w:sz w:val="16"/>
                <w:szCs w:val="16"/>
              </w:rPr>
              <w:t>Add</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1C17" w:rsidRPr="00656877" w:rsidRDefault="00821C17" w:rsidP="0080335A">
            <w:pPr>
              <w:spacing w:after="0"/>
              <w:jc w:val="center"/>
              <w:rPr>
                <w:rFonts w:eastAsia="Times New Roman" w:cs="Times New Roman"/>
                <w:sz w:val="16"/>
                <w:szCs w:val="16"/>
              </w:rPr>
            </w:pPr>
            <w:r w:rsidRPr="00656877">
              <w:rPr>
                <w:sz w:val="16"/>
                <w:szCs w:val="16"/>
              </w:rPr>
              <w:t>7</w:t>
            </w:r>
          </w:p>
        </w:tc>
        <w:tc>
          <w:tcPr>
            <w:tcW w:w="935" w:type="dxa"/>
            <w:tcBorders>
              <w:top w:val="single" w:sz="4" w:space="0" w:color="000000"/>
              <w:left w:val="single" w:sz="4" w:space="0" w:color="auto"/>
              <w:bottom w:val="nil"/>
              <w:right w:val="single" w:sz="4" w:space="0" w:color="000000"/>
            </w:tcBorders>
            <w:shd w:val="clear" w:color="auto" w:fill="auto"/>
            <w:noWrap/>
            <w:vAlign w:val="center"/>
            <w:hideMark/>
          </w:tcPr>
          <w:p w:rsidR="00821C17" w:rsidRPr="00656877" w:rsidRDefault="00821C17" w:rsidP="0080335A">
            <w:pPr>
              <w:spacing w:after="0"/>
              <w:jc w:val="center"/>
              <w:rPr>
                <w:rFonts w:eastAsia="Times New Roman" w:cs="Times New Roman"/>
                <w:sz w:val="16"/>
                <w:szCs w:val="16"/>
              </w:rPr>
            </w:pPr>
            <w:r w:rsidRPr="00656877">
              <w:rPr>
                <w:sz w:val="16"/>
                <w:szCs w:val="16"/>
              </w:rPr>
              <w:t>0.8%</w:t>
            </w:r>
          </w:p>
        </w:tc>
        <w:tc>
          <w:tcPr>
            <w:tcW w:w="766" w:type="dxa"/>
            <w:tcBorders>
              <w:top w:val="nil"/>
              <w:left w:val="nil"/>
              <w:bottom w:val="single" w:sz="4" w:space="0" w:color="auto"/>
              <w:right w:val="single" w:sz="4" w:space="0" w:color="auto"/>
            </w:tcBorders>
            <w:shd w:val="clear" w:color="auto" w:fill="auto"/>
            <w:noWrap/>
            <w:vAlign w:val="center"/>
          </w:tcPr>
          <w:p w:rsidR="00821C17" w:rsidRPr="00656877" w:rsidRDefault="00821C17" w:rsidP="0080335A">
            <w:pPr>
              <w:spacing w:after="0"/>
              <w:jc w:val="center"/>
              <w:rPr>
                <w:rFonts w:eastAsia="Times New Roman" w:cs="Times New Roman"/>
                <w:sz w:val="16"/>
                <w:szCs w:val="16"/>
              </w:rPr>
            </w:pPr>
            <w:r w:rsidRPr="00656877">
              <w:rPr>
                <w:sz w:val="16"/>
                <w:szCs w:val="16"/>
              </w:rPr>
              <w:t>28</w:t>
            </w:r>
          </w:p>
        </w:tc>
      </w:tr>
      <w:tr w:rsidR="00821C17" w:rsidRPr="00131E0E" w:rsidTr="0080335A">
        <w:trPr>
          <w:trHeight w:val="255"/>
        </w:trPr>
        <w:tc>
          <w:tcPr>
            <w:tcW w:w="2425" w:type="dxa"/>
            <w:tcBorders>
              <w:top w:val="single" w:sz="4" w:space="0" w:color="000000"/>
              <w:left w:val="single" w:sz="4" w:space="0" w:color="000000"/>
              <w:bottom w:val="nil"/>
              <w:right w:val="nil"/>
            </w:tcBorders>
            <w:shd w:val="clear" w:color="auto" w:fill="auto"/>
            <w:noWrap/>
            <w:vAlign w:val="bottom"/>
            <w:hideMark/>
          </w:tcPr>
          <w:p w:rsidR="00821C17" w:rsidRPr="00656877" w:rsidRDefault="00821C17" w:rsidP="0080335A">
            <w:pPr>
              <w:spacing w:after="0"/>
              <w:rPr>
                <w:rFonts w:eastAsia="Times New Roman" w:cs="Times New Roman"/>
                <w:sz w:val="16"/>
                <w:szCs w:val="16"/>
              </w:rPr>
            </w:pPr>
            <w:proofErr w:type="spellStart"/>
            <w:r w:rsidRPr="00656877">
              <w:rPr>
                <w:sz w:val="16"/>
                <w:szCs w:val="16"/>
              </w:rPr>
              <w:t>Leflunomide+Methotrexate</w:t>
            </w:r>
            <w:proofErr w:type="spellEnd"/>
          </w:p>
        </w:tc>
        <w:tc>
          <w:tcPr>
            <w:tcW w:w="3119" w:type="dxa"/>
            <w:tcBorders>
              <w:top w:val="single" w:sz="4" w:space="0" w:color="000000"/>
              <w:left w:val="single" w:sz="4" w:space="0" w:color="000000"/>
              <w:bottom w:val="nil"/>
              <w:right w:val="nil"/>
            </w:tcBorders>
            <w:shd w:val="clear" w:color="auto" w:fill="auto"/>
            <w:noWrap/>
            <w:vAlign w:val="bottom"/>
            <w:hideMark/>
          </w:tcPr>
          <w:p w:rsidR="00821C17" w:rsidRPr="00656877" w:rsidRDefault="00821C17" w:rsidP="0080335A">
            <w:pPr>
              <w:spacing w:after="0"/>
              <w:rPr>
                <w:rFonts w:eastAsia="Times New Roman" w:cs="Times New Roman"/>
                <w:sz w:val="16"/>
                <w:szCs w:val="16"/>
              </w:rPr>
            </w:pPr>
            <w:proofErr w:type="spellStart"/>
            <w:r w:rsidRPr="00656877">
              <w:rPr>
                <w:sz w:val="16"/>
                <w:szCs w:val="16"/>
              </w:rPr>
              <w:t>Golimumab+Leflunomide+Methotrexate</w:t>
            </w:r>
            <w:proofErr w:type="spellEnd"/>
          </w:p>
        </w:tc>
        <w:tc>
          <w:tcPr>
            <w:tcW w:w="1134" w:type="dxa"/>
            <w:tcBorders>
              <w:top w:val="single" w:sz="4" w:space="0" w:color="000000"/>
              <w:left w:val="single" w:sz="4" w:space="0" w:color="000000"/>
              <w:bottom w:val="nil"/>
              <w:right w:val="single" w:sz="4" w:space="0" w:color="auto"/>
            </w:tcBorders>
            <w:shd w:val="clear" w:color="auto" w:fill="auto"/>
            <w:noWrap/>
            <w:vAlign w:val="bottom"/>
            <w:hideMark/>
          </w:tcPr>
          <w:p w:rsidR="00821C17" w:rsidRPr="00656877" w:rsidRDefault="00821C17" w:rsidP="0080335A">
            <w:pPr>
              <w:spacing w:after="0"/>
              <w:jc w:val="center"/>
              <w:rPr>
                <w:rFonts w:eastAsia="Times New Roman" w:cs="Times New Roman"/>
                <w:sz w:val="16"/>
                <w:szCs w:val="16"/>
              </w:rPr>
            </w:pPr>
            <w:r w:rsidRPr="00656877">
              <w:rPr>
                <w:sz w:val="16"/>
                <w:szCs w:val="16"/>
              </w:rPr>
              <w:t>Add</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1C17" w:rsidRPr="00656877" w:rsidRDefault="00821C17" w:rsidP="0080335A">
            <w:pPr>
              <w:spacing w:after="0"/>
              <w:jc w:val="center"/>
              <w:rPr>
                <w:rFonts w:eastAsia="Times New Roman" w:cs="Times New Roman"/>
                <w:sz w:val="16"/>
                <w:szCs w:val="16"/>
              </w:rPr>
            </w:pPr>
            <w:r w:rsidRPr="00656877">
              <w:rPr>
                <w:sz w:val="16"/>
                <w:szCs w:val="16"/>
              </w:rPr>
              <w:t>7</w:t>
            </w:r>
          </w:p>
        </w:tc>
        <w:tc>
          <w:tcPr>
            <w:tcW w:w="935" w:type="dxa"/>
            <w:tcBorders>
              <w:top w:val="single" w:sz="4" w:space="0" w:color="000000"/>
              <w:left w:val="single" w:sz="4" w:space="0" w:color="auto"/>
              <w:bottom w:val="nil"/>
              <w:right w:val="single" w:sz="4" w:space="0" w:color="000000"/>
            </w:tcBorders>
            <w:shd w:val="clear" w:color="auto" w:fill="auto"/>
            <w:noWrap/>
            <w:vAlign w:val="center"/>
            <w:hideMark/>
          </w:tcPr>
          <w:p w:rsidR="00821C17" w:rsidRPr="00656877" w:rsidRDefault="00821C17" w:rsidP="0080335A">
            <w:pPr>
              <w:spacing w:after="0"/>
              <w:jc w:val="center"/>
              <w:rPr>
                <w:rFonts w:eastAsia="Times New Roman" w:cs="Times New Roman"/>
                <w:sz w:val="16"/>
                <w:szCs w:val="16"/>
              </w:rPr>
            </w:pPr>
            <w:r w:rsidRPr="00656877">
              <w:rPr>
                <w:sz w:val="16"/>
                <w:szCs w:val="16"/>
              </w:rPr>
              <w:t>0.8%</w:t>
            </w:r>
          </w:p>
        </w:tc>
        <w:tc>
          <w:tcPr>
            <w:tcW w:w="766" w:type="dxa"/>
            <w:tcBorders>
              <w:top w:val="nil"/>
              <w:left w:val="nil"/>
              <w:bottom w:val="single" w:sz="4" w:space="0" w:color="auto"/>
              <w:right w:val="single" w:sz="4" w:space="0" w:color="auto"/>
            </w:tcBorders>
            <w:shd w:val="clear" w:color="auto" w:fill="auto"/>
            <w:noWrap/>
            <w:vAlign w:val="center"/>
          </w:tcPr>
          <w:p w:rsidR="00821C17" w:rsidRPr="00656877" w:rsidRDefault="00821C17" w:rsidP="0080335A">
            <w:pPr>
              <w:spacing w:after="0"/>
              <w:jc w:val="center"/>
              <w:rPr>
                <w:rFonts w:eastAsia="Times New Roman" w:cs="Times New Roman"/>
                <w:sz w:val="16"/>
                <w:szCs w:val="16"/>
              </w:rPr>
            </w:pPr>
            <w:r w:rsidRPr="00656877">
              <w:rPr>
                <w:sz w:val="16"/>
                <w:szCs w:val="16"/>
              </w:rPr>
              <w:t>29</w:t>
            </w:r>
          </w:p>
        </w:tc>
      </w:tr>
      <w:tr w:rsidR="00821C17" w:rsidRPr="00131E0E" w:rsidTr="0080335A">
        <w:trPr>
          <w:trHeight w:val="255"/>
        </w:trPr>
        <w:tc>
          <w:tcPr>
            <w:tcW w:w="2425" w:type="dxa"/>
            <w:tcBorders>
              <w:top w:val="single" w:sz="4" w:space="0" w:color="000000"/>
              <w:left w:val="single" w:sz="4" w:space="0" w:color="000000"/>
              <w:bottom w:val="nil"/>
              <w:right w:val="nil"/>
            </w:tcBorders>
            <w:shd w:val="clear" w:color="auto" w:fill="auto"/>
            <w:noWrap/>
            <w:vAlign w:val="bottom"/>
            <w:hideMark/>
          </w:tcPr>
          <w:p w:rsidR="00821C17" w:rsidRPr="00656877" w:rsidRDefault="00821C17" w:rsidP="0080335A">
            <w:pPr>
              <w:spacing w:after="0"/>
              <w:rPr>
                <w:rFonts w:eastAsia="Times New Roman" w:cs="Times New Roman"/>
                <w:sz w:val="16"/>
                <w:szCs w:val="16"/>
              </w:rPr>
            </w:pPr>
            <w:r w:rsidRPr="00656877">
              <w:rPr>
                <w:sz w:val="16"/>
                <w:szCs w:val="16"/>
              </w:rPr>
              <w:t>Sulfasalazine</w:t>
            </w:r>
          </w:p>
        </w:tc>
        <w:tc>
          <w:tcPr>
            <w:tcW w:w="3119" w:type="dxa"/>
            <w:tcBorders>
              <w:top w:val="single" w:sz="4" w:space="0" w:color="000000"/>
              <w:left w:val="single" w:sz="4" w:space="0" w:color="000000"/>
              <w:bottom w:val="nil"/>
              <w:right w:val="nil"/>
            </w:tcBorders>
            <w:shd w:val="clear" w:color="auto" w:fill="auto"/>
            <w:noWrap/>
            <w:vAlign w:val="bottom"/>
            <w:hideMark/>
          </w:tcPr>
          <w:p w:rsidR="00821C17" w:rsidRPr="00656877" w:rsidRDefault="00821C17" w:rsidP="0080335A">
            <w:pPr>
              <w:spacing w:after="0"/>
              <w:rPr>
                <w:rFonts w:eastAsia="Times New Roman" w:cs="Times New Roman"/>
                <w:sz w:val="16"/>
                <w:szCs w:val="16"/>
              </w:rPr>
            </w:pPr>
            <w:proofErr w:type="spellStart"/>
            <w:r w:rsidRPr="00656877">
              <w:rPr>
                <w:sz w:val="16"/>
                <w:szCs w:val="16"/>
              </w:rPr>
              <w:t>Etanercept+Sulfasalazine</w:t>
            </w:r>
            <w:proofErr w:type="spellEnd"/>
          </w:p>
        </w:tc>
        <w:tc>
          <w:tcPr>
            <w:tcW w:w="1134" w:type="dxa"/>
            <w:tcBorders>
              <w:top w:val="single" w:sz="4" w:space="0" w:color="000000"/>
              <w:left w:val="single" w:sz="4" w:space="0" w:color="000000"/>
              <w:bottom w:val="nil"/>
              <w:right w:val="single" w:sz="4" w:space="0" w:color="auto"/>
            </w:tcBorders>
            <w:shd w:val="clear" w:color="auto" w:fill="auto"/>
            <w:noWrap/>
            <w:vAlign w:val="bottom"/>
            <w:hideMark/>
          </w:tcPr>
          <w:p w:rsidR="00821C17" w:rsidRPr="00656877" w:rsidRDefault="00821C17" w:rsidP="0080335A">
            <w:pPr>
              <w:spacing w:after="0"/>
              <w:jc w:val="center"/>
              <w:rPr>
                <w:rFonts w:eastAsia="Times New Roman" w:cs="Times New Roman"/>
                <w:sz w:val="16"/>
                <w:szCs w:val="16"/>
              </w:rPr>
            </w:pPr>
            <w:r w:rsidRPr="00656877">
              <w:rPr>
                <w:sz w:val="16"/>
                <w:szCs w:val="16"/>
              </w:rPr>
              <w:t>Add</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1C17" w:rsidRPr="00656877" w:rsidRDefault="00821C17" w:rsidP="0080335A">
            <w:pPr>
              <w:spacing w:after="0"/>
              <w:jc w:val="center"/>
              <w:rPr>
                <w:rFonts w:eastAsia="Times New Roman" w:cs="Times New Roman"/>
                <w:sz w:val="16"/>
                <w:szCs w:val="16"/>
              </w:rPr>
            </w:pPr>
            <w:r w:rsidRPr="00656877">
              <w:rPr>
                <w:sz w:val="16"/>
                <w:szCs w:val="16"/>
              </w:rPr>
              <w:t>7</w:t>
            </w:r>
          </w:p>
        </w:tc>
        <w:tc>
          <w:tcPr>
            <w:tcW w:w="935" w:type="dxa"/>
            <w:tcBorders>
              <w:top w:val="single" w:sz="4" w:space="0" w:color="000000"/>
              <w:left w:val="single" w:sz="4" w:space="0" w:color="auto"/>
              <w:bottom w:val="nil"/>
              <w:right w:val="single" w:sz="4" w:space="0" w:color="000000"/>
            </w:tcBorders>
            <w:shd w:val="clear" w:color="auto" w:fill="auto"/>
            <w:noWrap/>
            <w:vAlign w:val="center"/>
            <w:hideMark/>
          </w:tcPr>
          <w:p w:rsidR="00821C17" w:rsidRPr="00656877" w:rsidRDefault="00821C17" w:rsidP="0080335A">
            <w:pPr>
              <w:spacing w:after="0"/>
              <w:jc w:val="center"/>
              <w:rPr>
                <w:rFonts w:eastAsia="Times New Roman" w:cs="Times New Roman"/>
                <w:sz w:val="16"/>
                <w:szCs w:val="16"/>
              </w:rPr>
            </w:pPr>
            <w:r w:rsidRPr="00656877">
              <w:rPr>
                <w:sz w:val="16"/>
                <w:szCs w:val="16"/>
              </w:rPr>
              <w:t>0.8%</w:t>
            </w:r>
          </w:p>
        </w:tc>
        <w:tc>
          <w:tcPr>
            <w:tcW w:w="766" w:type="dxa"/>
            <w:tcBorders>
              <w:top w:val="nil"/>
              <w:left w:val="nil"/>
              <w:bottom w:val="single" w:sz="4" w:space="0" w:color="auto"/>
              <w:right w:val="single" w:sz="4" w:space="0" w:color="auto"/>
            </w:tcBorders>
            <w:shd w:val="clear" w:color="auto" w:fill="auto"/>
            <w:noWrap/>
            <w:vAlign w:val="center"/>
          </w:tcPr>
          <w:p w:rsidR="00821C17" w:rsidRPr="00656877" w:rsidRDefault="00821C17" w:rsidP="0080335A">
            <w:pPr>
              <w:spacing w:after="0"/>
              <w:jc w:val="center"/>
              <w:rPr>
                <w:rFonts w:eastAsia="Times New Roman" w:cs="Times New Roman"/>
                <w:sz w:val="16"/>
                <w:szCs w:val="16"/>
              </w:rPr>
            </w:pPr>
            <w:r w:rsidRPr="00656877">
              <w:rPr>
                <w:sz w:val="16"/>
                <w:szCs w:val="16"/>
              </w:rPr>
              <w:t>30</w:t>
            </w:r>
          </w:p>
        </w:tc>
      </w:tr>
      <w:tr w:rsidR="00821C17" w:rsidRPr="00131E0E" w:rsidTr="0080335A">
        <w:trPr>
          <w:trHeight w:val="255"/>
        </w:trPr>
        <w:tc>
          <w:tcPr>
            <w:tcW w:w="2425" w:type="dxa"/>
            <w:tcBorders>
              <w:top w:val="single" w:sz="4" w:space="0" w:color="000000"/>
              <w:left w:val="single" w:sz="4" w:space="0" w:color="000000"/>
              <w:bottom w:val="nil"/>
              <w:right w:val="nil"/>
            </w:tcBorders>
            <w:shd w:val="clear" w:color="auto" w:fill="auto"/>
            <w:noWrap/>
            <w:vAlign w:val="bottom"/>
            <w:hideMark/>
          </w:tcPr>
          <w:p w:rsidR="00821C17" w:rsidRPr="00656877" w:rsidRDefault="00821C17" w:rsidP="0080335A">
            <w:pPr>
              <w:spacing w:after="0"/>
              <w:rPr>
                <w:rFonts w:eastAsia="Times New Roman" w:cs="Times New Roman"/>
                <w:sz w:val="16"/>
                <w:szCs w:val="16"/>
              </w:rPr>
            </w:pPr>
            <w:r w:rsidRPr="00656877">
              <w:rPr>
                <w:sz w:val="16"/>
                <w:szCs w:val="16"/>
              </w:rPr>
              <w:t>Methotrexate</w:t>
            </w:r>
          </w:p>
        </w:tc>
        <w:tc>
          <w:tcPr>
            <w:tcW w:w="3119" w:type="dxa"/>
            <w:tcBorders>
              <w:top w:val="single" w:sz="4" w:space="0" w:color="000000"/>
              <w:left w:val="single" w:sz="4" w:space="0" w:color="000000"/>
              <w:bottom w:val="nil"/>
              <w:right w:val="nil"/>
            </w:tcBorders>
            <w:shd w:val="clear" w:color="auto" w:fill="auto"/>
            <w:noWrap/>
            <w:vAlign w:val="bottom"/>
            <w:hideMark/>
          </w:tcPr>
          <w:p w:rsidR="00821C17" w:rsidRPr="00656877" w:rsidRDefault="00821C17" w:rsidP="0080335A">
            <w:pPr>
              <w:spacing w:after="0"/>
              <w:rPr>
                <w:rFonts w:eastAsia="Times New Roman" w:cs="Times New Roman"/>
                <w:sz w:val="16"/>
                <w:szCs w:val="16"/>
              </w:rPr>
            </w:pPr>
            <w:proofErr w:type="spellStart"/>
            <w:r w:rsidRPr="00656877">
              <w:rPr>
                <w:sz w:val="16"/>
                <w:szCs w:val="16"/>
              </w:rPr>
              <w:t>Infliximab+Methotrexate</w:t>
            </w:r>
            <w:proofErr w:type="spellEnd"/>
          </w:p>
        </w:tc>
        <w:tc>
          <w:tcPr>
            <w:tcW w:w="1134" w:type="dxa"/>
            <w:tcBorders>
              <w:top w:val="single" w:sz="4" w:space="0" w:color="000000"/>
              <w:left w:val="single" w:sz="4" w:space="0" w:color="000000"/>
              <w:bottom w:val="nil"/>
              <w:right w:val="single" w:sz="4" w:space="0" w:color="auto"/>
            </w:tcBorders>
            <w:shd w:val="clear" w:color="auto" w:fill="auto"/>
            <w:noWrap/>
            <w:vAlign w:val="bottom"/>
            <w:hideMark/>
          </w:tcPr>
          <w:p w:rsidR="00821C17" w:rsidRPr="00656877" w:rsidRDefault="00821C17" w:rsidP="0080335A">
            <w:pPr>
              <w:spacing w:after="0"/>
              <w:jc w:val="center"/>
              <w:rPr>
                <w:rFonts w:eastAsia="Times New Roman" w:cs="Times New Roman"/>
                <w:sz w:val="16"/>
                <w:szCs w:val="16"/>
              </w:rPr>
            </w:pPr>
            <w:r w:rsidRPr="00656877">
              <w:rPr>
                <w:sz w:val="16"/>
                <w:szCs w:val="16"/>
              </w:rPr>
              <w:t>Add</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1C17" w:rsidRPr="00656877" w:rsidRDefault="00821C17" w:rsidP="0080335A">
            <w:pPr>
              <w:spacing w:after="0"/>
              <w:jc w:val="center"/>
              <w:rPr>
                <w:rFonts w:eastAsia="Times New Roman" w:cs="Times New Roman"/>
                <w:sz w:val="16"/>
                <w:szCs w:val="16"/>
              </w:rPr>
            </w:pPr>
            <w:r w:rsidRPr="00656877">
              <w:rPr>
                <w:sz w:val="16"/>
                <w:szCs w:val="16"/>
              </w:rPr>
              <w:t>6</w:t>
            </w:r>
          </w:p>
        </w:tc>
        <w:tc>
          <w:tcPr>
            <w:tcW w:w="935" w:type="dxa"/>
            <w:tcBorders>
              <w:top w:val="single" w:sz="4" w:space="0" w:color="000000"/>
              <w:left w:val="single" w:sz="4" w:space="0" w:color="auto"/>
              <w:bottom w:val="nil"/>
              <w:right w:val="single" w:sz="4" w:space="0" w:color="000000"/>
            </w:tcBorders>
            <w:shd w:val="clear" w:color="auto" w:fill="auto"/>
            <w:noWrap/>
            <w:vAlign w:val="center"/>
            <w:hideMark/>
          </w:tcPr>
          <w:p w:rsidR="00821C17" w:rsidRPr="00656877" w:rsidRDefault="00821C17" w:rsidP="0080335A">
            <w:pPr>
              <w:spacing w:after="0"/>
              <w:jc w:val="center"/>
              <w:rPr>
                <w:rFonts w:eastAsia="Times New Roman" w:cs="Times New Roman"/>
                <w:sz w:val="16"/>
                <w:szCs w:val="16"/>
              </w:rPr>
            </w:pPr>
            <w:r w:rsidRPr="00656877">
              <w:rPr>
                <w:sz w:val="16"/>
                <w:szCs w:val="16"/>
              </w:rPr>
              <w:t>0.6%</w:t>
            </w:r>
          </w:p>
        </w:tc>
        <w:tc>
          <w:tcPr>
            <w:tcW w:w="766" w:type="dxa"/>
            <w:tcBorders>
              <w:top w:val="nil"/>
              <w:left w:val="nil"/>
              <w:bottom w:val="single" w:sz="4" w:space="0" w:color="auto"/>
              <w:right w:val="single" w:sz="4" w:space="0" w:color="auto"/>
            </w:tcBorders>
            <w:shd w:val="clear" w:color="auto" w:fill="auto"/>
            <w:noWrap/>
            <w:vAlign w:val="center"/>
          </w:tcPr>
          <w:p w:rsidR="00821C17" w:rsidRPr="00656877" w:rsidRDefault="00821C17" w:rsidP="0080335A">
            <w:pPr>
              <w:spacing w:after="0"/>
              <w:jc w:val="center"/>
              <w:rPr>
                <w:rFonts w:eastAsia="Times New Roman" w:cs="Times New Roman"/>
                <w:sz w:val="16"/>
                <w:szCs w:val="16"/>
              </w:rPr>
            </w:pPr>
            <w:r w:rsidRPr="00656877">
              <w:rPr>
                <w:sz w:val="16"/>
                <w:szCs w:val="16"/>
              </w:rPr>
              <w:t>31</w:t>
            </w:r>
          </w:p>
        </w:tc>
      </w:tr>
      <w:tr w:rsidR="00821C17" w:rsidRPr="00131E0E" w:rsidTr="0080335A">
        <w:trPr>
          <w:trHeight w:val="255"/>
        </w:trPr>
        <w:tc>
          <w:tcPr>
            <w:tcW w:w="2425" w:type="dxa"/>
            <w:tcBorders>
              <w:top w:val="single" w:sz="4" w:space="0" w:color="000000"/>
              <w:left w:val="single" w:sz="4" w:space="0" w:color="000000"/>
              <w:bottom w:val="nil"/>
              <w:right w:val="nil"/>
            </w:tcBorders>
            <w:shd w:val="clear" w:color="auto" w:fill="auto"/>
            <w:noWrap/>
            <w:vAlign w:val="bottom"/>
            <w:hideMark/>
          </w:tcPr>
          <w:p w:rsidR="00821C17" w:rsidRPr="00656877" w:rsidRDefault="00821C17" w:rsidP="0080335A">
            <w:pPr>
              <w:spacing w:after="0"/>
              <w:rPr>
                <w:rFonts w:eastAsia="Times New Roman" w:cs="Times New Roman"/>
                <w:sz w:val="16"/>
                <w:szCs w:val="16"/>
              </w:rPr>
            </w:pPr>
            <w:proofErr w:type="spellStart"/>
            <w:r w:rsidRPr="00656877">
              <w:rPr>
                <w:sz w:val="16"/>
                <w:szCs w:val="16"/>
              </w:rPr>
              <w:t>Methotrexate+Sulfasalazine</w:t>
            </w:r>
            <w:proofErr w:type="spellEnd"/>
          </w:p>
        </w:tc>
        <w:tc>
          <w:tcPr>
            <w:tcW w:w="3119" w:type="dxa"/>
            <w:tcBorders>
              <w:top w:val="single" w:sz="4" w:space="0" w:color="000000"/>
              <w:left w:val="single" w:sz="4" w:space="0" w:color="000000"/>
              <w:bottom w:val="nil"/>
              <w:right w:val="nil"/>
            </w:tcBorders>
            <w:shd w:val="clear" w:color="auto" w:fill="auto"/>
            <w:noWrap/>
            <w:vAlign w:val="bottom"/>
            <w:hideMark/>
          </w:tcPr>
          <w:p w:rsidR="00821C17" w:rsidRPr="00656877" w:rsidRDefault="00821C17" w:rsidP="0080335A">
            <w:pPr>
              <w:spacing w:after="0"/>
              <w:rPr>
                <w:rFonts w:eastAsia="Times New Roman" w:cs="Times New Roman"/>
                <w:sz w:val="16"/>
                <w:szCs w:val="16"/>
              </w:rPr>
            </w:pPr>
            <w:proofErr w:type="spellStart"/>
            <w:r w:rsidRPr="00656877">
              <w:rPr>
                <w:sz w:val="16"/>
                <w:szCs w:val="16"/>
              </w:rPr>
              <w:t>Etanercept+Sulfasalazine</w:t>
            </w:r>
            <w:proofErr w:type="spellEnd"/>
          </w:p>
        </w:tc>
        <w:tc>
          <w:tcPr>
            <w:tcW w:w="1134" w:type="dxa"/>
            <w:tcBorders>
              <w:top w:val="single" w:sz="4" w:space="0" w:color="000000"/>
              <w:left w:val="single" w:sz="4" w:space="0" w:color="000000"/>
              <w:bottom w:val="nil"/>
              <w:right w:val="single" w:sz="4" w:space="0" w:color="auto"/>
            </w:tcBorders>
            <w:shd w:val="clear" w:color="auto" w:fill="auto"/>
            <w:noWrap/>
            <w:vAlign w:val="bottom"/>
            <w:hideMark/>
          </w:tcPr>
          <w:p w:rsidR="00821C17" w:rsidRPr="00656877" w:rsidRDefault="00821C17" w:rsidP="0080335A">
            <w:pPr>
              <w:spacing w:after="0"/>
              <w:jc w:val="center"/>
              <w:rPr>
                <w:rFonts w:eastAsia="Times New Roman" w:cs="Times New Roman"/>
                <w:sz w:val="16"/>
                <w:szCs w:val="16"/>
              </w:rPr>
            </w:pPr>
            <w:r w:rsidRPr="00656877">
              <w:rPr>
                <w:sz w:val="16"/>
                <w:szCs w:val="16"/>
              </w:rPr>
              <w:t>Switch</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1C17" w:rsidRPr="00656877" w:rsidRDefault="00821C17" w:rsidP="0080335A">
            <w:pPr>
              <w:spacing w:after="0"/>
              <w:jc w:val="center"/>
              <w:rPr>
                <w:rFonts w:eastAsia="Times New Roman" w:cs="Times New Roman"/>
                <w:sz w:val="16"/>
                <w:szCs w:val="16"/>
              </w:rPr>
            </w:pPr>
            <w:r w:rsidRPr="00656877">
              <w:rPr>
                <w:sz w:val="16"/>
                <w:szCs w:val="16"/>
              </w:rPr>
              <w:t>6</w:t>
            </w:r>
          </w:p>
        </w:tc>
        <w:tc>
          <w:tcPr>
            <w:tcW w:w="935" w:type="dxa"/>
            <w:tcBorders>
              <w:top w:val="single" w:sz="4" w:space="0" w:color="000000"/>
              <w:left w:val="single" w:sz="4" w:space="0" w:color="auto"/>
              <w:bottom w:val="nil"/>
              <w:right w:val="single" w:sz="4" w:space="0" w:color="000000"/>
            </w:tcBorders>
            <w:shd w:val="clear" w:color="auto" w:fill="auto"/>
            <w:noWrap/>
            <w:vAlign w:val="center"/>
            <w:hideMark/>
          </w:tcPr>
          <w:p w:rsidR="00821C17" w:rsidRPr="00656877" w:rsidRDefault="00821C17" w:rsidP="0080335A">
            <w:pPr>
              <w:spacing w:after="0"/>
              <w:jc w:val="center"/>
              <w:rPr>
                <w:rFonts w:eastAsia="Times New Roman" w:cs="Times New Roman"/>
                <w:sz w:val="16"/>
                <w:szCs w:val="16"/>
              </w:rPr>
            </w:pPr>
            <w:r w:rsidRPr="00656877">
              <w:rPr>
                <w:sz w:val="16"/>
                <w:szCs w:val="16"/>
              </w:rPr>
              <w:t>0.6%</w:t>
            </w:r>
          </w:p>
        </w:tc>
        <w:tc>
          <w:tcPr>
            <w:tcW w:w="766" w:type="dxa"/>
            <w:tcBorders>
              <w:top w:val="nil"/>
              <w:left w:val="nil"/>
              <w:bottom w:val="single" w:sz="4" w:space="0" w:color="auto"/>
              <w:right w:val="single" w:sz="4" w:space="0" w:color="auto"/>
            </w:tcBorders>
            <w:shd w:val="clear" w:color="auto" w:fill="auto"/>
            <w:noWrap/>
            <w:vAlign w:val="center"/>
          </w:tcPr>
          <w:p w:rsidR="00821C17" w:rsidRPr="00656877" w:rsidRDefault="00821C17" w:rsidP="0080335A">
            <w:pPr>
              <w:spacing w:after="0"/>
              <w:jc w:val="center"/>
              <w:rPr>
                <w:rFonts w:eastAsia="Times New Roman" w:cs="Times New Roman"/>
                <w:sz w:val="16"/>
                <w:szCs w:val="16"/>
              </w:rPr>
            </w:pPr>
            <w:r w:rsidRPr="00656877">
              <w:rPr>
                <w:sz w:val="16"/>
                <w:szCs w:val="16"/>
              </w:rPr>
              <w:t>32</w:t>
            </w:r>
          </w:p>
        </w:tc>
      </w:tr>
      <w:tr w:rsidR="00821C17" w:rsidRPr="00131E0E" w:rsidTr="0080335A">
        <w:trPr>
          <w:trHeight w:val="255"/>
        </w:trPr>
        <w:tc>
          <w:tcPr>
            <w:tcW w:w="2425" w:type="dxa"/>
            <w:tcBorders>
              <w:top w:val="single" w:sz="4" w:space="0" w:color="000000"/>
              <w:left w:val="single" w:sz="4" w:space="0" w:color="000000"/>
              <w:bottom w:val="nil"/>
              <w:right w:val="nil"/>
            </w:tcBorders>
            <w:shd w:val="clear" w:color="auto" w:fill="auto"/>
            <w:noWrap/>
            <w:vAlign w:val="bottom"/>
            <w:hideMark/>
          </w:tcPr>
          <w:p w:rsidR="00821C17" w:rsidRPr="00656877" w:rsidRDefault="00821C17" w:rsidP="0080335A">
            <w:pPr>
              <w:spacing w:after="0"/>
              <w:rPr>
                <w:rFonts w:eastAsia="Times New Roman" w:cs="Times New Roman"/>
                <w:sz w:val="16"/>
                <w:szCs w:val="16"/>
              </w:rPr>
            </w:pPr>
            <w:proofErr w:type="spellStart"/>
            <w:r w:rsidRPr="00656877">
              <w:rPr>
                <w:sz w:val="16"/>
                <w:szCs w:val="16"/>
              </w:rPr>
              <w:t>Methotrexate+Sulfasalazine</w:t>
            </w:r>
            <w:proofErr w:type="spellEnd"/>
          </w:p>
        </w:tc>
        <w:tc>
          <w:tcPr>
            <w:tcW w:w="3119" w:type="dxa"/>
            <w:tcBorders>
              <w:top w:val="single" w:sz="4" w:space="0" w:color="000000"/>
              <w:left w:val="single" w:sz="4" w:space="0" w:color="000000"/>
              <w:bottom w:val="nil"/>
              <w:right w:val="nil"/>
            </w:tcBorders>
            <w:shd w:val="clear" w:color="auto" w:fill="auto"/>
            <w:noWrap/>
            <w:vAlign w:val="bottom"/>
            <w:hideMark/>
          </w:tcPr>
          <w:p w:rsidR="00821C17" w:rsidRPr="00656877" w:rsidRDefault="00821C17" w:rsidP="0080335A">
            <w:pPr>
              <w:spacing w:after="0"/>
              <w:rPr>
                <w:rFonts w:eastAsia="Times New Roman" w:cs="Times New Roman"/>
                <w:sz w:val="16"/>
                <w:szCs w:val="16"/>
              </w:rPr>
            </w:pPr>
            <w:proofErr w:type="spellStart"/>
            <w:r w:rsidRPr="00656877">
              <w:rPr>
                <w:sz w:val="16"/>
                <w:szCs w:val="16"/>
              </w:rPr>
              <w:t>Golimumab+Methotrexate</w:t>
            </w:r>
            <w:proofErr w:type="spellEnd"/>
          </w:p>
        </w:tc>
        <w:tc>
          <w:tcPr>
            <w:tcW w:w="1134" w:type="dxa"/>
            <w:tcBorders>
              <w:top w:val="single" w:sz="4" w:space="0" w:color="000000"/>
              <w:left w:val="single" w:sz="4" w:space="0" w:color="000000"/>
              <w:bottom w:val="nil"/>
              <w:right w:val="single" w:sz="4" w:space="0" w:color="auto"/>
            </w:tcBorders>
            <w:shd w:val="clear" w:color="auto" w:fill="auto"/>
            <w:noWrap/>
            <w:vAlign w:val="bottom"/>
            <w:hideMark/>
          </w:tcPr>
          <w:p w:rsidR="00821C17" w:rsidRPr="00656877" w:rsidRDefault="00821C17" w:rsidP="0080335A">
            <w:pPr>
              <w:spacing w:after="0"/>
              <w:jc w:val="center"/>
              <w:rPr>
                <w:rFonts w:eastAsia="Times New Roman" w:cs="Times New Roman"/>
                <w:sz w:val="16"/>
                <w:szCs w:val="16"/>
              </w:rPr>
            </w:pPr>
            <w:r w:rsidRPr="00656877">
              <w:rPr>
                <w:sz w:val="16"/>
                <w:szCs w:val="16"/>
              </w:rPr>
              <w:t>Switch</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1C17" w:rsidRPr="00656877" w:rsidRDefault="00821C17" w:rsidP="0080335A">
            <w:pPr>
              <w:spacing w:after="0"/>
              <w:jc w:val="center"/>
              <w:rPr>
                <w:rFonts w:eastAsia="Times New Roman" w:cs="Times New Roman"/>
                <w:sz w:val="16"/>
                <w:szCs w:val="16"/>
              </w:rPr>
            </w:pPr>
            <w:r w:rsidRPr="00656877">
              <w:rPr>
                <w:sz w:val="16"/>
                <w:szCs w:val="16"/>
              </w:rPr>
              <w:t>6</w:t>
            </w:r>
          </w:p>
        </w:tc>
        <w:tc>
          <w:tcPr>
            <w:tcW w:w="935" w:type="dxa"/>
            <w:tcBorders>
              <w:top w:val="single" w:sz="4" w:space="0" w:color="000000"/>
              <w:left w:val="single" w:sz="4" w:space="0" w:color="auto"/>
              <w:bottom w:val="nil"/>
              <w:right w:val="single" w:sz="4" w:space="0" w:color="000000"/>
            </w:tcBorders>
            <w:shd w:val="clear" w:color="auto" w:fill="auto"/>
            <w:noWrap/>
            <w:vAlign w:val="center"/>
            <w:hideMark/>
          </w:tcPr>
          <w:p w:rsidR="00821C17" w:rsidRPr="00656877" w:rsidRDefault="00821C17" w:rsidP="0080335A">
            <w:pPr>
              <w:spacing w:after="0"/>
              <w:jc w:val="center"/>
              <w:rPr>
                <w:rFonts w:eastAsia="Times New Roman" w:cs="Times New Roman"/>
                <w:sz w:val="16"/>
                <w:szCs w:val="16"/>
              </w:rPr>
            </w:pPr>
            <w:r w:rsidRPr="00656877">
              <w:rPr>
                <w:sz w:val="16"/>
                <w:szCs w:val="16"/>
              </w:rPr>
              <w:t>0.6%</w:t>
            </w:r>
          </w:p>
        </w:tc>
        <w:tc>
          <w:tcPr>
            <w:tcW w:w="766" w:type="dxa"/>
            <w:tcBorders>
              <w:top w:val="nil"/>
              <w:left w:val="nil"/>
              <w:bottom w:val="single" w:sz="4" w:space="0" w:color="auto"/>
              <w:right w:val="single" w:sz="4" w:space="0" w:color="auto"/>
            </w:tcBorders>
            <w:shd w:val="clear" w:color="auto" w:fill="auto"/>
            <w:noWrap/>
            <w:vAlign w:val="center"/>
          </w:tcPr>
          <w:p w:rsidR="00821C17" w:rsidRPr="00656877" w:rsidRDefault="00821C17" w:rsidP="0080335A">
            <w:pPr>
              <w:spacing w:after="0"/>
              <w:jc w:val="center"/>
              <w:rPr>
                <w:rFonts w:eastAsia="Times New Roman" w:cs="Times New Roman"/>
                <w:sz w:val="16"/>
                <w:szCs w:val="16"/>
              </w:rPr>
            </w:pPr>
            <w:r w:rsidRPr="00656877">
              <w:rPr>
                <w:sz w:val="16"/>
                <w:szCs w:val="16"/>
              </w:rPr>
              <w:t>33</w:t>
            </w:r>
          </w:p>
        </w:tc>
      </w:tr>
      <w:tr w:rsidR="00821C17" w:rsidRPr="00131E0E" w:rsidTr="0080335A">
        <w:trPr>
          <w:trHeight w:val="255"/>
        </w:trPr>
        <w:tc>
          <w:tcPr>
            <w:tcW w:w="2425" w:type="dxa"/>
            <w:tcBorders>
              <w:top w:val="single" w:sz="4" w:space="0" w:color="000000"/>
              <w:left w:val="single" w:sz="4" w:space="0" w:color="000000"/>
              <w:bottom w:val="single" w:sz="4" w:space="0" w:color="auto"/>
              <w:right w:val="nil"/>
            </w:tcBorders>
            <w:shd w:val="clear" w:color="auto" w:fill="auto"/>
            <w:noWrap/>
            <w:vAlign w:val="bottom"/>
            <w:hideMark/>
          </w:tcPr>
          <w:p w:rsidR="00821C17" w:rsidRPr="00656877" w:rsidRDefault="00821C17" w:rsidP="0080335A">
            <w:pPr>
              <w:spacing w:after="0"/>
              <w:rPr>
                <w:rFonts w:eastAsia="Times New Roman" w:cs="Times New Roman"/>
                <w:sz w:val="16"/>
                <w:szCs w:val="16"/>
              </w:rPr>
            </w:pPr>
            <w:proofErr w:type="spellStart"/>
            <w:r w:rsidRPr="00656877">
              <w:rPr>
                <w:sz w:val="16"/>
                <w:szCs w:val="16"/>
              </w:rPr>
              <w:t>Leflunomide+Sulfasalazine</w:t>
            </w:r>
            <w:proofErr w:type="spellEnd"/>
          </w:p>
        </w:tc>
        <w:tc>
          <w:tcPr>
            <w:tcW w:w="3119" w:type="dxa"/>
            <w:tcBorders>
              <w:top w:val="single" w:sz="4" w:space="0" w:color="000000"/>
              <w:left w:val="single" w:sz="4" w:space="0" w:color="000000"/>
              <w:bottom w:val="single" w:sz="4" w:space="0" w:color="auto"/>
              <w:right w:val="nil"/>
            </w:tcBorders>
            <w:shd w:val="clear" w:color="auto" w:fill="auto"/>
            <w:noWrap/>
            <w:vAlign w:val="bottom"/>
            <w:hideMark/>
          </w:tcPr>
          <w:p w:rsidR="00821C17" w:rsidRPr="00656877" w:rsidRDefault="00821C17" w:rsidP="0080335A">
            <w:pPr>
              <w:spacing w:after="0"/>
              <w:rPr>
                <w:rFonts w:eastAsia="Times New Roman" w:cs="Times New Roman"/>
                <w:sz w:val="16"/>
                <w:szCs w:val="16"/>
              </w:rPr>
            </w:pPr>
            <w:proofErr w:type="spellStart"/>
            <w:r w:rsidRPr="00656877">
              <w:rPr>
                <w:sz w:val="16"/>
                <w:szCs w:val="16"/>
              </w:rPr>
              <w:t>Adalimumab+Leflunomide+Sulfasalazine</w:t>
            </w:r>
            <w:proofErr w:type="spellEnd"/>
          </w:p>
        </w:tc>
        <w:tc>
          <w:tcPr>
            <w:tcW w:w="1134" w:type="dxa"/>
            <w:tcBorders>
              <w:top w:val="single" w:sz="4" w:space="0" w:color="000000"/>
              <w:left w:val="single" w:sz="4" w:space="0" w:color="000000"/>
              <w:bottom w:val="single" w:sz="4" w:space="0" w:color="auto"/>
              <w:right w:val="single" w:sz="4" w:space="0" w:color="auto"/>
            </w:tcBorders>
            <w:shd w:val="clear" w:color="auto" w:fill="auto"/>
            <w:noWrap/>
            <w:vAlign w:val="bottom"/>
            <w:hideMark/>
          </w:tcPr>
          <w:p w:rsidR="00821C17" w:rsidRPr="00656877" w:rsidRDefault="00821C17" w:rsidP="0080335A">
            <w:pPr>
              <w:spacing w:after="0"/>
              <w:jc w:val="center"/>
              <w:rPr>
                <w:rFonts w:eastAsia="Times New Roman" w:cs="Times New Roman"/>
                <w:sz w:val="16"/>
                <w:szCs w:val="16"/>
              </w:rPr>
            </w:pPr>
            <w:r w:rsidRPr="00656877">
              <w:rPr>
                <w:sz w:val="16"/>
                <w:szCs w:val="16"/>
              </w:rPr>
              <w:t>Add</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1C17" w:rsidRPr="00656877" w:rsidRDefault="00821C17" w:rsidP="0080335A">
            <w:pPr>
              <w:spacing w:after="0"/>
              <w:jc w:val="center"/>
              <w:rPr>
                <w:rFonts w:eastAsia="Times New Roman" w:cs="Times New Roman"/>
                <w:sz w:val="16"/>
                <w:szCs w:val="16"/>
              </w:rPr>
            </w:pPr>
            <w:r w:rsidRPr="00656877">
              <w:rPr>
                <w:sz w:val="16"/>
                <w:szCs w:val="16"/>
              </w:rPr>
              <w:t>4</w:t>
            </w:r>
          </w:p>
        </w:tc>
        <w:tc>
          <w:tcPr>
            <w:tcW w:w="935" w:type="dxa"/>
            <w:tcBorders>
              <w:top w:val="single" w:sz="4" w:space="0" w:color="000000"/>
              <w:left w:val="single" w:sz="4" w:space="0" w:color="auto"/>
              <w:bottom w:val="single" w:sz="4" w:space="0" w:color="auto"/>
              <w:right w:val="single" w:sz="4" w:space="0" w:color="000000"/>
            </w:tcBorders>
            <w:shd w:val="clear" w:color="auto" w:fill="auto"/>
            <w:noWrap/>
            <w:vAlign w:val="center"/>
            <w:hideMark/>
          </w:tcPr>
          <w:p w:rsidR="00821C17" w:rsidRPr="00656877" w:rsidRDefault="00821C17" w:rsidP="0080335A">
            <w:pPr>
              <w:spacing w:after="0"/>
              <w:jc w:val="center"/>
              <w:rPr>
                <w:rFonts w:eastAsia="Times New Roman" w:cs="Times New Roman"/>
                <w:sz w:val="16"/>
                <w:szCs w:val="16"/>
              </w:rPr>
            </w:pPr>
            <w:r w:rsidRPr="00656877">
              <w:rPr>
                <w:sz w:val="16"/>
                <w:szCs w:val="16"/>
              </w:rPr>
              <w:t>0.4%</w:t>
            </w:r>
          </w:p>
        </w:tc>
        <w:tc>
          <w:tcPr>
            <w:tcW w:w="766" w:type="dxa"/>
            <w:tcBorders>
              <w:top w:val="nil"/>
              <w:left w:val="nil"/>
              <w:bottom w:val="single" w:sz="4" w:space="0" w:color="auto"/>
              <w:right w:val="single" w:sz="4" w:space="0" w:color="auto"/>
            </w:tcBorders>
            <w:shd w:val="clear" w:color="auto" w:fill="auto"/>
            <w:noWrap/>
            <w:vAlign w:val="center"/>
          </w:tcPr>
          <w:p w:rsidR="00821C17" w:rsidRPr="00656877" w:rsidRDefault="00821C17" w:rsidP="0080335A">
            <w:pPr>
              <w:spacing w:after="0"/>
              <w:jc w:val="center"/>
              <w:rPr>
                <w:rFonts w:eastAsia="Times New Roman" w:cs="Times New Roman"/>
                <w:sz w:val="16"/>
                <w:szCs w:val="16"/>
              </w:rPr>
            </w:pPr>
            <w:r w:rsidRPr="00656877">
              <w:rPr>
                <w:sz w:val="16"/>
                <w:szCs w:val="16"/>
              </w:rPr>
              <w:t>34</w:t>
            </w:r>
          </w:p>
        </w:tc>
      </w:tr>
      <w:tr w:rsidR="00821C17" w:rsidRPr="00131E0E" w:rsidTr="0080335A">
        <w:trPr>
          <w:trHeight w:val="240"/>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1C17" w:rsidRPr="00656877" w:rsidRDefault="00821C17" w:rsidP="0080335A">
            <w:pPr>
              <w:spacing w:after="0"/>
              <w:rPr>
                <w:rFonts w:eastAsia="Times New Roman" w:cs="Times New Roman"/>
                <w:sz w:val="16"/>
                <w:szCs w:val="16"/>
              </w:rPr>
            </w:pPr>
            <w:r w:rsidRPr="00656877">
              <w:rPr>
                <w:sz w:val="16"/>
                <w:szCs w:val="16"/>
              </w:rPr>
              <w:t>Sulfasalazine</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1C17" w:rsidRPr="00656877" w:rsidRDefault="00821C17" w:rsidP="0080335A">
            <w:pPr>
              <w:spacing w:after="0"/>
              <w:rPr>
                <w:rFonts w:eastAsia="Times New Roman" w:cs="Times New Roman"/>
                <w:sz w:val="16"/>
                <w:szCs w:val="16"/>
              </w:rPr>
            </w:pPr>
            <w:proofErr w:type="spellStart"/>
            <w:r w:rsidRPr="00656877">
              <w:rPr>
                <w:sz w:val="16"/>
                <w:szCs w:val="16"/>
              </w:rPr>
              <w:t>Etanercept</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1C17" w:rsidRPr="00656877" w:rsidRDefault="00821C17" w:rsidP="0080335A">
            <w:pPr>
              <w:spacing w:after="0"/>
              <w:jc w:val="center"/>
              <w:rPr>
                <w:rFonts w:eastAsia="Times New Roman" w:cs="Times New Roman"/>
                <w:sz w:val="16"/>
                <w:szCs w:val="16"/>
              </w:rPr>
            </w:pPr>
            <w:r w:rsidRPr="00656877">
              <w:rPr>
                <w:sz w:val="16"/>
                <w:szCs w:val="16"/>
              </w:rPr>
              <w:t>Switch</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1C17" w:rsidRPr="00656877" w:rsidRDefault="00821C17" w:rsidP="0080335A">
            <w:pPr>
              <w:spacing w:after="0"/>
              <w:jc w:val="center"/>
              <w:rPr>
                <w:rFonts w:eastAsia="Times New Roman" w:cs="Times New Roman"/>
                <w:sz w:val="16"/>
                <w:szCs w:val="16"/>
              </w:rPr>
            </w:pPr>
            <w:r w:rsidRPr="00656877">
              <w:rPr>
                <w:sz w:val="16"/>
                <w:szCs w:val="16"/>
              </w:rPr>
              <w:t>4</w:t>
            </w:r>
          </w:p>
        </w:tc>
        <w:tc>
          <w:tcPr>
            <w:tcW w:w="9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1C17" w:rsidRPr="00656877" w:rsidRDefault="00821C17" w:rsidP="0080335A">
            <w:pPr>
              <w:spacing w:after="0"/>
              <w:jc w:val="center"/>
              <w:rPr>
                <w:rFonts w:eastAsia="Times New Roman" w:cs="Times New Roman"/>
                <w:sz w:val="16"/>
                <w:szCs w:val="16"/>
              </w:rPr>
            </w:pPr>
            <w:r w:rsidRPr="00656877">
              <w:rPr>
                <w:sz w:val="16"/>
                <w:szCs w:val="16"/>
              </w:rPr>
              <w:t>0.4%</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1C17" w:rsidRPr="00656877" w:rsidRDefault="00821C17" w:rsidP="0080335A">
            <w:pPr>
              <w:spacing w:after="0"/>
              <w:jc w:val="center"/>
              <w:rPr>
                <w:rFonts w:eastAsia="Times New Roman" w:cs="Times New Roman"/>
                <w:sz w:val="16"/>
                <w:szCs w:val="16"/>
              </w:rPr>
            </w:pPr>
            <w:r w:rsidRPr="00656877">
              <w:rPr>
                <w:sz w:val="16"/>
                <w:szCs w:val="16"/>
              </w:rPr>
              <w:t>35</w:t>
            </w:r>
          </w:p>
        </w:tc>
      </w:tr>
      <w:tr w:rsidR="00821C17" w:rsidRPr="00131E0E" w:rsidTr="0080335A">
        <w:trPr>
          <w:trHeight w:val="240"/>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1C17" w:rsidRPr="00656877" w:rsidRDefault="00821C17" w:rsidP="0080335A">
            <w:pPr>
              <w:spacing w:after="0"/>
              <w:rPr>
                <w:rFonts w:eastAsia="Times New Roman" w:cs="Times New Roman"/>
                <w:sz w:val="16"/>
                <w:szCs w:val="16"/>
              </w:rPr>
            </w:pPr>
            <w:r w:rsidRPr="00656877">
              <w:rPr>
                <w:rFonts w:eastAsia="Times New Roman" w:cs="Times New Roman"/>
                <w:sz w:val="16"/>
                <w:szCs w:val="16"/>
              </w:rPr>
              <w:t>Other</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1C17" w:rsidRPr="00656877" w:rsidRDefault="00821C17" w:rsidP="0080335A">
            <w:pPr>
              <w:spacing w:after="0"/>
              <w:rPr>
                <w:rFonts w:eastAsia="Times New Roman" w:cs="Times New Roman"/>
                <w:sz w:val="16"/>
                <w:szCs w:val="16"/>
              </w:rPr>
            </w:pPr>
            <w:r w:rsidRPr="00656877">
              <w:rPr>
                <w:rFonts w:eastAsia="Times New Roman" w:cs="Times New Roman"/>
                <w:sz w:val="16"/>
                <w:szCs w:val="16"/>
              </w:rPr>
              <w:t>Other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1C17" w:rsidRPr="00656877" w:rsidRDefault="00821C17" w:rsidP="0080335A">
            <w:pPr>
              <w:spacing w:after="0"/>
              <w:jc w:val="center"/>
              <w:rPr>
                <w:rFonts w:eastAsia="Times New Roman" w:cs="Times New Roman"/>
                <w:sz w:val="16"/>
                <w:szCs w:val="16"/>
              </w:rPr>
            </w:pP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1C17" w:rsidRPr="00656877" w:rsidRDefault="00821C17" w:rsidP="0080335A">
            <w:pPr>
              <w:spacing w:after="0"/>
              <w:jc w:val="center"/>
              <w:rPr>
                <w:sz w:val="16"/>
                <w:szCs w:val="16"/>
              </w:rPr>
            </w:pPr>
            <w:r>
              <w:rPr>
                <w:sz w:val="16"/>
                <w:szCs w:val="16"/>
              </w:rPr>
              <w:t>250</w:t>
            </w:r>
          </w:p>
        </w:tc>
        <w:tc>
          <w:tcPr>
            <w:tcW w:w="9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1C17" w:rsidRPr="00862CD3" w:rsidRDefault="00821C17" w:rsidP="0080335A">
            <w:pPr>
              <w:spacing w:after="0"/>
              <w:jc w:val="center"/>
              <w:rPr>
                <w:sz w:val="16"/>
                <w:szCs w:val="16"/>
              </w:rPr>
            </w:pPr>
            <w:r w:rsidRPr="00862CD3">
              <w:rPr>
                <w:sz w:val="16"/>
                <w:szCs w:val="16"/>
              </w:rPr>
              <w:t>26.9%</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1C17" w:rsidRPr="00862CD3" w:rsidRDefault="00821C17" w:rsidP="0080335A">
            <w:pPr>
              <w:spacing w:after="0"/>
              <w:jc w:val="center"/>
              <w:rPr>
                <w:sz w:val="16"/>
                <w:szCs w:val="16"/>
              </w:rPr>
            </w:pPr>
          </w:p>
        </w:tc>
      </w:tr>
      <w:tr w:rsidR="00821C17" w:rsidRPr="00131E0E" w:rsidTr="0080335A">
        <w:trPr>
          <w:trHeight w:val="240"/>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1C17" w:rsidRPr="00656877" w:rsidRDefault="00821C17" w:rsidP="0080335A">
            <w:pPr>
              <w:spacing w:after="0"/>
              <w:rPr>
                <w:rFonts w:eastAsia="Times New Roman" w:cs="Times New Roman"/>
                <w:sz w:val="16"/>
                <w:szCs w:val="16"/>
              </w:rPr>
            </w:pPr>
            <w:r w:rsidRPr="00656877">
              <w:rPr>
                <w:rFonts w:eastAsia="Times New Roman" w:cs="Times New Roman"/>
                <w:sz w:val="16"/>
                <w:szCs w:val="16"/>
              </w:rPr>
              <w:t>Total</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1C17" w:rsidRPr="00656877" w:rsidRDefault="00821C17" w:rsidP="0080335A">
            <w:pPr>
              <w:spacing w:after="0"/>
              <w:rPr>
                <w:rFonts w:eastAsia="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1C17" w:rsidRPr="00656877" w:rsidRDefault="00821C17" w:rsidP="0080335A">
            <w:pPr>
              <w:spacing w:after="0"/>
              <w:jc w:val="center"/>
              <w:rPr>
                <w:rFonts w:eastAsia="Times New Roman" w:cs="Times New Roman"/>
                <w:sz w:val="16"/>
                <w:szCs w:val="16"/>
              </w:rPr>
            </w:pP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1C17" w:rsidRPr="00656877" w:rsidRDefault="00821C17" w:rsidP="0080335A">
            <w:pPr>
              <w:spacing w:after="0"/>
              <w:jc w:val="center"/>
              <w:rPr>
                <w:sz w:val="16"/>
                <w:szCs w:val="16"/>
              </w:rPr>
            </w:pPr>
            <w:r>
              <w:rPr>
                <w:sz w:val="16"/>
                <w:szCs w:val="16"/>
              </w:rPr>
              <w:t>930</w:t>
            </w:r>
          </w:p>
        </w:tc>
        <w:tc>
          <w:tcPr>
            <w:tcW w:w="9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1C17" w:rsidRPr="00862CD3" w:rsidRDefault="00821C17" w:rsidP="0080335A">
            <w:pPr>
              <w:spacing w:after="0"/>
              <w:jc w:val="center"/>
              <w:rPr>
                <w:sz w:val="16"/>
                <w:szCs w:val="16"/>
              </w:rPr>
            </w:pPr>
            <w:r w:rsidRPr="00862CD3">
              <w:rPr>
                <w:sz w:val="16"/>
                <w:szCs w:val="16"/>
              </w:rPr>
              <w:t>100%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1C17" w:rsidRPr="00862CD3" w:rsidRDefault="00821C17" w:rsidP="0080335A">
            <w:pPr>
              <w:spacing w:after="0"/>
              <w:jc w:val="center"/>
              <w:rPr>
                <w:sz w:val="16"/>
                <w:szCs w:val="16"/>
              </w:rPr>
            </w:pPr>
          </w:p>
        </w:tc>
      </w:tr>
    </w:tbl>
    <w:p w:rsidR="00821C17" w:rsidRDefault="00821C17" w:rsidP="00821C17"/>
    <w:p w:rsidR="00821C17" w:rsidRDefault="00821C17" w:rsidP="00821C17">
      <w:r>
        <w:lastRenderedPageBreak/>
        <w:t>Table 3 shows that the most common transition is to add adalimumab to methotrexate. The next two most common transitions were to switch from methotrexate to adalimumab and to initiate therapy on adalimumab without having been on any DMARD at the time.</w:t>
      </w:r>
    </w:p>
    <w:p w:rsidR="00821C17" w:rsidRDefault="00821C17" w:rsidP="00821C17">
      <w:r>
        <w:t xml:space="preserve">In total there were 930 patients who initiated </w:t>
      </w:r>
      <w:r w:rsidRPr="006D162B">
        <w:t xml:space="preserve">bDMARD therapy for </w:t>
      </w:r>
      <w:r w:rsidRPr="004A7C1A">
        <w:t>psoriatic arthritis</w:t>
      </w:r>
      <w:r>
        <w:t xml:space="preserve"> in the 12 month period. Of these 121 (13.0%) initiated without having been on any DMARD at the time, 323 (34.7%) added the bDMARD to an existing DMARD regimen and 486 (52.3%) substituted one or more drugs in an existing DMARD regimen. </w:t>
      </w:r>
    </w:p>
    <w:p w:rsidR="00821C17" w:rsidRDefault="00821C17" w:rsidP="00821C17">
      <w:r w:rsidRPr="00C00618">
        <w:t>At initiation</w:t>
      </w:r>
      <w:r>
        <w:t xml:space="preserve"> </w:t>
      </w:r>
      <w:r w:rsidRPr="00C00618">
        <w:t xml:space="preserve">40% of patients </w:t>
      </w:r>
      <w:r>
        <w:t>were</w:t>
      </w:r>
      <w:r w:rsidRPr="00C00618">
        <w:t xml:space="preserve"> on bDMARD monotherapy and 60% </w:t>
      </w:r>
      <w:r>
        <w:t>were</w:t>
      </w:r>
      <w:r w:rsidRPr="00C00618">
        <w:t xml:space="preserve"> using a combination of DMARD and bDMARD. Twelve months after initiation</w:t>
      </w:r>
      <w:r>
        <w:t xml:space="preserve"> 745 of the 930 initiators were still on bDMARD therapy and of these,</w:t>
      </w:r>
      <w:r w:rsidRPr="00C00618">
        <w:t xml:space="preserve"> 42% of patients </w:t>
      </w:r>
      <w:r>
        <w:t>were</w:t>
      </w:r>
      <w:r w:rsidRPr="00C00618">
        <w:t xml:space="preserve"> on bDMARD monotherapy and 58% </w:t>
      </w:r>
      <w:r>
        <w:t>were</w:t>
      </w:r>
      <w:r w:rsidRPr="00C00618">
        <w:t xml:space="preserve"> using a combination of DMARD and bDMARD.  </w:t>
      </w:r>
      <w:r>
        <w:t>Thus, over 12 months the proportion of use as monotherapy had increased by the relatively small amount of 2%.</w:t>
      </w:r>
    </w:p>
    <w:p w:rsidR="00821C17" w:rsidRDefault="00821C17" w:rsidP="00821C17">
      <w:r>
        <w:t>The estimated p</w:t>
      </w:r>
      <w:r w:rsidRPr="00280004">
        <w:t xml:space="preserve">atient </w:t>
      </w:r>
      <w:r>
        <w:t>d</w:t>
      </w:r>
      <w:r w:rsidRPr="00280004">
        <w:t xml:space="preserve">rug </w:t>
      </w:r>
      <w:r>
        <w:t>r</w:t>
      </w:r>
      <w:r w:rsidRPr="00280004">
        <w:t>egimen</w:t>
      </w:r>
      <w:r>
        <w:t xml:space="preserve">s in the 18 months prior to and 12 months post initiation to </w:t>
      </w:r>
      <w:r w:rsidRPr="006D162B">
        <w:t xml:space="preserve">bDMARD therapy for </w:t>
      </w:r>
      <w:r w:rsidRPr="002D74C3">
        <w:t xml:space="preserve">psoriatic arthritis </w:t>
      </w:r>
      <w:r>
        <w:t>are shown in Figure 3. The patient cohort is the same as that used for the drug regimen transition analysis in Table 3 (i</w:t>
      </w:r>
      <w:r w:rsidR="00A8455E">
        <w:t>.</w:t>
      </w:r>
      <w:r>
        <w:t>e.</w:t>
      </w:r>
      <w:r w:rsidR="006C17FD">
        <w:t> </w:t>
      </w:r>
      <w:r>
        <w:t>patients who initiated therapy in the 12 month period October 2013 to September</w:t>
      </w:r>
      <w:r w:rsidR="006C17FD">
        <w:t> </w:t>
      </w:r>
      <w:r>
        <w:t>2014, inclusive).</w:t>
      </w:r>
    </w:p>
    <w:p w:rsidR="00821C17" w:rsidRDefault="00821C17" w:rsidP="00821C17">
      <w:r>
        <w:rPr>
          <w:noProof/>
        </w:rPr>
        <w:drawing>
          <wp:inline distT="0" distB="0" distL="0" distR="0" wp14:anchorId="07968D91" wp14:editId="35C1A1C2">
            <wp:extent cx="6086475" cy="3667125"/>
            <wp:effectExtent l="0" t="0" r="9525" b="9525"/>
            <wp:docPr id="24" name="Chart 24" title="Figure 3: Estimate drug regimens pre and post initiation to bDMARD therapy for PsA"/>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21C17" w:rsidRPr="00C35FE4" w:rsidRDefault="00821C17" w:rsidP="00821C17">
      <w:pPr>
        <w:rPr>
          <w:sz w:val="20"/>
          <w:szCs w:val="20"/>
        </w:rPr>
      </w:pPr>
      <w:r w:rsidRPr="00072D2F">
        <w:rPr>
          <w:b/>
        </w:rPr>
        <w:t xml:space="preserve">Figure </w:t>
      </w:r>
      <w:r>
        <w:rPr>
          <w:b/>
        </w:rPr>
        <w:t>3</w:t>
      </w:r>
      <w:r w:rsidRPr="00072D2F">
        <w:rPr>
          <w:b/>
        </w:rPr>
        <w:t xml:space="preserve">: </w:t>
      </w:r>
      <w:r>
        <w:rPr>
          <w:b/>
        </w:rPr>
        <w:t xml:space="preserve">Estimate drug regimens pre and post initiation to </w:t>
      </w:r>
      <w:r w:rsidRPr="00120CAB">
        <w:rPr>
          <w:b/>
        </w:rPr>
        <w:t xml:space="preserve">bDMARD therapy for </w:t>
      </w:r>
      <w:proofErr w:type="spellStart"/>
      <w:r w:rsidR="00380AA7">
        <w:rPr>
          <w:b/>
        </w:rPr>
        <w:t>PsA</w:t>
      </w:r>
      <w:proofErr w:type="spellEnd"/>
      <w:r w:rsidR="00380AA7">
        <w:rPr>
          <w:b/>
        </w:rPr>
        <w:t xml:space="preserve"> </w:t>
      </w:r>
      <w:r>
        <w:rPr>
          <w:b/>
        </w:rPr>
        <w:br/>
      </w:r>
      <w:r w:rsidRPr="00C35FE4">
        <w:rPr>
          <w:sz w:val="20"/>
          <w:szCs w:val="20"/>
        </w:rPr>
        <w:t>Note: for readability</w:t>
      </w:r>
      <w:r>
        <w:rPr>
          <w:sz w:val="20"/>
          <w:szCs w:val="20"/>
        </w:rPr>
        <w:t>,</w:t>
      </w:r>
      <w:r w:rsidRPr="00C35FE4">
        <w:rPr>
          <w:sz w:val="20"/>
          <w:szCs w:val="20"/>
        </w:rPr>
        <w:t xml:space="preserve"> only the 10 most frequent regimens pre and post </w:t>
      </w:r>
      <w:proofErr w:type="gramStart"/>
      <w:r>
        <w:rPr>
          <w:sz w:val="20"/>
          <w:szCs w:val="20"/>
        </w:rPr>
        <w:t>initiation</w:t>
      </w:r>
      <w:r w:rsidRPr="00C35FE4">
        <w:rPr>
          <w:sz w:val="20"/>
          <w:szCs w:val="20"/>
        </w:rPr>
        <w:t xml:space="preserve"> are</w:t>
      </w:r>
      <w:proofErr w:type="gramEnd"/>
      <w:r w:rsidRPr="00C35FE4">
        <w:rPr>
          <w:sz w:val="20"/>
          <w:szCs w:val="20"/>
        </w:rPr>
        <w:t xml:space="preserve"> shown</w:t>
      </w:r>
      <w:r>
        <w:rPr>
          <w:sz w:val="20"/>
          <w:szCs w:val="20"/>
        </w:rPr>
        <w:t xml:space="preserve">. </w:t>
      </w:r>
    </w:p>
    <w:p w:rsidR="00821C17" w:rsidRDefault="00821C17" w:rsidP="00821C17">
      <w:pPr>
        <w:spacing w:line="276" w:lineRule="auto"/>
      </w:pPr>
      <w:r>
        <w:t xml:space="preserve">Figure 3 shows that in the weeks before initiation to bDMARD therapy the number of patients on the methotrexate combination therapy with </w:t>
      </w:r>
      <w:proofErr w:type="spellStart"/>
      <w:r>
        <w:t>leflunomide</w:t>
      </w:r>
      <w:proofErr w:type="spellEnd"/>
      <w:r>
        <w:t xml:space="preserve"> and sulfasalazine </w:t>
      </w:r>
      <w:r>
        <w:lastRenderedPageBreak/>
        <w:t xml:space="preserve">increased and the patients on monotherapy of </w:t>
      </w:r>
      <w:proofErr w:type="spellStart"/>
      <w:r>
        <w:t>leflunomide</w:t>
      </w:r>
      <w:proofErr w:type="spellEnd"/>
      <w:r>
        <w:t xml:space="preserve"> and sulfasalazine decreased. This pattern is consistent with the restriction requirement to trial methotrexate and one of </w:t>
      </w:r>
      <w:proofErr w:type="spellStart"/>
      <w:r>
        <w:t>leflunomide</w:t>
      </w:r>
      <w:proofErr w:type="spellEnd"/>
      <w:r>
        <w:t xml:space="preserve"> or sulfasalazine before initiating bDMARD therapy. It can be seen that the combination DMARD therapy started to increase more rapidly about 38 weeks prior to initiation to a bDMARD and increased more rapidly again at about 21 weeks prior. The number of patients on </w:t>
      </w:r>
      <w:proofErr w:type="spellStart"/>
      <w:r>
        <w:t>leflunomide</w:t>
      </w:r>
      <w:proofErr w:type="spellEnd"/>
      <w:r>
        <w:t xml:space="preserve"> and methotrexate peaked at 14 weeks prior and the number on sulfasalazine and methotrexate peaked at 12 weeks prior. These time frames are consistent with the 3 month trial period specified in the restriction.</w:t>
      </w:r>
    </w:p>
    <w:p w:rsidR="00821C17" w:rsidRDefault="00821C17" w:rsidP="00821C17">
      <w:pPr>
        <w:pStyle w:val="Heading3"/>
      </w:pPr>
      <w:r w:rsidRPr="009B3E9D">
        <w:t>Estimated Patient Drug Regime</w:t>
      </w:r>
      <w:r>
        <w:t>n</w:t>
      </w:r>
      <w:r w:rsidRPr="009B3E9D">
        <w:t xml:space="preserve">s </w:t>
      </w:r>
      <w:r>
        <w:t>by calendar week</w:t>
      </w:r>
    </w:p>
    <w:p w:rsidR="00821C17" w:rsidRDefault="00821C17" w:rsidP="00821C17">
      <w:pPr>
        <w:spacing w:line="276" w:lineRule="auto"/>
      </w:pPr>
      <w:r>
        <w:t>Figure 4 sh</w:t>
      </w:r>
      <w:r w:rsidRPr="00DB2A49">
        <w:t>o</w:t>
      </w:r>
      <w:r>
        <w:t xml:space="preserve">ws the estimated drug regimens by calendar week from June 2013 to mid- August 2015 for all regimens that contain a bDMARD for </w:t>
      </w:r>
      <w:r w:rsidRPr="00E27A36">
        <w:t>psoriatic arthritis</w:t>
      </w:r>
      <w:r>
        <w:t xml:space="preserve">. The analysis includes all patients, not just the 12 month initiator cohort used for the previous analyses. </w:t>
      </w:r>
    </w:p>
    <w:p w:rsidR="00821C17" w:rsidRDefault="00821C17" w:rsidP="00821C17">
      <w:pPr>
        <w:spacing w:line="276" w:lineRule="auto"/>
      </w:pPr>
      <w:r>
        <w:rPr>
          <w:noProof/>
        </w:rPr>
        <w:drawing>
          <wp:inline distT="0" distB="0" distL="0" distR="0" wp14:anchorId="4E55C5D1" wp14:editId="4B92B20D">
            <wp:extent cx="5687695" cy="3404110"/>
            <wp:effectExtent l="0" t="0" r="27305" b="25400"/>
            <wp:docPr id="4" name="Chart 4" title="Figure 4: Estimated drug regimens containing a bDMARD for PsA by calendar week"/>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072D2F">
        <w:rPr>
          <w:b/>
        </w:rPr>
        <w:t xml:space="preserve">Figure </w:t>
      </w:r>
      <w:r>
        <w:rPr>
          <w:b/>
        </w:rPr>
        <w:t>4</w:t>
      </w:r>
      <w:r w:rsidRPr="00072D2F">
        <w:rPr>
          <w:b/>
        </w:rPr>
        <w:t xml:space="preserve">: </w:t>
      </w:r>
      <w:r>
        <w:rPr>
          <w:b/>
        </w:rPr>
        <w:t xml:space="preserve">Estimated drug regimens containing a bDMARD for </w:t>
      </w:r>
      <w:proofErr w:type="spellStart"/>
      <w:r>
        <w:rPr>
          <w:b/>
        </w:rPr>
        <w:t>PsA</w:t>
      </w:r>
      <w:proofErr w:type="spellEnd"/>
      <w:r>
        <w:rPr>
          <w:b/>
        </w:rPr>
        <w:t xml:space="preserve"> by calendar week</w:t>
      </w:r>
      <w:r>
        <w:rPr>
          <w:b/>
        </w:rPr>
        <w:br/>
      </w:r>
      <w:r w:rsidRPr="00C35FE4">
        <w:rPr>
          <w:sz w:val="20"/>
          <w:szCs w:val="20"/>
        </w:rPr>
        <w:t>Note: for readability</w:t>
      </w:r>
      <w:r>
        <w:rPr>
          <w:sz w:val="20"/>
          <w:szCs w:val="20"/>
        </w:rPr>
        <w:t>,</w:t>
      </w:r>
      <w:r w:rsidRPr="00C35FE4">
        <w:rPr>
          <w:sz w:val="20"/>
          <w:szCs w:val="20"/>
        </w:rPr>
        <w:t xml:space="preserve"> only the 1</w:t>
      </w:r>
      <w:r>
        <w:rPr>
          <w:sz w:val="20"/>
          <w:szCs w:val="20"/>
        </w:rPr>
        <w:t>5</w:t>
      </w:r>
      <w:r w:rsidRPr="00C35FE4">
        <w:rPr>
          <w:sz w:val="20"/>
          <w:szCs w:val="20"/>
        </w:rPr>
        <w:t xml:space="preserve"> most frequent regimens are shown</w:t>
      </w:r>
      <w:r>
        <w:rPr>
          <w:sz w:val="20"/>
          <w:szCs w:val="20"/>
        </w:rPr>
        <w:t xml:space="preserve">. Date of supply data up to the end of September 2015 are used to construct the prevalent regimens, however Figure 4 only shows regimens up to the end of </w:t>
      </w:r>
      <w:r w:rsidR="00380AA7">
        <w:rPr>
          <w:sz w:val="20"/>
          <w:szCs w:val="20"/>
        </w:rPr>
        <w:t>mid-August</w:t>
      </w:r>
      <w:r>
        <w:rPr>
          <w:sz w:val="20"/>
          <w:szCs w:val="20"/>
        </w:rPr>
        <w:t xml:space="preserve"> 2015 as the last 6 weeks were subject to “end effects” and not displayed, see Appendix</w:t>
      </w:r>
      <w:r w:rsidR="006C17FD">
        <w:rPr>
          <w:sz w:val="20"/>
          <w:szCs w:val="20"/>
        </w:rPr>
        <w:t> </w:t>
      </w:r>
      <w:r>
        <w:rPr>
          <w:sz w:val="20"/>
          <w:szCs w:val="20"/>
        </w:rPr>
        <w:t>A for details.</w:t>
      </w:r>
    </w:p>
    <w:p w:rsidR="00821C17" w:rsidRDefault="00821C17" w:rsidP="00821C17">
      <w:pPr>
        <w:spacing w:line="276" w:lineRule="auto"/>
      </w:pPr>
      <w:r>
        <w:t>At the start of the last week in Figure 4 (i</w:t>
      </w:r>
      <w:r w:rsidR="00A8455E">
        <w:t>.</w:t>
      </w:r>
      <w:r>
        <w:t xml:space="preserve">e. 14/8/2015), there were a total of 4,884 patients estimated to be on bDMARD therapy for </w:t>
      </w:r>
      <w:proofErr w:type="spellStart"/>
      <w:r>
        <w:t>PsA.</w:t>
      </w:r>
      <w:proofErr w:type="spellEnd"/>
      <w:r>
        <w:t xml:space="preserve"> 2,314 (47.4%) were estimated to be on bDMARD monotherapy and the remainder (2,570, 52.6%) were estimated to be on a bDMARD in combination with a DMARD. The most common combination was </w:t>
      </w:r>
      <w:proofErr w:type="spellStart"/>
      <w:r w:rsidRPr="00B90A28">
        <w:t>adalimumab</w:t>
      </w:r>
      <w:r>
        <w:t>+methotrexate</w:t>
      </w:r>
      <w:proofErr w:type="spellEnd"/>
      <w:r>
        <w:t xml:space="preserve"> (853 patients, 17.5</w:t>
      </w:r>
      <w:r w:rsidRPr="00B90A28">
        <w:t xml:space="preserve">% of all patients). </w:t>
      </w:r>
    </w:p>
    <w:p w:rsidR="00821C17" w:rsidRDefault="00821C17" w:rsidP="00821C17">
      <w:pPr>
        <w:spacing w:line="276" w:lineRule="auto"/>
      </w:pPr>
      <w:r>
        <w:lastRenderedPageBreak/>
        <w:t>At the start of the first week in Figure 4 (i</w:t>
      </w:r>
      <w:r w:rsidR="00A8455E">
        <w:t>.</w:t>
      </w:r>
      <w:r>
        <w:t xml:space="preserve">e. 1/6/2012), there were a total of 2,934 patients estimated to be on bDMARD therapy for </w:t>
      </w:r>
      <w:proofErr w:type="spellStart"/>
      <w:r>
        <w:t>PsA.</w:t>
      </w:r>
      <w:proofErr w:type="spellEnd"/>
      <w:r>
        <w:t xml:space="preserve"> 1,444 (49.2%) were estimated to be on bDMARD monotherapy and the remainder (1,490, 50.8%) were estimated to be on a bDMARD in combination with a DMARD. The percentage distribution between mono and combination therapy is similar as at </w:t>
      </w:r>
      <w:r w:rsidR="006C17FD">
        <w:t>1 June </w:t>
      </w:r>
      <w:r>
        <w:t xml:space="preserve">2012 and </w:t>
      </w:r>
      <w:r w:rsidR="006C17FD">
        <w:t>14 August </w:t>
      </w:r>
      <w:r>
        <w:t xml:space="preserve">2015. </w:t>
      </w:r>
    </w:p>
    <w:p w:rsidR="00821C17" w:rsidRDefault="00821C17" w:rsidP="00821C17">
      <w:pPr>
        <w:spacing w:line="276" w:lineRule="auto"/>
      </w:pPr>
      <w:r>
        <w:t>T</w:t>
      </w:r>
      <w:r w:rsidRPr="00B90A28">
        <w:t>he distribution of top</w:t>
      </w:r>
      <w:r>
        <w:t xml:space="preserve"> 20 estimated drug regimens containing a bDMARD as at </w:t>
      </w:r>
      <w:r w:rsidR="006C17FD">
        <w:t>14 August </w:t>
      </w:r>
      <w:r>
        <w:t>2015 is shown in the table below.</w:t>
      </w:r>
    </w:p>
    <w:p w:rsidR="00821C17" w:rsidRPr="0098053E" w:rsidRDefault="00821C17" w:rsidP="00821C17">
      <w:pPr>
        <w:pStyle w:val="Figuretitle"/>
        <w:rPr>
          <w:sz w:val="24"/>
        </w:rPr>
      </w:pPr>
      <w:r w:rsidRPr="0098053E">
        <w:rPr>
          <w:sz w:val="24"/>
        </w:rPr>
        <w:t xml:space="preserve">Table 4: Top 20 estimated patient drug regimens containing a bDMARD as at 14/8/2015 </w:t>
      </w:r>
    </w:p>
    <w:tbl>
      <w:tblPr>
        <w:tblW w:w="8237" w:type="dxa"/>
        <w:tblInd w:w="93" w:type="dxa"/>
        <w:tblLook w:val="04A0" w:firstRow="1" w:lastRow="0" w:firstColumn="1" w:lastColumn="0" w:noHBand="0" w:noVBand="1"/>
      </w:tblPr>
      <w:tblGrid>
        <w:gridCol w:w="5380"/>
        <w:gridCol w:w="1014"/>
        <w:gridCol w:w="1134"/>
        <w:gridCol w:w="709"/>
      </w:tblGrid>
      <w:tr w:rsidR="00821C17" w:rsidRPr="00165ADF" w:rsidTr="0080335A">
        <w:trPr>
          <w:trHeight w:val="255"/>
        </w:trPr>
        <w:tc>
          <w:tcPr>
            <w:tcW w:w="5380" w:type="dxa"/>
            <w:tcBorders>
              <w:top w:val="single" w:sz="4" w:space="0" w:color="000000"/>
              <w:left w:val="single" w:sz="4" w:space="0" w:color="000000"/>
              <w:bottom w:val="nil"/>
              <w:right w:val="nil"/>
            </w:tcBorders>
            <w:shd w:val="clear" w:color="auto" w:fill="BFBFBF" w:themeFill="background1" w:themeFillShade="BF"/>
            <w:noWrap/>
            <w:vAlign w:val="bottom"/>
            <w:hideMark/>
          </w:tcPr>
          <w:p w:rsidR="00821C17" w:rsidRPr="00C031DB" w:rsidRDefault="00821C17" w:rsidP="0080335A">
            <w:pPr>
              <w:spacing w:after="0"/>
              <w:jc w:val="center"/>
              <w:rPr>
                <w:rFonts w:eastAsia="Times New Roman" w:cs="Times New Roman"/>
                <w:b/>
                <w:sz w:val="20"/>
                <w:szCs w:val="20"/>
              </w:rPr>
            </w:pPr>
            <w:r w:rsidRPr="00C031DB">
              <w:rPr>
                <w:rFonts w:eastAsia="Times New Roman" w:cs="Times New Roman"/>
                <w:b/>
                <w:sz w:val="20"/>
                <w:szCs w:val="20"/>
              </w:rPr>
              <w:t>Estimated drug regimen</w:t>
            </w:r>
          </w:p>
        </w:tc>
        <w:tc>
          <w:tcPr>
            <w:tcW w:w="1014" w:type="dxa"/>
            <w:tcBorders>
              <w:top w:val="single" w:sz="4" w:space="0" w:color="000000"/>
              <w:left w:val="single" w:sz="4" w:space="0" w:color="000000"/>
              <w:bottom w:val="nil"/>
              <w:right w:val="nil"/>
            </w:tcBorders>
            <w:shd w:val="clear" w:color="auto" w:fill="BFBFBF" w:themeFill="background1" w:themeFillShade="BF"/>
            <w:noWrap/>
            <w:vAlign w:val="bottom"/>
            <w:hideMark/>
          </w:tcPr>
          <w:p w:rsidR="00821C17" w:rsidRPr="00C031DB" w:rsidRDefault="00821C17" w:rsidP="0080335A">
            <w:pPr>
              <w:spacing w:after="0"/>
              <w:jc w:val="center"/>
              <w:rPr>
                <w:rFonts w:eastAsia="Times New Roman" w:cs="Times New Roman"/>
                <w:b/>
                <w:sz w:val="20"/>
                <w:szCs w:val="20"/>
              </w:rPr>
            </w:pPr>
            <w:r w:rsidRPr="00C031DB">
              <w:rPr>
                <w:rFonts w:eastAsia="Times New Roman" w:cs="Times New Roman"/>
                <w:b/>
                <w:sz w:val="20"/>
                <w:szCs w:val="20"/>
              </w:rPr>
              <w:t>Patients</w:t>
            </w:r>
          </w:p>
        </w:tc>
        <w:tc>
          <w:tcPr>
            <w:tcW w:w="1134" w:type="dxa"/>
            <w:tcBorders>
              <w:top w:val="single" w:sz="4" w:space="0" w:color="000000"/>
              <w:left w:val="single" w:sz="4" w:space="0" w:color="000000"/>
              <w:bottom w:val="nil"/>
              <w:right w:val="single" w:sz="4" w:space="0" w:color="000000"/>
            </w:tcBorders>
            <w:shd w:val="clear" w:color="auto" w:fill="BFBFBF" w:themeFill="background1" w:themeFillShade="BF"/>
            <w:noWrap/>
            <w:vAlign w:val="bottom"/>
            <w:hideMark/>
          </w:tcPr>
          <w:p w:rsidR="00821C17" w:rsidRPr="00C031DB" w:rsidRDefault="00821C17" w:rsidP="0080335A">
            <w:pPr>
              <w:spacing w:after="0"/>
              <w:jc w:val="center"/>
              <w:rPr>
                <w:rFonts w:eastAsia="Times New Roman" w:cs="Times New Roman"/>
                <w:b/>
                <w:sz w:val="20"/>
                <w:szCs w:val="20"/>
              </w:rPr>
            </w:pPr>
            <w:r w:rsidRPr="00C031DB">
              <w:rPr>
                <w:rFonts w:eastAsia="Times New Roman" w:cs="Times New Roman"/>
                <w:b/>
                <w:sz w:val="20"/>
                <w:szCs w:val="20"/>
              </w:rPr>
              <w:t>% Patients</w:t>
            </w:r>
          </w:p>
        </w:tc>
        <w:tc>
          <w:tcPr>
            <w:tcW w:w="709" w:type="dxa"/>
            <w:tcBorders>
              <w:top w:val="single" w:sz="4" w:space="0" w:color="000000"/>
              <w:left w:val="single" w:sz="4" w:space="0" w:color="000000"/>
              <w:bottom w:val="nil"/>
              <w:right w:val="single" w:sz="4" w:space="0" w:color="000000"/>
            </w:tcBorders>
            <w:shd w:val="clear" w:color="auto" w:fill="BFBFBF" w:themeFill="background1" w:themeFillShade="BF"/>
          </w:tcPr>
          <w:p w:rsidR="00821C17" w:rsidRPr="00C031DB" w:rsidRDefault="00821C17" w:rsidP="0080335A">
            <w:pPr>
              <w:spacing w:after="0"/>
              <w:jc w:val="center"/>
              <w:rPr>
                <w:rFonts w:eastAsia="Times New Roman" w:cs="Times New Roman"/>
                <w:b/>
                <w:sz w:val="20"/>
                <w:szCs w:val="20"/>
              </w:rPr>
            </w:pPr>
            <w:r>
              <w:rPr>
                <w:rFonts w:eastAsia="Times New Roman" w:cs="Times New Roman"/>
                <w:b/>
                <w:sz w:val="20"/>
                <w:szCs w:val="20"/>
              </w:rPr>
              <w:t>Rank</w:t>
            </w:r>
          </w:p>
        </w:tc>
      </w:tr>
      <w:tr w:rsidR="00821C17" w:rsidRPr="00165ADF" w:rsidTr="0080335A">
        <w:trPr>
          <w:trHeight w:val="255"/>
        </w:trPr>
        <w:tc>
          <w:tcPr>
            <w:tcW w:w="5380" w:type="dxa"/>
            <w:tcBorders>
              <w:top w:val="single" w:sz="4" w:space="0" w:color="000000"/>
              <w:left w:val="single" w:sz="4" w:space="0" w:color="000000"/>
              <w:bottom w:val="nil"/>
              <w:right w:val="nil"/>
            </w:tcBorders>
            <w:shd w:val="clear" w:color="auto" w:fill="auto"/>
            <w:noWrap/>
            <w:hideMark/>
          </w:tcPr>
          <w:p w:rsidR="00821C17" w:rsidRPr="008C59F9" w:rsidRDefault="00821C17" w:rsidP="0080335A">
            <w:pPr>
              <w:spacing w:after="0"/>
              <w:rPr>
                <w:rFonts w:eastAsia="Times New Roman" w:cs="Times New Roman"/>
                <w:sz w:val="20"/>
                <w:szCs w:val="20"/>
              </w:rPr>
            </w:pPr>
            <w:r w:rsidRPr="008C59F9">
              <w:rPr>
                <w:sz w:val="20"/>
                <w:szCs w:val="20"/>
              </w:rPr>
              <w:t>Adalimumab</w:t>
            </w:r>
          </w:p>
        </w:tc>
        <w:tc>
          <w:tcPr>
            <w:tcW w:w="1014" w:type="dxa"/>
            <w:tcBorders>
              <w:top w:val="single" w:sz="4" w:space="0" w:color="000000"/>
              <w:left w:val="single" w:sz="4" w:space="0" w:color="000000"/>
              <w:bottom w:val="nil"/>
              <w:right w:val="nil"/>
            </w:tcBorders>
            <w:shd w:val="clear" w:color="auto" w:fill="auto"/>
            <w:noWrap/>
            <w:vAlign w:val="center"/>
            <w:hideMark/>
          </w:tcPr>
          <w:p w:rsidR="00821C17" w:rsidRPr="008C59F9" w:rsidRDefault="00821C17" w:rsidP="0080335A">
            <w:pPr>
              <w:spacing w:after="0"/>
              <w:jc w:val="center"/>
              <w:rPr>
                <w:rFonts w:eastAsia="Times New Roman" w:cs="Times New Roman"/>
                <w:sz w:val="20"/>
                <w:szCs w:val="20"/>
              </w:rPr>
            </w:pPr>
            <w:r w:rsidRPr="008C59F9">
              <w:rPr>
                <w:sz w:val="20"/>
                <w:szCs w:val="20"/>
              </w:rPr>
              <w:t>1,022</w:t>
            </w:r>
          </w:p>
        </w:tc>
        <w:tc>
          <w:tcPr>
            <w:tcW w:w="1134" w:type="dxa"/>
            <w:tcBorders>
              <w:top w:val="single" w:sz="4" w:space="0" w:color="000000"/>
              <w:left w:val="single" w:sz="4" w:space="0" w:color="000000"/>
              <w:bottom w:val="nil"/>
              <w:right w:val="single" w:sz="4" w:space="0" w:color="000000"/>
            </w:tcBorders>
            <w:shd w:val="clear" w:color="auto" w:fill="auto"/>
            <w:noWrap/>
            <w:vAlign w:val="center"/>
            <w:hideMark/>
          </w:tcPr>
          <w:p w:rsidR="00821C17" w:rsidRPr="008C59F9" w:rsidRDefault="00821C17" w:rsidP="0080335A">
            <w:pPr>
              <w:spacing w:after="0"/>
              <w:jc w:val="center"/>
              <w:rPr>
                <w:rFonts w:eastAsia="Times New Roman" w:cs="Times New Roman"/>
                <w:sz w:val="20"/>
                <w:szCs w:val="20"/>
              </w:rPr>
            </w:pPr>
            <w:r w:rsidRPr="008C59F9">
              <w:rPr>
                <w:sz w:val="20"/>
                <w:szCs w:val="20"/>
              </w:rPr>
              <w:t>20.9%</w:t>
            </w:r>
          </w:p>
        </w:tc>
        <w:tc>
          <w:tcPr>
            <w:tcW w:w="709" w:type="dxa"/>
            <w:tcBorders>
              <w:top w:val="single" w:sz="4" w:space="0" w:color="000000"/>
              <w:left w:val="single" w:sz="4" w:space="0" w:color="000000"/>
              <w:bottom w:val="nil"/>
              <w:right w:val="single" w:sz="4" w:space="0" w:color="000000"/>
            </w:tcBorders>
            <w:vAlign w:val="center"/>
          </w:tcPr>
          <w:p w:rsidR="00821C17" w:rsidRPr="003C6D96" w:rsidRDefault="00821C17" w:rsidP="0080335A">
            <w:pPr>
              <w:spacing w:after="0"/>
              <w:jc w:val="center"/>
              <w:rPr>
                <w:sz w:val="20"/>
              </w:rPr>
            </w:pPr>
            <w:r w:rsidRPr="00B90A28">
              <w:rPr>
                <w:sz w:val="20"/>
              </w:rPr>
              <w:t>1</w:t>
            </w:r>
          </w:p>
        </w:tc>
      </w:tr>
      <w:tr w:rsidR="00821C17" w:rsidRPr="00165ADF" w:rsidTr="0080335A">
        <w:trPr>
          <w:trHeight w:val="255"/>
        </w:trPr>
        <w:tc>
          <w:tcPr>
            <w:tcW w:w="5380" w:type="dxa"/>
            <w:tcBorders>
              <w:top w:val="nil"/>
              <w:left w:val="single" w:sz="4" w:space="0" w:color="000000"/>
              <w:bottom w:val="nil"/>
              <w:right w:val="nil"/>
            </w:tcBorders>
            <w:shd w:val="clear" w:color="auto" w:fill="auto"/>
            <w:noWrap/>
            <w:hideMark/>
          </w:tcPr>
          <w:p w:rsidR="00821C17" w:rsidRPr="008C59F9" w:rsidRDefault="00821C17" w:rsidP="0080335A">
            <w:pPr>
              <w:spacing w:after="0"/>
              <w:rPr>
                <w:rFonts w:eastAsia="Times New Roman" w:cs="Times New Roman"/>
                <w:sz w:val="20"/>
                <w:szCs w:val="20"/>
              </w:rPr>
            </w:pPr>
            <w:proofErr w:type="spellStart"/>
            <w:r w:rsidRPr="008C59F9">
              <w:rPr>
                <w:sz w:val="20"/>
                <w:szCs w:val="20"/>
              </w:rPr>
              <w:t>Adalimumab+Methotrexate</w:t>
            </w:r>
            <w:proofErr w:type="spellEnd"/>
          </w:p>
        </w:tc>
        <w:tc>
          <w:tcPr>
            <w:tcW w:w="1014" w:type="dxa"/>
            <w:tcBorders>
              <w:top w:val="nil"/>
              <w:left w:val="single" w:sz="4" w:space="0" w:color="000000"/>
              <w:bottom w:val="nil"/>
              <w:right w:val="nil"/>
            </w:tcBorders>
            <w:shd w:val="clear" w:color="auto" w:fill="auto"/>
            <w:noWrap/>
            <w:vAlign w:val="center"/>
            <w:hideMark/>
          </w:tcPr>
          <w:p w:rsidR="00821C17" w:rsidRPr="008C59F9" w:rsidRDefault="00821C17" w:rsidP="0080335A">
            <w:pPr>
              <w:spacing w:after="0"/>
              <w:jc w:val="center"/>
              <w:rPr>
                <w:rFonts w:eastAsia="Times New Roman" w:cs="Times New Roman"/>
                <w:sz w:val="20"/>
                <w:szCs w:val="20"/>
              </w:rPr>
            </w:pPr>
            <w:r w:rsidRPr="008C59F9">
              <w:rPr>
                <w:sz w:val="20"/>
                <w:szCs w:val="20"/>
              </w:rPr>
              <w:t>853</w:t>
            </w:r>
          </w:p>
        </w:tc>
        <w:tc>
          <w:tcPr>
            <w:tcW w:w="1134" w:type="dxa"/>
            <w:tcBorders>
              <w:top w:val="nil"/>
              <w:left w:val="single" w:sz="4" w:space="0" w:color="000000"/>
              <w:bottom w:val="nil"/>
              <w:right w:val="single" w:sz="4" w:space="0" w:color="000000"/>
            </w:tcBorders>
            <w:shd w:val="clear" w:color="auto" w:fill="auto"/>
            <w:noWrap/>
            <w:vAlign w:val="center"/>
            <w:hideMark/>
          </w:tcPr>
          <w:p w:rsidR="00821C17" w:rsidRPr="008C59F9" w:rsidRDefault="00821C17" w:rsidP="0080335A">
            <w:pPr>
              <w:spacing w:after="0"/>
              <w:jc w:val="center"/>
              <w:rPr>
                <w:rFonts w:eastAsia="Times New Roman" w:cs="Times New Roman"/>
                <w:sz w:val="20"/>
                <w:szCs w:val="20"/>
              </w:rPr>
            </w:pPr>
            <w:r w:rsidRPr="008C59F9">
              <w:rPr>
                <w:sz w:val="20"/>
                <w:szCs w:val="20"/>
              </w:rPr>
              <w:t>17.5%</w:t>
            </w:r>
          </w:p>
        </w:tc>
        <w:tc>
          <w:tcPr>
            <w:tcW w:w="709" w:type="dxa"/>
            <w:tcBorders>
              <w:top w:val="nil"/>
              <w:left w:val="single" w:sz="4" w:space="0" w:color="000000"/>
              <w:bottom w:val="nil"/>
              <w:right w:val="single" w:sz="4" w:space="0" w:color="000000"/>
            </w:tcBorders>
            <w:vAlign w:val="center"/>
          </w:tcPr>
          <w:p w:rsidR="00821C17" w:rsidRPr="003C6D96" w:rsidRDefault="00821C17" w:rsidP="0080335A">
            <w:pPr>
              <w:spacing w:after="0"/>
              <w:jc w:val="center"/>
              <w:rPr>
                <w:sz w:val="20"/>
              </w:rPr>
            </w:pPr>
            <w:r w:rsidRPr="00B90A28">
              <w:rPr>
                <w:sz w:val="20"/>
              </w:rPr>
              <w:t>2</w:t>
            </w:r>
          </w:p>
        </w:tc>
      </w:tr>
      <w:tr w:rsidR="00821C17" w:rsidRPr="00165ADF" w:rsidTr="0080335A">
        <w:trPr>
          <w:trHeight w:val="255"/>
        </w:trPr>
        <w:tc>
          <w:tcPr>
            <w:tcW w:w="5380" w:type="dxa"/>
            <w:tcBorders>
              <w:top w:val="nil"/>
              <w:left w:val="single" w:sz="4" w:space="0" w:color="000000"/>
              <w:bottom w:val="nil"/>
              <w:right w:val="nil"/>
            </w:tcBorders>
            <w:shd w:val="clear" w:color="auto" w:fill="auto"/>
            <w:noWrap/>
            <w:hideMark/>
          </w:tcPr>
          <w:p w:rsidR="00821C17" w:rsidRPr="008C59F9" w:rsidRDefault="00821C17" w:rsidP="0080335A">
            <w:pPr>
              <w:spacing w:after="0"/>
              <w:rPr>
                <w:rFonts w:eastAsia="Times New Roman" w:cs="Times New Roman"/>
                <w:sz w:val="20"/>
                <w:szCs w:val="20"/>
              </w:rPr>
            </w:pPr>
            <w:proofErr w:type="spellStart"/>
            <w:r w:rsidRPr="008C59F9">
              <w:rPr>
                <w:sz w:val="20"/>
                <w:szCs w:val="20"/>
              </w:rPr>
              <w:t>Etanercept</w:t>
            </w:r>
            <w:proofErr w:type="spellEnd"/>
          </w:p>
        </w:tc>
        <w:tc>
          <w:tcPr>
            <w:tcW w:w="1014" w:type="dxa"/>
            <w:tcBorders>
              <w:top w:val="nil"/>
              <w:left w:val="single" w:sz="4" w:space="0" w:color="000000"/>
              <w:bottom w:val="nil"/>
              <w:right w:val="nil"/>
            </w:tcBorders>
            <w:shd w:val="clear" w:color="auto" w:fill="auto"/>
            <w:noWrap/>
            <w:vAlign w:val="center"/>
            <w:hideMark/>
          </w:tcPr>
          <w:p w:rsidR="00821C17" w:rsidRPr="008C59F9" w:rsidRDefault="00821C17" w:rsidP="0080335A">
            <w:pPr>
              <w:spacing w:after="0"/>
              <w:jc w:val="center"/>
              <w:rPr>
                <w:rFonts w:eastAsia="Times New Roman" w:cs="Times New Roman"/>
                <w:sz w:val="20"/>
                <w:szCs w:val="20"/>
              </w:rPr>
            </w:pPr>
            <w:r w:rsidRPr="008C59F9">
              <w:rPr>
                <w:sz w:val="20"/>
                <w:szCs w:val="20"/>
              </w:rPr>
              <w:t>688</w:t>
            </w:r>
          </w:p>
        </w:tc>
        <w:tc>
          <w:tcPr>
            <w:tcW w:w="1134" w:type="dxa"/>
            <w:tcBorders>
              <w:top w:val="nil"/>
              <w:left w:val="single" w:sz="4" w:space="0" w:color="000000"/>
              <w:bottom w:val="nil"/>
              <w:right w:val="single" w:sz="4" w:space="0" w:color="000000"/>
            </w:tcBorders>
            <w:shd w:val="clear" w:color="auto" w:fill="auto"/>
            <w:noWrap/>
            <w:vAlign w:val="center"/>
            <w:hideMark/>
          </w:tcPr>
          <w:p w:rsidR="00821C17" w:rsidRPr="008C59F9" w:rsidRDefault="00821C17" w:rsidP="0080335A">
            <w:pPr>
              <w:spacing w:after="0"/>
              <w:jc w:val="center"/>
              <w:rPr>
                <w:rFonts w:eastAsia="Times New Roman" w:cs="Times New Roman"/>
                <w:sz w:val="20"/>
                <w:szCs w:val="20"/>
              </w:rPr>
            </w:pPr>
            <w:r w:rsidRPr="008C59F9">
              <w:rPr>
                <w:sz w:val="20"/>
                <w:szCs w:val="20"/>
              </w:rPr>
              <w:t>14.1%</w:t>
            </w:r>
          </w:p>
        </w:tc>
        <w:tc>
          <w:tcPr>
            <w:tcW w:w="709" w:type="dxa"/>
            <w:tcBorders>
              <w:top w:val="nil"/>
              <w:left w:val="single" w:sz="4" w:space="0" w:color="000000"/>
              <w:bottom w:val="nil"/>
              <w:right w:val="single" w:sz="4" w:space="0" w:color="000000"/>
            </w:tcBorders>
            <w:vAlign w:val="center"/>
          </w:tcPr>
          <w:p w:rsidR="00821C17" w:rsidRPr="003C6D96" w:rsidRDefault="00821C17" w:rsidP="0080335A">
            <w:pPr>
              <w:spacing w:after="0"/>
              <w:jc w:val="center"/>
              <w:rPr>
                <w:sz w:val="20"/>
              </w:rPr>
            </w:pPr>
            <w:r w:rsidRPr="00B90A28">
              <w:rPr>
                <w:sz w:val="20"/>
              </w:rPr>
              <w:t>3</w:t>
            </w:r>
          </w:p>
        </w:tc>
      </w:tr>
      <w:tr w:rsidR="00821C17" w:rsidRPr="00165ADF" w:rsidTr="0080335A">
        <w:trPr>
          <w:trHeight w:val="255"/>
        </w:trPr>
        <w:tc>
          <w:tcPr>
            <w:tcW w:w="5380" w:type="dxa"/>
            <w:tcBorders>
              <w:top w:val="nil"/>
              <w:left w:val="single" w:sz="4" w:space="0" w:color="000000"/>
              <w:bottom w:val="nil"/>
              <w:right w:val="nil"/>
            </w:tcBorders>
            <w:shd w:val="clear" w:color="auto" w:fill="auto"/>
            <w:noWrap/>
            <w:hideMark/>
          </w:tcPr>
          <w:p w:rsidR="00821C17" w:rsidRPr="008C59F9" w:rsidRDefault="00821C17" w:rsidP="0080335A">
            <w:pPr>
              <w:spacing w:after="0"/>
              <w:rPr>
                <w:rFonts w:eastAsia="Times New Roman" w:cs="Times New Roman"/>
                <w:sz w:val="20"/>
                <w:szCs w:val="20"/>
              </w:rPr>
            </w:pPr>
            <w:proofErr w:type="spellStart"/>
            <w:r w:rsidRPr="008C59F9">
              <w:rPr>
                <w:sz w:val="20"/>
                <w:szCs w:val="20"/>
              </w:rPr>
              <w:t>Golimumab</w:t>
            </w:r>
            <w:proofErr w:type="spellEnd"/>
          </w:p>
        </w:tc>
        <w:tc>
          <w:tcPr>
            <w:tcW w:w="1014" w:type="dxa"/>
            <w:tcBorders>
              <w:top w:val="nil"/>
              <w:left w:val="single" w:sz="4" w:space="0" w:color="000000"/>
              <w:bottom w:val="nil"/>
              <w:right w:val="nil"/>
            </w:tcBorders>
            <w:shd w:val="clear" w:color="auto" w:fill="auto"/>
            <w:noWrap/>
            <w:vAlign w:val="center"/>
            <w:hideMark/>
          </w:tcPr>
          <w:p w:rsidR="00821C17" w:rsidRPr="008C59F9" w:rsidRDefault="00821C17" w:rsidP="0080335A">
            <w:pPr>
              <w:spacing w:after="0"/>
              <w:jc w:val="center"/>
              <w:rPr>
                <w:rFonts w:eastAsia="Times New Roman" w:cs="Times New Roman"/>
                <w:sz w:val="20"/>
                <w:szCs w:val="20"/>
              </w:rPr>
            </w:pPr>
            <w:r w:rsidRPr="008C59F9">
              <w:rPr>
                <w:sz w:val="20"/>
                <w:szCs w:val="20"/>
              </w:rPr>
              <w:t>425</w:t>
            </w:r>
          </w:p>
        </w:tc>
        <w:tc>
          <w:tcPr>
            <w:tcW w:w="1134" w:type="dxa"/>
            <w:tcBorders>
              <w:top w:val="nil"/>
              <w:left w:val="single" w:sz="4" w:space="0" w:color="000000"/>
              <w:bottom w:val="nil"/>
              <w:right w:val="single" w:sz="4" w:space="0" w:color="000000"/>
            </w:tcBorders>
            <w:shd w:val="clear" w:color="auto" w:fill="auto"/>
            <w:noWrap/>
            <w:vAlign w:val="center"/>
            <w:hideMark/>
          </w:tcPr>
          <w:p w:rsidR="00821C17" w:rsidRPr="008C59F9" w:rsidRDefault="00821C17" w:rsidP="0080335A">
            <w:pPr>
              <w:spacing w:after="0"/>
              <w:jc w:val="center"/>
              <w:rPr>
                <w:rFonts w:eastAsia="Times New Roman" w:cs="Times New Roman"/>
                <w:sz w:val="20"/>
                <w:szCs w:val="20"/>
              </w:rPr>
            </w:pPr>
            <w:r w:rsidRPr="008C59F9">
              <w:rPr>
                <w:sz w:val="20"/>
                <w:szCs w:val="20"/>
              </w:rPr>
              <w:t>8.7%</w:t>
            </w:r>
          </w:p>
        </w:tc>
        <w:tc>
          <w:tcPr>
            <w:tcW w:w="709" w:type="dxa"/>
            <w:tcBorders>
              <w:top w:val="nil"/>
              <w:left w:val="single" w:sz="4" w:space="0" w:color="000000"/>
              <w:bottom w:val="nil"/>
              <w:right w:val="single" w:sz="4" w:space="0" w:color="000000"/>
            </w:tcBorders>
            <w:vAlign w:val="center"/>
          </w:tcPr>
          <w:p w:rsidR="00821C17" w:rsidRPr="003C6D96" w:rsidRDefault="00821C17" w:rsidP="0080335A">
            <w:pPr>
              <w:spacing w:after="0"/>
              <w:jc w:val="center"/>
              <w:rPr>
                <w:sz w:val="20"/>
              </w:rPr>
            </w:pPr>
            <w:r w:rsidRPr="00B90A28">
              <w:rPr>
                <w:sz w:val="20"/>
              </w:rPr>
              <w:t>4</w:t>
            </w:r>
          </w:p>
        </w:tc>
      </w:tr>
      <w:tr w:rsidR="00821C17" w:rsidRPr="00165ADF" w:rsidTr="0080335A">
        <w:trPr>
          <w:trHeight w:val="255"/>
        </w:trPr>
        <w:tc>
          <w:tcPr>
            <w:tcW w:w="5380" w:type="dxa"/>
            <w:tcBorders>
              <w:top w:val="nil"/>
              <w:left w:val="single" w:sz="4" w:space="0" w:color="000000"/>
              <w:bottom w:val="nil"/>
              <w:right w:val="nil"/>
            </w:tcBorders>
            <w:shd w:val="clear" w:color="auto" w:fill="auto"/>
            <w:noWrap/>
            <w:hideMark/>
          </w:tcPr>
          <w:p w:rsidR="00821C17" w:rsidRPr="008C59F9" w:rsidRDefault="00821C17" w:rsidP="0080335A">
            <w:pPr>
              <w:spacing w:after="0"/>
              <w:rPr>
                <w:rFonts w:eastAsia="Times New Roman" w:cs="Times New Roman"/>
                <w:sz w:val="20"/>
                <w:szCs w:val="20"/>
              </w:rPr>
            </w:pPr>
            <w:proofErr w:type="spellStart"/>
            <w:r w:rsidRPr="008C59F9">
              <w:rPr>
                <w:sz w:val="20"/>
                <w:szCs w:val="20"/>
              </w:rPr>
              <w:t>Etanercept+Methotrexate</w:t>
            </w:r>
            <w:proofErr w:type="spellEnd"/>
          </w:p>
        </w:tc>
        <w:tc>
          <w:tcPr>
            <w:tcW w:w="1014" w:type="dxa"/>
            <w:tcBorders>
              <w:top w:val="nil"/>
              <w:left w:val="single" w:sz="4" w:space="0" w:color="000000"/>
              <w:bottom w:val="nil"/>
              <w:right w:val="nil"/>
            </w:tcBorders>
            <w:shd w:val="clear" w:color="auto" w:fill="auto"/>
            <w:noWrap/>
            <w:vAlign w:val="center"/>
            <w:hideMark/>
          </w:tcPr>
          <w:p w:rsidR="00821C17" w:rsidRPr="008C59F9" w:rsidRDefault="00821C17" w:rsidP="0080335A">
            <w:pPr>
              <w:spacing w:after="0"/>
              <w:jc w:val="center"/>
              <w:rPr>
                <w:rFonts w:eastAsia="Times New Roman" w:cs="Times New Roman"/>
                <w:sz w:val="20"/>
                <w:szCs w:val="20"/>
              </w:rPr>
            </w:pPr>
            <w:r w:rsidRPr="008C59F9">
              <w:rPr>
                <w:sz w:val="20"/>
                <w:szCs w:val="20"/>
              </w:rPr>
              <w:t>405</w:t>
            </w:r>
          </w:p>
        </w:tc>
        <w:tc>
          <w:tcPr>
            <w:tcW w:w="1134" w:type="dxa"/>
            <w:tcBorders>
              <w:top w:val="nil"/>
              <w:left w:val="single" w:sz="4" w:space="0" w:color="000000"/>
              <w:bottom w:val="nil"/>
              <w:right w:val="single" w:sz="4" w:space="0" w:color="000000"/>
            </w:tcBorders>
            <w:shd w:val="clear" w:color="auto" w:fill="auto"/>
            <w:noWrap/>
            <w:vAlign w:val="center"/>
            <w:hideMark/>
          </w:tcPr>
          <w:p w:rsidR="00821C17" w:rsidRPr="008C59F9" w:rsidRDefault="00821C17" w:rsidP="0080335A">
            <w:pPr>
              <w:spacing w:after="0"/>
              <w:jc w:val="center"/>
              <w:rPr>
                <w:rFonts w:eastAsia="Times New Roman" w:cs="Times New Roman"/>
                <w:sz w:val="20"/>
                <w:szCs w:val="20"/>
              </w:rPr>
            </w:pPr>
            <w:r w:rsidRPr="008C59F9">
              <w:rPr>
                <w:sz w:val="20"/>
                <w:szCs w:val="20"/>
              </w:rPr>
              <w:t>8.3%</w:t>
            </w:r>
          </w:p>
        </w:tc>
        <w:tc>
          <w:tcPr>
            <w:tcW w:w="709" w:type="dxa"/>
            <w:tcBorders>
              <w:top w:val="nil"/>
              <w:left w:val="single" w:sz="4" w:space="0" w:color="000000"/>
              <w:bottom w:val="nil"/>
              <w:right w:val="single" w:sz="4" w:space="0" w:color="000000"/>
            </w:tcBorders>
            <w:vAlign w:val="center"/>
          </w:tcPr>
          <w:p w:rsidR="00821C17" w:rsidRPr="003C6D96" w:rsidRDefault="00821C17" w:rsidP="0080335A">
            <w:pPr>
              <w:spacing w:after="0"/>
              <w:jc w:val="center"/>
              <w:rPr>
                <w:sz w:val="20"/>
              </w:rPr>
            </w:pPr>
            <w:r w:rsidRPr="00B90A28">
              <w:rPr>
                <w:sz w:val="20"/>
              </w:rPr>
              <w:t>5</w:t>
            </w:r>
          </w:p>
        </w:tc>
      </w:tr>
      <w:tr w:rsidR="00821C17" w:rsidRPr="00165ADF" w:rsidTr="0080335A">
        <w:trPr>
          <w:trHeight w:val="255"/>
        </w:trPr>
        <w:tc>
          <w:tcPr>
            <w:tcW w:w="5380" w:type="dxa"/>
            <w:tcBorders>
              <w:top w:val="nil"/>
              <w:left w:val="single" w:sz="4" w:space="0" w:color="000000"/>
              <w:bottom w:val="nil"/>
              <w:right w:val="nil"/>
            </w:tcBorders>
            <w:shd w:val="clear" w:color="auto" w:fill="auto"/>
            <w:noWrap/>
            <w:hideMark/>
          </w:tcPr>
          <w:p w:rsidR="00821C17" w:rsidRPr="008C59F9" w:rsidRDefault="00821C17" w:rsidP="0080335A">
            <w:pPr>
              <w:spacing w:after="0"/>
              <w:rPr>
                <w:rFonts w:eastAsia="Times New Roman" w:cs="Times New Roman"/>
                <w:sz w:val="20"/>
                <w:szCs w:val="20"/>
              </w:rPr>
            </w:pPr>
            <w:proofErr w:type="spellStart"/>
            <w:r w:rsidRPr="008C59F9">
              <w:rPr>
                <w:sz w:val="20"/>
                <w:szCs w:val="20"/>
              </w:rPr>
              <w:t>Golimumab+Methotrexate</w:t>
            </w:r>
            <w:proofErr w:type="spellEnd"/>
          </w:p>
        </w:tc>
        <w:tc>
          <w:tcPr>
            <w:tcW w:w="1014" w:type="dxa"/>
            <w:tcBorders>
              <w:top w:val="nil"/>
              <w:left w:val="single" w:sz="4" w:space="0" w:color="000000"/>
              <w:bottom w:val="nil"/>
              <w:right w:val="nil"/>
            </w:tcBorders>
            <w:shd w:val="clear" w:color="auto" w:fill="auto"/>
            <w:noWrap/>
            <w:vAlign w:val="center"/>
            <w:hideMark/>
          </w:tcPr>
          <w:p w:rsidR="00821C17" w:rsidRPr="008C59F9" w:rsidRDefault="00821C17" w:rsidP="0080335A">
            <w:pPr>
              <w:spacing w:after="0"/>
              <w:jc w:val="center"/>
              <w:rPr>
                <w:rFonts w:eastAsia="Times New Roman" w:cs="Times New Roman"/>
                <w:sz w:val="20"/>
                <w:szCs w:val="20"/>
              </w:rPr>
            </w:pPr>
            <w:r w:rsidRPr="008C59F9">
              <w:rPr>
                <w:sz w:val="20"/>
                <w:szCs w:val="20"/>
              </w:rPr>
              <w:t>338</w:t>
            </w:r>
          </w:p>
        </w:tc>
        <w:tc>
          <w:tcPr>
            <w:tcW w:w="1134" w:type="dxa"/>
            <w:tcBorders>
              <w:top w:val="nil"/>
              <w:left w:val="single" w:sz="4" w:space="0" w:color="000000"/>
              <w:bottom w:val="nil"/>
              <w:right w:val="single" w:sz="4" w:space="0" w:color="000000"/>
            </w:tcBorders>
            <w:shd w:val="clear" w:color="auto" w:fill="auto"/>
            <w:noWrap/>
            <w:vAlign w:val="center"/>
            <w:hideMark/>
          </w:tcPr>
          <w:p w:rsidR="00821C17" w:rsidRPr="008C59F9" w:rsidRDefault="00821C17" w:rsidP="0080335A">
            <w:pPr>
              <w:spacing w:after="0"/>
              <w:jc w:val="center"/>
              <w:rPr>
                <w:rFonts w:eastAsia="Times New Roman" w:cs="Times New Roman"/>
                <w:sz w:val="20"/>
                <w:szCs w:val="20"/>
              </w:rPr>
            </w:pPr>
            <w:r w:rsidRPr="008C59F9">
              <w:rPr>
                <w:sz w:val="20"/>
                <w:szCs w:val="20"/>
              </w:rPr>
              <w:t>6.9%</w:t>
            </w:r>
          </w:p>
        </w:tc>
        <w:tc>
          <w:tcPr>
            <w:tcW w:w="709" w:type="dxa"/>
            <w:tcBorders>
              <w:top w:val="nil"/>
              <w:left w:val="single" w:sz="4" w:space="0" w:color="000000"/>
              <w:bottom w:val="nil"/>
              <w:right w:val="single" w:sz="4" w:space="0" w:color="000000"/>
            </w:tcBorders>
            <w:vAlign w:val="center"/>
          </w:tcPr>
          <w:p w:rsidR="00821C17" w:rsidRPr="003C6D96" w:rsidRDefault="00821C17" w:rsidP="0080335A">
            <w:pPr>
              <w:spacing w:after="0"/>
              <w:jc w:val="center"/>
              <w:rPr>
                <w:sz w:val="20"/>
              </w:rPr>
            </w:pPr>
            <w:r w:rsidRPr="00B90A28">
              <w:rPr>
                <w:sz w:val="20"/>
              </w:rPr>
              <w:t>6</w:t>
            </w:r>
          </w:p>
        </w:tc>
      </w:tr>
      <w:tr w:rsidR="00821C17" w:rsidRPr="00165ADF" w:rsidTr="0080335A">
        <w:trPr>
          <w:trHeight w:val="255"/>
        </w:trPr>
        <w:tc>
          <w:tcPr>
            <w:tcW w:w="5380" w:type="dxa"/>
            <w:tcBorders>
              <w:top w:val="nil"/>
              <w:left w:val="single" w:sz="4" w:space="0" w:color="000000"/>
              <w:bottom w:val="nil"/>
              <w:right w:val="nil"/>
            </w:tcBorders>
            <w:shd w:val="clear" w:color="auto" w:fill="auto"/>
            <w:noWrap/>
            <w:hideMark/>
          </w:tcPr>
          <w:p w:rsidR="00821C17" w:rsidRPr="008C59F9" w:rsidRDefault="00821C17" w:rsidP="0080335A">
            <w:pPr>
              <w:spacing w:after="0"/>
              <w:rPr>
                <w:rFonts w:eastAsia="Times New Roman" w:cs="Times New Roman"/>
                <w:sz w:val="20"/>
                <w:szCs w:val="20"/>
              </w:rPr>
            </w:pPr>
            <w:r w:rsidRPr="008C59F9">
              <w:rPr>
                <w:sz w:val="20"/>
                <w:szCs w:val="20"/>
              </w:rPr>
              <w:t>Infliximab</w:t>
            </w:r>
          </w:p>
        </w:tc>
        <w:tc>
          <w:tcPr>
            <w:tcW w:w="1014" w:type="dxa"/>
            <w:tcBorders>
              <w:top w:val="nil"/>
              <w:left w:val="single" w:sz="4" w:space="0" w:color="000000"/>
              <w:bottom w:val="nil"/>
              <w:right w:val="nil"/>
            </w:tcBorders>
            <w:shd w:val="clear" w:color="auto" w:fill="auto"/>
            <w:noWrap/>
            <w:vAlign w:val="center"/>
            <w:hideMark/>
          </w:tcPr>
          <w:p w:rsidR="00821C17" w:rsidRPr="008C59F9" w:rsidRDefault="00821C17" w:rsidP="0080335A">
            <w:pPr>
              <w:spacing w:after="0"/>
              <w:jc w:val="center"/>
              <w:rPr>
                <w:rFonts w:eastAsia="Times New Roman" w:cs="Times New Roman"/>
                <w:sz w:val="20"/>
                <w:szCs w:val="20"/>
              </w:rPr>
            </w:pPr>
            <w:r w:rsidRPr="008C59F9">
              <w:rPr>
                <w:sz w:val="20"/>
                <w:szCs w:val="20"/>
              </w:rPr>
              <w:t>141</w:t>
            </w:r>
          </w:p>
        </w:tc>
        <w:tc>
          <w:tcPr>
            <w:tcW w:w="1134" w:type="dxa"/>
            <w:tcBorders>
              <w:top w:val="nil"/>
              <w:left w:val="single" w:sz="4" w:space="0" w:color="000000"/>
              <w:bottom w:val="nil"/>
              <w:right w:val="single" w:sz="4" w:space="0" w:color="000000"/>
            </w:tcBorders>
            <w:shd w:val="clear" w:color="auto" w:fill="auto"/>
            <w:noWrap/>
            <w:vAlign w:val="center"/>
            <w:hideMark/>
          </w:tcPr>
          <w:p w:rsidR="00821C17" w:rsidRPr="008C59F9" w:rsidRDefault="00821C17" w:rsidP="0080335A">
            <w:pPr>
              <w:spacing w:after="0"/>
              <w:jc w:val="center"/>
              <w:rPr>
                <w:rFonts w:eastAsia="Times New Roman" w:cs="Times New Roman"/>
                <w:sz w:val="20"/>
                <w:szCs w:val="20"/>
              </w:rPr>
            </w:pPr>
            <w:r w:rsidRPr="008C59F9">
              <w:rPr>
                <w:sz w:val="20"/>
                <w:szCs w:val="20"/>
              </w:rPr>
              <w:t>2.9%</w:t>
            </w:r>
          </w:p>
        </w:tc>
        <w:tc>
          <w:tcPr>
            <w:tcW w:w="709" w:type="dxa"/>
            <w:tcBorders>
              <w:top w:val="nil"/>
              <w:left w:val="single" w:sz="4" w:space="0" w:color="000000"/>
              <w:bottom w:val="nil"/>
              <w:right w:val="single" w:sz="4" w:space="0" w:color="000000"/>
            </w:tcBorders>
            <w:vAlign w:val="center"/>
          </w:tcPr>
          <w:p w:rsidR="00821C17" w:rsidRPr="003C6D96" w:rsidRDefault="00821C17" w:rsidP="0080335A">
            <w:pPr>
              <w:spacing w:after="0"/>
              <w:jc w:val="center"/>
              <w:rPr>
                <w:sz w:val="20"/>
              </w:rPr>
            </w:pPr>
            <w:r w:rsidRPr="00B90A28">
              <w:rPr>
                <w:sz w:val="20"/>
              </w:rPr>
              <w:t>7</w:t>
            </w:r>
          </w:p>
        </w:tc>
      </w:tr>
      <w:tr w:rsidR="00821C17" w:rsidRPr="00165ADF" w:rsidTr="0080335A">
        <w:trPr>
          <w:trHeight w:val="255"/>
        </w:trPr>
        <w:tc>
          <w:tcPr>
            <w:tcW w:w="5380" w:type="dxa"/>
            <w:tcBorders>
              <w:top w:val="nil"/>
              <w:left w:val="single" w:sz="4" w:space="0" w:color="000000"/>
              <w:bottom w:val="nil"/>
              <w:right w:val="nil"/>
            </w:tcBorders>
            <w:shd w:val="clear" w:color="auto" w:fill="auto"/>
            <w:noWrap/>
            <w:hideMark/>
          </w:tcPr>
          <w:p w:rsidR="00821C17" w:rsidRPr="008C59F9" w:rsidRDefault="00821C17" w:rsidP="0080335A">
            <w:pPr>
              <w:spacing w:after="0"/>
              <w:rPr>
                <w:rFonts w:eastAsia="Times New Roman" w:cs="Times New Roman"/>
                <w:sz w:val="20"/>
                <w:szCs w:val="20"/>
              </w:rPr>
            </w:pPr>
            <w:proofErr w:type="spellStart"/>
            <w:r w:rsidRPr="008C59F9">
              <w:rPr>
                <w:sz w:val="20"/>
                <w:szCs w:val="20"/>
              </w:rPr>
              <w:t>Infliximab+Methotrexate</w:t>
            </w:r>
            <w:proofErr w:type="spellEnd"/>
          </w:p>
        </w:tc>
        <w:tc>
          <w:tcPr>
            <w:tcW w:w="1014" w:type="dxa"/>
            <w:tcBorders>
              <w:top w:val="nil"/>
              <w:left w:val="single" w:sz="4" w:space="0" w:color="000000"/>
              <w:bottom w:val="nil"/>
              <w:right w:val="nil"/>
            </w:tcBorders>
            <w:shd w:val="clear" w:color="auto" w:fill="auto"/>
            <w:noWrap/>
            <w:vAlign w:val="center"/>
            <w:hideMark/>
          </w:tcPr>
          <w:p w:rsidR="00821C17" w:rsidRPr="008C59F9" w:rsidRDefault="00821C17" w:rsidP="0080335A">
            <w:pPr>
              <w:spacing w:after="0"/>
              <w:jc w:val="center"/>
              <w:rPr>
                <w:rFonts w:eastAsia="Times New Roman" w:cs="Times New Roman"/>
                <w:sz w:val="20"/>
                <w:szCs w:val="20"/>
              </w:rPr>
            </w:pPr>
            <w:r w:rsidRPr="008C59F9">
              <w:rPr>
                <w:sz w:val="20"/>
                <w:szCs w:val="20"/>
              </w:rPr>
              <w:t>125</w:t>
            </w:r>
          </w:p>
        </w:tc>
        <w:tc>
          <w:tcPr>
            <w:tcW w:w="1134" w:type="dxa"/>
            <w:tcBorders>
              <w:top w:val="nil"/>
              <w:left w:val="single" w:sz="4" w:space="0" w:color="000000"/>
              <w:bottom w:val="nil"/>
              <w:right w:val="single" w:sz="4" w:space="0" w:color="000000"/>
            </w:tcBorders>
            <w:shd w:val="clear" w:color="auto" w:fill="auto"/>
            <w:noWrap/>
            <w:vAlign w:val="center"/>
            <w:hideMark/>
          </w:tcPr>
          <w:p w:rsidR="00821C17" w:rsidRPr="008C59F9" w:rsidRDefault="00821C17" w:rsidP="0080335A">
            <w:pPr>
              <w:spacing w:after="0"/>
              <w:jc w:val="center"/>
              <w:rPr>
                <w:rFonts w:eastAsia="Times New Roman" w:cs="Times New Roman"/>
                <w:sz w:val="20"/>
                <w:szCs w:val="20"/>
              </w:rPr>
            </w:pPr>
            <w:r w:rsidRPr="008C59F9">
              <w:rPr>
                <w:sz w:val="20"/>
                <w:szCs w:val="20"/>
              </w:rPr>
              <w:t>2.6%</w:t>
            </w:r>
          </w:p>
        </w:tc>
        <w:tc>
          <w:tcPr>
            <w:tcW w:w="709" w:type="dxa"/>
            <w:tcBorders>
              <w:top w:val="nil"/>
              <w:left w:val="single" w:sz="4" w:space="0" w:color="000000"/>
              <w:bottom w:val="nil"/>
              <w:right w:val="single" w:sz="4" w:space="0" w:color="000000"/>
            </w:tcBorders>
            <w:vAlign w:val="center"/>
          </w:tcPr>
          <w:p w:rsidR="00821C17" w:rsidRPr="003C6D96" w:rsidRDefault="00821C17" w:rsidP="0080335A">
            <w:pPr>
              <w:spacing w:after="0"/>
              <w:jc w:val="center"/>
              <w:rPr>
                <w:sz w:val="20"/>
              </w:rPr>
            </w:pPr>
            <w:r w:rsidRPr="00B90A28">
              <w:rPr>
                <w:sz w:val="20"/>
              </w:rPr>
              <w:t>8</w:t>
            </w:r>
          </w:p>
        </w:tc>
      </w:tr>
      <w:tr w:rsidR="00821C17" w:rsidRPr="00165ADF" w:rsidTr="0080335A">
        <w:trPr>
          <w:trHeight w:val="255"/>
        </w:trPr>
        <w:tc>
          <w:tcPr>
            <w:tcW w:w="5380" w:type="dxa"/>
            <w:tcBorders>
              <w:top w:val="nil"/>
              <w:left w:val="single" w:sz="4" w:space="0" w:color="000000"/>
              <w:bottom w:val="nil"/>
              <w:right w:val="nil"/>
            </w:tcBorders>
            <w:shd w:val="clear" w:color="auto" w:fill="auto"/>
            <w:noWrap/>
            <w:hideMark/>
          </w:tcPr>
          <w:p w:rsidR="00821C17" w:rsidRPr="008C59F9" w:rsidRDefault="00821C17" w:rsidP="0080335A">
            <w:pPr>
              <w:spacing w:after="0"/>
              <w:rPr>
                <w:rFonts w:eastAsia="Times New Roman" w:cs="Times New Roman"/>
                <w:sz w:val="20"/>
                <w:szCs w:val="20"/>
              </w:rPr>
            </w:pPr>
            <w:proofErr w:type="spellStart"/>
            <w:r w:rsidRPr="008C59F9">
              <w:rPr>
                <w:sz w:val="20"/>
                <w:szCs w:val="20"/>
              </w:rPr>
              <w:t>Adalimumab+Methotrexate+Sulfasalazine</w:t>
            </w:r>
            <w:proofErr w:type="spellEnd"/>
          </w:p>
        </w:tc>
        <w:tc>
          <w:tcPr>
            <w:tcW w:w="1014" w:type="dxa"/>
            <w:tcBorders>
              <w:top w:val="nil"/>
              <w:left w:val="single" w:sz="4" w:space="0" w:color="000000"/>
              <w:bottom w:val="nil"/>
              <w:right w:val="nil"/>
            </w:tcBorders>
            <w:shd w:val="clear" w:color="auto" w:fill="auto"/>
            <w:noWrap/>
            <w:vAlign w:val="center"/>
            <w:hideMark/>
          </w:tcPr>
          <w:p w:rsidR="00821C17" w:rsidRPr="008C59F9" w:rsidRDefault="00821C17" w:rsidP="0080335A">
            <w:pPr>
              <w:spacing w:after="0"/>
              <w:jc w:val="center"/>
              <w:rPr>
                <w:rFonts w:eastAsia="Times New Roman" w:cs="Times New Roman"/>
                <w:sz w:val="20"/>
                <w:szCs w:val="20"/>
              </w:rPr>
            </w:pPr>
            <w:r w:rsidRPr="008C59F9">
              <w:rPr>
                <w:sz w:val="20"/>
                <w:szCs w:val="20"/>
              </w:rPr>
              <w:t>93</w:t>
            </w:r>
          </w:p>
        </w:tc>
        <w:tc>
          <w:tcPr>
            <w:tcW w:w="1134" w:type="dxa"/>
            <w:tcBorders>
              <w:top w:val="nil"/>
              <w:left w:val="single" w:sz="4" w:space="0" w:color="000000"/>
              <w:bottom w:val="nil"/>
              <w:right w:val="single" w:sz="4" w:space="0" w:color="000000"/>
            </w:tcBorders>
            <w:shd w:val="clear" w:color="auto" w:fill="auto"/>
            <w:noWrap/>
            <w:vAlign w:val="center"/>
            <w:hideMark/>
          </w:tcPr>
          <w:p w:rsidR="00821C17" w:rsidRPr="008C59F9" w:rsidRDefault="00821C17" w:rsidP="0080335A">
            <w:pPr>
              <w:spacing w:after="0"/>
              <w:jc w:val="center"/>
              <w:rPr>
                <w:rFonts w:eastAsia="Times New Roman" w:cs="Times New Roman"/>
                <w:sz w:val="20"/>
                <w:szCs w:val="20"/>
              </w:rPr>
            </w:pPr>
            <w:r w:rsidRPr="008C59F9">
              <w:rPr>
                <w:sz w:val="20"/>
                <w:szCs w:val="20"/>
              </w:rPr>
              <w:t>1.9%</w:t>
            </w:r>
          </w:p>
        </w:tc>
        <w:tc>
          <w:tcPr>
            <w:tcW w:w="709" w:type="dxa"/>
            <w:tcBorders>
              <w:top w:val="nil"/>
              <w:left w:val="single" w:sz="4" w:space="0" w:color="000000"/>
              <w:bottom w:val="nil"/>
              <w:right w:val="single" w:sz="4" w:space="0" w:color="000000"/>
            </w:tcBorders>
            <w:vAlign w:val="center"/>
          </w:tcPr>
          <w:p w:rsidR="00821C17" w:rsidRPr="003C6D96" w:rsidRDefault="00821C17" w:rsidP="0080335A">
            <w:pPr>
              <w:spacing w:after="0"/>
              <w:jc w:val="center"/>
              <w:rPr>
                <w:sz w:val="20"/>
              </w:rPr>
            </w:pPr>
            <w:r w:rsidRPr="00B90A28">
              <w:rPr>
                <w:sz w:val="20"/>
              </w:rPr>
              <w:t>9</w:t>
            </w:r>
          </w:p>
        </w:tc>
      </w:tr>
      <w:tr w:rsidR="00821C17" w:rsidRPr="00165ADF" w:rsidTr="0080335A">
        <w:trPr>
          <w:trHeight w:val="255"/>
        </w:trPr>
        <w:tc>
          <w:tcPr>
            <w:tcW w:w="5380" w:type="dxa"/>
            <w:tcBorders>
              <w:top w:val="nil"/>
              <w:left w:val="single" w:sz="4" w:space="0" w:color="000000"/>
              <w:bottom w:val="nil"/>
              <w:right w:val="nil"/>
            </w:tcBorders>
            <w:shd w:val="clear" w:color="auto" w:fill="auto"/>
            <w:noWrap/>
            <w:hideMark/>
          </w:tcPr>
          <w:p w:rsidR="00821C17" w:rsidRPr="008C59F9" w:rsidRDefault="00821C17" w:rsidP="0080335A">
            <w:pPr>
              <w:spacing w:after="0"/>
              <w:rPr>
                <w:rFonts w:eastAsia="Times New Roman" w:cs="Times New Roman"/>
                <w:sz w:val="20"/>
                <w:szCs w:val="20"/>
              </w:rPr>
            </w:pPr>
            <w:proofErr w:type="spellStart"/>
            <w:r w:rsidRPr="008C59F9">
              <w:rPr>
                <w:sz w:val="20"/>
                <w:szCs w:val="20"/>
              </w:rPr>
              <w:t>Adalimumab+Leflunomide</w:t>
            </w:r>
            <w:proofErr w:type="spellEnd"/>
          </w:p>
        </w:tc>
        <w:tc>
          <w:tcPr>
            <w:tcW w:w="1014" w:type="dxa"/>
            <w:tcBorders>
              <w:top w:val="nil"/>
              <w:left w:val="single" w:sz="4" w:space="0" w:color="000000"/>
              <w:bottom w:val="nil"/>
              <w:right w:val="nil"/>
            </w:tcBorders>
            <w:shd w:val="clear" w:color="auto" w:fill="auto"/>
            <w:noWrap/>
            <w:vAlign w:val="center"/>
            <w:hideMark/>
          </w:tcPr>
          <w:p w:rsidR="00821C17" w:rsidRPr="008C59F9" w:rsidRDefault="00821C17" w:rsidP="0080335A">
            <w:pPr>
              <w:spacing w:after="0"/>
              <w:jc w:val="center"/>
              <w:rPr>
                <w:rFonts w:eastAsia="Times New Roman" w:cs="Times New Roman"/>
                <w:sz w:val="20"/>
                <w:szCs w:val="20"/>
              </w:rPr>
            </w:pPr>
            <w:r w:rsidRPr="008C59F9">
              <w:rPr>
                <w:sz w:val="20"/>
                <w:szCs w:val="20"/>
              </w:rPr>
              <w:t>92</w:t>
            </w:r>
          </w:p>
        </w:tc>
        <w:tc>
          <w:tcPr>
            <w:tcW w:w="1134" w:type="dxa"/>
            <w:tcBorders>
              <w:top w:val="nil"/>
              <w:left w:val="single" w:sz="4" w:space="0" w:color="000000"/>
              <w:bottom w:val="nil"/>
              <w:right w:val="single" w:sz="4" w:space="0" w:color="000000"/>
            </w:tcBorders>
            <w:shd w:val="clear" w:color="auto" w:fill="auto"/>
            <w:noWrap/>
            <w:vAlign w:val="center"/>
            <w:hideMark/>
          </w:tcPr>
          <w:p w:rsidR="00821C17" w:rsidRPr="008C59F9" w:rsidRDefault="00821C17" w:rsidP="0080335A">
            <w:pPr>
              <w:spacing w:after="0"/>
              <w:jc w:val="center"/>
              <w:rPr>
                <w:rFonts w:eastAsia="Times New Roman" w:cs="Times New Roman"/>
                <w:sz w:val="20"/>
                <w:szCs w:val="20"/>
              </w:rPr>
            </w:pPr>
            <w:r w:rsidRPr="008C59F9">
              <w:rPr>
                <w:sz w:val="20"/>
                <w:szCs w:val="20"/>
              </w:rPr>
              <w:t>1.9%</w:t>
            </w:r>
          </w:p>
        </w:tc>
        <w:tc>
          <w:tcPr>
            <w:tcW w:w="709" w:type="dxa"/>
            <w:tcBorders>
              <w:top w:val="nil"/>
              <w:left w:val="single" w:sz="4" w:space="0" w:color="000000"/>
              <w:bottom w:val="nil"/>
              <w:right w:val="single" w:sz="4" w:space="0" w:color="000000"/>
            </w:tcBorders>
            <w:vAlign w:val="center"/>
          </w:tcPr>
          <w:p w:rsidR="00821C17" w:rsidRPr="003C6D96" w:rsidRDefault="00821C17" w:rsidP="0080335A">
            <w:pPr>
              <w:spacing w:after="0"/>
              <w:jc w:val="center"/>
              <w:rPr>
                <w:sz w:val="20"/>
              </w:rPr>
            </w:pPr>
            <w:r w:rsidRPr="00B90A28">
              <w:rPr>
                <w:sz w:val="20"/>
              </w:rPr>
              <w:t>10</w:t>
            </w:r>
          </w:p>
        </w:tc>
      </w:tr>
      <w:tr w:rsidR="00821C17" w:rsidRPr="00165ADF" w:rsidTr="0080335A">
        <w:trPr>
          <w:trHeight w:val="255"/>
        </w:trPr>
        <w:tc>
          <w:tcPr>
            <w:tcW w:w="5380" w:type="dxa"/>
            <w:tcBorders>
              <w:top w:val="nil"/>
              <w:left w:val="single" w:sz="4" w:space="0" w:color="000000"/>
              <w:bottom w:val="nil"/>
              <w:right w:val="nil"/>
            </w:tcBorders>
            <w:shd w:val="clear" w:color="auto" w:fill="auto"/>
            <w:noWrap/>
            <w:hideMark/>
          </w:tcPr>
          <w:p w:rsidR="00821C17" w:rsidRPr="008C59F9" w:rsidRDefault="00821C17" w:rsidP="0080335A">
            <w:pPr>
              <w:spacing w:after="0"/>
              <w:rPr>
                <w:rFonts w:eastAsia="Times New Roman" w:cs="Times New Roman"/>
                <w:sz w:val="20"/>
                <w:szCs w:val="20"/>
              </w:rPr>
            </w:pPr>
            <w:proofErr w:type="spellStart"/>
            <w:r w:rsidRPr="008C59F9">
              <w:rPr>
                <w:sz w:val="20"/>
                <w:szCs w:val="20"/>
              </w:rPr>
              <w:t>Adalimumab+Leflunomide+Methotrexate</w:t>
            </w:r>
            <w:proofErr w:type="spellEnd"/>
          </w:p>
        </w:tc>
        <w:tc>
          <w:tcPr>
            <w:tcW w:w="1014" w:type="dxa"/>
            <w:tcBorders>
              <w:top w:val="nil"/>
              <w:left w:val="single" w:sz="4" w:space="0" w:color="000000"/>
              <w:bottom w:val="nil"/>
              <w:right w:val="nil"/>
            </w:tcBorders>
            <w:shd w:val="clear" w:color="auto" w:fill="auto"/>
            <w:noWrap/>
            <w:vAlign w:val="center"/>
            <w:hideMark/>
          </w:tcPr>
          <w:p w:rsidR="00821C17" w:rsidRPr="008C59F9" w:rsidRDefault="00821C17" w:rsidP="0080335A">
            <w:pPr>
              <w:spacing w:after="0"/>
              <w:jc w:val="center"/>
              <w:rPr>
                <w:rFonts w:eastAsia="Times New Roman" w:cs="Times New Roman"/>
                <w:sz w:val="20"/>
                <w:szCs w:val="20"/>
              </w:rPr>
            </w:pPr>
            <w:r w:rsidRPr="008C59F9">
              <w:rPr>
                <w:sz w:val="20"/>
                <w:szCs w:val="20"/>
              </w:rPr>
              <w:t>84</w:t>
            </w:r>
          </w:p>
        </w:tc>
        <w:tc>
          <w:tcPr>
            <w:tcW w:w="1134" w:type="dxa"/>
            <w:tcBorders>
              <w:top w:val="nil"/>
              <w:left w:val="single" w:sz="4" w:space="0" w:color="000000"/>
              <w:bottom w:val="nil"/>
              <w:right w:val="single" w:sz="4" w:space="0" w:color="000000"/>
            </w:tcBorders>
            <w:shd w:val="clear" w:color="auto" w:fill="auto"/>
            <w:noWrap/>
            <w:vAlign w:val="center"/>
            <w:hideMark/>
          </w:tcPr>
          <w:p w:rsidR="00821C17" w:rsidRPr="008C59F9" w:rsidRDefault="00821C17" w:rsidP="0080335A">
            <w:pPr>
              <w:spacing w:after="0"/>
              <w:jc w:val="center"/>
              <w:rPr>
                <w:rFonts w:eastAsia="Times New Roman" w:cs="Times New Roman"/>
                <w:sz w:val="20"/>
                <w:szCs w:val="20"/>
              </w:rPr>
            </w:pPr>
            <w:r w:rsidRPr="008C59F9">
              <w:rPr>
                <w:sz w:val="20"/>
                <w:szCs w:val="20"/>
              </w:rPr>
              <w:t>1.7%</w:t>
            </w:r>
          </w:p>
        </w:tc>
        <w:tc>
          <w:tcPr>
            <w:tcW w:w="709" w:type="dxa"/>
            <w:tcBorders>
              <w:top w:val="nil"/>
              <w:left w:val="single" w:sz="4" w:space="0" w:color="000000"/>
              <w:bottom w:val="nil"/>
              <w:right w:val="single" w:sz="4" w:space="0" w:color="000000"/>
            </w:tcBorders>
            <w:vAlign w:val="center"/>
          </w:tcPr>
          <w:p w:rsidR="00821C17" w:rsidRPr="003C6D96" w:rsidRDefault="00821C17" w:rsidP="0080335A">
            <w:pPr>
              <w:spacing w:after="0"/>
              <w:jc w:val="center"/>
              <w:rPr>
                <w:sz w:val="20"/>
              </w:rPr>
            </w:pPr>
            <w:r w:rsidRPr="00B90A28">
              <w:rPr>
                <w:sz w:val="20"/>
              </w:rPr>
              <w:t>11</w:t>
            </w:r>
          </w:p>
        </w:tc>
      </w:tr>
      <w:tr w:rsidR="00821C17" w:rsidRPr="00165ADF" w:rsidTr="0080335A">
        <w:trPr>
          <w:trHeight w:val="255"/>
        </w:trPr>
        <w:tc>
          <w:tcPr>
            <w:tcW w:w="5380" w:type="dxa"/>
            <w:tcBorders>
              <w:top w:val="nil"/>
              <w:left w:val="single" w:sz="4" w:space="0" w:color="000000"/>
              <w:bottom w:val="nil"/>
              <w:right w:val="nil"/>
            </w:tcBorders>
            <w:shd w:val="clear" w:color="auto" w:fill="auto"/>
            <w:noWrap/>
            <w:hideMark/>
          </w:tcPr>
          <w:p w:rsidR="00821C17" w:rsidRPr="008C59F9" w:rsidRDefault="00821C17" w:rsidP="0080335A">
            <w:pPr>
              <w:spacing w:after="0"/>
              <w:rPr>
                <w:rFonts w:eastAsia="Times New Roman" w:cs="Times New Roman"/>
                <w:sz w:val="20"/>
                <w:szCs w:val="20"/>
              </w:rPr>
            </w:pPr>
            <w:proofErr w:type="spellStart"/>
            <w:r w:rsidRPr="008C59F9">
              <w:rPr>
                <w:sz w:val="20"/>
                <w:szCs w:val="20"/>
              </w:rPr>
              <w:t>Etanercept+Leflunomide</w:t>
            </w:r>
            <w:proofErr w:type="spellEnd"/>
          </w:p>
        </w:tc>
        <w:tc>
          <w:tcPr>
            <w:tcW w:w="1014" w:type="dxa"/>
            <w:tcBorders>
              <w:top w:val="nil"/>
              <w:left w:val="single" w:sz="4" w:space="0" w:color="000000"/>
              <w:bottom w:val="nil"/>
              <w:right w:val="nil"/>
            </w:tcBorders>
            <w:shd w:val="clear" w:color="auto" w:fill="auto"/>
            <w:noWrap/>
            <w:vAlign w:val="center"/>
            <w:hideMark/>
          </w:tcPr>
          <w:p w:rsidR="00821C17" w:rsidRPr="008C59F9" w:rsidRDefault="00821C17" w:rsidP="0080335A">
            <w:pPr>
              <w:spacing w:after="0"/>
              <w:jc w:val="center"/>
              <w:rPr>
                <w:rFonts w:eastAsia="Times New Roman" w:cs="Times New Roman"/>
                <w:sz w:val="20"/>
                <w:szCs w:val="20"/>
              </w:rPr>
            </w:pPr>
            <w:r w:rsidRPr="008C59F9">
              <w:rPr>
                <w:sz w:val="20"/>
                <w:szCs w:val="20"/>
              </w:rPr>
              <w:t>53</w:t>
            </w:r>
          </w:p>
        </w:tc>
        <w:tc>
          <w:tcPr>
            <w:tcW w:w="1134" w:type="dxa"/>
            <w:tcBorders>
              <w:top w:val="nil"/>
              <w:left w:val="single" w:sz="4" w:space="0" w:color="000000"/>
              <w:bottom w:val="nil"/>
              <w:right w:val="single" w:sz="4" w:space="0" w:color="000000"/>
            </w:tcBorders>
            <w:shd w:val="clear" w:color="auto" w:fill="auto"/>
            <w:noWrap/>
            <w:vAlign w:val="center"/>
            <w:hideMark/>
          </w:tcPr>
          <w:p w:rsidR="00821C17" w:rsidRPr="008C59F9" w:rsidRDefault="00821C17" w:rsidP="0080335A">
            <w:pPr>
              <w:spacing w:after="0"/>
              <w:jc w:val="center"/>
              <w:rPr>
                <w:rFonts w:eastAsia="Times New Roman" w:cs="Times New Roman"/>
                <w:sz w:val="20"/>
                <w:szCs w:val="20"/>
              </w:rPr>
            </w:pPr>
            <w:r w:rsidRPr="008C59F9">
              <w:rPr>
                <w:sz w:val="20"/>
                <w:szCs w:val="20"/>
              </w:rPr>
              <w:t>1.1%</w:t>
            </w:r>
          </w:p>
        </w:tc>
        <w:tc>
          <w:tcPr>
            <w:tcW w:w="709" w:type="dxa"/>
            <w:tcBorders>
              <w:top w:val="nil"/>
              <w:left w:val="single" w:sz="4" w:space="0" w:color="000000"/>
              <w:bottom w:val="nil"/>
              <w:right w:val="single" w:sz="4" w:space="0" w:color="000000"/>
            </w:tcBorders>
            <w:vAlign w:val="center"/>
          </w:tcPr>
          <w:p w:rsidR="00821C17" w:rsidRPr="003C6D96" w:rsidRDefault="00821C17" w:rsidP="0080335A">
            <w:pPr>
              <w:spacing w:after="0"/>
              <w:jc w:val="center"/>
              <w:rPr>
                <w:sz w:val="20"/>
              </w:rPr>
            </w:pPr>
            <w:r w:rsidRPr="00B90A28">
              <w:rPr>
                <w:sz w:val="20"/>
              </w:rPr>
              <w:t>12</w:t>
            </w:r>
          </w:p>
        </w:tc>
      </w:tr>
      <w:tr w:rsidR="00821C17" w:rsidRPr="00165ADF" w:rsidTr="0080335A">
        <w:trPr>
          <w:trHeight w:val="255"/>
        </w:trPr>
        <w:tc>
          <w:tcPr>
            <w:tcW w:w="5380" w:type="dxa"/>
            <w:tcBorders>
              <w:top w:val="nil"/>
              <w:left w:val="single" w:sz="4" w:space="0" w:color="000000"/>
              <w:bottom w:val="nil"/>
              <w:right w:val="nil"/>
            </w:tcBorders>
            <w:shd w:val="clear" w:color="auto" w:fill="auto"/>
            <w:noWrap/>
            <w:hideMark/>
          </w:tcPr>
          <w:p w:rsidR="00821C17" w:rsidRPr="008C59F9" w:rsidRDefault="00821C17" w:rsidP="0080335A">
            <w:pPr>
              <w:spacing w:after="0"/>
              <w:rPr>
                <w:rFonts w:eastAsia="Times New Roman" w:cs="Times New Roman"/>
                <w:sz w:val="20"/>
                <w:szCs w:val="20"/>
              </w:rPr>
            </w:pPr>
            <w:proofErr w:type="spellStart"/>
            <w:r w:rsidRPr="008C59F9">
              <w:rPr>
                <w:sz w:val="20"/>
                <w:szCs w:val="20"/>
              </w:rPr>
              <w:t>Adalimumab+Sulfasalazine</w:t>
            </w:r>
            <w:proofErr w:type="spellEnd"/>
          </w:p>
        </w:tc>
        <w:tc>
          <w:tcPr>
            <w:tcW w:w="1014" w:type="dxa"/>
            <w:tcBorders>
              <w:top w:val="nil"/>
              <w:left w:val="single" w:sz="4" w:space="0" w:color="000000"/>
              <w:bottom w:val="nil"/>
              <w:right w:val="nil"/>
            </w:tcBorders>
            <w:shd w:val="clear" w:color="auto" w:fill="auto"/>
            <w:noWrap/>
            <w:vAlign w:val="center"/>
            <w:hideMark/>
          </w:tcPr>
          <w:p w:rsidR="00821C17" w:rsidRPr="008C59F9" w:rsidRDefault="00821C17" w:rsidP="0080335A">
            <w:pPr>
              <w:spacing w:after="0"/>
              <w:jc w:val="center"/>
              <w:rPr>
                <w:rFonts w:eastAsia="Times New Roman" w:cs="Times New Roman"/>
                <w:sz w:val="20"/>
                <w:szCs w:val="20"/>
              </w:rPr>
            </w:pPr>
            <w:r w:rsidRPr="008C59F9">
              <w:rPr>
                <w:sz w:val="20"/>
                <w:szCs w:val="20"/>
              </w:rPr>
              <w:t>43</w:t>
            </w:r>
          </w:p>
        </w:tc>
        <w:tc>
          <w:tcPr>
            <w:tcW w:w="1134" w:type="dxa"/>
            <w:tcBorders>
              <w:top w:val="nil"/>
              <w:left w:val="single" w:sz="4" w:space="0" w:color="000000"/>
              <w:bottom w:val="nil"/>
              <w:right w:val="single" w:sz="4" w:space="0" w:color="000000"/>
            </w:tcBorders>
            <w:shd w:val="clear" w:color="auto" w:fill="auto"/>
            <w:noWrap/>
            <w:vAlign w:val="center"/>
            <w:hideMark/>
          </w:tcPr>
          <w:p w:rsidR="00821C17" w:rsidRPr="008C59F9" w:rsidRDefault="00821C17" w:rsidP="0080335A">
            <w:pPr>
              <w:spacing w:after="0"/>
              <w:jc w:val="center"/>
              <w:rPr>
                <w:rFonts w:eastAsia="Times New Roman" w:cs="Times New Roman"/>
                <w:sz w:val="20"/>
                <w:szCs w:val="20"/>
              </w:rPr>
            </w:pPr>
            <w:r w:rsidRPr="008C59F9">
              <w:rPr>
                <w:sz w:val="20"/>
                <w:szCs w:val="20"/>
              </w:rPr>
              <w:t>0.9%</w:t>
            </w:r>
          </w:p>
        </w:tc>
        <w:tc>
          <w:tcPr>
            <w:tcW w:w="709" w:type="dxa"/>
            <w:tcBorders>
              <w:top w:val="nil"/>
              <w:left w:val="single" w:sz="4" w:space="0" w:color="000000"/>
              <w:bottom w:val="nil"/>
              <w:right w:val="single" w:sz="4" w:space="0" w:color="000000"/>
            </w:tcBorders>
            <w:vAlign w:val="center"/>
          </w:tcPr>
          <w:p w:rsidR="00821C17" w:rsidRPr="003C6D96" w:rsidRDefault="00821C17" w:rsidP="0080335A">
            <w:pPr>
              <w:spacing w:after="0"/>
              <w:jc w:val="center"/>
              <w:rPr>
                <w:sz w:val="20"/>
              </w:rPr>
            </w:pPr>
            <w:r w:rsidRPr="00B90A28">
              <w:rPr>
                <w:sz w:val="20"/>
              </w:rPr>
              <w:t>13</w:t>
            </w:r>
          </w:p>
        </w:tc>
      </w:tr>
      <w:tr w:rsidR="00821C17" w:rsidRPr="00165ADF" w:rsidTr="0080335A">
        <w:trPr>
          <w:trHeight w:val="255"/>
        </w:trPr>
        <w:tc>
          <w:tcPr>
            <w:tcW w:w="5380" w:type="dxa"/>
            <w:tcBorders>
              <w:top w:val="nil"/>
              <w:left w:val="single" w:sz="4" w:space="0" w:color="000000"/>
              <w:bottom w:val="nil"/>
              <w:right w:val="nil"/>
            </w:tcBorders>
            <w:shd w:val="clear" w:color="auto" w:fill="auto"/>
            <w:noWrap/>
            <w:hideMark/>
          </w:tcPr>
          <w:p w:rsidR="00821C17" w:rsidRPr="008C59F9" w:rsidRDefault="00821C17" w:rsidP="0080335A">
            <w:pPr>
              <w:spacing w:after="0"/>
              <w:rPr>
                <w:rFonts w:eastAsia="Times New Roman" w:cs="Times New Roman"/>
                <w:sz w:val="20"/>
                <w:szCs w:val="20"/>
              </w:rPr>
            </w:pPr>
            <w:proofErr w:type="spellStart"/>
            <w:r w:rsidRPr="008C59F9">
              <w:rPr>
                <w:sz w:val="20"/>
                <w:szCs w:val="20"/>
              </w:rPr>
              <w:t>Etanercept+Sulfasalazine</w:t>
            </w:r>
            <w:proofErr w:type="spellEnd"/>
          </w:p>
        </w:tc>
        <w:tc>
          <w:tcPr>
            <w:tcW w:w="1014" w:type="dxa"/>
            <w:tcBorders>
              <w:top w:val="nil"/>
              <w:left w:val="single" w:sz="4" w:space="0" w:color="000000"/>
              <w:bottom w:val="nil"/>
              <w:right w:val="nil"/>
            </w:tcBorders>
            <w:shd w:val="clear" w:color="auto" w:fill="auto"/>
            <w:noWrap/>
            <w:vAlign w:val="center"/>
            <w:hideMark/>
          </w:tcPr>
          <w:p w:rsidR="00821C17" w:rsidRPr="008C59F9" w:rsidRDefault="00821C17" w:rsidP="0080335A">
            <w:pPr>
              <w:spacing w:after="0"/>
              <w:jc w:val="center"/>
              <w:rPr>
                <w:rFonts w:eastAsia="Times New Roman" w:cs="Times New Roman"/>
                <w:sz w:val="20"/>
                <w:szCs w:val="20"/>
              </w:rPr>
            </w:pPr>
            <w:r w:rsidRPr="008C59F9">
              <w:rPr>
                <w:sz w:val="20"/>
                <w:szCs w:val="20"/>
              </w:rPr>
              <w:t>42</w:t>
            </w:r>
          </w:p>
        </w:tc>
        <w:tc>
          <w:tcPr>
            <w:tcW w:w="1134" w:type="dxa"/>
            <w:tcBorders>
              <w:top w:val="nil"/>
              <w:left w:val="single" w:sz="4" w:space="0" w:color="000000"/>
              <w:bottom w:val="nil"/>
              <w:right w:val="single" w:sz="4" w:space="0" w:color="000000"/>
            </w:tcBorders>
            <w:shd w:val="clear" w:color="auto" w:fill="auto"/>
            <w:noWrap/>
            <w:vAlign w:val="center"/>
            <w:hideMark/>
          </w:tcPr>
          <w:p w:rsidR="00821C17" w:rsidRPr="008C59F9" w:rsidRDefault="00821C17" w:rsidP="0080335A">
            <w:pPr>
              <w:spacing w:after="0"/>
              <w:jc w:val="center"/>
              <w:rPr>
                <w:rFonts w:eastAsia="Times New Roman" w:cs="Times New Roman"/>
                <w:sz w:val="20"/>
                <w:szCs w:val="20"/>
              </w:rPr>
            </w:pPr>
            <w:r w:rsidRPr="008C59F9">
              <w:rPr>
                <w:sz w:val="20"/>
                <w:szCs w:val="20"/>
              </w:rPr>
              <w:t>0.9%</w:t>
            </w:r>
          </w:p>
        </w:tc>
        <w:tc>
          <w:tcPr>
            <w:tcW w:w="709" w:type="dxa"/>
            <w:tcBorders>
              <w:top w:val="nil"/>
              <w:left w:val="single" w:sz="4" w:space="0" w:color="000000"/>
              <w:bottom w:val="nil"/>
              <w:right w:val="single" w:sz="4" w:space="0" w:color="000000"/>
            </w:tcBorders>
            <w:vAlign w:val="center"/>
          </w:tcPr>
          <w:p w:rsidR="00821C17" w:rsidRPr="003C6D96" w:rsidRDefault="00821C17" w:rsidP="0080335A">
            <w:pPr>
              <w:spacing w:after="0"/>
              <w:jc w:val="center"/>
              <w:rPr>
                <w:sz w:val="20"/>
              </w:rPr>
            </w:pPr>
            <w:r w:rsidRPr="00B90A28">
              <w:rPr>
                <w:sz w:val="20"/>
              </w:rPr>
              <w:t>14</w:t>
            </w:r>
          </w:p>
        </w:tc>
      </w:tr>
      <w:tr w:rsidR="00821C17" w:rsidRPr="00165ADF" w:rsidTr="0080335A">
        <w:trPr>
          <w:trHeight w:val="255"/>
        </w:trPr>
        <w:tc>
          <w:tcPr>
            <w:tcW w:w="5380" w:type="dxa"/>
            <w:tcBorders>
              <w:top w:val="nil"/>
              <w:left w:val="single" w:sz="4" w:space="0" w:color="000000"/>
              <w:bottom w:val="nil"/>
              <w:right w:val="nil"/>
            </w:tcBorders>
            <w:shd w:val="clear" w:color="auto" w:fill="auto"/>
            <w:noWrap/>
            <w:hideMark/>
          </w:tcPr>
          <w:p w:rsidR="00821C17" w:rsidRPr="008C59F9" w:rsidRDefault="00821C17" w:rsidP="0080335A">
            <w:pPr>
              <w:spacing w:after="0"/>
              <w:rPr>
                <w:rFonts w:eastAsia="Times New Roman" w:cs="Times New Roman"/>
                <w:sz w:val="20"/>
                <w:szCs w:val="20"/>
              </w:rPr>
            </w:pPr>
            <w:proofErr w:type="spellStart"/>
            <w:r w:rsidRPr="008C59F9">
              <w:rPr>
                <w:sz w:val="20"/>
                <w:szCs w:val="20"/>
              </w:rPr>
              <w:t>Certolizumab</w:t>
            </w:r>
            <w:proofErr w:type="spellEnd"/>
            <w:r w:rsidRPr="008C59F9">
              <w:rPr>
                <w:sz w:val="20"/>
                <w:szCs w:val="20"/>
              </w:rPr>
              <w:t xml:space="preserve"> </w:t>
            </w:r>
            <w:proofErr w:type="spellStart"/>
            <w:r w:rsidRPr="008C59F9">
              <w:rPr>
                <w:sz w:val="20"/>
                <w:szCs w:val="20"/>
              </w:rPr>
              <w:t>Pegol</w:t>
            </w:r>
            <w:proofErr w:type="spellEnd"/>
          </w:p>
        </w:tc>
        <w:tc>
          <w:tcPr>
            <w:tcW w:w="1014" w:type="dxa"/>
            <w:tcBorders>
              <w:top w:val="nil"/>
              <w:left w:val="single" w:sz="4" w:space="0" w:color="000000"/>
              <w:bottom w:val="nil"/>
              <w:right w:val="nil"/>
            </w:tcBorders>
            <w:shd w:val="clear" w:color="auto" w:fill="auto"/>
            <w:noWrap/>
            <w:vAlign w:val="center"/>
            <w:hideMark/>
          </w:tcPr>
          <w:p w:rsidR="00821C17" w:rsidRPr="008C59F9" w:rsidRDefault="00821C17" w:rsidP="0080335A">
            <w:pPr>
              <w:spacing w:after="0"/>
              <w:jc w:val="center"/>
              <w:rPr>
                <w:rFonts w:eastAsia="Times New Roman" w:cs="Times New Roman"/>
                <w:sz w:val="20"/>
                <w:szCs w:val="20"/>
              </w:rPr>
            </w:pPr>
            <w:r w:rsidRPr="008C59F9">
              <w:rPr>
                <w:sz w:val="20"/>
                <w:szCs w:val="20"/>
              </w:rPr>
              <w:t>38</w:t>
            </w:r>
          </w:p>
        </w:tc>
        <w:tc>
          <w:tcPr>
            <w:tcW w:w="1134" w:type="dxa"/>
            <w:tcBorders>
              <w:top w:val="nil"/>
              <w:left w:val="single" w:sz="4" w:space="0" w:color="000000"/>
              <w:bottom w:val="nil"/>
              <w:right w:val="single" w:sz="4" w:space="0" w:color="000000"/>
            </w:tcBorders>
            <w:shd w:val="clear" w:color="auto" w:fill="auto"/>
            <w:noWrap/>
            <w:vAlign w:val="center"/>
            <w:hideMark/>
          </w:tcPr>
          <w:p w:rsidR="00821C17" w:rsidRPr="008C59F9" w:rsidRDefault="00821C17" w:rsidP="0080335A">
            <w:pPr>
              <w:spacing w:after="0"/>
              <w:jc w:val="center"/>
              <w:rPr>
                <w:rFonts w:eastAsia="Times New Roman" w:cs="Times New Roman"/>
                <w:sz w:val="20"/>
                <w:szCs w:val="20"/>
              </w:rPr>
            </w:pPr>
            <w:r w:rsidRPr="008C59F9">
              <w:rPr>
                <w:sz w:val="20"/>
                <w:szCs w:val="20"/>
              </w:rPr>
              <w:t>0.8%</w:t>
            </w:r>
          </w:p>
        </w:tc>
        <w:tc>
          <w:tcPr>
            <w:tcW w:w="709" w:type="dxa"/>
            <w:tcBorders>
              <w:top w:val="nil"/>
              <w:left w:val="single" w:sz="4" w:space="0" w:color="000000"/>
              <w:bottom w:val="nil"/>
              <w:right w:val="single" w:sz="4" w:space="0" w:color="000000"/>
            </w:tcBorders>
            <w:vAlign w:val="center"/>
          </w:tcPr>
          <w:p w:rsidR="00821C17" w:rsidRPr="003C6D96" w:rsidRDefault="00821C17" w:rsidP="0080335A">
            <w:pPr>
              <w:spacing w:after="0"/>
              <w:jc w:val="center"/>
              <w:rPr>
                <w:sz w:val="20"/>
              </w:rPr>
            </w:pPr>
            <w:r w:rsidRPr="00B90A28">
              <w:rPr>
                <w:sz w:val="20"/>
              </w:rPr>
              <w:t>15</w:t>
            </w:r>
          </w:p>
        </w:tc>
      </w:tr>
      <w:tr w:rsidR="00821C17" w:rsidRPr="00165ADF" w:rsidTr="0080335A">
        <w:trPr>
          <w:trHeight w:val="255"/>
        </w:trPr>
        <w:tc>
          <w:tcPr>
            <w:tcW w:w="5380" w:type="dxa"/>
            <w:tcBorders>
              <w:top w:val="nil"/>
              <w:left w:val="single" w:sz="4" w:space="0" w:color="000000"/>
              <w:bottom w:val="nil"/>
              <w:right w:val="nil"/>
            </w:tcBorders>
            <w:shd w:val="clear" w:color="auto" w:fill="auto"/>
            <w:noWrap/>
            <w:hideMark/>
          </w:tcPr>
          <w:p w:rsidR="00821C17" w:rsidRPr="008C59F9" w:rsidRDefault="00821C17" w:rsidP="0080335A">
            <w:pPr>
              <w:spacing w:after="0"/>
              <w:rPr>
                <w:rFonts w:eastAsia="Times New Roman" w:cs="Times New Roman"/>
                <w:sz w:val="20"/>
                <w:szCs w:val="20"/>
              </w:rPr>
            </w:pPr>
            <w:proofErr w:type="spellStart"/>
            <w:r w:rsidRPr="008C59F9">
              <w:rPr>
                <w:sz w:val="20"/>
                <w:szCs w:val="20"/>
              </w:rPr>
              <w:t>Golimumab+Leflunomide</w:t>
            </w:r>
            <w:proofErr w:type="spellEnd"/>
          </w:p>
        </w:tc>
        <w:tc>
          <w:tcPr>
            <w:tcW w:w="1014" w:type="dxa"/>
            <w:tcBorders>
              <w:top w:val="nil"/>
              <w:left w:val="single" w:sz="4" w:space="0" w:color="000000"/>
              <w:bottom w:val="nil"/>
              <w:right w:val="nil"/>
            </w:tcBorders>
            <w:shd w:val="clear" w:color="auto" w:fill="auto"/>
            <w:noWrap/>
            <w:vAlign w:val="center"/>
            <w:hideMark/>
          </w:tcPr>
          <w:p w:rsidR="00821C17" w:rsidRPr="008C59F9" w:rsidRDefault="00821C17" w:rsidP="0080335A">
            <w:pPr>
              <w:spacing w:after="0"/>
              <w:jc w:val="center"/>
              <w:rPr>
                <w:rFonts w:eastAsia="Times New Roman" w:cs="Times New Roman"/>
                <w:sz w:val="20"/>
                <w:szCs w:val="20"/>
              </w:rPr>
            </w:pPr>
            <w:r w:rsidRPr="008C59F9">
              <w:rPr>
                <w:sz w:val="20"/>
                <w:szCs w:val="20"/>
              </w:rPr>
              <w:t>33</w:t>
            </w:r>
          </w:p>
        </w:tc>
        <w:tc>
          <w:tcPr>
            <w:tcW w:w="1134" w:type="dxa"/>
            <w:tcBorders>
              <w:top w:val="nil"/>
              <w:left w:val="single" w:sz="4" w:space="0" w:color="000000"/>
              <w:bottom w:val="nil"/>
              <w:right w:val="single" w:sz="4" w:space="0" w:color="000000"/>
            </w:tcBorders>
            <w:shd w:val="clear" w:color="auto" w:fill="auto"/>
            <w:noWrap/>
            <w:vAlign w:val="center"/>
            <w:hideMark/>
          </w:tcPr>
          <w:p w:rsidR="00821C17" w:rsidRPr="008C59F9" w:rsidRDefault="00821C17" w:rsidP="0080335A">
            <w:pPr>
              <w:spacing w:after="0"/>
              <w:jc w:val="center"/>
              <w:rPr>
                <w:rFonts w:eastAsia="Times New Roman" w:cs="Times New Roman"/>
                <w:sz w:val="20"/>
                <w:szCs w:val="20"/>
              </w:rPr>
            </w:pPr>
            <w:r w:rsidRPr="008C59F9">
              <w:rPr>
                <w:sz w:val="20"/>
                <w:szCs w:val="20"/>
              </w:rPr>
              <w:t>0.7%</w:t>
            </w:r>
          </w:p>
        </w:tc>
        <w:tc>
          <w:tcPr>
            <w:tcW w:w="709" w:type="dxa"/>
            <w:tcBorders>
              <w:top w:val="nil"/>
              <w:left w:val="single" w:sz="4" w:space="0" w:color="000000"/>
              <w:bottom w:val="nil"/>
              <w:right w:val="single" w:sz="4" w:space="0" w:color="000000"/>
            </w:tcBorders>
            <w:vAlign w:val="center"/>
          </w:tcPr>
          <w:p w:rsidR="00821C17" w:rsidRPr="003C6D96" w:rsidRDefault="00821C17" w:rsidP="0080335A">
            <w:pPr>
              <w:spacing w:after="0"/>
              <w:jc w:val="center"/>
              <w:rPr>
                <w:sz w:val="20"/>
              </w:rPr>
            </w:pPr>
            <w:r w:rsidRPr="00B90A28">
              <w:rPr>
                <w:sz w:val="20"/>
              </w:rPr>
              <w:t>16</w:t>
            </w:r>
          </w:p>
        </w:tc>
      </w:tr>
      <w:tr w:rsidR="00821C17" w:rsidRPr="00165ADF" w:rsidTr="0080335A">
        <w:trPr>
          <w:trHeight w:val="255"/>
        </w:trPr>
        <w:tc>
          <w:tcPr>
            <w:tcW w:w="5380" w:type="dxa"/>
            <w:tcBorders>
              <w:top w:val="nil"/>
              <w:left w:val="single" w:sz="4" w:space="0" w:color="000000"/>
              <w:bottom w:val="nil"/>
              <w:right w:val="nil"/>
            </w:tcBorders>
            <w:shd w:val="clear" w:color="auto" w:fill="auto"/>
            <w:noWrap/>
            <w:hideMark/>
          </w:tcPr>
          <w:p w:rsidR="00821C17" w:rsidRPr="008C59F9" w:rsidRDefault="00821C17" w:rsidP="0080335A">
            <w:pPr>
              <w:spacing w:after="0"/>
              <w:rPr>
                <w:rFonts w:eastAsia="Times New Roman" w:cs="Times New Roman"/>
                <w:sz w:val="20"/>
                <w:szCs w:val="20"/>
              </w:rPr>
            </w:pPr>
            <w:proofErr w:type="spellStart"/>
            <w:r w:rsidRPr="008C59F9">
              <w:rPr>
                <w:sz w:val="20"/>
                <w:szCs w:val="20"/>
              </w:rPr>
              <w:t>Etanercept+Methotrexate+Sulfasalazine</w:t>
            </w:r>
            <w:proofErr w:type="spellEnd"/>
          </w:p>
        </w:tc>
        <w:tc>
          <w:tcPr>
            <w:tcW w:w="1014" w:type="dxa"/>
            <w:tcBorders>
              <w:top w:val="nil"/>
              <w:left w:val="single" w:sz="4" w:space="0" w:color="000000"/>
              <w:bottom w:val="nil"/>
              <w:right w:val="nil"/>
            </w:tcBorders>
            <w:shd w:val="clear" w:color="auto" w:fill="auto"/>
            <w:noWrap/>
            <w:vAlign w:val="center"/>
            <w:hideMark/>
          </w:tcPr>
          <w:p w:rsidR="00821C17" w:rsidRPr="008C59F9" w:rsidRDefault="00821C17" w:rsidP="0080335A">
            <w:pPr>
              <w:spacing w:after="0"/>
              <w:jc w:val="center"/>
              <w:rPr>
                <w:rFonts w:eastAsia="Times New Roman" w:cs="Times New Roman"/>
                <w:sz w:val="20"/>
                <w:szCs w:val="20"/>
              </w:rPr>
            </w:pPr>
            <w:r w:rsidRPr="008C59F9">
              <w:rPr>
                <w:sz w:val="20"/>
                <w:szCs w:val="20"/>
              </w:rPr>
              <w:t>31</w:t>
            </w:r>
          </w:p>
        </w:tc>
        <w:tc>
          <w:tcPr>
            <w:tcW w:w="1134" w:type="dxa"/>
            <w:tcBorders>
              <w:top w:val="nil"/>
              <w:left w:val="single" w:sz="4" w:space="0" w:color="000000"/>
              <w:bottom w:val="nil"/>
              <w:right w:val="single" w:sz="4" w:space="0" w:color="000000"/>
            </w:tcBorders>
            <w:shd w:val="clear" w:color="auto" w:fill="auto"/>
            <w:noWrap/>
            <w:vAlign w:val="center"/>
            <w:hideMark/>
          </w:tcPr>
          <w:p w:rsidR="00821C17" w:rsidRPr="008C59F9" w:rsidRDefault="00821C17" w:rsidP="0080335A">
            <w:pPr>
              <w:spacing w:after="0"/>
              <w:jc w:val="center"/>
              <w:rPr>
                <w:rFonts w:eastAsia="Times New Roman" w:cs="Times New Roman"/>
                <w:sz w:val="20"/>
                <w:szCs w:val="20"/>
              </w:rPr>
            </w:pPr>
            <w:r w:rsidRPr="008C59F9">
              <w:rPr>
                <w:sz w:val="20"/>
                <w:szCs w:val="20"/>
              </w:rPr>
              <w:t>0.6%</w:t>
            </w:r>
          </w:p>
        </w:tc>
        <w:tc>
          <w:tcPr>
            <w:tcW w:w="709" w:type="dxa"/>
            <w:tcBorders>
              <w:top w:val="nil"/>
              <w:left w:val="single" w:sz="4" w:space="0" w:color="000000"/>
              <w:bottom w:val="nil"/>
              <w:right w:val="single" w:sz="4" w:space="0" w:color="000000"/>
            </w:tcBorders>
            <w:vAlign w:val="center"/>
          </w:tcPr>
          <w:p w:rsidR="00821C17" w:rsidRPr="003C6D96" w:rsidRDefault="00821C17" w:rsidP="0080335A">
            <w:pPr>
              <w:spacing w:after="0"/>
              <w:jc w:val="center"/>
              <w:rPr>
                <w:sz w:val="20"/>
              </w:rPr>
            </w:pPr>
            <w:r w:rsidRPr="00B90A28">
              <w:rPr>
                <w:sz w:val="20"/>
              </w:rPr>
              <w:t>17</w:t>
            </w:r>
          </w:p>
        </w:tc>
      </w:tr>
      <w:tr w:rsidR="00821C17" w:rsidRPr="00165ADF" w:rsidTr="0080335A">
        <w:trPr>
          <w:trHeight w:val="255"/>
        </w:trPr>
        <w:tc>
          <w:tcPr>
            <w:tcW w:w="5380" w:type="dxa"/>
            <w:tcBorders>
              <w:top w:val="nil"/>
              <w:left w:val="single" w:sz="4" w:space="0" w:color="000000"/>
              <w:bottom w:val="nil"/>
              <w:right w:val="nil"/>
            </w:tcBorders>
            <w:shd w:val="clear" w:color="auto" w:fill="auto"/>
            <w:noWrap/>
            <w:hideMark/>
          </w:tcPr>
          <w:p w:rsidR="00821C17" w:rsidRPr="008C59F9" w:rsidRDefault="00821C17" w:rsidP="0080335A">
            <w:pPr>
              <w:spacing w:after="0"/>
              <w:rPr>
                <w:rFonts w:eastAsia="Times New Roman" w:cs="Times New Roman"/>
                <w:sz w:val="20"/>
                <w:szCs w:val="20"/>
              </w:rPr>
            </w:pPr>
            <w:proofErr w:type="spellStart"/>
            <w:r w:rsidRPr="008C59F9">
              <w:rPr>
                <w:sz w:val="20"/>
                <w:szCs w:val="20"/>
              </w:rPr>
              <w:t>Golimumab+Methotrexate+Sulfasalazine</w:t>
            </w:r>
            <w:proofErr w:type="spellEnd"/>
          </w:p>
        </w:tc>
        <w:tc>
          <w:tcPr>
            <w:tcW w:w="1014" w:type="dxa"/>
            <w:tcBorders>
              <w:top w:val="nil"/>
              <w:left w:val="single" w:sz="4" w:space="0" w:color="000000"/>
              <w:bottom w:val="nil"/>
              <w:right w:val="nil"/>
            </w:tcBorders>
            <w:shd w:val="clear" w:color="auto" w:fill="auto"/>
            <w:noWrap/>
            <w:vAlign w:val="center"/>
            <w:hideMark/>
          </w:tcPr>
          <w:p w:rsidR="00821C17" w:rsidRPr="008C59F9" w:rsidRDefault="00821C17" w:rsidP="0080335A">
            <w:pPr>
              <w:spacing w:after="0"/>
              <w:jc w:val="center"/>
              <w:rPr>
                <w:rFonts w:eastAsia="Times New Roman" w:cs="Times New Roman"/>
                <w:sz w:val="20"/>
                <w:szCs w:val="20"/>
              </w:rPr>
            </w:pPr>
            <w:r w:rsidRPr="008C59F9">
              <w:rPr>
                <w:sz w:val="20"/>
                <w:szCs w:val="20"/>
              </w:rPr>
              <w:t>28</w:t>
            </w:r>
          </w:p>
        </w:tc>
        <w:tc>
          <w:tcPr>
            <w:tcW w:w="1134" w:type="dxa"/>
            <w:tcBorders>
              <w:top w:val="nil"/>
              <w:left w:val="single" w:sz="4" w:space="0" w:color="000000"/>
              <w:bottom w:val="nil"/>
              <w:right w:val="single" w:sz="4" w:space="0" w:color="000000"/>
            </w:tcBorders>
            <w:shd w:val="clear" w:color="auto" w:fill="auto"/>
            <w:noWrap/>
            <w:vAlign w:val="center"/>
            <w:hideMark/>
          </w:tcPr>
          <w:p w:rsidR="00821C17" w:rsidRPr="008C59F9" w:rsidRDefault="00821C17" w:rsidP="0080335A">
            <w:pPr>
              <w:spacing w:after="0"/>
              <w:jc w:val="center"/>
              <w:rPr>
                <w:rFonts w:eastAsia="Times New Roman" w:cs="Times New Roman"/>
                <w:sz w:val="20"/>
                <w:szCs w:val="20"/>
              </w:rPr>
            </w:pPr>
            <w:r w:rsidRPr="008C59F9">
              <w:rPr>
                <w:sz w:val="20"/>
                <w:szCs w:val="20"/>
              </w:rPr>
              <w:t>0.6%</w:t>
            </w:r>
          </w:p>
        </w:tc>
        <w:tc>
          <w:tcPr>
            <w:tcW w:w="709" w:type="dxa"/>
            <w:tcBorders>
              <w:top w:val="nil"/>
              <w:left w:val="single" w:sz="4" w:space="0" w:color="000000"/>
              <w:bottom w:val="nil"/>
              <w:right w:val="single" w:sz="4" w:space="0" w:color="000000"/>
            </w:tcBorders>
            <w:vAlign w:val="center"/>
          </w:tcPr>
          <w:p w:rsidR="00821C17" w:rsidRPr="003C6D96" w:rsidRDefault="00821C17" w:rsidP="0080335A">
            <w:pPr>
              <w:spacing w:after="0"/>
              <w:jc w:val="center"/>
              <w:rPr>
                <w:sz w:val="20"/>
              </w:rPr>
            </w:pPr>
            <w:r w:rsidRPr="00B90A28">
              <w:rPr>
                <w:sz w:val="20"/>
              </w:rPr>
              <w:t>18</w:t>
            </w:r>
          </w:p>
        </w:tc>
      </w:tr>
      <w:tr w:rsidR="00821C17" w:rsidRPr="00165ADF" w:rsidTr="0080335A">
        <w:trPr>
          <w:trHeight w:val="255"/>
        </w:trPr>
        <w:tc>
          <w:tcPr>
            <w:tcW w:w="5380" w:type="dxa"/>
            <w:tcBorders>
              <w:top w:val="nil"/>
              <w:left w:val="single" w:sz="4" w:space="0" w:color="000000"/>
              <w:right w:val="nil"/>
            </w:tcBorders>
            <w:shd w:val="clear" w:color="auto" w:fill="auto"/>
            <w:noWrap/>
            <w:hideMark/>
          </w:tcPr>
          <w:p w:rsidR="00821C17" w:rsidRPr="008C59F9" w:rsidRDefault="00821C17" w:rsidP="0080335A">
            <w:pPr>
              <w:spacing w:after="0"/>
              <w:rPr>
                <w:rFonts w:eastAsia="Times New Roman" w:cs="Times New Roman"/>
                <w:sz w:val="20"/>
                <w:szCs w:val="20"/>
              </w:rPr>
            </w:pPr>
            <w:proofErr w:type="spellStart"/>
            <w:r w:rsidRPr="008C59F9">
              <w:rPr>
                <w:sz w:val="20"/>
                <w:szCs w:val="20"/>
              </w:rPr>
              <w:t>Certolizumab</w:t>
            </w:r>
            <w:proofErr w:type="spellEnd"/>
            <w:r w:rsidRPr="008C59F9">
              <w:rPr>
                <w:sz w:val="20"/>
                <w:szCs w:val="20"/>
              </w:rPr>
              <w:t xml:space="preserve"> </w:t>
            </w:r>
            <w:proofErr w:type="spellStart"/>
            <w:r w:rsidRPr="008C59F9">
              <w:rPr>
                <w:sz w:val="20"/>
                <w:szCs w:val="20"/>
              </w:rPr>
              <w:t>Pegol+Methotrexate</w:t>
            </w:r>
            <w:proofErr w:type="spellEnd"/>
          </w:p>
        </w:tc>
        <w:tc>
          <w:tcPr>
            <w:tcW w:w="1014" w:type="dxa"/>
            <w:tcBorders>
              <w:top w:val="nil"/>
              <w:left w:val="single" w:sz="4" w:space="0" w:color="000000"/>
              <w:right w:val="nil"/>
            </w:tcBorders>
            <w:shd w:val="clear" w:color="auto" w:fill="auto"/>
            <w:noWrap/>
            <w:vAlign w:val="center"/>
            <w:hideMark/>
          </w:tcPr>
          <w:p w:rsidR="00821C17" w:rsidRPr="008C59F9" w:rsidRDefault="00821C17" w:rsidP="0080335A">
            <w:pPr>
              <w:spacing w:after="0"/>
              <w:jc w:val="center"/>
              <w:rPr>
                <w:rFonts w:eastAsia="Times New Roman" w:cs="Times New Roman"/>
                <w:sz w:val="20"/>
                <w:szCs w:val="20"/>
              </w:rPr>
            </w:pPr>
            <w:r w:rsidRPr="008C59F9">
              <w:rPr>
                <w:sz w:val="20"/>
                <w:szCs w:val="20"/>
              </w:rPr>
              <w:t>26</w:t>
            </w:r>
          </w:p>
        </w:tc>
        <w:tc>
          <w:tcPr>
            <w:tcW w:w="1134" w:type="dxa"/>
            <w:tcBorders>
              <w:top w:val="nil"/>
              <w:left w:val="single" w:sz="4" w:space="0" w:color="000000"/>
              <w:right w:val="single" w:sz="4" w:space="0" w:color="000000"/>
            </w:tcBorders>
            <w:shd w:val="clear" w:color="auto" w:fill="auto"/>
            <w:noWrap/>
            <w:vAlign w:val="center"/>
            <w:hideMark/>
          </w:tcPr>
          <w:p w:rsidR="00821C17" w:rsidRPr="008C59F9" w:rsidRDefault="00821C17" w:rsidP="0080335A">
            <w:pPr>
              <w:spacing w:after="0"/>
              <w:jc w:val="center"/>
              <w:rPr>
                <w:rFonts w:eastAsia="Times New Roman" w:cs="Times New Roman"/>
                <w:sz w:val="20"/>
                <w:szCs w:val="20"/>
              </w:rPr>
            </w:pPr>
            <w:r w:rsidRPr="008C59F9">
              <w:rPr>
                <w:sz w:val="20"/>
                <w:szCs w:val="20"/>
              </w:rPr>
              <w:t>0.5%</w:t>
            </w:r>
          </w:p>
        </w:tc>
        <w:tc>
          <w:tcPr>
            <w:tcW w:w="709" w:type="dxa"/>
            <w:tcBorders>
              <w:top w:val="nil"/>
              <w:left w:val="single" w:sz="4" w:space="0" w:color="000000"/>
              <w:right w:val="single" w:sz="4" w:space="0" w:color="000000"/>
            </w:tcBorders>
            <w:vAlign w:val="center"/>
          </w:tcPr>
          <w:p w:rsidR="00821C17" w:rsidRPr="003C6D96" w:rsidRDefault="00821C17" w:rsidP="0080335A">
            <w:pPr>
              <w:spacing w:after="0"/>
              <w:jc w:val="center"/>
              <w:rPr>
                <w:sz w:val="20"/>
              </w:rPr>
            </w:pPr>
            <w:r w:rsidRPr="00B90A28">
              <w:rPr>
                <w:sz w:val="20"/>
              </w:rPr>
              <w:t>19</w:t>
            </w:r>
          </w:p>
        </w:tc>
      </w:tr>
      <w:tr w:rsidR="00821C17" w:rsidRPr="00165ADF" w:rsidTr="0080335A">
        <w:trPr>
          <w:trHeight w:val="255"/>
        </w:trPr>
        <w:tc>
          <w:tcPr>
            <w:tcW w:w="5380" w:type="dxa"/>
            <w:tcBorders>
              <w:top w:val="nil"/>
              <w:left w:val="single" w:sz="4" w:space="0" w:color="000000"/>
              <w:right w:val="nil"/>
            </w:tcBorders>
            <w:shd w:val="clear" w:color="auto" w:fill="auto"/>
            <w:noWrap/>
            <w:hideMark/>
          </w:tcPr>
          <w:p w:rsidR="00821C17" w:rsidRPr="008C59F9" w:rsidRDefault="00821C17" w:rsidP="0080335A">
            <w:pPr>
              <w:spacing w:after="0"/>
              <w:rPr>
                <w:rFonts w:eastAsia="Times New Roman" w:cs="Times New Roman"/>
                <w:sz w:val="20"/>
                <w:szCs w:val="20"/>
              </w:rPr>
            </w:pPr>
            <w:proofErr w:type="spellStart"/>
            <w:r w:rsidRPr="008C59F9">
              <w:rPr>
                <w:sz w:val="20"/>
                <w:szCs w:val="20"/>
              </w:rPr>
              <w:t>Etanercept+Leflunomide+Methotrexate</w:t>
            </w:r>
            <w:proofErr w:type="spellEnd"/>
          </w:p>
        </w:tc>
        <w:tc>
          <w:tcPr>
            <w:tcW w:w="1014" w:type="dxa"/>
            <w:tcBorders>
              <w:top w:val="nil"/>
              <w:left w:val="single" w:sz="4" w:space="0" w:color="000000"/>
              <w:right w:val="nil"/>
            </w:tcBorders>
            <w:shd w:val="clear" w:color="auto" w:fill="auto"/>
            <w:noWrap/>
            <w:vAlign w:val="center"/>
            <w:hideMark/>
          </w:tcPr>
          <w:p w:rsidR="00821C17" w:rsidRPr="008C59F9" w:rsidRDefault="00821C17" w:rsidP="0080335A">
            <w:pPr>
              <w:spacing w:after="0"/>
              <w:jc w:val="center"/>
              <w:rPr>
                <w:rFonts w:eastAsia="Times New Roman" w:cs="Times New Roman"/>
                <w:sz w:val="20"/>
                <w:szCs w:val="20"/>
              </w:rPr>
            </w:pPr>
            <w:r w:rsidRPr="008C59F9">
              <w:rPr>
                <w:sz w:val="20"/>
                <w:szCs w:val="20"/>
              </w:rPr>
              <w:t>26</w:t>
            </w:r>
          </w:p>
        </w:tc>
        <w:tc>
          <w:tcPr>
            <w:tcW w:w="1134" w:type="dxa"/>
            <w:tcBorders>
              <w:top w:val="nil"/>
              <w:left w:val="single" w:sz="4" w:space="0" w:color="000000"/>
              <w:right w:val="single" w:sz="4" w:space="0" w:color="000000"/>
            </w:tcBorders>
            <w:shd w:val="clear" w:color="auto" w:fill="auto"/>
            <w:noWrap/>
            <w:vAlign w:val="center"/>
            <w:hideMark/>
          </w:tcPr>
          <w:p w:rsidR="00821C17" w:rsidRPr="008C59F9" w:rsidRDefault="00821C17" w:rsidP="0080335A">
            <w:pPr>
              <w:spacing w:after="0"/>
              <w:jc w:val="center"/>
              <w:rPr>
                <w:rFonts w:eastAsia="Times New Roman" w:cs="Times New Roman"/>
                <w:sz w:val="20"/>
                <w:szCs w:val="20"/>
              </w:rPr>
            </w:pPr>
            <w:r w:rsidRPr="008C59F9">
              <w:rPr>
                <w:sz w:val="20"/>
                <w:szCs w:val="20"/>
              </w:rPr>
              <w:t>0.5%</w:t>
            </w:r>
          </w:p>
        </w:tc>
        <w:tc>
          <w:tcPr>
            <w:tcW w:w="709" w:type="dxa"/>
            <w:tcBorders>
              <w:top w:val="nil"/>
              <w:left w:val="single" w:sz="4" w:space="0" w:color="000000"/>
              <w:right w:val="single" w:sz="4" w:space="0" w:color="000000"/>
            </w:tcBorders>
            <w:vAlign w:val="center"/>
          </w:tcPr>
          <w:p w:rsidR="00821C17" w:rsidRPr="003C6D96" w:rsidRDefault="00821C17" w:rsidP="0080335A">
            <w:pPr>
              <w:spacing w:after="0"/>
              <w:jc w:val="center"/>
              <w:rPr>
                <w:sz w:val="20"/>
              </w:rPr>
            </w:pPr>
            <w:r w:rsidRPr="00B90A28">
              <w:rPr>
                <w:sz w:val="20"/>
              </w:rPr>
              <w:t>20</w:t>
            </w:r>
          </w:p>
        </w:tc>
      </w:tr>
      <w:tr w:rsidR="00821C17" w:rsidRPr="00165ADF" w:rsidTr="0080335A">
        <w:trPr>
          <w:trHeight w:val="255"/>
        </w:trPr>
        <w:tc>
          <w:tcPr>
            <w:tcW w:w="5380" w:type="dxa"/>
            <w:tcBorders>
              <w:left w:val="single" w:sz="4" w:space="0" w:color="000000"/>
              <w:bottom w:val="single" w:sz="4" w:space="0" w:color="000000"/>
              <w:right w:val="nil"/>
            </w:tcBorders>
            <w:shd w:val="clear" w:color="auto" w:fill="auto"/>
            <w:noWrap/>
          </w:tcPr>
          <w:p w:rsidR="00821C17" w:rsidRPr="007754F4" w:rsidRDefault="00821C17" w:rsidP="0080335A">
            <w:pPr>
              <w:spacing w:after="0"/>
              <w:rPr>
                <w:rFonts w:eastAsia="Times New Roman" w:cs="Times New Roman"/>
                <w:sz w:val="20"/>
                <w:szCs w:val="20"/>
              </w:rPr>
            </w:pPr>
            <w:r>
              <w:rPr>
                <w:rFonts w:eastAsia="Times New Roman" w:cs="Times New Roman"/>
                <w:sz w:val="20"/>
                <w:szCs w:val="20"/>
              </w:rPr>
              <w:t>Other</w:t>
            </w:r>
          </w:p>
        </w:tc>
        <w:tc>
          <w:tcPr>
            <w:tcW w:w="1014" w:type="dxa"/>
            <w:tcBorders>
              <w:left w:val="single" w:sz="4" w:space="0" w:color="000000"/>
              <w:bottom w:val="single" w:sz="4" w:space="0" w:color="000000"/>
              <w:right w:val="nil"/>
            </w:tcBorders>
            <w:shd w:val="clear" w:color="auto" w:fill="auto"/>
            <w:noWrap/>
            <w:vAlign w:val="center"/>
          </w:tcPr>
          <w:p w:rsidR="00821C17" w:rsidRPr="007754F4" w:rsidRDefault="00821C17" w:rsidP="0080335A">
            <w:pPr>
              <w:spacing w:after="0"/>
              <w:jc w:val="center"/>
              <w:rPr>
                <w:rFonts w:eastAsia="Times New Roman" w:cs="Times New Roman"/>
                <w:sz w:val="20"/>
                <w:szCs w:val="20"/>
              </w:rPr>
            </w:pPr>
            <w:r>
              <w:rPr>
                <w:sz w:val="20"/>
                <w:szCs w:val="20"/>
              </w:rPr>
              <w:t>298</w:t>
            </w:r>
          </w:p>
        </w:tc>
        <w:tc>
          <w:tcPr>
            <w:tcW w:w="1134" w:type="dxa"/>
            <w:tcBorders>
              <w:left w:val="single" w:sz="4" w:space="0" w:color="000000"/>
              <w:bottom w:val="single" w:sz="4" w:space="0" w:color="000000"/>
              <w:right w:val="single" w:sz="4" w:space="0" w:color="000000"/>
            </w:tcBorders>
            <w:shd w:val="clear" w:color="auto" w:fill="auto"/>
            <w:noWrap/>
            <w:vAlign w:val="center"/>
          </w:tcPr>
          <w:p w:rsidR="00821C17" w:rsidRPr="007754F4" w:rsidRDefault="00821C17" w:rsidP="0080335A">
            <w:pPr>
              <w:spacing w:after="0"/>
              <w:jc w:val="center"/>
              <w:rPr>
                <w:rFonts w:eastAsia="Times New Roman" w:cs="Times New Roman"/>
                <w:sz w:val="20"/>
                <w:szCs w:val="20"/>
              </w:rPr>
            </w:pPr>
            <w:r>
              <w:rPr>
                <w:sz w:val="20"/>
                <w:szCs w:val="20"/>
              </w:rPr>
              <w:t>6.1</w:t>
            </w:r>
            <w:r w:rsidRPr="007754F4">
              <w:rPr>
                <w:sz w:val="20"/>
                <w:szCs w:val="20"/>
              </w:rPr>
              <w:t>%</w:t>
            </w:r>
          </w:p>
        </w:tc>
        <w:tc>
          <w:tcPr>
            <w:tcW w:w="709" w:type="dxa"/>
            <w:tcBorders>
              <w:left w:val="single" w:sz="4" w:space="0" w:color="000000"/>
              <w:bottom w:val="single" w:sz="4" w:space="0" w:color="000000"/>
              <w:right w:val="single" w:sz="4" w:space="0" w:color="000000"/>
            </w:tcBorders>
            <w:vAlign w:val="center"/>
          </w:tcPr>
          <w:p w:rsidR="00821C17" w:rsidRPr="00B90A28" w:rsidRDefault="00821C17" w:rsidP="0080335A">
            <w:pPr>
              <w:spacing w:after="0"/>
              <w:jc w:val="center"/>
              <w:rPr>
                <w:sz w:val="20"/>
              </w:rPr>
            </w:pPr>
          </w:p>
        </w:tc>
      </w:tr>
      <w:tr w:rsidR="00821C17" w:rsidRPr="00165ADF" w:rsidTr="0080335A">
        <w:trPr>
          <w:trHeight w:val="255"/>
        </w:trPr>
        <w:tc>
          <w:tcPr>
            <w:tcW w:w="5380" w:type="dxa"/>
            <w:tcBorders>
              <w:top w:val="single" w:sz="4" w:space="0" w:color="000000"/>
              <w:left w:val="single" w:sz="4" w:space="0" w:color="000000"/>
              <w:bottom w:val="single" w:sz="4" w:space="0" w:color="000000"/>
              <w:right w:val="nil"/>
            </w:tcBorders>
            <w:shd w:val="clear" w:color="auto" w:fill="auto"/>
            <w:noWrap/>
            <w:vAlign w:val="bottom"/>
            <w:hideMark/>
          </w:tcPr>
          <w:p w:rsidR="00821C17" w:rsidRPr="00693451" w:rsidRDefault="00821C17" w:rsidP="0080335A">
            <w:pPr>
              <w:spacing w:after="0"/>
              <w:rPr>
                <w:rFonts w:eastAsia="Times New Roman" w:cs="Times New Roman"/>
                <w:sz w:val="20"/>
                <w:szCs w:val="20"/>
              </w:rPr>
            </w:pPr>
            <w:r w:rsidRPr="00693451">
              <w:rPr>
                <w:rFonts w:eastAsia="Times New Roman" w:cs="Times New Roman"/>
                <w:sz w:val="20"/>
                <w:szCs w:val="20"/>
              </w:rPr>
              <w:t>Grand Total</w:t>
            </w:r>
          </w:p>
        </w:tc>
        <w:tc>
          <w:tcPr>
            <w:tcW w:w="1014" w:type="dxa"/>
            <w:tcBorders>
              <w:top w:val="single" w:sz="4" w:space="0" w:color="000000"/>
              <w:left w:val="single" w:sz="4" w:space="0" w:color="000000"/>
              <w:bottom w:val="single" w:sz="4" w:space="0" w:color="000000"/>
              <w:right w:val="nil"/>
            </w:tcBorders>
            <w:shd w:val="clear" w:color="auto" w:fill="auto"/>
            <w:noWrap/>
            <w:vAlign w:val="center"/>
            <w:hideMark/>
          </w:tcPr>
          <w:p w:rsidR="00821C17" w:rsidRPr="00693451" w:rsidRDefault="00821C17" w:rsidP="0080335A">
            <w:pPr>
              <w:spacing w:after="0"/>
              <w:jc w:val="center"/>
              <w:rPr>
                <w:rFonts w:eastAsia="Times New Roman" w:cs="Times New Roman"/>
                <w:sz w:val="20"/>
                <w:szCs w:val="20"/>
              </w:rPr>
            </w:pPr>
            <w:r>
              <w:rPr>
                <w:rFonts w:eastAsia="Times New Roman" w:cs="Times New Roman"/>
                <w:sz w:val="20"/>
                <w:szCs w:val="20"/>
              </w:rPr>
              <w:t>4,884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C17" w:rsidRPr="00693451" w:rsidRDefault="00821C17" w:rsidP="0080335A">
            <w:pPr>
              <w:spacing w:after="0"/>
              <w:jc w:val="center"/>
              <w:rPr>
                <w:rFonts w:eastAsia="Times New Roman" w:cs="Times New Roman"/>
                <w:sz w:val="20"/>
                <w:szCs w:val="20"/>
              </w:rPr>
            </w:pPr>
            <w:r w:rsidRPr="00693451">
              <w:rPr>
                <w:rFonts w:eastAsia="Times New Roman" w:cs="Times New Roman"/>
                <w:sz w:val="20"/>
                <w:szCs w:val="20"/>
              </w:rPr>
              <w:t>100.0%</w:t>
            </w:r>
          </w:p>
        </w:tc>
        <w:tc>
          <w:tcPr>
            <w:tcW w:w="709" w:type="dxa"/>
            <w:tcBorders>
              <w:top w:val="single" w:sz="4" w:space="0" w:color="000000"/>
              <w:left w:val="single" w:sz="4" w:space="0" w:color="000000"/>
              <w:bottom w:val="single" w:sz="4" w:space="0" w:color="000000"/>
              <w:right w:val="single" w:sz="4" w:space="0" w:color="000000"/>
            </w:tcBorders>
            <w:vAlign w:val="center"/>
          </w:tcPr>
          <w:p w:rsidR="00821C17" w:rsidRPr="00693451" w:rsidRDefault="00821C17" w:rsidP="0080335A">
            <w:pPr>
              <w:spacing w:after="0"/>
              <w:jc w:val="center"/>
              <w:rPr>
                <w:rFonts w:eastAsia="Times New Roman" w:cs="Times New Roman"/>
                <w:sz w:val="20"/>
                <w:szCs w:val="20"/>
              </w:rPr>
            </w:pPr>
          </w:p>
        </w:tc>
      </w:tr>
    </w:tbl>
    <w:p w:rsidR="00821C17" w:rsidRDefault="00821C17" w:rsidP="00821C17">
      <w:pPr>
        <w:spacing w:line="276" w:lineRule="auto"/>
      </w:pPr>
    </w:p>
    <w:p w:rsidR="00821C17" w:rsidRDefault="00821C17" w:rsidP="00821C17">
      <w:pPr>
        <w:spacing w:line="276" w:lineRule="auto"/>
      </w:pPr>
      <w:r>
        <w:t xml:space="preserve">Table 4 has a similar ranking to Figure 4, except that </w:t>
      </w:r>
      <w:proofErr w:type="spellStart"/>
      <w:r>
        <w:t>certolizumab</w:t>
      </w:r>
      <w:proofErr w:type="spellEnd"/>
      <w:r>
        <w:t xml:space="preserve"> </w:t>
      </w:r>
      <w:proofErr w:type="spellStart"/>
      <w:r>
        <w:t>pegol</w:t>
      </w:r>
      <w:proofErr w:type="spellEnd"/>
      <w:r>
        <w:t xml:space="preserve"> is in the table (Rank = 15) but not the figure. This is because the ranking in Table 4 is based on the number of patients on a bDMARD containing regimen as at 14/8/2015, whereas the Figure 4 ranking is based on the total patient count across the displayed period. As </w:t>
      </w:r>
      <w:proofErr w:type="spellStart"/>
      <w:r>
        <w:t>certolizumab</w:t>
      </w:r>
      <w:proofErr w:type="spellEnd"/>
      <w:r>
        <w:t xml:space="preserve"> </w:t>
      </w:r>
      <w:proofErr w:type="spellStart"/>
      <w:r>
        <w:t>pegol</w:t>
      </w:r>
      <w:proofErr w:type="spellEnd"/>
      <w:r>
        <w:t xml:space="preserve"> was not listed until 1 September 2014, it is ranked less than 15 in Figure 4 and so does not appear.</w:t>
      </w:r>
    </w:p>
    <w:p w:rsidR="00821C17" w:rsidRDefault="00821C17" w:rsidP="00821C17">
      <w:pPr>
        <w:spacing w:line="276" w:lineRule="auto"/>
        <w:rPr>
          <w:b/>
          <w:i/>
          <w:szCs w:val="28"/>
        </w:rPr>
      </w:pPr>
      <w:r>
        <w:br w:type="page"/>
      </w:r>
    </w:p>
    <w:p w:rsidR="00821C17" w:rsidRPr="0098053E" w:rsidRDefault="00821C17" w:rsidP="00821C17">
      <w:pPr>
        <w:pStyle w:val="Heading4"/>
        <w:rPr>
          <w:i w:val="0"/>
        </w:rPr>
      </w:pPr>
      <w:r w:rsidRPr="0098053E">
        <w:rPr>
          <w:i w:val="0"/>
        </w:rPr>
        <w:lastRenderedPageBreak/>
        <w:t xml:space="preserve">Discussion </w:t>
      </w:r>
    </w:p>
    <w:p w:rsidR="00850D0E" w:rsidRPr="006724A7" w:rsidDel="00850D0E" w:rsidRDefault="00850D0E" w:rsidP="0038176D">
      <w:pPr>
        <w:spacing w:line="276" w:lineRule="auto"/>
      </w:pPr>
      <w:r w:rsidRPr="006724A7" w:rsidDel="00850D0E">
        <w:t xml:space="preserve">The trajectory of DMARD use increased in the 20 weeks prior to initiation to bDMARD therapy. This is consistent with the 3 month trial period specified in the restriction. </w:t>
      </w:r>
    </w:p>
    <w:p w:rsidR="00850D0E" w:rsidRPr="006724A7" w:rsidDel="00850D0E" w:rsidRDefault="00850D0E" w:rsidP="0038176D">
      <w:pPr>
        <w:spacing w:line="276" w:lineRule="auto"/>
      </w:pPr>
      <w:r w:rsidRPr="006724A7" w:rsidDel="00850D0E">
        <w:t xml:space="preserve">Of patients initiating bDMARD therapy in quarter 3 2015, 81.3% (248 of 305 patients) had been supplied methotrexate and sulfasalazine or </w:t>
      </w:r>
      <w:proofErr w:type="spellStart"/>
      <w:r w:rsidRPr="006724A7" w:rsidDel="00850D0E">
        <w:t>leflunomide</w:t>
      </w:r>
      <w:proofErr w:type="spellEnd"/>
      <w:r w:rsidRPr="006724A7" w:rsidDel="00850D0E">
        <w:t xml:space="preserve"> in the 4 years prior to initiation. 18.7% of patients that initiated in this quarter did not appear to have fulfilled the prior DMARD aspect of the restriction criteria.  </w:t>
      </w:r>
    </w:p>
    <w:p w:rsidR="00B04038" w:rsidRPr="006724A7" w:rsidRDefault="00850D0E" w:rsidP="0038176D">
      <w:pPr>
        <w:spacing w:line="276" w:lineRule="auto"/>
      </w:pPr>
      <w:r w:rsidRPr="006724A7">
        <w:t xml:space="preserve">Sensitivity analysis was undertaken using a look back period of exactly 5 years from each patient’s bDMARD initiation date (this was only possible for the three quarters in 2015). The result was 83.0% of patients had been supplied methotrexate and sulfasalazine or </w:t>
      </w:r>
      <w:proofErr w:type="spellStart"/>
      <w:r w:rsidRPr="006724A7">
        <w:t>leflunomide</w:t>
      </w:r>
      <w:proofErr w:type="spellEnd"/>
      <w:r w:rsidRPr="006724A7">
        <w:t xml:space="preserve"> prior to initiation in 2015 Q3 and so 17.0% of patients did not fulfil the prior DMARD criteria. Thus the addition of an extra year of look back reduced the estimate of patients not fulfilling the</w:t>
      </w:r>
      <w:r>
        <w:t xml:space="preserve"> prior DMARD criteria by 1.7%. </w:t>
      </w:r>
      <w:r w:rsidR="00B04038" w:rsidRPr="006724A7">
        <w:t xml:space="preserve">DUSC noted that the 17% figure would increase if the analysis had regard to the </w:t>
      </w:r>
      <w:r w:rsidR="0081677C">
        <w:t xml:space="preserve">treatment </w:t>
      </w:r>
      <w:r w:rsidR="00B04038" w:rsidRPr="006724A7">
        <w:t>duration (ie. at least 3 months) and dose criteria. However, it would decrease slightly if the look back period was extended beyond 5 years.</w:t>
      </w:r>
    </w:p>
    <w:p w:rsidR="00821C17" w:rsidRDefault="00821C17" w:rsidP="00446FDE">
      <w:pPr>
        <w:pStyle w:val="NoSpacing"/>
        <w:spacing w:line="276" w:lineRule="auto"/>
      </w:pPr>
      <w:r>
        <w:t xml:space="preserve">The percentage of </w:t>
      </w:r>
      <w:proofErr w:type="gramStart"/>
      <w:r>
        <w:t>patients</w:t>
      </w:r>
      <w:proofErr w:type="gramEnd"/>
      <w:r>
        <w:t xml:space="preserve"> trialling none of the restriction specified drugs (methotrexate, </w:t>
      </w:r>
      <w:r w:rsidRPr="00AA5403">
        <w:t xml:space="preserve">sulfasalazine </w:t>
      </w:r>
      <w:r>
        <w:t xml:space="preserve">and </w:t>
      </w:r>
      <w:proofErr w:type="spellStart"/>
      <w:r>
        <w:t>leflunomide</w:t>
      </w:r>
      <w:proofErr w:type="spellEnd"/>
      <w:r>
        <w:t xml:space="preserve">) </w:t>
      </w:r>
      <w:r w:rsidR="00850D0E">
        <w:t>has</w:t>
      </w:r>
      <w:r>
        <w:t xml:space="preserve"> slowly </w:t>
      </w:r>
      <w:r w:rsidR="00850D0E">
        <w:t>increased</w:t>
      </w:r>
      <w:r>
        <w:t>. In Figure 1 the minimum value for this percentage was 3.4% in 2014 Q2 and the maximum value was 9.9% in 2015 Q2.  Differences between the PBS restrictions and clinical guidelines could be a factor contributing to this increase.</w:t>
      </w:r>
    </w:p>
    <w:p w:rsidR="00821C17" w:rsidRDefault="00821C17" w:rsidP="00446FDE">
      <w:pPr>
        <w:pStyle w:val="NoSpacing"/>
        <w:spacing w:line="276" w:lineRule="auto"/>
      </w:pPr>
    </w:p>
    <w:p w:rsidR="00821C17" w:rsidRDefault="00821C17" w:rsidP="00446FDE">
      <w:pPr>
        <w:pStyle w:val="NoSpacing"/>
        <w:spacing w:line="276" w:lineRule="auto"/>
      </w:pPr>
      <w:r>
        <w:t xml:space="preserve">At initiation to bDMARD therapy for </w:t>
      </w:r>
      <w:r w:rsidRPr="00233053">
        <w:t>psoriatic arthritis</w:t>
      </w:r>
      <w:r>
        <w:t>, 34.7% of patients added the bDMARD to an existing DMARD regimen, 52.3 % of patients substituted one or more drugs in an existing DMARD regimen and 13.0% initiated without having been on any DMARD at the time.</w:t>
      </w:r>
    </w:p>
    <w:p w:rsidR="00821C17" w:rsidRDefault="00821C17" w:rsidP="00446FDE">
      <w:pPr>
        <w:pStyle w:val="NoSpacing"/>
        <w:spacing w:line="276" w:lineRule="auto"/>
      </w:pPr>
    </w:p>
    <w:p w:rsidR="00821C17" w:rsidRDefault="00821C17" w:rsidP="00446FDE">
      <w:pPr>
        <w:pStyle w:val="NoSpacing"/>
        <w:spacing w:line="276" w:lineRule="auto"/>
      </w:pPr>
      <w:r w:rsidRPr="00093F2F">
        <w:t>It was estimated that, as</w:t>
      </w:r>
      <w:r w:rsidR="006C17FD">
        <w:t xml:space="preserve"> of</w:t>
      </w:r>
      <w:r w:rsidRPr="00093F2F">
        <w:t xml:space="preserve"> </w:t>
      </w:r>
      <w:r w:rsidR="006C17FD">
        <w:t>14 August </w:t>
      </w:r>
      <w:r w:rsidRPr="00093F2F">
        <w:t xml:space="preserve">2015, 52.6% of </w:t>
      </w:r>
      <w:r>
        <w:t xml:space="preserve">prevalent </w:t>
      </w:r>
      <w:r w:rsidRPr="00093F2F">
        <w:t xml:space="preserve">patients on bDMARD therapy for </w:t>
      </w:r>
      <w:proofErr w:type="spellStart"/>
      <w:r w:rsidRPr="00093F2F">
        <w:t>PsA</w:t>
      </w:r>
      <w:proofErr w:type="spellEnd"/>
      <w:r w:rsidRPr="00093F2F">
        <w:t xml:space="preserve"> are on bDMARD + DMARD combination therapy and the remainder (47.4%) on bDMARD monotherapy.</w:t>
      </w:r>
      <w:r>
        <w:t xml:space="preserve"> </w:t>
      </w:r>
    </w:p>
    <w:p w:rsidR="0098053E" w:rsidRPr="00605DA3" w:rsidRDefault="0098053E" w:rsidP="0098053E">
      <w:pPr>
        <w:pStyle w:val="Heading4"/>
        <w:rPr>
          <w:i w:val="0"/>
        </w:rPr>
      </w:pPr>
      <w:r w:rsidRPr="00605DA3">
        <w:rPr>
          <w:i w:val="0"/>
        </w:rPr>
        <w:t>DUSC consideration</w:t>
      </w:r>
    </w:p>
    <w:p w:rsidR="002736FC" w:rsidRPr="006724A7" w:rsidRDefault="002736FC" w:rsidP="0038176D">
      <w:pPr>
        <w:spacing w:line="276" w:lineRule="auto"/>
      </w:pPr>
      <w:r w:rsidRPr="006724A7">
        <w:t xml:space="preserve">It is uncertain what proportion of patients not trialling methotrexate and sulfasalazine or </w:t>
      </w:r>
      <w:proofErr w:type="spellStart"/>
      <w:r w:rsidRPr="006724A7">
        <w:t>leflunomide</w:t>
      </w:r>
      <w:proofErr w:type="spellEnd"/>
      <w:r w:rsidRPr="006724A7">
        <w:t xml:space="preserve"> may have a contraindication that exempts them from the requirement. Where treatment with methotrexate, sulfasalazine or </w:t>
      </w:r>
      <w:proofErr w:type="spellStart"/>
      <w:r w:rsidRPr="006724A7">
        <w:t>leflunomide</w:t>
      </w:r>
      <w:proofErr w:type="spellEnd"/>
      <w:r w:rsidRPr="006724A7">
        <w:t xml:space="preserve"> is contraindicated according to the relevant TGA-approved Product Information, details must be provided at the time of application for authority approval. A retrospective assessment of written applications </w:t>
      </w:r>
      <w:r w:rsidRPr="006724A7">
        <w:lastRenderedPageBreak/>
        <w:t>would be required to determine the proportion of people who are contraindicated or intolerant to therapies.</w:t>
      </w:r>
    </w:p>
    <w:p w:rsidR="002736FC" w:rsidRPr="006724A7" w:rsidRDefault="002736FC" w:rsidP="0038176D">
      <w:pPr>
        <w:spacing w:line="276" w:lineRule="auto"/>
      </w:pPr>
      <w:r w:rsidRPr="006724A7">
        <w:rPr>
          <w:rFonts w:ascii="Calibri" w:hAnsi="Calibri" w:cs="Calibri"/>
        </w:rPr>
        <w:t xml:space="preserve">The Pre-Sub-Committee Response (PSCR) from a </w:t>
      </w:r>
      <w:r w:rsidR="006724A7" w:rsidRPr="006724A7">
        <w:rPr>
          <w:rFonts w:ascii="Calibri" w:hAnsi="Calibri" w:cs="Calibri"/>
        </w:rPr>
        <w:t xml:space="preserve">Sponsor </w:t>
      </w:r>
      <w:r w:rsidR="00380AA7" w:rsidRPr="006724A7">
        <w:rPr>
          <w:rFonts w:ascii="Calibri" w:hAnsi="Calibri" w:cs="Calibri"/>
        </w:rPr>
        <w:t>used</w:t>
      </w:r>
      <w:r w:rsidRPr="006724A7">
        <w:t xml:space="preserve"> existing data to estimate that up to 28% of patients could have a contraindication to at least one of the required DMARD medications.</w:t>
      </w:r>
    </w:p>
    <w:p w:rsidR="002736FC" w:rsidRPr="006724A7" w:rsidRDefault="002736FC" w:rsidP="0038176D">
      <w:pPr>
        <w:spacing w:line="276" w:lineRule="auto"/>
        <w:rPr>
          <w:bCs/>
        </w:rPr>
      </w:pPr>
      <w:r w:rsidRPr="006724A7">
        <w:rPr>
          <w:bCs/>
        </w:rPr>
        <w:t>DUSC considered that:</w:t>
      </w:r>
    </w:p>
    <w:p w:rsidR="002736FC" w:rsidRPr="006724A7" w:rsidRDefault="002736FC" w:rsidP="0038176D">
      <w:pPr>
        <w:pStyle w:val="ListParagraph"/>
        <w:numPr>
          <w:ilvl w:val="0"/>
          <w:numId w:val="29"/>
        </w:numPr>
        <w:spacing w:after="0" w:line="276" w:lineRule="auto"/>
        <w:rPr>
          <w:bCs/>
        </w:rPr>
      </w:pPr>
      <w:r w:rsidRPr="006724A7">
        <w:rPr>
          <w:bCs/>
        </w:rPr>
        <w:t>Overall it is likely that it is only a minority of patients with psoriatic arthritis (</w:t>
      </w:r>
      <w:proofErr w:type="spellStart"/>
      <w:r w:rsidRPr="006724A7">
        <w:rPr>
          <w:bCs/>
        </w:rPr>
        <w:t>PsA</w:t>
      </w:r>
      <w:proofErr w:type="spellEnd"/>
      <w:r w:rsidRPr="006724A7">
        <w:rPr>
          <w:bCs/>
        </w:rPr>
        <w:t>) that do not meet restriction criteria with regard to prior DMARD use. Contraindications for use probably account for many of those without prior adequate DMARD exposure.</w:t>
      </w:r>
    </w:p>
    <w:p w:rsidR="002736FC" w:rsidRPr="006724A7" w:rsidRDefault="002736FC" w:rsidP="0038176D">
      <w:pPr>
        <w:pStyle w:val="ListParagraph"/>
        <w:numPr>
          <w:ilvl w:val="0"/>
          <w:numId w:val="29"/>
        </w:numPr>
        <w:spacing w:after="0" w:line="276" w:lineRule="auto"/>
        <w:rPr>
          <w:bCs/>
        </w:rPr>
      </w:pPr>
      <w:r w:rsidRPr="006724A7">
        <w:rPr>
          <w:bCs/>
        </w:rPr>
        <w:t xml:space="preserve">Methotrexate is normally the first DMARD trialled. If a patient has sustained abnormal liver function tests whilst on methotrexate this may be a relative contraindication to </w:t>
      </w:r>
      <w:proofErr w:type="spellStart"/>
      <w:r w:rsidRPr="006724A7">
        <w:rPr>
          <w:bCs/>
        </w:rPr>
        <w:t>leflunomide</w:t>
      </w:r>
      <w:proofErr w:type="spellEnd"/>
      <w:r w:rsidRPr="006724A7">
        <w:rPr>
          <w:bCs/>
        </w:rPr>
        <w:t xml:space="preserve"> and sulfasalazine. Thus methotrexate intolerance may be the driver of the observed contraindications to DMARDs.</w:t>
      </w:r>
    </w:p>
    <w:p w:rsidR="002736FC" w:rsidRPr="006724A7" w:rsidRDefault="007732DE" w:rsidP="0038176D">
      <w:pPr>
        <w:pStyle w:val="ListParagraph"/>
        <w:numPr>
          <w:ilvl w:val="0"/>
          <w:numId w:val="29"/>
        </w:numPr>
        <w:spacing w:after="0" w:line="276" w:lineRule="auto"/>
        <w:rPr>
          <w:bCs/>
        </w:rPr>
      </w:pPr>
      <w:r>
        <w:rPr>
          <w:bCs/>
        </w:rPr>
        <w:t>D</w:t>
      </w:r>
      <w:r w:rsidR="002736FC" w:rsidRPr="006724A7">
        <w:rPr>
          <w:bCs/>
        </w:rPr>
        <w:t xml:space="preserve">ata on contraindications are </w:t>
      </w:r>
      <w:r>
        <w:rPr>
          <w:bCs/>
        </w:rPr>
        <w:t>provided</w:t>
      </w:r>
      <w:r w:rsidR="002736FC" w:rsidRPr="006724A7">
        <w:rPr>
          <w:bCs/>
        </w:rPr>
        <w:t xml:space="preserve"> on the written application forms sent to Medicare by the prescriber at initiation.</w:t>
      </w:r>
    </w:p>
    <w:p w:rsidR="00E8503E" w:rsidRPr="00605DA3" w:rsidRDefault="00E8503E" w:rsidP="00E8503E">
      <w:pPr>
        <w:pStyle w:val="Heading4"/>
        <w:rPr>
          <w:i w:val="0"/>
        </w:rPr>
      </w:pPr>
      <w:r w:rsidRPr="00605DA3">
        <w:rPr>
          <w:i w:val="0"/>
        </w:rPr>
        <w:t>DUSC actions</w:t>
      </w:r>
    </w:p>
    <w:p w:rsidR="002736FC" w:rsidRDefault="002736FC" w:rsidP="002736FC">
      <w:r>
        <w:t>The DUSC requested that;</w:t>
      </w:r>
    </w:p>
    <w:p w:rsidR="002736FC" w:rsidRPr="00A37545" w:rsidRDefault="002736FC" w:rsidP="002736FC">
      <w:pPr>
        <w:pStyle w:val="ListParagraph"/>
        <w:numPr>
          <w:ilvl w:val="0"/>
          <w:numId w:val="28"/>
        </w:numPr>
        <w:spacing w:after="0"/>
        <w:ind w:left="360"/>
        <w:rPr>
          <w:b/>
          <w:bCs/>
        </w:rPr>
      </w:pPr>
      <w:r w:rsidRPr="00233038">
        <w:rPr>
          <w:bCs/>
        </w:rPr>
        <w:t>the</w:t>
      </w:r>
      <w:r>
        <w:rPr>
          <w:bCs/>
        </w:rPr>
        <w:t xml:space="preserve"> addendum be provided to the PBAC</w:t>
      </w:r>
    </w:p>
    <w:p w:rsidR="00FE365F" w:rsidRDefault="00FE365F" w:rsidP="00FE365F"/>
    <w:p w:rsidR="00FE365F" w:rsidRDefault="00FE365F" w:rsidP="00FE365F"/>
    <w:p w:rsidR="00FE365F" w:rsidRPr="00FE365F" w:rsidRDefault="00FE365F" w:rsidP="00FE365F"/>
    <w:p w:rsidR="0098053E" w:rsidRPr="0098053E" w:rsidRDefault="0098053E" w:rsidP="0098053E"/>
    <w:p w:rsidR="00850D0E" w:rsidRDefault="00850D0E">
      <w:pPr>
        <w:spacing w:line="276" w:lineRule="auto"/>
        <w:rPr>
          <w:b/>
          <w:sz w:val="32"/>
          <w:szCs w:val="32"/>
        </w:rPr>
      </w:pPr>
      <w:r>
        <w:rPr>
          <w:i/>
        </w:rPr>
        <w:br w:type="page"/>
      </w:r>
    </w:p>
    <w:p w:rsidR="006A525B" w:rsidRPr="00605DA3" w:rsidRDefault="006A525B" w:rsidP="006A525B">
      <w:pPr>
        <w:pStyle w:val="Heading4"/>
        <w:rPr>
          <w:i w:val="0"/>
        </w:rPr>
      </w:pPr>
      <w:r w:rsidRPr="00605DA3">
        <w:rPr>
          <w:i w:val="0"/>
        </w:rPr>
        <w:lastRenderedPageBreak/>
        <w:t>Context for analysis</w:t>
      </w:r>
    </w:p>
    <w:p w:rsidR="006A525B" w:rsidRDefault="006A525B" w:rsidP="006A525B">
      <w:r>
        <w:t>The DUSC is a Sub Committee of the Pharmaceutical Benefits Advisory Committee (PBAC). The DUSC assesses estimates on projected usage and financial cost of medicines.</w:t>
      </w:r>
    </w:p>
    <w:p w:rsidR="006A525B" w:rsidRDefault="006A525B" w:rsidP="006A525B">
      <w: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rsidR="006A525B" w:rsidRDefault="006A525B" w:rsidP="006A525B">
      <w:r>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rsidR="006A525B" w:rsidRDefault="006A525B" w:rsidP="006A525B">
      <w:r>
        <w:t>The utilisation analysis report was provided to the pharmaceutical sponsors of each drug and comments on the report were provided to DUSC prior to its consideration of the analysis.</w:t>
      </w:r>
    </w:p>
    <w:p w:rsidR="006A525B" w:rsidRDefault="006A525B" w:rsidP="006A525B">
      <w:pPr>
        <w:pStyle w:val="Heading4"/>
        <w:rPr>
          <w:i w:val="0"/>
        </w:rPr>
      </w:pPr>
      <w:r w:rsidRPr="00605DA3">
        <w:rPr>
          <w:i w:val="0"/>
        </w:rPr>
        <w:t>Sponsors’ comments</w:t>
      </w:r>
    </w:p>
    <w:p w:rsidR="006A525B" w:rsidRDefault="006A525B" w:rsidP="006A525B">
      <w:proofErr w:type="spellStart"/>
      <w:r w:rsidRPr="008A55A9">
        <w:t>AbbVie</w:t>
      </w:r>
      <w:proofErr w:type="spellEnd"/>
      <w:r w:rsidRPr="008A55A9">
        <w:t xml:space="preserve"> Pty Ltd</w:t>
      </w:r>
      <w:r>
        <w:t>:</w:t>
      </w:r>
      <w:r w:rsidR="0029409B">
        <w:t xml:space="preserve"> </w:t>
      </w:r>
      <w:proofErr w:type="spellStart"/>
      <w:r w:rsidR="00AD2E42">
        <w:t>AbbVie</w:t>
      </w:r>
      <w:proofErr w:type="spellEnd"/>
      <w:r w:rsidR="00AD2E42">
        <w:t xml:space="preserve"> notes that the DUSC analysis is informative and agrees that the </w:t>
      </w:r>
      <w:r w:rsidR="003F6E02">
        <w:t>percentage</w:t>
      </w:r>
      <w:r w:rsidR="00AD2E42">
        <w:t xml:space="preserve"> of patients not trialling DMARDS due to contraindications is aligned with literature. As noted by the DUSC, written applications are required prior to approval for bDMARD use with stringent eligibility criteria.</w:t>
      </w:r>
    </w:p>
    <w:p w:rsidR="0029409B" w:rsidRPr="008A55A9" w:rsidRDefault="0029409B" w:rsidP="0029409B">
      <w:r w:rsidRPr="008A55A9">
        <w:t>Pfizer Pty Ltd</w:t>
      </w:r>
      <w:r>
        <w:t>: The sponsor has no comment</w:t>
      </w:r>
    </w:p>
    <w:p w:rsidR="006A525B" w:rsidRDefault="006A525B" w:rsidP="006A525B">
      <w:r w:rsidRPr="008A55A9">
        <w:t>Janssen-</w:t>
      </w:r>
      <w:proofErr w:type="spellStart"/>
      <w:r w:rsidRPr="008A55A9">
        <w:t>Cilag</w:t>
      </w:r>
      <w:proofErr w:type="spellEnd"/>
      <w:r w:rsidRPr="008A55A9">
        <w:t xml:space="preserve"> Pty Ltd</w:t>
      </w:r>
      <w:r>
        <w:t>:</w:t>
      </w:r>
      <w:r w:rsidR="0029409B">
        <w:t xml:space="preserve"> </w:t>
      </w:r>
      <w:r w:rsidR="0029409B" w:rsidRPr="0029409B">
        <w:t xml:space="preserve">Janssen consider that these analyses conducted by the DUSC demonstrate that the vast majority of </w:t>
      </w:r>
      <w:proofErr w:type="spellStart"/>
      <w:r w:rsidR="0029409B" w:rsidRPr="0029409B">
        <w:t>PsA</w:t>
      </w:r>
      <w:proofErr w:type="spellEnd"/>
      <w:r w:rsidR="0029409B" w:rsidRPr="0029409B">
        <w:t xml:space="preserve"> patients are receiving the prerequisite disease modifying anti-rheumatic drugs (DMARDs) at the appropriate dose for the minimum durations stipulated in the initial treatment PBS restriction for the biologics. Of those patients who did not receive methotrexate plus either </w:t>
      </w:r>
      <w:proofErr w:type="spellStart"/>
      <w:r w:rsidR="0029409B" w:rsidRPr="0029409B">
        <w:t>leflunomide</w:t>
      </w:r>
      <w:proofErr w:type="spellEnd"/>
      <w:r w:rsidR="0029409B" w:rsidRPr="0029409B">
        <w:t xml:space="preserve"> or sulfasalazine prior to initiation of a biologic, Janssen consider it highly likely that the vast majority were contraindicated to at least one of these therapies. Overall these analyses further support that biologics are being used appropriately in the population determined to be cost-effective by the PBAC.</w:t>
      </w:r>
      <w:bookmarkStart w:id="0" w:name="_GoBack"/>
      <w:bookmarkEnd w:id="0"/>
    </w:p>
    <w:p w:rsidR="0029409B" w:rsidRDefault="0029409B" w:rsidP="0029409B">
      <w:r>
        <w:t>UCB Australia Pty Ltd: The sponsor has no comment</w:t>
      </w:r>
    </w:p>
    <w:p w:rsidR="006A525B" w:rsidRPr="00605DA3" w:rsidRDefault="006A525B" w:rsidP="006A525B">
      <w:pPr>
        <w:pStyle w:val="Heading4"/>
        <w:rPr>
          <w:i w:val="0"/>
        </w:rPr>
      </w:pPr>
      <w:r w:rsidRPr="00605DA3">
        <w:rPr>
          <w:i w:val="0"/>
        </w:rPr>
        <w:t>Disclaimer</w:t>
      </w:r>
    </w:p>
    <w:p w:rsidR="006A525B" w:rsidRDefault="006A525B" w:rsidP="006A525B">
      <w:r>
        <w:t>The information provided in this report does not constitute medical advice and is not intended to take the place of professional medical advice or care.  It is not intended to define what constitutes reasonable, appropriate or best care for any individual for any given health issue.  The information should not be used as a substitute for the judgement and skill of a medical practitioner.</w:t>
      </w:r>
    </w:p>
    <w:p w:rsidR="006A525B" w:rsidRDefault="006A525B" w:rsidP="006A525B">
      <w:r>
        <w:lastRenderedPageBreak/>
        <w:t>The Department of Health (</w:t>
      </w:r>
      <w:proofErr w:type="spellStart"/>
      <w:r>
        <w:t>DoH</w:t>
      </w:r>
      <w:proofErr w:type="spellEnd"/>
      <w:r>
        <w:t>) has made all reasonable efforts to ensure that information provided in this report is accurate. The information provided in this report was up-to-date when it was considered by the Drug Utilisation Sub-committee of the Pharmaceutical Benefits Advisory Committee.  The context for that information may have changed since publication.</w:t>
      </w:r>
    </w:p>
    <w:p w:rsidR="006A525B" w:rsidRDefault="006A525B" w:rsidP="006A525B">
      <w:r>
        <w:t xml:space="preserve">To the extent provided by law, </w:t>
      </w:r>
      <w:proofErr w:type="spellStart"/>
      <w:r>
        <w:t>DoH</w:t>
      </w:r>
      <w:proofErr w:type="spellEnd"/>
      <w:r>
        <w:t xml:space="preserve"> makes no warranties or representations as to accuracy or completeness of information contained in this report. </w:t>
      </w:r>
    </w:p>
    <w:p w:rsidR="006A525B" w:rsidRDefault="006A525B" w:rsidP="006A525B">
      <w:r>
        <w:t xml:space="preserve">To the fullest extent permitted by law, neither the </w:t>
      </w:r>
      <w:proofErr w:type="spellStart"/>
      <w:r>
        <w:t>DoH</w:t>
      </w:r>
      <w:proofErr w:type="spellEnd"/>
      <w:r>
        <w:t xml:space="preserve"> nor any </w:t>
      </w:r>
      <w:proofErr w:type="spellStart"/>
      <w:r>
        <w:t>DoH</w:t>
      </w:r>
      <w:proofErr w:type="spellEnd"/>
      <w:r>
        <w:t xml:space="preserve">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p w:rsidR="00821C17" w:rsidRDefault="00821C17" w:rsidP="00821C17">
      <w:pPr>
        <w:spacing w:line="276" w:lineRule="auto"/>
        <w:rPr>
          <w:b/>
          <w:sz w:val="28"/>
        </w:rPr>
      </w:pPr>
      <w:r>
        <w:rPr>
          <w:b/>
          <w:sz w:val="28"/>
        </w:rPr>
        <w:br w:type="page"/>
      </w:r>
    </w:p>
    <w:p w:rsidR="00821C17" w:rsidRPr="006A525B" w:rsidRDefault="00821C17" w:rsidP="00821C17">
      <w:pPr>
        <w:pStyle w:val="Heading4"/>
        <w:rPr>
          <w:i w:val="0"/>
          <w:sz w:val="28"/>
          <w:szCs w:val="24"/>
        </w:rPr>
      </w:pPr>
      <w:r w:rsidRPr="006A525B">
        <w:rPr>
          <w:i w:val="0"/>
          <w:sz w:val="28"/>
          <w:szCs w:val="24"/>
        </w:rPr>
        <w:lastRenderedPageBreak/>
        <w:t xml:space="preserve">Appendix A: </w:t>
      </w:r>
      <w:r w:rsidRPr="006A525B">
        <w:rPr>
          <w:i w:val="0"/>
          <w:sz w:val="28"/>
          <w:szCs w:val="24"/>
        </w:rPr>
        <w:br/>
        <w:t>Detailed methodology to estimate drug regimens and regimen transitions</w:t>
      </w:r>
    </w:p>
    <w:p w:rsidR="00821C17" w:rsidRPr="006A525B" w:rsidRDefault="00821C17" w:rsidP="006724A7">
      <w:pPr>
        <w:pStyle w:val="Heading3"/>
        <w:rPr>
          <w:lang w:val="en-US"/>
        </w:rPr>
      </w:pPr>
      <w:r w:rsidRPr="006A525B">
        <w:rPr>
          <w:lang w:val="en-US"/>
        </w:rPr>
        <w:t>Drug treatment regimens are estimated from prescription supply dates</w:t>
      </w:r>
    </w:p>
    <w:p w:rsidR="00821C17" w:rsidRPr="003C6919" w:rsidRDefault="00821C17" w:rsidP="00821C17">
      <w:pPr>
        <w:rPr>
          <w:rFonts w:cstheme="minorHAnsi"/>
        </w:rPr>
      </w:pPr>
      <w:r w:rsidRPr="003C6919">
        <w:rPr>
          <w:rFonts w:cstheme="minorHAnsi"/>
        </w:rPr>
        <w:t xml:space="preserve">The prescription data contains date of supply of each prescription, but no information on whether or not medicines should be </w:t>
      </w:r>
      <w:r>
        <w:rPr>
          <w:rFonts w:cstheme="minorHAnsi"/>
        </w:rPr>
        <w:t>(</w:t>
      </w:r>
      <w:r w:rsidRPr="003C6919">
        <w:rPr>
          <w:rFonts w:cstheme="minorHAnsi"/>
        </w:rPr>
        <w:t>or were</w:t>
      </w:r>
      <w:r>
        <w:rPr>
          <w:rFonts w:cstheme="minorHAnsi"/>
        </w:rPr>
        <w:t>)</w:t>
      </w:r>
      <w:r w:rsidRPr="003C6919">
        <w:rPr>
          <w:rFonts w:cstheme="minorHAnsi"/>
        </w:rPr>
        <w:t xml:space="preserve"> co-administered. Thus co-administration was estimated from the data in the following way;</w:t>
      </w:r>
    </w:p>
    <w:p w:rsidR="00821C17" w:rsidRPr="003C6919" w:rsidRDefault="00821C17" w:rsidP="00821C17">
      <w:pPr>
        <w:rPr>
          <w:rFonts w:cstheme="minorHAnsi"/>
          <w:lang w:val="en-US"/>
        </w:rPr>
      </w:pPr>
      <w:r w:rsidRPr="003C6919">
        <w:rPr>
          <w:rFonts w:cstheme="minorHAnsi"/>
          <w:lang w:val="en-US"/>
        </w:rPr>
        <w:t xml:space="preserve">Step 1: </w:t>
      </w:r>
    </w:p>
    <w:p w:rsidR="00821C17" w:rsidRPr="003C6919" w:rsidRDefault="00821C17" w:rsidP="00821C17">
      <w:pPr>
        <w:rPr>
          <w:rFonts w:cstheme="minorHAnsi"/>
          <w:lang w:val="en-US"/>
        </w:rPr>
      </w:pPr>
      <w:r w:rsidRPr="003C6919">
        <w:rPr>
          <w:rFonts w:cstheme="minorHAnsi"/>
          <w:lang w:val="en-US"/>
        </w:rPr>
        <w:t xml:space="preserve">Determine the estimated medication coverage days for </w:t>
      </w:r>
      <w:r w:rsidRPr="003C6919">
        <w:rPr>
          <w:rFonts w:cstheme="minorHAnsi"/>
          <w:b/>
          <w:lang w:val="en-US"/>
        </w:rPr>
        <w:t>each</w:t>
      </w:r>
      <w:r w:rsidRPr="003C6919">
        <w:rPr>
          <w:rFonts w:cstheme="minorHAnsi"/>
          <w:lang w:val="en-US"/>
        </w:rPr>
        <w:t xml:space="preserve"> drug or drug group. </w:t>
      </w:r>
    </w:p>
    <w:p w:rsidR="00821C17" w:rsidRPr="003C6919" w:rsidRDefault="00821C17" w:rsidP="00821C17">
      <w:pPr>
        <w:rPr>
          <w:rFonts w:cstheme="minorHAnsi"/>
          <w:lang w:val="en-US"/>
        </w:rPr>
      </w:pPr>
      <w:r w:rsidRPr="003C6919">
        <w:rPr>
          <w:rFonts w:cstheme="minorHAnsi"/>
          <w:lang w:val="en-US"/>
        </w:rPr>
        <w:t>This mainly involves detecting breaks in treatment</w:t>
      </w:r>
      <w:r>
        <w:rPr>
          <w:rFonts w:cstheme="minorHAnsi"/>
          <w:lang w:val="en-US"/>
        </w:rPr>
        <w:t>. T</w:t>
      </w:r>
      <w:r w:rsidRPr="003C6919">
        <w:rPr>
          <w:rFonts w:cstheme="minorHAnsi"/>
          <w:lang w:val="en-US"/>
        </w:rPr>
        <w:t xml:space="preserve">he outcome is the start and estimated end date for each episode of treatment for each drug or drug group. </w:t>
      </w:r>
    </w:p>
    <w:p w:rsidR="00821C17" w:rsidRPr="003C6919" w:rsidRDefault="00821C17" w:rsidP="00821C17">
      <w:pPr>
        <w:rPr>
          <w:rFonts w:cstheme="minorHAnsi"/>
          <w:lang w:val="en-US"/>
        </w:rPr>
      </w:pPr>
      <w:r w:rsidRPr="003C6919">
        <w:rPr>
          <w:rFonts w:cstheme="minorHAnsi"/>
          <w:lang w:val="en-US"/>
        </w:rPr>
        <w:t xml:space="preserve">Step 2: </w:t>
      </w:r>
    </w:p>
    <w:p w:rsidR="00821C17" w:rsidRPr="003C6919" w:rsidRDefault="00821C17" w:rsidP="00821C17">
      <w:pPr>
        <w:rPr>
          <w:rFonts w:cstheme="minorHAnsi"/>
          <w:lang w:val="en-US"/>
        </w:rPr>
      </w:pPr>
      <w:r w:rsidRPr="003C6919">
        <w:rPr>
          <w:rFonts w:cstheme="minorHAnsi"/>
          <w:lang w:val="en-US"/>
        </w:rPr>
        <w:t xml:space="preserve">Determine the estimated medication coverage days </w:t>
      </w:r>
      <w:r w:rsidRPr="003C6919">
        <w:rPr>
          <w:rFonts w:cstheme="minorHAnsi"/>
          <w:b/>
          <w:lang w:val="en-US"/>
        </w:rPr>
        <w:t>across all</w:t>
      </w:r>
      <w:r w:rsidRPr="003C6919">
        <w:rPr>
          <w:rFonts w:cstheme="minorHAnsi"/>
          <w:lang w:val="en-US"/>
        </w:rPr>
        <w:t xml:space="preserve"> drug and drug group episodes defined in Step 1. The outcome is an estimated treatment regimen for each patient for every day in the data period. </w:t>
      </w:r>
    </w:p>
    <w:p w:rsidR="00821C17" w:rsidRPr="003C6919" w:rsidRDefault="00821C17" w:rsidP="00821C17">
      <w:pPr>
        <w:rPr>
          <w:rFonts w:cstheme="minorHAnsi"/>
          <w:lang w:val="en-US"/>
        </w:rPr>
      </w:pPr>
      <w:r w:rsidRPr="003C6919">
        <w:rPr>
          <w:rFonts w:cstheme="minorHAnsi"/>
          <w:lang w:val="en-US"/>
        </w:rPr>
        <w:t xml:space="preserve">Similar methods have been used for assessing medicine use in Australian </w:t>
      </w:r>
      <w:proofErr w:type="gramStart"/>
      <w:r w:rsidRPr="003C6919">
        <w:rPr>
          <w:rFonts w:cstheme="minorHAnsi"/>
          <w:lang w:val="en-US"/>
        </w:rPr>
        <w:t>populations.</w:t>
      </w:r>
      <w:r w:rsidRPr="003C6919">
        <w:rPr>
          <w:rStyle w:val="FootnoteReference"/>
          <w:rFonts w:cstheme="minorHAnsi"/>
          <w:lang w:val="en-US"/>
        </w:rPr>
        <w:footnoteReference w:id="4"/>
      </w:r>
      <w:r w:rsidRPr="003C6919">
        <w:rPr>
          <w:rFonts w:cstheme="minorHAnsi"/>
          <w:vertAlign w:val="superscript"/>
          <w:lang w:val="en-US"/>
        </w:rPr>
        <w:t>,</w:t>
      </w:r>
      <w:proofErr w:type="gramEnd"/>
      <w:r w:rsidRPr="003C6919">
        <w:rPr>
          <w:rStyle w:val="FootnoteReference"/>
          <w:rFonts w:cstheme="minorHAnsi"/>
          <w:lang w:val="en-US"/>
        </w:rPr>
        <w:footnoteReference w:id="5"/>
      </w:r>
      <w:r w:rsidRPr="003C6919">
        <w:rPr>
          <w:rFonts w:cstheme="minorHAnsi"/>
          <w:lang w:val="en-US"/>
        </w:rPr>
        <w:t xml:space="preserve"> </w:t>
      </w:r>
      <w:proofErr w:type="spellStart"/>
      <w:r w:rsidRPr="003C6919">
        <w:rPr>
          <w:rFonts w:cstheme="minorHAnsi"/>
          <w:lang w:val="en-US"/>
        </w:rPr>
        <w:t>Hallas</w:t>
      </w:r>
      <w:proofErr w:type="spellEnd"/>
      <w:r w:rsidRPr="003C6919">
        <w:rPr>
          <w:rStyle w:val="FootnoteReference"/>
          <w:rFonts w:cstheme="minorHAnsi"/>
          <w:lang w:val="en-US"/>
        </w:rPr>
        <w:footnoteReference w:id="6"/>
      </w:r>
      <w:r w:rsidRPr="003C6919">
        <w:rPr>
          <w:rFonts w:cstheme="minorHAnsi"/>
          <w:lang w:val="en-US"/>
        </w:rPr>
        <w:t xml:space="preserve"> describes the method and provides references to early variants. </w:t>
      </w:r>
    </w:p>
    <w:p w:rsidR="00821C17" w:rsidRPr="003C6919" w:rsidRDefault="00821C17" w:rsidP="00821C17">
      <w:pPr>
        <w:rPr>
          <w:rFonts w:cstheme="minorHAnsi"/>
        </w:rPr>
      </w:pPr>
      <w:r>
        <w:rPr>
          <w:rFonts w:cstheme="minorHAnsi"/>
        </w:rPr>
        <w:t>Figure B.</w:t>
      </w:r>
      <w:r w:rsidRPr="003C6919">
        <w:rPr>
          <w:rFonts w:cstheme="minorHAnsi"/>
        </w:rPr>
        <w:t>1 illustrates the method specified above.</w:t>
      </w:r>
      <w:r>
        <w:rPr>
          <w:rFonts w:cstheme="minorHAnsi"/>
        </w:rPr>
        <w:t xml:space="preserve"> </w:t>
      </w:r>
      <w:r w:rsidRPr="003C6919">
        <w:rPr>
          <w:rFonts w:cstheme="minorHAnsi"/>
        </w:rPr>
        <w:t xml:space="preserve">The standard coverage days (SCD) for each drug A, B &amp; C have been shortened to 5 days to enable the figure to fit on one page. The Step 1 process results in the production of the episodes (pink bars) and the Step 2 process results in the production of the treatment regimen (blue bar). The days in this illustration are days from initiation (applicable to an incident patient analysis) but they can also be calendar days (applicable to a prevalent patient analysis). </w:t>
      </w:r>
    </w:p>
    <w:p w:rsidR="00821C17" w:rsidRPr="003C6919" w:rsidRDefault="00821C17" w:rsidP="00821C17">
      <w:pPr>
        <w:rPr>
          <w:rFonts w:cstheme="minorHAnsi"/>
        </w:rPr>
      </w:pPr>
      <w:r w:rsidRPr="003C6919">
        <w:rPr>
          <w:rFonts w:cstheme="minorHAnsi"/>
        </w:rPr>
        <w:t>In this illustration, a break in treatment is defined as a coverage gap of 2 or more SCDs (i.e. the patient has not received re-supply at two consecutive expected refill dates.  The first gap in drug A coverage (from days -39 to -35) is not deemed to be a break in the drug A Episode 1 as the estimated gap in coverage is only 1 x SCD. The 2</w:t>
      </w:r>
      <w:r w:rsidRPr="003C6919">
        <w:rPr>
          <w:rFonts w:cstheme="minorHAnsi"/>
          <w:vertAlign w:val="superscript"/>
        </w:rPr>
        <w:t>nd</w:t>
      </w:r>
      <w:r w:rsidRPr="003C6919">
        <w:rPr>
          <w:rFonts w:cstheme="minorHAnsi"/>
        </w:rPr>
        <w:t xml:space="preserve"> gap in drug A coverage from days -29 to -20 is deemed to be a break in treatment and the end of Episode 1 because the gap in estimated coverage is 2 x SCD.</w:t>
      </w:r>
    </w:p>
    <w:p w:rsidR="00821C17" w:rsidRPr="003C6919" w:rsidRDefault="00821C17" w:rsidP="00821C17">
      <w:pPr>
        <w:rPr>
          <w:rFonts w:cstheme="minorHAnsi"/>
        </w:rPr>
      </w:pPr>
      <w:r w:rsidRPr="003C6919">
        <w:rPr>
          <w:rFonts w:cstheme="minorHAnsi"/>
        </w:rPr>
        <w:t xml:space="preserve">The two prescriptions for drug B supplied on day -9 are interpreted as dose escalation of drug B, if each prescription is for a different strength. The two prescriptions are deemed to </w:t>
      </w:r>
      <w:r w:rsidRPr="003C6919">
        <w:rPr>
          <w:rFonts w:cstheme="minorHAnsi"/>
        </w:rPr>
        <w:lastRenderedPageBreak/>
        <w:t>be necessary to supply one SCD period and not used to extend the drug coverage period. If each prescription of drug B were for the same strength then this would be interpreted as “stockpiling” and assumed to extend the drug coverage period (see Details of Methodology below for details)</w:t>
      </w:r>
    </w:p>
    <w:p w:rsidR="00821C17" w:rsidRPr="003C6919" w:rsidRDefault="00821C17" w:rsidP="00821C17">
      <w:pPr>
        <w:rPr>
          <w:rFonts w:cstheme="minorHAnsi"/>
        </w:rPr>
      </w:pPr>
      <w:r w:rsidRPr="003C6919">
        <w:rPr>
          <w:rFonts w:cstheme="minorHAnsi"/>
        </w:rPr>
        <w:t>Drug C is a 3</w:t>
      </w:r>
      <w:r w:rsidRPr="003C6919">
        <w:rPr>
          <w:rFonts w:cstheme="minorHAnsi"/>
          <w:vertAlign w:val="superscript"/>
        </w:rPr>
        <w:t>rd</w:t>
      </w:r>
      <w:r w:rsidRPr="003C6919">
        <w:rPr>
          <w:rFonts w:cstheme="minorHAnsi"/>
        </w:rPr>
        <w:t xml:space="preserve"> line agent and initiated on day 0 (by definition).  The basic method imputes a short period of B+C, but a refinement of the method includes the calculation of an adjusted treatment regimen which removes short periods of overlap when it is likely that a switch has occurred before prior medicine is deemed to be fully used.</w:t>
      </w:r>
    </w:p>
    <w:p w:rsidR="00821C17" w:rsidRPr="005E6C3B" w:rsidRDefault="00821C17" w:rsidP="00821C17">
      <w:pPr>
        <w:rPr>
          <w:rFonts w:cstheme="minorHAnsi"/>
        </w:rPr>
      </w:pPr>
      <w:r w:rsidRPr="003C6919">
        <w:rPr>
          <w:rFonts w:cstheme="minorHAnsi"/>
        </w:rPr>
        <w:t xml:space="preserve">The final method for estimating the drug treatment regimen includes several refinements which are </w:t>
      </w:r>
      <w:r w:rsidRPr="005E6C3B">
        <w:rPr>
          <w:rFonts w:cstheme="minorHAnsi"/>
        </w:rPr>
        <w:t>explained in below.  Briefly they are:</w:t>
      </w:r>
    </w:p>
    <w:p w:rsidR="00821C17" w:rsidRPr="005E6C3B" w:rsidRDefault="00821C17" w:rsidP="00821C17">
      <w:pPr>
        <w:pStyle w:val="ListParagraph"/>
        <w:numPr>
          <w:ilvl w:val="0"/>
          <w:numId w:val="18"/>
        </w:numPr>
        <w:spacing w:after="0"/>
        <w:ind w:left="567" w:hanging="567"/>
        <w:rPr>
          <w:rFonts w:cstheme="minorHAnsi"/>
        </w:rPr>
      </w:pPr>
      <w:r w:rsidRPr="005E6C3B">
        <w:rPr>
          <w:rFonts w:cstheme="minorHAnsi"/>
        </w:rPr>
        <w:t>Calculation of the treatment regimen on a weekly rather than daily basis.</w:t>
      </w:r>
    </w:p>
    <w:p w:rsidR="00821C17" w:rsidRPr="005E6C3B" w:rsidRDefault="00821C17" w:rsidP="00821C17">
      <w:pPr>
        <w:pStyle w:val="ListParagraph"/>
        <w:numPr>
          <w:ilvl w:val="0"/>
          <w:numId w:val="18"/>
        </w:numPr>
        <w:spacing w:after="0"/>
        <w:ind w:left="567" w:hanging="567"/>
        <w:rPr>
          <w:rFonts w:cstheme="minorHAnsi"/>
        </w:rPr>
      </w:pPr>
      <w:r w:rsidRPr="005E6C3B">
        <w:rPr>
          <w:rFonts w:cstheme="minorHAnsi"/>
        </w:rPr>
        <w:t>Calculation of drug treatment regimen transitions – including an adjustment to allow for switching when the prior medication is not fully used.</w:t>
      </w:r>
    </w:p>
    <w:p w:rsidR="00821C17" w:rsidRPr="005E6C3B" w:rsidRDefault="00821C17" w:rsidP="00821C17">
      <w:pPr>
        <w:pStyle w:val="ListParagraph"/>
        <w:numPr>
          <w:ilvl w:val="0"/>
          <w:numId w:val="18"/>
        </w:numPr>
        <w:spacing w:after="0"/>
        <w:ind w:left="567" w:hanging="567"/>
        <w:rPr>
          <w:rFonts w:cstheme="minorHAnsi"/>
        </w:rPr>
      </w:pPr>
      <w:r w:rsidRPr="005E6C3B">
        <w:rPr>
          <w:rFonts w:cstheme="minorHAnsi"/>
        </w:rPr>
        <w:t>Adjustment to allow for stockpiling of medication, both same-day supply and supplies on different days.</w:t>
      </w:r>
    </w:p>
    <w:p w:rsidR="00821C17" w:rsidRDefault="00821C17" w:rsidP="00821C17">
      <w:pPr>
        <w:pStyle w:val="ListParagraph"/>
        <w:numPr>
          <w:ilvl w:val="0"/>
          <w:numId w:val="18"/>
        </w:numPr>
        <w:spacing w:after="0"/>
        <w:ind w:left="567" w:hanging="567"/>
        <w:rPr>
          <w:rFonts w:cstheme="minorHAnsi"/>
        </w:rPr>
      </w:pPr>
      <w:r w:rsidRPr="005E6C3B">
        <w:rPr>
          <w:rFonts w:cstheme="minorHAnsi"/>
        </w:rPr>
        <w:t xml:space="preserve">Change in the rules for </w:t>
      </w:r>
      <w:r>
        <w:rPr>
          <w:rFonts w:cstheme="minorHAnsi"/>
        </w:rPr>
        <w:t>prescriptions</w:t>
      </w:r>
      <w:r w:rsidRPr="005E6C3B">
        <w:rPr>
          <w:rFonts w:cstheme="minorHAnsi"/>
        </w:rPr>
        <w:t xml:space="preserve"> whose coverage spans the initiation data</w:t>
      </w:r>
      <w:r>
        <w:rPr>
          <w:rFonts w:cstheme="minorHAnsi"/>
        </w:rPr>
        <w:t>;</w:t>
      </w:r>
      <w:r>
        <w:rPr>
          <w:rFonts w:cstheme="minorHAnsi"/>
        </w:rPr>
        <w:br/>
        <w:t>- removal of stockpiling rule</w:t>
      </w:r>
    </w:p>
    <w:p w:rsidR="00821C17" w:rsidRDefault="00821C17" w:rsidP="00821C17">
      <w:pPr>
        <w:pStyle w:val="ListParagraph"/>
        <w:numPr>
          <w:ilvl w:val="0"/>
          <w:numId w:val="18"/>
        </w:numPr>
        <w:spacing w:after="0"/>
        <w:ind w:left="567" w:hanging="567"/>
        <w:rPr>
          <w:rFonts w:cstheme="minorHAnsi"/>
        </w:rPr>
      </w:pPr>
      <w:r w:rsidRPr="004E05E6">
        <w:rPr>
          <w:rFonts w:cstheme="minorHAnsi"/>
        </w:rPr>
        <w:t>Estimating if a patient is continuing or stopping after their last script</w:t>
      </w:r>
    </w:p>
    <w:p w:rsidR="00821C17" w:rsidRDefault="00821C17" w:rsidP="00821C17">
      <w:pPr>
        <w:spacing w:after="0"/>
        <w:rPr>
          <w:rFonts w:cstheme="minorHAnsi"/>
        </w:rPr>
        <w:sectPr w:rsidR="00821C17" w:rsidSect="0080335A">
          <w:footerReference w:type="default" r:id="rId13"/>
          <w:headerReference w:type="first" r:id="rId14"/>
          <w:footerReference w:type="first" r:id="rId15"/>
          <w:pgSz w:w="11906" w:h="16838"/>
          <w:pgMar w:top="1644" w:right="1361" w:bottom="1644" w:left="1588" w:header="709" w:footer="709" w:gutter="0"/>
          <w:cols w:space="708"/>
          <w:docGrid w:linePitch="360"/>
        </w:sectPr>
      </w:pPr>
    </w:p>
    <w:p w:rsidR="00821C17" w:rsidRPr="003C6919" w:rsidRDefault="00821C17" w:rsidP="00821C17">
      <w:pPr>
        <w:rPr>
          <w:rFonts w:cstheme="minorHAnsi"/>
        </w:rPr>
      </w:pPr>
      <w:r w:rsidRPr="003C6919">
        <w:rPr>
          <w:rFonts w:cstheme="minorHAnsi"/>
          <w:noProof/>
        </w:rPr>
        <w:lastRenderedPageBreak/>
        <w:drawing>
          <wp:inline distT="0" distB="0" distL="0" distR="0" wp14:anchorId="1BEC6C15" wp14:editId="57FB24EA">
            <wp:extent cx="8800077" cy="2937314"/>
            <wp:effectExtent l="0" t="0" r="1270" b="0"/>
            <wp:docPr id="2" name="Picture 2" title="Figure A1 is a diagrammatic representation of the methodlogy that was used to determine treatment regi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825023" cy="2945641"/>
                    </a:xfrm>
                    <a:prstGeom prst="rect">
                      <a:avLst/>
                    </a:prstGeom>
                    <a:noFill/>
                    <a:ln>
                      <a:noFill/>
                    </a:ln>
                  </pic:spPr>
                </pic:pic>
              </a:graphicData>
            </a:graphic>
          </wp:inline>
        </w:drawing>
      </w:r>
    </w:p>
    <w:p w:rsidR="00821C17" w:rsidRPr="006A525B" w:rsidRDefault="00821C17" w:rsidP="00821C17">
      <w:pPr>
        <w:pStyle w:val="Tabletitle"/>
        <w:rPr>
          <w:i w:val="0"/>
          <w:sz w:val="24"/>
          <w:lang w:val="en-US"/>
        </w:rPr>
        <w:sectPr w:rsidR="00821C17" w:rsidRPr="006A525B" w:rsidSect="0080335A">
          <w:headerReference w:type="default" r:id="rId17"/>
          <w:footerReference w:type="default" r:id="rId18"/>
          <w:pgSz w:w="16838" w:h="11906" w:orient="landscape" w:code="9"/>
          <w:pgMar w:top="1644" w:right="1361" w:bottom="1644" w:left="1588" w:header="708" w:footer="708" w:gutter="0"/>
          <w:cols w:space="708"/>
          <w:docGrid w:linePitch="360"/>
        </w:sectPr>
      </w:pPr>
      <w:r w:rsidRPr="006A525B">
        <w:rPr>
          <w:i w:val="0"/>
          <w:sz w:val="24"/>
          <w:lang w:val="en-US"/>
        </w:rPr>
        <w:t>Figure B.1 Diagrammatic representation of the methodology used to determine treatment regimen</w:t>
      </w:r>
    </w:p>
    <w:p w:rsidR="00821C17" w:rsidRPr="0038176D" w:rsidRDefault="00821C17" w:rsidP="0038176D">
      <w:pPr>
        <w:pStyle w:val="Heading3"/>
        <w:rPr>
          <w:lang w:val="en-US"/>
        </w:rPr>
      </w:pPr>
      <w:r w:rsidRPr="0038176D">
        <w:rPr>
          <w:lang w:val="en-US"/>
        </w:rPr>
        <w:lastRenderedPageBreak/>
        <w:t>Details of Methodology</w:t>
      </w:r>
    </w:p>
    <w:p w:rsidR="00821C17" w:rsidRPr="00C52D77" w:rsidRDefault="00821C17" w:rsidP="00821C17">
      <w:pPr>
        <w:rPr>
          <w:rFonts w:cstheme="minorHAnsi"/>
          <w:b/>
        </w:rPr>
      </w:pPr>
      <w:r w:rsidRPr="00C52D77">
        <w:rPr>
          <w:rFonts w:cstheme="minorHAnsi"/>
          <w:b/>
        </w:rPr>
        <w:t>1.</w:t>
      </w:r>
      <w:r w:rsidRPr="00C52D77">
        <w:rPr>
          <w:rFonts w:cstheme="minorHAnsi"/>
          <w:b/>
        </w:rPr>
        <w:tab/>
        <w:t>Calcu</w:t>
      </w:r>
      <w:r>
        <w:rPr>
          <w:rFonts w:cstheme="minorHAnsi"/>
          <w:b/>
        </w:rPr>
        <w:t>lation of the treatment regimen</w:t>
      </w:r>
    </w:p>
    <w:p w:rsidR="00821C17" w:rsidRPr="00C52D77" w:rsidRDefault="00821C17" w:rsidP="00821C17">
      <w:r w:rsidRPr="00C52D77">
        <w:t>Drug treatment regimens are estimated from prescription supply dates in the following way;</w:t>
      </w:r>
    </w:p>
    <w:p w:rsidR="00821C17" w:rsidRPr="00C52D77" w:rsidRDefault="00821C17" w:rsidP="00821C17">
      <w:r w:rsidRPr="00C52D77">
        <w:t xml:space="preserve">Step 1: </w:t>
      </w:r>
    </w:p>
    <w:p w:rsidR="00821C17" w:rsidRPr="00C52D77" w:rsidRDefault="00821C17" w:rsidP="00821C17">
      <w:r w:rsidRPr="00C52D77">
        <w:t xml:space="preserve">Determine the estimated medication coverage days for </w:t>
      </w:r>
      <w:r w:rsidRPr="002717D1">
        <w:rPr>
          <w:b/>
        </w:rPr>
        <w:t>each</w:t>
      </w:r>
      <w:r w:rsidRPr="00C52D77">
        <w:t xml:space="preserve"> drug or drug group. </w:t>
      </w:r>
    </w:p>
    <w:p w:rsidR="00821C17" w:rsidRPr="00C52D77" w:rsidRDefault="00821C17" w:rsidP="00821C17">
      <w:r w:rsidRPr="00C52D77">
        <w:t xml:space="preserve">This mainly involves detecting breaks in treatment. The outcome is the start and estimated end date for each episode for each drug or drug group. </w:t>
      </w:r>
    </w:p>
    <w:p w:rsidR="00821C17" w:rsidRPr="00C52D77" w:rsidRDefault="00821C17" w:rsidP="00821C17">
      <w:r w:rsidRPr="00C52D77">
        <w:t xml:space="preserve">Step 2: </w:t>
      </w:r>
    </w:p>
    <w:p w:rsidR="00821C17" w:rsidRPr="00C52D77" w:rsidRDefault="00821C17" w:rsidP="00821C17">
      <w:r w:rsidRPr="00C52D77">
        <w:t xml:space="preserve">Determine the estimated medication coverage days </w:t>
      </w:r>
      <w:r w:rsidRPr="002717D1">
        <w:rPr>
          <w:b/>
        </w:rPr>
        <w:t>across</w:t>
      </w:r>
      <w:r w:rsidRPr="00700670">
        <w:rPr>
          <w:b/>
        </w:rPr>
        <w:t xml:space="preserve"> all</w:t>
      </w:r>
      <w:r w:rsidRPr="00C52D77">
        <w:t xml:space="preserve"> drug and drug group episodes defined in Step 1. The outcome is an estimated treatment regimen for each patient for every day in the data period. </w:t>
      </w:r>
    </w:p>
    <w:p w:rsidR="00821C17" w:rsidRDefault="00821C17" w:rsidP="00821C17">
      <w:r w:rsidRPr="00C52D77">
        <w:t>Step 2 above was modified so that the treatment regimen was estimated on a weekly rather than daily basis. This modification was deemed necessary to keep the data volume at a manageable level. This modification means that if the a medication coverage start date falls in a particular calendar week (for prevalent patient analysis)  or week since initiation (for initiation analysis) then the medication is deemed to cover that week. The same rule was applied to the medication coverage end date.</w:t>
      </w:r>
    </w:p>
    <w:p w:rsidR="00821C17" w:rsidRPr="003251AF" w:rsidRDefault="00821C17" w:rsidP="00821C17">
      <w:pPr>
        <w:rPr>
          <w:b/>
        </w:rPr>
      </w:pPr>
      <w:r w:rsidRPr="003251AF">
        <w:rPr>
          <w:b/>
        </w:rPr>
        <w:t>2.</w:t>
      </w:r>
      <w:r w:rsidRPr="003251AF">
        <w:rPr>
          <w:b/>
        </w:rPr>
        <w:tab/>
        <w:t>Drug regimen transitions - including an adjustment to allow for switching when the prior medication is not fully used</w:t>
      </w:r>
    </w:p>
    <w:p w:rsidR="00821C17" w:rsidRDefault="00821C17" w:rsidP="00821C17">
      <w:r>
        <w:t xml:space="preserve">Once estimated drug regimens have been determined for every week, </w:t>
      </w:r>
      <w:proofErr w:type="gramStart"/>
      <w:r>
        <w:t>then</w:t>
      </w:r>
      <w:proofErr w:type="gramEnd"/>
      <w:r>
        <w:t xml:space="preserve"> transitions can be computed.</w:t>
      </w:r>
    </w:p>
    <w:p w:rsidR="00821C17" w:rsidRDefault="00821C17" w:rsidP="00821C17">
      <w:r>
        <w:t xml:space="preserve">These are useful for determining patient behaviour upon initiation of a drug; e.g. </w:t>
      </w:r>
      <w:proofErr w:type="gramStart"/>
      <w:r>
        <w:t>A</w:t>
      </w:r>
      <w:proofErr w:type="gramEnd"/>
      <w:r w:rsidRPr="005E6C3B">
        <w:rPr>
          <w:rFonts w:cstheme="minorHAnsi"/>
          <w:lang w:val="en-US"/>
        </w:rPr>
        <w:sym w:font="Wingdings" w:char="F0E0"/>
      </w:r>
      <w:r>
        <w:t>A+B (adding to existing therapy), A</w:t>
      </w:r>
      <w:r w:rsidRPr="005E6C3B">
        <w:rPr>
          <w:rFonts w:cstheme="minorHAnsi"/>
          <w:lang w:val="en-US"/>
        </w:rPr>
        <w:sym w:font="Wingdings" w:char="F0E0"/>
      </w:r>
      <w:r>
        <w:t>B (switching) or None</w:t>
      </w:r>
      <w:r w:rsidRPr="005E6C3B">
        <w:rPr>
          <w:rFonts w:cstheme="minorHAnsi"/>
          <w:lang w:val="en-US"/>
        </w:rPr>
        <w:sym w:font="Wingdings" w:char="F0E0"/>
      </w:r>
      <w:r>
        <w:t>A (starting therapy).</w:t>
      </w:r>
    </w:p>
    <w:p w:rsidR="00821C17" w:rsidRPr="005E6C3B" w:rsidRDefault="00821C17" w:rsidP="00821C17">
      <w:pPr>
        <w:rPr>
          <w:rFonts w:cstheme="minorHAnsi"/>
          <w:lang w:val="en-US"/>
        </w:rPr>
      </w:pPr>
      <w:r w:rsidRPr="005E6C3B">
        <w:rPr>
          <w:rFonts w:cstheme="minorHAnsi"/>
          <w:lang w:val="en-US"/>
        </w:rPr>
        <w:t>The transitions can be;</w:t>
      </w:r>
    </w:p>
    <w:p w:rsidR="00821C17" w:rsidRPr="005E6C3B" w:rsidRDefault="00821C17" w:rsidP="00821C17">
      <w:pPr>
        <w:pStyle w:val="ListParagraph"/>
        <w:numPr>
          <w:ilvl w:val="0"/>
          <w:numId w:val="19"/>
        </w:numPr>
        <w:spacing w:after="0"/>
        <w:rPr>
          <w:rFonts w:cstheme="minorHAnsi"/>
          <w:lang w:val="en-US"/>
        </w:rPr>
      </w:pPr>
      <w:r w:rsidRPr="005E6C3B">
        <w:rPr>
          <w:rFonts w:cstheme="minorHAnsi"/>
          <w:lang w:val="en-US"/>
        </w:rPr>
        <w:t xml:space="preserve">previous drug regimen </w:t>
      </w:r>
      <w:r w:rsidRPr="005E6C3B">
        <w:rPr>
          <w:rFonts w:cstheme="minorHAnsi"/>
          <w:lang w:val="en-US"/>
        </w:rPr>
        <w:sym w:font="Wingdings" w:char="F0E0"/>
      </w:r>
      <w:r w:rsidRPr="005E6C3B">
        <w:rPr>
          <w:rFonts w:cstheme="minorHAnsi"/>
          <w:lang w:val="en-US"/>
        </w:rPr>
        <w:t>drug regimen at week x, or</w:t>
      </w:r>
    </w:p>
    <w:p w:rsidR="00821C17" w:rsidRPr="00CC7E61" w:rsidRDefault="00821C17" w:rsidP="00821C17">
      <w:pPr>
        <w:pStyle w:val="ListParagraph"/>
        <w:numPr>
          <w:ilvl w:val="0"/>
          <w:numId w:val="19"/>
        </w:numPr>
        <w:rPr>
          <w:rFonts w:cstheme="minorHAnsi"/>
          <w:lang w:val="en-US"/>
        </w:rPr>
      </w:pPr>
      <w:r w:rsidRPr="00CC7E61">
        <w:rPr>
          <w:rFonts w:cstheme="minorHAnsi"/>
          <w:lang w:val="en-US"/>
        </w:rPr>
        <w:t>drug regimen at w</w:t>
      </w:r>
      <w:r>
        <w:rPr>
          <w:rFonts w:cstheme="minorHAnsi"/>
          <w:lang w:val="en-US"/>
        </w:rPr>
        <w:t xml:space="preserve">eek -1 </w:t>
      </w:r>
      <w:r w:rsidRPr="005E6C3B">
        <w:rPr>
          <w:rFonts w:cstheme="minorHAnsi"/>
          <w:lang w:val="en-US"/>
        </w:rPr>
        <w:sym w:font="Wingdings" w:char="F0E0"/>
      </w:r>
      <w:r w:rsidRPr="00CC7E61">
        <w:rPr>
          <w:rFonts w:cstheme="minorHAnsi"/>
          <w:lang w:val="en-US"/>
        </w:rPr>
        <w:t>drug regimen at week x</w:t>
      </w:r>
    </w:p>
    <w:p w:rsidR="00821C17" w:rsidRPr="005E6C3B" w:rsidRDefault="00821C17" w:rsidP="00821C17">
      <w:pPr>
        <w:rPr>
          <w:rFonts w:cstheme="minorHAnsi"/>
          <w:lang w:val="en-US"/>
        </w:rPr>
      </w:pPr>
      <w:r w:rsidRPr="005E6C3B">
        <w:rPr>
          <w:rFonts w:cstheme="minorHAnsi"/>
          <w:lang w:val="en-US"/>
        </w:rPr>
        <w:t xml:space="preserve">Option A has the advantage that it can be calculated at any week, whereas Option B can only be calculated after initiation (i.e. from week 0). The main advantages of Option B are that it can easily be used to adjust the drug regimen in the first few weeks after initiation to allow for switching when the prior medication is not fully used. That is, if a patient switches from A to B, in the first few weeks after initiation to drug B the drug regimen may be incorrectly estimated to be A+B if the patient still has drug A “on hand” (i.e. some is unused) when drug B is initiated. </w:t>
      </w:r>
    </w:p>
    <w:p w:rsidR="00821C17" w:rsidRPr="005E6C3B" w:rsidRDefault="00821C17" w:rsidP="00821C17">
      <w:pPr>
        <w:rPr>
          <w:rFonts w:cstheme="minorHAnsi"/>
          <w:lang w:val="en-US"/>
        </w:rPr>
      </w:pPr>
      <w:r w:rsidRPr="005E6C3B">
        <w:rPr>
          <w:rFonts w:cstheme="minorHAnsi"/>
          <w:lang w:val="en-US"/>
        </w:rPr>
        <w:lastRenderedPageBreak/>
        <w:t>The regimen transitions are adjusted so that if a regimen transition corresponding to a switch (e.g. A</w:t>
      </w:r>
      <w:r w:rsidRPr="005E6C3B">
        <w:rPr>
          <w:rFonts w:cstheme="minorHAnsi"/>
          <w:lang w:val="en-US"/>
        </w:rPr>
        <w:sym w:font="Wingdings" w:char="F0E0"/>
      </w:r>
      <w:r w:rsidRPr="005E6C3B">
        <w:rPr>
          <w:rFonts w:cstheme="minorHAnsi"/>
          <w:lang w:val="en-US"/>
        </w:rPr>
        <w:t xml:space="preserve">B) is detected within the first </w:t>
      </w:r>
      <w:r>
        <w:rPr>
          <w:rFonts w:cstheme="minorHAnsi"/>
          <w:lang w:val="en-US"/>
        </w:rPr>
        <w:t>X</w:t>
      </w:r>
      <w:r w:rsidRPr="005E6C3B">
        <w:rPr>
          <w:rFonts w:cstheme="minorHAnsi"/>
          <w:lang w:val="en-US"/>
        </w:rPr>
        <w:t xml:space="preserve"> weeks after initiation (e.g. at week </w:t>
      </w:r>
      <w:r>
        <w:rPr>
          <w:rFonts w:cstheme="minorHAnsi"/>
          <w:lang w:val="en-US"/>
        </w:rPr>
        <w:t>Y</w:t>
      </w:r>
      <w:r w:rsidRPr="005E6C3B">
        <w:rPr>
          <w:rFonts w:cstheme="minorHAnsi"/>
          <w:lang w:val="en-US"/>
        </w:rPr>
        <w:t xml:space="preserve">), then all weeks between the initiation (i.e. week 0) and week </w:t>
      </w:r>
      <w:r>
        <w:rPr>
          <w:rFonts w:cstheme="minorHAnsi"/>
          <w:lang w:val="en-US"/>
        </w:rPr>
        <w:t>Y</w:t>
      </w:r>
      <w:r w:rsidRPr="005E6C3B">
        <w:rPr>
          <w:rFonts w:cstheme="minorHAnsi"/>
          <w:lang w:val="en-US"/>
        </w:rPr>
        <w:t xml:space="preserve"> are modified to the switch transition (i.e. A-B). This means some instances of "</w:t>
      </w:r>
      <w:proofErr w:type="gramStart"/>
      <w:r w:rsidRPr="005E6C3B">
        <w:rPr>
          <w:rFonts w:cstheme="minorHAnsi"/>
          <w:lang w:val="en-US"/>
        </w:rPr>
        <w:t>A</w:t>
      </w:r>
      <w:proofErr w:type="gramEnd"/>
      <w:r w:rsidRPr="005E6C3B">
        <w:rPr>
          <w:rFonts w:cstheme="minorHAnsi"/>
          <w:lang w:val="en-US"/>
        </w:rPr>
        <w:sym w:font="Wingdings" w:char="F0E0"/>
      </w:r>
      <w:r w:rsidRPr="005E6C3B">
        <w:rPr>
          <w:rFonts w:cstheme="minorHAnsi"/>
          <w:lang w:val="en-US"/>
        </w:rPr>
        <w:t>A+B" (apparent co-administration after a switch) are modified to "A</w:t>
      </w:r>
      <w:r w:rsidRPr="005E6C3B">
        <w:rPr>
          <w:rFonts w:cstheme="minorHAnsi"/>
          <w:lang w:val="en-US"/>
        </w:rPr>
        <w:sym w:font="Wingdings" w:char="F0E0"/>
      </w:r>
      <w:r w:rsidRPr="005E6C3B">
        <w:rPr>
          <w:rFonts w:cstheme="minorHAnsi"/>
          <w:lang w:val="en-US"/>
        </w:rPr>
        <w:t xml:space="preserve">B" from week 0 to week </w:t>
      </w:r>
      <w:r>
        <w:rPr>
          <w:rFonts w:cstheme="minorHAnsi"/>
          <w:lang w:val="en-US"/>
        </w:rPr>
        <w:t>Y</w:t>
      </w:r>
      <w:r w:rsidRPr="005E6C3B">
        <w:rPr>
          <w:rFonts w:cstheme="minorHAnsi"/>
          <w:lang w:val="en-US"/>
        </w:rPr>
        <w:t xml:space="preserve"> (where </w:t>
      </w:r>
      <w:r>
        <w:rPr>
          <w:rFonts w:cstheme="minorHAnsi"/>
          <w:lang w:val="en-US"/>
        </w:rPr>
        <w:t>Y</w:t>
      </w:r>
      <w:r w:rsidRPr="005E6C3B">
        <w:rPr>
          <w:rFonts w:cstheme="minorHAnsi"/>
          <w:lang w:val="en-US"/>
        </w:rPr>
        <w:t xml:space="preserve"> ≤</w:t>
      </w:r>
      <w:r>
        <w:rPr>
          <w:rFonts w:cstheme="minorHAnsi"/>
          <w:lang w:val="en-US"/>
        </w:rPr>
        <w:t xml:space="preserve"> X</w:t>
      </w:r>
      <w:r w:rsidRPr="005E6C3B">
        <w:rPr>
          <w:rFonts w:cstheme="minorHAnsi"/>
          <w:lang w:val="en-US"/>
        </w:rPr>
        <w:t>).</w:t>
      </w:r>
      <w:r>
        <w:rPr>
          <w:rFonts w:cstheme="minorHAnsi"/>
          <w:lang w:val="en-US"/>
        </w:rPr>
        <w:t xml:space="preserve"> The value of X is the 1 week + SCD (expressed in weeks) for the drug or drug group that is being substituted.</w:t>
      </w:r>
    </w:p>
    <w:p w:rsidR="00821C17" w:rsidRPr="005E6C3B" w:rsidRDefault="00821C17" w:rsidP="00821C17">
      <w:pPr>
        <w:rPr>
          <w:rFonts w:cstheme="minorHAnsi"/>
          <w:lang w:val="en-US"/>
        </w:rPr>
      </w:pPr>
      <w:r w:rsidRPr="005E6C3B">
        <w:rPr>
          <w:rFonts w:cstheme="minorHAnsi"/>
          <w:lang w:val="en-US"/>
        </w:rPr>
        <w:t xml:space="preserve">This means that if </w:t>
      </w:r>
      <w:r>
        <w:rPr>
          <w:rFonts w:cstheme="minorHAnsi"/>
          <w:lang w:val="en-US"/>
        </w:rPr>
        <w:t xml:space="preserve">a drug A </w:t>
      </w:r>
      <w:r w:rsidRPr="005E6C3B">
        <w:rPr>
          <w:rFonts w:cstheme="minorHAnsi"/>
          <w:lang w:val="en-US"/>
        </w:rPr>
        <w:t xml:space="preserve">was supplied 1 day before an initiation to </w:t>
      </w:r>
      <w:r>
        <w:rPr>
          <w:rFonts w:cstheme="minorHAnsi"/>
          <w:lang w:val="en-US"/>
        </w:rPr>
        <w:t>drug B</w:t>
      </w:r>
      <w:r w:rsidRPr="005E6C3B">
        <w:rPr>
          <w:rFonts w:cstheme="minorHAnsi"/>
          <w:lang w:val="en-US"/>
        </w:rPr>
        <w:t xml:space="preserve"> and then there were no further supplies of </w:t>
      </w:r>
      <w:r>
        <w:rPr>
          <w:rFonts w:cstheme="minorHAnsi"/>
          <w:lang w:val="en-US"/>
        </w:rPr>
        <w:t>drug A</w:t>
      </w:r>
      <w:r w:rsidRPr="005E6C3B">
        <w:rPr>
          <w:rFonts w:cstheme="minorHAnsi"/>
          <w:lang w:val="en-US"/>
        </w:rPr>
        <w:t xml:space="preserve">, then there would be apparent co-administration of </w:t>
      </w:r>
      <w:r>
        <w:rPr>
          <w:rFonts w:cstheme="minorHAnsi"/>
          <w:lang w:val="en-US"/>
        </w:rPr>
        <w:t>A</w:t>
      </w:r>
      <w:r w:rsidRPr="005E6C3B">
        <w:rPr>
          <w:rFonts w:cstheme="minorHAnsi"/>
          <w:lang w:val="en-US"/>
        </w:rPr>
        <w:t xml:space="preserve"> and </w:t>
      </w:r>
      <w:r>
        <w:rPr>
          <w:rFonts w:cstheme="minorHAnsi"/>
          <w:lang w:val="en-US"/>
        </w:rPr>
        <w:t>B</w:t>
      </w:r>
      <w:r w:rsidRPr="005E6C3B">
        <w:rPr>
          <w:rFonts w:cstheme="minorHAnsi"/>
          <w:lang w:val="en-US"/>
        </w:rPr>
        <w:t xml:space="preserve"> from week 0 to week </w:t>
      </w:r>
      <w:r>
        <w:rPr>
          <w:rFonts w:cstheme="minorHAnsi"/>
          <w:lang w:val="en-US"/>
        </w:rPr>
        <w:t xml:space="preserve">X-1 and </w:t>
      </w:r>
      <w:r w:rsidRPr="005E6C3B">
        <w:rPr>
          <w:rFonts w:cstheme="minorHAnsi"/>
          <w:lang w:val="en-US"/>
        </w:rPr>
        <w:t xml:space="preserve">in week </w:t>
      </w:r>
      <w:r>
        <w:rPr>
          <w:rFonts w:cstheme="minorHAnsi"/>
          <w:lang w:val="en-US"/>
        </w:rPr>
        <w:t>X</w:t>
      </w:r>
      <w:r w:rsidRPr="005E6C3B">
        <w:rPr>
          <w:rFonts w:cstheme="minorHAnsi"/>
          <w:lang w:val="en-US"/>
        </w:rPr>
        <w:t xml:space="preserve"> the drug regimen would be </w:t>
      </w:r>
      <w:r>
        <w:rPr>
          <w:rFonts w:cstheme="minorHAnsi"/>
          <w:lang w:val="en-US"/>
        </w:rPr>
        <w:t>drug B</w:t>
      </w:r>
      <w:r w:rsidRPr="005E6C3B">
        <w:rPr>
          <w:rFonts w:cstheme="minorHAnsi"/>
          <w:lang w:val="en-US"/>
        </w:rPr>
        <w:t xml:space="preserve"> only and considered a switch</w:t>
      </w:r>
      <w:r>
        <w:rPr>
          <w:rFonts w:cstheme="minorHAnsi"/>
          <w:lang w:val="en-US"/>
        </w:rPr>
        <w:t>. Thus the regimens from weeks 0 to X-1 would be modified to be dug B only</w:t>
      </w:r>
      <w:r w:rsidRPr="005E6C3B">
        <w:rPr>
          <w:rFonts w:cstheme="minorHAnsi"/>
          <w:lang w:val="en-US"/>
        </w:rPr>
        <w:t xml:space="preserve">. If a switch is first detected in week </w:t>
      </w:r>
      <w:r>
        <w:rPr>
          <w:rFonts w:cstheme="minorHAnsi"/>
          <w:lang w:val="en-US"/>
        </w:rPr>
        <w:t xml:space="preserve">X +1 </w:t>
      </w:r>
      <w:r w:rsidRPr="005E6C3B">
        <w:rPr>
          <w:rFonts w:cstheme="minorHAnsi"/>
          <w:lang w:val="en-US"/>
        </w:rPr>
        <w:t xml:space="preserve">then the </w:t>
      </w:r>
      <w:r>
        <w:rPr>
          <w:rFonts w:cstheme="minorHAnsi"/>
          <w:lang w:val="en-US"/>
        </w:rPr>
        <w:t xml:space="preserve">A </w:t>
      </w:r>
      <w:r w:rsidRPr="005E6C3B">
        <w:rPr>
          <w:rFonts w:cstheme="minorHAnsi"/>
          <w:lang w:val="en-US"/>
        </w:rPr>
        <w:t xml:space="preserve">script would have been supplied in week 0 (i.e. at or after initiation to </w:t>
      </w:r>
      <w:r>
        <w:rPr>
          <w:rFonts w:cstheme="minorHAnsi"/>
          <w:lang w:val="en-US"/>
        </w:rPr>
        <w:t>drug B</w:t>
      </w:r>
      <w:r w:rsidRPr="005E6C3B">
        <w:rPr>
          <w:rFonts w:cstheme="minorHAnsi"/>
          <w:lang w:val="en-US"/>
        </w:rPr>
        <w:t xml:space="preserve">) and this would mean that the transition was not a switch, but </w:t>
      </w:r>
      <w:proofErr w:type="gramStart"/>
      <w:r w:rsidRPr="005E6C3B">
        <w:rPr>
          <w:rFonts w:cstheme="minorHAnsi"/>
          <w:lang w:val="en-US"/>
        </w:rPr>
        <w:t>an add</w:t>
      </w:r>
      <w:proofErr w:type="gramEnd"/>
      <w:r w:rsidRPr="005E6C3B">
        <w:rPr>
          <w:rFonts w:cstheme="minorHAnsi"/>
          <w:lang w:val="en-US"/>
        </w:rPr>
        <w:t xml:space="preserve">. Thus the logic is only applied to weeks 0 to </w:t>
      </w:r>
      <w:r>
        <w:rPr>
          <w:rFonts w:cstheme="minorHAnsi"/>
          <w:lang w:val="en-US"/>
        </w:rPr>
        <w:t>X</w:t>
      </w:r>
      <w:r w:rsidRPr="005E6C3B">
        <w:rPr>
          <w:rFonts w:cstheme="minorHAnsi"/>
          <w:lang w:val="en-US"/>
        </w:rPr>
        <w:t xml:space="preserve">. </w:t>
      </w:r>
    </w:p>
    <w:p w:rsidR="00821C17" w:rsidRPr="005E6C3B" w:rsidRDefault="00821C17" w:rsidP="00821C17">
      <w:pPr>
        <w:rPr>
          <w:rFonts w:cstheme="minorHAnsi"/>
          <w:lang w:val="en-US"/>
        </w:rPr>
      </w:pPr>
      <w:r w:rsidRPr="005E6C3B">
        <w:rPr>
          <w:rFonts w:cstheme="minorHAnsi"/>
          <w:lang w:val="en-US"/>
        </w:rPr>
        <w:t>A transition is considered a switch if a drug in the regimen prior to initiation (the week=-1 regimen) is not in the regimen post initiation (i.e. the week=0 regimen).</w:t>
      </w:r>
      <w:r w:rsidRPr="005E6C3B">
        <w:rPr>
          <w:rFonts w:cstheme="minorHAnsi"/>
          <w:lang w:val="en-US"/>
        </w:rPr>
        <w:tab/>
      </w:r>
    </w:p>
    <w:p w:rsidR="00821C17" w:rsidRPr="005E6C3B" w:rsidRDefault="00821C17" w:rsidP="00821C17">
      <w:pPr>
        <w:rPr>
          <w:rFonts w:cstheme="minorHAnsi"/>
          <w:lang w:val="en-US"/>
        </w:rPr>
      </w:pPr>
      <w:r w:rsidRPr="005E6C3B">
        <w:rPr>
          <w:rFonts w:cstheme="minorHAnsi"/>
          <w:lang w:val="en-US"/>
        </w:rPr>
        <w:t>After this transition adjustment, the drug regimens can also be adjusted by using the regimen after the arrow in the adjusted regimen transition. That is, if a transition gets adjusted from A</w:t>
      </w:r>
      <w:r w:rsidRPr="005E6C3B">
        <w:rPr>
          <w:rFonts w:cstheme="minorHAnsi"/>
          <w:lang w:val="en-US"/>
        </w:rPr>
        <w:sym w:font="Wingdings" w:char="F0E0"/>
      </w:r>
      <w:r w:rsidRPr="005E6C3B">
        <w:rPr>
          <w:rFonts w:cstheme="minorHAnsi"/>
          <w:lang w:val="en-US"/>
        </w:rPr>
        <w:t>A+B to A</w:t>
      </w:r>
      <w:r w:rsidRPr="005E6C3B">
        <w:rPr>
          <w:rFonts w:cstheme="minorHAnsi"/>
          <w:lang w:val="en-US"/>
        </w:rPr>
        <w:sym w:font="Wingdings" w:char="F0E0"/>
      </w:r>
      <w:r w:rsidRPr="005E6C3B">
        <w:rPr>
          <w:rFonts w:cstheme="minorHAnsi"/>
          <w:lang w:val="en-US"/>
        </w:rPr>
        <w:t xml:space="preserve">B in week </w:t>
      </w:r>
      <w:r>
        <w:rPr>
          <w:rFonts w:cstheme="minorHAnsi"/>
          <w:lang w:val="en-US"/>
        </w:rPr>
        <w:t>Y</w:t>
      </w:r>
      <w:r w:rsidRPr="005E6C3B">
        <w:rPr>
          <w:rFonts w:cstheme="minorHAnsi"/>
          <w:lang w:val="en-US"/>
        </w:rPr>
        <w:t xml:space="preserve"> then the adjusted drug regimen for week </w:t>
      </w:r>
      <w:r>
        <w:rPr>
          <w:rFonts w:cstheme="minorHAnsi"/>
          <w:lang w:val="en-US"/>
        </w:rPr>
        <w:t>Y</w:t>
      </w:r>
      <w:r w:rsidRPr="005E6C3B">
        <w:rPr>
          <w:rFonts w:cstheme="minorHAnsi"/>
          <w:lang w:val="en-US"/>
        </w:rPr>
        <w:t xml:space="preserve"> changes from A+B to B. Thus even though the drug regimen is calculated first, its adjustment is dependent on both the regimen transition and adjusted regimen transition. Thus the sequence of calculations is;</w:t>
      </w:r>
    </w:p>
    <w:p w:rsidR="00821C17" w:rsidRPr="005E6C3B" w:rsidRDefault="00821C17" w:rsidP="00821C17">
      <w:pPr>
        <w:pStyle w:val="ListParagraph"/>
        <w:numPr>
          <w:ilvl w:val="0"/>
          <w:numId w:val="20"/>
        </w:numPr>
        <w:spacing w:after="0"/>
        <w:rPr>
          <w:rFonts w:cstheme="minorHAnsi"/>
          <w:lang w:val="en-US"/>
        </w:rPr>
      </w:pPr>
      <w:r w:rsidRPr="005E6C3B">
        <w:rPr>
          <w:rFonts w:cstheme="minorHAnsi"/>
          <w:lang w:val="en-US"/>
        </w:rPr>
        <w:t>drug regimens</w:t>
      </w:r>
    </w:p>
    <w:p w:rsidR="00821C17" w:rsidRPr="005E6C3B" w:rsidRDefault="00821C17" w:rsidP="00821C17">
      <w:pPr>
        <w:pStyle w:val="ListParagraph"/>
        <w:numPr>
          <w:ilvl w:val="0"/>
          <w:numId w:val="20"/>
        </w:numPr>
        <w:spacing w:after="0"/>
        <w:rPr>
          <w:rFonts w:cstheme="minorHAnsi"/>
          <w:lang w:val="en-US"/>
        </w:rPr>
      </w:pPr>
      <w:r w:rsidRPr="005E6C3B">
        <w:rPr>
          <w:rFonts w:cstheme="minorHAnsi"/>
          <w:lang w:val="en-US"/>
        </w:rPr>
        <w:t>drug regimen transitions around initiation</w:t>
      </w:r>
    </w:p>
    <w:p w:rsidR="00821C17" w:rsidRPr="005E6C3B" w:rsidRDefault="00821C17" w:rsidP="00821C17">
      <w:pPr>
        <w:pStyle w:val="ListParagraph"/>
        <w:numPr>
          <w:ilvl w:val="0"/>
          <w:numId w:val="20"/>
        </w:numPr>
        <w:spacing w:after="0"/>
        <w:rPr>
          <w:rFonts w:cstheme="minorHAnsi"/>
          <w:lang w:val="en-US"/>
        </w:rPr>
      </w:pPr>
      <w:r w:rsidRPr="005E6C3B">
        <w:rPr>
          <w:rFonts w:cstheme="minorHAnsi"/>
          <w:lang w:val="en-US"/>
        </w:rPr>
        <w:t>adjusted drug regimen transitions</w:t>
      </w:r>
    </w:p>
    <w:p w:rsidR="00821C17" w:rsidRDefault="00821C17" w:rsidP="00821C17">
      <w:pPr>
        <w:pStyle w:val="ListParagraph"/>
        <w:numPr>
          <w:ilvl w:val="0"/>
          <w:numId w:val="20"/>
        </w:numPr>
        <w:rPr>
          <w:rFonts w:cstheme="minorHAnsi"/>
          <w:lang w:val="en-US"/>
        </w:rPr>
      </w:pPr>
      <w:r w:rsidRPr="005E6C3B">
        <w:rPr>
          <w:rFonts w:cstheme="minorHAnsi"/>
          <w:lang w:val="en-US"/>
        </w:rPr>
        <w:t>adjusted drug regimens</w:t>
      </w:r>
    </w:p>
    <w:p w:rsidR="00821C17" w:rsidRDefault="00821C17" w:rsidP="00821C17">
      <w:pPr>
        <w:rPr>
          <w:rFonts w:cstheme="minorHAnsi"/>
        </w:rPr>
      </w:pPr>
      <w:r w:rsidRPr="004649AB">
        <w:rPr>
          <w:rFonts w:cstheme="minorHAnsi"/>
        </w:rPr>
        <w:t xml:space="preserve">The above adjustment process is reliant on having </w:t>
      </w:r>
      <w:proofErr w:type="gramStart"/>
      <w:r w:rsidRPr="004649AB">
        <w:rPr>
          <w:rFonts w:cstheme="minorHAnsi"/>
        </w:rPr>
        <w:t>regard</w:t>
      </w:r>
      <w:proofErr w:type="gramEnd"/>
      <w:r w:rsidRPr="004649AB">
        <w:rPr>
          <w:rFonts w:cstheme="minorHAnsi"/>
        </w:rPr>
        <w:t xml:space="preserve"> to drug initiations. If the analysis is for prevalent drug regimens only (i.e. regimens by calendar week and not relative to an initiation date) then the above adjustment is not possible. This is not a major problem as the overestimation of co-administration (e.g. </w:t>
      </w:r>
      <w:proofErr w:type="gramStart"/>
      <w:r w:rsidRPr="004649AB">
        <w:rPr>
          <w:rFonts w:cstheme="minorHAnsi"/>
        </w:rPr>
        <w:t>A</w:t>
      </w:r>
      <w:proofErr w:type="gramEnd"/>
      <w:r w:rsidRPr="005E6C3B">
        <w:sym w:font="Wingdings" w:char="F0E0"/>
      </w:r>
      <w:r w:rsidRPr="004649AB">
        <w:rPr>
          <w:rFonts w:cstheme="minorHAnsi"/>
        </w:rPr>
        <w:t>A+B instead of A</w:t>
      </w:r>
      <w:r w:rsidRPr="005E6C3B">
        <w:sym w:font="Wingdings" w:char="F0E0"/>
      </w:r>
      <w:r w:rsidRPr="004649AB">
        <w:rPr>
          <w:rFonts w:cstheme="minorHAnsi"/>
        </w:rPr>
        <w:t>B) is greatest in the month after initiation. In a prevalent patient analysis, patient initiations (to any and all drugs) are spread out in time (i.e. all patients do not generally initiate in the same week), and so the overestimation is also spread out over time and so minimised. In an initiating patient analysis, all over-estimations occur at the same time (as time is relative to the initiation week) and so the overestimation is significant and so needs to be adjusted for.  In theory in a prevalent patient analysis, it is possible to do an initiation analysis for every drug and so find adjusted drug regimens that can then be re-expressed in calendar weeks. In practice this is too resource intensive and is unlikely to be make a significant difference to the prevalent patient drug regimens.</w:t>
      </w:r>
    </w:p>
    <w:p w:rsidR="00821C17" w:rsidRPr="00344683" w:rsidRDefault="00821C17" w:rsidP="00821C17">
      <w:pPr>
        <w:rPr>
          <w:rFonts w:cstheme="minorHAnsi"/>
          <w:b/>
        </w:rPr>
      </w:pPr>
      <w:r w:rsidRPr="00344683">
        <w:rPr>
          <w:rFonts w:cstheme="minorHAnsi"/>
          <w:b/>
        </w:rPr>
        <w:t>3.</w:t>
      </w:r>
      <w:r w:rsidRPr="00344683">
        <w:rPr>
          <w:rFonts w:cstheme="minorHAnsi"/>
          <w:b/>
        </w:rPr>
        <w:tab/>
        <w:t>Adjustment to allow for stockpiling of medication, both same-day supply and supplies on different days</w:t>
      </w:r>
    </w:p>
    <w:p w:rsidR="00821C17" w:rsidRPr="00344683" w:rsidRDefault="00821C17" w:rsidP="00821C17">
      <w:pPr>
        <w:rPr>
          <w:rFonts w:cstheme="minorHAnsi"/>
        </w:rPr>
      </w:pPr>
      <w:r w:rsidRPr="00344683">
        <w:rPr>
          <w:rFonts w:cstheme="minorHAnsi"/>
        </w:rPr>
        <w:lastRenderedPageBreak/>
        <w:t>The two step methodology outlined in point 1 and refined by logic in point 2 above did not take into account the phenomenon of stockpiling. This often occurs towards the end of the calendar year when a Safety Net card holder fills prescriptions more frequently than expected, so as to stockpile the medicine and avoid a higher co-payment in the next calendar year when they lose Safety Net eligibility. Stockpiling can also occur at other times of the year. Step 1 can impute higher rates of breaks in episodes around February. This is likely to be due to the stockpiling effect and not due to genuine breaks in treatment. Thus the rule to estimate the prescription coverage end date was modified to be the greater of;</w:t>
      </w:r>
    </w:p>
    <w:p w:rsidR="00821C17" w:rsidRDefault="00821C17" w:rsidP="00821C17">
      <w:pPr>
        <w:pStyle w:val="ListParagraph"/>
        <w:numPr>
          <w:ilvl w:val="0"/>
          <w:numId w:val="21"/>
        </w:numPr>
        <w:ind w:left="360"/>
      </w:pPr>
      <w:r w:rsidRPr="00344683">
        <w:t>the predicted coverage end date of the previous prescription plus the standard coverage days (SCD); and,</w:t>
      </w:r>
    </w:p>
    <w:p w:rsidR="00821C17" w:rsidRDefault="00821C17" w:rsidP="00821C17">
      <w:pPr>
        <w:pStyle w:val="ListParagraph"/>
        <w:numPr>
          <w:ilvl w:val="0"/>
          <w:numId w:val="21"/>
        </w:numPr>
        <w:ind w:left="360"/>
      </w:pPr>
      <w:proofErr w:type="gramStart"/>
      <w:r w:rsidRPr="00344683">
        <w:t>the</w:t>
      </w:r>
      <w:proofErr w:type="gramEnd"/>
      <w:r w:rsidRPr="00344683">
        <w:t xml:space="preserve"> actual refill date of the previous prescription plus the SCD.</w:t>
      </w:r>
    </w:p>
    <w:p w:rsidR="00821C17" w:rsidRDefault="00821C17" w:rsidP="00821C17">
      <w:r>
        <w:t>This way of calculating the prescription coverage end date takes into account medication stockpiling (i.e. early supply). The logic of the break rule remained unchanged, that is;</w:t>
      </w:r>
    </w:p>
    <w:p w:rsidR="00821C17" w:rsidRDefault="00821C17" w:rsidP="00821C17">
      <w:pPr>
        <w:pStyle w:val="ListParagraph"/>
        <w:numPr>
          <w:ilvl w:val="0"/>
          <w:numId w:val="22"/>
        </w:numPr>
        <w:ind w:left="360"/>
      </w:pPr>
      <w:proofErr w:type="gramStart"/>
      <w:r>
        <w:t>a</w:t>
      </w:r>
      <w:proofErr w:type="gramEnd"/>
      <w:r>
        <w:t xml:space="preserve"> break was where a prescription was supplied 2 x SCD or more after the coverage end date of the previous prescription for the same drug or drug group.</w:t>
      </w:r>
    </w:p>
    <w:p w:rsidR="00821C17" w:rsidRDefault="00821C17" w:rsidP="00821C17">
      <w:r>
        <w:t>Application of this refinement results in the reduction of the extent of seasonality in the number of breaks in episodes.</w:t>
      </w:r>
    </w:p>
    <w:p w:rsidR="00821C17" w:rsidRDefault="00821C17" w:rsidP="00821C17">
      <w:r>
        <w:t>If multiple prescriptions of the same drug (but not the same strength) or drug group are supplied on the same day, it was assumed that these were necessary for the prescribed dose for the SCD and not for an extension of coverage.</w:t>
      </w:r>
    </w:p>
    <w:p w:rsidR="00821C17" w:rsidRDefault="00821C17" w:rsidP="00821C17">
      <w:r>
        <w:t>If multiple prescriptions of the same drug are supplied it is generally for two different strengths to enable the prescribed dose to be administered. If two prescriptions for the same strength (as opposed to increased quantity for a single script) are supplied, the method assumes this is similar to stockpiling (i.e. same day stockpiling) and the predicted coverage end date is extended to be the greater of;</w:t>
      </w:r>
    </w:p>
    <w:p w:rsidR="00821C17" w:rsidRDefault="00821C17" w:rsidP="00821C17">
      <w:pPr>
        <w:pStyle w:val="ListParagraph"/>
        <w:numPr>
          <w:ilvl w:val="0"/>
          <w:numId w:val="22"/>
        </w:numPr>
        <w:ind w:left="360"/>
      </w:pPr>
      <w:r>
        <w:t>the predicted coverage end date of the previous prescription plus n x SCD; and,</w:t>
      </w:r>
    </w:p>
    <w:p w:rsidR="00821C17" w:rsidRDefault="00821C17" w:rsidP="00821C17">
      <w:pPr>
        <w:pStyle w:val="ListParagraph"/>
        <w:numPr>
          <w:ilvl w:val="0"/>
          <w:numId w:val="22"/>
        </w:numPr>
        <w:spacing w:after="0"/>
        <w:ind w:left="360"/>
      </w:pPr>
      <w:r>
        <w:t>the actual refill date of the previous prescription plus n x SCD</w:t>
      </w:r>
    </w:p>
    <w:p w:rsidR="00821C17" w:rsidRDefault="00821C17" w:rsidP="00821C17">
      <w:proofErr w:type="gramStart"/>
      <w:r>
        <w:t>where</w:t>
      </w:r>
      <w:proofErr w:type="gramEnd"/>
      <w:r>
        <w:t xml:space="preserve"> n = number of prescriptions on the same day.</w:t>
      </w:r>
    </w:p>
    <w:p w:rsidR="00821C17" w:rsidRDefault="00821C17" w:rsidP="00821C17">
      <w:r>
        <w:t>A special case of multiple prescriptions being supplied on the same day is Regulation 24 prescriptions.</w:t>
      </w:r>
    </w:p>
    <w:p w:rsidR="00821C17" w:rsidRDefault="00821C17" w:rsidP="00821C17">
      <w:r>
        <w:t>If the original and repeat prescriptions were supplied under Regulation 24 on the same day, then this was assumed to extend the coverage period (i.e. coverage period = prescriptions x SCD).</w:t>
      </w:r>
    </w:p>
    <w:p w:rsidR="00821C17" w:rsidRDefault="00821C17" w:rsidP="00821C17">
      <w:r w:rsidRPr="00B36160">
        <w:rPr>
          <w:b/>
        </w:rPr>
        <w:t>4.</w:t>
      </w:r>
      <w:r w:rsidRPr="00B36160">
        <w:rPr>
          <w:b/>
        </w:rPr>
        <w:tab/>
        <w:t>Change in the rules for prescriptions whose coverage spans the initiation data; - removal of stockpiling rule</w:t>
      </w:r>
    </w:p>
    <w:p w:rsidR="00821C17" w:rsidRDefault="00821C17" w:rsidP="00821C17">
      <w:r>
        <w:t xml:space="preserve">It was found that the stockpiling rule could result in the script coverage end date getting considerably ahead of the script supply date. This is the intent of the rule, however when a new drug B was initiated the stockpiling rules was resulting in the imputation that the new </w:t>
      </w:r>
      <w:r>
        <w:lastRenderedPageBreak/>
        <w:t>drug B was being added to an existing drug A, when in all probability it was substituting drug A. To correct for this, the script coverage rule was changed so that if the script coverage period for a drug A script included the initiation date for drug B, then the stockpiling rule would not apply to the drug A script (i.e. its coverage would be from its supply date to the supply date + SCD). The rationale for this change is that even if patient has a lot of drug A on hand, the decision by the prescriber to initiate a new drug means that a switch could have occurred.</w:t>
      </w:r>
    </w:p>
    <w:p w:rsidR="00821C17" w:rsidRPr="00DB0EA9" w:rsidRDefault="00821C17" w:rsidP="00821C17">
      <w:pPr>
        <w:rPr>
          <w:b/>
        </w:rPr>
      </w:pPr>
      <w:r w:rsidRPr="00DB0EA9">
        <w:rPr>
          <w:b/>
        </w:rPr>
        <w:t>5.</w:t>
      </w:r>
      <w:r w:rsidRPr="00DB0EA9">
        <w:rPr>
          <w:b/>
        </w:rPr>
        <w:tab/>
        <w:t>Estimating if a patient is continuing or stopping after their last script</w:t>
      </w:r>
    </w:p>
    <w:p w:rsidR="00821C17" w:rsidRDefault="00821C17" w:rsidP="00821C17">
      <w:r>
        <w:t>If the last script in a patients script history is supplied within 2 x SCD of the end of the data period then the treatment is estimated to be continuing at the end of the data period (i.e. the episode coverage end date is set to the end date of the data period). Otherwise the treatment episode is estimated to have stopped and the episode coverage end date is equal to If the last script in a patients script history plus 1 x SCD.</w:t>
      </w:r>
    </w:p>
    <w:p w:rsidR="00821C17" w:rsidRPr="0091074E" w:rsidRDefault="00821C17" w:rsidP="00821C17">
      <w:pPr>
        <w:pStyle w:val="Tableheading"/>
        <w:jc w:val="left"/>
      </w:pPr>
      <w:r>
        <w:t xml:space="preserve">Table B.1: </w:t>
      </w:r>
      <w:r w:rsidRPr="0091074E">
        <w:t>Standard Coverage Days used in this analysis</w:t>
      </w:r>
    </w:p>
    <w:tbl>
      <w:tblPr>
        <w:tblStyle w:val="TableGrid"/>
        <w:tblW w:w="3477" w:type="pct"/>
        <w:tblInd w:w="108" w:type="dxa"/>
        <w:tblLook w:val="04A0" w:firstRow="1" w:lastRow="0" w:firstColumn="1" w:lastColumn="0" w:noHBand="0" w:noVBand="1"/>
        <w:tblCaption w:val="Table A1 describes the standard coverage days used in the analysis"/>
        <w:tblDescription w:val="It lists the drug or drug group and the median time to re-supply by any item of the same drug or drug group"/>
      </w:tblPr>
      <w:tblGrid>
        <w:gridCol w:w="2410"/>
        <w:gridCol w:w="3969"/>
      </w:tblGrid>
      <w:tr w:rsidR="00821C17" w:rsidRPr="00284A4F" w:rsidTr="0080335A">
        <w:trPr>
          <w:trHeight w:val="744"/>
          <w:tblHeader/>
        </w:trPr>
        <w:tc>
          <w:tcPr>
            <w:tcW w:w="1889" w:type="pct"/>
            <w:shd w:val="clear" w:color="auto" w:fill="BFBFBF" w:themeFill="background1" w:themeFillShade="BF"/>
          </w:tcPr>
          <w:p w:rsidR="00821C17" w:rsidRPr="00284A4F" w:rsidRDefault="00821C17" w:rsidP="0080335A">
            <w:pPr>
              <w:jc w:val="center"/>
              <w:rPr>
                <w:rFonts w:cstheme="minorHAnsi"/>
                <w:b/>
                <w:sz w:val="20"/>
                <w:szCs w:val="20"/>
              </w:rPr>
            </w:pPr>
            <w:r w:rsidRPr="00284A4F">
              <w:rPr>
                <w:rFonts w:cstheme="minorHAnsi"/>
                <w:b/>
                <w:sz w:val="20"/>
                <w:szCs w:val="20"/>
              </w:rPr>
              <w:t>Drug or Drug Group</w:t>
            </w:r>
          </w:p>
        </w:tc>
        <w:tc>
          <w:tcPr>
            <w:tcW w:w="3111" w:type="pct"/>
            <w:shd w:val="clear" w:color="auto" w:fill="BFBFBF" w:themeFill="background1" w:themeFillShade="BF"/>
          </w:tcPr>
          <w:p w:rsidR="00821C17" w:rsidRPr="00284A4F" w:rsidRDefault="00821C17" w:rsidP="0080335A">
            <w:pPr>
              <w:jc w:val="center"/>
              <w:rPr>
                <w:rFonts w:cstheme="minorHAnsi"/>
                <w:b/>
                <w:sz w:val="20"/>
                <w:szCs w:val="20"/>
              </w:rPr>
            </w:pPr>
            <w:r w:rsidRPr="00284A4F">
              <w:rPr>
                <w:rFonts w:cstheme="minorHAnsi"/>
                <w:b/>
                <w:sz w:val="20"/>
                <w:szCs w:val="20"/>
              </w:rPr>
              <w:t>Standard Coverage Days</w:t>
            </w:r>
            <w:r w:rsidRPr="00284A4F">
              <w:rPr>
                <w:rFonts w:cstheme="minorHAnsi"/>
                <w:b/>
                <w:sz w:val="20"/>
                <w:szCs w:val="20"/>
              </w:rPr>
              <w:br/>
              <w:t>(i.e. Median time to re-supply by any item of the same drug or drug group)</w:t>
            </w:r>
          </w:p>
        </w:tc>
      </w:tr>
      <w:tr w:rsidR="00821C17" w:rsidTr="0080335A">
        <w:trPr>
          <w:trHeight w:val="277"/>
        </w:trPr>
        <w:tc>
          <w:tcPr>
            <w:tcW w:w="1889" w:type="pct"/>
          </w:tcPr>
          <w:p w:rsidR="00821C17" w:rsidRPr="00284A4F" w:rsidRDefault="00821C17" w:rsidP="0080335A">
            <w:pPr>
              <w:rPr>
                <w:sz w:val="20"/>
                <w:szCs w:val="20"/>
              </w:rPr>
            </w:pPr>
            <w:r w:rsidRPr="00702778">
              <w:t>Adalimumab</w:t>
            </w:r>
          </w:p>
        </w:tc>
        <w:tc>
          <w:tcPr>
            <w:tcW w:w="3111" w:type="pct"/>
          </w:tcPr>
          <w:p w:rsidR="00821C17" w:rsidRPr="00284A4F" w:rsidRDefault="00821C17" w:rsidP="0080335A">
            <w:pPr>
              <w:jc w:val="center"/>
              <w:rPr>
                <w:sz w:val="20"/>
                <w:szCs w:val="20"/>
              </w:rPr>
            </w:pPr>
            <w:r w:rsidRPr="00ED6048">
              <w:t>29</w:t>
            </w:r>
          </w:p>
        </w:tc>
      </w:tr>
      <w:tr w:rsidR="00821C17" w:rsidTr="0080335A">
        <w:trPr>
          <w:trHeight w:val="277"/>
        </w:trPr>
        <w:tc>
          <w:tcPr>
            <w:tcW w:w="1889" w:type="pct"/>
          </w:tcPr>
          <w:p w:rsidR="00821C17" w:rsidRPr="00284A4F" w:rsidRDefault="00821C17" w:rsidP="0080335A">
            <w:pPr>
              <w:rPr>
                <w:sz w:val="20"/>
                <w:szCs w:val="20"/>
              </w:rPr>
            </w:pPr>
            <w:r w:rsidRPr="00702778">
              <w:t>Azathioprine</w:t>
            </w:r>
          </w:p>
        </w:tc>
        <w:tc>
          <w:tcPr>
            <w:tcW w:w="3111" w:type="pct"/>
          </w:tcPr>
          <w:p w:rsidR="00821C17" w:rsidRPr="00284A4F" w:rsidRDefault="00821C17" w:rsidP="0080335A">
            <w:pPr>
              <w:jc w:val="center"/>
              <w:rPr>
                <w:sz w:val="20"/>
                <w:szCs w:val="20"/>
              </w:rPr>
            </w:pPr>
            <w:r w:rsidRPr="00ED6048">
              <w:t>41</w:t>
            </w:r>
          </w:p>
        </w:tc>
      </w:tr>
      <w:tr w:rsidR="00821C17" w:rsidTr="0080335A">
        <w:trPr>
          <w:trHeight w:val="277"/>
        </w:trPr>
        <w:tc>
          <w:tcPr>
            <w:tcW w:w="1889" w:type="pct"/>
          </w:tcPr>
          <w:p w:rsidR="00821C17" w:rsidRPr="00284A4F" w:rsidRDefault="00821C17" w:rsidP="0080335A">
            <w:pPr>
              <w:rPr>
                <w:sz w:val="20"/>
                <w:szCs w:val="20"/>
              </w:rPr>
            </w:pPr>
            <w:proofErr w:type="spellStart"/>
            <w:r w:rsidRPr="00702778">
              <w:t>Certolizumab</w:t>
            </w:r>
            <w:proofErr w:type="spellEnd"/>
            <w:r w:rsidRPr="00702778">
              <w:t xml:space="preserve"> </w:t>
            </w:r>
            <w:proofErr w:type="spellStart"/>
            <w:r w:rsidRPr="00702778">
              <w:t>Pegol</w:t>
            </w:r>
            <w:proofErr w:type="spellEnd"/>
          </w:p>
        </w:tc>
        <w:tc>
          <w:tcPr>
            <w:tcW w:w="3111" w:type="pct"/>
          </w:tcPr>
          <w:p w:rsidR="00821C17" w:rsidRPr="00284A4F" w:rsidRDefault="00821C17" w:rsidP="0080335A">
            <w:pPr>
              <w:jc w:val="center"/>
              <w:rPr>
                <w:sz w:val="20"/>
                <w:szCs w:val="20"/>
              </w:rPr>
            </w:pPr>
            <w:r w:rsidRPr="00ED6048">
              <w:t>21</w:t>
            </w:r>
          </w:p>
        </w:tc>
      </w:tr>
      <w:tr w:rsidR="00821C17" w:rsidTr="0080335A">
        <w:trPr>
          <w:trHeight w:val="295"/>
        </w:trPr>
        <w:tc>
          <w:tcPr>
            <w:tcW w:w="1889" w:type="pct"/>
          </w:tcPr>
          <w:p w:rsidR="00821C17" w:rsidRPr="00284A4F" w:rsidRDefault="00821C17" w:rsidP="0080335A">
            <w:pPr>
              <w:rPr>
                <w:sz w:val="20"/>
                <w:szCs w:val="20"/>
              </w:rPr>
            </w:pPr>
            <w:proofErr w:type="spellStart"/>
            <w:r w:rsidRPr="00702778">
              <w:t>Cyclosporin</w:t>
            </w:r>
            <w:proofErr w:type="spellEnd"/>
          </w:p>
        </w:tc>
        <w:tc>
          <w:tcPr>
            <w:tcW w:w="3111" w:type="pct"/>
          </w:tcPr>
          <w:p w:rsidR="00821C17" w:rsidRPr="00284A4F" w:rsidRDefault="00821C17" w:rsidP="0080335A">
            <w:pPr>
              <w:jc w:val="center"/>
              <w:rPr>
                <w:sz w:val="20"/>
                <w:szCs w:val="20"/>
              </w:rPr>
            </w:pPr>
            <w:r w:rsidRPr="00ED6048">
              <w:t>35</w:t>
            </w:r>
          </w:p>
        </w:tc>
      </w:tr>
      <w:tr w:rsidR="00821C17" w:rsidTr="0080335A">
        <w:trPr>
          <w:trHeight w:val="277"/>
        </w:trPr>
        <w:tc>
          <w:tcPr>
            <w:tcW w:w="1889" w:type="pct"/>
          </w:tcPr>
          <w:p w:rsidR="00821C17" w:rsidRPr="00284A4F" w:rsidRDefault="00821C17" w:rsidP="0080335A">
            <w:pPr>
              <w:rPr>
                <w:sz w:val="20"/>
                <w:szCs w:val="20"/>
              </w:rPr>
            </w:pPr>
            <w:proofErr w:type="spellStart"/>
            <w:r w:rsidRPr="00702778">
              <w:t>Etanercept</w:t>
            </w:r>
            <w:proofErr w:type="spellEnd"/>
          </w:p>
        </w:tc>
        <w:tc>
          <w:tcPr>
            <w:tcW w:w="3111" w:type="pct"/>
          </w:tcPr>
          <w:p w:rsidR="00821C17" w:rsidRPr="00284A4F" w:rsidRDefault="00821C17" w:rsidP="0080335A">
            <w:pPr>
              <w:jc w:val="center"/>
              <w:rPr>
                <w:sz w:val="20"/>
                <w:szCs w:val="20"/>
              </w:rPr>
            </w:pPr>
            <w:r w:rsidRPr="00ED6048">
              <w:t>29</w:t>
            </w:r>
          </w:p>
        </w:tc>
      </w:tr>
      <w:tr w:rsidR="00821C17" w:rsidTr="0080335A">
        <w:trPr>
          <w:trHeight w:val="277"/>
        </w:trPr>
        <w:tc>
          <w:tcPr>
            <w:tcW w:w="1889" w:type="pct"/>
          </w:tcPr>
          <w:p w:rsidR="00821C17" w:rsidRPr="00284A4F" w:rsidRDefault="00821C17" w:rsidP="0080335A">
            <w:pPr>
              <w:rPr>
                <w:sz w:val="20"/>
                <w:szCs w:val="20"/>
              </w:rPr>
            </w:pPr>
            <w:proofErr w:type="spellStart"/>
            <w:r w:rsidRPr="00702778">
              <w:t>Golimumab</w:t>
            </w:r>
            <w:proofErr w:type="spellEnd"/>
          </w:p>
        </w:tc>
        <w:tc>
          <w:tcPr>
            <w:tcW w:w="3111" w:type="pct"/>
          </w:tcPr>
          <w:p w:rsidR="00821C17" w:rsidRPr="00284A4F" w:rsidRDefault="00821C17" w:rsidP="0080335A">
            <w:pPr>
              <w:jc w:val="center"/>
              <w:rPr>
                <w:sz w:val="20"/>
                <w:szCs w:val="20"/>
              </w:rPr>
            </w:pPr>
            <w:r w:rsidRPr="00ED6048">
              <w:t>30</w:t>
            </w:r>
          </w:p>
        </w:tc>
      </w:tr>
      <w:tr w:rsidR="00821C17" w:rsidTr="0080335A">
        <w:trPr>
          <w:trHeight w:val="277"/>
        </w:trPr>
        <w:tc>
          <w:tcPr>
            <w:tcW w:w="1889" w:type="pct"/>
          </w:tcPr>
          <w:p w:rsidR="00821C17" w:rsidRPr="00284A4F" w:rsidRDefault="00821C17" w:rsidP="0080335A">
            <w:pPr>
              <w:rPr>
                <w:sz w:val="20"/>
                <w:szCs w:val="20"/>
              </w:rPr>
            </w:pPr>
            <w:proofErr w:type="spellStart"/>
            <w:r w:rsidRPr="00702778">
              <w:t>Hydroxychloroquine</w:t>
            </w:r>
            <w:proofErr w:type="spellEnd"/>
          </w:p>
        </w:tc>
        <w:tc>
          <w:tcPr>
            <w:tcW w:w="3111" w:type="pct"/>
          </w:tcPr>
          <w:p w:rsidR="00821C17" w:rsidRPr="00284A4F" w:rsidRDefault="00821C17" w:rsidP="0080335A">
            <w:pPr>
              <w:jc w:val="center"/>
              <w:rPr>
                <w:sz w:val="20"/>
                <w:szCs w:val="20"/>
              </w:rPr>
            </w:pPr>
            <w:r w:rsidRPr="00ED6048">
              <w:t>55</w:t>
            </w:r>
          </w:p>
        </w:tc>
      </w:tr>
      <w:tr w:rsidR="00821C17" w:rsidTr="0080335A">
        <w:trPr>
          <w:trHeight w:val="277"/>
        </w:trPr>
        <w:tc>
          <w:tcPr>
            <w:tcW w:w="1889" w:type="pct"/>
          </w:tcPr>
          <w:p w:rsidR="00821C17" w:rsidRPr="00284A4F" w:rsidRDefault="00821C17" w:rsidP="0080335A">
            <w:pPr>
              <w:rPr>
                <w:sz w:val="20"/>
                <w:szCs w:val="20"/>
              </w:rPr>
            </w:pPr>
            <w:r w:rsidRPr="00702778">
              <w:t>Infliximab</w:t>
            </w:r>
          </w:p>
        </w:tc>
        <w:tc>
          <w:tcPr>
            <w:tcW w:w="3111" w:type="pct"/>
          </w:tcPr>
          <w:p w:rsidR="00821C17" w:rsidRPr="00284A4F" w:rsidRDefault="00821C17" w:rsidP="0080335A">
            <w:pPr>
              <w:jc w:val="center"/>
              <w:rPr>
                <w:sz w:val="20"/>
                <w:szCs w:val="20"/>
              </w:rPr>
            </w:pPr>
            <w:r w:rsidRPr="00ED6048">
              <w:t>56</w:t>
            </w:r>
          </w:p>
        </w:tc>
      </w:tr>
      <w:tr w:rsidR="00821C17" w:rsidTr="0080335A">
        <w:trPr>
          <w:trHeight w:val="277"/>
        </w:trPr>
        <w:tc>
          <w:tcPr>
            <w:tcW w:w="1889" w:type="pct"/>
          </w:tcPr>
          <w:p w:rsidR="00821C17" w:rsidRPr="00284A4F" w:rsidRDefault="00821C17" w:rsidP="0080335A">
            <w:pPr>
              <w:rPr>
                <w:sz w:val="20"/>
                <w:szCs w:val="20"/>
              </w:rPr>
            </w:pPr>
            <w:proofErr w:type="spellStart"/>
            <w:r w:rsidRPr="00702778">
              <w:t>Leflunomide</w:t>
            </w:r>
            <w:proofErr w:type="spellEnd"/>
          </w:p>
        </w:tc>
        <w:tc>
          <w:tcPr>
            <w:tcW w:w="3111" w:type="pct"/>
          </w:tcPr>
          <w:p w:rsidR="00821C17" w:rsidRPr="00284A4F" w:rsidRDefault="00821C17" w:rsidP="0080335A">
            <w:pPr>
              <w:jc w:val="center"/>
              <w:rPr>
                <w:sz w:val="20"/>
                <w:szCs w:val="20"/>
              </w:rPr>
            </w:pPr>
            <w:r w:rsidRPr="00ED6048">
              <w:t>32</w:t>
            </w:r>
          </w:p>
        </w:tc>
      </w:tr>
      <w:tr w:rsidR="00821C17" w:rsidTr="0080335A">
        <w:trPr>
          <w:trHeight w:val="277"/>
        </w:trPr>
        <w:tc>
          <w:tcPr>
            <w:tcW w:w="1889" w:type="pct"/>
          </w:tcPr>
          <w:p w:rsidR="00821C17" w:rsidRPr="00284A4F" w:rsidRDefault="00821C17" w:rsidP="0080335A">
            <w:pPr>
              <w:rPr>
                <w:sz w:val="20"/>
                <w:szCs w:val="20"/>
              </w:rPr>
            </w:pPr>
            <w:proofErr w:type="spellStart"/>
            <w:r w:rsidRPr="00702778">
              <w:t>Mercaptopurine</w:t>
            </w:r>
            <w:proofErr w:type="spellEnd"/>
          </w:p>
        </w:tc>
        <w:tc>
          <w:tcPr>
            <w:tcW w:w="3111" w:type="pct"/>
          </w:tcPr>
          <w:p w:rsidR="00821C17" w:rsidRPr="00284A4F" w:rsidRDefault="00821C17" w:rsidP="0080335A">
            <w:pPr>
              <w:jc w:val="center"/>
              <w:rPr>
                <w:sz w:val="20"/>
                <w:szCs w:val="20"/>
              </w:rPr>
            </w:pPr>
            <w:r w:rsidRPr="00ED6048">
              <w:t>88</w:t>
            </w:r>
          </w:p>
        </w:tc>
      </w:tr>
      <w:tr w:rsidR="00821C17" w:rsidTr="0080335A">
        <w:trPr>
          <w:trHeight w:val="277"/>
        </w:trPr>
        <w:tc>
          <w:tcPr>
            <w:tcW w:w="1889" w:type="pct"/>
          </w:tcPr>
          <w:p w:rsidR="00821C17" w:rsidRPr="00284A4F" w:rsidRDefault="00821C17" w:rsidP="0080335A">
            <w:pPr>
              <w:rPr>
                <w:sz w:val="20"/>
                <w:szCs w:val="20"/>
              </w:rPr>
            </w:pPr>
            <w:r w:rsidRPr="00702778">
              <w:t>Methotrexate</w:t>
            </w:r>
          </w:p>
        </w:tc>
        <w:tc>
          <w:tcPr>
            <w:tcW w:w="3111" w:type="pct"/>
          </w:tcPr>
          <w:p w:rsidR="00821C17" w:rsidRPr="00284A4F" w:rsidRDefault="00821C17" w:rsidP="0080335A">
            <w:pPr>
              <w:jc w:val="center"/>
              <w:rPr>
                <w:sz w:val="20"/>
                <w:szCs w:val="20"/>
              </w:rPr>
            </w:pPr>
            <w:r w:rsidRPr="00ED6048">
              <w:t>133</w:t>
            </w:r>
          </w:p>
        </w:tc>
      </w:tr>
      <w:tr w:rsidR="00821C17" w:rsidTr="0080335A">
        <w:trPr>
          <w:trHeight w:val="277"/>
        </w:trPr>
        <w:tc>
          <w:tcPr>
            <w:tcW w:w="1889" w:type="pct"/>
          </w:tcPr>
          <w:p w:rsidR="00821C17" w:rsidRPr="00284A4F" w:rsidRDefault="00821C17" w:rsidP="0080335A">
            <w:pPr>
              <w:rPr>
                <w:sz w:val="20"/>
                <w:szCs w:val="20"/>
              </w:rPr>
            </w:pPr>
            <w:r w:rsidRPr="00702778">
              <w:t>Sulfasalazine</w:t>
            </w:r>
          </w:p>
        </w:tc>
        <w:tc>
          <w:tcPr>
            <w:tcW w:w="3111" w:type="pct"/>
          </w:tcPr>
          <w:p w:rsidR="00821C17" w:rsidRPr="00284A4F" w:rsidRDefault="00821C17" w:rsidP="0080335A">
            <w:pPr>
              <w:jc w:val="center"/>
              <w:rPr>
                <w:sz w:val="20"/>
                <w:szCs w:val="20"/>
              </w:rPr>
            </w:pPr>
            <w:r w:rsidRPr="00ED6048">
              <w:t>52</w:t>
            </w:r>
          </w:p>
        </w:tc>
      </w:tr>
    </w:tbl>
    <w:p w:rsidR="00821C17" w:rsidRPr="0063171B" w:rsidRDefault="00821C17" w:rsidP="00821C17">
      <w:pPr>
        <w:rPr>
          <w:b/>
        </w:rPr>
      </w:pPr>
    </w:p>
    <w:p w:rsidR="00821C17" w:rsidRPr="0033504C" w:rsidRDefault="00821C17" w:rsidP="00821C17">
      <w:r>
        <w:t>If the drug regimens are display by calendar week instead of weeks relative to initiation, then towards the end of the data period there may be some obvious “end effect” artefacts in some of the regimen time series. This is because the true continuation rate may not be well estimated by the continuation logic described above (i</w:t>
      </w:r>
      <w:r w:rsidR="00A8455E">
        <w:t>.</w:t>
      </w:r>
      <w:r>
        <w:t xml:space="preserve">e. If the last script is supplied within 2 x SCD of the end of the data period then the treatment is estimated to be continuing at the end of the data period). If this is the case then there will be a trend change close to the end of the regimen time series plot. One solution to this problem is to not display approximately the last 2 x SCD </w:t>
      </w:r>
      <w:proofErr w:type="gramStart"/>
      <w:r>
        <w:t>portion</w:t>
      </w:r>
      <w:proofErr w:type="gramEnd"/>
      <w:r>
        <w:t xml:space="preserve"> of the time series.</w:t>
      </w:r>
    </w:p>
    <w:p w:rsidR="007F4E20" w:rsidRPr="00821C17" w:rsidRDefault="007F4E20" w:rsidP="00821C17"/>
    <w:sectPr w:rsidR="007F4E20" w:rsidRPr="00821C17" w:rsidSect="0080335A">
      <w:headerReference w:type="default" r:id="rId19"/>
      <w:footerReference w:type="default" r:id="rId20"/>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D97" w:rsidRDefault="008D6D97" w:rsidP="00821C17">
      <w:pPr>
        <w:spacing w:after="0"/>
      </w:pPr>
      <w:r>
        <w:separator/>
      </w:r>
    </w:p>
  </w:endnote>
  <w:endnote w:type="continuationSeparator" w:id="0">
    <w:p w:rsidR="008D6D97" w:rsidRDefault="008D6D97" w:rsidP="00821C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skerville">
    <w:altName w:val="Times New Roman"/>
    <w:charset w:val="00"/>
    <w:family w:val="auto"/>
    <w:pitch w:val="variable"/>
    <w:sig w:usb0="80000063" w:usb1="00000000" w:usb2="00000000" w:usb3="00000000" w:csb0="000001F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4331574"/>
      <w:docPartObj>
        <w:docPartGallery w:val="Page Numbers (Bottom of Page)"/>
        <w:docPartUnique/>
      </w:docPartObj>
    </w:sdtPr>
    <w:sdtEndPr/>
    <w:sdtContent>
      <w:sdt>
        <w:sdtPr>
          <w:id w:val="-458114663"/>
          <w:docPartObj>
            <w:docPartGallery w:val="Page Numbers (Top of Page)"/>
            <w:docPartUnique/>
          </w:docPartObj>
        </w:sdtPr>
        <w:sdtEndPr/>
        <w:sdtContent>
          <w:p w:rsidR="008D6D97" w:rsidRPr="000E72C6" w:rsidRDefault="008D6D97" w:rsidP="0080335A">
            <w:pPr>
              <w:pStyle w:val="Footer"/>
              <w:jc w:val="center"/>
              <w:rPr>
                <w:i/>
                <w:sz w:val="20"/>
              </w:rPr>
            </w:pPr>
            <w:r>
              <w:rPr>
                <w:i/>
                <w:sz w:val="20"/>
              </w:rPr>
              <w:t>Public Release Document, February 2016 DUSC Meeting</w:t>
            </w:r>
          </w:p>
          <w:p w:rsidR="008D6D97" w:rsidRDefault="008D6D97" w:rsidP="0080335A">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sidR="000A61E2">
              <w:rPr>
                <w:bCs/>
                <w:i/>
                <w:noProof/>
                <w:sz w:val="20"/>
              </w:rPr>
              <w:t>14</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sidR="000A61E2">
              <w:rPr>
                <w:bCs/>
                <w:i/>
                <w:noProof/>
                <w:sz w:val="20"/>
              </w:rPr>
              <w:t>22</w:t>
            </w:r>
            <w:r w:rsidRPr="00DD188C">
              <w:rPr>
                <w:bCs/>
                <w:i/>
                <w:sz w:val="20"/>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9160941"/>
      <w:docPartObj>
        <w:docPartGallery w:val="Page Numbers (Bottom of Page)"/>
        <w:docPartUnique/>
      </w:docPartObj>
    </w:sdtPr>
    <w:sdtEndPr/>
    <w:sdtContent>
      <w:sdt>
        <w:sdtPr>
          <w:id w:val="1013494574"/>
          <w:docPartObj>
            <w:docPartGallery w:val="Page Numbers (Top of Page)"/>
            <w:docPartUnique/>
          </w:docPartObj>
        </w:sdtPr>
        <w:sdtEndPr/>
        <w:sdtContent>
          <w:p w:rsidR="008D6D97" w:rsidRPr="000E72C6" w:rsidRDefault="008D6D97" w:rsidP="0080335A">
            <w:pPr>
              <w:pStyle w:val="Footer"/>
              <w:jc w:val="center"/>
              <w:rPr>
                <w:i/>
                <w:sz w:val="20"/>
              </w:rPr>
            </w:pPr>
            <w:r>
              <w:rPr>
                <w:i/>
                <w:sz w:val="20"/>
              </w:rPr>
              <w:t>Committee in Confidence</w:t>
            </w:r>
          </w:p>
          <w:p w:rsidR="008D6D97" w:rsidRPr="00A4115A" w:rsidRDefault="008D6D97" w:rsidP="0080335A">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Pr>
                <w:bCs/>
                <w:i/>
                <w:noProof/>
                <w:sz w:val="20"/>
              </w:rPr>
              <w:t>42</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sidR="000A61E2">
              <w:rPr>
                <w:bCs/>
                <w:i/>
                <w:noProof/>
                <w:sz w:val="20"/>
              </w:rPr>
              <w:t>22</w:t>
            </w:r>
            <w:r w:rsidRPr="00DD188C">
              <w:rPr>
                <w:bCs/>
                <w:i/>
                <w:sz w:val="20"/>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5325259"/>
      <w:docPartObj>
        <w:docPartGallery w:val="Page Numbers (Bottom of Page)"/>
        <w:docPartUnique/>
      </w:docPartObj>
    </w:sdtPr>
    <w:sdtEndPr/>
    <w:sdtContent>
      <w:sdt>
        <w:sdtPr>
          <w:id w:val="-662087876"/>
          <w:docPartObj>
            <w:docPartGallery w:val="Page Numbers (Top of Page)"/>
            <w:docPartUnique/>
          </w:docPartObj>
        </w:sdtPr>
        <w:sdtEndPr/>
        <w:sdtContent>
          <w:sdt>
            <w:sdtPr>
              <w:id w:val="-1930802561"/>
              <w:docPartObj>
                <w:docPartGallery w:val="Page Numbers (Bottom of Page)"/>
                <w:docPartUnique/>
              </w:docPartObj>
            </w:sdtPr>
            <w:sdtEndPr/>
            <w:sdtContent>
              <w:sdt>
                <w:sdtPr>
                  <w:id w:val="759409125"/>
                  <w:docPartObj>
                    <w:docPartGallery w:val="Page Numbers (Top of Page)"/>
                    <w:docPartUnique/>
                  </w:docPartObj>
                </w:sdtPr>
                <w:sdtEndPr/>
                <w:sdtContent>
                  <w:p w:rsidR="008D6D97" w:rsidRPr="000E72C6" w:rsidRDefault="008D6D97" w:rsidP="00A853BE">
                    <w:pPr>
                      <w:pStyle w:val="Footer"/>
                      <w:jc w:val="center"/>
                      <w:rPr>
                        <w:i/>
                        <w:sz w:val="20"/>
                      </w:rPr>
                    </w:pPr>
                    <w:r>
                      <w:rPr>
                        <w:i/>
                        <w:sz w:val="20"/>
                      </w:rPr>
                      <w:t>Public Release Document, February 2016 DUSC Meeting</w:t>
                    </w:r>
                  </w:p>
                  <w:p w:rsidR="008D6D97" w:rsidRPr="008F51E2" w:rsidRDefault="008D6D97" w:rsidP="00A853BE">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sidR="000A61E2">
                      <w:rPr>
                        <w:bCs/>
                        <w:i/>
                        <w:noProof/>
                        <w:sz w:val="20"/>
                      </w:rPr>
                      <w:t>18</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sidR="000A61E2">
                      <w:rPr>
                        <w:bCs/>
                        <w:i/>
                        <w:noProof/>
                        <w:sz w:val="20"/>
                      </w:rPr>
                      <w:t>22</w:t>
                    </w:r>
                    <w:r w:rsidRPr="00DD188C">
                      <w:rPr>
                        <w:bCs/>
                        <w:i/>
                        <w:sz w:val="20"/>
                      </w:rPr>
                      <w:fldChar w:fldCharType="end"/>
                    </w:r>
                  </w:p>
                </w:sdtContent>
              </w:sdt>
            </w:sdtContent>
          </w:sdt>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9917848"/>
      <w:docPartObj>
        <w:docPartGallery w:val="Page Numbers (Bottom of Page)"/>
        <w:docPartUnique/>
      </w:docPartObj>
    </w:sdtPr>
    <w:sdtEndPr/>
    <w:sdtContent>
      <w:sdt>
        <w:sdtPr>
          <w:id w:val="1034852787"/>
          <w:docPartObj>
            <w:docPartGallery w:val="Page Numbers (Top of Page)"/>
            <w:docPartUnique/>
          </w:docPartObj>
        </w:sdtPr>
        <w:sdtEndPr/>
        <w:sdtContent>
          <w:sdt>
            <w:sdtPr>
              <w:id w:val="-125008748"/>
              <w:docPartObj>
                <w:docPartGallery w:val="Page Numbers (Bottom of Page)"/>
                <w:docPartUnique/>
              </w:docPartObj>
            </w:sdtPr>
            <w:sdtEndPr/>
            <w:sdtContent>
              <w:sdt>
                <w:sdtPr>
                  <w:id w:val="-1903280422"/>
                  <w:docPartObj>
                    <w:docPartGallery w:val="Page Numbers (Top of Page)"/>
                    <w:docPartUnique/>
                  </w:docPartObj>
                </w:sdtPr>
                <w:sdtEndPr/>
                <w:sdtContent>
                  <w:p w:rsidR="008D6D97" w:rsidRPr="000E72C6" w:rsidRDefault="008D6D97" w:rsidP="00A853BE">
                    <w:pPr>
                      <w:pStyle w:val="Footer"/>
                      <w:jc w:val="center"/>
                      <w:rPr>
                        <w:i/>
                        <w:sz w:val="20"/>
                      </w:rPr>
                    </w:pPr>
                    <w:r>
                      <w:rPr>
                        <w:i/>
                        <w:sz w:val="20"/>
                      </w:rPr>
                      <w:t>Public Release Document, February 2016 DUSC Meeting</w:t>
                    </w:r>
                  </w:p>
                  <w:p w:rsidR="008D6D97" w:rsidRPr="008F51E2" w:rsidRDefault="008D6D97" w:rsidP="00A853BE">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sidR="000A61E2">
                      <w:rPr>
                        <w:bCs/>
                        <w:i/>
                        <w:noProof/>
                        <w:sz w:val="20"/>
                      </w:rPr>
                      <w:t>22</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sidR="000A61E2">
                      <w:rPr>
                        <w:bCs/>
                        <w:i/>
                        <w:noProof/>
                        <w:sz w:val="20"/>
                      </w:rPr>
                      <w:t>22</w:t>
                    </w:r>
                    <w:r w:rsidRPr="00DD188C">
                      <w:rPr>
                        <w:bCs/>
                        <w:i/>
                        <w:sz w:val="20"/>
                      </w:rPr>
                      <w:fldChar w:fldCharType="end"/>
                    </w:r>
                  </w:p>
                </w:sdtContent>
              </w:sdt>
            </w:sdtContent>
          </w:sdt>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D97" w:rsidRDefault="008D6D97" w:rsidP="00821C17">
      <w:pPr>
        <w:spacing w:after="0"/>
      </w:pPr>
      <w:r>
        <w:separator/>
      </w:r>
    </w:p>
  </w:footnote>
  <w:footnote w:type="continuationSeparator" w:id="0">
    <w:p w:rsidR="008D6D97" w:rsidRDefault="008D6D97" w:rsidP="00821C17">
      <w:pPr>
        <w:spacing w:after="0"/>
      </w:pPr>
      <w:r>
        <w:continuationSeparator/>
      </w:r>
    </w:p>
  </w:footnote>
  <w:footnote w:id="1">
    <w:p w:rsidR="008D6D97" w:rsidRDefault="008D6D97">
      <w:pPr>
        <w:pStyle w:val="FootnoteText"/>
      </w:pPr>
      <w:r>
        <w:rPr>
          <w:rStyle w:val="FootnoteReference"/>
        </w:rPr>
        <w:footnoteRef/>
      </w:r>
      <w:r>
        <w:t xml:space="preserve"> </w:t>
      </w:r>
      <w:r w:rsidRPr="0098053E">
        <w:t>http://www.pbs.gov.au/info/industry/listing/participants/public-release-docs/bdmard-psoriatic-arthritis-dusc-prd-2015-10-abstract</w:t>
      </w:r>
    </w:p>
  </w:footnote>
  <w:footnote w:id="2">
    <w:p w:rsidR="008D6D97" w:rsidRDefault="008D6D97" w:rsidP="00821C17">
      <w:pPr>
        <w:pStyle w:val="FootnoteText"/>
      </w:pPr>
      <w:r>
        <w:rPr>
          <w:rStyle w:val="FootnoteReference"/>
        </w:rPr>
        <w:footnoteRef/>
      </w:r>
      <w:r>
        <w:t xml:space="preserve"> </w:t>
      </w:r>
      <w:proofErr w:type="spellStart"/>
      <w:proofErr w:type="gramStart"/>
      <w:r w:rsidRPr="00B00F80">
        <w:t>eTG</w:t>
      </w:r>
      <w:proofErr w:type="spellEnd"/>
      <w:proofErr w:type="gramEnd"/>
      <w:r w:rsidRPr="00B00F80">
        <w:t xml:space="preserve"> complete [Internet]. Melbourne: Therapeutic Guidelines Limited; Accessed </w:t>
      </w:r>
      <w:r>
        <w:t>Nov</w:t>
      </w:r>
      <w:r w:rsidRPr="00B00F80">
        <w:t xml:space="preserve"> 2015 &lt;http://online.tg.org.au/complete/desktop/index.htm&gt;.</w:t>
      </w:r>
    </w:p>
  </w:footnote>
  <w:footnote w:id="3">
    <w:p w:rsidR="008D6D97" w:rsidRPr="00BC5AE2" w:rsidRDefault="008D6D97" w:rsidP="00821C17">
      <w:pPr>
        <w:pStyle w:val="FootnoteText"/>
        <w:rPr>
          <w:sz w:val="20"/>
        </w:rPr>
      </w:pPr>
      <w:r w:rsidRPr="00BC5AE2">
        <w:rPr>
          <w:rStyle w:val="FootnoteReference"/>
          <w:sz w:val="20"/>
        </w:rPr>
        <w:footnoteRef/>
      </w:r>
      <w:r w:rsidRPr="00BC5AE2">
        <w:rPr>
          <w:sz w:val="20"/>
        </w:rPr>
        <w:t xml:space="preserve"> </w:t>
      </w:r>
      <w:proofErr w:type="gramStart"/>
      <w:r w:rsidRPr="00BC5AE2">
        <w:rPr>
          <w:sz w:val="20"/>
        </w:rPr>
        <w:t>PBS statistics</w:t>
      </w:r>
      <w:r>
        <w:rPr>
          <w:sz w:val="20"/>
        </w:rPr>
        <w:t>.</w:t>
      </w:r>
      <w:proofErr w:type="gramEnd"/>
      <w:r>
        <w:rPr>
          <w:sz w:val="20"/>
        </w:rPr>
        <w:t xml:space="preserve"> </w:t>
      </w:r>
      <w:proofErr w:type="gramStart"/>
      <w:r>
        <w:rPr>
          <w:sz w:val="20"/>
        </w:rPr>
        <w:t>Australian Government Department of Human Services Medicare.</w:t>
      </w:r>
      <w:proofErr w:type="gramEnd"/>
      <w:r>
        <w:rPr>
          <w:sz w:val="20"/>
        </w:rPr>
        <w:t xml:space="preserve"> Canberra. </w:t>
      </w:r>
      <w:proofErr w:type="gramStart"/>
      <w:r>
        <w:rPr>
          <w:sz w:val="20"/>
        </w:rPr>
        <w:t>Available from &lt;</w:t>
      </w:r>
      <w:hyperlink r:id="rId1" w:history="1">
        <w:r>
          <w:rPr>
            <w:rStyle w:val="Hyperlink"/>
            <w:sz w:val="20"/>
          </w:rPr>
          <w:t>http://www.medicareaustralia.gov.au/provider/pbs/stats.jsp</w:t>
        </w:r>
      </w:hyperlink>
      <w:r>
        <w:rPr>
          <w:sz w:val="20"/>
        </w:rPr>
        <w:t>&gt;.</w:t>
      </w:r>
      <w:proofErr w:type="gramEnd"/>
    </w:p>
  </w:footnote>
  <w:footnote w:id="4">
    <w:p w:rsidR="008D6D97" w:rsidRPr="003C6919" w:rsidRDefault="008D6D97" w:rsidP="00821C17">
      <w:pPr>
        <w:pStyle w:val="FootnoteText"/>
        <w:rPr>
          <w:rFonts w:cstheme="minorHAnsi"/>
          <w:szCs w:val="18"/>
        </w:rPr>
      </w:pPr>
      <w:r w:rsidRPr="003C6919">
        <w:rPr>
          <w:rStyle w:val="FootnoteReference"/>
          <w:rFonts w:cstheme="minorHAnsi"/>
          <w:szCs w:val="18"/>
        </w:rPr>
        <w:footnoteRef/>
      </w:r>
      <w:r w:rsidRPr="003C6919">
        <w:rPr>
          <w:rFonts w:cstheme="minorHAnsi"/>
          <w:szCs w:val="18"/>
        </w:rPr>
        <w:t xml:space="preserve"> Pratt N, Roughead EE, Ramsay E, Salter A, Ryan P 2011 “Risk of hospitalization for hip fracture and pneumonia associated with antipsychotic prescribing in the elderly: a self-controlled case-series analysis in an Australian health care claims database” Drug </w:t>
      </w:r>
      <w:proofErr w:type="spellStart"/>
      <w:r w:rsidRPr="003C6919">
        <w:rPr>
          <w:rFonts w:cstheme="minorHAnsi"/>
          <w:szCs w:val="18"/>
        </w:rPr>
        <w:t>Saf</w:t>
      </w:r>
      <w:proofErr w:type="spellEnd"/>
      <w:r w:rsidRPr="003C6919">
        <w:rPr>
          <w:rFonts w:cstheme="minorHAnsi"/>
          <w:szCs w:val="18"/>
        </w:rPr>
        <w:t xml:space="preserve">. 34(7):567-75. </w:t>
      </w:r>
      <w:proofErr w:type="spellStart"/>
      <w:proofErr w:type="gramStart"/>
      <w:r w:rsidRPr="003C6919">
        <w:rPr>
          <w:rFonts w:cstheme="minorHAnsi"/>
          <w:szCs w:val="18"/>
        </w:rPr>
        <w:t>doi</w:t>
      </w:r>
      <w:proofErr w:type="spellEnd"/>
      <w:proofErr w:type="gramEnd"/>
      <w:r w:rsidRPr="003C6919">
        <w:rPr>
          <w:rFonts w:cstheme="minorHAnsi"/>
          <w:szCs w:val="18"/>
        </w:rPr>
        <w:t>: 10.2165/11588470-000000000-00000</w:t>
      </w:r>
      <w:r>
        <w:rPr>
          <w:rFonts w:cstheme="minorHAnsi"/>
          <w:szCs w:val="18"/>
        </w:rPr>
        <w:t>.</w:t>
      </w:r>
    </w:p>
  </w:footnote>
  <w:footnote w:id="5">
    <w:p w:rsidR="008D6D97" w:rsidRPr="003C6919" w:rsidRDefault="008D6D97" w:rsidP="00821C17">
      <w:pPr>
        <w:spacing w:after="0"/>
        <w:rPr>
          <w:rFonts w:cstheme="minorHAnsi"/>
          <w:sz w:val="18"/>
          <w:szCs w:val="18"/>
        </w:rPr>
      </w:pPr>
      <w:r w:rsidRPr="003C6919">
        <w:rPr>
          <w:rStyle w:val="FootnoteReference"/>
          <w:rFonts w:cstheme="minorHAnsi"/>
          <w:szCs w:val="18"/>
        </w:rPr>
        <w:footnoteRef/>
      </w:r>
      <w:r w:rsidRPr="003C6919">
        <w:rPr>
          <w:rFonts w:cstheme="minorHAnsi"/>
          <w:sz w:val="18"/>
          <w:szCs w:val="18"/>
        </w:rPr>
        <w:t xml:space="preserve"> </w:t>
      </w:r>
      <w:proofErr w:type="spellStart"/>
      <w:r w:rsidRPr="003C6919">
        <w:rPr>
          <w:rFonts w:cstheme="minorHAnsi"/>
          <w:sz w:val="18"/>
          <w:szCs w:val="18"/>
        </w:rPr>
        <w:t>Vitry</w:t>
      </w:r>
      <w:proofErr w:type="spellEnd"/>
      <w:r w:rsidRPr="003C6919">
        <w:rPr>
          <w:rFonts w:cstheme="minorHAnsi"/>
          <w:sz w:val="18"/>
          <w:szCs w:val="18"/>
        </w:rPr>
        <w:t xml:space="preserve"> AI, Roughead EE, </w:t>
      </w:r>
      <w:proofErr w:type="spellStart"/>
      <w:r w:rsidRPr="003C6919">
        <w:rPr>
          <w:rFonts w:cstheme="minorHAnsi"/>
          <w:sz w:val="18"/>
          <w:szCs w:val="18"/>
        </w:rPr>
        <w:t>Preiss</w:t>
      </w:r>
      <w:proofErr w:type="spellEnd"/>
      <w:r w:rsidRPr="003C6919">
        <w:rPr>
          <w:rFonts w:cstheme="minorHAnsi"/>
          <w:sz w:val="18"/>
          <w:szCs w:val="18"/>
        </w:rPr>
        <w:t xml:space="preserve"> AK, Ryan P, Ramsay EN, Gilbert AL, </w:t>
      </w:r>
      <w:proofErr w:type="spellStart"/>
      <w:r w:rsidRPr="003C6919">
        <w:rPr>
          <w:rFonts w:cstheme="minorHAnsi"/>
          <w:sz w:val="18"/>
          <w:szCs w:val="18"/>
        </w:rPr>
        <w:t>Caughey</w:t>
      </w:r>
      <w:proofErr w:type="spellEnd"/>
      <w:r w:rsidRPr="003C6919">
        <w:rPr>
          <w:rFonts w:cstheme="minorHAnsi"/>
          <w:sz w:val="18"/>
          <w:szCs w:val="18"/>
        </w:rPr>
        <w:t xml:space="preserve"> GE, </w:t>
      </w:r>
      <w:proofErr w:type="spellStart"/>
      <w:r w:rsidRPr="003C6919">
        <w:rPr>
          <w:rFonts w:cstheme="minorHAnsi"/>
          <w:sz w:val="18"/>
          <w:szCs w:val="18"/>
        </w:rPr>
        <w:t>Shakib</w:t>
      </w:r>
      <w:proofErr w:type="spellEnd"/>
      <w:r w:rsidRPr="003C6919">
        <w:rPr>
          <w:rFonts w:cstheme="minorHAnsi"/>
          <w:sz w:val="18"/>
          <w:szCs w:val="18"/>
        </w:rPr>
        <w:t xml:space="preserve"> S, </w:t>
      </w:r>
      <w:proofErr w:type="spellStart"/>
      <w:r w:rsidRPr="003C6919">
        <w:rPr>
          <w:rFonts w:cstheme="minorHAnsi"/>
          <w:sz w:val="18"/>
          <w:szCs w:val="18"/>
        </w:rPr>
        <w:t>Esterman</w:t>
      </w:r>
      <w:proofErr w:type="spellEnd"/>
      <w:r w:rsidRPr="003C6919">
        <w:rPr>
          <w:rFonts w:cstheme="minorHAnsi"/>
          <w:sz w:val="18"/>
          <w:szCs w:val="18"/>
        </w:rPr>
        <w:t xml:space="preserve"> A, Zhang Y, McDermott RA 2010 “Influence of comorbidities on therapeutic progression of diabetes treatment in Australian veterans: a cohort study” </w:t>
      </w:r>
      <w:proofErr w:type="spellStart"/>
      <w:r w:rsidRPr="003C6919">
        <w:rPr>
          <w:rFonts w:cstheme="minorHAnsi"/>
          <w:sz w:val="18"/>
          <w:szCs w:val="18"/>
        </w:rPr>
        <w:t>PLoS</w:t>
      </w:r>
      <w:proofErr w:type="spellEnd"/>
      <w:r w:rsidRPr="003C6919">
        <w:rPr>
          <w:rFonts w:cstheme="minorHAnsi"/>
          <w:sz w:val="18"/>
          <w:szCs w:val="18"/>
        </w:rPr>
        <w:t xml:space="preserve"> One. 5(11):e14024. </w:t>
      </w:r>
      <w:proofErr w:type="spellStart"/>
      <w:proofErr w:type="gramStart"/>
      <w:r w:rsidRPr="003C6919">
        <w:rPr>
          <w:rFonts w:cstheme="minorHAnsi"/>
          <w:sz w:val="18"/>
          <w:szCs w:val="18"/>
        </w:rPr>
        <w:t>do</w:t>
      </w:r>
      <w:r>
        <w:rPr>
          <w:rFonts w:cstheme="minorHAnsi"/>
          <w:sz w:val="18"/>
          <w:szCs w:val="18"/>
        </w:rPr>
        <w:t>i</w:t>
      </w:r>
      <w:proofErr w:type="spellEnd"/>
      <w:proofErr w:type="gramEnd"/>
      <w:r>
        <w:rPr>
          <w:rFonts w:cstheme="minorHAnsi"/>
          <w:sz w:val="18"/>
          <w:szCs w:val="18"/>
        </w:rPr>
        <w:t>: 10.1371/journal.pone.0014024.</w:t>
      </w:r>
    </w:p>
  </w:footnote>
  <w:footnote w:id="6">
    <w:p w:rsidR="008D6D97" w:rsidRPr="00063231" w:rsidRDefault="008D6D97" w:rsidP="00821C17">
      <w:pPr>
        <w:rPr>
          <w:rFonts w:cstheme="minorHAnsi"/>
          <w:b/>
          <w:sz w:val="18"/>
          <w:szCs w:val="18"/>
          <w:lang w:val="en-US"/>
        </w:rPr>
      </w:pPr>
      <w:r w:rsidRPr="003C6919">
        <w:rPr>
          <w:rStyle w:val="FootnoteReference"/>
          <w:rFonts w:cstheme="minorHAnsi"/>
          <w:szCs w:val="18"/>
        </w:rPr>
        <w:footnoteRef/>
      </w:r>
      <w:r w:rsidRPr="003C6919">
        <w:rPr>
          <w:rFonts w:cstheme="minorHAnsi"/>
          <w:sz w:val="18"/>
          <w:szCs w:val="18"/>
        </w:rPr>
        <w:t xml:space="preserve"> </w:t>
      </w:r>
      <w:proofErr w:type="spellStart"/>
      <w:r w:rsidRPr="003C6919">
        <w:rPr>
          <w:rFonts w:cstheme="minorHAnsi"/>
          <w:sz w:val="18"/>
          <w:szCs w:val="18"/>
        </w:rPr>
        <w:t>Hallas</w:t>
      </w:r>
      <w:proofErr w:type="spellEnd"/>
      <w:r w:rsidRPr="003C6919">
        <w:rPr>
          <w:rFonts w:cstheme="minorHAnsi"/>
          <w:sz w:val="18"/>
          <w:szCs w:val="18"/>
        </w:rPr>
        <w:t xml:space="preserve"> J. 2005 “Drug utilization statistics for individual-level pharmacy dispensing data” </w:t>
      </w:r>
      <w:proofErr w:type="spellStart"/>
      <w:r w:rsidRPr="003C6919">
        <w:rPr>
          <w:rFonts w:cstheme="minorHAnsi"/>
          <w:sz w:val="18"/>
          <w:szCs w:val="18"/>
        </w:rPr>
        <w:t>Pharmacoepidemiol</w:t>
      </w:r>
      <w:proofErr w:type="spellEnd"/>
      <w:r w:rsidRPr="003C6919">
        <w:rPr>
          <w:rFonts w:cstheme="minorHAnsi"/>
          <w:sz w:val="18"/>
          <w:szCs w:val="18"/>
        </w:rPr>
        <w:t xml:space="preserve"> Drug </w:t>
      </w:r>
      <w:proofErr w:type="spellStart"/>
      <w:r w:rsidRPr="003C6919">
        <w:rPr>
          <w:rFonts w:cstheme="minorHAnsi"/>
          <w:sz w:val="18"/>
          <w:szCs w:val="18"/>
        </w:rPr>
        <w:t>Saf</w:t>
      </w:r>
      <w:proofErr w:type="spellEnd"/>
      <w:r w:rsidRPr="003C6919">
        <w:rPr>
          <w:rFonts w:cstheme="minorHAnsi"/>
          <w:sz w:val="18"/>
          <w:szCs w:val="18"/>
        </w:rPr>
        <w:t xml:space="preserve">. 14:455–463. </w:t>
      </w:r>
      <w:proofErr w:type="spellStart"/>
      <w:proofErr w:type="gramStart"/>
      <w:r w:rsidRPr="003C6919">
        <w:rPr>
          <w:rFonts w:cstheme="minorHAnsi"/>
          <w:sz w:val="18"/>
          <w:szCs w:val="18"/>
        </w:rPr>
        <w:t>doi</w:t>
      </w:r>
      <w:proofErr w:type="spellEnd"/>
      <w:proofErr w:type="gramEnd"/>
      <w:r w:rsidRPr="003C6919">
        <w:rPr>
          <w:rFonts w:cstheme="minorHAnsi"/>
          <w:sz w:val="18"/>
          <w:szCs w:val="18"/>
        </w:rPr>
        <w:t>: 10.1002/pds.1063</w:t>
      </w:r>
      <w:r>
        <w:rPr>
          <w:rFonts w:cstheme="minorHAnsi"/>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D97" w:rsidRDefault="008D6D97" w:rsidP="0080335A">
    <w:pPr>
      <w:pStyle w:val="Header"/>
    </w:pPr>
    <w:r w:rsidRPr="005D4768">
      <w:t>Item 7.</w:t>
    </w:r>
    <w:r>
      <w:t>1</w:t>
    </w:r>
    <w:r w:rsidRPr="005D4768">
      <w:t xml:space="preserve"> DUSC </w:t>
    </w:r>
    <w:r>
      <w:t>October</w:t>
    </w:r>
    <w:r w:rsidRPr="005D4768">
      <w:t xml:space="preserve"> 2015</w:t>
    </w:r>
  </w:p>
  <w:p w:rsidR="008D6D97" w:rsidRDefault="008D6D97" w:rsidP="008033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D97" w:rsidRDefault="008D6D97" w:rsidP="008033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D97" w:rsidRDefault="008D6D97" w:rsidP="008033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E5BC8"/>
    <w:multiLevelType w:val="hybridMultilevel"/>
    <w:tmpl w:val="9BBE78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066B559B"/>
    <w:multiLevelType w:val="hybridMultilevel"/>
    <w:tmpl w:val="AFB664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AC84B8B"/>
    <w:multiLevelType w:val="hybridMultilevel"/>
    <w:tmpl w:val="8A6CC3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CAE1209"/>
    <w:multiLevelType w:val="hybridMultilevel"/>
    <w:tmpl w:val="536E16CE"/>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0E5A55F9"/>
    <w:multiLevelType w:val="hybridMultilevel"/>
    <w:tmpl w:val="55424F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F85039B"/>
    <w:multiLevelType w:val="hybridMultilevel"/>
    <w:tmpl w:val="17F09F06"/>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nsid w:val="10D036D4"/>
    <w:multiLevelType w:val="hybridMultilevel"/>
    <w:tmpl w:val="4A6CA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5DA036A"/>
    <w:multiLevelType w:val="hybridMultilevel"/>
    <w:tmpl w:val="548E43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192C6894"/>
    <w:multiLevelType w:val="hybridMultilevel"/>
    <w:tmpl w:val="D69A4A4C"/>
    <w:lvl w:ilvl="0" w:tplc="0C090001">
      <w:start w:val="1"/>
      <w:numFmt w:val="bullet"/>
      <w:lvlText w:val=""/>
      <w:lvlJc w:val="left"/>
      <w:pPr>
        <w:ind w:left="720" w:hanging="360"/>
      </w:pPr>
      <w:rPr>
        <w:rFonts w:ascii="Symbol" w:hAnsi="Symbol" w:hint="default"/>
      </w:rPr>
    </w:lvl>
    <w:lvl w:ilvl="1" w:tplc="0C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56B4479"/>
    <w:multiLevelType w:val="hybridMultilevel"/>
    <w:tmpl w:val="2FC031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257657B9"/>
    <w:multiLevelType w:val="hybridMultilevel"/>
    <w:tmpl w:val="2318CA04"/>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26A24445"/>
    <w:multiLevelType w:val="hybridMultilevel"/>
    <w:tmpl w:val="71C03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7F1113A"/>
    <w:multiLevelType w:val="hybridMultilevel"/>
    <w:tmpl w:val="467C83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28644236"/>
    <w:multiLevelType w:val="hybridMultilevel"/>
    <w:tmpl w:val="829C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8811B69"/>
    <w:multiLevelType w:val="hybridMultilevel"/>
    <w:tmpl w:val="9FEEEF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8A572F9"/>
    <w:multiLevelType w:val="hybridMultilevel"/>
    <w:tmpl w:val="30CC75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7FE3161"/>
    <w:multiLevelType w:val="hybridMultilevel"/>
    <w:tmpl w:val="B2362DEE"/>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nsid w:val="4AC23882"/>
    <w:multiLevelType w:val="hybridMultilevel"/>
    <w:tmpl w:val="25A80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BE2647B"/>
    <w:multiLevelType w:val="hybridMultilevel"/>
    <w:tmpl w:val="3048B4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D3827F9"/>
    <w:multiLevelType w:val="hybridMultilevel"/>
    <w:tmpl w:val="79B0C5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1823037"/>
    <w:multiLevelType w:val="hybridMultilevel"/>
    <w:tmpl w:val="BFB65A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52DF092A"/>
    <w:multiLevelType w:val="hybridMultilevel"/>
    <w:tmpl w:val="8482E6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8126D5D"/>
    <w:multiLevelType w:val="hybridMultilevel"/>
    <w:tmpl w:val="D26058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nsid w:val="5B6B67DB"/>
    <w:multiLevelType w:val="hybridMultilevel"/>
    <w:tmpl w:val="14EE53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E425044"/>
    <w:multiLevelType w:val="hybridMultilevel"/>
    <w:tmpl w:val="24B81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0E90BBE"/>
    <w:multiLevelType w:val="hybridMultilevel"/>
    <w:tmpl w:val="5B82ED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nsid w:val="671F6223"/>
    <w:multiLevelType w:val="hybridMultilevel"/>
    <w:tmpl w:val="6054E5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72880EB7"/>
    <w:multiLevelType w:val="hybridMultilevel"/>
    <w:tmpl w:val="446C32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nsid w:val="7C0D4696"/>
    <w:multiLevelType w:val="hybridMultilevel"/>
    <w:tmpl w:val="4ADE8A6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7"/>
  </w:num>
  <w:num w:numId="2">
    <w:abstractNumId w:val="25"/>
  </w:num>
  <w:num w:numId="3">
    <w:abstractNumId w:val="13"/>
  </w:num>
  <w:num w:numId="4">
    <w:abstractNumId w:val="2"/>
  </w:num>
  <w:num w:numId="5">
    <w:abstractNumId w:val="1"/>
  </w:num>
  <w:num w:numId="6">
    <w:abstractNumId w:val="21"/>
  </w:num>
  <w:num w:numId="7">
    <w:abstractNumId w:val="24"/>
  </w:num>
  <w:num w:numId="8">
    <w:abstractNumId w:val="6"/>
  </w:num>
  <w:num w:numId="9">
    <w:abstractNumId w:val="17"/>
  </w:num>
  <w:num w:numId="10">
    <w:abstractNumId w:val="14"/>
  </w:num>
  <w:num w:numId="11">
    <w:abstractNumId w:val="23"/>
  </w:num>
  <w:num w:numId="12">
    <w:abstractNumId w:val="15"/>
  </w:num>
  <w:num w:numId="13">
    <w:abstractNumId w:val="19"/>
  </w:num>
  <w:num w:numId="14">
    <w:abstractNumId w:val="28"/>
  </w:num>
  <w:num w:numId="15">
    <w:abstractNumId w:val="18"/>
  </w:num>
  <w:num w:numId="16">
    <w:abstractNumId w:val="22"/>
  </w:num>
  <w:num w:numId="17">
    <w:abstractNumId w:val="5"/>
  </w:num>
  <w:num w:numId="18">
    <w:abstractNumId w:val="10"/>
  </w:num>
  <w:num w:numId="19">
    <w:abstractNumId w:val="16"/>
  </w:num>
  <w:num w:numId="20">
    <w:abstractNumId w:val="3"/>
  </w:num>
  <w:num w:numId="21">
    <w:abstractNumId w:val="26"/>
  </w:num>
  <w:num w:numId="22">
    <w:abstractNumId w:val="11"/>
  </w:num>
  <w:num w:numId="23">
    <w:abstractNumId w:val="0"/>
  </w:num>
  <w:num w:numId="24">
    <w:abstractNumId w:val="20"/>
  </w:num>
  <w:num w:numId="25">
    <w:abstractNumId w:val="12"/>
  </w:num>
  <w:num w:numId="26">
    <w:abstractNumId w:val="4"/>
  </w:num>
  <w:num w:numId="27">
    <w:abstractNumId w:val="7"/>
  </w:num>
  <w:num w:numId="28">
    <w:abstractNumId w:val="8"/>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C17"/>
    <w:rsid w:val="00054888"/>
    <w:rsid w:val="00061BCE"/>
    <w:rsid w:val="000A61E2"/>
    <w:rsid w:val="000C72A0"/>
    <w:rsid w:val="00124035"/>
    <w:rsid w:val="00144FD1"/>
    <w:rsid w:val="00152BF7"/>
    <w:rsid w:val="001C76B4"/>
    <w:rsid w:val="002736FC"/>
    <w:rsid w:val="0029409B"/>
    <w:rsid w:val="00380AA7"/>
    <w:rsid w:val="0038176D"/>
    <w:rsid w:val="003D3146"/>
    <w:rsid w:val="003F6E02"/>
    <w:rsid w:val="00446FDE"/>
    <w:rsid w:val="004B44E8"/>
    <w:rsid w:val="00555150"/>
    <w:rsid w:val="0059101B"/>
    <w:rsid w:val="006724A7"/>
    <w:rsid w:val="006A525B"/>
    <w:rsid w:val="006C17FD"/>
    <w:rsid w:val="007732DE"/>
    <w:rsid w:val="007E2E32"/>
    <w:rsid w:val="007F4E20"/>
    <w:rsid w:val="00800FEE"/>
    <w:rsid w:val="0080335A"/>
    <w:rsid w:val="0081677C"/>
    <w:rsid w:val="00821C17"/>
    <w:rsid w:val="00827243"/>
    <w:rsid w:val="00827975"/>
    <w:rsid w:val="00850D0E"/>
    <w:rsid w:val="008D6D97"/>
    <w:rsid w:val="00913D07"/>
    <w:rsid w:val="0098053E"/>
    <w:rsid w:val="00A8455E"/>
    <w:rsid w:val="00A853BE"/>
    <w:rsid w:val="00AD2E42"/>
    <w:rsid w:val="00AE34EC"/>
    <w:rsid w:val="00B04038"/>
    <w:rsid w:val="00BD3091"/>
    <w:rsid w:val="00C0539A"/>
    <w:rsid w:val="00CC21FF"/>
    <w:rsid w:val="00CD4FA4"/>
    <w:rsid w:val="00E53CD3"/>
    <w:rsid w:val="00E64EE9"/>
    <w:rsid w:val="00E8503E"/>
    <w:rsid w:val="00EC128D"/>
    <w:rsid w:val="00EC540F"/>
    <w:rsid w:val="00F01A01"/>
    <w:rsid w:val="00FE36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C17"/>
    <w:pPr>
      <w:spacing w:line="240" w:lineRule="auto"/>
    </w:pPr>
    <w:rPr>
      <w:rFonts w:asciiTheme="minorHAnsi" w:eastAsiaTheme="minorEastAsia" w:hAnsiTheme="minorHAnsi"/>
      <w:szCs w:val="24"/>
      <w:lang w:eastAsia="en-AU"/>
    </w:rPr>
  </w:style>
  <w:style w:type="paragraph" w:styleId="Heading1">
    <w:name w:val="heading 1"/>
    <w:basedOn w:val="Normal"/>
    <w:next w:val="Normal"/>
    <w:link w:val="Heading1Char"/>
    <w:uiPriority w:val="9"/>
    <w:qFormat/>
    <w:rsid w:val="00821C17"/>
    <w:pPr>
      <w:keepNext/>
      <w:keepLines/>
      <w:spacing w:before="480" w:after="240"/>
      <w:outlineLvl w:val="0"/>
    </w:pPr>
    <w:rPr>
      <w:rFonts w:eastAsiaTheme="majorEastAsia" w:cstheme="majorBidi"/>
      <w:b/>
      <w:bCs/>
      <w:sz w:val="40"/>
      <w:szCs w:val="28"/>
    </w:rPr>
  </w:style>
  <w:style w:type="paragraph" w:styleId="Heading2">
    <w:name w:val="heading 2"/>
    <w:basedOn w:val="Heading4"/>
    <w:next w:val="Normal"/>
    <w:link w:val="Heading2Char"/>
    <w:uiPriority w:val="9"/>
    <w:unhideWhenUsed/>
    <w:qFormat/>
    <w:rsid w:val="00821C17"/>
    <w:pPr>
      <w:outlineLvl w:val="1"/>
    </w:pPr>
    <w:rPr>
      <w:i w:val="0"/>
      <w:sz w:val="24"/>
      <w:szCs w:val="24"/>
    </w:rPr>
  </w:style>
  <w:style w:type="paragraph" w:styleId="Heading3">
    <w:name w:val="heading 3"/>
    <w:basedOn w:val="Normal"/>
    <w:next w:val="Normal"/>
    <w:link w:val="Heading3Char"/>
    <w:uiPriority w:val="9"/>
    <w:unhideWhenUsed/>
    <w:qFormat/>
    <w:rsid w:val="00821C17"/>
    <w:pPr>
      <w:spacing w:before="240"/>
      <w:outlineLvl w:val="2"/>
    </w:pPr>
    <w:rPr>
      <w:b/>
      <w:i/>
      <w:szCs w:val="28"/>
    </w:rPr>
  </w:style>
  <w:style w:type="paragraph" w:styleId="Heading4">
    <w:name w:val="heading 4"/>
    <w:basedOn w:val="Heading3"/>
    <w:next w:val="Normal"/>
    <w:link w:val="Heading4Char"/>
    <w:uiPriority w:val="9"/>
    <w:unhideWhenUsed/>
    <w:qFormat/>
    <w:rsid w:val="00821C17"/>
    <w:pPr>
      <w:outlineLvl w:val="3"/>
    </w:pPr>
    <w:rPr>
      <w:sz w:val="32"/>
      <w:szCs w:val="32"/>
    </w:rPr>
  </w:style>
  <w:style w:type="paragraph" w:styleId="Heading5">
    <w:name w:val="heading 5"/>
    <w:basedOn w:val="Normal"/>
    <w:next w:val="Normal"/>
    <w:link w:val="Heading5Char"/>
    <w:uiPriority w:val="9"/>
    <w:unhideWhenUsed/>
    <w:qFormat/>
    <w:rsid w:val="00821C17"/>
    <w:pPr>
      <w:keepNext/>
      <w:keepLines/>
      <w:spacing w:before="240"/>
      <w:outlineLvl w:val="4"/>
    </w:pPr>
    <w:rPr>
      <w:rFonts w:eastAsiaTheme="majorEastAsia" w:cstheme="majorBidi"/>
    </w:rPr>
  </w:style>
  <w:style w:type="paragraph" w:styleId="Heading6">
    <w:name w:val="heading 6"/>
    <w:basedOn w:val="Normal"/>
    <w:next w:val="Normal"/>
    <w:link w:val="Heading6Char"/>
    <w:uiPriority w:val="9"/>
    <w:unhideWhenUsed/>
    <w:qFormat/>
    <w:rsid w:val="00821C17"/>
    <w:pPr>
      <w:keepNext/>
      <w:keepLines/>
      <w:spacing w:before="200" w:after="0" w:line="276" w:lineRule="auto"/>
      <w:outlineLvl w:val="5"/>
    </w:pPr>
    <w:rPr>
      <w:rFonts w:asciiTheme="majorHAnsi" w:eastAsiaTheme="majorEastAsia" w:hAnsiTheme="majorHAnsi" w:cstheme="majorBidi"/>
      <w:i/>
      <w:iCs/>
      <w:color w:val="243F60" w:themeColor="accent1" w:themeShade="7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C17"/>
    <w:rPr>
      <w:rFonts w:asciiTheme="minorHAnsi" w:eastAsiaTheme="majorEastAsia" w:hAnsiTheme="minorHAnsi" w:cstheme="majorBidi"/>
      <w:b/>
      <w:bCs/>
      <w:sz w:val="40"/>
      <w:szCs w:val="28"/>
      <w:lang w:eastAsia="en-AU"/>
    </w:rPr>
  </w:style>
  <w:style w:type="character" w:customStyle="1" w:styleId="Heading2Char">
    <w:name w:val="Heading 2 Char"/>
    <w:basedOn w:val="DefaultParagraphFont"/>
    <w:link w:val="Heading2"/>
    <w:uiPriority w:val="9"/>
    <w:rsid w:val="00821C17"/>
    <w:rPr>
      <w:rFonts w:asciiTheme="minorHAnsi" w:eastAsiaTheme="minorEastAsia" w:hAnsiTheme="minorHAnsi"/>
      <w:b/>
      <w:szCs w:val="24"/>
      <w:lang w:eastAsia="en-AU"/>
    </w:rPr>
  </w:style>
  <w:style w:type="character" w:customStyle="1" w:styleId="Heading3Char">
    <w:name w:val="Heading 3 Char"/>
    <w:basedOn w:val="DefaultParagraphFont"/>
    <w:link w:val="Heading3"/>
    <w:uiPriority w:val="9"/>
    <w:rsid w:val="00821C17"/>
    <w:rPr>
      <w:rFonts w:asciiTheme="minorHAnsi" w:eastAsiaTheme="minorEastAsia" w:hAnsiTheme="minorHAnsi"/>
      <w:b/>
      <w:i/>
      <w:szCs w:val="28"/>
      <w:lang w:eastAsia="en-AU"/>
    </w:rPr>
  </w:style>
  <w:style w:type="character" w:customStyle="1" w:styleId="Heading4Char">
    <w:name w:val="Heading 4 Char"/>
    <w:basedOn w:val="DefaultParagraphFont"/>
    <w:link w:val="Heading4"/>
    <w:uiPriority w:val="9"/>
    <w:rsid w:val="00821C17"/>
    <w:rPr>
      <w:rFonts w:asciiTheme="minorHAnsi" w:eastAsiaTheme="minorEastAsia" w:hAnsiTheme="minorHAnsi"/>
      <w:b/>
      <w:i/>
      <w:sz w:val="32"/>
      <w:szCs w:val="32"/>
      <w:lang w:eastAsia="en-AU"/>
    </w:rPr>
  </w:style>
  <w:style w:type="character" w:customStyle="1" w:styleId="Heading5Char">
    <w:name w:val="Heading 5 Char"/>
    <w:basedOn w:val="DefaultParagraphFont"/>
    <w:link w:val="Heading5"/>
    <w:uiPriority w:val="9"/>
    <w:rsid w:val="00821C17"/>
    <w:rPr>
      <w:rFonts w:asciiTheme="minorHAnsi" w:eastAsiaTheme="majorEastAsia" w:hAnsiTheme="minorHAnsi" w:cstheme="majorBidi"/>
      <w:szCs w:val="24"/>
      <w:lang w:eastAsia="en-AU"/>
    </w:rPr>
  </w:style>
  <w:style w:type="character" w:customStyle="1" w:styleId="Heading6Char">
    <w:name w:val="Heading 6 Char"/>
    <w:basedOn w:val="DefaultParagraphFont"/>
    <w:link w:val="Heading6"/>
    <w:uiPriority w:val="9"/>
    <w:rsid w:val="00821C17"/>
    <w:rPr>
      <w:rFonts w:asciiTheme="majorHAnsi" w:eastAsiaTheme="majorEastAsia" w:hAnsiTheme="majorHAnsi" w:cstheme="majorBidi"/>
      <w:i/>
      <w:iCs/>
      <w:color w:val="243F60" w:themeColor="accent1" w:themeShade="7F"/>
      <w:sz w:val="22"/>
    </w:rPr>
  </w:style>
  <w:style w:type="paragraph" w:styleId="BalloonText">
    <w:name w:val="Balloon Text"/>
    <w:basedOn w:val="Normal"/>
    <w:link w:val="BalloonTextChar"/>
    <w:uiPriority w:val="99"/>
    <w:semiHidden/>
    <w:unhideWhenUsed/>
    <w:rsid w:val="00821C1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1C17"/>
    <w:rPr>
      <w:rFonts w:ascii="Tahoma" w:eastAsiaTheme="minorEastAsia" w:hAnsi="Tahoma" w:cs="Tahoma"/>
      <w:sz w:val="16"/>
      <w:szCs w:val="16"/>
      <w:lang w:eastAsia="en-AU"/>
    </w:rPr>
  </w:style>
  <w:style w:type="character" w:styleId="CommentReference">
    <w:name w:val="annotation reference"/>
    <w:basedOn w:val="DefaultParagraphFont"/>
    <w:uiPriority w:val="99"/>
    <w:semiHidden/>
    <w:unhideWhenUsed/>
    <w:rsid w:val="00821C17"/>
    <w:rPr>
      <w:sz w:val="16"/>
      <w:szCs w:val="16"/>
    </w:rPr>
  </w:style>
  <w:style w:type="paragraph" w:styleId="CommentText">
    <w:name w:val="annotation text"/>
    <w:basedOn w:val="Normal"/>
    <w:link w:val="CommentTextChar"/>
    <w:uiPriority w:val="99"/>
    <w:semiHidden/>
    <w:unhideWhenUsed/>
    <w:rsid w:val="00821C17"/>
    <w:rPr>
      <w:sz w:val="20"/>
      <w:szCs w:val="20"/>
    </w:rPr>
  </w:style>
  <w:style w:type="character" w:customStyle="1" w:styleId="CommentTextChar">
    <w:name w:val="Comment Text Char"/>
    <w:basedOn w:val="DefaultParagraphFont"/>
    <w:link w:val="CommentText"/>
    <w:uiPriority w:val="99"/>
    <w:semiHidden/>
    <w:rsid w:val="00821C17"/>
    <w:rPr>
      <w:rFonts w:asciiTheme="minorHAnsi" w:eastAsiaTheme="minorEastAsia" w:hAnsiTheme="minorHAnsi"/>
      <w:sz w:val="20"/>
      <w:szCs w:val="20"/>
      <w:lang w:eastAsia="en-AU"/>
    </w:rPr>
  </w:style>
  <w:style w:type="paragraph" w:styleId="CommentSubject">
    <w:name w:val="annotation subject"/>
    <w:basedOn w:val="CommentText"/>
    <w:next w:val="CommentText"/>
    <w:link w:val="CommentSubjectChar"/>
    <w:uiPriority w:val="99"/>
    <w:semiHidden/>
    <w:unhideWhenUsed/>
    <w:rsid w:val="00821C17"/>
    <w:rPr>
      <w:b/>
      <w:bCs/>
    </w:rPr>
  </w:style>
  <w:style w:type="character" w:customStyle="1" w:styleId="CommentSubjectChar">
    <w:name w:val="Comment Subject Char"/>
    <w:basedOn w:val="CommentTextChar"/>
    <w:link w:val="CommentSubject"/>
    <w:uiPriority w:val="99"/>
    <w:semiHidden/>
    <w:rsid w:val="00821C17"/>
    <w:rPr>
      <w:rFonts w:asciiTheme="minorHAnsi" w:eastAsiaTheme="minorEastAsia" w:hAnsiTheme="minorHAnsi"/>
      <w:b/>
      <w:bCs/>
      <w:sz w:val="20"/>
      <w:szCs w:val="20"/>
      <w:lang w:eastAsia="en-AU"/>
    </w:rPr>
  </w:style>
  <w:style w:type="paragraph" w:styleId="Title">
    <w:name w:val="Title"/>
    <w:basedOn w:val="Normal"/>
    <w:next w:val="Normal"/>
    <w:link w:val="TitleChar"/>
    <w:uiPriority w:val="10"/>
    <w:qFormat/>
    <w:rsid w:val="00821C17"/>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821C17"/>
    <w:rPr>
      <w:rFonts w:asciiTheme="minorHAnsi" w:eastAsiaTheme="majorEastAsia" w:hAnsiTheme="minorHAnsi" w:cstheme="majorBidi"/>
      <w:b/>
      <w:spacing w:val="5"/>
      <w:kern w:val="28"/>
      <w:sz w:val="52"/>
      <w:szCs w:val="52"/>
      <w:lang w:eastAsia="en-AU"/>
    </w:rPr>
  </w:style>
  <w:style w:type="paragraph" w:styleId="Footer">
    <w:name w:val="footer"/>
    <w:basedOn w:val="Normal"/>
    <w:link w:val="FooterChar"/>
    <w:uiPriority w:val="99"/>
    <w:unhideWhenUsed/>
    <w:rsid w:val="00821C17"/>
    <w:pPr>
      <w:tabs>
        <w:tab w:val="center" w:pos="4320"/>
        <w:tab w:val="right" w:pos="8640"/>
      </w:tabs>
      <w:spacing w:after="0"/>
    </w:pPr>
  </w:style>
  <w:style w:type="character" w:customStyle="1" w:styleId="FooterChar">
    <w:name w:val="Footer Char"/>
    <w:basedOn w:val="DefaultParagraphFont"/>
    <w:link w:val="Footer"/>
    <w:uiPriority w:val="99"/>
    <w:rsid w:val="00821C17"/>
    <w:rPr>
      <w:rFonts w:asciiTheme="minorHAnsi" w:eastAsiaTheme="minorEastAsia" w:hAnsiTheme="minorHAnsi"/>
      <w:szCs w:val="24"/>
      <w:lang w:eastAsia="en-AU"/>
    </w:rPr>
  </w:style>
  <w:style w:type="character" w:styleId="PageNumber">
    <w:name w:val="page number"/>
    <w:basedOn w:val="DefaultParagraphFont"/>
    <w:uiPriority w:val="99"/>
    <w:semiHidden/>
    <w:unhideWhenUsed/>
    <w:rsid w:val="00821C17"/>
  </w:style>
  <w:style w:type="paragraph" w:styleId="Header">
    <w:name w:val="header"/>
    <w:basedOn w:val="Normal"/>
    <w:link w:val="HeaderChar"/>
    <w:uiPriority w:val="99"/>
    <w:unhideWhenUsed/>
    <w:rsid w:val="00821C17"/>
    <w:pPr>
      <w:tabs>
        <w:tab w:val="center" w:pos="4320"/>
        <w:tab w:val="right" w:pos="8640"/>
      </w:tabs>
      <w:spacing w:after="0"/>
    </w:pPr>
  </w:style>
  <w:style w:type="character" w:customStyle="1" w:styleId="HeaderChar">
    <w:name w:val="Header Char"/>
    <w:basedOn w:val="DefaultParagraphFont"/>
    <w:link w:val="Header"/>
    <w:uiPriority w:val="99"/>
    <w:rsid w:val="00821C17"/>
    <w:rPr>
      <w:rFonts w:asciiTheme="minorHAnsi" w:eastAsiaTheme="minorEastAsia" w:hAnsiTheme="minorHAnsi"/>
      <w:szCs w:val="24"/>
      <w:lang w:eastAsia="en-AU"/>
    </w:rPr>
  </w:style>
  <w:style w:type="paragraph" w:styleId="DocumentMap">
    <w:name w:val="Document Map"/>
    <w:basedOn w:val="Normal"/>
    <w:link w:val="DocumentMapChar"/>
    <w:uiPriority w:val="99"/>
    <w:semiHidden/>
    <w:unhideWhenUsed/>
    <w:rsid w:val="00821C17"/>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21C17"/>
    <w:rPr>
      <w:rFonts w:ascii="Lucida Grande" w:eastAsiaTheme="minorEastAsia" w:hAnsi="Lucida Grande" w:cs="Lucida Grande"/>
      <w:szCs w:val="24"/>
      <w:lang w:eastAsia="en-AU"/>
    </w:rPr>
  </w:style>
  <w:style w:type="table" w:styleId="TableGrid">
    <w:name w:val="Table Grid"/>
    <w:basedOn w:val="TableNormal"/>
    <w:rsid w:val="00821C17"/>
    <w:pPr>
      <w:spacing w:after="0" w:line="240" w:lineRule="auto"/>
    </w:pPr>
    <w:rPr>
      <w:rFonts w:asciiTheme="minorHAnsi" w:eastAsiaTheme="minorEastAsia" w:hAnsiTheme="minorHAnsi"/>
      <w:sz w:val="22"/>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821C17"/>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821C17"/>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821C17"/>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821C17"/>
    <w:rPr>
      <w:rFonts w:cs="Baskerville"/>
      <w:sz w:val="20"/>
      <w:szCs w:val="20"/>
    </w:rPr>
  </w:style>
  <w:style w:type="paragraph" w:customStyle="1" w:styleId="Tabletitle">
    <w:name w:val="Table title"/>
    <w:basedOn w:val="Heading4"/>
    <w:link w:val="TabletitleChar"/>
    <w:qFormat/>
    <w:rsid w:val="00821C17"/>
    <w:pPr>
      <w:spacing w:after="20"/>
    </w:pPr>
    <w:rPr>
      <w:szCs w:val="24"/>
    </w:rPr>
  </w:style>
  <w:style w:type="paragraph" w:customStyle="1" w:styleId="Figurecaption">
    <w:name w:val="Figure caption"/>
    <w:basedOn w:val="Normal"/>
    <w:link w:val="FigurecaptionChar"/>
    <w:qFormat/>
    <w:rsid w:val="00821C17"/>
    <w:pPr>
      <w:spacing w:before="60" w:after="60"/>
    </w:pPr>
    <w:rPr>
      <w:sz w:val="20"/>
      <w:szCs w:val="20"/>
      <w:lang w:eastAsia="en-US"/>
    </w:rPr>
  </w:style>
  <w:style w:type="character" w:customStyle="1" w:styleId="FigurecaptionChar">
    <w:name w:val="Figure caption Char"/>
    <w:basedOn w:val="DefaultParagraphFont"/>
    <w:link w:val="Figurecaption"/>
    <w:rsid w:val="00821C17"/>
    <w:rPr>
      <w:rFonts w:asciiTheme="minorHAnsi" w:eastAsiaTheme="minorEastAsia" w:hAnsiTheme="minorHAnsi"/>
      <w:sz w:val="20"/>
      <w:szCs w:val="20"/>
    </w:rPr>
  </w:style>
  <w:style w:type="paragraph" w:styleId="FootnoteText">
    <w:name w:val="footnote text"/>
    <w:basedOn w:val="Normal"/>
    <w:link w:val="FootnoteTextChar"/>
    <w:uiPriority w:val="99"/>
    <w:semiHidden/>
    <w:unhideWhenUsed/>
    <w:rsid w:val="00821C17"/>
    <w:pPr>
      <w:spacing w:after="0"/>
    </w:pPr>
    <w:rPr>
      <w:sz w:val="18"/>
      <w:szCs w:val="20"/>
    </w:rPr>
  </w:style>
  <w:style w:type="character" w:customStyle="1" w:styleId="FootnoteTextChar">
    <w:name w:val="Footnote Text Char"/>
    <w:basedOn w:val="DefaultParagraphFont"/>
    <w:link w:val="FootnoteText"/>
    <w:uiPriority w:val="99"/>
    <w:semiHidden/>
    <w:rsid w:val="00821C17"/>
    <w:rPr>
      <w:rFonts w:asciiTheme="minorHAnsi" w:eastAsiaTheme="minorEastAsia" w:hAnsiTheme="minorHAnsi"/>
      <w:sz w:val="18"/>
      <w:szCs w:val="20"/>
      <w:lang w:eastAsia="en-AU"/>
    </w:rPr>
  </w:style>
  <w:style w:type="character" w:styleId="FootnoteReference">
    <w:name w:val="footnote reference"/>
    <w:basedOn w:val="DefaultParagraphFont"/>
    <w:uiPriority w:val="99"/>
    <w:semiHidden/>
    <w:unhideWhenUsed/>
    <w:rsid w:val="00821C17"/>
    <w:rPr>
      <w:vertAlign w:val="superscript"/>
    </w:rPr>
  </w:style>
  <w:style w:type="character" w:customStyle="1" w:styleId="TabletitleChar">
    <w:name w:val="Table title Char"/>
    <w:basedOn w:val="Heading4Char"/>
    <w:link w:val="Tabletitle"/>
    <w:rsid w:val="00821C17"/>
    <w:rPr>
      <w:rFonts w:asciiTheme="minorHAnsi" w:eastAsiaTheme="minorEastAsia" w:hAnsiTheme="minorHAnsi"/>
      <w:b/>
      <w:i/>
      <w:sz w:val="32"/>
      <w:szCs w:val="24"/>
      <w:lang w:eastAsia="en-AU"/>
    </w:rPr>
  </w:style>
  <w:style w:type="paragraph" w:customStyle="1" w:styleId="Figuretitle">
    <w:name w:val="Figure title"/>
    <w:basedOn w:val="Tabletitle"/>
    <w:link w:val="FiguretitleChar"/>
    <w:qFormat/>
    <w:rsid w:val="00821C17"/>
    <w:pPr>
      <w:spacing w:before="60" w:after="60"/>
    </w:pPr>
    <w:rPr>
      <w:i w:val="0"/>
      <w:lang w:val="en-US"/>
    </w:rPr>
  </w:style>
  <w:style w:type="character" w:customStyle="1" w:styleId="FiguretitleChar">
    <w:name w:val="Figure title Char"/>
    <w:basedOn w:val="TabletitleChar"/>
    <w:link w:val="Figuretitle"/>
    <w:rsid w:val="00821C17"/>
    <w:rPr>
      <w:rFonts w:asciiTheme="minorHAnsi" w:eastAsiaTheme="minorEastAsia" w:hAnsiTheme="minorHAnsi"/>
      <w:b/>
      <w:i w:val="0"/>
      <w:sz w:val="32"/>
      <w:szCs w:val="24"/>
      <w:lang w:val="en-US" w:eastAsia="en-AU"/>
    </w:rPr>
  </w:style>
  <w:style w:type="paragraph" w:styleId="NoSpacing">
    <w:name w:val="No Spacing"/>
    <w:uiPriority w:val="1"/>
    <w:qFormat/>
    <w:rsid w:val="00821C17"/>
    <w:pPr>
      <w:spacing w:after="0" w:line="240" w:lineRule="auto"/>
    </w:pPr>
    <w:rPr>
      <w:rFonts w:asciiTheme="minorHAnsi" w:eastAsiaTheme="minorEastAsia" w:hAnsiTheme="minorHAnsi"/>
      <w:szCs w:val="24"/>
      <w:lang w:eastAsia="en-AU"/>
    </w:rPr>
  </w:style>
  <w:style w:type="paragraph" w:styleId="ListParagraph">
    <w:name w:val="List Paragraph"/>
    <w:aliases w:val="Footnote,BulletPoints"/>
    <w:basedOn w:val="Normal"/>
    <w:link w:val="ListParagraphChar"/>
    <w:uiPriority w:val="34"/>
    <w:qFormat/>
    <w:rsid w:val="00821C17"/>
    <w:pPr>
      <w:ind w:left="720"/>
      <w:contextualSpacing/>
    </w:pPr>
  </w:style>
  <w:style w:type="character" w:styleId="Hyperlink">
    <w:name w:val="Hyperlink"/>
    <w:basedOn w:val="DefaultParagraphFont"/>
    <w:uiPriority w:val="99"/>
    <w:unhideWhenUsed/>
    <w:rsid w:val="00821C17"/>
    <w:rPr>
      <w:color w:val="0000FF" w:themeColor="hyperlink"/>
      <w:u w:val="single"/>
    </w:rPr>
  </w:style>
  <w:style w:type="character" w:styleId="FollowedHyperlink">
    <w:name w:val="FollowedHyperlink"/>
    <w:basedOn w:val="DefaultParagraphFont"/>
    <w:uiPriority w:val="99"/>
    <w:semiHidden/>
    <w:unhideWhenUsed/>
    <w:rsid w:val="00821C17"/>
    <w:rPr>
      <w:color w:val="800080" w:themeColor="followedHyperlink"/>
      <w:u w:val="single"/>
    </w:rPr>
  </w:style>
  <w:style w:type="paragraph" w:customStyle="1" w:styleId="Table-bodytext">
    <w:name w:val="Table - body text"/>
    <w:basedOn w:val="Normal"/>
    <w:link w:val="Table-bodytextChar"/>
    <w:rsid w:val="00821C17"/>
    <w:pPr>
      <w:spacing w:after="0"/>
      <w:jc w:val="center"/>
    </w:pPr>
    <w:rPr>
      <w:rFonts w:ascii="Times New Roman" w:eastAsia="Times New Roman" w:hAnsi="Times New Roman" w:cs="Arial"/>
      <w:sz w:val="20"/>
      <w:lang w:eastAsia="en-US"/>
    </w:rPr>
  </w:style>
  <w:style w:type="character" w:customStyle="1" w:styleId="Table-bodytextChar">
    <w:name w:val="Table - body text Char"/>
    <w:basedOn w:val="DefaultParagraphFont"/>
    <w:link w:val="Table-bodytext"/>
    <w:rsid w:val="00821C17"/>
    <w:rPr>
      <w:rFonts w:eastAsia="Times New Roman" w:cs="Arial"/>
      <w:sz w:val="20"/>
      <w:szCs w:val="24"/>
    </w:rPr>
  </w:style>
  <w:style w:type="paragraph" w:customStyle="1" w:styleId="Table-columnheadings">
    <w:name w:val="Table - column headings"/>
    <w:basedOn w:val="Table-bodytext"/>
    <w:rsid w:val="00821C17"/>
    <w:pPr>
      <w:keepNext/>
    </w:pPr>
    <w:rPr>
      <w:b/>
      <w:bCs/>
    </w:rPr>
  </w:style>
  <w:style w:type="paragraph" w:customStyle="1" w:styleId="Tabletext">
    <w:name w:val="Tabletext"/>
    <w:basedOn w:val="Normal"/>
    <w:rsid w:val="00821C17"/>
    <w:pPr>
      <w:spacing w:after="0"/>
    </w:pPr>
    <w:rPr>
      <w:rFonts w:ascii="Times New Roman" w:eastAsia="Times New Roman" w:hAnsi="Times New Roman" w:cs="Times New Roman"/>
      <w:sz w:val="20"/>
      <w:lang w:eastAsia="en-US"/>
    </w:rPr>
  </w:style>
  <w:style w:type="character" w:customStyle="1" w:styleId="apple-converted-space">
    <w:name w:val="apple-converted-space"/>
    <w:basedOn w:val="DefaultParagraphFont"/>
    <w:rsid w:val="00821C17"/>
  </w:style>
  <w:style w:type="character" w:customStyle="1" w:styleId="ref-journal">
    <w:name w:val="ref-journal"/>
    <w:basedOn w:val="DefaultParagraphFont"/>
    <w:rsid w:val="00821C17"/>
  </w:style>
  <w:style w:type="character" w:customStyle="1" w:styleId="ref-vol">
    <w:name w:val="ref-vol"/>
    <w:basedOn w:val="DefaultParagraphFont"/>
    <w:rsid w:val="00821C17"/>
  </w:style>
  <w:style w:type="paragraph" w:styleId="NormalWeb">
    <w:name w:val="Normal (Web)"/>
    <w:basedOn w:val="Normal"/>
    <w:uiPriority w:val="99"/>
    <w:semiHidden/>
    <w:unhideWhenUsed/>
    <w:rsid w:val="00821C17"/>
    <w:pPr>
      <w:spacing w:before="100" w:beforeAutospacing="1" w:after="100" w:afterAutospacing="1"/>
    </w:pPr>
    <w:rPr>
      <w:rFonts w:ascii="Times New Roman" w:eastAsiaTheme="minorHAnsi" w:hAnsi="Times New Roman" w:cs="Times New Roman"/>
    </w:rPr>
  </w:style>
  <w:style w:type="character" w:customStyle="1" w:styleId="ListParagraphChar">
    <w:name w:val="List Paragraph Char"/>
    <w:aliases w:val="Footnote Char,BulletPoints Char"/>
    <w:link w:val="ListParagraph"/>
    <w:uiPriority w:val="34"/>
    <w:rsid w:val="002736FC"/>
    <w:rPr>
      <w:rFonts w:asciiTheme="minorHAnsi" w:eastAsiaTheme="minorEastAsia" w:hAnsiTheme="minorHAnsi"/>
      <w:szCs w:val="24"/>
      <w:lang w:eastAsia="en-AU"/>
    </w:rPr>
  </w:style>
  <w:style w:type="paragraph" w:styleId="Revision">
    <w:name w:val="Revision"/>
    <w:hidden/>
    <w:uiPriority w:val="99"/>
    <w:semiHidden/>
    <w:rsid w:val="00850D0E"/>
    <w:pPr>
      <w:spacing w:after="0" w:line="240" w:lineRule="auto"/>
    </w:pPr>
    <w:rPr>
      <w:rFonts w:asciiTheme="minorHAnsi" w:eastAsiaTheme="minorEastAsia" w:hAnsiTheme="minorHAnsi"/>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C17"/>
    <w:pPr>
      <w:spacing w:line="240" w:lineRule="auto"/>
    </w:pPr>
    <w:rPr>
      <w:rFonts w:asciiTheme="minorHAnsi" w:eastAsiaTheme="minorEastAsia" w:hAnsiTheme="minorHAnsi"/>
      <w:szCs w:val="24"/>
      <w:lang w:eastAsia="en-AU"/>
    </w:rPr>
  </w:style>
  <w:style w:type="paragraph" w:styleId="Heading1">
    <w:name w:val="heading 1"/>
    <w:basedOn w:val="Normal"/>
    <w:next w:val="Normal"/>
    <w:link w:val="Heading1Char"/>
    <w:uiPriority w:val="9"/>
    <w:qFormat/>
    <w:rsid w:val="00821C17"/>
    <w:pPr>
      <w:keepNext/>
      <w:keepLines/>
      <w:spacing w:before="480" w:after="240"/>
      <w:outlineLvl w:val="0"/>
    </w:pPr>
    <w:rPr>
      <w:rFonts w:eastAsiaTheme="majorEastAsia" w:cstheme="majorBidi"/>
      <w:b/>
      <w:bCs/>
      <w:sz w:val="40"/>
      <w:szCs w:val="28"/>
    </w:rPr>
  </w:style>
  <w:style w:type="paragraph" w:styleId="Heading2">
    <w:name w:val="heading 2"/>
    <w:basedOn w:val="Heading4"/>
    <w:next w:val="Normal"/>
    <w:link w:val="Heading2Char"/>
    <w:uiPriority w:val="9"/>
    <w:unhideWhenUsed/>
    <w:qFormat/>
    <w:rsid w:val="00821C17"/>
    <w:pPr>
      <w:outlineLvl w:val="1"/>
    </w:pPr>
    <w:rPr>
      <w:i w:val="0"/>
      <w:sz w:val="24"/>
      <w:szCs w:val="24"/>
    </w:rPr>
  </w:style>
  <w:style w:type="paragraph" w:styleId="Heading3">
    <w:name w:val="heading 3"/>
    <w:basedOn w:val="Normal"/>
    <w:next w:val="Normal"/>
    <w:link w:val="Heading3Char"/>
    <w:uiPriority w:val="9"/>
    <w:unhideWhenUsed/>
    <w:qFormat/>
    <w:rsid w:val="00821C17"/>
    <w:pPr>
      <w:spacing w:before="240"/>
      <w:outlineLvl w:val="2"/>
    </w:pPr>
    <w:rPr>
      <w:b/>
      <w:i/>
      <w:szCs w:val="28"/>
    </w:rPr>
  </w:style>
  <w:style w:type="paragraph" w:styleId="Heading4">
    <w:name w:val="heading 4"/>
    <w:basedOn w:val="Heading3"/>
    <w:next w:val="Normal"/>
    <w:link w:val="Heading4Char"/>
    <w:uiPriority w:val="9"/>
    <w:unhideWhenUsed/>
    <w:qFormat/>
    <w:rsid w:val="00821C17"/>
    <w:pPr>
      <w:outlineLvl w:val="3"/>
    </w:pPr>
    <w:rPr>
      <w:sz w:val="32"/>
      <w:szCs w:val="32"/>
    </w:rPr>
  </w:style>
  <w:style w:type="paragraph" w:styleId="Heading5">
    <w:name w:val="heading 5"/>
    <w:basedOn w:val="Normal"/>
    <w:next w:val="Normal"/>
    <w:link w:val="Heading5Char"/>
    <w:uiPriority w:val="9"/>
    <w:unhideWhenUsed/>
    <w:qFormat/>
    <w:rsid w:val="00821C17"/>
    <w:pPr>
      <w:keepNext/>
      <w:keepLines/>
      <w:spacing w:before="240"/>
      <w:outlineLvl w:val="4"/>
    </w:pPr>
    <w:rPr>
      <w:rFonts w:eastAsiaTheme="majorEastAsia" w:cstheme="majorBidi"/>
    </w:rPr>
  </w:style>
  <w:style w:type="paragraph" w:styleId="Heading6">
    <w:name w:val="heading 6"/>
    <w:basedOn w:val="Normal"/>
    <w:next w:val="Normal"/>
    <w:link w:val="Heading6Char"/>
    <w:uiPriority w:val="9"/>
    <w:unhideWhenUsed/>
    <w:qFormat/>
    <w:rsid w:val="00821C17"/>
    <w:pPr>
      <w:keepNext/>
      <w:keepLines/>
      <w:spacing w:before="200" w:after="0" w:line="276" w:lineRule="auto"/>
      <w:outlineLvl w:val="5"/>
    </w:pPr>
    <w:rPr>
      <w:rFonts w:asciiTheme="majorHAnsi" w:eastAsiaTheme="majorEastAsia" w:hAnsiTheme="majorHAnsi" w:cstheme="majorBidi"/>
      <w:i/>
      <w:iCs/>
      <w:color w:val="243F60" w:themeColor="accent1" w:themeShade="7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C17"/>
    <w:rPr>
      <w:rFonts w:asciiTheme="minorHAnsi" w:eastAsiaTheme="majorEastAsia" w:hAnsiTheme="minorHAnsi" w:cstheme="majorBidi"/>
      <w:b/>
      <w:bCs/>
      <w:sz w:val="40"/>
      <w:szCs w:val="28"/>
      <w:lang w:eastAsia="en-AU"/>
    </w:rPr>
  </w:style>
  <w:style w:type="character" w:customStyle="1" w:styleId="Heading2Char">
    <w:name w:val="Heading 2 Char"/>
    <w:basedOn w:val="DefaultParagraphFont"/>
    <w:link w:val="Heading2"/>
    <w:uiPriority w:val="9"/>
    <w:rsid w:val="00821C17"/>
    <w:rPr>
      <w:rFonts w:asciiTheme="minorHAnsi" w:eastAsiaTheme="minorEastAsia" w:hAnsiTheme="minorHAnsi"/>
      <w:b/>
      <w:szCs w:val="24"/>
      <w:lang w:eastAsia="en-AU"/>
    </w:rPr>
  </w:style>
  <w:style w:type="character" w:customStyle="1" w:styleId="Heading3Char">
    <w:name w:val="Heading 3 Char"/>
    <w:basedOn w:val="DefaultParagraphFont"/>
    <w:link w:val="Heading3"/>
    <w:uiPriority w:val="9"/>
    <w:rsid w:val="00821C17"/>
    <w:rPr>
      <w:rFonts w:asciiTheme="minorHAnsi" w:eastAsiaTheme="minorEastAsia" w:hAnsiTheme="minorHAnsi"/>
      <w:b/>
      <w:i/>
      <w:szCs w:val="28"/>
      <w:lang w:eastAsia="en-AU"/>
    </w:rPr>
  </w:style>
  <w:style w:type="character" w:customStyle="1" w:styleId="Heading4Char">
    <w:name w:val="Heading 4 Char"/>
    <w:basedOn w:val="DefaultParagraphFont"/>
    <w:link w:val="Heading4"/>
    <w:uiPriority w:val="9"/>
    <w:rsid w:val="00821C17"/>
    <w:rPr>
      <w:rFonts w:asciiTheme="minorHAnsi" w:eastAsiaTheme="minorEastAsia" w:hAnsiTheme="minorHAnsi"/>
      <w:b/>
      <w:i/>
      <w:sz w:val="32"/>
      <w:szCs w:val="32"/>
      <w:lang w:eastAsia="en-AU"/>
    </w:rPr>
  </w:style>
  <w:style w:type="character" w:customStyle="1" w:styleId="Heading5Char">
    <w:name w:val="Heading 5 Char"/>
    <w:basedOn w:val="DefaultParagraphFont"/>
    <w:link w:val="Heading5"/>
    <w:uiPriority w:val="9"/>
    <w:rsid w:val="00821C17"/>
    <w:rPr>
      <w:rFonts w:asciiTheme="minorHAnsi" w:eastAsiaTheme="majorEastAsia" w:hAnsiTheme="minorHAnsi" w:cstheme="majorBidi"/>
      <w:szCs w:val="24"/>
      <w:lang w:eastAsia="en-AU"/>
    </w:rPr>
  </w:style>
  <w:style w:type="character" w:customStyle="1" w:styleId="Heading6Char">
    <w:name w:val="Heading 6 Char"/>
    <w:basedOn w:val="DefaultParagraphFont"/>
    <w:link w:val="Heading6"/>
    <w:uiPriority w:val="9"/>
    <w:rsid w:val="00821C17"/>
    <w:rPr>
      <w:rFonts w:asciiTheme="majorHAnsi" w:eastAsiaTheme="majorEastAsia" w:hAnsiTheme="majorHAnsi" w:cstheme="majorBidi"/>
      <w:i/>
      <w:iCs/>
      <w:color w:val="243F60" w:themeColor="accent1" w:themeShade="7F"/>
      <w:sz w:val="22"/>
    </w:rPr>
  </w:style>
  <w:style w:type="paragraph" w:styleId="BalloonText">
    <w:name w:val="Balloon Text"/>
    <w:basedOn w:val="Normal"/>
    <w:link w:val="BalloonTextChar"/>
    <w:uiPriority w:val="99"/>
    <w:semiHidden/>
    <w:unhideWhenUsed/>
    <w:rsid w:val="00821C1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1C17"/>
    <w:rPr>
      <w:rFonts w:ascii="Tahoma" w:eastAsiaTheme="minorEastAsia" w:hAnsi="Tahoma" w:cs="Tahoma"/>
      <w:sz w:val="16"/>
      <w:szCs w:val="16"/>
      <w:lang w:eastAsia="en-AU"/>
    </w:rPr>
  </w:style>
  <w:style w:type="character" w:styleId="CommentReference">
    <w:name w:val="annotation reference"/>
    <w:basedOn w:val="DefaultParagraphFont"/>
    <w:uiPriority w:val="99"/>
    <w:semiHidden/>
    <w:unhideWhenUsed/>
    <w:rsid w:val="00821C17"/>
    <w:rPr>
      <w:sz w:val="16"/>
      <w:szCs w:val="16"/>
    </w:rPr>
  </w:style>
  <w:style w:type="paragraph" w:styleId="CommentText">
    <w:name w:val="annotation text"/>
    <w:basedOn w:val="Normal"/>
    <w:link w:val="CommentTextChar"/>
    <w:uiPriority w:val="99"/>
    <w:semiHidden/>
    <w:unhideWhenUsed/>
    <w:rsid w:val="00821C17"/>
    <w:rPr>
      <w:sz w:val="20"/>
      <w:szCs w:val="20"/>
    </w:rPr>
  </w:style>
  <w:style w:type="character" w:customStyle="1" w:styleId="CommentTextChar">
    <w:name w:val="Comment Text Char"/>
    <w:basedOn w:val="DefaultParagraphFont"/>
    <w:link w:val="CommentText"/>
    <w:uiPriority w:val="99"/>
    <w:semiHidden/>
    <w:rsid w:val="00821C17"/>
    <w:rPr>
      <w:rFonts w:asciiTheme="minorHAnsi" w:eastAsiaTheme="minorEastAsia" w:hAnsiTheme="minorHAnsi"/>
      <w:sz w:val="20"/>
      <w:szCs w:val="20"/>
      <w:lang w:eastAsia="en-AU"/>
    </w:rPr>
  </w:style>
  <w:style w:type="paragraph" w:styleId="CommentSubject">
    <w:name w:val="annotation subject"/>
    <w:basedOn w:val="CommentText"/>
    <w:next w:val="CommentText"/>
    <w:link w:val="CommentSubjectChar"/>
    <w:uiPriority w:val="99"/>
    <w:semiHidden/>
    <w:unhideWhenUsed/>
    <w:rsid w:val="00821C17"/>
    <w:rPr>
      <w:b/>
      <w:bCs/>
    </w:rPr>
  </w:style>
  <w:style w:type="character" w:customStyle="1" w:styleId="CommentSubjectChar">
    <w:name w:val="Comment Subject Char"/>
    <w:basedOn w:val="CommentTextChar"/>
    <w:link w:val="CommentSubject"/>
    <w:uiPriority w:val="99"/>
    <w:semiHidden/>
    <w:rsid w:val="00821C17"/>
    <w:rPr>
      <w:rFonts w:asciiTheme="minorHAnsi" w:eastAsiaTheme="minorEastAsia" w:hAnsiTheme="minorHAnsi"/>
      <w:b/>
      <w:bCs/>
      <w:sz w:val="20"/>
      <w:szCs w:val="20"/>
      <w:lang w:eastAsia="en-AU"/>
    </w:rPr>
  </w:style>
  <w:style w:type="paragraph" w:styleId="Title">
    <w:name w:val="Title"/>
    <w:basedOn w:val="Normal"/>
    <w:next w:val="Normal"/>
    <w:link w:val="TitleChar"/>
    <w:uiPriority w:val="10"/>
    <w:qFormat/>
    <w:rsid w:val="00821C17"/>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821C17"/>
    <w:rPr>
      <w:rFonts w:asciiTheme="minorHAnsi" w:eastAsiaTheme="majorEastAsia" w:hAnsiTheme="minorHAnsi" w:cstheme="majorBidi"/>
      <w:b/>
      <w:spacing w:val="5"/>
      <w:kern w:val="28"/>
      <w:sz w:val="52"/>
      <w:szCs w:val="52"/>
      <w:lang w:eastAsia="en-AU"/>
    </w:rPr>
  </w:style>
  <w:style w:type="paragraph" w:styleId="Footer">
    <w:name w:val="footer"/>
    <w:basedOn w:val="Normal"/>
    <w:link w:val="FooterChar"/>
    <w:uiPriority w:val="99"/>
    <w:unhideWhenUsed/>
    <w:rsid w:val="00821C17"/>
    <w:pPr>
      <w:tabs>
        <w:tab w:val="center" w:pos="4320"/>
        <w:tab w:val="right" w:pos="8640"/>
      </w:tabs>
      <w:spacing w:after="0"/>
    </w:pPr>
  </w:style>
  <w:style w:type="character" w:customStyle="1" w:styleId="FooterChar">
    <w:name w:val="Footer Char"/>
    <w:basedOn w:val="DefaultParagraphFont"/>
    <w:link w:val="Footer"/>
    <w:uiPriority w:val="99"/>
    <w:rsid w:val="00821C17"/>
    <w:rPr>
      <w:rFonts w:asciiTheme="minorHAnsi" w:eastAsiaTheme="minorEastAsia" w:hAnsiTheme="minorHAnsi"/>
      <w:szCs w:val="24"/>
      <w:lang w:eastAsia="en-AU"/>
    </w:rPr>
  </w:style>
  <w:style w:type="character" w:styleId="PageNumber">
    <w:name w:val="page number"/>
    <w:basedOn w:val="DefaultParagraphFont"/>
    <w:uiPriority w:val="99"/>
    <w:semiHidden/>
    <w:unhideWhenUsed/>
    <w:rsid w:val="00821C17"/>
  </w:style>
  <w:style w:type="paragraph" w:styleId="Header">
    <w:name w:val="header"/>
    <w:basedOn w:val="Normal"/>
    <w:link w:val="HeaderChar"/>
    <w:uiPriority w:val="99"/>
    <w:unhideWhenUsed/>
    <w:rsid w:val="00821C17"/>
    <w:pPr>
      <w:tabs>
        <w:tab w:val="center" w:pos="4320"/>
        <w:tab w:val="right" w:pos="8640"/>
      </w:tabs>
      <w:spacing w:after="0"/>
    </w:pPr>
  </w:style>
  <w:style w:type="character" w:customStyle="1" w:styleId="HeaderChar">
    <w:name w:val="Header Char"/>
    <w:basedOn w:val="DefaultParagraphFont"/>
    <w:link w:val="Header"/>
    <w:uiPriority w:val="99"/>
    <w:rsid w:val="00821C17"/>
    <w:rPr>
      <w:rFonts w:asciiTheme="minorHAnsi" w:eastAsiaTheme="minorEastAsia" w:hAnsiTheme="minorHAnsi"/>
      <w:szCs w:val="24"/>
      <w:lang w:eastAsia="en-AU"/>
    </w:rPr>
  </w:style>
  <w:style w:type="paragraph" w:styleId="DocumentMap">
    <w:name w:val="Document Map"/>
    <w:basedOn w:val="Normal"/>
    <w:link w:val="DocumentMapChar"/>
    <w:uiPriority w:val="99"/>
    <w:semiHidden/>
    <w:unhideWhenUsed/>
    <w:rsid w:val="00821C17"/>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21C17"/>
    <w:rPr>
      <w:rFonts w:ascii="Lucida Grande" w:eastAsiaTheme="minorEastAsia" w:hAnsi="Lucida Grande" w:cs="Lucida Grande"/>
      <w:szCs w:val="24"/>
      <w:lang w:eastAsia="en-AU"/>
    </w:rPr>
  </w:style>
  <w:style w:type="table" w:styleId="TableGrid">
    <w:name w:val="Table Grid"/>
    <w:basedOn w:val="TableNormal"/>
    <w:rsid w:val="00821C17"/>
    <w:pPr>
      <w:spacing w:after="0" w:line="240" w:lineRule="auto"/>
    </w:pPr>
    <w:rPr>
      <w:rFonts w:asciiTheme="minorHAnsi" w:eastAsiaTheme="minorEastAsia" w:hAnsiTheme="minorHAnsi"/>
      <w:sz w:val="22"/>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821C17"/>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821C17"/>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821C17"/>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821C17"/>
    <w:rPr>
      <w:rFonts w:cs="Baskerville"/>
      <w:sz w:val="20"/>
      <w:szCs w:val="20"/>
    </w:rPr>
  </w:style>
  <w:style w:type="paragraph" w:customStyle="1" w:styleId="Tabletitle">
    <w:name w:val="Table title"/>
    <w:basedOn w:val="Heading4"/>
    <w:link w:val="TabletitleChar"/>
    <w:qFormat/>
    <w:rsid w:val="00821C17"/>
    <w:pPr>
      <w:spacing w:after="20"/>
    </w:pPr>
    <w:rPr>
      <w:szCs w:val="24"/>
    </w:rPr>
  </w:style>
  <w:style w:type="paragraph" w:customStyle="1" w:styleId="Figurecaption">
    <w:name w:val="Figure caption"/>
    <w:basedOn w:val="Normal"/>
    <w:link w:val="FigurecaptionChar"/>
    <w:qFormat/>
    <w:rsid w:val="00821C17"/>
    <w:pPr>
      <w:spacing w:before="60" w:after="60"/>
    </w:pPr>
    <w:rPr>
      <w:sz w:val="20"/>
      <w:szCs w:val="20"/>
      <w:lang w:eastAsia="en-US"/>
    </w:rPr>
  </w:style>
  <w:style w:type="character" w:customStyle="1" w:styleId="FigurecaptionChar">
    <w:name w:val="Figure caption Char"/>
    <w:basedOn w:val="DefaultParagraphFont"/>
    <w:link w:val="Figurecaption"/>
    <w:rsid w:val="00821C17"/>
    <w:rPr>
      <w:rFonts w:asciiTheme="minorHAnsi" w:eastAsiaTheme="minorEastAsia" w:hAnsiTheme="minorHAnsi"/>
      <w:sz w:val="20"/>
      <w:szCs w:val="20"/>
    </w:rPr>
  </w:style>
  <w:style w:type="paragraph" w:styleId="FootnoteText">
    <w:name w:val="footnote text"/>
    <w:basedOn w:val="Normal"/>
    <w:link w:val="FootnoteTextChar"/>
    <w:uiPriority w:val="99"/>
    <w:semiHidden/>
    <w:unhideWhenUsed/>
    <w:rsid w:val="00821C17"/>
    <w:pPr>
      <w:spacing w:after="0"/>
    </w:pPr>
    <w:rPr>
      <w:sz w:val="18"/>
      <w:szCs w:val="20"/>
    </w:rPr>
  </w:style>
  <w:style w:type="character" w:customStyle="1" w:styleId="FootnoteTextChar">
    <w:name w:val="Footnote Text Char"/>
    <w:basedOn w:val="DefaultParagraphFont"/>
    <w:link w:val="FootnoteText"/>
    <w:uiPriority w:val="99"/>
    <w:semiHidden/>
    <w:rsid w:val="00821C17"/>
    <w:rPr>
      <w:rFonts w:asciiTheme="minorHAnsi" w:eastAsiaTheme="minorEastAsia" w:hAnsiTheme="minorHAnsi"/>
      <w:sz w:val="18"/>
      <w:szCs w:val="20"/>
      <w:lang w:eastAsia="en-AU"/>
    </w:rPr>
  </w:style>
  <w:style w:type="character" w:styleId="FootnoteReference">
    <w:name w:val="footnote reference"/>
    <w:basedOn w:val="DefaultParagraphFont"/>
    <w:uiPriority w:val="99"/>
    <w:semiHidden/>
    <w:unhideWhenUsed/>
    <w:rsid w:val="00821C17"/>
    <w:rPr>
      <w:vertAlign w:val="superscript"/>
    </w:rPr>
  </w:style>
  <w:style w:type="character" w:customStyle="1" w:styleId="TabletitleChar">
    <w:name w:val="Table title Char"/>
    <w:basedOn w:val="Heading4Char"/>
    <w:link w:val="Tabletitle"/>
    <w:rsid w:val="00821C17"/>
    <w:rPr>
      <w:rFonts w:asciiTheme="minorHAnsi" w:eastAsiaTheme="minorEastAsia" w:hAnsiTheme="minorHAnsi"/>
      <w:b/>
      <w:i/>
      <w:sz w:val="32"/>
      <w:szCs w:val="24"/>
      <w:lang w:eastAsia="en-AU"/>
    </w:rPr>
  </w:style>
  <w:style w:type="paragraph" w:customStyle="1" w:styleId="Figuretitle">
    <w:name w:val="Figure title"/>
    <w:basedOn w:val="Tabletitle"/>
    <w:link w:val="FiguretitleChar"/>
    <w:qFormat/>
    <w:rsid w:val="00821C17"/>
    <w:pPr>
      <w:spacing w:before="60" w:after="60"/>
    </w:pPr>
    <w:rPr>
      <w:i w:val="0"/>
      <w:lang w:val="en-US"/>
    </w:rPr>
  </w:style>
  <w:style w:type="character" w:customStyle="1" w:styleId="FiguretitleChar">
    <w:name w:val="Figure title Char"/>
    <w:basedOn w:val="TabletitleChar"/>
    <w:link w:val="Figuretitle"/>
    <w:rsid w:val="00821C17"/>
    <w:rPr>
      <w:rFonts w:asciiTheme="minorHAnsi" w:eastAsiaTheme="minorEastAsia" w:hAnsiTheme="minorHAnsi"/>
      <w:b/>
      <w:i w:val="0"/>
      <w:sz w:val="32"/>
      <w:szCs w:val="24"/>
      <w:lang w:val="en-US" w:eastAsia="en-AU"/>
    </w:rPr>
  </w:style>
  <w:style w:type="paragraph" w:styleId="NoSpacing">
    <w:name w:val="No Spacing"/>
    <w:uiPriority w:val="1"/>
    <w:qFormat/>
    <w:rsid w:val="00821C17"/>
    <w:pPr>
      <w:spacing w:after="0" w:line="240" w:lineRule="auto"/>
    </w:pPr>
    <w:rPr>
      <w:rFonts w:asciiTheme="minorHAnsi" w:eastAsiaTheme="minorEastAsia" w:hAnsiTheme="minorHAnsi"/>
      <w:szCs w:val="24"/>
      <w:lang w:eastAsia="en-AU"/>
    </w:rPr>
  </w:style>
  <w:style w:type="paragraph" w:styleId="ListParagraph">
    <w:name w:val="List Paragraph"/>
    <w:aliases w:val="Footnote,BulletPoints"/>
    <w:basedOn w:val="Normal"/>
    <w:link w:val="ListParagraphChar"/>
    <w:uiPriority w:val="34"/>
    <w:qFormat/>
    <w:rsid w:val="00821C17"/>
    <w:pPr>
      <w:ind w:left="720"/>
      <w:contextualSpacing/>
    </w:pPr>
  </w:style>
  <w:style w:type="character" w:styleId="Hyperlink">
    <w:name w:val="Hyperlink"/>
    <w:basedOn w:val="DefaultParagraphFont"/>
    <w:uiPriority w:val="99"/>
    <w:unhideWhenUsed/>
    <w:rsid w:val="00821C17"/>
    <w:rPr>
      <w:color w:val="0000FF" w:themeColor="hyperlink"/>
      <w:u w:val="single"/>
    </w:rPr>
  </w:style>
  <w:style w:type="character" w:styleId="FollowedHyperlink">
    <w:name w:val="FollowedHyperlink"/>
    <w:basedOn w:val="DefaultParagraphFont"/>
    <w:uiPriority w:val="99"/>
    <w:semiHidden/>
    <w:unhideWhenUsed/>
    <w:rsid w:val="00821C17"/>
    <w:rPr>
      <w:color w:val="800080" w:themeColor="followedHyperlink"/>
      <w:u w:val="single"/>
    </w:rPr>
  </w:style>
  <w:style w:type="paragraph" w:customStyle="1" w:styleId="Table-bodytext">
    <w:name w:val="Table - body text"/>
    <w:basedOn w:val="Normal"/>
    <w:link w:val="Table-bodytextChar"/>
    <w:rsid w:val="00821C17"/>
    <w:pPr>
      <w:spacing w:after="0"/>
      <w:jc w:val="center"/>
    </w:pPr>
    <w:rPr>
      <w:rFonts w:ascii="Times New Roman" w:eastAsia="Times New Roman" w:hAnsi="Times New Roman" w:cs="Arial"/>
      <w:sz w:val="20"/>
      <w:lang w:eastAsia="en-US"/>
    </w:rPr>
  </w:style>
  <w:style w:type="character" w:customStyle="1" w:styleId="Table-bodytextChar">
    <w:name w:val="Table - body text Char"/>
    <w:basedOn w:val="DefaultParagraphFont"/>
    <w:link w:val="Table-bodytext"/>
    <w:rsid w:val="00821C17"/>
    <w:rPr>
      <w:rFonts w:eastAsia="Times New Roman" w:cs="Arial"/>
      <w:sz w:val="20"/>
      <w:szCs w:val="24"/>
    </w:rPr>
  </w:style>
  <w:style w:type="paragraph" w:customStyle="1" w:styleId="Table-columnheadings">
    <w:name w:val="Table - column headings"/>
    <w:basedOn w:val="Table-bodytext"/>
    <w:rsid w:val="00821C17"/>
    <w:pPr>
      <w:keepNext/>
    </w:pPr>
    <w:rPr>
      <w:b/>
      <w:bCs/>
    </w:rPr>
  </w:style>
  <w:style w:type="paragraph" w:customStyle="1" w:styleId="Tabletext">
    <w:name w:val="Tabletext"/>
    <w:basedOn w:val="Normal"/>
    <w:rsid w:val="00821C17"/>
    <w:pPr>
      <w:spacing w:after="0"/>
    </w:pPr>
    <w:rPr>
      <w:rFonts w:ascii="Times New Roman" w:eastAsia="Times New Roman" w:hAnsi="Times New Roman" w:cs="Times New Roman"/>
      <w:sz w:val="20"/>
      <w:lang w:eastAsia="en-US"/>
    </w:rPr>
  </w:style>
  <w:style w:type="character" w:customStyle="1" w:styleId="apple-converted-space">
    <w:name w:val="apple-converted-space"/>
    <w:basedOn w:val="DefaultParagraphFont"/>
    <w:rsid w:val="00821C17"/>
  </w:style>
  <w:style w:type="character" w:customStyle="1" w:styleId="ref-journal">
    <w:name w:val="ref-journal"/>
    <w:basedOn w:val="DefaultParagraphFont"/>
    <w:rsid w:val="00821C17"/>
  </w:style>
  <w:style w:type="character" w:customStyle="1" w:styleId="ref-vol">
    <w:name w:val="ref-vol"/>
    <w:basedOn w:val="DefaultParagraphFont"/>
    <w:rsid w:val="00821C17"/>
  </w:style>
  <w:style w:type="paragraph" w:styleId="NormalWeb">
    <w:name w:val="Normal (Web)"/>
    <w:basedOn w:val="Normal"/>
    <w:uiPriority w:val="99"/>
    <w:semiHidden/>
    <w:unhideWhenUsed/>
    <w:rsid w:val="00821C17"/>
    <w:pPr>
      <w:spacing w:before="100" w:beforeAutospacing="1" w:after="100" w:afterAutospacing="1"/>
    </w:pPr>
    <w:rPr>
      <w:rFonts w:ascii="Times New Roman" w:eastAsiaTheme="minorHAnsi" w:hAnsi="Times New Roman" w:cs="Times New Roman"/>
    </w:rPr>
  </w:style>
  <w:style w:type="character" w:customStyle="1" w:styleId="ListParagraphChar">
    <w:name w:val="List Paragraph Char"/>
    <w:aliases w:val="Footnote Char,BulletPoints Char"/>
    <w:link w:val="ListParagraph"/>
    <w:uiPriority w:val="34"/>
    <w:rsid w:val="002736FC"/>
    <w:rPr>
      <w:rFonts w:asciiTheme="minorHAnsi" w:eastAsiaTheme="minorEastAsia" w:hAnsiTheme="minorHAnsi"/>
      <w:szCs w:val="24"/>
      <w:lang w:eastAsia="en-AU"/>
    </w:rPr>
  </w:style>
  <w:style w:type="paragraph" w:styleId="Revision">
    <w:name w:val="Revision"/>
    <w:hidden/>
    <w:uiPriority w:val="99"/>
    <w:semiHidden/>
    <w:rsid w:val="00850D0E"/>
    <w:pPr>
      <w:spacing w:after="0" w:line="240" w:lineRule="auto"/>
    </w:pPr>
    <w:rPr>
      <w:rFonts w:asciiTheme="minorHAnsi" w:eastAsiaTheme="minorEastAsia" w:hAnsiTheme="minorHAnsi"/>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chart" Target="charts/chart2.xm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eader" Target="head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medicareaustralia.gov.au/provider/pbs/stats.jsp"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entral.health\dfsgroupdata\sites\CO1\CO\PBD\PEB\EVAL\DUSC\DUSC%20Database%20and%20other%20utilisation%20data\Data%20Requests\Requests%202015\D880%20-%20bDMARDs%20for%20Psoriatic%20arthritis\addendum\D880%20-%20SEQ_FREQ,%20DMARDs%20prior%20to%20init%20-%20constant%204%20year%20lookback.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entral.health\dfsgroupdata\sites\CO1\CO\PBD\PEB\EVAL\DUSC\DUSC%20Database%20and%20other%20utilisation%20data\Data%20Requests\Requests%202015\D880%20-%20bDMARDs%20for%20Psoriatic%20arthritis\addendum\D880%20-%20SEQ_FREQ,%20DMARDs%20prior%20to%20init%20-%20constant%204%20year%20lookback.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entral.health\dfsgroupdata\sites\CO1\CO\PBD\PEB\EVAL\DUSC\DUSC%20Database%20and%20other%20utilisation%20data\Data%20Requests\Requests%202015\D880%20-%20bDMARDs%20for%20Psoriatic%20arthritis\addendum\D880_TRNS_ADJ_INIT,%20bDMARDS%20for%20PA,%20Oct13%20to%20Sep14%20inits,%20fu%20to%20sep15.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entral.health\dfsgroupdata\sites\CO1\CO\PBD\PEB\EVAL\DUSC\DUSC%20Database%20and%20other%20utilisation%20data\Data%20Requests\Requests%202015\D876%20-%20ankylosing%20spondylitis%20analysis%20for%20Feb%202016\D880%20-%20prevalent%20drg%20regimens,%20all%20pat_ids,%20dos%20jan10%20to%20sep1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[D880 - SEQ_FREQ, DMARDs prior to init - constant 4 year lookback.xlsx]pivot!PivotTable1</c:name>
    <c:fmtId val="-1"/>
  </c:pivotSource>
  <c:chart>
    <c:autoTitleDeleted val="1"/>
    <c:pivotFmts>
      <c:pivotFmt>
        <c:idx val="0"/>
      </c:pivotFmt>
      <c:pivotFmt>
        <c:idx val="1"/>
      </c:pivotFmt>
      <c:pivotFmt>
        <c:idx val="2"/>
      </c:pivotFmt>
      <c:pivotFmt>
        <c:idx val="3"/>
      </c:pivotFmt>
      <c:pivotFmt>
        <c:idx val="4"/>
      </c:pivotFmt>
      <c:pivotFmt>
        <c:idx val="5"/>
      </c:pivotFmt>
      <c:pivotFmt>
        <c:idx val="6"/>
      </c:pivotFmt>
      <c:pivotFmt>
        <c:idx val="7"/>
      </c:pivotFmt>
      <c:pivotFmt>
        <c:idx val="8"/>
      </c:pivotFmt>
      <c:pivotFmt>
        <c:idx val="9"/>
      </c:pivotFmt>
      <c:pivotFmt>
        <c:idx val="10"/>
      </c:pivotFmt>
      <c:pivotFmt>
        <c:idx val="11"/>
        <c:marker>
          <c:symbol val="none"/>
        </c:marker>
      </c:pivotFmt>
      <c:pivotFmt>
        <c:idx val="12"/>
        <c:marker>
          <c:symbol val="none"/>
        </c:marker>
      </c:pivotFmt>
      <c:pivotFmt>
        <c:idx val="13"/>
        <c:marker>
          <c:symbol val="none"/>
        </c:marker>
      </c:pivotFmt>
      <c:pivotFmt>
        <c:idx val="14"/>
        <c:marker>
          <c:symbol val="none"/>
        </c:marker>
        <c:dLbl>
          <c:idx val="0"/>
          <c:delete val="1"/>
        </c:dLbl>
      </c:pivotFmt>
      <c:pivotFmt>
        <c:idx val="15"/>
        <c:marker>
          <c:symbol val="none"/>
        </c:marker>
      </c:pivotFmt>
      <c:pivotFmt>
        <c:idx val="16"/>
        <c:marker>
          <c:symbol val="none"/>
        </c:marker>
      </c:pivotFmt>
      <c:pivotFmt>
        <c:idx val="17"/>
        <c:spPr>
          <a:ln w="25400">
            <a:noFill/>
          </a:ln>
        </c:spPr>
        <c:marker>
          <c:symbol val="none"/>
        </c:marker>
      </c:pivotFmt>
      <c:pivotFmt>
        <c:idx val="18"/>
        <c:spPr>
          <a:ln w="25400">
            <a:noFill/>
          </a:ln>
        </c:spPr>
        <c:marker>
          <c:symbol val="none"/>
        </c:marker>
      </c:pivotFmt>
      <c:pivotFmt>
        <c:idx val="19"/>
        <c:spPr>
          <a:ln w="25400">
            <a:noFill/>
          </a:ln>
        </c:spPr>
        <c:marker>
          <c:symbol val="none"/>
        </c:marker>
      </c:pivotFmt>
      <c:pivotFmt>
        <c:idx val="20"/>
        <c:marker>
          <c:symbol val="none"/>
        </c:marker>
      </c:pivotFmt>
      <c:pivotFmt>
        <c:idx val="21"/>
        <c:spPr>
          <a:ln w="25400">
            <a:noFill/>
          </a:ln>
        </c:spPr>
        <c:marker>
          <c:symbol val="none"/>
        </c:marker>
      </c:pivotFmt>
      <c:pivotFmt>
        <c:idx val="22"/>
        <c:marker>
          <c:symbol val="none"/>
        </c:marker>
      </c:pivotFmt>
      <c:pivotFmt>
        <c:idx val="23"/>
        <c:spPr>
          <a:ln w="25400">
            <a:noFill/>
          </a:ln>
        </c:spPr>
        <c:marker>
          <c:symbol val="none"/>
        </c:marker>
      </c:pivotFmt>
      <c:pivotFmt>
        <c:idx val="24"/>
        <c:marker>
          <c:symbol val="none"/>
        </c:marker>
      </c:pivotFmt>
      <c:pivotFmt>
        <c:idx val="25"/>
        <c:spPr>
          <a:ln w="25400">
            <a:noFill/>
          </a:ln>
        </c:spPr>
        <c:marker>
          <c:symbol val="none"/>
        </c:marker>
      </c:pivotFmt>
      <c:pivotFmt>
        <c:idx val="26"/>
        <c:marker>
          <c:symbol val="none"/>
        </c:marker>
      </c:pivotFmt>
      <c:pivotFmt>
        <c:idx val="27"/>
        <c:spPr>
          <a:ln w="25400">
            <a:noFill/>
          </a:ln>
        </c:spPr>
        <c:marker>
          <c:symbol val="none"/>
        </c:marker>
      </c:pivotFmt>
    </c:pivotFmts>
    <c:plotArea>
      <c:layout/>
      <c:areaChart>
        <c:grouping val="stacked"/>
        <c:varyColors val="0"/>
        <c:ser>
          <c:idx val="0"/>
          <c:order val="0"/>
          <c:tx>
            <c:strRef>
              <c:f>pivot!$B$5:$B$6</c:f>
              <c:strCache>
                <c:ptCount val="1"/>
                <c:pt idx="0">
                  <c:v>methotrexate + sulfasalazine or leflunomide</c:v>
                </c:pt>
              </c:strCache>
            </c:strRef>
          </c:tx>
          <c:cat>
            <c:strRef>
              <c:f>pivot!$A$7:$A$14</c:f>
              <c:strCache>
                <c:ptCount val="7"/>
                <c:pt idx="0">
                  <c:v>2014Q1</c:v>
                </c:pt>
                <c:pt idx="1">
                  <c:v>2014Q2</c:v>
                </c:pt>
                <c:pt idx="2">
                  <c:v>2014Q3</c:v>
                </c:pt>
                <c:pt idx="3">
                  <c:v>2014Q4</c:v>
                </c:pt>
                <c:pt idx="4">
                  <c:v>2015Q1</c:v>
                </c:pt>
                <c:pt idx="5">
                  <c:v>2015Q2</c:v>
                </c:pt>
                <c:pt idx="6">
                  <c:v>2015Q3</c:v>
                </c:pt>
              </c:strCache>
            </c:strRef>
          </c:cat>
          <c:val>
            <c:numRef>
              <c:f>pivot!$B$7:$B$14</c:f>
              <c:numCache>
                <c:formatCode>0.0%</c:formatCode>
                <c:ptCount val="7"/>
                <c:pt idx="0">
                  <c:v>0.8258928571428571</c:v>
                </c:pt>
                <c:pt idx="1">
                  <c:v>0.83760683760683763</c:v>
                </c:pt>
                <c:pt idx="2">
                  <c:v>0.83003952569169959</c:v>
                </c:pt>
                <c:pt idx="3">
                  <c:v>0.82437275985663083</c:v>
                </c:pt>
                <c:pt idx="4">
                  <c:v>0.8203125</c:v>
                </c:pt>
                <c:pt idx="5">
                  <c:v>0.73144876325088337</c:v>
                </c:pt>
                <c:pt idx="6">
                  <c:v>0.81311475409836065</c:v>
                </c:pt>
              </c:numCache>
            </c:numRef>
          </c:val>
        </c:ser>
        <c:ser>
          <c:idx val="1"/>
          <c:order val="1"/>
          <c:tx>
            <c:strRef>
              <c:f>pivot!$C$5:$C$6</c:f>
              <c:strCache>
                <c:ptCount val="1"/>
                <c:pt idx="0">
                  <c:v>methotrexate but not sulfasalazine or leflunomide</c:v>
                </c:pt>
              </c:strCache>
            </c:strRef>
          </c:tx>
          <c:spPr>
            <a:ln w="25400">
              <a:noFill/>
            </a:ln>
          </c:spPr>
          <c:cat>
            <c:strRef>
              <c:f>pivot!$A$7:$A$14</c:f>
              <c:strCache>
                <c:ptCount val="7"/>
                <c:pt idx="0">
                  <c:v>2014Q1</c:v>
                </c:pt>
                <c:pt idx="1">
                  <c:v>2014Q2</c:v>
                </c:pt>
                <c:pt idx="2">
                  <c:v>2014Q3</c:v>
                </c:pt>
                <c:pt idx="3">
                  <c:v>2014Q4</c:v>
                </c:pt>
                <c:pt idx="4">
                  <c:v>2015Q1</c:v>
                </c:pt>
                <c:pt idx="5">
                  <c:v>2015Q2</c:v>
                </c:pt>
                <c:pt idx="6">
                  <c:v>2015Q3</c:v>
                </c:pt>
              </c:strCache>
            </c:strRef>
          </c:cat>
          <c:val>
            <c:numRef>
              <c:f>pivot!$C$7:$C$14</c:f>
              <c:numCache>
                <c:formatCode>0.0%</c:formatCode>
                <c:ptCount val="7"/>
                <c:pt idx="0">
                  <c:v>6.25E-2</c:v>
                </c:pt>
                <c:pt idx="1">
                  <c:v>8.5470085470085472E-2</c:v>
                </c:pt>
                <c:pt idx="2">
                  <c:v>5.533596837944664E-2</c:v>
                </c:pt>
                <c:pt idx="3">
                  <c:v>7.1684587813620068E-2</c:v>
                </c:pt>
                <c:pt idx="4">
                  <c:v>5.859375E-2</c:v>
                </c:pt>
                <c:pt idx="5">
                  <c:v>9.5406360424028266E-2</c:v>
                </c:pt>
                <c:pt idx="6">
                  <c:v>7.5409836065573776E-2</c:v>
                </c:pt>
              </c:numCache>
            </c:numRef>
          </c:val>
        </c:ser>
        <c:ser>
          <c:idx val="2"/>
          <c:order val="2"/>
          <c:tx>
            <c:strRef>
              <c:f>pivot!$D$5:$D$6</c:f>
              <c:strCache>
                <c:ptCount val="1"/>
                <c:pt idx="0">
                  <c:v>sulfasalazine or leflunomide but not methotrexate</c:v>
                </c:pt>
              </c:strCache>
            </c:strRef>
          </c:tx>
          <c:cat>
            <c:strRef>
              <c:f>pivot!$A$7:$A$14</c:f>
              <c:strCache>
                <c:ptCount val="7"/>
                <c:pt idx="0">
                  <c:v>2014Q1</c:v>
                </c:pt>
                <c:pt idx="1">
                  <c:v>2014Q2</c:v>
                </c:pt>
                <c:pt idx="2">
                  <c:v>2014Q3</c:v>
                </c:pt>
                <c:pt idx="3">
                  <c:v>2014Q4</c:v>
                </c:pt>
                <c:pt idx="4">
                  <c:v>2015Q1</c:v>
                </c:pt>
                <c:pt idx="5">
                  <c:v>2015Q2</c:v>
                </c:pt>
                <c:pt idx="6">
                  <c:v>2015Q3</c:v>
                </c:pt>
              </c:strCache>
            </c:strRef>
          </c:cat>
          <c:val>
            <c:numRef>
              <c:f>pivot!$D$7:$D$14</c:f>
              <c:numCache>
                <c:formatCode>0.0%</c:formatCode>
                <c:ptCount val="7"/>
                <c:pt idx="0">
                  <c:v>6.6964285714285712E-2</c:v>
                </c:pt>
                <c:pt idx="1">
                  <c:v>4.2735042735042736E-2</c:v>
                </c:pt>
                <c:pt idx="2">
                  <c:v>5.1383399209486168E-2</c:v>
                </c:pt>
                <c:pt idx="3">
                  <c:v>6.4516129032258063E-2</c:v>
                </c:pt>
                <c:pt idx="4">
                  <c:v>7.03125E-2</c:v>
                </c:pt>
                <c:pt idx="5">
                  <c:v>7.4204946996466431E-2</c:v>
                </c:pt>
                <c:pt idx="6">
                  <c:v>4.5901639344262293E-2</c:v>
                </c:pt>
              </c:numCache>
            </c:numRef>
          </c:val>
        </c:ser>
        <c:ser>
          <c:idx val="3"/>
          <c:order val="3"/>
          <c:tx>
            <c:strRef>
              <c:f>pivot!$E$5:$E$6</c:f>
              <c:strCache>
                <c:ptCount val="1"/>
                <c:pt idx="0">
                  <c:v>no prior supply of sulfasalazine, leflunomide or methotrexate</c:v>
                </c:pt>
              </c:strCache>
            </c:strRef>
          </c:tx>
          <c:spPr>
            <a:ln w="25400">
              <a:noFill/>
            </a:ln>
          </c:spPr>
          <c:cat>
            <c:strRef>
              <c:f>pivot!$A$7:$A$14</c:f>
              <c:strCache>
                <c:ptCount val="7"/>
                <c:pt idx="0">
                  <c:v>2014Q1</c:v>
                </c:pt>
                <c:pt idx="1">
                  <c:v>2014Q2</c:v>
                </c:pt>
                <c:pt idx="2">
                  <c:v>2014Q3</c:v>
                </c:pt>
                <c:pt idx="3">
                  <c:v>2014Q4</c:v>
                </c:pt>
                <c:pt idx="4">
                  <c:v>2015Q1</c:v>
                </c:pt>
                <c:pt idx="5">
                  <c:v>2015Q2</c:v>
                </c:pt>
                <c:pt idx="6">
                  <c:v>2015Q3</c:v>
                </c:pt>
              </c:strCache>
            </c:strRef>
          </c:cat>
          <c:val>
            <c:numRef>
              <c:f>pivot!$E$7:$E$14</c:f>
              <c:numCache>
                <c:formatCode>0.0%</c:formatCode>
                <c:ptCount val="7"/>
                <c:pt idx="0">
                  <c:v>4.4642857142857144E-2</c:v>
                </c:pt>
                <c:pt idx="1">
                  <c:v>3.4188034188034191E-2</c:v>
                </c:pt>
                <c:pt idx="2">
                  <c:v>6.3241106719367585E-2</c:v>
                </c:pt>
                <c:pt idx="3">
                  <c:v>3.9426523297491037E-2</c:v>
                </c:pt>
                <c:pt idx="4">
                  <c:v>5.078125E-2</c:v>
                </c:pt>
                <c:pt idx="5">
                  <c:v>9.8939929328621903E-2</c:v>
                </c:pt>
                <c:pt idx="6">
                  <c:v>6.5573770491803282E-2</c:v>
                </c:pt>
              </c:numCache>
            </c:numRef>
          </c:val>
        </c:ser>
        <c:dLbls>
          <c:showLegendKey val="0"/>
          <c:showVal val="0"/>
          <c:showCatName val="0"/>
          <c:showSerName val="0"/>
          <c:showPercent val="0"/>
          <c:showBubbleSize val="0"/>
        </c:dLbls>
        <c:axId val="314735232"/>
        <c:axId val="355137024"/>
      </c:areaChart>
      <c:catAx>
        <c:axId val="314735232"/>
        <c:scaling>
          <c:orientation val="minMax"/>
        </c:scaling>
        <c:delete val="0"/>
        <c:axPos val="b"/>
        <c:title>
          <c:tx>
            <c:rich>
              <a:bodyPr/>
              <a:lstStyle/>
              <a:p>
                <a:pPr>
                  <a:defRPr b="0"/>
                </a:pPr>
                <a:r>
                  <a:rPr lang="en-AU" b="0"/>
                  <a:t>bDMARD Initiation Quarter</a:t>
                </a:r>
              </a:p>
            </c:rich>
          </c:tx>
          <c:layout/>
          <c:overlay val="0"/>
        </c:title>
        <c:majorTickMark val="none"/>
        <c:minorTickMark val="none"/>
        <c:tickLblPos val="nextTo"/>
        <c:crossAx val="355137024"/>
        <c:crosses val="autoZero"/>
        <c:auto val="1"/>
        <c:lblAlgn val="ctr"/>
        <c:lblOffset val="100"/>
        <c:noMultiLvlLbl val="0"/>
      </c:catAx>
      <c:valAx>
        <c:axId val="355137024"/>
        <c:scaling>
          <c:orientation val="minMax"/>
          <c:max val="1"/>
        </c:scaling>
        <c:delete val="0"/>
        <c:axPos val="l"/>
        <c:majorGridlines/>
        <c:title>
          <c:tx>
            <c:rich>
              <a:bodyPr/>
              <a:lstStyle/>
              <a:p>
                <a:pPr>
                  <a:defRPr b="0"/>
                </a:pPr>
                <a:r>
                  <a:rPr lang="en-US" b="0"/>
                  <a:t>% patients</a:t>
                </a:r>
              </a:p>
            </c:rich>
          </c:tx>
          <c:layout/>
          <c:overlay val="0"/>
        </c:title>
        <c:numFmt formatCode="0%" sourceLinked="0"/>
        <c:majorTickMark val="none"/>
        <c:minorTickMark val="none"/>
        <c:tickLblPos val="nextTo"/>
        <c:crossAx val="314735232"/>
        <c:crosses val="autoZero"/>
        <c:crossBetween val="midCat"/>
      </c:valAx>
    </c:plotArea>
    <c:legend>
      <c:legendPos val="r"/>
      <c:layout/>
      <c:overlay val="0"/>
      <c:txPr>
        <a:bodyPr/>
        <a:lstStyle/>
        <a:p>
          <a:pPr>
            <a:defRPr sz="900"/>
          </a:pPr>
          <a:endParaRPr lang="en-US"/>
        </a:p>
      </c:txPr>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[D880 - SEQ_FREQ, DMARDs prior to init - constant 4 year lookback.xlsx]pivot (2)!PivotTable1</c:name>
    <c:fmtId val="-1"/>
  </c:pivotSource>
  <c:chart>
    <c:autoTitleDeleted val="1"/>
    <c:pivotFmts>
      <c:pivotFmt>
        <c:idx val="0"/>
      </c:pivotFmt>
      <c:pivotFmt>
        <c:idx val="1"/>
      </c:pivotFmt>
      <c:pivotFmt>
        <c:idx val="2"/>
      </c:pivotFmt>
      <c:pivotFmt>
        <c:idx val="3"/>
      </c:pivotFmt>
      <c:pivotFmt>
        <c:idx val="4"/>
      </c:pivotFmt>
      <c:pivotFmt>
        <c:idx val="5"/>
      </c:pivotFmt>
      <c:pivotFmt>
        <c:idx val="6"/>
      </c:pivotFmt>
      <c:pivotFmt>
        <c:idx val="7"/>
      </c:pivotFmt>
      <c:pivotFmt>
        <c:idx val="8"/>
      </c:pivotFmt>
      <c:pivotFmt>
        <c:idx val="9"/>
      </c:pivotFmt>
      <c:pivotFmt>
        <c:idx val="10"/>
      </c:pivotFmt>
      <c:pivotFmt>
        <c:idx val="11"/>
        <c:marker>
          <c:symbol val="none"/>
        </c:marker>
      </c:pivotFmt>
      <c:pivotFmt>
        <c:idx val="12"/>
        <c:marker>
          <c:symbol val="none"/>
        </c:marker>
      </c:pivotFmt>
      <c:pivotFmt>
        <c:idx val="13"/>
        <c:marker>
          <c:symbol val="none"/>
        </c:marker>
      </c:pivotFmt>
      <c:pivotFmt>
        <c:idx val="14"/>
        <c:marker>
          <c:symbol val="none"/>
        </c:marker>
        <c:dLbl>
          <c:idx val="0"/>
          <c:delete val="1"/>
        </c:dLbl>
      </c:pivotFmt>
      <c:pivotFmt>
        <c:idx val="15"/>
        <c:marker>
          <c:symbol val="none"/>
        </c:marker>
      </c:pivotFmt>
      <c:pivotFmt>
        <c:idx val="16"/>
        <c:marker>
          <c:symbol val="none"/>
        </c:marker>
      </c:pivotFmt>
      <c:pivotFmt>
        <c:idx val="17"/>
        <c:spPr>
          <a:ln w="25400">
            <a:noFill/>
          </a:ln>
        </c:spPr>
        <c:marker>
          <c:symbol val="none"/>
        </c:marker>
      </c:pivotFmt>
      <c:pivotFmt>
        <c:idx val="18"/>
        <c:spPr>
          <a:ln w="25400">
            <a:noFill/>
          </a:ln>
        </c:spPr>
        <c:marker>
          <c:symbol val="none"/>
        </c:marker>
      </c:pivotFmt>
      <c:pivotFmt>
        <c:idx val="19"/>
        <c:spPr>
          <a:ln w="25400">
            <a:noFill/>
          </a:ln>
        </c:spPr>
        <c:marker>
          <c:symbol val="none"/>
        </c:marker>
      </c:pivotFmt>
      <c:pivotFmt>
        <c:idx val="20"/>
        <c:marker>
          <c:symbol val="none"/>
        </c:marker>
      </c:pivotFmt>
      <c:pivotFmt>
        <c:idx val="21"/>
        <c:spPr>
          <a:ln w="25400">
            <a:noFill/>
          </a:ln>
        </c:spPr>
        <c:marker>
          <c:symbol val="none"/>
        </c:marker>
      </c:pivotFmt>
      <c:pivotFmt>
        <c:idx val="22"/>
        <c:marker>
          <c:symbol val="none"/>
        </c:marker>
      </c:pivotFmt>
      <c:pivotFmt>
        <c:idx val="23"/>
        <c:spPr>
          <a:ln w="25400">
            <a:noFill/>
          </a:ln>
        </c:spPr>
        <c:marker>
          <c:symbol val="none"/>
        </c:marker>
      </c:pivotFmt>
      <c:pivotFmt>
        <c:idx val="24"/>
        <c:marker>
          <c:symbol val="none"/>
        </c:marker>
      </c:pivotFmt>
      <c:pivotFmt>
        <c:idx val="25"/>
        <c:spPr>
          <a:ln w="25400">
            <a:noFill/>
          </a:ln>
        </c:spPr>
        <c:marker>
          <c:symbol val="none"/>
        </c:marker>
      </c:pivotFmt>
      <c:pivotFmt>
        <c:idx val="26"/>
        <c:marker>
          <c:symbol val="none"/>
        </c:marker>
      </c:pivotFmt>
      <c:pivotFmt>
        <c:idx val="27"/>
        <c:spPr>
          <a:ln w="25400">
            <a:noFill/>
          </a:ln>
        </c:spPr>
        <c:marker>
          <c:symbol val="none"/>
        </c:marker>
      </c:pivotFmt>
      <c:pivotFmt>
        <c:idx val="28"/>
        <c:marker>
          <c:symbol val="none"/>
        </c:marker>
      </c:pivotFmt>
      <c:pivotFmt>
        <c:idx val="29"/>
        <c:spPr>
          <a:ln w="25400">
            <a:noFill/>
          </a:ln>
        </c:spPr>
        <c:marker>
          <c:symbol val="none"/>
        </c:marker>
      </c:pivotFmt>
      <c:pivotFmt>
        <c:idx val="30"/>
        <c:marker>
          <c:symbol val="none"/>
        </c:marker>
      </c:pivotFmt>
      <c:pivotFmt>
        <c:idx val="31"/>
        <c:spPr>
          <a:ln w="25400">
            <a:noFill/>
          </a:ln>
        </c:spPr>
        <c:marker>
          <c:symbol val="none"/>
        </c:marker>
      </c:pivotFmt>
    </c:pivotFmts>
    <c:plotArea>
      <c:layout/>
      <c:areaChart>
        <c:grouping val="stacked"/>
        <c:varyColors val="0"/>
        <c:ser>
          <c:idx val="0"/>
          <c:order val="0"/>
          <c:tx>
            <c:strRef>
              <c:f>'pivot (2)'!$B$5:$B$6</c:f>
              <c:strCache>
                <c:ptCount val="1"/>
                <c:pt idx="0">
                  <c:v>methotrexate + sulfasalazine or leflunomide</c:v>
                </c:pt>
              </c:strCache>
            </c:strRef>
          </c:tx>
          <c:cat>
            <c:strRef>
              <c:f>'pivot (2)'!$A$7:$A$14</c:f>
              <c:strCache>
                <c:ptCount val="7"/>
                <c:pt idx="0">
                  <c:v>2014Q1</c:v>
                </c:pt>
                <c:pt idx="1">
                  <c:v>2014Q2</c:v>
                </c:pt>
                <c:pt idx="2">
                  <c:v>2014Q3</c:v>
                </c:pt>
                <c:pt idx="3">
                  <c:v>2014Q4</c:v>
                </c:pt>
                <c:pt idx="4">
                  <c:v>2015Q1</c:v>
                </c:pt>
                <c:pt idx="5">
                  <c:v>2015Q2</c:v>
                </c:pt>
                <c:pt idx="6">
                  <c:v>2015Q3</c:v>
                </c:pt>
              </c:strCache>
            </c:strRef>
          </c:cat>
          <c:val>
            <c:numRef>
              <c:f>'pivot (2)'!$B$7:$B$14</c:f>
              <c:numCache>
                <c:formatCode>0.0%</c:formatCode>
                <c:ptCount val="7"/>
                <c:pt idx="0">
                  <c:v>0.69090909090909092</c:v>
                </c:pt>
                <c:pt idx="1">
                  <c:v>0.72857142857142854</c:v>
                </c:pt>
                <c:pt idx="2">
                  <c:v>0.78873239436619713</c:v>
                </c:pt>
                <c:pt idx="3">
                  <c:v>0.75</c:v>
                </c:pt>
                <c:pt idx="4">
                  <c:v>0.76315789473684215</c:v>
                </c:pt>
                <c:pt idx="5">
                  <c:v>0.70270270270270274</c:v>
                </c:pt>
                <c:pt idx="6">
                  <c:v>0.77906976744186052</c:v>
                </c:pt>
              </c:numCache>
            </c:numRef>
          </c:val>
        </c:ser>
        <c:ser>
          <c:idx val="1"/>
          <c:order val="1"/>
          <c:tx>
            <c:strRef>
              <c:f>'pivot (2)'!$C$5:$C$6</c:f>
              <c:strCache>
                <c:ptCount val="1"/>
                <c:pt idx="0">
                  <c:v>methotrexate but not sulfasalazine or leflunomide</c:v>
                </c:pt>
              </c:strCache>
            </c:strRef>
          </c:tx>
          <c:spPr>
            <a:ln w="25400">
              <a:noFill/>
            </a:ln>
          </c:spPr>
          <c:cat>
            <c:strRef>
              <c:f>'pivot (2)'!$A$7:$A$14</c:f>
              <c:strCache>
                <c:ptCount val="7"/>
                <c:pt idx="0">
                  <c:v>2014Q1</c:v>
                </c:pt>
                <c:pt idx="1">
                  <c:v>2014Q2</c:v>
                </c:pt>
                <c:pt idx="2">
                  <c:v>2014Q3</c:v>
                </c:pt>
                <c:pt idx="3">
                  <c:v>2014Q4</c:v>
                </c:pt>
                <c:pt idx="4">
                  <c:v>2015Q1</c:v>
                </c:pt>
                <c:pt idx="5">
                  <c:v>2015Q2</c:v>
                </c:pt>
                <c:pt idx="6">
                  <c:v>2015Q3</c:v>
                </c:pt>
              </c:strCache>
            </c:strRef>
          </c:cat>
          <c:val>
            <c:numRef>
              <c:f>'pivot (2)'!$C$7:$C$14</c:f>
              <c:numCache>
                <c:formatCode>0.0%</c:formatCode>
                <c:ptCount val="7"/>
                <c:pt idx="0">
                  <c:v>9.0909090909090912E-2</c:v>
                </c:pt>
                <c:pt idx="1">
                  <c:v>0.18571428571428572</c:v>
                </c:pt>
                <c:pt idx="2">
                  <c:v>2.8169014084507043E-2</c:v>
                </c:pt>
                <c:pt idx="3">
                  <c:v>0.1</c:v>
                </c:pt>
                <c:pt idx="4">
                  <c:v>1.3157894736842105E-2</c:v>
                </c:pt>
                <c:pt idx="5">
                  <c:v>9.45945945945946E-2</c:v>
                </c:pt>
                <c:pt idx="6">
                  <c:v>8.1395348837209308E-2</c:v>
                </c:pt>
              </c:numCache>
            </c:numRef>
          </c:val>
        </c:ser>
        <c:ser>
          <c:idx val="2"/>
          <c:order val="2"/>
          <c:tx>
            <c:strRef>
              <c:f>'pivot (2)'!$D$5:$D$6</c:f>
              <c:strCache>
                <c:ptCount val="1"/>
                <c:pt idx="0">
                  <c:v>sulfasalazine or leflunomide but not methotrexate</c:v>
                </c:pt>
              </c:strCache>
            </c:strRef>
          </c:tx>
          <c:cat>
            <c:strRef>
              <c:f>'pivot (2)'!$A$7:$A$14</c:f>
              <c:strCache>
                <c:ptCount val="7"/>
                <c:pt idx="0">
                  <c:v>2014Q1</c:v>
                </c:pt>
                <c:pt idx="1">
                  <c:v>2014Q2</c:v>
                </c:pt>
                <c:pt idx="2">
                  <c:v>2014Q3</c:v>
                </c:pt>
                <c:pt idx="3">
                  <c:v>2014Q4</c:v>
                </c:pt>
                <c:pt idx="4">
                  <c:v>2015Q1</c:v>
                </c:pt>
                <c:pt idx="5">
                  <c:v>2015Q2</c:v>
                </c:pt>
                <c:pt idx="6">
                  <c:v>2015Q3</c:v>
                </c:pt>
              </c:strCache>
            </c:strRef>
          </c:cat>
          <c:val>
            <c:numRef>
              <c:f>'pivot (2)'!$D$7:$D$14</c:f>
              <c:numCache>
                <c:formatCode>0.0%</c:formatCode>
                <c:ptCount val="7"/>
                <c:pt idx="0">
                  <c:v>0.12727272727272726</c:v>
                </c:pt>
                <c:pt idx="1">
                  <c:v>5.7142857142857141E-2</c:v>
                </c:pt>
                <c:pt idx="2">
                  <c:v>5.6338028169014086E-2</c:v>
                </c:pt>
                <c:pt idx="3">
                  <c:v>7.4999999999999997E-2</c:v>
                </c:pt>
                <c:pt idx="4">
                  <c:v>0.14473684210526316</c:v>
                </c:pt>
                <c:pt idx="5">
                  <c:v>4.0540540540540543E-2</c:v>
                </c:pt>
                <c:pt idx="6">
                  <c:v>5.8139534883720929E-2</c:v>
                </c:pt>
              </c:numCache>
            </c:numRef>
          </c:val>
        </c:ser>
        <c:ser>
          <c:idx val="3"/>
          <c:order val="3"/>
          <c:tx>
            <c:strRef>
              <c:f>'pivot (2)'!$E$5:$E$6</c:f>
              <c:strCache>
                <c:ptCount val="1"/>
                <c:pt idx="0">
                  <c:v>no prior supply of sulfasalazine, leflunomide or methotrexate</c:v>
                </c:pt>
              </c:strCache>
            </c:strRef>
          </c:tx>
          <c:spPr>
            <a:ln w="25400">
              <a:noFill/>
            </a:ln>
          </c:spPr>
          <c:cat>
            <c:strRef>
              <c:f>'pivot (2)'!$A$7:$A$14</c:f>
              <c:strCache>
                <c:ptCount val="7"/>
                <c:pt idx="0">
                  <c:v>2014Q1</c:v>
                </c:pt>
                <c:pt idx="1">
                  <c:v>2014Q2</c:v>
                </c:pt>
                <c:pt idx="2">
                  <c:v>2014Q3</c:v>
                </c:pt>
                <c:pt idx="3">
                  <c:v>2014Q4</c:v>
                </c:pt>
                <c:pt idx="4">
                  <c:v>2015Q1</c:v>
                </c:pt>
                <c:pt idx="5">
                  <c:v>2015Q2</c:v>
                </c:pt>
                <c:pt idx="6">
                  <c:v>2015Q3</c:v>
                </c:pt>
              </c:strCache>
            </c:strRef>
          </c:cat>
          <c:val>
            <c:numRef>
              <c:f>'pivot (2)'!$E$7:$E$14</c:f>
              <c:numCache>
                <c:formatCode>0.0%</c:formatCode>
                <c:ptCount val="7"/>
                <c:pt idx="0">
                  <c:v>9.0909090909090912E-2</c:v>
                </c:pt>
                <c:pt idx="1">
                  <c:v>2.8571428571428571E-2</c:v>
                </c:pt>
                <c:pt idx="2">
                  <c:v>0.12676056338028169</c:v>
                </c:pt>
                <c:pt idx="3">
                  <c:v>7.4999999999999997E-2</c:v>
                </c:pt>
                <c:pt idx="4">
                  <c:v>7.8947368421052627E-2</c:v>
                </c:pt>
                <c:pt idx="5">
                  <c:v>0.16216216216216217</c:v>
                </c:pt>
                <c:pt idx="6">
                  <c:v>8.1395348837209308E-2</c:v>
                </c:pt>
              </c:numCache>
            </c:numRef>
          </c:val>
        </c:ser>
        <c:dLbls>
          <c:showLegendKey val="0"/>
          <c:showVal val="0"/>
          <c:showCatName val="0"/>
          <c:showSerName val="0"/>
          <c:showPercent val="0"/>
          <c:showBubbleSize val="0"/>
        </c:dLbls>
        <c:axId val="440980608"/>
        <c:axId val="440982912"/>
      </c:areaChart>
      <c:catAx>
        <c:axId val="440980608"/>
        <c:scaling>
          <c:orientation val="minMax"/>
        </c:scaling>
        <c:delete val="0"/>
        <c:axPos val="b"/>
        <c:title>
          <c:tx>
            <c:rich>
              <a:bodyPr/>
              <a:lstStyle/>
              <a:p>
                <a:pPr>
                  <a:defRPr b="0"/>
                </a:pPr>
                <a:r>
                  <a:rPr lang="en-AU" b="0"/>
                  <a:t>bDMARD Initiation Quarter</a:t>
                </a:r>
              </a:p>
            </c:rich>
          </c:tx>
          <c:layout/>
          <c:overlay val="0"/>
        </c:title>
        <c:majorTickMark val="none"/>
        <c:minorTickMark val="none"/>
        <c:tickLblPos val="nextTo"/>
        <c:crossAx val="440982912"/>
        <c:crosses val="autoZero"/>
        <c:auto val="1"/>
        <c:lblAlgn val="ctr"/>
        <c:lblOffset val="100"/>
        <c:noMultiLvlLbl val="0"/>
      </c:catAx>
      <c:valAx>
        <c:axId val="440982912"/>
        <c:scaling>
          <c:orientation val="minMax"/>
          <c:max val="1"/>
        </c:scaling>
        <c:delete val="0"/>
        <c:axPos val="l"/>
        <c:majorGridlines/>
        <c:title>
          <c:tx>
            <c:rich>
              <a:bodyPr/>
              <a:lstStyle/>
              <a:p>
                <a:pPr>
                  <a:defRPr b="0"/>
                </a:pPr>
                <a:r>
                  <a:rPr lang="en-US" b="0"/>
                  <a:t>% patients</a:t>
                </a:r>
              </a:p>
            </c:rich>
          </c:tx>
          <c:layout/>
          <c:overlay val="0"/>
        </c:title>
        <c:numFmt formatCode="0%" sourceLinked="0"/>
        <c:majorTickMark val="none"/>
        <c:minorTickMark val="none"/>
        <c:tickLblPos val="nextTo"/>
        <c:crossAx val="440980608"/>
        <c:crosses val="autoZero"/>
        <c:crossBetween val="midCat"/>
      </c:valAx>
    </c:plotArea>
    <c:legend>
      <c:legendPos val="r"/>
      <c:layout/>
      <c:overlay val="0"/>
      <c:txPr>
        <a:bodyPr/>
        <a:lstStyle/>
        <a:p>
          <a:pPr>
            <a:defRPr sz="900"/>
          </a:pPr>
          <a:endParaRPr lang="en-US"/>
        </a:p>
      </c:txPr>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[D880_TRNS_ADJ_INIT, bDMARDS for PA, Oct13 to Sep14 inits, fu to sep15.xlsx]Sheet1 (13)!PivotTable1</c:name>
    <c:fmtId val="-1"/>
  </c:pivotSource>
  <c:chart>
    <c:autoTitleDeleted val="1"/>
    <c:pivotFmts>
      <c:pivotFmt>
        <c:idx val="0"/>
      </c:pivotFmt>
      <c:pivotFmt>
        <c:idx val="1"/>
      </c:pivotFmt>
      <c:pivotFmt>
        <c:idx val="2"/>
      </c:pivotFmt>
      <c:pivotFmt>
        <c:idx val="3"/>
      </c:pivotFmt>
      <c:pivotFmt>
        <c:idx val="4"/>
      </c:pivotFmt>
      <c:pivotFmt>
        <c:idx val="5"/>
      </c:pivotFmt>
      <c:pivotFmt>
        <c:idx val="6"/>
      </c:pivotFmt>
      <c:pivotFmt>
        <c:idx val="7"/>
      </c:pivotFmt>
      <c:pivotFmt>
        <c:idx val="8"/>
      </c:pivotFmt>
      <c:pivotFmt>
        <c:idx val="9"/>
      </c:pivotFmt>
      <c:pivotFmt>
        <c:idx val="10"/>
      </c:pivotFmt>
      <c:pivotFmt>
        <c:idx val="11"/>
      </c:pivotFmt>
      <c:pivotFmt>
        <c:idx val="12"/>
      </c:pivotFmt>
      <c:pivotFmt>
        <c:idx val="13"/>
      </c:pivotFmt>
      <c:pivotFmt>
        <c:idx val="14"/>
      </c:pivotFmt>
      <c:pivotFmt>
        <c:idx val="15"/>
      </c:pivotFmt>
      <c:pivotFmt>
        <c:idx val="16"/>
      </c:pivotFmt>
      <c:pivotFmt>
        <c:idx val="17"/>
      </c:pivotFmt>
      <c:pivotFmt>
        <c:idx val="18"/>
      </c:pivotFmt>
      <c:pivotFmt>
        <c:idx val="19"/>
      </c:pivotFmt>
      <c:pivotFmt>
        <c:idx val="20"/>
      </c:pivotFmt>
      <c:pivotFmt>
        <c:idx val="21"/>
      </c:pivotFmt>
      <c:pivotFmt>
        <c:idx val="22"/>
      </c:pivotFmt>
      <c:pivotFmt>
        <c:idx val="23"/>
      </c:pivotFmt>
      <c:pivotFmt>
        <c:idx val="24"/>
      </c:pivotFmt>
      <c:pivotFmt>
        <c:idx val="25"/>
      </c:pivotFmt>
      <c:pivotFmt>
        <c:idx val="26"/>
      </c:pivotFmt>
      <c:pivotFmt>
        <c:idx val="27"/>
      </c:pivotFmt>
      <c:pivotFmt>
        <c:idx val="28"/>
      </c:pivotFmt>
      <c:pivotFmt>
        <c:idx val="29"/>
      </c:pivotFmt>
      <c:pivotFmt>
        <c:idx val="30"/>
      </c:pivotFmt>
      <c:pivotFmt>
        <c:idx val="31"/>
      </c:pivotFmt>
      <c:pivotFmt>
        <c:idx val="32"/>
      </c:pivotFmt>
      <c:pivotFmt>
        <c:idx val="33"/>
      </c:pivotFmt>
      <c:pivotFmt>
        <c:idx val="34"/>
      </c:pivotFmt>
      <c:pivotFmt>
        <c:idx val="35"/>
      </c:pivotFmt>
      <c:pivotFmt>
        <c:idx val="36"/>
      </c:pivotFmt>
      <c:pivotFmt>
        <c:idx val="37"/>
      </c:pivotFmt>
      <c:pivotFmt>
        <c:idx val="38"/>
      </c:pivotFmt>
      <c:pivotFmt>
        <c:idx val="39"/>
      </c:pivotFmt>
      <c:pivotFmt>
        <c:idx val="40"/>
      </c:pivotFmt>
      <c:pivotFmt>
        <c:idx val="41"/>
      </c:pivotFmt>
      <c:pivotFmt>
        <c:idx val="42"/>
      </c:pivotFmt>
      <c:pivotFmt>
        <c:idx val="43"/>
      </c:pivotFmt>
      <c:pivotFmt>
        <c:idx val="44"/>
      </c:pivotFmt>
      <c:pivotFmt>
        <c:idx val="45"/>
      </c:pivotFmt>
      <c:pivotFmt>
        <c:idx val="46"/>
      </c:pivotFmt>
      <c:pivotFmt>
        <c:idx val="47"/>
      </c:pivotFmt>
      <c:pivotFmt>
        <c:idx val="48"/>
      </c:pivotFmt>
      <c:pivotFmt>
        <c:idx val="49"/>
      </c:pivotFmt>
      <c:pivotFmt>
        <c:idx val="50"/>
      </c:pivotFmt>
      <c:pivotFmt>
        <c:idx val="51"/>
      </c:pivotFmt>
      <c:pivotFmt>
        <c:idx val="52"/>
      </c:pivotFmt>
      <c:pivotFmt>
        <c:idx val="53"/>
      </c:pivotFmt>
      <c:pivotFmt>
        <c:idx val="54"/>
      </c:pivotFmt>
      <c:pivotFmt>
        <c:idx val="55"/>
      </c:pivotFmt>
      <c:pivotFmt>
        <c:idx val="56"/>
      </c:pivotFmt>
      <c:pivotFmt>
        <c:idx val="57"/>
      </c:pivotFmt>
      <c:pivotFmt>
        <c:idx val="58"/>
      </c:pivotFmt>
      <c:pivotFmt>
        <c:idx val="59"/>
      </c:pivotFmt>
      <c:pivotFmt>
        <c:idx val="60"/>
      </c:pivotFmt>
      <c:pivotFmt>
        <c:idx val="61"/>
      </c:pivotFmt>
      <c:pivotFmt>
        <c:idx val="62"/>
      </c:pivotFmt>
      <c:pivotFmt>
        <c:idx val="63"/>
      </c:pivotFmt>
      <c:pivotFmt>
        <c:idx val="64"/>
      </c:pivotFmt>
      <c:pivotFmt>
        <c:idx val="65"/>
      </c:pivotFmt>
      <c:pivotFmt>
        <c:idx val="66"/>
      </c:pivotFmt>
      <c:pivotFmt>
        <c:idx val="67"/>
      </c:pivotFmt>
      <c:pivotFmt>
        <c:idx val="68"/>
      </c:pivotFmt>
      <c:pivotFmt>
        <c:idx val="69"/>
      </c:pivotFmt>
      <c:pivotFmt>
        <c:idx val="70"/>
      </c:pivotFmt>
      <c:pivotFmt>
        <c:idx val="71"/>
      </c:pivotFmt>
      <c:pivotFmt>
        <c:idx val="72"/>
      </c:pivotFmt>
      <c:pivotFmt>
        <c:idx val="73"/>
      </c:pivotFmt>
      <c:pivotFmt>
        <c:idx val="74"/>
      </c:pivotFmt>
      <c:pivotFmt>
        <c:idx val="75"/>
      </c:pivotFmt>
      <c:pivotFmt>
        <c:idx val="76"/>
      </c:pivotFmt>
      <c:pivotFmt>
        <c:idx val="77"/>
      </c:pivotFmt>
      <c:pivotFmt>
        <c:idx val="78"/>
      </c:pivotFmt>
      <c:pivotFmt>
        <c:idx val="79"/>
      </c:pivotFmt>
      <c:pivotFmt>
        <c:idx val="80"/>
      </c:pivotFmt>
      <c:pivotFmt>
        <c:idx val="81"/>
      </c:pivotFmt>
      <c:pivotFmt>
        <c:idx val="82"/>
      </c:pivotFmt>
      <c:pivotFmt>
        <c:idx val="83"/>
      </c:pivotFmt>
      <c:pivotFmt>
        <c:idx val="84"/>
      </c:pivotFmt>
      <c:pivotFmt>
        <c:idx val="85"/>
      </c:pivotFmt>
      <c:pivotFmt>
        <c:idx val="86"/>
      </c:pivotFmt>
      <c:pivotFmt>
        <c:idx val="87"/>
      </c:pivotFmt>
      <c:pivotFmt>
        <c:idx val="88"/>
      </c:pivotFmt>
      <c:pivotFmt>
        <c:idx val="89"/>
      </c:pivotFmt>
      <c:pivotFmt>
        <c:idx val="90"/>
      </c:pivotFmt>
      <c:pivotFmt>
        <c:idx val="91"/>
      </c:pivotFmt>
      <c:pivotFmt>
        <c:idx val="92"/>
      </c:pivotFmt>
      <c:pivotFmt>
        <c:idx val="93"/>
      </c:pivotFmt>
      <c:pivotFmt>
        <c:idx val="94"/>
      </c:pivotFmt>
      <c:pivotFmt>
        <c:idx val="95"/>
      </c:pivotFmt>
      <c:pivotFmt>
        <c:idx val="96"/>
      </c:pivotFmt>
      <c:pivotFmt>
        <c:idx val="97"/>
      </c:pivotFmt>
      <c:pivotFmt>
        <c:idx val="98"/>
      </c:pivotFmt>
      <c:pivotFmt>
        <c:idx val="99"/>
      </c:pivotFmt>
      <c:pivotFmt>
        <c:idx val="100"/>
      </c:pivotFmt>
      <c:pivotFmt>
        <c:idx val="101"/>
      </c:pivotFmt>
      <c:pivotFmt>
        <c:idx val="102"/>
      </c:pivotFmt>
      <c:pivotFmt>
        <c:idx val="103"/>
      </c:pivotFmt>
      <c:pivotFmt>
        <c:idx val="104"/>
      </c:pivotFmt>
      <c:pivotFmt>
        <c:idx val="105"/>
      </c:pivotFmt>
      <c:pivotFmt>
        <c:idx val="106"/>
      </c:pivotFmt>
      <c:pivotFmt>
        <c:idx val="107"/>
      </c:pivotFmt>
      <c:pivotFmt>
        <c:idx val="108"/>
      </c:pivotFmt>
      <c:pivotFmt>
        <c:idx val="109"/>
      </c:pivotFmt>
      <c:pivotFmt>
        <c:idx val="110"/>
      </c:pivotFmt>
      <c:pivotFmt>
        <c:idx val="111"/>
      </c:pivotFmt>
      <c:pivotFmt>
        <c:idx val="112"/>
      </c:pivotFmt>
      <c:pivotFmt>
        <c:idx val="113"/>
      </c:pivotFmt>
      <c:pivotFmt>
        <c:idx val="114"/>
      </c:pivotFmt>
      <c:pivotFmt>
        <c:idx val="115"/>
      </c:pivotFmt>
      <c:pivotFmt>
        <c:idx val="116"/>
      </c:pivotFmt>
      <c:pivotFmt>
        <c:idx val="117"/>
      </c:pivotFmt>
      <c:pivotFmt>
        <c:idx val="118"/>
      </c:pivotFmt>
      <c:pivotFmt>
        <c:idx val="119"/>
      </c:pivotFmt>
      <c:pivotFmt>
        <c:idx val="120"/>
      </c:pivotFmt>
      <c:pivotFmt>
        <c:idx val="121"/>
      </c:pivotFmt>
      <c:pivotFmt>
        <c:idx val="122"/>
      </c:pivotFmt>
      <c:pivotFmt>
        <c:idx val="123"/>
      </c:pivotFmt>
      <c:pivotFmt>
        <c:idx val="124"/>
      </c:pivotFmt>
      <c:pivotFmt>
        <c:idx val="125"/>
      </c:pivotFmt>
      <c:pivotFmt>
        <c:idx val="126"/>
      </c:pivotFmt>
      <c:pivotFmt>
        <c:idx val="127"/>
      </c:pivotFmt>
      <c:pivotFmt>
        <c:idx val="128"/>
      </c:pivotFmt>
      <c:pivotFmt>
        <c:idx val="129"/>
      </c:pivotFmt>
      <c:pivotFmt>
        <c:idx val="130"/>
      </c:pivotFmt>
      <c:pivotFmt>
        <c:idx val="131"/>
      </c:pivotFmt>
      <c:pivotFmt>
        <c:idx val="132"/>
      </c:pivotFmt>
      <c:pivotFmt>
        <c:idx val="133"/>
      </c:pivotFmt>
      <c:pivotFmt>
        <c:idx val="134"/>
      </c:pivotFmt>
      <c:pivotFmt>
        <c:idx val="135"/>
      </c:pivotFmt>
      <c:pivotFmt>
        <c:idx val="136"/>
      </c:pivotFmt>
      <c:pivotFmt>
        <c:idx val="137"/>
      </c:pivotFmt>
      <c:pivotFmt>
        <c:idx val="138"/>
      </c:pivotFmt>
      <c:pivotFmt>
        <c:idx val="139"/>
      </c:pivotFmt>
      <c:pivotFmt>
        <c:idx val="140"/>
      </c:pivotFmt>
      <c:pivotFmt>
        <c:idx val="141"/>
      </c:pivotFmt>
      <c:pivotFmt>
        <c:idx val="142"/>
      </c:pivotFmt>
      <c:pivotFmt>
        <c:idx val="143"/>
      </c:pivotFmt>
      <c:pivotFmt>
        <c:idx val="144"/>
      </c:pivotFmt>
      <c:pivotFmt>
        <c:idx val="145"/>
      </c:pivotFmt>
      <c:pivotFmt>
        <c:idx val="146"/>
      </c:pivotFmt>
      <c:pivotFmt>
        <c:idx val="147"/>
      </c:pivotFmt>
      <c:pivotFmt>
        <c:idx val="148"/>
      </c:pivotFmt>
      <c:pivotFmt>
        <c:idx val="149"/>
      </c:pivotFmt>
      <c:pivotFmt>
        <c:idx val="150"/>
      </c:pivotFmt>
      <c:pivotFmt>
        <c:idx val="151"/>
      </c:pivotFmt>
      <c:pivotFmt>
        <c:idx val="152"/>
      </c:pivotFmt>
      <c:pivotFmt>
        <c:idx val="153"/>
      </c:pivotFmt>
      <c:pivotFmt>
        <c:idx val="154"/>
      </c:pivotFmt>
      <c:pivotFmt>
        <c:idx val="155"/>
      </c:pivotFmt>
      <c:pivotFmt>
        <c:idx val="156"/>
      </c:pivotFmt>
      <c:pivotFmt>
        <c:idx val="157"/>
      </c:pivotFmt>
      <c:pivotFmt>
        <c:idx val="158"/>
      </c:pivotFmt>
      <c:pivotFmt>
        <c:idx val="159"/>
      </c:pivotFmt>
      <c:pivotFmt>
        <c:idx val="160"/>
      </c:pivotFmt>
      <c:pivotFmt>
        <c:idx val="161"/>
      </c:pivotFmt>
      <c:pivotFmt>
        <c:idx val="162"/>
      </c:pivotFmt>
      <c:pivotFmt>
        <c:idx val="163"/>
      </c:pivotFmt>
      <c:pivotFmt>
        <c:idx val="164"/>
      </c:pivotFmt>
      <c:pivotFmt>
        <c:idx val="165"/>
      </c:pivotFmt>
      <c:pivotFmt>
        <c:idx val="166"/>
      </c:pivotFmt>
      <c:pivotFmt>
        <c:idx val="167"/>
      </c:pivotFmt>
      <c:pivotFmt>
        <c:idx val="168"/>
      </c:pivotFmt>
      <c:pivotFmt>
        <c:idx val="169"/>
      </c:pivotFmt>
      <c:pivotFmt>
        <c:idx val="170"/>
      </c:pivotFmt>
      <c:pivotFmt>
        <c:idx val="171"/>
      </c:pivotFmt>
      <c:pivotFmt>
        <c:idx val="172"/>
      </c:pivotFmt>
      <c:pivotFmt>
        <c:idx val="173"/>
      </c:pivotFmt>
      <c:pivotFmt>
        <c:idx val="174"/>
      </c:pivotFmt>
      <c:pivotFmt>
        <c:idx val="175"/>
      </c:pivotFmt>
      <c:pivotFmt>
        <c:idx val="176"/>
      </c:pivotFmt>
      <c:pivotFmt>
        <c:idx val="177"/>
      </c:pivotFmt>
      <c:pivotFmt>
        <c:idx val="178"/>
      </c:pivotFmt>
      <c:pivotFmt>
        <c:idx val="179"/>
      </c:pivotFmt>
      <c:pivotFmt>
        <c:idx val="180"/>
      </c:pivotFmt>
      <c:pivotFmt>
        <c:idx val="181"/>
      </c:pivotFmt>
      <c:pivotFmt>
        <c:idx val="182"/>
      </c:pivotFmt>
      <c:pivotFmt>
        <c:idx val="183"/>
      </c:pivotFmt>
      <c:pivotFmt>
        <c:idx val="184"/>
      </c:pivotFmt>
      <c:pivotFmt>
        <c:idx val="185"/>
      </c:pivotFmt>
      <c:pivotFmt>
        <c:idx val="186"/>
      </c:pivotFmt>
      <c:pivotFmt>
        <c:idx val="187"/>
      </c:pivotFmt>
      <c:pivotFmt>
        <c:idx val="188"/>
      </c:pivotFmt>
      <c:pivotFmt>
        <c:idx val="189"/>
      </c:pivotFmt>
      <c:pivotFmt>
        <c:idx val="190"/>
      </c:pivotFmt>
      <c:pivotFmt>
        <c:idx val="191"/>
      </c:pivotFmt>
      <c:pivotFmt>
        <c:idx val="192"/>
      </c:pivotFmt>
      <c:pivotFmt>
        <c:idx val="193"/>
      </c:pivotFmt>
      <c:pivotFmt>
        <c:idx val="194"/>
      </c:pivotFmt>
      <c:pivotFmt>
        <c:idx val="195"/>
      </c:pivotFmt>
      <c:pivotFmt>
        <c:idx val="196"/>
      </c:pivotFmt>
      <c:pivotFmt>
        <c:idx val="197"/>
      </c:pivotFmt>
      <c:pivotFmt>
        <c:idx val="198"/>
      </c:pivotFmt>
      <c:pivotFmt>
        <c:idx val="199"/>
      </c:pivotFmt>
      <c:pivotFmt>
        <c:idx val="200"/>
      </c:pivotFmt>
      <c:pivotFmt>
        <c:idx val="201"/>
      </c:pivotFmt>
      <c:pivotFmt>
        <c:idx val="202"/>
      </c:pivotFmt>
      <c:pivotFmt>
        <c:idx val="203"/>
      </c:pivotFmt>
      <c:pivotFmt>
        <c:idx val="204"/>
      </c:pivotFmt>
      <c:pivotFmt>
        <c:idx val="205"/>
      </c:pivotFmt>
      <c:pivotFmt>
        <c:idx val="206"/>
      </c:pivotFmt>
      <c:pivotFmt>
        <c:idx val="207"/>
      </c:pivotFmt>
      <c:pivotFmt>
        <c:idx val="208"/>
      </c:pivotFmt>
      <c:pivotFmt>
        <c:idx val="209"/>
      </c:pivotFmt>
      <c:pivotFmt>
        <c:idx val="210"/>
      </c:pivotFmt>
      <c:pivotFmt>
        <c:idx val="211"/>
      </c:pivotFmt>
      <c:pivotFmt>
        <c:idx val="212"/>
      </c:pivotFmt>
      <c:pivotFmt>
        <c:idx val="213"/>
      </c:pivotFmt>
      <c:pivotFmt>
        <c:idx val="214"/>
      </c:pivotFmt>
      <c:pivotFmt>
        <c:idx val="215"/>
      </c:pivotFmt>
      <c:pivotFmt>
        <c:idx val="216"/>
      </c:pivotFmt>
      <c:pivotFmt>
        <c:idx val="217"/>
      </c:pivotFmt>
      <c:pivotFmt>
        <c:idx val="218"/>
      </c:pivotFmt>
      <c:pivotFmt>
        <c:idx val="219"/>
      </c:pivotFmt>
      <c:pivotFmt>
        <c:idx val="220"/>
      </c:pivotFmt>
      <c:pivotFmt>
        <c:idx val="221"/>
      </c:pivotFmt>
      <c:pivotFmt>
        <c:idx val="222"/>
      </c:pivotFmt>
      <c:pivotFmt>
        <c:idx val="223"/>
      </c:pivotFmt>
      <c:pivotFmt>
        <c:idx val="224"/>
      </c:pivotFmt>
      <c:pivotFmt>
        <c:idx val="225"/>
      </c:pivotFmt>
      <c:pivotFmt>
        <c:idx val="226"/>
      </c:pivotFmt>
      <c:pivotFmt>
        <c:idx val="227"/>
      </c:pivotFmt>
      <c:pivotFmt>
        <c:idx val="228"/>
      </c:pivotFmt>
      <c:pivotFmt>
        <c:idx val="229"/>
      </c:pivotFmt>
      <c:pivotFmt>
        <c:idx val="230"/>
      </c:pivotFmt>
      <c:pivotFmt>
        <c:idx val="231"/>
      </c:pivotFmt>
      <c:pivotFmt>
        <c:idx val="232"/>
      </c:pivotFmt>
      <c:pivotFmt>
        <c:idx val="233"/>
      </c:pivotFmt>
      <c:pivotFmt>
        <c:idx val="234"/>
      </c:pivotFmt>
      <c:pivotFmt>
        <c:idx val="235"/>
      </c:pivotFmt>
      <c:pivotFmt>
        <c:idx val="236"/>
      </c:pivotFmt>
      <c:pivotFmt>
        <c:idx val="237"/>
      </c:pivotFmt>
      <c:pivotFmt>
        <c:idx val="238"/>
      </c:pivotFmt>
      <c:pivotFmt>
        <c:idx val="239"/>
      </c:pivotFmt>
      <c:pivotFmt>
        <c:idx val="240"/>
      </c:pivotFmt>
      <c:pivotFmt>
        <c:idx val="241"/>
      </c:pivotFmt>
      <c:pivotFmt>
        <c:idx val="242"/>
      </c:pivotFmt>
      <c:pivotFmt>
        <c:idx val="243"/>
      </c:pivotFmt>
      <c:pivotFmt>
        <c:idx val="244"/>
      </c:pivotFmt>
      <c:pivotFmt>
        <c:idx val="245"/>
      </c:pivotFmt>
      <c:pivotFmt>
        <c:idx val="246"/>
      </c:pivotFmt>
      <c:pivotFmt>
        <c:idx val="247"/>
      </c:pivotFmt>
      <c:pivotFmt>
        <c:idx val="248"/>
      </c:pivotFmt>
      <c:pivotFmt>
        <c:idx val="249"/>
      </c:pivotFmt>
      <c:pivotFmt>
        <c:idx val="250"/>
      </c:pivotFmt>
      <c:pivotFmt>
        <c:idx val="251"/>
      </c:pivotFmt>
      <c:pivotFmt>
        <c:idx val="252"/>
      </c:pivotFmt>
      <c:pivotFmt>
        <c:idx val="253"/>
      </c:pivotFmt>
      <c:pivotFmt>
        <c:idx val="254"/>
      </c:pivotFmt>
      <c:pivotFmt>
        <c:idx val="255"/>
      </c:pivotFmt>
      <c:pivotFmt>
        <c:idx val="256"/>
      </c:pivotFmt>
      <c:pivotFmt>
        <c:idx val="257"/>
      </c:pivotFmt>
      <c:pivotFmt>
        <c:idx val="258"/>
      </c:pivotFmt>
      <c:pivotFmt>
        <c:idx val="259"/>
      </c:pivotFmt>
      <c:pivotFmt>
        <c:idx val="260"/>
      </c:pivotFmt>
      <c:pivotFmt>
        <c:idx val="261"/>
      </c:pivotFmt>
      <c:pivotFmt>
        <c:idx val="262"/>
      </c:pivotFmt>
      <c:pivotFmt>
        <c:idx val="263"/>
      </c:pivotFmt>
      <c:pivotFmt>
        <c:idx val="264"/>
      </c:pivotFmt>
      <c:pivotFmt>
        <c:idx val="265"/>
      </c:pivotFmt>
      <c:pivotFmt>
        <c:idx val="266"/>
      </c:pivotFmt>
      <c:pivotFmt>
        <c:idx val="267"/>
      </c:pivotFmt>
      <c:pivotFmt>
        <c:idx val="268"/>
      </c:pivotFmt>
      <c:pivotFmt>
        <c:idx val="269"/>
      </c:pivotFmt>
      <c:pivotFmt>
        <c:idx val="270"/>
      </c:pivotFmt>
      <c:pivotFmt>
        <c:idx val="271"/>
      </c:pivotFmt>
      <c:pivotFmt>
        <c:idx val="272"/>
      </c:pivotFmt>
      <c:pivotFmt>
        <c:idx val="273"/>
      </c:pivotFmt>
      <c:pivotFmt>
        <c:idx val="274"/>
      </c:pivotFmt>
      <c:pivotFmt>
        <c:idx val="275"/>
      </c:pivotFmt>
      <c:pivotFmt>
        <c:idx val="276"/>
      </c:pivotFmt>
      <c:pivotFmt>
        <c:idx val="277"/>
      </c:pivotFmt>
      <c:pivotFmt>
        <c:idx val="278"/>
      </c:pivotFmt>
      <c:pivotFmt>
        <c:idx val="279"/>
      </c:pivotFmt>
      <c:pivotFmt>
        <c:idx val="280"/>
      </c:pivotFmt>
      <c:pivotFmt>
        <c:idx val="281"/>
      </c:pivotFmt>
      <c:pivotFmt>
        <c:idx val="282"/>
      </c:pivotFmt>
      <c:pivotFmt>
        <c:idx val="283"/>
      </c:pivotFmt>
      <c:pivotFmt>
        <c:idx val="284"/>
      </c:pivotFmt>
      <c:pivotFmt>
        <c:idx val="285"/>
      </c:pivotFmt>
      <c:pivotFmt>
        <c:idx val="286"/>
      </c:pivotFmt>
      <c:pivotFmt>
        <c:idx val="287"/>
      </c:pivotFmt>
      <c:pivotFmt>
        <c:idx val="288"/>
      </c:pivotFmt>
      <c:pivotFmt>
        <c:idx val="289"/>
      </c:pivotFmt>
      <c:pivotFmt>
        <c:idx val="290"/>
      </c:pivotFmt>
      <c:pivotFmt>
        <c:idx val="291"/>
      </c:pivotFmt>
      <c:pivotFmt>
        <c:idx val="292"/>
      </c:pivotFmt>
      <c:pivotFmt>
        <c:idx val="293"/>
      </c:pivotFmt>
      <c:pivotFmt>
        <c:idx val="294"/>
      </c:pivotFmt>
      <c:pivotFmt>
        <c:idx val="295"/>
      </c:pivotFmt>
      <c:pivotFmt>
        <c:idx val="296"/>
      </c:pivotFmt>
      <c:pivotFmt>
        <c:idx val="297"/>
      </c:pivotFmt>
      <c:pivotFmt>
        <c:idx val="298"/>
      </c:pivotFmt>
      <c:pivotFmt>
        <c:idx val="299"/>
      </c:pivotFmt>
      <c:pivotFmt>
        <c:idx val="300"/>
      </c:pivotFmt>
      <c:pivotFmt>
        <c:idx val="301"/>
      </c:pivotFmt>
      <c:pivotFmt>
        <c:idx val="302"/>
      </c:pivotFmt>
      <c:pivotFmt>
        <c:idx val="303"/>
      </c:pivotFmt>
      <c:pivotFmt>
        <c:idx val="304"/>
      </c:pivotFmt>
      <c:pivotFmt>
        <c:idx val="305"/>
      </c:pivotFmt>
      <c:pivotFmt>
        <c:idx val="306"/>
      </c:pivotFmt>
      <c:pivotFmt>
        <c:idx val="307"/>
      </c:pivotFmt>
      <c:pivotFmt>
        <c:idx val="308"/>
      </c:pivotFmt>
      <c:pivotFmt>
        <c:idx val="309"/>
      </c:pivotFmt>
      <c:pivotFmt>
        <c:idx val="310"/>
      </c:pivotFmt>
      <c:pivotFmt>
        <c:idx val="311"/>
      </c:pivotFmt>
      <c:pivotFmt>
        <c:idx val="312"/>
      </c:pivotFmt>
      <c:pivotFmt>
        <c:idx val="313"/>
      </c:pivotFmt>
      <c:pivotFmt>
        <c:idx val="314"/>
      </c:pivotFmt>
      <c:pivotFmt>
        <c:idx val="315"/>
      </c:pivotFmt>
      <c:pivotFmt>
        <c:idx val="316"/>
      </c:pivotFmt>
      <c:pivotFmt>
        <c:idx val="317"/>
      </c:pivotFmt>
      <c:pivotFmt>
        <c:idx val="318"/>
      </c:pivotFmt>
      <c:pivotFmt>
        <c:idx val="319"/>
      </c:pivotFmt>
      <c:pivotFmt>
        <c:idx val="320"/>
      </c:pivotFmt>
      <c:pivotFmt>
        <c:idx val="321"/>
      </c:pivotFmt>
      <c:pivotFmt>
        <c:idx val="322"/>
      </c:pivotFmt>
      <c:pivotFmt>
        <c:idx val="323"/>
      </c:pivotFmt>
      <c:pivotFmt>
        <c:idx val="324"/>
      </c:pivotFmt>
      <c:pivotFmt>
        <c:idx val="325"/>
      </c:pivotFmt>
      <c:pivotFmt>
        <c:idx val="326"/>
      </c:pivotFmt>
      <c:pivotFmt>
        <c:idx val="327"/>
      </c:pivotFmt>
      <c:pivotFmt>
        <c:idx val="328"/>
      </c:pivotFmt>
      <c:pivotFmt>
        <c:idx val="329"/>
      </c:pivotFmt>
      <c:pivotFmt>
        <c:idx val="330"/>
      </c:pivotFmt>
      <c:pivotFmt>
        <c:idx val="331"/>
      </c:pivotFmt>
      <c:pivotFmt>
        <c:idx val="332"/>
      </c:pivotFmt>
      <c:pivotFmt>
        <c:idx val="333"/>
      </c:pivotFmt>
      <c:pivotFmt>
        <c:idx val="334"/>
      </c:pivotFmt>
      <c:pivotFmt>
        <c:idx val="335"/>
      </c:pivotFmt>
      <c:pivotFmt>
        <c:idx val="336"/>
      </c:pivotFmt>
      <c:pivotFmt>
        <c:idx val="337"/>
      </c:pivotFmt>
      <c:pivotFmt>
        <c:idx val="338"/>
      </c:pivotFmt>
      <c:pivotFmt>
        <c:idx val="339"/>
      </c:pivotFmt>
      <c:pivotFmt>
        <c:idx val="340"/>
      </c:pivotFmt>
      <c:pivotFmt>
        <c:idx val="341"/>
      </c:pivotFmt>
      <c:pivotFmt>
        <c:idx val="342"/>
      </c:pivotFmt>
      <c:pivotFmt>
        <c:idx val="343"/>
      </c:pivotFmt>
      <c:pivotFmt>
        <c:idx val="344"/>
      </c:pivotFmt>
      <c:pivotFmt>
        <c:idx val="345"/>
      </c:pivotFmt>
      <c:pivotFmt>
        <c:idx val="346"/>
      </c:pivotFmt>
      <c:pivotFmt>
        <c:idx val="347"/>
      </c:pivotFmt>
      <c:pivotFmt>
        <c:idx val="348"/>
      </c:pivotFmt>
      <c:pivotFmt>
        <c:idx val="349"/>
      </c:pivotFmt>
      <c:pivotFmt>
        <c:idx val="350"/>
      </c:pivotFmt>
      <c:pivotFmt>
        <c:idx val="351"/>
      </c:pivotFmt>
      <c:pivotFmt>
        <c:idx val="352"/>
      </c:pivotFmt>
      <c:pivotFmt>
        <c:idx val="353"/>
      </c:pivotFmt>
      <c:pivotFmt>
        <c:idx val="354"/>
      </c:pivotFmt>
      <c:pivotFmt>
        <c:idx val="355"/>
      </c:pivotFmt>
      <c:pivotFmt>
        <c:idx val="356"/>
      </c:pivotFmt>
      <c:pivotFmt>
        <c:idx val="357"/>
      </c:pivotFmt>
      <c:pivotFmt>
        <c:idx val="358"/>
      </c:pivotFmt>
      <c:pivotFmt>
        <c:idx val="359"/>
      </c:pivotFmt>
      <c:pivotFmt>
        <c:idx val="360"/>
      </c:pivotFmt>
      <c:pivotFmt>
        <c:idx val="361"/>
      </c:pivotFmt>
      <c:pivotFmt>
        <c:idx val="362"/>
      </c:pivotFmt>
      <c:pivotFmt>
        <c:idx val="363"/>
      </c:pivotFmt>
      <c:pivotFmt>
        <c:idx val="364"/>
      </c:pivotFmt>
      <c:pivotFmt>
        <c:idx val="365"/>
      </c:pivotFmt>
      <c:pivotFmt>
        <c:idx val="366"/>
      </c:pivotFmt>
      <c:pivotFmt>
        <c:idx val="367"/>
      </c:pivotFmt>
      <c:pivotFmt>
        <c:idx val="368"/>
      </c:pivotFmt>
      <c:pivotFmt>
        <c:idx val="369"/>
      </c:pivotFmt>
      <c:pivotFmt>
        <c:idx val="370"/>
      </c:pivotFmt>
      <c:pivotFmt>
        <c:idx val="371"/>
      </c:pivotFmt>
      <c:pivotFmt>
        <c:idx val="372"/>
      </c:pivotFmt>
      <c:pivotFmt>
        <c:idx val="373"/>
      </c:pivotFmt>
      <c:pivotFmt>
        <c:idx val="374"/>
      </c:pivotFmt>
      <c:pivotFmt>
        <c:idx val="375"/>
      </c:pivotFmt>
      <c:pivotFmt>
        <c:idx val="376"/>
      </c:pivotFmt>
      <c:pivotFmt>
        <c:idx val="377"/>
      </c:pivotFmt>
      <c:pivotFmt>
        <c:idx val="378"/>
      </c:pivotFmt>
      <c:pivotFmt>
        <c:idx val="379"/>
      </c:pivotFmt>
      <c:pivotFmt>
        <c:idx val="380"/>
      </c:pivotFmt>
      <c:pivotFmt>
        <c:idx val="381"/>
      </c:pivotFmt>
      <c:pivotFmt>
        <c:idx val="382"/>
      </c:pivotFmt>
      <c:pivotFmt>
        <c:idx val="383"/>
      </c:pivotFmt>
      <c:pivotFmt>
        <c:idx val="384"/>
      </c:pivotFmt>
      <c:pivotFmt>
        <c:idx val="385"/>
      </c:pivotFmt>
      <c:pivotFmt>
        <c:idx val="386"/>
      </c:pivotFmt>
      <c:pivotFmt>
        <c:idx val="387"/>
      </c:pivotFmt>
      <c:pivotFmt>
        <c:idx val="388"/>
      </c:pivotFmt>
      <c:pivotFmt>
        <c:idx val="389"/>
      </c:pivotFmt>
      <c:pivotFmt>
        <c:idx val="390"/>
      </c:pivotFmt>
      <c:pivotFmt>
        <c:idx val="391"/>
      </c:pivotFmt>
      <c:pivotFmt>
        <c:idx val="392"/>
      </c:pivotFmt>
      <c:pivotFmt>
        <c:idx val="393"/>
      </c:pivotFmt>
      <c:pivotFmt>
        <c:idx val="394"/>
      </c:pivotFmt>
      <c:pivotFmt>
        <c:idx val="395"/>
      </c:pivotFmt>
      <c:pivotFmt>
        <c:idx val="396"/>
      </c:pivotFmt>
      <c:pivotFmt>
        <c:idx val="397"/>
      </c:pivotFmt>
      <c:pivotFmt>
        <c:idx val="398"/>
      </c:pivotFmt>
      <c:pivotFmt>
        <c:idx val="399"/>
      </c:pivotFmt>
      <c:pivotFmt>
        <c:idx val="400"/>
      </c:pivotFmt>
      <c:pivotFmt>
        <c:idx val="401"/>
      </c:pivotFmt>
      <c:pivotFmt>
        <c:idx val="402"/>
      </c:pivotFmt>
      <c:pivotFmt>
        <c:idx val="403"/>
      </c:pivotFmt>
      <c:pivotFmt>
        <c:idx val="404"/>
      </c:pivotFmt>
      <c:pivotFmt>
        <c:idx val="405"/>
      </c:pivotFmt>
      <c:pivotFmt>
        <c:idx val="406"/>
      </c:pivotFmt>
      <c:pivotFmt>
        <c:idx val="407"/>
      </c:pivotFmt>
      <c:pivotFmt>
        <c:idx val="408"/>
      </c:pivotFmt>
      <c:pivotFmt>
        <c:idx val="409"/>
      </c:pivotFmt>
      <c:pivotFmt>
        <c:idx val="410"/>
      </c:pivotFmt>
      <c:pivotFmt>
        <c:idx val="411"/>
      </c:pivotFmt>
      <c:pivotFmt>
        <c:idx val="412"/>
      </c:pivotFmt>
      <c:pivotFmt>
        <c:idx val="413"/>
      </c:pivotFmt>
      <c:pivotFmt>
        <c:idx val="414"/>
      </c:pivotFmt>
      <c:pivotFmt>
        <c:idx val="415"/>
      </c:pivotFmt>
      <c:pivotFmt>
        <c:idx val="416"/>
      </c:pivotFmt>
      <c:pivotFmt>
        <c:idx val="417"/>
      </c:pivotFmt>
      <c:pivotFmt>
        <c:idx val="418"/>
      </c:pivotFmt>
      <c:pivotFmt>
        <c:idx val="419"/>
      </c:pivotFmt>
      <c:pivotFmt>
        <c:idx val="420"/>
      </c:pivotFmt>
      <c:pivotFmt>
        <c:idx val="421"/>
      </c:pivotFmt>
      <c:pivotFmt>
        <c:idx val="422"/>
      </c:pivotFmt>
      <c:pivotFmt>
        <c:idx val="423"/>
      </c:pivotFmt>
      <c:pivotFmt>
        <c:idx val="424"/>
      </c:pivotFmt>
      <c:pivotFmt>
        <c:idx val="425"/>
      </c:pivotFmt>
      <c:pivotFmt>
        <c:idx val="426"/>
      </c:pivotFmt>
      <c:pivotFmt>
        <c:idx val="427"/>
      </c:pivotFmt>
      <c:pivotFmt>
        <c:idx val="428"/>
      </c:pivotFmt>
      <c:pivotFmt>
        <c:idx val="429"/>
      </c:pivotFmt>
      <c:pivotFmt>
        <c:idx val="430"/>
      </c:pivotFmt>
      <c:pivotFmt>
        <c:idx val="431"/>
      </c:pivotFmt>
      <c:pivotFmt>
        <c:idx val="432"/>
      </c:pivotFmt>
      <c:pivotFmt>
        <c:idx val="433"/>
      </c:pivotFmt>
      <c:pivotFmt>
        <c:idx val="434"/>
      </c:pivotFmt>
      <c:pivotFmt>
        <c:idx val="435"/>
      </c:pivotFmt>
      <c:pivotFmt>
        <c:idx val="436"/>
      </c:pivotFmt>
      <c:pivotFmt>
        <c:idx val="437"/>
      </c:pivotFmt>
      <c:pivotFmt>
        <c:idx val="438"/>
      </c:pivotFmt>
      <c:pivotFmt>
        <c:idx val="439"/>
      </c:pivotFmt>
      <c:pivotFmt>
        <c:idx val="440"/>
      </c:pivotFmt>
      <c:pivotFmt>
        <c:idx val="441"/>
      </c:pivotFmt>
      <c:pivotFmt>
        <c:idx val="442"/>
      </c:pivotFmt>
      <c:pivotFmt>
        <c:idx val="443"/>
      </c:pivotFmt>
      <c:pivotFmt>
        <c:idx val="444"/>
      </c:pivotFmt>
      <c:pivotFmt>
        <c:idx val="445"/>
      </c:pivotFmt>
      <c:pivotFmt>
        <c:idx val="446"/>
      </c:pivotFmt>
      <c:pivotFmt>
        <c:idx val="447"/>
      </c:pivotFmt>
      <c:pivotFmt>
        <c:idx val="448"/>
      </c:pivotFmt>
      <c:pivotFmt>
        <c:idx val="449"/>
      </c:pivotFmt>
      <c:pivotFmt>
        <c:idx val="450"/>
      </c:pivotFmt>
      <c:pivotFmt>
        <c:idx val="451"/>
      </c:pivotFmt>
      <c:pivotFmt>
        <c:idx val="452"/>
      </c:pivotFmt>
      <c:pivotFmt>
        <c:idx val="453"/>
      </c:pivotFmt>
      <c:pivotFmt>
        <c:idx val="454"/>
      </c:pivotFmt>
      <c:pivotFmt>
        <c:idx val="455"/>
      </c:pivotFmt>
      <c:pivotFmt>
        <c:idx val="456"/>
      </c:pivotFmt>
      <c:pivotFmt>
        <c:idx val="457"/>
      </c:pivotFmt>
      <c:pivotFmt>
        <c:idx val="458"/>
      </c:pivotFmt>
      <c:pivotFmt>
        <c:idx val="459"/>
      </c:pivotFmt>
      <c:pivotFmt>
        <c:idx val="460"/>
      </c:pivotFmt>
      <c:pivotFmt>
        <c:idx val="461"/>
      </c:pivotFmt>
      <c:pivotFmt>
        <c:idx val="462"/>
      </c:pivotFmt>
      <c:pivotFmt>
        <c:idx val="463"/>
      </c:pivotFmt>
      <c:pivotFmt>
        <c:idx val="464"/>
      </c:pivotFmt>
      <c:pivotFmt>
        <c:idx val="465"/>
      </c:pivotFmt>
      <c:pivotFmt>
        <c:idx val="466"/>
      </c:pivotFmt>
      <c:pivotFmt>
        <c:idx val="467"/>
      </c:pivotFmt>
      <c:pivotFmt>
        <c:idx val="468"/>
      </c:pivotFmt>
      <c:pivotFmt>
        <c:idx val="469"/>
      </c:pivotFmt>
      <c:pivotFmt>
        <c:idx val="470"/>
      </c:pivotFmt>
      <c:pivotFmt>
        <c:idx val="471"/>
      </c:pivotFmt>
      <c:pivotFmt>
        <c:idx val="472"/>
      </c:pivotFmt>
      <c:pivotFmt>
        <c:idx val="473"/>
      </c:pivotFmt>
      <c:pivotFmt>
        <c:idx val="474"/>
      </c:pivotFmt>
      <c:pivotFmt>
        <c:idx val="475"/>
      </c:pivotFmt>
      <c:pivotFmt>
        <c:idx val="476"/>
      </c:pivotFmt>
      <c:pivotFmt>
        <c:idx val="477"/>
      </c:pivotFmt>
      <c:pivotFmt>
        <c:idx val="478"/>
      </c:pivotFmt>
      <c:pivotFmt>
        <c:idx val="479"/>
      </c:pivotFmt>
      <c:pivotFmt>
        <c:idx val="480"/>
      </c:pivotFmt>
      <c:pivotFmt>
        <c:idx val="481"/>
      </c:pivotFmt>
      <c:pivotFmt>
        <c:idx val="482"/>
      </c:pivotFmt>
      <c:pivotFmt>
        <c:idx val="483"/>
      </c:pivotFmt>
      <c:pivotFmt>
        <c:idx val="484"/>
      </c:pivotFmt>
      <c:pivotFmt>
        <c:idx val="485"/>
      </c:pivotFmt>
      <c:pivotFmt>
        <c:idx val="486"/>
      </c:pivotFmt>
      <c:pivotFmt>
        <c:idx val="487"/>
      </c:pivotFmt>
      <c:pivotFmt>
        <c:idx val="488"/>
      </c:pivotFmt>
      <c:pivotFmt>
        <c:idx val="489"/>
      </c:pivotFmt>
      <c:pivotFmt>
        <c:idx val="490"/>
      </c:pivotFmt>
      <c:pivotFmt>
        <c:idx val="491"/>
      </c:pivotFmt>
      <c:pivotFmt>
        <c:idx val="492"/>
      </c:pivotFmt>
      <c:pivotFmt>
        <c:idx val="493"/>
      </c:pivotFmt>
      <c:pivotFmt>
        <c:idx val="494"/>
      </c:pivotFmt>
      <c:pivotFmt>
        <c:idx val="495"/>
      </c:pivotFmt>
      <c:pivotFmt>
        <c:idx val="496"/>
      </c:pivotFmt>
      <c:pivotFmt>
        <c:idx val="497"/>
      </c:pivotFmt>
      <c:pivotFmt>
        <c:idx val="498"/>
      </c:pivotFmt>
      <c:pivotFmt>
        <c:idx val="499"/>
      </c:pivotFmt>
      <c:pivotFmt>
        <c:idx val="500"/>
      </c:pivotFmt>
      <c:pivotFmt>
        <c:idx val="501"/>
      </c:pivotFmt>
      <c:pivotFmt>
        <c:idx val="502"/>
      </c:pivotFmt>
      <c:pivotFmt>
        <c:idx val="503"/>
      </c:pivotFmt>
      <c:pivotFmt>
        <c:idx val="504"/>
      </c:pivotFmt>
      <c:pivotFmt>
        <c:idx val="505"/>
      </c:pivotFmt>
      <c:pivotFmt>
        <c:idx val="506"/>
      </c:pivotFmt>
      <c:pivotFmt>
        <c:idx val="507"/>
      </c:pivotFmt>
      <c:pivotFmt>
        <c:idx val="508"/>
      </c:pivotFmt>
      <c:pivotFmt>
        <c:idx val="509"/>
      </c:pivotFmt>
      <c:pivotFmt>
        <c:idx val="510"/>
      </c:pivotFmt>
      <c:pivotFmt>
        <c:idx val="511"/>
      </c:pivotFmt>
      <c:pivotFmt>
        <c:idx val="512"/>
      </c:pivotFmt>
      <c:pivotFmt>
        <c:idx val="513"/>
      </c:pivotFmt>
      <c:pivotFmt>
        <c:idx val="514"/>
      </c:pivotFmt>
      <c:pivotFmt>
        <c:idx val="515"/>
      </c:pivotFmt>
      <c:pivotFmt>
        <c:idx val="516"/>
      </c:pivotFmt>
      <c:pivotFmt>
        <c:idx val="517"/>
      </c:pivotFmt>
      <c:pivotFmt>
        <c:idx val="518"/>
      </c:pivotFmt>
      <c:pivotFmt>
        <c:idx val="519"/>
      </c:pivotFmt>
      <c:pivotFmt>
        <c:idx val="520"/>
      </c:pivotFmt>
      <c:pivotFmt>
        <c:idx val="521"/>
      </c:pivotFmt>
      <c:pivotFmt>
        <c:idx val="522"/>
      </c:pivotFmt>
      <c:pivotFmt>
        <c:idx val="523"/>
      </c:pivotFmt>
      <c:pivotFmt>
        <c:idx val="524"/>
      </c:pivotFmt>
      <c:pivotFmt>
        <c:idx val="525"/>
      </c:pivotFmt>
      <c:pivotFmt>
        <c:idx val="526"/>
      </c:pivotFmt>
      <c:pivotFmt>
        <c:idx val="527"/>
      </c:pivotFmt>
      <c:pivotFmt>
        <c:idx val="528"/>
      </c:pivotFmt>
      <c:pivotFmt>
        <c:idx val="529"/>
      </c:pivotFmt>
      <c:pivotFmt>
        <c:idx val="530"/>
      </c:pivotFmt>
      <c:pivotFmt>
        <c:idx val="531"/>
      </c:pivotFmt>
      <c:pivotFmt>
        <c:idx val="532"/>
      </c:pivotFmt>
      <c:pivotFmt>
        <c:idx val="533"/>
      </c:pivotFmt>
      <c:pivotFmt>
        <c:idx val="534"/>
      </c:pivotFmt>
      <c:pivotFmt>
        <c:idx val="535"/>
      </c:pivotFmt>
      <c:pivotFmt>
        <c:idx val="536"/>
      </c:pivotFmt>
      <c:pivotFmt>
        <c:idx val="537"/>
      </c:pivotFmt>
      <c:pivotFmt>
        <c:idx val="538"/>
      </c:pivotFmt>
      <c:pivotFmt>
        <c:idx val="539"/>
      </c:pivotFmt>
      <c:pivotFmt>
        <c:idx val="540"/>
      </c:pivotFmt>
      <c:pivotFmt>
        <c:idx val="541"/>
      </c:pivotFmt>
      <c:pivotFmt>
        <c:idx val="542"/>
      </c:pivotFmt>
      <c:pivotFmt>
        <c:idx val="543"/>
      </c:pivotFmt>
      <c:pivotFmt>
        <c:idx val="544"/>
      </c:pivotFmt>
      <c:pivotFmt>
        <c:idx val="545"/>
      </c:pivotFmt>
      <c:pivotFmt>
        <c:idx val="546"/>
      </c:pivotFmt>
      <c:pivotFmt>
        <c:idx val="547"/>
      </c:pivotFmt>
      <c:pivotFmt>
        <c:idx val="548"/>
      </c:pivotFmt>
      <c:pivotFmt>
        <c:idx val="549"/>
      </c:pivotFmt>
      <c:pivotFmt>
        <c:idx val="550"/>
      </c:pivotFmt>
      <c:pivotFmt>
        <c:idx val="551"/>
      </c:pivotFmt>
      <c:pivotFmt>
        <c:idx val="552"/>
      </c:pivotFmt>
      <c:pivotFmt>
        <c:idx val="553"/>
      </c:pivotFmt>
      <c:pivotFmt>
        <c:idx val="554"/>
      </c:pivotFmt>
      <c:pivotFmt>
        <c:idx val="555"/>
      </c:pivotFmt>
      <c:pivotFmt>
        <c:idx val="556"/>
      </c:pivotFmt>
      <c:pivotFmt>
        <c:idx val="557"/>
      </c:pivotFmt>
      <c:pivotFmt>
        <c:idx val="558"/>
      </c:pivotFmt>
      <c:pivotFmt>
        <c:idx val="559"/>
      </c:pivotFmt>
      <c:pivotFmt>
        <c:idx val="560"/>
      </c:pivotFmt>
      <c:pivotFmt>
        <c:idx val="561"/>
      </c:pivotFmt>
      <c:pivotFmt>
        <c:idx val="562"/>
      </c:pivotFmt>
      <c:pivotFmt>
        <c:idx val="563"/>
      </c:pivotFmt>
      <c:pivotFmt>
        <c:idx val="564"/>
      </c:pivotFmt>
      <c:pivotFmt>
        <c:idx val="565"/>
      </c:pivotFmt>
      <c:pivotFmt>
        <c:idx val="566"/>
      </c:pivotFmt>
      <c:pivotFmt>
        <c:idx val="567"/>
      </c:pivotFmt>
      <c:pivotFmt>
        <c:idx val="568"/>
      </c:pivotFmt>
      <c:pivotFmt>
        <c:idx val="569"/>
      </c:pivotFmt>
      <c:pivotFmt>
        <c:idx val="570"/>
      </c:pivotFmt>
      <c:pivotFmt>
        <c:idx val="571"/>
      </c:pivotFmt>
      <c:pivotFmt>
        <c:idx val="572"/>
      </c:pivotFmt>
      <c:pivotFmt>
        <c:idx val="573"/>
      </c:pivotFmt>
      <c:pivotFmt>
        <c:idx val="574"/>
      </c:pivotFmt>
      <c:pivotFmt>
        <c:idx val="575"/>
      </c:pivotFmt>
      <c:pivotFmt>
        <c:idx val="576"/>
      </c:pivotFmt>
      <c:pivotFmt>
        <c:idx val="577"/>
      </c:pivotFmt>
      <c:pivotFmt>
        <c:idx val="578"/>
      </c:pivotFmt>
      <c:pivotFmt>
        <c:idx val="579"/>
      </c:pivotFmt>
      <c:pivotFmt>
        <c:idx val="580"/>
      </c:pivotFmt>
      <c:pivotFmt>
        <c:idx val="581"/>
      </c:pivotFmt>
      <c:pivotFmt>
        <c:idx val="582"/>
      </c:pivotFmt>
      <c:pivotFmt>
        <c:idx val="583"/>
      </c:pivotFmt>
      <c:pivotFmt>
        <c:idx val="584"/>
      </c:pivotFmt>
      <c:pivotFmt>
        <c:idx val="585"/>
      </c:pivotFmt>
      <c:pivotFmt>
        <c:idx val="586"/>
      </c:pivotFmt>
      <c:pivotFmt>
        <c:idx val="587"/>
      </c:pivotFmt>
      <c:pivotFmt>
        <c:idx val="588"/>
      </c:pivotFmt>
      <c:pivotFmt>
        <c:idx val="589"/>
      </c:pivotFmt>
      <c:pivotFmt>
        <c:idx val="590"/>
      </c:pivotFmt>
      <c:pivotFmt>
        <c:idx val="591"/>
      </c:pivotFmt>
      <c:pivotFmt>
        <c:idx val="592"/>
      </c:pivotFmt>
      <c:pivotFmt>
        <c:idx val="593"/>
      </c:pivotFmt>
      <c:pivotFmt>
        <c:idx val="594"/>
      </c:pivotFmt>
      <c:pivotFmt>
        <c:idx val="595"/>
      </c:pivotFmt>
      <c:pivotFmt>
        <c:idx val="596"/>
      </c:pivotFmt>
      <c:pivotFmt>
        <c:idx val="597"/>
      </c:pivotFmt>
      <c:pivotFmt>
        <c:idx val="598"/>
      </c:pivotFmt>
      <c:pivotFmt>
        <c:idx val="599"/>
      </c:pivotFmt>
      <c:pivotFmt>
        <c:idx val="600"/>
      </c:pivotFmt>
      <c:pivotFmt>
        <c:idx val="601"/>
      </c:pivotFmt>
      <c:pivotFmt>
        <c:idx val="602"/>
      </c:pivotFmt>
      <c:pivotFmt>
        <c:idx val="603"/>
      </c:pivotFmt>
      <c:pivotFmt>
        <c:idx val="604"/>
      </c:pivotFmt>
      <c:pivotFmt>
        <c:idx val="605"/>
      </c:pivotFmt>
      <c:pivotFmt>
        <c:idx val="606"/>
      </c:pivotFmt>
      <c:pivotFmt>
        <c:idx val="607"/>
      </c:pivotFmt>
      <c:pivotFmt>
        <c:idx val="608"/>
      </c:pivotFmt>
      <c:pivotFmt>
        <c:idx val="609"/>
      </c:pivotFmt>
      <c:pivotFmt>
        <c:idx val="610"/>
      </c:pivotFmt>
      <c:pivotFmt>
        <c:idx val="611"/>
      </c:pivotFmt>
      <c:pivotFmt>
        <c:idx val="612"/>
      </c:pivotFmt>
      <c:pivotFmt>
        <c:idx val="613"/>
      </c:pivotFmt>
      <c:pivotFmt>
        <c:idx val="614"/>
      </c:pivotFmt>
      <c:pivotFmt>
        <c:idx val="615"/>
      </c:pivotFmt>
      <c:pivotFmt>
        <c:idx val="616"/>
      </c:pivotFmt>
      <c:pivotFmt>
        <c:idx val="617"/>
      </c:pivotFmt>
      <c:pivotFmt>
        <c:idx val="618"/>
      </c:pivotFmt>
      <c:pivotFmt>
        <c:idx val="619"/>
      </c:pivotFmt>
      <c:pivotFmt>
        <c:idx val="620"/>
      </c:pivotFmt>
      <c:pivotFmt>
        <c:idx val="621"/>
      </c:pivotFmt>
      <c:pivotFmt>
        <c:idx val="622"/>
      </c:pivotFmt>
      <c:pivotFmt>
        <c:idx val="623"/>
      </c:pivotFmt>
      <c:pivotFmt>
        <c:idx val="624"/>
      </c:pivotFmt>
      <c:pivotFmt>
        <c:idx val="625"/>
      </c:pivotFmt>
      <c:pivotFmt>
        <c:idx val="626"/>
      </c:pivotFmt>
      <c:pivotFmt>
        <c:idx val="627"/>
      </c:pivotFmt>
      <c:pivotFmt>
        <c:idx val="628"/>
      </c:pivotFmt>
      <c:pivotFmt>
        <c:idx val="629"/>
      </c:pivotFmt>
      <c:pivotFmt>
        <c:idx val="630"/>
      </c:pivotFmt>
      <c:pivotFmt>
        <c:idx val="631"/>
      </c:pivotFmt>
      <c:pivotFmt>
        <c:idx val="632"/>
      </c:pivotFmt>
      <c:pivotFmt>
        <c:idx val="633"/>
      </c:pivotFmt>
      <c:pivotFmt>
        <c:idx val="634"/>
      </c:pivotFmt>
      <c:pivotFmt>
        <c:idx val="635"/>
      </c:pivotFmt>
      <c:pivotFmt>
        <c:idx val="636"/>
      </c:pivotFmt>
      <c:pivotFmt>
        <c:idx val="637"/>
      </c:pivotFmt>
      <c:pivotFmt>
        <c:idx val="638"/>
      </c:pivotFmt>
      <c:pivotFmt>
        <c:idx val="639"/>
      </c:pivotFmt>
      <c:pivotFmt>
        <c:idx val="640"/>
      </c:pivotFmt>
      <c:pivotFmt>
        <c:idx val="641"/>
      </c:pivotFmt>
      <c:pivotFmt>
        <c:idx val="642"/>
      </c:pivotFmt>
      <c:pivotFmt>
        <c:idx val="643"/>
      </c:pivotFmt>
      <c:pivotFmt>
        <c:idx val="644"/>
      </c:pivotFmt>
      <c:pivotFmt>
        <c:idx val="645"/>
      </c:pivotFmt>
      <c:pivotFmt>
        <c:idx val="646"/>
      </c:pivotFmt>
      <c:pivotFmt>
        <c:idx val="647"/>
      </c:pivotFmt>
      <c:pivotFmt>
        <c:idx val="648"/>
      </c:pivotFmt>
      <c:pivotFmt>
        <c:idx val="649"/>
      </c:pivotFmt>
      <c:pivotFmt>
        <c:idx val="650"/>
      </c:pivotFmt>
      <c:pivotFmt>
        <c:idx val="651"/>
      </c:pivotFmt>
      <c:pivotFmt>
        <c:idx val="652"/>
      </c:pivotFmt>
      <c:pivotFmt>
        <c:idx val="653"/>
      </c:pivotFmt>
      <c:pivotFmt>
        <c:idx val="654"/>
      </c:pivotFmt>
      <c:pivotFmt>
        <c:idx val="655"/>
      </c:pivotFmt>
      <c:pivotFmt>
        <c:idx val="656"/>
      </c:pivotFmt>
      <c:pivotFmt>
        <c:idx val="657"/>
      </c:pivotFmt>
      <c:pivotFmt>
        <c:idx val="658"/>
      </c:pivotFmt>
      <c:pivotFmt>
        <c:idx val="659"/>
      </c:pivotFmt>
      <c:pivotFmt>
        <c:idx val="660"/>
      </c:pivotFmt>
      <c:pivotFmt>
        <c:idx val="661"/>
      </c:pivotFmt>
      <c:pivotFmt>
        <c:idx val="662"/>
      </c:pivotFmt>
      <c:pivotFmt>
        <c:idx val="663"/>
      </c:pivotFmt>
      <c:pivotFmt>
        <c:idx val="664"/>
      </c:pivotFmt>
      <c:pivotFmt>
        <c:idx val="665"/>
      </c:pivotFmt>
      <c:pivotFmt>
        <c:idx val="666"/>
      </c:pivotFmt>
      <c:pivotFmt>
        <c:idx val="667"/>
      </c:pivotFmt>
      <c:pivotFmt>
        <c:idx val="668"/>
      </c:pivotFmt>
      <c:pivotFmt>
        <c:idx val="669"/>
      </c:pivotFmt>
      <c:pivotFmt>
        <c:idx val="670"/>
      </c:pivotFmt>
      <c:pivotFmt>
        <c:idx val="671"/>
      </c:pivotFmt>
      <c:pivotFmt>
        <c:idx val="672"/>
      </c:pivotFmt>
      <c:pivotFmt>
        <c:idx val="673"/>
      </c:pivotFmt>
      <c:pivotFmt>
        <c:idx val="674"/>
      </c:pivotFmt>
      <c:pivotFmt>
        <c:idx val="675"/>
      </c:pivotFmt>
      <c:pivotFmt>
        <c:idx val="676"/>
      </c:pivotFmt>
      <c:pivotFmt>
        <c:idx val="677"/>
      </c:pivotFmt>
      <c:pivotFmt>
        <c:idx val="678"/>
      </c:pivotFmt>
      <c:pivotFmt>
        <c:idx val="679"/>
      </c:pivotFmt>
      <c:pivotFmt>
        <c:idx val="680"/>
      </c:pivotFmt>
      <c:pivotFmt>
        <c:idx val="681"/>
      </c:pivotFmt>
      <c:pivotFmt>
        <c:idx val="682"/>
      </c:pivotFmt>
      <c:pivotFmt>
        <c:idx val="683"/>
      </c:pivotFmt>
      <c:pivotFmt>
        <c:idx val="684"/>
      </c:pivotFmt>
      <c:pivotFmt>
        <c:idx val="685"/>
      </c:pivotFmt>
      <c:pivotFmt>
        <c:idx val="686"/>
      </c:pivotFmt>
      <c:pivotFmt>
        <c:idx val="687"/>
      </c:pivotFmt>
      <c:pivotFmt>
        <c:idx val="688"/>
      </c:pivotFmt>
      <c:pivotFmt>
        <c:idx val="689"/>
      </c:pivotFmt>
      <c:pivotFmt>
        <c:idx val="690"/>
      </c:pivotFmt>
      <c:pivotFmt>
        <c:idx val="691"/>
      </c:pivotFmt>
      <c:pivotFmt>
        <c:idx val="692"/>
      </c:pivotFmt>
      <c:pivotFmt>
        <c:idx val="693"/>
      </c:pivotFmt>
      <c:pivotFmt>
        <c:idx val="694"/>
      </c:pivotFmt>
      <c:pivotFmt>
        <c:idx val="695"/>
      </c:pivotFmt>
      <c:pivotFmt>
        <c:idx val="696"/>
      </c:pivotFmt>
      <c:pivotFmt>
        <c:idx val="697"/>
      </c:pivotFmt>
      <c:pivotFmt>
        <c:idx val="698"/>
      </c:pivotFmt>
      <c:pivotFmt>
        <c:idx val="699"/>
      </c:pivotFmt>
      <c:pivotFmt>
        <c:idx val="700"/>
      </c:pivotFmt>
      <c:pivotFmt>
        <c:idx val="701"/>
      </c:pivotFmt>
      <c:pivotFmt>
        <c:idx val="702"/>
      </c:pivotFmt>
      <c:pivotFmt>
        <c:idx val="703"/>
      </c:pivotFmt>
      <c:pivotFmt>
        <c:idx val="704"/>
      </c:pivotFmt>
      <c:pivotFmt>
        <c:idx val="705"/>
      </c:pivotFmt>
      <c:pivotFmt>
        <c:idx val="706"/>
      </c:pivotFmt>
      <c:pivotFmt>
        <c:idx val="707"/>
      </c:pivotFmt>
      <c:pivotFmt>
        <c:idx val="708"/>
      </c:pivotFmt>
      <c:pivotFmt>
        <c:idx val="709"/>
      </c:pivotFmt>
      <c:pivotFmt>
        <c:idx val="710"/>
      </c:pivotFmt>
      <c:pivotFmt>
        <c:idx val="711"/>
      </c:pivotFmt>
      <c:pivotFmt>
        <c:idx val="712"/>
      </c:pivotFmt>
      <c:pivotFmt>
        <c:idx val="713"/>
      </c:pivotFmt>
      <c:pivotFmt>
        <c:idx val="714"/>
      </c:pivotFmt>
      <c:pivotFmt>
        <c:idx val="715"/>
      </c:pivotFmt>
      <c:pivotFmt>
        <c:idx val="716"/>
      </c:pivotFmt>
      <c:pivotFmt>
        <c:idx val="717"/>
      </c:pivotFmt>
      <c:pivotFmt>
        <c:idx val="718"/>
      </c:pivotFmt>
      <c:pivotFmt>
        <c:idx val="719"/>
      </c:pivotFmt>
      <c:pivotFmt>
        <c:idx val="720"/>
      </c:pivotFmt>
      <c:pivotFmt>
        <c:idx val="721"/>
      </c:pivotFmt>
      <c:pivotFmt>
        <c:idx val="722"/>
      </c:pivotFmt>
      <c:pivotFmt>
        <c:idx val="723"/>
      </c:pivotFmt>
      <c:pivotFmt>
        <c:idx val="724"/>
      </c:pivotFmt>
      <c:pivotFmt>
        <c:idx val="725"/>
      </c:pivotFmt>
      <c:pivotFmt>
        <c:idx val="726"/>
      </c:pivotFmt>
      <c:pivotFmt>
        <c:idx val="727"/>
      </c:pivotFmt>
      <c:pivotFmt>
        <c:idx val="728"/>
      </c:pivotFmt>
      <c:pivotFmt>
        <c:idx val="729"/>
      </c:pivotFmt>
      <c:pivotFmt>
        <c:idx val="730"/>
      </c:pivotFmt>
      <c:pivotFmt>
        <c:idx val="731"/>
      </c:pivotFmt>
      <c:pivotFmt>
        <c:idx val="732"/>
      </c:pivotFmt>
      <c:pivotFmt>
        <c:idx val="733"/>
      </c:pivotFmt>
      <c:pivotFmt>
        <c:idx val="734"/>
      </c:pivotFmt>
      <c:pivotFmt>
        <c:idx val="735"/>
      </c:pivotFmt>
      <c:pivotFmt>
        <c:idx val="736"/>
      </c:pivotFmt>
      <c:pivotFmt>
        <c:idx val="737"/>
      </c:pivotFmt>
      <c:pivotFmt>
        <c:idx val="738"/>
      </c:pivotFmt>
      <c:pivotFmt>
        <c:idx val="739"/>
      </c:pivotFmt>
      <c:pivotFmt>
        <c:idx val="740"/>
      </c:pivotFmt>
      <c:pivotFmt>
        <c:idx val="741"/>
      </c:pivotFmt>
      <c:pivotFmt>
        <c:idx val="742"/>
      </c:pivotFmt>
      <c:pivotFmt>
        <c:idx val="743"/>
      </c:pivotFmt>
      <c:pivotFmt>
        <c:idx val="744"/>
      </c:pivotFmt>
      <c:pivotFmt>
        <c:idx val="745"/>
      </c:pivotFmt>
      <c:pivotFmt>
        <c:idx val="746"/>
      </c:pivotFmt>
      <c:pivotFmt>
        <c:idx val="747"/>
      </c:pivotFmt>
      <c:pivotFmt>
        <c:idx val="748"/>
      </c:pivotFmt>
      <c:pivotFmt>
        <c:idx val="749"/>
      </c:pivotFmt>
      <c:pivotFmt>
        <c:idx val="750"/>
      </c:pivotFmt>
      <c:pivotFmt>
        <c:idx val="751"/>
      </c:pivotFmt>
      <c:pivotFmt>
        <c:idx val="752"/>
      </c:pivotFmt>
      <c:pivotFmt>
        <c:idx val="753"/>
      </c:pivotFmt>
      <c:pivotFmt>
        <c:idx val="754"/>
      </c:pivotFmt>
      <c:pivotFmt>
        <c:idx val="755"/>
      </c:pivotFmt>
      <c:pivotFmt>
        <c:idx val="756"/>
      </c:pivotFmt>
      <c:pivotFmt>
        <c:idx val="757"/>
      </c:pivotFmt>
      <c:pivotFmt>
        <c:idx val="758"/>
      </c:pivotFmt>
      <c:pivotFmt>
        <c:idx val="759"/>
      </c:pivotFmt>
      <c:pivotFmt>
        <c:idx val="760"/>
      </c:pivotFmt>
      <c:pivotFmt>
        <c:idx val="761"/>
      </c:pivotFmt>
      <c:pivotFmt>
        <c:idx val="762"/>
      </c:pivotFmt>
      <c:pivotFmt>
        <c:idx val="763"/>
      </c:pivotFmt>
      <c:pivotFmt>
        <c:idx val="764"/>
      </c:pivotFmt>
      <c:pivotFmt>
        <c:idx val="765"/>
      </c:pivotFmt>
      <c:pivotFmt>
        <c:idx val="766"/>
      </c:pivotFmt>
      <c:pivotFmt>
        <c:idx val="767"/>
      </c:pivotFmt>
      <c:pivotFmt>
        <c:idx val="768"/>
      </c:pivotFmt>
      <c:pivotFmt>
        <c:idx val="769"/>
      </c:pivotFmt>
      <c:pivotFmt>
        <c:idx val="770"/>
      </c:pivotFmt>
      <c:pivotFmt>
        <c:idx val="771"/>
      </c:pivotFmt>
      <c:pivotFmt>
        <c:idx val="772"/>
      </c:pivotFmt>
      <c:pivotFmt>
        <c:idx val="773"/>
      </c:pivotFmt>
      <c:pivotFmt>
        <c:idx val="774"/>
      </c:pivotFmt>
      <c:pivotFmt>
        <c:idx val="775"/>
      </c:pivotFmt>
      <c:pivotFmt>
        <c:idx val="776"/>
      </c:pivotFmt>
      <c:pivotFmt>
        <c:idx val="777"/>
      </c:pivotFmt>
      <c:pivotFmt>
        <c:idx val="778"/>
      </c:pivotFmt>
      <c:pivotFmt>
        <c:idx val="779"/>
      </c:pivotFmt>
      <c:pivotFmt>
        <c:idx val="780"/>
      </c:pivotFmt>
      <c:pivotFmt>
        <c:idx val="781"/>
      </c:pivotFmt>
      <c:pivotFmt>
        <c:idx val="782"/>
      </c:pivotFmt>
      <c:pivotFmt>
        <c:idx val="783"/>
      </c:pivotFmt>
      <c:pivotFmt>
        <c:idx val="784"/>
      </c:pivotFmt>
      <c:pivotFmt>
        <c:idx val="785"/>
      </c:pivotFmt>
      <c:pivotFmt>
        <c:idx val="786"/>
      </c:pivotFmt>
      <c:pivotFmt>
        <c:idx val="787"/>
      </c:pivotFmt>
      <c:pivotFmt>
        <c:idx val="788"/>
      </c:pivotFmt>
      <c:pivotFmt>
        <c:idx val="789"/>
      </c:pivotFmt>
      <c:pivotFmt>
        <c:idx val="790"/>
      </c:pivotFmt>
      <c:pivotFmt>
        <c:idx val="791"/>
      </c:pivotFmt>
      <c:pivotFmt>
        <c:idx val="792"/>
      </c:pivotFmt>
      <c:pivotFmt>
        <c:idx val="793"/>
      </c:pivotFmt>
      <c:pivotFmt>
        <c:idx val="794"/>
      </c:pivotFmt>
      <c:pivotFmt>
        <c:idx val="795"/>
      </c:pivotFmt>
      <c:pivotFmt>
        <c:idx val="796"/>
      </c:pivotFmt>
      <c:pivotFmt>
        <c:idx val="797"/>
      </c:pivotFmt>
      <c:pivotFmt>
        <c:idx val="798"/>
      </c:pivotFmt>
      <c:pivotFmt>
        <c:idx val="799"/>
      </c:pivotFmt>
      <c:pivotFmt>
        <c:idx val="800"/>
      </c:pivotFmt>
      <c:pivotFmt>
        <c:idx val="801"/>
      </c:pivotFmt>
      <c:pivotFmt>
        <c:idx val="802"/>
      </c:pivotFmt>
      <c:pivotFmt>
        <c:idx val="803"/>
      </c:pivotFmt>
      <c:pivotFmt>
        <c:idx val="804"/>
      </c:pivotFmt>
      <c:pivotFmt>
        <c:idx val="805"/>
      </c:pivotFmt>
      <c:pivotFmt>
        <c:idx val="806"/>
      </c:pivotFmt>
      <c:pivotFmt>
        <c:idx val="807"/>
      </c:pivotFmt>
      <c:pivotFmt>
        <c:idx val="808"/>
      </c:pivotFmt>
      <c:pivotFmt>
        <c:idx val="809"/>
      </c:pivotFmt>
      <c:pivotFmt>
        <c:idx val="810"/>
      </c:pivotFmt>
      <c:pivotFmt>
        <c:idx val="811"/>
      </c:pivotFmt>
      <c:pivotFmt>
        <c:idx val="812"/>
      </c:pivotFmt>
      <c:pivotFmt>
        <c:idx val="813"/>
      </c:pivotFmt>
      <c:pivotFmt>
        <c:idx val="814"/>
      </c:pivotFmt>
      <c:pivotFmt>
        <c:idx val="815"/>
      </c:pivotFmt>
      <c:pivotFmt>
        <c:idx val="816"/>
      </c:pivotFmt>
      <c:pivotFmt>
        <c:idx val="817"/>
      </c:pivotFmt>
      <c:pivotFmt>
        <c:idx val="818"/>
      </c:pivotFmt>
      <c:pivotFmt>
        <c:idx val="819"/>
      </c:pivotFmt>
      <c:pivotFmt>
        <c:idx val="820"/>
      </c:pivotFmt>
      <c:pivotFmt>
        <c:idx val="821"/>
      </c:pivotFmt>
      <c:pivotFmt>
        <c:idx val="822"/>
      </c:pivotFmt>
      <c:pivotFmt>
        <c:idx val="823"/>
      </c:pivotFmt>
      <c:pivotFmt>
        <c:idx val="824"/>
      </c:pivotFmt>
      <c:pivotFmt>
        <c:idx val="825"/>
      </c:pivotFmt>
      <c:pivotFmt>
        <c:idx val="826"/>
      </c:pivotFmt>
      <c:pivotFmt>
        <c:idx val="827"/>
      </c:pivotFmt>
      <c:pivotFmt>
        <c:idx val="828"/>
      </c:pivotFmt>
      <c:pivotFmt>
        <c:idx val="829"/>
      </c:pivotFmt>
      <c:pivotFmt>
        <c:idx val="830"/>
      </c:pivotFmt>
      <c:pivotFmt>
        <c:idx val="831"/>
      </c:pivotFmt>
      <c:pivotFmt>
        <c:idx val="832"/>
      </c:pivotFmt>
      <c:pivotFmt>
        <c:idx val="833"/>
      </c:pivotFmt>
      <c:pivotFmt>
        <c:idx val="834"/>
      </c:pivotFmt>
      <c:pivotFmt>
        <c:idx val="835"/>
      </c:pivotFmt>
      <c:pivotFmt>
        <c:idx val="836"/>
      </c:pivotFmt>
      <c:pivotFmt>
        <c:idx val="837"/>
      </c:pivotFmt>
      <c:pivotFmt>
        <c:idx val="838"/>
      </c:pivotFmt>
      <c:pivotFmt>
        <c:idx val="839"/>
      </c:pivotFmt>
      <c:pivotFmt>
        <c:idx val="840"/>
      </c:pivotFmt>
      <c:pivotFmt>
        <c:idx val="841"/>
      </c:pivotFmt>
      <c:pivotFmt>
        <c:idx val="842"/>
      </c:pivotFmt>
      <c:pivotFmt>
        <c:idx val="843"/>
      </c:pivotFmt>
      <c:pivotFmt>
        <c:idx val="844"/>
      </c:pivotFmt>
      <c:pivotFmt>
        <c:idx val="845"/>
      </c:pivotFmt>
      <c:pivotFmt>
        <c:idx val="846"/>
      </c:pivotFmt>
      <c:pivotFmt>
        <c:idx val="847"/>
      </c:pivotFmt>
      <c:pivotFmt>
        <c:idx val="848"/>
      </c:pivotFmt>
      <c:pivotFmt>
        <c:idx val="849"/>
      </c:pivotFmt>
      <c:pivotFmt>
        <c:idx val="850"/>
      </c:pivotFmt>
      <c:pivotFmt>
        <c:idx val="851"/>
      </c:pivotFmt>
      <c:pivotFmt>
        <c:idx val="852"/>
      </c:pivotFmt>
      <c:pivotFmt>
        <c:idx val="853"/>
      </c:pivotFmt>
      <c:pivotFmt>
        <c:idx val="854"/>
      </c:pivotFmt>
      <c:pivotFmt>
        <c:idx val="855"/>
      </c:pivotFmt>
      <c:pivotFmt>
        <c:idx val="856"/>
      </c:pivotFmt>
      <c:pivotFmt>
        <c:idx val="857"/>
      </c:pivotFmt>
      <c:pivotFmt>
        <c:idx val="858"/>
      </c:pivotFmt>
      <c:pivotFmt>
        <c:idx val="859"/>
      </c:pivotFmt>
      <c:pivotFmt>
        <c:idx val="860"/>
      </c:pivotFmt>
      <c:pivotFmt>
        <c:idx val="861"/>
      </c:pivotFmt>
      <c:pivotFmt>
        <c:idx val="862"/>
      </c:pivotFmt>
      <c:pivotFmt>
        <c:idx val="863"/>
      </c:pivotFmt>
      <c:pivotFmt>
        <c:idx val="864"/>
      </c:pivotFmt>
      <c:pivotFmt>
        <c:idx val="865"/>
      </c:pivotFmt>
      <c:pivotFmt>
        <c:idx val="866"/>
      </c:pivotFmt>
      <c:pivotFmt>
        <c:idx val="867"/>
      </c:pivotFmt>
      <c:pivotFmt>
        <c:idx val="868"/>
      </c:pivotFmt>
      <c:pivotFmt>
        <c:idx val="869"/>
      </c:pivotFmt>
      <c:pivotFmt>
        <c:idx val="870"/>
      </c:pivotFmt>
      <c:pivotFmt>
        <c:idx val="871"/>
      </c:pivotFmt>
      <c:pivotFmt>
        <c:idx val="872"/>
      </c:pivotFmt>
      <c:pivotFmt>
        <c:idx val="873"/>
      </c:pivotFmt>
      <c:pivotFmt>
        <c:idx val="874"/>
      </c:pivotFmt>
      <c:pivotFmt>
        <c:idx val="875"/>
      </c:pivotFmt>
      <c:pivotFmt>
        <c:idx val="876"/>
      </c:pivotFmt>
      <c:pivotFmt>
        <c:idx val="877"/>
      </c:pivotFmt>
      <c:pivotFmt>
        <c:idx val="878"/>
      </c:pivotFmt>
      <c:pivotFmt>
        <c:idx val="879"/>
      </c:pivotFmt>
      <c:pivotFmt>
        <c:idx val="880"/>
      </c:pivotFmt>
      <c:pivotFmt>
        <c:idx val="881"/>
      </c:pivotFmt>
      <c:pivotFmt>
        <c:idx val="882"/>
      </c:pivotFmt>
      <c:pivotFmt>
        <c:idx val="883"/>
      </c:pivotFmt>
      <c:pivotFmt>
        <c:idx val="884"/>
      </c:pivotFmt>
      <c:pivotFmt>
        <c:idx val="885"/>
      </c:pivotFmt>
      <c:pivotFmt>
        <c:idx val="886"/>
      </c:pivotFmt>
      <c:pivotFmt>
        <c:idx val="887"/>
      </c:pivotFmt>
      <c:pivotFmt>
        <c:idx val="888"/>
      </c:pivotFmt>
      <c:pivotFmt>
        <c:idx val="889"/>
      </c:pivotFmt>
      <c:pivotFmt>
        <c:idx val="890"/>
      </c:pivotFmt>
      <c:pivotFmt>
        <c:idx val="891"/>
      </c:pivotFmt>
      <c:pivotFmt>
        <c:idx val="892"/>
      </c:pivotFmt>
      <c:pivotFmt>
        <c:idx val="893"/>
      </c:pivotFmt>
      <c:pivotFmt>
        <c:idx val="894"/>
      </c:pivotFmt>
      <c:pivotFmt>
        <c:idx val="895"/>
      </c:pivotFmt>
      <c:pivotFmt>
        <c:idx val="896"/>
      </c:pivotFmt>
      <c:pivotFmt>
        <c:idx val="897"/>
      </c:pivotFmt>
      <c:pivotFmt>
        <c:idx val="898"/>
      </c:pivotFmt>
      <c:pivotFmt>
        <c:idx val="899"/>
      </c:pivotFmt>
      <c:pivotFmt>
        <c:idx val="900"/>
      </c:pivotFmt>
      <c:pivotFmt>
        <c:idx val="901"/>
      </c:pivotFmt>
      <c:pivotFmt>
        <c:idx val="902"/>
      </c:pivotFmt>
      <c:pivotFmt>
        <c:idx val="903"/>
      </c:pivotFmt>
      <c:pivotFmt>
        <c:idx val="904"/>
      </c:pivotFmt>
      <c:pivotFmt>
        <c:idx val="905"/>
      </c:pivotFmt>
      <c:pivotFmt>
        <c:idx val="906"/>
      </c:pivotFmt>
      <c:pivotFmt>
        <c:idx val="907"/>
      </c:pivotFmt>
      <c:pivotFmt>
        <c:idx val="908"/>
      </c:pivotFmt>
      <c:pivotFmt>
        <c:idx val="909"/>
      </c:pivotFmt>
      <c:pivotFmt>
        <c:idx val="910"/>
      </c:pivotFmt>
      <c:pivotFmt>
        <c:idx val="911"/>
      </c:pivotFmt>
      <c:pivotFmt>
        <c:idx val="912"/>
      </c:pivotFmt>
      <c:pivotFmt>
        <c:idx val="913"/>
      </c:pivotFmt>
      <c:pivotFmt>
        <c:idx val="914"/>
      </c:pivotFmt>
      <c:pivotFmt>
        <c:idx val="915"/>
      </c:pivotFmt>
      <c:pivotFmt>
        <c:idx val="916"/>
      </c:pivotFmt>
      <c:pivotFmt>
        <c:idx val="917"/>
      </c:pivotFmt>
      <c:pivotFmt>
        <c:idx val="918"/>
      </c:pivotFmt>
      <c:pivotFmt>
        <c:idx val="919"/>
      </c:pivotFmt>
      <c:pivotFmt>
        <c:idx val="920"/>
      </c:pivotFmt>
      <c:pivotFmt>
        <c:idx val="921"/>
      </c:pivotFmt>
      <c:pivotFmt>
        <c:idx val="922"/>
      </c:pivotFmt>
      <c:pivotFmt>
        <c:idx val="923"/>
      </c:pivotFmt>
      <c:pivotFmt>
        <c:idx val="924"/>
      </c:pivotFmt>
      <c:pivotFmt>
        <c:idx val="925"/>
      </c:pivotFmt>
      <c:pivotFmt>
        <c:idx val="926"/>
      </c:pivotFmt>
      <c:pivotFmt>
        <c:idx val="927"/>
      </c:pivotFmt>
      <c:pivotFmt>
        <c:idx val="928"/>
      </c:pivotFmt>
      <c:pivotFmt>
        <c:idx val="929"/>
      </c:pivotFmt>
      <c:pivotFmt>
        <c:idx val="930"/>
      </c:pivotFmt>
      <c:pivotFmt>
        <c:idx val="931"/>
      </c:pivotFmt>
      <c:pivotFmt>
        <c:idx val="932"/>
      </c:pivotFmt>
      <c:pivotFmt>
        <c:idx val="933"/>
      </c:pivotFmt>
      <c:pivotFmt>
        <c:idx val="934"/>
      </c:pivotFmt>
      <c:pivotFmt>
        <c:idx val="935"/>
      </c:pivotFmt>
      <c:pivotFmt>
        <c:idx val="936"/>
      </c:pivotFmt>
      <c:pivotFmt>
        <c:idx val="937"/>
      </c:pivotFmt>
      <c:pivotFmt>
        <c:idx val="938"/>
      </c:pivotFmt>
      <c:pivotFmt>
        <c:idx val="939"/>
      </c:pivotFmt>
      <c:pivotFmt>
        <c:idx val="940"/>
      </c:pivotFmt>
      <c:pivotFmt>
        <c:idx val="941"/>
      </c:pivotFmt>
      <c:pivotFmt>
        <c:idx val="942"/>
      </c:pivotFmt>
      <c:pivotFmt>
        <c:idx val="943"/>
      </c:pivotFmt>
      <c:pivotFmt>
        <c:idx val="944"/>
      </c:pivotFmt>
      <c:pivotFmt>
        <c:idx val="945"/>
      </c:pivotFmt>
      <c:pivotFmt>
        <c:idx val="946"/>
      </c:pivotFmt>
      <c:pivotFmt>
        <c:idx val="947"/>
      </c:pivotFmt>
      <c:pivotFmt>
        <c:idx val="948"/>
      </c:pivotFmt>
      <c:pivotFmt>
        <c:idx val="949"/>
      </c:pivotFmt>
      <c:pivotFmt>
        <c:idx val="950"/>
      </c:pivotFmt>
      <c:pivotFmt>
        <c:idx val="951"/>
      </c:pivotFmt>
      <c:pivotFmt>
        <c:idx val="952"/>
      </c:pivotFmt>
      <c:pivotFmt>
        <c:idx val="953"/>
      </c:pivotFmt>
      <c:pivotFmt>
        <c:idx val="954"/>
      </c:pivotFmt>
      <c:pivotFmt>
        <c:idx val="955"/>
      </c:pivotFmt>
      <c:pivotFmt>
        <c:idx val="956"/>
      </c:pivotFmt>
      <c:pivotFmt>
        <c:idx val="957"/>
      </c:pivotFmt>
      <c:pivotFmt>
        <c:idx val="958"/>
      </c:pivotFmt>
      <c:pivotFmt>
        <c:idx val="959"/>
      </c:pivotFmt>
      <c:pivotFmt>
        <c:idx val="960"/>
      </c:pivotFmt>
      <c:pivotFmt>
        <c:idx val="961"/>
      </c:pivotFmt>
      <c:pivotFmt>
        <c:idx val="962"/>
      </c:pivotFmt>
      <c:pivotFmt>
        <c:idx val="963"/>
      </c:pivotFmt>
      <c:pivotFmt>
        <c:idx val="964"/>
      </c:pivotFmt>
      <c:pivotFmt>
        <c:idx val="965"/>
      </c:pivotFmt>
      <c:pivotFmt>
        <c:idx val="966"/>
      </c:pivotFmt>
      <c:pivotFmt>
        <c:idx val="967"/>
      </c:pivotFmt>
      <c:pivotFmt>
        <c:idx val="968"/>
      </c:pivotFmt>
      <c:pivotFmt>
        <c:idx val="969"/>
      </c:pivotFmt>
      <c:pivotFmt>
        <c:idx val="970"/>
      </c:pivotFmt>
      <c:pivotFmt>
        <c:idx val="971"/>
      </c:pivotFmt>
      <c:pivotFmt>
        <c:idx val="972"/>
      </c:pivotFmt>
      <c:pivotFmt>
        <c:idx val="973"/>
      </c:pivotFmt>
      <c:pivotFmt>
        <c:idx val="974"/>
      </c:pivotFmt>
      <c:pivotFmt>
        <c:idx val="975"/>
      </c:pivotFmt>
      <c:pivotFmt>
        <c:idx val="976"/>
      </c:pivotFmt>
      <c:pivotFmt>
        <c:idx val="977"/>
      </c:pivotFmt>
      <c:pivotFmt>
        <c:idx val="978"/>
      </c:pivotFmt>
      <c:pivotFmt>
        <c:idx val="979"/>
      </c:pivotFmt>
      <c:pivotFmt>
        <c:idx val="980"/>
      </c:pivotFmt>
      <c:pivotFmt>
        <c:idx val="981"/>
      </c:pivotFmt>
      <c:pivotFmt>
        <c:idx val="982"/>
      </c:pivotFmt>
      <c:pivotFmt>
        <c:idx val="983"/>
      </c:pivotFmt>
      <c:pivotFmt>
        <c:idx val="984"/>
      </c:pivotFmt>
      <c:pivotFmt>
        <c:idx val="985"/>
      </c:pivotFmt>
      <c:pivotFmt>
        <c:idx val="986"/>
      </c:pivotFmt>
      <c:pivotFmt>
        <c:idx val="987"/>
      </c:pivotFmt>
      <c:pivotFmt>
        <c:idx val="988"/>
      </c:pivotFmt>
      <c:pivotFmt>
        <c:idx val="989"/>
      </c:pivotFmt>
      <c:pivotFmt>
        <c:idx val="990"/>
      </c:pivotFmt>
      <c:pivotFmt>
        <c:idx val="991"/>
      </c:pivotFmt>
      <c:pivotFmt>
        <c:idx val="992"/>
      </c:pivotFmt>
      <c:pivotFmt>
        <c:idx val="993"/>
      </c:pivotFmt>
      <c:pivotFmt>
        <c:idx val="994"/>
      </c:pivotFmt>
      <c:pivotFmt>
        <c:idx val="995"/>
      </c:pivotFmt>
      <c:pivotFmt>
        <c:idx val="996"/>
      </c:pivotFmt>
      <c:pivotFmt>
        <c:idx val="997"/>
      </c:pivotFmt>
      <c:pivotFmt>
        <c:idx val="998"/>
      </c:pivotFmt>
      <c:pivotFmt>
        <c:idx val="999"/>
      </c:pivotFmt>
      <c:pivotFmt>
        <c:idx val="1000"/>
      </c:pivotFmt>
      <c:pivotFmt>
        <c:idx val="1001"/>
      </c:pivotFmt>
      <c:pivotFmt>
        <c:idx val="1002"/>
      </c:pivotFmt>
      <c:pivotFmt>
        <c:idx val="1003"/>
      </c:pivotFmt>
      <c:pivotFmt>
        <c:idx val="1004"/>
      </c:pivotFmt>
      <c:pivotFmt>
        <c:idx val="1005"/>
      </c:pivotFmt>
      <c:pivotFmt>
        <c:idx val="1006"/>
      </c:pivotFmt>
      <c:pivotFmt>
        <c:idx val="1007"/>
      </c:pivotFmt>
      <c:pivotFmt>
        <c:idx val="1008"/>
      </c:pivotFmt>
      <c:pivotFmt>
        <c:idx val="1009"/>
      </c:pivotFmt>
      <c:pivotFmt>
        <c:idx val="1010"/>
      </c:pivotFmt>
      <c:pivotFmt>
        <c:idx val="1011"/>
      </c:pivotFmt>
      <c:pivotFmt>
        <c:idx val="1012"/>
      </c:pivotFmt>
      <c:pivotFmt>
        <c:idx val="1013"/>
      </c:pivotFmt>
      <c:pivotFmt>
        <c:idx val="1014"/>
      </c:pivotFmt>
      <c:pivotFmt>
        <c:idx val="1015"/>
      </c:pivotFmt>
      <c:pivotFmt>
        <c:idx val="1016"/>
      </c:pivotFmt>
      <c:pivotFmt>
        <c:idx val="1017"/>
      </c:pivotFmt>
      <c:pivotFmt>
        <c:idx val="1018"/>
      </c:pivotFmt>
      <c:pivotFmt>
        <c:idx val="1019"/>
      </c:pivotFmt>
      <c:pivotFmt>
        <c:idx val="1020"/>
      </c:pivotFmt>
      <c:pivotFmt>
        <c:idx val="1021"/>
      </c:pivotFmt>
      <c:pivotFmt>
        <c:idx val="1022"/>
      </c:pivotFmt>
      <c:pivotFmt>
        <c:idx val="1023"/>
      </c:pivotFmt>
      <c:pivotFmt>
        <c:idx val="1024"/>
      </c:pivotFmt>
      <c:pivotFmt>
        <c:idx val="1025"/>
      </c:pivotFmt>
      <c:pivotFmt>
        <c:idx val="1026"/>
      </c:pivotFmt>
      <c:pivotFmt>
        <c:idx val="1027"/>
      </c:pivotFmt>
      <c:pivotFmt>
        <c:idx val="1028"/>
      </c:pivotFmt>
      <c:pivotFmt>
        <c:idx val="1029"/>
      </c:pivotFmt>
      <c:pivotFmt>
        <c:idx val="1030"/>
      </c:pivotFmt>
      <c:pivotFmt>
        <c:idx val="1031"/>
      </c:pivotFmt>
      <c:pivotFmt>
        <c:idx val="1032"/>
      </c:pivotFmt>
      <c:pivotFmt>
        <c:idx val="1033"/>
      </c:pivotFmt>
      <c:pivotFmt>
        <c:idx val="1034"/>
      </c:pivotFmt>
      <c:pivotFmt>
        <c:idx val="1035"/>
      </c:pivotFmt>
      <c:pivotFmt>
        <c:idx val="1036"/>
      </c:pivotFmt>
      <c:pivotFmt>
        <c:idx val="1037"/>
      </c:pivotFmt>
      <c:pivotFmt>
        <c:idx val="1038"/>
      </c:pivotFmt>
      <c:pivotFmt>
        <c:idx val="1039"/>
      </c:pivotFmt>
      <c:pivotFmt>
        <c:idx val="1040"/>
      </c:pivotFmt>
      <c:pivotFmt>
        <c:idx val="1041"/>
      </c:pivotFmt>
      <c:pivotFmt>
        <c:idx val="1042"/>
      </c:pivotFmt>
      <c:pivotFmt>
        <c:idx val="1043"/>
      </c:pivotFmt>
      <c:pivotFmt>
        <c:idx val="1044"/>
      </c:pivotFmt>
      <c:pivotFmt>
        <c:idx val="1045"/>
      </c:pivotFmt>
      <c:pivotFmt>
        <c:idx val="1046"/>
      </c:pivotFmt>
      <c:pivotFmt>
        <c:idx val="1047"/>
      </c:pivotFmt>
      <c:pivotFmt>
        <c:idx val="1048"/>
      </c:pivotFmt>
      <c:pivotFmt>
        <c:idx val="1049"/>
      </c:pivotFmt>
      <c:pivotFmt>
        <c:idx val="1050"/>
      </c:pivotFmt>
      <c:pivotFmt>
        <c:idx val="1051"/>
      </c:pivotFmt>
      <c:pivotFmt>
        <c:idx val="1052"/>
      </c:pivotFmt>
      <c:pivotFmt>
        <c:idx val="1053"/>
      </c:pivotFmt>
      <c:pivotFmt>
        <c:idx val="1054"/>
      </c:pivotFmt>
      <c:pivotFmt>
        <c:idx val="1055"/>
      </c:pivotFmt>
      <c:pivotFmt>
        <c:idx val="1056"/>
      </c:pivotFmt>
      <c:pivotFmt>
        <c:idx val="1057"/>
      </c:pivotFmt>
      <c:pivotFmt>
        <c:idx val="1058"/>
      </c:pivotFmt>
      <c:pivotFmt>
        <c:idx val="1059"/>
      </c:pivotFmt>
      <c:pivotFmt>
        <c:idx val="1060"/>
      </c:pivotFmt>
      <c:pivotFmt>
        <c:idx val="1061"/>
      </c:pivotFmt>
      <c:pivotFmt>
        <c:idx val="1062"/>
      </c:pivotFmt>
      <c:pivotFmt>
        <c:idx val="1063"/>
      </c:pivotFmt>
      <c:pivotFmt>
        <c:idx val="1064"/>
      </c:pivotFmt>
      <c:pivotFmt>
        <c:idx val="1065"/>
      </c:pivotFmt>
      <c:pivotFmt>
        <c:idx val="1066"/>
      </c:pivotFmt>
      <c:pivotFmt>
        <c:idx val="1067"/>
      </c:pivotFmt>
      <c:pivotFmt>
        <c:idx val="1068"/>
      </c:pivotFmt>
      <c:pivotFmt>
        <c:idx val="1069"/>
      </c:pivotFmt>
      <c:pivotFmt>
        <c:idx val="1070"/>
      </c:pivotFmt>
      <c:pivotFmt>
        <c:idx val="1071"/>
      </c:pivotFmt>
      <c:pivotFmt>
        <c:idx val="1072"/>
      </c:pivotFmt>
      <c:pivotFmt>
        <c:idx val="1073"/>
      </c:pivotFmt>
      <c:pivotFmt>
        <c:idx val="1074"/>
      </c:pivotFmt>
      <c:pivotFmt>
        <c:idx val="1075"/>
      </c:pivotFmt>
      <c:pivotFmt>
        <c:idx val="1076"/>
      </c:pivotFmt>
      <c:pivotFmt>
        <c:idx val="1077"/>
      </c:pivotFmt>
      <c:pivotFmt>
        <c:idx val="1078"/>
      </c:pivotFmt>
      <c:pivotFmt>
        <c:idx val="1079"/>
      </c:pivotFmt>
      <c:pivotFmt>
        <c:idx val="1080"/>
      </c:pivotFmt>
      <c:pivotFmt>
        <c:idx val="1081"/>
      </c:pivotFmt>
      <c:pivotFmt>
        <c:idx val="1082"/>
      </c:pivotFmt>
      <c:pivotFmt>
        <c:idx val="1083"/>
      </c:pivotFmt>
      <c:pivotFmt>
        <c:idx val="1084"/>
      </c:pivotFmt>
      <c:pivotFmt>
        <c:idx val="1085"/>
      </c:pivotFmt>
      <c:pivotFmt>
        <c:idx val="1086"/>
      </c:pivotFmt>
      <c:pivotFmt>
        <c:idx val="1087"/>
      </c:pivotFmt>
      <c:pivotFmt>
        <c:idx val="1088"/>
      </c:pivotFmt>
      <c:pivotFmt>
        <c:idx val="1089"/>
      </c:pivotFmt>
      <c:pivotFmt>
        <c:idx val="1090"/>
      </c:pivotFmt>
      <c:pivotFmt>
        <c:idx val="1091"/>
      </c:pivotFmt>
      <c:pivotFmt>
        <c:idx val="1092"/>
      </c:pivotFmt>
      <c:pivotFmt>
        <c:idx val="1093"/>
      </c:pivotFmt>
      <c:pivotFmt>
        <c:idx val="1094"/>
      </c:pivotFmt>
      <c:pivotFmt>
        <c:idx val="1095"/>
      </c:pivotFmt>
      <c:pivotFmt>
        <c:idx val="1096"/>
      </c:pivotFmt>
      <c:pivotFmt>
        <c:idx val="1097"/>
      </c:pivotFmt>
      <c:pivotFmt>
        <c:idx val="1098"/>
      </c:pivotFmt>
      <c:pivotFmt>
        <c:idx val="1099"/>
      </c:pivotFmt>
      <c:pivotFmt>
        <c:idx val="1100"/>
      </c:pivotFmt>
      <c:pivotFmt>
        <c:idx val="1101"/>
      </c:pivotFmt>
      <c:pivotFmt>
        <c:idx val="1102"/>
      </c:pivotFmt>
      <c:pivotFmt>
        <c:idx val="1103"/>
      </c:pivotFmt>
      <c:pivotFmt>
        <c:idx val="1104"/>
      </c:pivotFmt>
      <c:pivotFmt>
        <c:idx val="1105"/>
      </c:pivotFmt>
      <c:pivotFmt>
        <c:idx val="1106"/>
      </c:pivotFmt>
      <c:pivotFmt>
        <c:idx val="1107"/>
      </c:pivotFmt>
      <c:pivotFmt>
        <c:idx val="1108"/>
      </c:pivotFmt>
      <c:pivotFmt>
        <c:idx val="1109"/>
      </c:pivotFmt>
      <c:pivotFmt>
        <c:idx val="1110"/>
      </c:pivotFmt>
      <c:pivotFmt>
        <c:idx val="1111"/>
      </c:pivotFmt>
      <c:pivotFmt>
        <c:idx val="1112"/>
        <c:marker>
          <c:symbol val="none"/>
        </c:marker>
      </c:pivotFmt>
      <c:pivotFmt>
        <c:idx val="1113"/>
        <c:marker>
          <c:symbol val="none"/>
        </c:marker>
      </c:pivotFmt>
      <c:pivotFmt>
        <c:idx val="1114"/>
        <c:marker>
          <c:symbol val="none"/>
        </c:marker>
      </c:pivotFmt>
      <c:pivotFmt>
        <c:idx val="1115"/>
        <c:marker>
          <c:symbol val="none"/>
        </c:marker>
      </c:pivotFmt>
      <c:pivotFmt>
        <c:idx val="1116"/>
        <c:marker>
          <c:symbol val="none"/>
        </c:marker>
      </c:pivotFmt>
      <c:pivotFmt>
        <c:idx val="1117"/>
        <c:marker>
          <c:symbol val="none"/>
        </c:marker>
      </c:pivotFmt>
      <c:pivotFmt>
        <c:idx val="1118"/>
        <c:marker>
          <c:symbol val="none"/>
        </c:marker>
      </c:pivotFmt>
      <c:pivotFmt>
        <c:idx val="1119"/>
        <c:marker>
          <c:symbol val="none"/>
        </c:marker>
      </c:pivotFmt>
      <c:pivotFmt>
        <c:idx val="1120"/>
        <c:marker>
          <c:symbol val="none"/>
        </c:marker>
      </c:pivotFmt>
      <c:pivotFmt>
        <c:idx val="1121"/>
        <c:marker>
          <c:symbol val="none"/>
        </c:marker>
      </c:pivotFmt>
      <c:pivotFmt>
        <c:idx val="1122"/>
        <c:marker>
          <c:symbol val="none"/>
        </c:marker>
      </c:pivotFmt>
      <c:pivotFmt>
        <c:idx val="1123"/>
        <c:marker>
          <c:symbol val="none"/>
        </c:marker>
      </c:pivotFmt>
      <c:pivotFmt>
        <c:idx val="1124"/>
        <c:marker>
          <c:symbol val="none"/>
        </c:marker>
      </c:pivotFmt>
      <c:pivotFmt>
        <c:idx val="1125"/>
        <c:marker>
          <c:symbol val="none"/>
        </c:marker>
      </c:pivotFmt>
      <c:pivotFmt>
        <c:idx val="1126"/>
        <c:marker>
          <c:symbol val="none"/>
        </c:marker>
      </c:pivotFmt>
      <c:pivotFmt>
        <c:idx val="1127"/>
        <c:marker>
          <c:symbol val="none"/>
        </c:marker>
      </c:pivotFmt>
      <c:pivotFmt>
        <c:idx val="1128"/>
        <c:marker>
          <c:symbol val="none"/>
        </c:marker>
      </c:pivotFmt>
      <c:pivotFmt>
        <c:idx val="1129"/>
        <c:marker>
          <c:symbol val="none"/>
        </c:marker>
      </c:pivotFmt>
      <c:pivotFmt>
        <c:idx val="1130"/>
        <c:marker>
          <c:symbol val="none"/>
        </c:marker>
      </c:pivotFmt>
      <c:pivotFmt>
        <c:idx val="1131"/>
        <c:marker>
          <c:symbol val="none"/>
        </c:marker>
      </c:pivotFmt>
      <c:pivotFmt>
        <c:idx val="1132"/>
      </c:pivotFmt>
      <c:pivotFmt>
        <c:idx val="1133"/>
      </c:pivotFmt>
      <c:pivotFmt>
        <c:idx val="1134"/>
      </c:pivotFmt>
      <c:pivotFmt>
        <c:idx val="1135"/>
      </c:pivotFmt>
      <c:pivotFmt>
        <c:idx val="1136"/>
      </c:pivotFmt>
      <c:pivotFmt>
        <c:idx val="1137"/>
      </c:pivotFmt>
      <c:pivotFmt>
        <c:idx val="1138"/>
      </c:pivotFmt>
      <c:pivotFmt>
        <c:idx val="1139"/>
      </c:pivotFmt>
      <c:pivotFmt>
        <c:idx val="1140"/>
      </c:pivotFmt>
      <c:pivotFmt>
        <c:idx val="1141"/>
      </c:pivotFmt>
      <c:pivotFmt>
        <c:idx val="1142"/>
      </c:pivotFmt>
      <c:pivotFmt>
        <c:idx val="1143"/>
      </c:pivotFmt>
      <c:pivotFmt>
        <c:idx val="1144"/>
      </c:pivotFmt>
      <c:pivotFmt>
        <c:idx val="1145"/>
      </c:pivotFmt>
      <c:pivotFmt>
        <c:idx val="1146"/>
      </c:pivotFmt>
      <c:pivotFmt>
        <c:idx val="1147"/>
      </c:pivotFmt>
      <c:pivotFmt>
        <c:idx val="1148"/>
      </c:pivotFmt>
      <c:pivotFmt>
        <c:idx val="1149"/>
      </c:pivotFmt>
      <c:pivotFmt>
        <c:idx val="1150"/>
      </c:pivotFmt>
      <c:pivotFmt>
        <c:idx val="1151"/>
      </c:pivotFmt>
      <c:pivotFmt>
        <c:idx val="1152"/>
        <c:marker>
          <c:symbol val="none"/>
        </c:marker>
      </c:pivotFmt>
      <c:pivotFmt>
        <c:idx val="1153"/>
        <c:marker>
          <c:symbol val="none"/>
        </c:marker>
      </c:pivotFmt>
      <c:pivotFmt>
        <c:idx val="1154"/>
        <c:marker>
          <c:symbol val="none"/>
        </c:marker>
      </c:pivotFmt>
      <c:pivotFmt>
        <c:idx val="1155"/>
        <c:marker>
          <c:symbol val="none"/>
        </c:marker>
      </c:pivotFmt>
      <c:pivotFmt>
        <c:idx val="1156"/>
        <c:marker>
          <c:symbol val="none"/>
        </c:marker>
      </c:pivotFmt>
      <c:pivotFmt>
        <c:idx val="1157"/>
        <c:marker>
          <c:symbol val="none"/>
        </c:marker>
      </c:pivotFmt>
      <c:pivotFmt>
        <c:idx val="1158"/>
        <c:marker>
          <c:symbol val="none"/>
        </c:marker>
      </c:pivotFmt>
      <c:pivotFmt>
        <c:idx val="1159"/>
        <c:marker>
          <c:symbol val="none"/>
        </c:marker>
      </c:pivotFmt>
      <c:pivotFmt>
        <c:idx val="1160"/>
        <c:marker>
          <c:symbol val="none"/>
        </c:marker>
      </c:pivotFmt>
      <c:pivotFmt>
        <c:idx val="1161"/>
        <c:marker>
          <c:symbol val="none"/>
        </c:marker>
      </c:pivotFmt>
      <c:pivotFmt>
        <c:idx val="1162"/>
        <c:marker>
          <c:symbol val="none"/>
        </c:marker>
      </c:pivotFmt>
      <c:pivotFmt>
        <c:idx val="1163"/>
        <c:marker>
          <c:symbol val="none"/>
        </c:marker>
      </c:pivotFmt>
      <c:pivotFmt>
        <c:idx val="1164"/>
        <c:marker>
          <c:symbol val="none"/>
        </c:marker>
      </c:pivotFmt>
      <c:pivotFmt>
        <c:idx val="1165"/>
        <c:marker>
          <c:symbol val="none"/>
        </c:marker>
      </c:pivotFmt>
      <c:pivotFmt>
        <c:idx val="1166"/>
        <c:marker>
          <c:symbol val="none"/>
        </c:marker>
      </c:pivotFmt>
      <c:pivotFmt>
        <c:idx val="1167"/>
        <c:marker>
          <c:symbol val="none"/>
        </c:marker>
      </c:pivotFmt>
      <c:pivotFmt>
        <c:idx val="1168"/>
        <c:marker>
          <c:symbol val="none"/>
        </c:marker>
      </c:pivotFmt>
      <c:pivotFmt>
        <c:idx val="1169"/>
        <c:marker>
          <c:symbol val="none"/>
        </c:marker>
      </c:pivotFmt>
      <c:pivotFmt>
        <c:idx val="1170"/>
        <c:marker>
          <c:symbol val="none"/>
        </c:marker>
      </c:pivotFmt>
      <c:pivotFmt>
        <c:idx val="1171"/>
        <c:marker>
          <c:symbol val="none"/>
        </c:marker>
      </c:pivotFmt>
      <c:pivotFmt>
        <c:idx val="1172"/>
        <c:marker>
          <c:symbol val="none"/>
        </c:marker>
      </c:pivotFmt>
      <c:pivotFmt>
        <c:idx val="1173"/>
        <c:marker>
          <c:symbol val="none"/>
        </c:marker>
      </c:pivotFmt>
      <c:pivotFmt>
        <c:idx val="1174"/>
        <c:marker>
          <c:symbol val="none"/>
        </c:marker>
      </c:pivotFmt>
      <c:pivotFmt>
        <c:idx val="1175"/>
        <c:marker>
          <c:symbol val="none"/>
        </c:marker>
      </c:pivotFmt>
      <c:pivotFmt>
        <c:idx val="1176"/>
        <c:marker>
          <c:symbol val="none"/>
        </c:marker>
      </c:pivotFmt>
      <c:pivotFmt>
        <c:idx val="1177"/>
        <c:marker>
          <c:symbol val="none"/>
        </c:marker>
      </c:pivotFmt>
      <c:pivotFmt>
        <c:idx val="1178"/>
        <c:marker>
          <c:symbol val="none"/>
        </c:marker>
      </c:pivotFmt>
      <c:pivotFmt>
        <c:idx val="1179"/>
        <c:marker>
          <c:symbol val="none"/>
        </c:marker>
      </c:pivotFmt>
      <c:pivotFmt>
        <c:idx val="1180"/>
        <c:marker>
          <c:symbol val="none"/>
        </c:marker>
      </c:pivotFmt>
      <c:pivotFmt>
        <c:idx val="1181"/>
        <c:marker>
          <c:symbol val="none"/>
        </c:marker>
      </c:pivotFmt>
      <c:pivotFmt>
        <c:idx val="1182"/>
        <c:marker>
          <c:symbol val="none"/>
        </c:marker>
      </c:pivotFmt>
      <c:pivotFmt>
        <c:idx val="1183"/>
        <c:marker>
          <c:symbol val="none"/>
        </c:marker>
      </c:pivotFmt>
      <c:pivotFmt>
        <c:idx val="1184"/>
        <c:marker>
          <c:symbol val="none"/>
        </c:marker>
      </c:pivotFmt>
      <c:pivotFmt>
        <c:idx val="1185"/>
        <c:marker>
          <c:symbol val="none"/>
        </c:marker>
      </c:pivotFmt>
      <c:pivotFmt>
        <c:idx val="1186"/>
        <c:marker>
          <c:symbol val="none"/>
        </c:marker>
      </c:pivotFmt>
      <c:pivotFmt>
        <c:idx val="1187"/>
        <c:marker>
          <c:symbol val="none"/>
        </c:marker>
      </c:pivotFmt>
      <c:pivotFmt>
        <c:idx val="1188"/>
        <c:marker>
          <c:symbol val="none"/>
        </c:marker>
      </c:pivotFmt>
      <c:pivotFmt>
        <c:idx val="1189"/>
        <c:marker>
          <c:symbol val="none"/>
        </c:marker>
      </c:pivotFmt>
      <c:pivotFmt>
        <c:idx val="1190"/>
        <c:marker>
          <c:symbol val="none"/>
        </c:marker>
      </c:pivotFmt>
      <c:pivotFmt>
        <c:idx val="1191"/>
        <c:marker>
          <c:symbol val="none"/>
        </c:marker>
      </c:pivotFmt>
      <c:pivotFmt>
        <c:idx val="1192"/>
        <c:marker>
          <c:symbol val="none"/>
        </c:marker>
      </c:pivotFmt>
      <c:pivotFmt>
        <c:idx val="1193"/>
        <c:marker>
          <c:symbol val="none"/>
        </c:marker>
      </c:pivotFmt>
      <c:pivotFmt>
        <c:idx val="1194"/>
        <c:marker>
          <c:symbol val="none"/>
        </c:marker>
      </c:pivotFmt>
      <c:pivotFmt>
        <c:idx val="1195"/>
        <c:marker>
          <c:symbol val="none"/>
        </c:marker>
      </c:pivotFmt>
      <c:pivotFmt>
        <c:idx val="1196"/>
        <c:marker>
          <c:symbol val="none"/>
        </c:marker>
      </c:pivotFmt>
      <c:pivotFmt>
        <c:idx val="1197"/>
        <c:marker>
          <c:symbol val="none"/>
        </c:marker>
      </c:pivotFmt>
      <c:pivotFmt>
        <c:idx val="1198"/>
        <c:marker>
          <c:symbol val="none"/>
        </c:marker>
      </c:pivotFmt>
      <c:pivotFmt>
        <c:idx val="1199"/>
        <c:marker>
          <c:symbol val="none"/>
        </c:marker>
      </c:pivotFmt>
      <c:pivotFmt>
        <c:idx val="1200"/>
        <c:marker>
          <c:symbol val="none"/>
        </c:marker>
      </c:pivotFmt>
      <c:pivotFmt>
        <c:idx val="1201"/>
        <c:marker>
          <c:symbol val="none"/>
        </c:marker>
      </c:pivotFmt>
      <c:pivotFmt>
        <c:idx val="1202"/>
        <c:marker>
          <c:symbol val="none"/>
        </c:marker>
      </c:pivotFmt>
      <c:pivotFmt>
        <c:idx val="1203"/>
        <c:marker>
          <c:symbol val="none"/>
        </c:marker>
      </c:pivotFmt>
      <c:pivotFmt>
        <c:idx val="1204"/>
        <c:marker>
          <c:symbol val="none"/>
        </c:marker>
      </c:pivotFmt>
      <c:pivotFmt>
        <c:idx val="1205"/>
        <c:marker>
          <c:symbol val="none"/>
        </c:marker>
      </c:pivotFmt>
      <c:pivotFmt>
        <c:idx val="1206"/>
        <c:marker>
          <c:symbol val="none"/>
        </c:marker>
      </c:pivotFmt>
      <c:pivotFmt>
        <c:idx val="1207"/>
        <c:marker>
          <c:symbol val="none"/>
        </c:marker>
      </c:pivotFmt>
      <c:pivotFmt>
        <c:idx val="1208"/>
        <c:marker>
          <c:symbol val="none"/>
        </c:marker>
      </c:pivotFmt>
      <c:pivotFmt>
        <c:idx val="1209"/>
        <c:marker>
          <c:symbol val="none"/>
        </c:marker>
      </c:pivotFmt>
      <c:pivotFmt>
        <c:idx val="1210"/>
        <c:marker>
          <c:symbol val="none"/>
        </c:marker>
      </c:pivotFmt>
      <c:pivotFmt>
        <c:idx val="1211"/>
        <c:marker>
          <c:symbol val="none"/>
        </c:marker>
      </c:pivotFmt>
      <c:pivotFmt>
        <c:idx val="1212"/>
        <c:marker>
          <c:symbol val="none"/>
        </c:marker>
      </c:pivotFmt>
      <c:pivotFmt>
        <c:idx val="1213"/>
        <c:marker>
          <c:symbol val="none"/>
        </c:marker>
      </c:pivotFmt>
      <c:pivotFmt>
        <c:idx val="1214"/>
        <c:marker>
          <c:symbol val="none"/>
        </c:marker>
      </c:pivotFmt>
      <c:pivotFmt>
        <c:idx val="1215"/>
        <c:marker>
          <c:symbol val="none"/>
        </c:marker>
      </c:pivotFmt>
      <c:pivotFmt>
        <c:idx val="1216"/>
        <c:marker>
          <c:symbol val="none"/>
        </c:marker>
      </c:pivotFmt>
      <c:pivotFmt>
        <c:idx val="1217"/>
        <c:marker>
          <c:symbol val="none"/>
        </c:marker>
      </c:pivotFmt>
      <c:pivotFmt>
        <c:idx val="1218"/>
        <c:marker>
          <c:symbol val="none"/>
        </c:marker>
      </c:pivotFmt>
      <c:pivotFmt>
        <c:idx val="1219"/>
        <c:marker>
          <c:symbol val="none"/>
        </c:marker>
      </c:pivotFmt>
      <c:pivotFmt>
        <c:idx val="1220"/>
        <c:marker>
          <c:symbol val="none"/>
        </c:marker>
      </c:pivotFmt>
      <c:pivotFmt>
        <c:idx val="1221"/>
        <c:marker>
          <c:symbol val="none"/>
        </c:marker>
      </c:pivotFmt>
      <c:pivotFmt>
        <c:idx val="1222"/>
        <c:marker>
          <c:symbol val="none"/>
        </c:marker>
      </c:pivotFmt>
      <c:pivotFmt>
        <c:idx val="1223"/>
        <c:marker>
          <c:symbol val="none"/>
        </c:marker>
      </c:pivotFmt>
      <c:pivotFmt>
        <c:idx val="1224"/>
        <c:marker>
          <c:symbol val="none"/>
        </c:marker>
      </c:pivotFmt>
      <c:pivotFmt>
        <c:idx val="1225"/>
        <c:marker>
          <c:symbol val="none"/>
        </c:marker>
      </c:pivotFmt>
      <c:pivotFmt>
        <c:idx val="1226"/>
        <c:marker>
          <c:symbol val="none"/>
        </c:marker>
      </c:pivotFmt>
      <c:pivotFmt>
        <c:idx val="1227"/>
        <c:marker>
          <c:symbol val="none"/>
        </c:marker>
      </c:pivotFmt>
      <c:pivotFmt>
        <c:idx val="1228"/>
        <c:marker>
          <c:symbol val="none"/>
        </c:marker>
      </c:pivotFmt>
      <c:pivotFmt>
        <c:idx val="1229"/>
        <c:marker>
          <c:symbol val="none"/>
        </c:marker>
      </c:pivotFmt>
      <c:pivotFmt>
        <c:idx val="1230"/>
        <c:marker>
          <c:symbol val="none"/>
        </c:marker>
      </c:pivotFmt>
      <c:pivotFmt>
        <c:idx val="1231"/>
        <c:marker>
          <c:symbol val="none"/>
        </c:marker>
      </c:pivotFmt>
      <c:pivotFmt>
        <c:idx val="1232"/>
        <c:marker>
          <c:symbol val="none"/>
        </c:marker>
      </c:pivotFmt>
      <c:pivotFmt>
        <c:idx val="1233"/>
        <c:marker>
          <c:symbol val="none"/>
        </c:marker>
      </c:pivotFmt>
      <c:pivotFmt>
        <c:idx val="1234"/>
        <c:marker>
          <c:symbol val="none"/>
        </c:marker>
      </c:pivotFmt>
      <c:pivotFmt>
        <c:idx val="1235"/>
        <c:marker>
          <c:symbol val="none"/>
        </c:marker>
      </c:pivotFmt>
      <c:pivotFmt>
        <c:idx val="1236"/>
        <c:marker>
          <c:symbol val="none"/>
        </c:marker>
      </c:pivotFmt>
      <c:pivotFmt>
        <c:idx val="1237"/>
        <c:marker>
          <c:symbol val="none"/>
        </c:marker>
      </c:pivotFmt>
      <c:pivotFmt>
        <c:idx val="1238"/>
        <c:marker>
          <c:symbol val="none"/>
        </c:marker>
      </c:pivotFmt>
      <c:pivotFmt>
        <c:idx val="1239"/>
        <c:marker>
          <c:symbol val="none"/>
        </c:marker>
      </c:pivotFmt>
      <c:pivotFmt>
        <c:idx val="1240"/>
        <c:marker>
          <c:symbol val="none"/>
        </c:marker>
      </c:pivotFmt>
      <c:pivotFmt>
        <c:idx val="1241"/>
        <c:marker>
          <c:symbol val="none"/>
        </c:marker>
      </c:pivotFmt>
      <c:pivotFmt>
        <c:idx val="1242"/>
        <c:marker>
          <c:symbol val="none"/>
        </c:marker>
      </c:pivotFmt>
      <c:pivotFmt>
        <c:idx val="1243"/>
        <c:marker>
          <c:symbol val="none"/>
        </c:marker>
      </c:pivotFmt>
      <c:pivotFmt>
        <c:idx val="1244"/>
        <c:marker>
          <c:symbol val="none"/>
        </c:marker>
      </c:pivotFmt>
      <c:pivotFmt>
        <c:idx val="1245"/>
        <c:marker>
          <c:symbol val="none"/>
        </c:marker>
      </c:pivotFmt>
      <c:pivotFmt>
        <c:idx val="1246"/>
        <c:marker>
          <c:symbol val="none"/>
        </c:marker>
      </c:pivotFmt>
      <c:pivotFmt>
        <c:idx val="1247"/>
        <c:marker>
          <c:symbol val="none"/>
        </c:marker>
      </c:pivotFmt>
      <c:pivotFmt>
        <c:idx val="1248"/>
        <c:marker>
          <c:symbol val="none"/>
        </c:marker>
      </c:pivotFmt>
      <c:pivotFmt>
        <c:idx val="1249"/>
        <c:marker>
          <c:symbol val="none"/>
        </c:marker>
      </c:pivotFmt>
      <c:pivotFmt>
        <c:idx val="1250"/>
        <c:marker>
          <c:symbol val="none"/>
        </c:marker>
      </c:pivotFmt>
      <c:pivotFmt>
        <c:idx val="1251"/>
        <c:marker>
          <c:symbol val="none"/>
        </c:marker>
      </c:pivotFmt>
      <c:pivotFmt>
        <c:idx val="1252"/>
        <c:marker>
          <c:symbol val="none"/>
        </c:marker>
      </c:pivotFmt>
      <c:pivotFmt>
        <c:idx val="1253"/>
        <c:marker>
          <c:symbol val="none"/>
        </c:marker>
      </c:pivotFmt>
      <c:pivotFmt>
        <c:idx val="1254"/>
        <c:marker>
          <c:symbol val="none"/>
        </c:marker>
      </c:pivotFmt>
      <c:pivotFmt>
        <c:idx val="1255"/>
        <c:marker>
          <c:symbol val="none"/>
        </c:marker>
      </c:pivotFmt>
      <c:pivotFmt>
        <c:idx val="1256"/>
        <c:marker>
          <c:symbol val="none"/>
        </c:marker>
      </c:pivotFmt>
      <c:pivotFmt>
        <c:idx val="1257"/>
        <c:marker>
          <c:symbol val="none"/>
        </c:marker>
      </c:pivotFmt>
      <c:pivotFmt>
        <c:idx val="1258"/>
        <c:marker>
          <c:symbol val="none"/>
        </c:marker>
      </c:pivotFmt>
      <c:pivotFmt>
        <c:idx val="1259"/>
        <c:marker>
          <c:symbol val="none"/>
        </c:marker>
      </c:pivotFmt>
      <c:pivotFmt>
        <c:idx val="1260"/>
        <c:marker>
          <c:symbol val="none"/>
        </c:marker>
      </c:pivotFmt>
      <c:pivotFmt>
        <c:idx val="1261"/>
        <c:marker>
          <c:symbol val="none"/>
        </c:marker>
      </c:pivotFmt>
      <c:pivotFmt>
        <c:idx val="1262"/>
        <c:spPr>
          <a:ln>
            <a:solidFill>
              <a:schemeClr val="tx1"/>
            </a:solidFill>
          </a:ln>
        </c:spPr>
        <c:marker>
          <c:symbol val="none"/>
        </c:marker>
      </c:pivotFmt>
      <c:pivotFmt>
        <c:idx val="1263"/>
        <c:marker>
          <c:symbol val="none"/>
        </c:marker>
      </c:pivotFmt>
      <c:pivotFmt>
        <c:idx val="1264"/>
        <c:marker>
          <c:symbol val="none"/>
        </c:marker>
      </c:pivotFmt>
      <c:pivotFmt>
        <c:idx val="1265"/>
        <c:marker>
          <c:symbol val="none"/>
        </c:marker>
      </c:pivotFmt>
      <c:pivotFmt>
        <c:idx val="1266"/>
        <c:spPr>
          <a:ln>
            <a:solidFill>
              <a:srgbClr val="FF0000"/>
            </a:solidFill>
          </a:ln>
        </c:spPr>
        <c:marker>
          <c:symbol val="none"/>
        </c:marker>
      </c:pivotFmt>
      <c:pivotFmt>
        <c:idx val="1267"/>
        <c:marker>
          <c:symbol val="none"/>
        </c:marker>
      </c:pivotFmt>
      <c:pivotFmt>
        <c:idx val="1268"/>
        <c:marker>
          <c:symbol val="none"/>
        </c:marker>
      </c:pivotFmt>
      <c:pivotFmt>
        <c:idx val="1269"/>
        <c:marker>
          <c:symbol val="none"/>
        </c:marker>
      </c:pivotFmt>
      <c:pivotFmt>
        <c:idx val="1270"/>
        <c:marker>
          <c:symbol val="none"/>
        </c:marker>
      </c:pivotFmt>
      <c:pivotFmt>
        <c:idx val="1271"/>
        <c:marker>
          <c:symbol val="none"/>
        </c:marker>
      </c:pivotFmt>
      <c:pivotFmt>
        <c:idx val="1272"/>
        <c:marker>
          <c:symbol val="none"/>
        </c:marker>
      </c:pivotFmt>
      <c:pivotFmt>
        <c:idx val="1273"/>
        <c:marker>
          <c:symbol val="none"/>
        </c:marker>
      </c:pivotFmt>
      <c:pivotFmt>
        <c:idx val="1274"/>
        <c:marker>
          <c:symbol val="none"/>
        </c:marker>
      </c:pivotFmt>
      <c:pivotFmt>
        <c:idx val="1275"/>
        <c:marker>
          <c:symbol val="none"/>
        </c:marker>
      </c:pivotFmt>
      <c:pivotFmt>
        <c:idx val="1276"/>
        <c:marker>
          <c:symbol val="none"/>
        </c:marker>
      </c:pivotFmt>
      <c:pivotFmt>
        <c:idx val="1277"/>
        <c:marker>
          <c:symbol val="none"/>
        </c:marker>
      </c:pivotFmt>
      <c:pivotFmt>
        <c:idx val="1278"/>
        <c:marker>
          <c:symbol val="none"/>
        </c:marker>
      </c:pivotFmt>
      <c:pivotFmt>
        <c:idx val="1279"/>
        <c:marker>
          <c:symbol val="none"/>
        </c:marker>
      </c:pivotFmt>
      <c:pivotFmt>
        <c:idx val="1280"/>
        <c:marker>
          <c:symbol val="none"/>
        </c:marker>
      </c:pivotFmt>
      <c:pivotFmt>
        <c:idx val="1281"/>
        <c:marker>
          <c:symbol val="none"/>
        </c:marker>
      </c:pivotFmt>
      <c:pivotFmt>
        <c:idx val="1282"/>
        <c:marker>
          <c:symbol val="none"/>
        </c:marker>
      </c:pivotFmt>
      <c:pivotFmt>
        <c:idx val="1283"/>
        <c:spPr>
          <a:ln>
            <a:solidFill>
              <a:srgbClr val="FF0000"/>
            </a:solidFill>
          </a:ln>
        </c:spPr>
        <c:marker>
          <c:symbol val="none"/>
        </c:marker>
      </c:pivotFmt>
      <c:pivotFmt>
        <c:idx val="1284"/>
        <c:marker>
          <c:symbol val="none"/>
        </c:marker>
      </c:pivotFmt>
      <c:pivotFmt>
        <c:idx val="1285"/>
        <c:spPr>
          <a:ln>
            <a:solidFill>
              <a:schemeClr val="tx1"/>
            </a:solidFill>
          </a:ln>
        </c:spPr>
        <c:marker>
          <c:symbol val="none"/>
        </c:marker>
      </c:pivotFmt>
      <c:pivotFmt>
        <c:idx val="1286"/>
        <c:marker>
          <c:symbol val="none"/>
        </c:marker>
      </c:pivotFmt>
      <c:pivotFmt>
        <c:idx val="1287"/>
        <c:marker>
          <c:symbol val="none"/>
        </c:marker>
      </c:pivotFmt>
      <c:pivotFmt>
        <c:idx val="1288"/>
        <c:marker>
          <c:symbol val="none"/>
        </c:marker>
      </c:pivotFmt>
      <c:pivotFmt>
        <c:idx val="1289"/>
        <c:marker>
          <c:symbol val="none"/>
        </c:marker>
      </c:pivotFmt>
      <c:pivotFmt>
        <c:idx val="1290"/>
        <c:marker>
          <c:symbol val="none"/>
        </c:marker>
      </c:pivotFmt>
      <c:pivotFmt>
        <c:idx val="1291"/>
        <c:marker>
          <c:symbol val="none"/>
        </c:marker>
      </c:pivotFmt>
      <c:pivotFmt>
        <c:idx val="1292"/>
        <c:marker>
          <c:symbol val="none"/>
        </c:marker>
      </c:pivotFmt>
      <c:pivotFmt>
        <c:idx val="1293"/>
        <c:marker>
          <c:symbol val="none"/>
        </c:marker>
      </c:pivotFmt>
      <c:pivotFmt>
        <c:idx val="1294"/>
        <c:marker>
          <c:symbol val="none"/>
        </c:marker>
      </c:pivotFmt>
      <c:pivotFmt>
        <c:idx val="1295"/>
        <c:marker>
          <c:symbol val="none"/>
        </c:marker>
      </c:pivotFmt>
      <c:pivotFmt>
        <c:idx val="1296"/>
        <c:marker>
          <c:symbol val="none"/>
        </c:marker>
      </c:pivotFmt>
      <c:pivotFmt>
        <c:idx val="1297"/>
        <c:marker>
          <c:symbol val="none"/>
        </c:marker>
      </c:pivotFmt>
      <c:pivotFmt>
        <c:idx val="1298"/>
        <c:marker>
          <c:symbol val="none"/>
        </c:marker>
      </c:pivotFmt>
      <c:pivotFmt>
        <c:idx val="1299"/>
        <c:marker>
          <c:symbol val="none"/>
        </c:marker>
      </c:pivotFmt>
      <c:pivotFmt>
        <c:idx val="1300"/>
        <c:marker>
          <c:symbol val="none"/>
        </c:marker>
      </c:pivotFmt>
      <c:pivotFmt>
        <c:idx val="1301"/>
        <c:spPr>
          <a:ln>
            <a:solidFill>
              <a:srgbClr val="FF0000"/>
            </a:solidFill>
          </a:ln>
        </c:spPr>
        <c:marker>
          <c:symbol val="none"/>
        </c:marker>
      </c:pivotFmt>
      <c:pivotFmt>
        <c:idx val="1302"/>
        <c:marker>
          <c:symbol val="none"/>
        </c:marker>
      </c:pivotFmt>
      <c:pivotFmt>
        <c:idx val="1303"/>
        <c:spPr>
          <a:ln>
            <a:solidFill>
              <a:schemeClr val="tx1"/>
            </a:solidFill>
          </a:ln>
        </c:spPr>
        <c:marker>
          <c:symbol val="none"/>
        </c:marker>
      </c:pivotFmt>
      <c:pivotFmt>
        <c:idx val="1304"/>
        <c:marker>
          <c:symbol val="none"/>
        </c:marker>
      </c:pivotFmt>
      <c:pivotFmt>
        <c:idx val="1305"/>
        <c:marker>
          <c:symbol val="none"/>
        </c:marker>
      </c:pivotFmt>
      <c:pivotFmt>
        <c:idx val="1306"/>
        <c:marker>
          <c:symbol val="none"/>
        </c:marker>
      </c:pivotFmt>
      <c:pivotFmt>
        <c:idx val="1307"/>
        <c:marker>
          <c:symbol val="none"/>
        </c:marker>
      </c:pivotFmt>
      <c:pivotFmt>
        <c:idx val="1308"/>
        <c:marker>
          <c:symbol val="none"/>
        </c:marker>
      </c:pivotFmt>
      <c:pivotFmt>
        <c:idx val="1309"/>
        <c:marker>
          <c:symbol val="none"/>
        </c:marker>
      </c:pivotFmt>
      <c:pivotFmt>
        <c:idx val="1310"/>
        <c:marker>
          <c:symbol val="none"/>
        </c:marker>
      </c:pivotFmt>
      <c:pivotFmt>
        <c:idx val="1311"/>
        <c:marker>
          <c:symbol val="none"/>
        </c:marker>
      </c:pivotFmt>
      <c:pivotFmt>
        <c:idx val="1312"/>
        <c:marker>
          <c:symbol val="none"/>
        </c:marker>
      </c:pivotFmt>
      <c:pivotFmt>
        <c:idx val="1313"/>
        <c:marker>
          <c:symbol val="none"/>
        </c:marker>
      </c:pivotFmt>
      <c:pivotFmt>
        <c:idx val="1314"/>
        <c:marker>
          <c:symbol val="none"/>
        </c:marker>
      </c:pivotFmt>
      <c:pivotFmt>
        <c:idx val="1315"/>
        <c:marker>
          <c:symbol val="none"/>
        </c:marker>
      </c:pivotFmt>
      <c:pivotFmt>
        <c:idx val="1316"/>
        <c:marker>
          <c:symbol val="none"/>
        </c:marker>
      </c:pivotFmt>
      <c:pivotFmt>
        <c:idx val="1317"/>
        <c:marker>
          <c:symbol val="none"/>
        </c:marker>
      </c:pivotFmt>
      <c:pivotFmt>
        <c:idx val="1318"/>
        <c:marker>
          <c:symbol val="none"/>
        </c:marker>
      </c:pivotFmt>
      <c:pivotFmt>
        <c:idx val="1319"/>
        <c:spPr>
          <a:ln>
            <a:solidFill>
              <a:srgbClr val="FF0000"/>
            </a:solidFill>
          </a:ln>
        </c:spPr>
        <c:marker>
          <c:symbol val="none"/>
        </c:marker>
      </c:pivotFmt>
      <c:pivotFmt>
        <c:idx val="1320"/>
        <c:marker>
          <c:symbol val="none"/>
        </c:marker>
      </c:pivotFmt>
      <c:pivotFmt>
        <c:idx val="1321"/>
        <c:spPr>
          <a:ln>
            <a:solidFill>
              <a:schemeClr val="tx1"/>
            </a:solidFill>
          </a:ln>
        </c:spPr>
        <c:marker>
          <c:symbol val="none"/>
        </c:marker>
      </c:pivotFmt>
      <c:pivotFmt>
        <c:idx val="1322"/>
        <c:marker>
          <c:symbol val="none"/>
        </c:marker>
      </c:pivotFmt>
      <c:pivotFmt>
        <c:idx val="1323"/>
        <c:marker>
          <c:symbol val="none"/>
        </c:marker>
      </c:pivotFmt>
      <c:pivotFmt>
        <c:idx val="1324"/>
        <c:marker>
          <c:symbol val="none"/>
        </c:marker>
      </c:pivotFmt>
      <c:pivotFmt>
        <c:idx val="1325"/>
        <c:marker>
          <c:symbol val="none"/>
        </c:marker>
      </c:pivotFmt>
      <c:pivotFmt>
        <c:idx val="1326"/>
        <c:marker>
          <c:symbol val="none"/>
        </c:marker>
      </c:pivotFmt>
      <c:pivotFmt>
        <c:idx val="1327"/>
        <c:marker>
          <c:symbol val="none"/>
        </c:marker>
      </c:pivotFmt>
      <c:pivotFmt>
        <c:idx val="1328"/>
        <c:marker>
          <c:symbol val="none"/>
        </c:marker>
      </c:pivotFmt>
      <c:pivotFmt>
        <c:idx val="1329"/>
        <c:marker>
          <c:symbol val="none"/>
        </c:marker>
      </c:pivotFmt>
      <c:pivotFmt>
        <c:idx val="1330"/>
        <c:marker>
          <c:symbol val="none"/>
        </c:marker>
      </c:pivotFmt>
      <c:pivotFmt>
        <c:idx val="1331"/>
        <c:marker>
          <c:symbol val="none"/>
        </c:marker>
      </c:pivotFmt>
      <c:pivotFmt>
        <c:idx val="1332"/>
        <c:marker>
          <c:symbol val="none"/>
        </c:marker>
      </c:pivotFmt>
      <c:pivotFmt>
        <c:idx val="1333"/>
        <c:marker>
          <c:symbol val="none"/>
        </c:marker>
      </c:pivotFmt>
      <c:pivotFmt>
        <c:idx val="1334"/>
        <c:marker>
          <c:symbol val="none"/>
        </c:marker>
      </c:pivotFmt>
      <c:pivotFmt>
        <c:idx val="1335"/>
        <c:marker>
          <c:symbol val="none"/>
        </c:marker>
      </c:pivotFmt>
      <c:pivotFmt>
        <c:idx val="1336"/>
        <c:marker>
          <c:symbol val="none"/>
        </c:marker>
      </c:pivotFmt>
      <c:pivotFmt>
        <c:idx val="1337"/>
        <c:marker>
          <c:symbol val="none"/>
        </c:marker>
      </c:pivotFmt>
      <c:pivotFmt>
        <c:idx val="1338"/>
        <c:marker>
          <c:symbol val="none"/>
        </c:marker>
      </c:pivotFmt>
      <c:pivotFmt>
        <c:idx val="1339"/>
        <c:spPr>
          <a:ln>
            <a:solidFill>
              <a:srgbClr val="FF0000"/>
            </a:solidFill>
          </a:ln>
        </c:spPr>
        <c:marker>
          <c:symbol val="none"/>
        </c:marker>
      </c:pivotFmt>
      <c:pivotFmt>
        <c:idx val="1340"/>
        <c:marker>
          <c:symbol val="none"/>
        </c:marker>
      </c:pivotFmt>
      <c:pivotFmt>
        <c:idx val="1341"/>
        <c:spPr>
          <a:ln>
            <a:solidFill>
              <a:schemeClr val="tx1"/>
            </a:solidFill>
          </a:ln>
        </c:spPr>
        <c:marker>
          <c:symbol val="none"/>
        </c:marker>
      </c:pivotFmt>
      <c:pivotFmt>
        <c:idx val="1342"/>
        <c:marker>
          <c:symbol val="none"/>
        </c:marker>
      </c:pivotFmt>
      <c:pivotFmt>
        <c:idx val="1343"/>
        <c:marker>
          <c:symbol val="none"/>
        </c:marker>
      </c:pivotFmt>
      <c:pivotFmt>
        <c:idx val="1344"/>
        <c:marker>
          <c:symbol val="none"/>
        </c:marker>
      </c:pivotFmt>
      <c:pivotFmt>
        <c:idx val="1345"/>
        <c:marker>
          <c:symbol val="none"/>
        </c:marker>
      </c:pivotFmt>
      <c:pivotFmt>
        <c:idx val="1346"/>
        <c:marker>
          <c:symbol val="none"/>
        </c:marker>
      </c:pivotFmt>
      <c:pivotFmt>
        <c:idx val="1347"/>
        <c:marker>
          <c:symbol val="none"/>
        </c:marker>
      </c:pivotFmt>
      <c:pivotFmt>
        <c:idx val="1348"/>
        <c:marker>
          <c:symbol val="none"/>
        </c:marker>
      </c:pivotFmt>
      <c:pivotFmt>
        <c:idx val="1349"/>
        <c:marker>
          <c:symbol val="none"/>
        </c:marker>
      </c:pivotFmt>
      <c:pivotFmt>
        <c:idx val="1350"/>
        <c:marker>
          <c:symbol val="none"/>
        </c:marker>
      </c:pivotFmt>
      <c:pivotFmt>
        <c:idx val="1351"/>
        <c:marker>
          <c:symbol val="none"/>
        </c:marker>
      </c:pivotFmt>
      <c:pivotFmt>
        <c:idx val="1352"/>
        <c:marker>
          <c:symbol val="none"/>
        </c:marker>
      </c:pivotFmt>
      <c:pivotFmt>
        <c:idx val="1353"/>
        <c:marker>
          <c:symbol val="none"/>
        </c:marker>
      </c:pivotFmt>
      <c:pivotFmt>
        <c:idx val="1354"/>
        <c:marker>
          <c:symbol val="none"/>
        </c:marker>
      </c:pivotFmt>
      <c:pivotFmt>
        <c:idx val="1355"/>
        <c:marker>
          <c:symbol val="none"/>
        </c:marker>
      </c:pivotFmt>
      <c:pivotFmt>
        <c:idx val="1356"/>
        <c:marker>
          <c:symbol val="none"/>
        </c:marker>
      </c:pivotFmt>
      <c:pivotFmt>
        <c:idx val="1357"/>
        <c:marker>
          <c:symbol val="none"/>
        </c:marker>
      </c:pivotFmt>
      <c:pivotFmt>
        <c:idx val="1358"/>
        <c:marker>
          <c:symbol val="none"/>
        </c:marker>
      </c:pivotFmt>
      <c:pivotFmt>
        <c:idx val="1359"/>
        <c:marker>
          <c:symbol val="none"/>
        </c:marker>
      </c:pivotFmt>
      <c:pivotFmt>
        <c:idx val="1360"/>
        <c:marker>
          <c:symbol val="none"/>
        </c:marker>
      </c:pivotFmt>
      <c:pivotFmt>
        <c:idx val="1361"/>
        <c:marker>
          <c:symbol val="none"/>
        </c:marker>
      </c:pivotFmt>
      <c:pivotFmt>
        <c:idx val="1362"/>
        <c:marker>
          <c:symbol val="none"/>
        </c:marker>
      </c:pivotFmt>
      <c:pivotFmt>
        <c:idx val="1363"/>
        <c:marker>
          <c:symbol val="none"/>
        </c:marker>
      </c:pivotFmt>
      <c:pivotFmt>
        <c:idx val="1364"/>
        <c:marker>
          <c:symbol val="none"/>
        </c:marker>
      </c:pivotFmt>
      <c:pivotFmt>
        <c:idx val="1365"/>
        <c:marker>
          <c:symbol val="none"/>
        </c:marker>
      </c:pivotFmt>
      <c:pivotFmt>
        <c:idx val="1366"/>
        <c:marker>
          <c:symbol val="none"/>
        </c:marker>
      </c:pivotFmt>
      <c:pivotFmt>
        <c:idx val="1367"/>
        <c:marker>
          <c:symbol val="none"/>
        </c:marker>
      </c:pivotFmt>
      <c:pivotFmt>
        <c:idx val="1368"/>
        <c:marker>
          <c:symbol val="none"/>
        </c:marker>
      </c:pivotFmt>
      <c:pivotFmt>
        <c:idx val="1369"/>
        <c:marker>
          <c:symbol val="none"/>
        </c:marker>
      </c:pivotFmt>
      <c:pivotFmt>
        <c:idx val="1370"/>
        <c:marker>
          <c:symbol val="none"/>
        </c:marker>
      </c:pivotFmt>
      <c:pivotFmt>
        <c:idx val="1371"/>
        <c:marker>
          <c:symbol val="none"/>
        </c:marker>
      </c:pivotFmt>
      <c:pivotFmt>
        <c:idx val="1372"/>
        <c:marker>
          <c:symbol val="none"/>
        </c:marker>
      </c:pivotFmt>
      <c:pivotFmt>
        <c:idx val="1373"/>
        <c:marker>
          <c:symbol val="none"/>
        </c:marker>
      </c:pivotFmt>
      <c:pivotFmt>
        <c:idx val="1374"/>
        <c:marker>
          <c:symbol val="none"/>
        </c:marker>
      </c:pivotFmt>
      <c:pivotFmt>
        <c:idx val="1375"/>
        <c:marker>
          <c:symbol val="none"/>
        </c:marker>
      </c:pivotFmt>
      <c:pivotFmt>
        <c:idx val="1376"/>
        <c:marker>
          <c:symbol val="none"/>
        </c:marker>
      </c:pivotFmt>
      <c:pivotFmt>
        <c:idx val="1377"/>
        <c:marker>
          <c:symbol val="none"/>
        </c:marker>
      </c:pivotFmt>
      <c:pivotFmt>
        <c:idx val="1378"/>
        <c:marker>
          <c:symbol val="none"/>
        </c:marker>
      </c:pivotFmt>
      <c:pivotFmt>
        <c:idx val="1379"/>
        <c:marker>
          <c:symbol val="none"/>
        </c:marker>
      </c:pivotFmt>
      <c:pivotFmt>
        <c:idx val="1380"/>
        <c:marker>
          <c:symbol val="none"/>
        </c:marker>
      </c:pivotFmt>
      <c:pivotFmt>
        <c:idx val="1381"/>
        <c:marker>
          <c:symbol val="none"/>
        </c:marker>
      </c:pivotFmt>
      <c:pivotFmt>
        <c:idx val="1382"/>
        <c:marker>
          <c:symbol val="none"/>
        </c:marker>
      </c:pivotFmt>
      <c:pivotFmt>
        <c:idx val="1383"/>
        <c:marker>
          <c:symbol val="none"/>
        </c:marker>
      </c:pivotFmt>
      <c:pivotFmt>
        <c:idx val="1384"/>
        <c:marker>
          <c:symbol val="none"/>
        </c:marker>
      </c:pivotFmt>
      <c:pivotFmt>
        <c:idx val="1385"/>
        <c:marker>
          <c:symbol val="none"/>
        </c:marker>
      </c:pivotFmt>
      <c:pivotFmt>
        <c:idx val="1386"/>
        <c:marker>
          <c:symbol val="none"/>
        </c:marker>
      </c:pivotFmt>
      <c:pivotFmt>
        <c:idx val="1387"/>
        <c:marker>
          <c:symbol val="none"/>
        </c:marker>
      </c:pivotFmt>
      <c:pivotFmt>
        <c:idx val="1388"/>
        <c:marker>
          <c:symbol val="none"/>
        </c:marker>
      </c:pivotFmt>
      <c:pivotFmt>
        <c:idx val="1389"/>
        <c:marker>
          <c:symbol val="none"/>
        </c:marker>
      </c:pivotFmt>
      <c:pivotFmt>
        <c:idx val="1390"/>
        <c:marker>
          <c:symbol val="none"/>
        </c:marker>
      </c:pivotFmt>
      <c:pivotFmt>
        <c:idx val="1391"/>
        <c:marker>
          <c:symbol val="none"/>
        </c:marker>
      </c:pivotFmt>
      <c:pivotFmt>
        <c:idx val="1392"/>
        <c:marker>
          <c:symbol val="none"/>
        </c:marker>
      </c:pivotFmt>
      <c:pivotFmt>
        <c:idx val="1393"/>
        <c:marker>
          <c:symbol val="none"/>
        </c:marker>
      </c:pivotFmt>
      <c:pivotFmt>
        <c:idx val="1394"/>
        <c:marker>
          <c:symbol val="none"/>
        </c:marker>
      </c:pivotFmt>
      <c:pivotFmt>
        <c:idx val="1395"/>
        <c:marker>
          <c:symbol val="none"/>
        </c:marker>
      </c:pivotFmt>
      <c:pivotFmt>
        <c:idx val="1396"/>
        <c:marker>
          <c:symbol val="none"/>
        </c:marker>
      </c:pivotFmt>
      <c:pivotFmt>
        <c:idx val="1397"/>
        <c:marker>
          <c:symbol val="none"/>
        </c:marker>
      </c:pivotFmt>
      <c:pivotFmt>
        <c:idx val="1398"/>
        <c:marker>
          <c:symbol val="none"/>
        </c:marker>
      </c:pivotFmt>
      <c:pivotFmt>
        <c:idx val="1399"/>
        <c:marker>
          <c:symbol val="none"/>
        </c:marker>
      </c:pivotFmt>
      <c:pivotFmt>
        <c:idx val="1400"/>
        <c:marker>
          <c:symbol val="none"/>
        </c:marker>
      </c:pivotFmt>
      <c:pivotFmt>
        <c:idx val="1401"/>
        <c:marker>
          <c:symbol val="none"/>
        </c:marker>
      </c:pivotFmt>
      <c:pivotFmt>
        <c:idx val="1402"/>
        <c:marker>
          <c:symbol val="none"/>
        </c:marker>
      </c:pivotFmt>
      <c:pivotFmt>
        <c:idx val="1403"/>
        <c:marker>
          <c:symbol val="none"/>
        </c:marker>
      </c:pivotFmt>
      <c:pivotFmt>
        <c:idx val="1404"/>
        <c:marker>
          <c:symbol val="none"/>
        </c:marker>
      </c:pivotFmt>
      <c:pivotFmt>
        <c:idx val="1405"/>
        <c:marker>
          <c:symbol val="none"/>
        </c:marker>
      </c:pivotFmt>
      <c:pivotFmt>
        <c:idx val="1406"/>
        <c:marker>
          <c:symbol val="none"/>
        </c:marker>
      </c:pivotFmt>
      <c:pivotFmt>
        <c:idx val="1407"/>
        <c:marker>
          <c:symbol val="none"/>
        </c:marker>
      </c:pivotFmt>
      <c:pivotFmt>
        <c:idx val="1408"/>
        <c:marker>
          <c:symbol val="none"/>
        </c:marker>
      </c:pivotFmt>
      <c:pivotFmt>
        <c:idx val="1409"/>
        <c:marker>
          <c:symbol val="none"/>
        </c:marker>
      </c:pivotFmt>
      <c:pivotFmt>
        <c:idx val="1410"/>
        <c:marker>
          <c:symbol val="none"/>
        </c:marker>
      </c:pivotFmt>
      <c:pivotFmt>
        <c:idx val="1411"/>
        <c:marker>
          <c:symbol val="none"/>
        </c:marker>
      </c:pivotFmt>
      <c:pivotFmt>
        <c:idx val="1412"/>
        <c:marker>
          <c:symbol val="none"/>
        </c:marker>
      </c:pivotFmt>
      <c:pivotFmt>
        <c:idx val="1413"/>
        <c:marker>
          <c:symbol val="none"/>
        </c:marker>
      </c:pivotFmt>
      <c:pivotFmt>
        <c:idx val="1414"/>
        <c:marker>
          <c:symbol val="none"/>
        </c:marker>
      </c:pivotFmt>
      <c:pivotFmt>
        <c:idx val="1415"/>
        <c:marker>
          <c:symbol val="none"/>
        </c:marker>
      </c:pivotFmt>
      <c:pivotFmt>
        <c:idx val="1416"/>
        <c:marker>
          <c:symbol val="none"/>
        </c:marker>
      </c:pivotFmt>
      <c:pivotFmt>
        <c:idx val="1417"/>
        <c:marker>
          <c:symbol val="none"/>
        </c:marker>
      </c:pivotFmt>
      <c:pivotFmt>
        <c:idx val="1418"/>
        <c:marker>
          <c:symbol val="none"/>
        </c:marker>
      </c:pivotFmt>
      <c:pivotFmt>
        <c:idx val="1419"/>
        <c:marker>
          <c:symbol val="none"/>
        </c:marker>
      </c:pivotFmt>
      <c:pivotFmt>
        <c:idx val="1420"/>
        <c:marker>
          <c:symbol val="none"/>
        </c:marker>
      </c:pivotFmt>
      <c:pivotFmt>
        <c:idx val="1421"/>
        <c:marker>
          <c:symbol val="none"/>
        </c:marker>
      </c:pivotFmt>
      <c:pivotFmt>
        <c:idx val="1422"/>
        <c:marker>
          <c:symbol val="none"/>
        </c:marker>
      </c:pivotFmt>
      <c:pivotFmt>
        <c:idx val="1423"/>
        <c:marker>
          <c:symbol val="none"/>
        </c:marker>
      </c:pivotFmt>
      <c:pivotFmt>
        <c:idx val="1424"/>
        <c:marker>
          <c:symbol val="none"/>
        </c:marker>
      </c:pivotFmt>
      <c:pivotFmt>
        <c:idx val="1425"/>
        <c:marker>
          <c:symbol val="none"/>
        </c:marker>
      </c:pivotFmt>
      <c:pivotFmt>
        <c:idx val="1426"/>
        <c:marker>
          <c:symbol val="none"/>
        </c:marker>
      </c:pivotFmt>
      <c:pivotFmt>
        <c:idx val="1427"/>
        <c:marker>
          <c:symbol val="none"/>
        </c:marker>
      </c:pivotFmt>
      <c:pivotFmt>
        <c:idx val="1428"/>
        <c:marker>
          <c:symbol val="none"/>
        </c:marker>
      </c:pivotFmt>
      <c:pivotFmt>
        <c:idx val="1429"/>
        <c:marker>
          <c:symbol val="none"/>
        </c:marker>
      </c:pivotFmt>
      <c:pivotFmt>
        <c:idx val="1430"/>
        <c:marker>
          <c:symbol val="none"/>
        </c:marker>
      </c:pivotFmt>
      <c:pivotFmt>
        <c:idx val="1431"/>
        <c:marker>
          <c:symbol val="none"/>
        </c:marker>
      </c:pivotFmt>
      <c:pivotFmt>
        <c:idx val="1432"/>
        <c:marker>
          <c:symbol val="none"/>
        </c:marker>
      </c:pivotFmt>
      <c:pivotFmt>
        <c:idx val="1433"/>
        <c:marker>
          <c:symbol val="none"/>
        </c:marker>
      </c:pivotFmt>
      <c:pivotFmt>
        <c:idx val="1434"/>
        <c:marker>
          <c:symbol val="none"/>
        </c:marker>
      </c:pivotFmt>
      <c:pivotFmt>
        <c:idx val="1435"/>
        <c:marker>
          <c:symbol val="none"/>
        </c:marker>
      </c:pivotFmt>
      <c:pivotFmt>
        <c:idx val="1436"/>
        <c:marker>
          <c:symbol val="none"/>
        </c:marker>
      </c:pivotFmt>
      <c:pivotFmt>
        <c:idx val="1437"/>
        <c:marker>
          <c:symbol val="none"/>
        </c:marker>
      </c:pivotFmt>
      <c:pivotFmt>
        <c:idx val="1438"/>
        <c:marker>
          <c:symbol val="none"/>
        </c:marker>
      </c:pivotFmt>
      <c:pivotFmt>
        <c:idx val="1439"/>
        <c:marker>
          <c:symbol val="none"/>
        </c:marker>
      </c:pivotFmt>
      <c:pivotFmt>
        <c:idx val="1440"/>
        <c:marker>
          <c:symbol val="none"/>
        </c:marker>
      </c:pivotFmt>
      <c:pivotFmt>
        <c:idx val="1441"/>
        <c:marker>
          <c:symbol val="none"/>
        </c:marker>
      </c:pivotFmt>
      <c:pivotFmt>
        <c:idx val="1442"/>
        <c:marker>
          <c:symbol val="none"/>
        </c:marker>
      </c:pivotFmt>
      <c:pivotFmt>
        <c:idx val="1443"/>
        <c:marker>
          <c:symbol val="none"/>
        </c:marker>
      </c:pivotFmt>
      <c:pivotFmt>
        <c:idx val="1444"/>
        <c:marker>
          <c:symbol val="none"/>
        </c:marker>
      </c:pivotFmt>
      <c:pivotFmt>
        <c:idx val="1445"/>
        <c:marker>
          <c:symbol val="none"/>
        </c:marker>
      </c:pivotFmt>
      <c:pivotFmt>
        <c:idx val="1446"/>
        <c:marker>
          <c:symbol val="none"/>
        </c:marker>
      </c:pivotFmt>
      <c:pivotFmt>
        <c:idx val="1447"/>
        <c:marker>
          <c:symbol val="none"/>
        </c:marker>
      </c:pivotFmt>
      <c:pivotFmt>
        <c:idx val="1448"/>
        <c:marker>
          <c:symbol val="none"/>
        </c:marker>
      </c:pivotFmt>
      <c:pivotFmt>
        <c:idx val="1449"/>
        <c:marker>
          <c:symbol val="none"/>
        </c:marker>
      </c:pivotFmt>
      <c:pivotFmt>
        <c:idx val="1450"/>
        <c:marker>
          <c:symbol val="none"/>
        </c:marker>
      </c:pivotFmt>
      <c:pivotFmt>
        <c:idx val="1451"/>
        <c:marker>
          <c:symbol val="none"/>
        </c:marker>
      </c:pivotFmt>
      <c:pivotFmt>
        <c:idx val="1452"/>
        <c:marker>
          <c:symbol val="none"/>
        </c:marker>
      </c:pivotFmt>
      <c:pivotFmt>
        <c:idx val="1453"/>
        <c:marker>
          <c:symbol val="none"/>
        </c:marker>
      </c:pivotFmt>
      <c:pivotFmt>
        <c:idx val="1454"/>
        <c:marker>
          <c:symbol val="none"/>
        </c:marker>
      </c:pivotFmt>
      <c:pivotFmt>
        <c:idx val="1455"/>
        <c:marker>
          <c:symbol val="none"/>
        </c:marker>
      </c:pivotFmt>
      <c:pivotFmt>
        <c:idx val="1456"/>
        <c:marker>
          <c:symbol val="none"/>
        </c:marker>
      </c:pivotFmt>
      <c:pivotFmt>
        <c:idx val="1457"/>
        <c:marker>
          <c:symbol val="none"/>
        </c:marker>
      </c:pivotFmt>
      <c:pivotFmt>
        <c:idx val="1458"/>
        <c:marker>
          <c:symbol val="none"/>
        </c:marker>
      </c:pivotFmt>
      <c:pivotFmt>
        <c:idx val="1459"/>
        <c:marker>
          <c:symbol val="none"/>
        </c:marker>
      </c:pivotFmt>
      <c:pivotFmt>
        <c:idx val="1460"/>
        <c:marker>
          <c:symbol val="none"/>
        </c:marker>
      </c:pivotFmt>
      <c:pivotFmt>
        <c:idx val="1461"/>
        <c:marker>
          <c:symbol val="none"/>
        </c:marker>
      </c:pivotFmt>
      <c:pivotFmt>
        <c:idx val="1462"/>
        <c:marker>
          <c:symbol val="none"/>
        </c:marker>
      </c:pivotFmt>
      <c:pivotFmt>
        <c:idx val="1463"/>
        <c:marker>
          <c:symbol val="none"/>
        </c:marker>
      </c:pivotFmt>
      <c:pivotFmt>
        <c:idx val="1464"/>
        <c:marker>
          <c:symbol val="none"/>
        </c:marker>
      </c:pivotFmt>
      <c:pivotFmt>
        <c:idx val="1465"/>
        <c:marker>
          <c:symbol val="none"/>
        </c:marker>
      </c:pivotFmt>
      <c:pivotFmt>
        <c:idx val="1466"/>
        <c:marker>
          <c:symbol val="none"/>
        </c:marker>
      </c:pivotFmt>
      <c:pivotFmt>
        <c:idx val="1467"/>
        <c:marker>
          <c:symbol val="none"/>
        </c:marker>
      </c:pivotFmt>
      <c:pivotFmt>
        <c:idx val="1468"/>
        <c:marker>
          <c:symbol val="none"/>
        </c:marker>
      </c:pivotFmt>
      <c:pivotFmt>
        <c:idx val="1469"/>
        <c:marker>
          <c:symbol val="none"/>
        </c:marker>
      </c:pivotFmt>
      <c:pivotFmt>
        <c:idx val="1470"/>
        <c:marker>
          <c:symbol val="none"/>
        </c:marker>
      </c:pivotFmt>
      <c:pivotFmt>
        <c:idx val="1471"/>
        <c:marker>
          <c:symbol val="none"/>
        </c:marker>
      </c:pivotFmt>
      <c:pivotFmt>
        <c:idx val="1472"/>
        <c:marker>
          <c:symbol val="none"/>
        </c:marker>
      </c:pivotFmt>
      <c:pivotFmt>
        <c:idx val="1473"/>
        <c:marker>
          <c:symbol val="none"/>
        </c:marker>
      </c:pivotFmt>
      <c:pivotFmt>
        <c:idx val="1474"/>
        <c:marker>
          <c:symbol val="none"/>
        </c:marker>
      </c:pivotFmt>
      <c:pivotFmt>
        <c:idx val="1475"/>
        <c:marker>
          <c:symbol val="none"/>
        </c:marker>
      </c:pivotFmt>
      <c:pivotFmt>
        <c:idx val="1476"/>
        <c:marker>
          <c:symbol val="none"/>
        </c:marker>
      </c:pivotFmt>
      <c:pivotFmt>
        <c:idx val="1477"/>
        <c:marker>
          <c:symbol val="none"/>
        </c:marker>
      </c:pivotFmt>
      <c:pivotFmt>
        <c:idx val="1478"/>
        <c:marker>
          <c:symbol val="none"/>
        </c:marker>
      </c:pivotFmt>
      <c:pivotFmt>
        <c:idx val="1479"/>
        <c:marker>
          <c:symbol val="none"/>
        </c:marker>
      </c:pivotFmt>
      <c:pivotFmt>
        <c:idx val="1480"/>
        <c:marker>
          <c:symbol val="none"/>
        </c:marker>
      </c:pivotFmt>
      <c:pivotFmt>
        <c:idx val="1481"/>
        <c:marker>
          <c:symbol val="none"/>
        </c:marker>
      </c:pivotFmt>
      <c:pivotFmt>
        <c:idx val="1482"/>
        <c:marker>
          <c:symbol val="none"/>
        </c:marker>
      </c:pivotFmt>
      <c:pivotFmt>
        <c:idx val="1483"/>
        <c:marker>
          <c:symbol val="none"/>
        </c:marker>
      </c:pivotFmt>
      <c:pivotFmt>
        <c:idx val="1484"/>
        <c:marker>
          <c:symbol val="none"/>
        </c:marker>
      </c:pivotFmt>
      <c:pivotFmt>
        <c:idx val="1485"/>
        <c:marker>
          <c:symbol val="none"/>
        </c:marker>
      </c:pivotFmt>
      <c:pivotFmt>
        <c:idx val="1486"/>
        <c:marker>
          <c:symbol val="none"/>
        </c:marker>
      </c:pivotFmt>
      <c:pivotFmt>
        <c:idx val="1487"/>
        <c:marker>
          <c:symbol val="none"/>
        </c:marker>
      </c:pivotFmt>
      <c:pivotFmt>
        <c:idx val="1488"/>
        <c:marker>
          <c:symbol val="none"/>
        </c:marker>
      </c:pivotFmt>
      <c:pivotFmt>
        <c:idx val="1489"/>
        <c:marker>
          <c:symbol val="none"/>
        </c:marker>
      </c:pivotFmt>
      <c:pivotFmt>
        <c:idx val="1490"/>
        <c:marker>
          <c:symbol val="none"/>
        </c:marker>
      </c:pivotFmt>
      <c:pivotFmt>
        <c:idx val="1491"/>
        <c:marker>
          <c:symbol val="none"/>
        </c:marker>
      </c:pivotFmt>
      <c:pivotFmt>
        <c:idx val="1492"/>
        <c:marker>
          <c:symbol val="none"/>
        </c:marker>
      </c:pivotFmt>
      <c:pivotFmt>
        <c:idx val="1493"/>
        <c:marker>
          <c:symbol val="none"/>
        </c:marker>
      </c:pivotFmt>
      <c:pivotFmt>
        <c:idx val="1494"/>
        <c:marker>
          <c:symbol val="none"/>
        </c:marker>
      </c:pivotFmt>
      <c:pivotFmt>
        <c:idx val="1495"/>
        <c:marker>
          <c:symbol val="none"/>
        </c:marker>
      </c:pivotFmt>
      <c:pivotFmt>
        <c:idx val="1496"/>
        <c:marker>
          <c:symbol val="none"/>
        </c:marker>
      </c:pivotFmt>
      <c:pivotFmt>
        <c:idx val="1497"/>
        <c:marker>
          <c:symbol val="none"/>
        </c:marker>
      </c:pivotFmt>
      <c:pivotFmt>
        <c:idx val="1498"/>
        <c:marker>
          <c:symbol val="none"/>
        </c:marker>
      </c:pivotFmt>
      <c:pivotFmt>
        <c:idx val="1499"/>
        <c:marker>
          <c:symbol val="none"/>
        </c:marker>
      </c:pivotFmt>
      <c:pivotFmt>
        <c:idx val="1500"/>
        <c:marker>
          <c:symbol val="none"/>
        </c:marker>
      </c:pivotFmt>
      <c:pivotFmt>
        <c:idx val="1501"/>
        <c:marker>
          <c:symbol val="none"/>
        </c:marker>
      </c:pivotFmt>
      <c:pivotFmt>
        <c:idx val="1502"/>
        <c:marker>
          <c:symbol val="none"/>
        </c:marker>
      </c:pivotFmt>
      <c:pivotFmt>
        <c:idx val="1503"/>
        <c:marker>
          <c:symbol val="none"/>
        </c:marker>
      </c:pivotFmt>
      <c:pivotFmt>
        <c:idx val="1504"/>
        <c:marker>
          <c:symbol val="none"/>
        </c:marker>
      </c:pivotFmt>
      <c:pivotFmt>
        <c:idx val="1505"/>
        <c:marker>
          <c:symbol val="none"/>
        </c:marker>
      </c:pivotFmt>
      <c:pivotFmt>
        <c:idx val="1506"/>
        <c:marker>
          <c:symbol val="none"/>
        </c:marker>
      </c:pivotFmt>
      <c:pivotFmt>
        <c:idx val="1507"/>
        <c:marker>
          <c:symbol val="none"/>
        </c:marker>
      </c:pivotFmt>
      <c:pivotFmt>
        <c:idx val="1508"/>
        <c:marker>
          <c:symbol val="none"/>
        </c:marker>
      </c:pivotFmt>
      <c:pivotFmt>
        <c:idx val="1509"/>
        <c:marker>
          <c:symbol val="none"/>
        </c:marker>
      </c:pivotFmt>
      <c:pivotFmt>
        <c:idx val="1510"/>
        <c:marker>
          <c:symbol val="none"/>
        </c:marker>
      </c:pivotFmt>
      <c:pivotFmt>
        <c:idx val="1511"/>
        <c:marker>
          <c:symbol val="none"/>
        </c:marker>
      </c:pivotFmt>
      <c:pivotFmt>
        <c:idx val="1512"/>
        <c:marker>
          <c:symbol val="none"/>
        </c:marker>
      </c:pivotFmt>
      <c:pivotFmt>
        <c:idx val="1513"/>
        <c:marker>
          <c:symbol val="none"/>
        </c:marker>
      </c:pivotFmt>
      <c:pivotFmt>
        <c:idx val="1514"/>
        <c:marker>
          <c:symbol val="none"/>
        </c:marker>
      </c:pivotFmt>
      <c:pivotFmt>
        <c:idx val="1515"/>
        <c:marker>
          <c:symbol val="none"/>
        </c:marker>
      </c:pivotFmt>
      <c:pivotFmt>
        <c:idx val="1516"/>
        <c:marker>
          <c:symbol val="none"/>
        </c:marker>
      </c:pivotFmt>
      <c:pivotFmt>
        <c:idx val="1517"/>
        <c:marker>
          <c:symbol val="none"/>
        </c:marker>
      </c:pivotFmt>
      <c:pivotFmt>
        <c:idx val="1518"/>
        <c:marker>
          <c:symbol val="none"/>
        </c:marker>
      </c:pivotFmt>
      <c:pivotFmt>
        <c:idx val="1519"/>
        <c:marker>
          <c:symbol val="none"/>
        </c:marker>
      </c:pivotFmt>
      <c:pivotFmt>
        <c:idx val="1520"/>
        <c:marker>
          <c:symbol val="none"/>
        </c:marker>
      </c:pivotFmt>
      <c:pivotFmt>
        <c:idx val="1521"/>
        <c:marker>
          <c:symbol val="none"/>
        </c:marker>
      </c:pivotFmt>
      <c:pivotFmt>
        <c:idx val="1522"/>
        <c:marker>
          <c:symbol val="none"/>
        </c:marker>
      </c:pivotFmt>
      <c:pivotFmt>
        <c:idx val="1523"/>
        <c:marker>
          <c:symbol val="none"/>
        </c:marker>
      </c:pivotFmt>
      <c:pivotFmt>
        <c:idx val="1524"/>
        <c:marker>
          <c:symbol val="none"/>
        </c:marker>
      </c:pivotFmt>
      <c:pivotFmt>
        <c:idx val="1525"/>
        <c:marker>
          <c:symbol val="none"/>
        </c:marker>
      </c:pivotFmt>
      <c:pivotFmt>
        <c:idx val="1526"/>
        <c:marker>
          <c:symbol val="none"/>
        </c:marker>
      </c:pivotFmt>
      <c:pivotFmt>
        <c:idx val="1527"/>
        <c:marker>
          <c:symbol val="none"/>
        </c:marker>
      </c:pivotFmt>
      <c:pivotFmt>
        <c:idx val="1528"/>
        <c:marker>
          <c:symbol val="none"/>
        </c:marker>
      </c:pivotFmt>
      <c:pivotFmt>
        <c:idx val="1529"/>
        <c:marker>
          <c:symbol val="none"/>
        </c:marker>
      </c:pivotFmt>
      <c:pivotFmt>
        <c:idx val="1530"/>
        <c:marker>
          <c:symbol val="none"/>
        </c:marker>
      </c:pivotFmt>
      <c:pivotFmt>
        <c:idx val="1531"/>
        <c:marker>
          <c:symbol val="none"/>
        </c:marker>
      </c:pivotFmt>
      <c:pivotFmt>
        <c:idx val="1532"/>
        <c:marker>
          <c:symbol val="none"/>
        </c:marker>
      </c:pivotFmt>
      <c:pivotFmt>
        <c:idx val="1533"/>
        <c:marker>
          <c:symbol val="none"/>
        </c:marker>
      </c:pivotFmt>
      <c:pivotFmt>
        <c:idx val="1534"/>
        <c:marker>
          <c:symbol val="none"/>
        </c:marker>
      </c:pivotFmt>
      <c:pivotFmt>
        <c:idx val="1535"/>
        <c:marker>
          <c:symbol val="none"/>
        </c:marker>
      </c:pivotFmt>
      <c:pivotFmt>
        <c:idx val="1536"/>
        <c:marker>
          <c:symbol val="none"/>
        </c:marker>
      </c:pivotFmt>
      <c:pivotFmt>
        <c:idx val="1537"/>
        <c:marker>
          <c:symbol val="none"/>
        </c:marker>
      </c:pivotFmt>
      <c:pivotFmt>
        <c:idx val="1538"/>
        <c:marker>
          <c:symbol val="none"/>
        </c:marker>
      </c:pivotFmt>
      <c:pivotFmt>
        <c:idx val="1539"/>
        <c:marker>
          <c:symbol val="none"/>
        </c:marker>
      </c:pivotFmt>
      <c:pivotFmt>
        <c:idx val="1540"/>
        <c:marker>
          <c:symbol val="none"/>
        </c:marker>
      </c:pivotFmt>
      <c:pivotFmt>
        <c:idx val="1541"/>
        <c:marker>
          <c:symbol val="none"/>
        </c:marker>
      </c:pivotFmt>
      <c:pivotFmt>
        <c:idx val="1542"/>
        <c:marker>
          <c:symbol val="none"/>
        </c:marker>
      </c:pivotFmt>
      <c:pivotFmt>
        <c:idx val="1543"/>
        <c:marker>
          <c:symbol val="none"/>
        </c:marker>
      </c:pivotFmt>
      <c:pivotFmt>
        <c:idx val="1544"/>
        <c:marker>
          <c:symbol val="none"/>
        </c:marker>
      </c:pivotFmt>
      <c:pivotFmt>
        <c:idx val="1545"/>
        <c:marker>
          <c:symbol val="none"/>
        </c:marker>
      </c:pivotFmt>
      <c:pivotFmt>
        <c:idx val="1546"/>
        <c:marker>
          <c:symbol val="none"/>
        </c:marker>
      </c:pivotFmt>
      <c:pivotFmt>
        <c:idx val="1547"/>
        <c:marker>
          <c:symbol val="none"/>
        </c:marker>
      </c:pivotFmt>
      <c:pivotFmt>
        <c:idx val="1548"/>
        <c:marker>
          <c:symbol val="none"/>
        </c:marker>
      </c:pivotFmt>
      <c:pivotFmt>
        <c:idx val="1549"/>
        <c:marker>
          <c:symbol val="none"/>
        </c:marker>
      </c:pivotFmt>
      <c:pivotFmt>
        <c:idx val="1550"/>
        <c:marker>
          <c:symbol val="none"/>
        </c:marker>
      </c:pivotFmt>
      <c:pivotFmt>
        <c:idx val="1551"/>
        <c:marker>
          <c:symbol val="none"/>
        </c:marker>
      </c:pivotFmt>
      <c:pivotFmt>
        <c:idx val="1552"/>
        <c:marker>
          <c:symbol val="none"/>
        </c:marker>
      </c:pivotFmt>
      <c:pivotFmt>
        <c:idx val="1553"/>
        <c:marker>
          <c:symbol val="none"/>
        </c:marker>
      </c:pivotFmt>
      <c:pivotFmt>
        <c:idx val="1554"/>
        <c:marker>
          <c:symbol val="none"/>
        </c:marker>
      </c:pivotFmt>
      <c:pivotFmt>
        <c:idx val="1555"/>
        <c:marker>
          <c:symbol val="none"/>
        </c:marker>
      </c:pivotFmt>
      <c:pivotFmt>
        <c:idx val="1556"/>
        <c:marker>
          <c:symbol val="none"/>
        </c:marker>
      </c:pivotFmt>
      <c:pivotFmt>
        <c:idx val="1557"/>
        <c:marker>
          <c:symbol val="none"/>
        </c:marker>
      </c:pivotFmt>
      <c:pivotFmt>
        <c:idx val="1558"/>
        <c:marker>
          <c:symbol val="none"/>
        </c:marker>
      </c:pivotFmt>
      <c:pivotFmt>
        <c:idx val="1559"/>
        <c:marker>
          <c:symbol val="none"/>
        </c:marker>
      </c:pivotFmt>
      <c:pivotFmt>
        <c:idx val="1560"/>
        <c:marker>
          <c:symbol val="none"/>
        </c:marker>
      </c:pivotFmt>
      <c:pivotFmt>
        <c:idx val="1561"/>
        <c:marker>
          <c:symbol val="none"/>
        </c:marker>
      </c:pivotFmt>
      <c:pivotFmt>
        <c:idx val="1562"/>
        <c:marker>
          <c:symbol val="none"/>
        </c:marker>
      </c:pivotFmt>
      <c:pivotFmt>
        <c:idx val="1563"/>
        <c:marker>
          <c:symbol val="none"/>
        </c:marker>
      </c:pivotFmt>
      <c:pivotFmt>
        <c:idx val="1564"/>
        <c:marker>
          <c:symbol val="none"/>
        </c:marker>
      </c:pivotFmt>
      <c:pivotFmt>
        <c:idx val="1565"/>
        <c:marker>
          <c:symbol val="none"/>
        </c:marker>
      </c:pivotFmt>
      <c:pivotFmt>
        <c:idx val="1566"/>
        <c:marker>
          <c:symbol val="none"/>
        </c:marker>
      </c:pivotFmt>
      <c:pivotFmt>
        <c:idx val="1567"/>
        <c:marker>
          <c:symbol val="none"/>
        </c:marker>
      </c:pivotFmt>
      <c:pivotFmt>
        <c:idx val="1568"/>
        <c:marker>
          <c:symbol val="none"/>
        </c:marker>
      </c:pivotFmt>
      <c:pivotFmt>
        <c:idx val="1569"/>
        <c:marker>
          <c:symbol val="none"/>
        </c:marker>
      </c:pivotFmt>
      <c:pivotFmt>
        <c:idx val="1570"/>
        <c:marker>
          <c:symbol val="none"/>
        </c:marker>
      </c:pivotFmt>
      <c:pivotFmt>
        <c:idx val="1571"/>
        <c:marker>
          <c:symbol val="none"/>
        </c:marker>
      </c:pivotFmt>
      <c:pivotFmt>
        <c:idx val="1572"/>
        <c:marker>
          <c:symbol val="none"/>
        </c:marker>
      </c:pivotFmt>
      <c:pivotFmt>
        <c:idx val="1573"/>
        <c:marker>
          <c:symbol val="none"/>
        </c:marker>
      </c:pivotFmt>
      <c:pivotFmt>
        <c:idx val="1574"/>
        <c:marker>
          <c:symbol val="none"/>
        </c:marker>
      </c:pivotFmt>
      <c:pivotFmt>
        <c:idx val="1575"/>
        <c:marker>
          <c:symbol val="none"/>
        </c:marker>
      </c:pivotFmt>
      <c:pivotFmt>
        <c:idx val="1576"/>
        <c:marker>
          <c:symbol val="none"/>
        </c:marker>
      </c:pivotFmt>
      <c:pivotFmt>
        <c:idx val="1577"/>
        <c:marker>
          <c:symbol val="none"/>
        </c:marker>
      </c:pivotFmt>
      <c:pivotFmt>
        <c:idx val="1578"/>
        <c:marker>
          <c:symbol val="none"/>
        </c:marker>
      </c:pivotFmt>
      <c:pivotFmt>
        <c:idx val="1579"/>
        <c:marker>
          <c:symbol val="none"/>
        </c:marker>
      </c:pivotFmt>
      <c:pivotFmt>
        <c:idx val="1580"/>
        <c:marker>
          <c:symbol val="none"/>
        </c:marker>
      </c:pivotFmt>
      <c:pivotFmt>
        <c:idx val="1581"/>
        <c:marker>
          <c:symbol val="none"/>
        </c:marker>
      </c:pivotFmt>
      <c:pivotFmt>
        <c:idx val="1582"/>
        <c:marker>
          <c:symbol val="none"/>
        </c:marker>
      </c:pivotFmt>
      <c:pivotFmt>
        <c:idx val="1583"/>
        <c:marker>
          <c:symbol val="none"/>
        </c:marker>
      </c:pivotFmt>
      <c:pivotFmt>
        <c:idx val="1584"/>
        <c:marker>
          <c:symbol val="none"/>
        </c:marker>
      </c:pivotFmt>
      <c:pivotFmt>
        <c:idx val="1585"/>
        <c:marker>
          <c:symbol val="none"/>
        </c:marker>
      </c:pivotFmt>
      <c:pivotFmt>
        <c:idx val="1586"/>
        <c:marker>
          <c:symbol val="none"/>
        </c:marker>
      </c:pivotFmt>
      <c:pivotFmt>
        <c:idx val="1587"/>
        <c:marker>
          <c:symbol val="none"/>
        </c:marker>
      </c:pivotFmt>
      <c:pivotFmt>
        <c:idx val="1588"/>
        <c:marker>
          <c:symbol val="none"/>
        </c:marker>
      </c:pivotFmt>
      <c:pivotFmt>
        <c:idx val="1589"/>
        <c:marker>
          <c:symbol val="none"/>
        </c:marker>
      </c:pivotFmt>
      <c:pivotFmt>
        <c:idx val="1590"/>
        <c:marker>
          <c:symbol val="none"/>
        </c:marker>
      </c:pivotFmt>
      <c:pivotFmt>
        <c:idx val="1591"/>
        <c:marker>
          <c:symbol val="none"/>
        </c:marker>
      </c:pivotFmt>
      <c:pivotFmt>
        <c:idx val="1592"/>
        <c:marker>
          <c:symbol val="none"/>
        </c:marker>
      </c:pivotFmt>
      <c:pivotFmt>
        <c:idx val="1593"/>
        <c:marker>
          <c:symbol val="none"/>
        </c:marker>
      </c:pivotFmt>
      <c:pivotFmt>
        <c:idx val="1594"/>
        <c:marker>
          <c:symbol val="none"/>
        </c:marker>
      </c:pivotFmt>
      <c:pivotFmt>
        <c:idx val="1595"/>
        <c:marker>
          <c:symbol val="none"/>
        </c:marker>
      </c:pivotFmt>
      <c:pivotFmt>
        <c:idx val="1596"/>
        <c:marker>
          <c:symbol val="none"/>
        </c:marker>
      </c:pivotFmt>
      <c:pivotFmt>
        <c:idx val="1597"/>
        <c:marker>
          <c:symbol val="none"/>
        </c:marker>
      </c:pivotFmt>
      <c:pivotFmt>
        <c:idx val="1598"/>
        <c:marker>
          <c:symbol val="none"/>
        </c:marker>
      </c:pivotFmt>
      <c:pivotFmt>
        <c:idx val="1599"/>
        <c:marker>
          <c:symbol val="none"/>
        </c:marker>
      </c:pivotFmt>
      <c:pivotFmt>
        <c:idx val="1600"/>
        <c:marker>
          <c:symbol val="none"/>
        </c:marker>
      </c:pivotFmt>
      <c:pivotFmt>
        <c:idx val="1601"/>
        <c:marker>
          <c:symbol val="none"/>
        </c:marker>
      </c:pivotFmt>
      <c:pivotFmt>
        <c:idx val="1602"/>
        <c:marker>
          <c:symbol val="none"/>
        </c:marker>
      </c:pivotFmt>
      <c:pivotFmt>
        <c:idx val="1603"/>
        <c:marker>
          <c:symbol val="none"/>
        </c:marker>
      </c:pivotFmt>
      <c:pivotFmt>
        <c:idx val="1604"/>
        <c:marker>
          <c:symbol val="none"/>
        </c:marker>
      </c:pivotFmt>
      <c:pivotFmt>
        <c:idx val="1605"/>
        <c:marker>
          <c:symbol val="none"/>
        </c:marker>
      </c:pivotFmt>
      <c:pivotFmt>
        <c:idx val="1606"/>
        <c:marker>
          <c:symbol val="none"/>
        </c:marker>
      </c:pivotFmt>
      <c:pivotFmt>
        <c:idx val="1607"/>
        <c:marker>
          <c:symbol val="none"/>
        </c:marker>
      </c:pivotFmt>
      <c:pivotFmt>
        <c:idx val="1608"/>
        <c:marker>
          <c:symbol val="none"/>
        </c:marker>
      </c:pivotFmt>
      <c:pivotFmt>
        <c:idx val="1609"/>
        <c:marker>
          <c:symbol val="none"/>
        </c:marker>
      </c:pivotFmt>
      <c:pivotFmt>
        <c:idx val="1610"/>
        <c:marker>
          <c:symbol val="none"/>
        </c:marker>
      </c:pivotFmt>
      <c:pivotFmt>
        <c:idx val="1611"/>
        <c:marker>
          <c:symbol val="none"/>
        </c:marker>
      </c:pivotFmt>
      <c:pivotFmt>
        <c:idx val="1612"/>
        <c:marker>
          <c:symbol val="none"/>
        </c:marker>
      </c:pivotFmt>
      <c:pivotFmt>
        <c:idx val="1613"/>
        <c:marker>
          <c:symbol val="none"/>
        </c:marker>
      </c:pivotFmt>
      <c:pivotFmt>
        <c:idx val="1614"/>
        <c:marker>
          <c:symbol val="none"/>
        </c:marker>
      </c:pivotFmt>
      <c:pivotFmt>
        <c:idx val="1615"/>
        <c:marker>
          <c:symbol val="none"/>
        </c:marker>
      </c:pivotFmt>
      <c:pivotFmt>
        <c:idx val="1616"/>
        <c:marker>
          <c:symbol val="none"/>
        </c:marker>
      </c:pivotFmt>
      <c:pivotFmt>
        <c:idx val="1617"/>
        <c:marker>
          <c:symbol val="none"/>
        </c:marker>
      </c:pivotFmt>
      <c:pivotFmt>
        <c:idx val="1618"/>
        <c:marker>
          <c:symbol val="none"/>
        </c:marker>
      </c:pivotFmt>
      <c:pivotFmt>
        <c:idx val="1619"/>
        <c:marker>
          <c:symbol val="none"/>
        </c:marker>
      </c:pivotFmt>
      <c:pivotFmt>
        <c:idx val="1620"/>
        <c:marker>
          <c:symbol val="none"/>
        </c:marker>
      </c:pivotFmt>
      <c:pivotFmt>
        <c:idx val="1621"/>
        <c:marker>
          <c:symbol val="none"/>
        </c:marker>
      </c:pivotFmt>
      <c:pivotFmt>
        <c:idx val="1622"/>
        <c:marker>
          <c:symbol val="none"/>
        </c:marker>
      </c:pivotFmt>
      <c:pivotFmt>
        <c:idx val="1623"/>
        <c:marker>
          <c:symbol val="none"/>
        </c:marker>
      </c:pivotFmt>
      <c:pivotFmt>
        <c:idx val="1624"/>
        <c:marker>
          <c:symbol val="none"/>
        </c:marker>
      </c:pivotFmt>
      <c:pivotFmt>
        <c:idx val="1625"/>
        <c:marker>
          <c:symbol val="none"/>
        </c:marker>
      </c:pivotFmt>
      <c:pivotFmt>
        <c:idx val="1626"/>
        <c:marker>
          <c:symbol val="none"/>
        </c:marker>
      </c:pivotFmt>
      <c:pivotFmt>
        <c:idx val="1627"/>
        <c:marker>
          <c:symbol val="none"/>
        </c:marker>
      </c:pivotFmt>
      <c:pivotFmt>
        <c:idx val="1628"/>
        <c:marker>
          <c:symbol val="none"/>
        </c:marker>
      </c:pivotFmt>
      <c:pivotFmt>
        <c:idx val="1629"/>
        <c:marker>
          <c:symbol val="none"/>
        </c:marker>
      </c:pivotFmt>
      <c:pivotFmt>
        <c:idx val="1630"/>
        <c:marker>
          <c:symbol val="none"/>
        </c:marker>
      </c:pivotFmt>
      <c:pivotFmt>
        <c:idx val="1631"/>
        <c:marker>
          <c:symbol val="none"/>
        </c:marker>
      </c:pivotFmt>
      <c:pivotFmt>
        <c:idx val="1632"/>
        <c:marker>
          <c:symbol val="none"/>
        </c:marker>
      </c:pivotFmt>
      <c:pivotFmt>
        <c:idx val="1633"/>
        <c:marker>
          <c:symbol val="none"/>
        </c:marker>
      </c:pivotFmt>
      <c:pivotFmt>
        <c:idx val="1634"/>
        <c:marker>
          <c:symbol val="none"/>
        </c:marker>
      </c:pivotFmt>
      <c:pivotFmt>
        <c:idx val="1635"/>
        <c:marker>
          <c:symbol val="none"/>
        </c:marker>
      </c:pivotFmt>
      <c:pivotFmt>
        <c:idx val="1636"/>
        <c:marker>
          <c:symbol val="none"/>
        </c:marker>
      </c:pivotFmt>
      <c:pivotFmt>
        <c:idx val="1637"/>
        <c:marker>
          <c:symbol val="none"/>
        </c:marker>
      </c:pivotFmt>
      <c:pivotFmt>
        <c:idx val="1638"/>
        <c:marker>
          <c:symbol val="none"/>
        </c:marker>
      </c:pivotFmt>
      <c:pivotFmt>
        <c:idx val="1639"/>
        <c:marker>
          <c:symbol val="none"/>
        </c:marker>
      </c:pivotFmt>
      <c:pivotFmt>
        <c:idx val="1640"/>
        <c:marker>
          <c:symbol val="none"/>
        </c:marker>
      </c:pivotFmt>
      <c:pivotFmt>
        <c:idx val="1641"/>
        <c:marker>
          <c:symbol val="none"/>
        </c:marker>
      </c:pivotFmt>
      <c:pivotFmt>
        <c:idx val="1642"/>
        <c:marker>
          <c:symbol val="none"/>
        </c:marker>
      </c:pivotFmt>
      <c:pivotFmt>
        <c:idx val="1643"/>
        <c:marker>
          <c:symbol val="none"/>
        </c:marker>
      </c:pivotFmt>
      <c:pivotFmt>
        <c:idx val="1644"/>
        <c:marker>
          <c:symbol val="none"/>
        </c:marker>
      </c:pivotFmt>
      <c:pivotFmt>
        <c:idx val="1645"/>
        <c:marker>
          <c:symbol val="none"/>
        </c:marker>
      </c:pivotFmt>
      <c:pivotFmt>
        <c:idx val="1646"/>
        <c:marker>
          <c:symbol val="none"/>
        </c:marker>
      </c:pivotFmt>
      <c:pivotFmt>
        <c:idx val="1647"/>
        <c:marker>
          <c:symbol val="none"/>
        </c:marker>
      </c:pivotFmt>
      <c:pivotFmt>
        <c:idx val="1648"/>
        <c:marker>
          <c:symbol val="none"/>
        </c:marker>
      </c:pivotFmt>
      <c:pivotFmt>
        <c:idx val="1649"/>
        <c:marker>
          <c:symbol val="none"/>
        </c:marker>
      </c:pivotFmt>
      <c:pivotFmt>
        <c:idx val="1650"/>
        <c:marker>
          <c:symbol val="none"/>
        </c:marker>
      </c:pivotFmt>
      <c:pivotFmt>
        <c:idx val="1651"/>
        <c:marker>
          <c:symbol val="none"/>
        </c:marker>
      </c:pivotFmt>
      <c:pivotFmt>
        <c:idx val="1652"/>
        <c:marker>
          <c:symbol val="none"/>
        </c:marker>
      </c:pivotFmt>
      <c:pivotFmt>
        <c:idx val="1653"/>
        <c:marker>
          <c:symbol val="none"/>
        </c:marker>
      </c:pivotFmt>
      <c:pivotFmt>
        <c:idx val="1654"/>
        <c:marker>
          <c:symbol val="none"/>
        </c:marker>
      </c:pivotFmt>
      <c:pivotFmt>
        <c:idx val="1655"/>
        <c:marker>
          <c:symbol val="none"/>
        </c:marker>
      </c:pivotFmt>
      <c:pivotFmt>
        <c:idx val="1656"/>
        <c:marker>
          <c:symbol val="none"/>
        </c:marker>
      </c:pivotFmt>
      <c:pivotFmt>
        <c:idx val="1657"/>
        <c:marker>
          <c:symbol val="none"/>
        </c:marker>
      </c:pivotFmt>
      <c:pivotFmt>
        <c:idx val="1658"/>
        <c:marker>
          <c:symbol val="none"/>
        </c:marker>
      </c:pivotFmt>
      <c:pivotFmt>
        <c:idx val="1659"/>
        <c:marker>
          <c:symbol val="none"/>
        </c:marker>
      </c:pivotFmt>
      <c:pivotFmt>
        <c:idx val="1660"/>
        <c:marker>
          <c:symbol val="none"/>
        </c:marker>
      </c:pivotFmt>
      <c:pivotFmt>
        <c:idx val="1661"/>
        <c:marker>
          <c:symbol val="none"/>
        </c:marker>
      </c:pivotFmt>
      <c:pivotFmt>
        <c:idx val="1662"/>
        <c:marker>
          <c:symbol val="none"/>
        </c:marker>
      </c:pivotFmt>
      <c:pivotFmt>
        <c:idx val="1663"/>
        <c:marker>
          <c:symbol val="none"/>
        </c:marker>
      </c:pivotFmt>
      <c:pivotFmt>
        <c:idx val="1664"/>
        <c:marker>
          <c:symbol val="none"/>
        </c:marker>
      </c:pivotFmt>
      <c:pivotFmt>
        <c:idx val="1665"/>
        <c:marker>
          <c:symbol val="none"/>
        </c:marker>
      </c:pivotFmt>
      <c:pivotFmt>
        <c:idx val="1666"/>
        <c:marker>
          <c:symbol val="none"/>
        </c:marker>
      </c:pivotFmt>
      <c:pivotFmt>
        <c:idx val="1667"/>
        <c:marker>
          <c:symbol val="none"/>
        </c:marker>
      </c:pivotFmt>
      <c:pivotFmt>
        <c:idx val="1668"/>
        <c:marker>
          <c:symbol val="none"/>
        </c:marker>
      </c:pivotFmt>
      <c:pivotFmt>
        <c:idx val="1669"/>
        <c:marker>
          <c:symbol val="none"/>
        </c:marker>
      </c:pivotFmt>
      <c:pivotFmt>
        <c:idx val="1670"/>
        <c:marker>
          <c:symbol val="none"/>
        </c:marker>
      </c:pivotFmt>
      <c:pivotFmt>
        <c:idx val="1671"/>
        <c:marker>
          <c:symbol val="none"/>
        </c:marker>
      </c:pivotFmt>
      <c:pivotFmt>
        <c:idx val="1672"/>
        <c:marker>
          <c:symbol val="none"/>
        </c:marker>
      </c:pivotFmt>
      <c:pivotFmt>
        <c:idx val="1673"/>
        <c:marker>
          <c:symbol val="none"/>
        </c:marker>
      </c:pivotFmt>
      <c:pivotFmt>
        <c:idx val="1674"/>
        <c:marker>
          <c:symbol val="none"/>
        </c:marker>
      </c:pivotFmt>
      <c:pivotFmt>
        <c:idx val="1675"/>
        <c:marker>
          <c:symbol val="none"/>
        </c:marker>
      </c:pivotFmt>
      <c:pivotFmt>
        <c:idx val="1676"/>
        <c:marker>
          <c:symbol val="none"/>
        </c:marker>
      </c:pivotFmt>
      <c:pivotFmt>
        <c:idx val="1677"/>
        <c:marker>
          <c:symbol val="none"/>
        </c:marker>
      </c:pivotFmt>
      <c:pivotFmt>
        <c:idx val="1678"/>
        <c:marker>
          <c:symbol val="none"/>
        </c:marker>
      </c:pivotFmt>
      <c:pivotFmt>
        <c:idx val="1679"/>
        <c:marker>
          <c:symbol val="none"/>
        </c:marker>
      </c:pivotFmt>
      <c:pivotFmt>
        <c:idx val="1680"/>
        <c:marker>
          <c:symbol val="none"/>
        </c:marker>
      </c:pivotFmt>
      <c:pivotFmt>
        <c:idx val="1681"/>
        <c:marker>
          <c:symbol val="none"/>
        </c:marker>
      </c:pivotFmt>
      <c:pivotFmt>
        <c:idx val="1682"/>
        <c:marker>
          <c:symbol val="none"/>
        </c:marker>
      </c:pivotFmt>
      <c:pivotFmt>
        <c:idx val="1683"/>
        <c:marker>
          <c:symbol val="none"/>
        </c:marker>
      </c:pivotFmt>
      <c:pivotFmt>
        <c:idx val="1684"/>
        <c:marker>
          <c:symbol val="none"/>
        </c:marker>
      </c:pivotFmt>
      <c:pivotFmt>
        <c:idx val="1685"/>
        <c:marker>
          <c:symbol val="none"/>
        </c:marker>
      </c:pivotFmt>
      <c:pivotFmt>
        <c:idx val="1686"/>
        <c:marker>
          <c:symbol val="none"/>
        </c:marker>
      </c:pivotFmt>
      <c:pivotFmt>
        <c:idx val="1687"/>
        <c:marker>
          <c:symbol val="none"/>
        </c:marker>
      </c:pivotFmt>
      <c:pivotFmt>
        <c:idx val="1688"/>
        <c:marker>
          <c:symbol val="none"/>
        </c:marker>
      </c:pivotFmt>
      <c:pivotFmt>
        <c:idx val="1689"/>
        <c:marker>
          <c:symbol val="none"/>
        </c:marker>
      </c:pivotFmt>
      <c:pivotFmt>
        <c:idx val="1690"/>
        <c:marker>
          <c:symbol val="none"/>
        </c:marker>
      </c:pivotFmt>
      <c:pivotFmt>
        <c:idx val="1691"/>
        <c:marker>
          <c:symbol val="none"/>
        </c:marker>
      </c:pivotFmt>
      <c:pivotFmt>
        <c:idx val="1692"/>
        <c:marker>
          <c:symbol val="none"/>
        </c:marker>
      </c:pivotFmt>
      <c:pivotFmt>
        <c:idx val="1693"/>
        <c:marker>
          <c:symbol val="none"/>
        </c:marker>
      </c:pivotFmt>
      <c:pivotFmt>
        <c:idx val="1694"/>
        <c:marker>
          <c:symbol val="none"/>
        </c:marker>
      </c:pivotFmt>
      <c:pivotFmt>
        <c:idx val="1695"/>
        <c:marker>
          <c:symbol val="none"/>
        </c:marker>
      </c:pivotFmt>
      <c:pivotFmt>
        <c:idx val="1696"/>
        <c:marker>
          <c:symbol val="none"/>
        </c:marker>
      </c:pivotFmt>
      <c:pivotFmt>
        <c:idx val="1697"/>
        <c:marker>
          <c:symbol val="none"/>
        </c:marker>
      </c:pivotFmt>
      <c:pivotFmt>
        <c:idx val="1698"/>
        <c:marker>
          <c:symbol val="none"/>
        </c:marker>
      </c:pivotFmt>
      <c:pivotFmt>
        <c:idx val="1699"/>
        <c:marker>
          <c:symbol val="none"/>
        </c:marker>
      </c:pivotFmt>
      <c:pivotFmt>
        <c:idx val="1700"/>
        <c:marker>
          <c:symbol val="none"/>
        </c:marker>
      </c:pivotFmt>
      <c:pivotFmt>
        <c:idx val="1701"/>
        <c:marker>
          <c:symbol val="none"/>
        </c:marker>
      </c:pivotFmt>
      <c:pivotFmt>
        <c:idx val="1702"/>
        <c:marker>
          <c:symbol val="none"/>
        </c:marker>
      </c:pivotFmt>
      <c:pivotFmt>
        <c:idx val="1703"/>
        <c:marker>
          <c:symbol val="none"/>
        </c:marker>
      </c:pivotFmt>
      <c:pivotFmt>
        <c:idx val="1704"/>
        <c:marker>
          <c:symbol val="none"/>
        </c:marker>
      </c:pivotFmt>
      <c:pivotFmt>
        <c:idx val="1705"/>
        <c:marker>
          <c:symbol val="none"/>
        </c:marker>
      </c:pivotFmt>
      <c:pivotFmt>
        <c:idx val="1706"/>
        <c:marker>
          <c:symbol val="none"/>
        </c:marker>
      </c:pivotFmt>
      <c:pivotFmt>
        <c:idx val="1707"/>
        <c:marker>
          <c:symbol val="none"/>
        </c:marker>
      </c:pivotFmt>
      <c:pivotFmt>
        <c:idx val="1708"/>
        <c:marker>
          <c:symbol val="none"/>
        </c:marker>
      </c:pivotFmt>
      <c:pivotFmt>
        <c:idx val="1709"/>
        <c:marker>
          <c:symbol val="none"/>
        </c:marker>
      </c:pivotFmt>
      <c:pivotFmt>
        <c:idx val="1710"/>
        <c:marker>
          <c:symbol val="none"/>
        </c:marker>
      </c:pivotFmt>
      <c:pivotFmt>
        <c:idx val="1711"/>
        <c:marker>
          <c:symbol val="none"/>
        </c:marker>
      </c:pivotFmt>
      <c:pivotFmt>
        <c:idx val="1712"/>
        <c:marker>
          <c:symbol val="none"/>
        </c:marker>
      </c:pivotFmt>
      <c:pivotFmt>
        <c:idx val="1713"/>
        <c:marker>
          <c:symbol val="none"/>
        </c:marker>
      </c:pivotFmt>
      <c:pivotFmt>
        <c:idx val="1714"/>
        <c:marker>
          <c:symbol val="none"/>
        </c:marker>
      </c:pivotFmt>
      <c:pivotFmt>
        <c:idx val="1715"/>
        <c:marker>
          <c:symbol val="none"/>
        </c:marker>
      </c:pivotFmt>
      <c:pivotFmt>
        <c:idx val="1716"/>
        <c:marker>
          <c:symbol val="none"/>
        </c:marker>
      </c:pivotFmt>
      <c:pivotFmt>
        <c:idx val="1717"/>
        <c:marker>
          <c:symbol val="none"/>
        </c:marker>
      </c:pivotFmt>
      <c:pivotFmt>
        <c:idx val="1718"/>
        <c:marker>
          <c:symbol val="none"/>
        </c:marker>
      </c:pivotFmt>
      <c:pivotFmt>
        <c:idx val="1719"/>
        <c:marker>
          <c:symbol val="none"/>
        </c:marker>
      </c:pivotFmt>
      <c:pivotFmt>
        <c:idx val="1720"/>
        <c:marker>
          <c:symbol val="none"/>
        </c:marker>
      </c:pivotFmt>
      <c:pivotFmt>
        <c:idx val="1721"/>
        <c:marker>
          <c:symbol val="none"/>
        </c:marker>
      </c:pivotFmt>
      <c:pivotFmt>
        <c:idx val="1722"/>
        <c:marker>
          <c:symbol val="none"/>
        </c:marker>
      </c:pivotFmt>
      <c:pivotFmt>
        <c:idx val="1723"/>
        <c:marker>
          <c:symbol val="none"/>
        </c:marker>
      </c:pivotFmt>
      <c:pivotFmt>
        <c:idx val="1724"/>
        <c:marker>
          <c:symbol val="none"/>
        </c:marker>
      </c:pivotFmt>
      <c:pivotFmt>
        <c:idx val="1725"/>
        <c:marker>
          <c:symbol val="none"/>
        </c:marker>
      </c:pivotFmt>
      <c:pivotFmt>
        <c:idx val="1726"/>
        <c:marker>
          <c:symbol val="none"/>
        </c:marker>
      </c:pivotFmt>
      <c:pivotFmt>
        <c:idx val="1727"/>
        <c:marker>
          <c:symbol val="none"/>
        </c:marker>
      </c:pivotFmt>
      <c:pivotFmt>
        <c:idx val="1728"/>
        <c:marker>
          <c:symbol val="none"/>
        </c:marker>
      </c:pivotFmt>
      <c:pivotFmt>
        <c:idx val="1729"/>
        <c:marker>
          <c:symbol val="none"/>
        </c:marker>
      </c:pivotFmt>
      <c:pivotFmt>
        <c:idx val="1730"/>
        <c:marker>
          <c:symbol val="none"/>
        </c:marker>
      </c:pivotFmt>
      <c:pivotFmt>
        <c:idx val="1731"/>
        <c:marker>
          <c:symbol val="none"/>
        </c:marker>
      </c:pivotFmt>
      <c:pivotFmt>
        <c:idx val="1732"/>
        <c:marker>
          <c:symbol val="none"/>
        </c:marker>
      </c:pivotFmt>
      <c:pivotFmt>
        <c:idx val="1733"/>
        <c:marker>
          <c:symbol val="none"/>
        </c:marker>
      </c:pivotFmt>
      <c:pivotFmt>
        <c:idx val="1734"/>
        <c:marker>
          <c:symbol val="none"/>
        </c:marker>
      </c:pivotFmt>
      <c:pivotFmt>
        <c:idx val="1735"/>
        <c:marker>
          <c:symbol val="none"/>
        </c:marker>
      </c:pivotFmt>
      <c:pivotFmt>
        <c:idx val="1736"/>
        <c:marker>
          <c:symbol val="none"/>
        </c:marker>
      </c:pivotFmt>
      <c:pivotFmt>
        <c:idx val="1737"/>
        <c:marker>
          <c:symbol val="none"/>
        </c:marker>
      </c:pivotFmt>
      <c:pivotFmt>
        <c:idx val="1738"/>
        <c:marker>
          <c:symbol val="none"/>
        </c:marker>
      </c:pivotFmt>
      <c:pivotFmt>
        <c:idx val="1739"/>
        <c:marker>
          <c:symbol val="none"/>
        </c:marker>
      </c:pivotFmt>
      <c:pivotFmt>
        <c:idx val="1740"/>
        <c:marker>
          <c:symbol val="none"/>
        </c:marker>
      </c:pivotFmt>
      <c:pivotFmt>
        <c:idx val="1741"/>
        <c:marker>
          <c:symbol val="none"/>
        </c:marker>
      </c:pivotFmt>
      <c:pivotFmt>
        <c:idx val="1742"/>
        <c:marker>
          <c:symbol val="none"/>
        </c:marker>
      </c:pivotFmt>
      <c:pivotFmt>
        <c:idx val="1743"/>
        <c:marker>
          <c:symbol val="none"/>
        </c:marker>
      </c:pivotFmt>
      <c:pivotFmt>
        <c:idx val="1744"/>
        <c:marker>
          <c:symbol val="none"/>
        </c:marker>
      </c:pivotFmt>
      <c:pivotFmt>
        <c:idx val="1745"/>
        <c:marker>
          <c:symbol val="none"/>
        </c:marker>
      </c:pivotFmt>
      <c:pivotFmt>
        <c:idx val="1746"/>
        <c:marker>
          <c:symbol val="none"/>
        </c:marker>
      </c:pivotFmt>
      <c:pivotFmt>
        <c:idx val="1747"/>
        <c:marker>
          <c:symbol val="none"/>
        </c:marker>
      </c:pivotFmt>
      <c:pivotFmt>
        <c:idx val="1748"/>
        <c:marker>
          <c:symbol val="none"/>
        </c:marker>
      </c:pivotFmt>
      <c:pivotFmt>
        <c:idx val="1749"/>
        <c:marker>
          <c:symbol val="none"/>
        </c:marker>
      </c:pivotFmt>
      <c:pivotFmt>
        <c:idx val="1750"/>
        <c:marker>
          <c:symbol val="none"/>
        </c:marker>
      </c:pivotFmt>
      <c:pivotFmt>
        <c:idx val="1751"/>
        <c:marker>
          <c:symbol val="none"/>
        </c:marker>
      </c:pivotFmt>
      <c:pivotFmt>
        <c:idx val="1752"/>
        <c:marker>
          <c:symbol val="none"/>
        </c:marker>
      </c:pivotFmt>
      <c:pivotFmt>
        <c:idx val="1753"/>
        <c:marker>
          <c:symbol val="none"/>
        </c:marker>
      </c:pivotFmt>
      <c:pivotFmt>
        <c:idx val="1754"/>
        <c:marker>
          <c:symbol val="none"/>
        </c:marker>
      </c:pivotFmt>
      <c:pivotFmt>
        <c:idx val="1755"/>
        <c:marker>
          <c:symbol val="none"/>
        </c:marker>
      </c:pivotFmt>
      <c:pivotFmt>
        <c:idx val="1756"/>
        <c:marker>
          <c:symbol val="none"/>
        </c:marker>
      </c:pivotFmt>
      <c:pivotFmt>
        <c:idx val="1757"/>
        <c:marker>
          <c:symbol val="none"/>
        </c:marker>
      </c:pivotFmt>
      <c:pivotFmt>
        <c:idx val="1758"/>
        <c:marker>
          <c:symbol val="none"/>
        </c:marker>
      </c:pivotFmt>
      <c:pivotFmt>
        <c:idx val="1759"/>
        <c:marker>
          <c:symbol val="none"/>
        </c:marker>
      </c:pivotFmt>
      <c:pivotFmt>
        <c:idx val="1760"/>
        <c:marker>
          <c:symbol val="none"/>
        </c:marker>
      </c:pivotFmt>
      <c:pivotFmt>
        <c:idx val="1761"/>
        <c:marker>
          <c:symbol val="none"/>
        </c:marker>
      </c:pivotFmt>
      <c:pivotFmt>
        <c:idx val="1762"/>
        <c:marker>
          <c:symbol val="none"/>
        </c:marker>
      </c:pivotFmt>
      <c:pivotFmt>
        <c:idx val="1763"/>
        <c:marker>
          <c:symbol val="none"/>
        </c:marker>
      </c:pivotFmt>
      <c:pivotFmt>
        <c:idx val="1764"/>
        <c:marker>
          <c:symbol val="none"/>
        </c:marker>
      </c:pivotFmt>
      <c:pivotFmt>
        <c:idx val="1765"/>
        <c:marker>
          <c:symbol val="none"/>
        </c:marker>
      </c:pivotFmt>
      <c:pivotFmt>
        <c:idx val="1766"/>
        <c:marker>
          <c:symbol val="none"/>
        </c:marker>
      </c:pivotFmt>
      <c:pivotFmt>
        <c:idx val="1767"/>
        <c:marker>
          <c:symbol val="none"/>
        </c:marker>
      </c:pivotFmt>
      <c:pivotFmt>
        <c:idx val="1768"/>
        <c:marker>
          <c:symbol val="none"/>
        </c:marker>
      </c:pivotFmt>
      <c:pivotFmt>
        <c:idx val="1769"/>
        <c:marker>
          <c:symbol val="none"/>
        </c:marker>
      </c:pivotFmt>
      <c:pivotFmt>
        <c:idx val="1770"/>
        <c:marker>
          <c:symbol val="none"/>
        </c:marker>
      </c:pivotFmt>
      <c:pivotFmt>
        <c:idx val="1771"/>
        <c:marker>
          <c:symbol val="none"/>
        </c:marker>
      </c:pivotFmt>
      <c:pivotFmt>
        <c:idx val="1772"/>
        <c:marker>
          <c:symbol val="none"/>
        </c:marker>
      </c:pivotFmt>
      <c:pivotFmt>
        <c:idx val="1773"/>
        <c:marker>
          <c:symbol val="none"/>
        </c:marker>
      </c:pivotFmt>
      <c:pivotFmt>
        <c:idx val="1774"/>
        <c:marker>
          <c:symbol val="none"/>
        </c:marker>
      </c:pivotFmt>
      <c:pivotFmt>
        <c:idx val="1775"/>
        <c:marker>
          <c:symbol val="none"/>
        </c:marker>
      </c:pivotFmt>
      <c:pivotFmt>
        <c:idx val="1776"/>
        <c:marker>
          <c:symbol val="none"/>
        </c:marker>
      </c:pivotFmt>
      <c:pivotFmt>
        <c:idx val="1777"/>
        <c:marker>
          <c:symbol val="none"/>
        </c:marker>
      </c:pivotFmt>
      <c:pivotFmt>
        <c:idx val="1778"/>
        <c:marker>
          <c:symbol val="none"/>
        </c:marker>
      </c:pivotFmt>
      <c:pivotFmt>
        <c:idx val="1779"/>
        <c:marker>
          <c:symbol val="none"/>
        </c:marker>
      </c:pivotFmt>
      <c:pivotFmt>
        <c:idx val="1780"/>
        <c:marker>
          <c:symbol val="none"/>
        </c:marker>
      </c:pivotFmt>
      <c:pivotFmt>
        <c:idx val="1781"/>
        <c:marker>
          <c:symbol val="none"/>
        </c:marker>
      </c:pivotFmt>
      <c:pivotFmt>
        <c:idx val="1782"/>
        <c:marker>
          <c:symbol val="none"/>
        </c:marker>
      </c:pivotFmt>
      <c:pivotFmt>
        <c:idx val="1783"/>
        <c:marker>
          <c:symbol val="none"/>
        </c:marker>
      </c:pivotFmt>
      <c:pivotFmt>
        <c:idx val="1784"/>
        <c:marker>
          <c:symbol val="none"/>
        </c:marker>
      </c:pivotFmt>
      <c:pivotFmt>
        <c:idx val="1785"/>
        <c:marker>
          <c:symbol val="none"/>
        </c:marker>
      </c:pivotFmt>
      <c:pivotFmt>
        <c:idx val="1786"/>
        <c:marker>
          <c:symbol val="none"/>
        </c:marker>
      </c:pivotFmt>
      <c:pivotFmt>
        <c:idx val="1787"/>
        <c:marker>
          <c:symbol val="none"/>
        </c:marker>
      </c:pivotFmt>
      <c:pivotFmt>
        <c:idx val="1788"/>
        <c:marker>
          <c:symbol val="none"/>
        </c:marker>
      </c:pivotFmt>
      <c:pivotFmt>
        <c:idx val="1789"/>
        <c:marker>
          <c:symbol val="none"/>
        </c:marker>
      </c:pivotFmt>
      <c:pivotFmt>
        <c:idx val="1790"/>
        <c:marker>
          <c:symbol val="none"/>
        </c:marker>
      </c:pivotFmt>
      <c:pivotFmt>
        <c:idx val="1791"/>
        <c:marker>
          <c:symbol val="none"/>
        </c:marker>
      </c:pivotFmt>
      <c:pivotFmt>
        <c:idx val="1792"/>
        <c:marker>
          <c:symbol val="none"/>
        </c:marker>
      </c:pivotFmt>
      <c:pivotFmt>
        <c:idx val="1793"/>
        <c:marker>
          <c:symbol val="none"/>
        </c:marker>
      </c:pivotFmt>
      <c:pivotFmt>
        <c:idx val="1794"/>
        <c:marker>
          <c:symbol val="none"/>
        </c:marker>
      </c:pivotFmt>
      <c:pivotFmt>
        <c:idx val="1795"/>
        <c:marker>
          <c:symbol val="none"/>
        </c:marker>
      </c:pivotFmt>
      <c:pivotFmt>
        <c:idx val="1796"/>
        <c:marker>
          <c:symbol val="none"/>
        </c:marker>
      </c:pivotFmt>
      <c:pivotFmt>
        <c:idx val="1797"/>
        <c:marker>
          <c:symbol val="none"/>
        </c:marker>
      </c:pivotFmt>
      <c:pivotFmt>
        <c:idx val="1798"/>
        <c:marker>
          <c:symbol val="none"/>
        </c:marker>
      </c:pivotFmt>
      <c:pivotFmt>
        <c:idx val="1799"/>
        <c:marker>
          <c:symbol val="none"/>
        </c:marker>
      </c:pivotFmt>
      <c:pivotFmt>
        <c:idx val="1800"/>
        <c:marker>
          <c:symbol val="none"/>
        </c:marker>
      </c:pivotFmt>
      <c:pivotFmt>
        <c:idx val="1801"/>
        <c:marker>
          <c:symbol val="none"/>
        </c:marker>
      </c:pivotFmt>
      <c:pivotFmt>
        <c:idx val="1802"/>
        <c:marker>
          <c:symbol val="none"/>
        </c:marker>
      </c:pivotFmt>
      <c:pivotFmt>
        <c:idx val="1803"/>
        <c:marker>
          <c:symbol val="none"/>
        </c:marker>
      </c:pivotFmt>
      <c:pivotFmt>
        <c:idx val="1804"/>
        <c:marker>
          <c:symbol val="none"/>
        </c:marker>
      </c:pivotFmt>
      <c:pivotFmt>
        <c:idx val="1805"/>
        <c:marker>
          <c:symbol val="none"/>
        </c:marker>
      </c:pivotFmt>
      <c:pivotFmt>
        <c:idx val="1806"/>
        <c:marker>
          <c:symbol val="none"/>
        </c:marker>
      </c:pivotFmt>
      <c:pivotFmt>
        <c:idx val="1807"/>
        <c:marker>
          <c:symbol val="none"/>
        </c:marker>
      </c:pivotFmt>
      <c:pivotFmt>
        <c:idx val="1808"/>
        <c:marker>
          <c:symbol val="none"/>
        </c:marker>
      </c:pivotFmt>
      <c:pivotFmt>
        <c:idx val="1809"/>
        <c:marker>
          <c:symbol val="none"/>
        </c:marker>
      </c:pivotFmt>
      <c:pivotFmt>
        <c:idx val="1810"/>
        <c:marker>
          <c:symbol val="none"/>
        </c:marker>
      </c:pivotFmt>
      <c:pivotFmt>
        <c:idx val="1811"/>
        <c:marker>
          <c:symbol val="none"/>
        </c:marker>
      </c:pivotFmt>
      <c:pivotFmt>
        <c:idx val="1812"/>
        <c:marker>
          <c:symbol val="none"/>
        </c:marker>
      </c:pivotFmt>
      <c:pivotFmt>
        <c:idx val="1813"/>
        <c:marker>
          <c:symbol val="none"/>
        </c:marker>
      </c:pivotFmt>
      <c:pivotFmt>
        <c:idx val="1814"/>
        <c:marker>
          <c:symbol val="none"/>
        </c:marker>
      </c:pivotFmt>
      <c:pivotFmt>
        <c:idx val="1815"/>
        <c:marker>
          <c:symbol val="none"/>
        </c:marker>
      </c:pivotFmt>
      <c:pivotFmt>
        <c:idx val="1816"/>
        <c:marker>
          <c:symbol val="none"/>
        </c:marker>
      </c:pivotFmt>
      <c:pivotFmt>
        <c:idx val="1817"/>
        <c:marker>
          <c:symbol val="none"/>
        </c:marker>
      </c:pivotFmt>
      <c:pivotFmt>
        <c:idx val="1818"/>
        <c:marker>
          <c:symbol val="none"/>
        </c:marker>
      </c:pivotFmt>
      <c:pivotFmt>
        <c:idx val="1819"/>
        <c:marker>
          <c:symbol val="none"/>
        </c:marker>
      </c:pivotFmt>
      <c:pivotFmt>
        <c:idx val="1820"/>
        <c:marker>
          <c:symbol val="none"/>
        </c:marker>
      </c:pivotFmt>
      <c:pivotFmt>
        <c:idx val="1821"/>
        <c:marker>
          <c:symbol val="none"/>
        </c:marker>
      </c:pivotFmt>
      <c:pivotFmt>
        <c:idx val="1822"/>
        <c:marker>
          <c:symbol val="none"/>
        </c:marker>
      </c:pivotFmt>
      <c:pivotFmt>
        <c:idx val="1823"/>
        <c:marker>
          <c:symbol val="none"/>
        </c:marker>
      </c:pivotFmt>
      <c:pivotFmt>
        <c:idx val="1824"/>
        <c:marker>
          <c:symbol val="none"/>
        </c:marker>
      </c:pivotFmt>
      <c:pivotFmt>
        <c:idx val="1825"/>
        <c:marker>
          <c:symbol val="none"/>
        </c:marker>
      </c:pivotFmt>
      <c:pivotFmt>
        <c:idx val="1826"/>
        <c:marker>
          <c:symbol val="none"/>
        </c:marker>
      </c:pivotFmt>
      <c:pivotFmt>
        <c:idx val="1827"/>
        <c:marker>
          <c:symbol val="none"/>
        </c:marker>
      </c:pivotFmt>
      <c:pivotFmt>
        <c:idx val="1828"/>
        <c:marker>
          <c:symbol val="none"/>
        </c:marker>
      </c:pivotFmt>
      <c:pivotFmt>
        <c:idx val="1829"/>
        <c:marker>
          <c:symbol val="none"/>
        </c:marker>
      </c:pivotFmt>
      <c:pivotFmt>
        <c:idx val="1830"/>
        <c:marker>
          <c:symbol val="none"/>
        </c:marker>
      </c:pivotFmt>
      <c:pivotFmt>
        <c:idx val="1831"/>
        <c:marker>
          <c:symbol val="none"/>
        </c:marker>
      </c:pivotFmt>
      <c:pivotFmt>
        <c:idx val="1832"/>
        <c:marker>
          <c:symbol val="none"/>
        </c:marker>
      </c:pivotFmt>
      <c:pivotFmt>
        <c:idx val="1833"/>
        <c:marker>
          <c:symbol val="none"/>
        </c:marker>
      </c:pivotFmt>
      <c:pivotFmt>
        <c:idx val="1834"/>
        <c:marker>
          <c:symbol val="none"/>
        </c:marker>
      </c:pivotFmt>
      <c:pivotFmt>
        <c:idx val="1835"/>
        <c:marker>
          <c:symbol val="none"/>
        </c:marker>
      </c:pivotFmt>
      <c:pivotFmt>
        <c:idx val="1836"/>
        <c:marker>
          <c:symbol val="none"/>
        </c:marker>
      </c:pivotFmt>
      <c:pivotFmt>
        <c:idx val="1837"/>
        <c:marker>
          <c:symbol val="none"/>
        </c:marker>
      </c:pivotFmt>
      <c:pivotFmt>
        <c:idx val="1838"/>
        <c:marker>
          <c:symbol val="none"/>
        </c:marker>
      </c:pivotFmt>
      <c:pivotFmt>
        <c:idx val="1839"/>
        <c:marker>
          <c:symbol val="none"/>
        </c:marker>
      </c:pivotFmt>
      <c:pivotFmt>
        <c:idx val="1840"/>
        <c:marker>
          <c:symbol val="none"/>
        </c:marker>
      </c:pivotFmt>
      <c:pivotFmt>
        <c:idx val="1841"/>
        <c:marker>
          <c:symbol val="none"/>
        </c:marker>
      </c:pivotFmt>
      <c:pivotFmt>
        <c:idx val="1842"/>
        <c:marker>
          <c:symbol val="none"/>
        </c:marker>
      </c:pivotFmt>
      <c:pivotFmt>
        <c:idx val="1843"/>
        <c:marker>
          <c:symbol val="none"/>
        </c:marker>
      </c:pivotFmt>
      <c:pivotFmt>
        <c:idx val="1844"/>
        <c:marker>
          <c:symbol val="none"/>
        </c:marker>
      </c:pivotFmt>
      <c:pivotFmt>
        <c:idx val="1845"/>
        <c:marker>
          <c:symbol val="none"/>
        </c:marker>
      </c:pivotFmt>
      <c:pivotFmt>
        <c:idx val="1846"/>
        <c:marker>
          <c:symbol val="none"/>
        </c:marker>
      </c:pivotFmt>
      <c:pivotFmt>
        <c:idx val="1847"/>
        <c:marker>
          <c:symbol val="none"/>
        </c:marker>
      </c:pivotFmt>
      <c:pivotFmt>
        <c:idx val="1848"/>
        <c:marker>
          <c:symbol val="none"/>
        </c:marker>
      </c:pivotFmt>
      <c:pivotFmt>
        <c:idx val="1849"/>
        <c:marker>
          <c:symbol val="none"/>
        </c:marker>
      </c:pivotFmt>
      <c:pivotFmt>
        <c:idx val="1850"/>
        <c:marker>
          <c:symbol val="none"/>
        </c:marker>
      </c:pivotFmt>
      <c:pivotFmt>
        <c:idx val="1851"/>
        <c:marker>
          <c:symbol val="none"/>
        </c:marker>
      </c:pivotFmt>
      <c:pivotFmt>
        <c:idx val="1852"/>
        <c:marker>
          <c:symbol val="none"/>
        </c:marker>
      </c:pivotFmt>
      <c:pivotFmt>
        <c:idx val="1853"/>
        <c:marker>
          <c:symbol val="none"/>
        </c:marker>
      </c:pivotFmt>
      <c:pivotFmt>
        <c:idx val="1854"/>
        <c:marker>
          <c:symbol val="none"/>
        </c:marker>
      </c:pivotFmt>
      <c:pivotFmt>
        <c:idx val="1855"/>
        <c:marker>
          <c:symbol val="none"/>
        </c:marker>
      </c:pivotFmt>
      <c:pivotFmt>
        <c:idx val="1856"/>
        <c:marker>
          <c:symbol val="none"/>
        </c:marker>
      </c:pivotFmt>
      <c:pivotFmt>
        <c:idx val="1857"/>
        <c:marker>
          <c:symbol val="none"/>
        </c:marker>
      </c:pivotFmt>
      <c:pivotFmt>
        <c:idx val="1858"/>
        <c:marker>
          <c:symbol val="none"/>
        </c:marker>
      </c:pivotFmt>
      <c:pivotFmt>
        <c:idx val="1859"/>
        <c:marker>
          <c:symbol val="none"/>
        </c:marker>
      </c:pivotFmt>
      <c:pivotFmt>
        <c:idx val="1860"/>
        <c:marker>
          <c:symbol val="none"/>
        </c:marker>
      </c:pivotFmt>
      <c:pivotFmt>
        <c:idx val="1861"/>
        <c:marker>
          <c:symbol val="none"/>
        </c:marker>
      </c:pivotFmt>
      <c:pivotFmt>
        <c:idx val="1862"/>
        <c:marker>
          <c:symbol val="none"/>
        </c:marker>
      </c:pivotFmt>
      <c:pivotFmt>
        <c:idx val="1863"/>
        <c:marker>
          <c:symbol val="none"/>
        </c:marker>
      </c:pivotFmt>
      <c:pivotFmt>
        <c:idx val="1864"/>
        <c:marker>
          <c:symbol val="none"/>
        </c:marker>
      </c:pivotFmt>
      <c:pivotFmt>
        <c:idx val="1865"/>
        <c:marker>
          <c:symbol val="none"/>
        </c:marker>
      </c:pivotFmt>
      <c:pivotFmt>
        <c:idx val="1866"/>
        <c:marker>
          <c:symbol val="none"/>
        </c:marker>
      </c:pivotFmt>
      <c:pivotFmt>
        <c:idx val="1867"/>
        <c:marker>
          <c:symbol val="none"/>
        </c:marker>
      </c:pivotFmt>
      <c:pivotFmt>
        <c:idx val="1868"/>
        <c:marker>
          <c:symbol val="none"/>
        </c:marker>
      </c:pivotFmt>
      <c:pivotFmt>
        <c:idx val="1869"/>
        <c:marker>
          <c:symbol val="none"/>
        </c:marker>
      </c:pivotFmt>
      <c:pivotFmt>
        <c:idx val="1870"/>
        <c:marker>
          <c:symbol val="none"/>
        </c:marker>
      </c:pivotFmt>
      <c:pivotFmt>
        <c:idx val="1871"/>
        <c:marker>
          <c:symbol val="none"/>
        </c:marker>
      </c:pivotFmt>
      <c:pivotFmt>
        <c:idx val="1872"/>
        <c:marker>
          <c:symbol val="none"/>
        </c:marker>
      </c:pivotFmt>
      <c:pivotFmt>
        <c:idx val="1873"/>
        <c:marker>
          <c:symbol val="none"/>
        </c:marker>
      </c:pivotFmt>
      <c:pivotFmt>
        <c:idx val="1874"/>
        <c:marker>
          <c:symbol val="none"/>
        </c:marker>
      </c:pivotFmt>
      <c:pivotFmt>
        <c:idx val="1875"/>
        <c:marker>
          <c:symbol val="none"/>
        </c:marker>
      </c:pivotFmt>
      <c:pivotFmt>
        <c:idx val="1876"/>
        <c:marker>
          <c:symbol val="none"/>
        </c:marker>
      </c:pivotFmt>
      <c:pivotFmt>
        <c:idx val="1877"/>
        <c:marker>
          <c:symbol val="none"/>
        </c:marker>
      </c:pivotFmt>
      <c:pivotFmt>
        <c:idx val="1878"/>
        <c:marker>
          <c:symbol val="none"/>
        </c:marker>
      </c:pivotFmt>
      <c:pivotFmt>
        <c:idx val="1879"/>
        <c:marker>
          <c:symbol val="none"/>
        </c:marker>
      </c:pivotFmt>
      <c:pivotFmt>
        <c:idx val="1880"/>
        <c:marker>
          <c:symbol val="none"/>
        </c:marker>
      </c:pivotFmt>
      <c:pivotFmt>
        <c:idx val="1881"/>
        <c:marker>
          <c:symbol val="none"/>
        </c:marker>
      </c:pivotFmt>
      <c:pivotFmt>
        <c:idx val="1882"/>
        <c:marker>
          <c:symbol val="none"/>
        </c:marker>
      </c:pivotFmt>
      <c:pivotFmt>
        <c:idx val="1883"/>
        <c:marker>
          <c:symbol val="none"/>
        </c:marker>
      </c:pivotFmt>
      <c:pivotFmt>
        <c:idx val="1884"/>
        <c:marker>
          <c:symbol val="none"/>
        </c:marker>
      </c:pivotFmt>
      <c:pivotFmt>
        <c:idx val="1885"/>
        <c:marker>
          <c:symbol val="none"/>
        </c:marker>
      </c:pivotFmt>
      <c:pivotFmt>
        <c:idx val="1886"/>
        <c:marker>
          <c:symbol val="none"/>
        </c:marker>
      </c:pivotFmt>
      <c:pivotFmt>
        <c:idx val="1887"/>
        <c:marker>
          <c:symbol val="none"/>
        </c:marker>
      </c:pivotFmt>
      <c:pivotFmt>
        <c:idx val="1888"/>
        <c:marker>
          <c:symbol val="none"/>
        </c:marker>
      </c:pivotFmt>
      <c:pivotFmt>
        <c:idx val="1889"/>
        <c:marker>
          <c:symbol val="none"/>
        </c:marker>
      </c:pivotFmt>
      <c:pivotFmt>
        <c:idx val="1890"/>
        <c:marker>
          <c:symbol val="none"/>
        </c:marker>
      </c:pivotFmt>
      <c:pivotFmt>
        <c:idx val="1891"/>
        <c:marker>
          <c:symbol val="none"/>
        </c:marker>
      </c:pivotFmt>
      <c:pivotFmt>
        <c:idx val="1892"/>
        <c:marker>
          <c:symbol val="none"/>
        </c:marker>
      </c:pivotFmt>
      <c:pivotFmt>
        <c:idx val="1893"/>
        <c:marker>
          <c:symbol val="none"/>
        </c:marker>
      </c:pivotFmt>
      <c:pivotFmt>
        <c:idx val="1894"/>
        <c:marker>
          <c:symbol val="none"/>
        </c:marker>
      </c:pivotFmt>
      <c:pivotFmt>
        <c:idx val="1895"/>
        <c:marker>
          <c:symbol val="none"/>
        </c:marker>
      </c:pivotFmt>
      <c:pivotFmt>
        <c:idx val="1896"/>
        <c:marker>
          <c:symbol val="none"/>
        </c:marker>
      </c:pivotFmt>
      <c:pivotFmt>
        <c:idx val="1897"/>
        <c:marker>
          <c:symbol val="none"/>
        </c:marker>
      </c:pivotFmt>
      <c:pivotFmt>
        <c:idx val="1898"/>
        <c:marker>
          <c:symbol val="none"/>
        </c:marker>
      </c:pivotFmt>
      <c:pivotFmt>
        <c:idx val="1899"/>
        <c:marker>
          <c:symbol val="none"/>
        </c:marker>
      </c:pivotFmt>
      <c:pivotFmt>
        <c:idx val="1900"/>
        <c:marker>
          <c:symbol val="none"/>
        </c:marker>
      </c:pivotFmt>
      <c:pivotFmt>
        <c:idx val="1901"/>
        <c:marker>
          <c:symbol val="none"/>
        </c:marker>
      </c:pivotFmt>
      <c:pivotFmt>
        <c:idx val="1902"/>
        <c:marker>
          <c:symbol val="none"/>
        </c:marker>
      </c:pivotFmt>
      <c:pivotFmt>
        <c:idx val="1903"/>
        <c:marker>
          <c:symbol val="none"/>
        </c:marker>
      </c:pivotFmt>
      <c:pivotFmt>
        <c:idx val="1904"/>
        <c:marker>
          <c:symbol val="none"/>
        </c:marker>
      </c:pivotFmt>
      <c:pivotFmt>
        <c:idx val="1905"/>
        <c:marker>
          <c:symbol val="none"/>
        </c:marker>
      </c:pivotFmt>
      <c:pivotFmt>
        <c:idx val="1906"/>
        <c:marker>
          <c:symbol val="none"/>
        </c:marker>
      </c:pivotFmt>
      <c:pivotFmt>
        <c:idx val="1907"/>
        <c:marker>
          <c:symbol val="none"/>
        </c:marker>
      </c:pivotFmt>
      <c:pivotFmt>
        <c:idx val="1908"/>
        <c:marker>
          <c:symbol val="none"/>
        </c:marker>
      </c:pivotFmt>
      <c:pivotFmt>
        <c:idx val="1909"/>
        <c:marker>
          <c:symbol val="none"/>
        </c:marker>
      </c:pivotFmt>
      <c:pivotFmt>
        <c:idx val="1910"/>
        <c:marker>
          <c:symbol val="none"/>
        </c:marker>
      </c:pivotFmt>
      <c:pivotFmt>
        <c:idx val="1911"/>
        <c:marker>
          <c:symbol val="none"/>
        </c:marker>
      </c:pivotFmt>
      <c:pivotFmt>
        <c:idx val="1912"/>
        <c:marker>
          <c:symbol val="none"/>
        </c:marker>
      </c:pivotFmt>
      <c:pivotFmt>
        <c:idx val="1913"/>
        <c:marker>
          <c:symbol val="none"/>
        </c:marker>
      </c:pivotFmt>
      <c:pivotFmt>
        <c:idx val="1914"/>
        <c:marker>
          <c:symbol val="none"/>
        </c:marker>
      </c:pivotFmt>
      <c:pivotFmt>
        <c:idx val="1915"/>
        <c:marker>
          <c:symbol val="none"/>
        </c:marker>
      </c:pivotFmt>
      <c:pivotFmt>
        <c:idx val="1916"/>
        <c:marker>
          <c:symbol val="none"/>
        </c:marker>
      </c:pivotFmt>
      <c:pivotFmt>
        <c:idx val="1917"/>
        <c:marker>
          <c:symbol val="none"/>
        </c:marker>
      </c:pivotFmt>
      <c:pivotFmt>
        <c:idx val="1918"/>
        <c:marker>
          <c:symbol val="none"/>
        </c:marker>
      </c:pivotFmt>
      <c:pivotFmt>
        <c:idx val="1919"/>
        <c:marker>
          <c:symbol val="none"/>
        </c:marker>
      </c:pivotFmt>
      <c:pivotFmt>
        <c:idx val="1920"/>
        <c:marker>
          <c:symbol val="none"/>
        </c:marker>
      </c:pivotFmt>
      <c:pivotFmt>
        <c:idx val="1921"/>
        <c:marker>
          <c:symbol val="none"/>
        </c:marker>
      </c:pivotFmt>
      <c:pivotFmt>
        <c:idx val="1922"/>
        <c:marker>
          <c:symbol val="none"/>
        </c:marker>
      </c:pivotFmt>
      <c:pivotFmt>
        <c:idx val="1923"/>
        <c:marker>
          <c:symbol val="none"/>
        </c:marker>
      </c:pivotFmt>
      <c:pivotFmt>
        <c:idx val="1924"/>
        <c:marker>
          <c:symbol val="none"/>
        </c:marker>
      </c:pivotFmt>
      <c:pivotFmt>
        <c:idx val="1925"/>
        <c:marker>
          <c:symbol val="none"/>
        </c:marker>
      </c:pivotFmt>
      <c:pivotFmt>
        <c:idx val="1926"/>
        <c:marker>
          <c:symbol val="none"/>
        </c:marker>
      </c:pivotFmt>
      <c:pivotFmt>
        <c:idx val="1927"/>
        <c:marker>
          <c:symbol val="none"/>
        </c:marker>
      </c:pivotFmt>
      <c:pivotFmt>
        <c:idx val="1928"/>
        <c:marker>
          <c:symbol val="none"/>
        </c:marker>
      </c:pivotFmt>
      <c:pivotFmt>
        <c:idx val="1929"/>
        <c:marker>
          <c:symbol val="none"/>
        </c:marker>
      </c:pivotFmt>
      <c:pivotFmt>
        <c:idx val="1930"/>
        <c:marker>
          <c:symbol val="none"/>
        </c:marker>
      </c:pivotFmt>
      <c:pivotFmt>
        <c:idx val="1931"/>
        <c:marker>
          <c:symbol val="none"/>
        </c:marker>
      </c:pivotFmt>
      <c:pivotFmt>
        <c:idx val="1932"/>
        <c:marker>
          <c:symbol val="none"/>
        </c:marker>
      </c:pivotFmt>
      <c:pivotFmt>
        <c:idx val="1933"/>
        <c:marker>
          <c:symbol val="none"/>
        </c:marker>
      </c:pivotFmt>
      <c:pivotFmt>
        <c:idx val="1934"/>
        <c:marker>
          <c:symbol val="none"/>
        </c:marker>
      </c:pivotFmt>
      <c:pivotFmt>
        <c:idx val="1935"/>
        <c:marker>
          <c:symbol val="none"/>
        </c:marker>
      </c:pivotFmt>
      <c:pivotFmt>
        <c:idx val="1936"/>
        <c:marker>
          <c:symbol val="none"/>
        </c:marker>
      </c:pivotFmt>
      <c:pivotFmt>
        <c:idx val="1937"/>
        <c:marker>
          <c:symbol val="none"/>
        </c:marker>
      </c:pivotFmt>
      <c:pivotFmt>
        <c:idx val="1938"/>
        <c:marker>
          <c:symbol val="none"/>
        </c:marker>
      </c:pivotFmt>
      <c:pivotFmt>
        <c:idx val="1939"/>
        <c:marker>
          <c:symbol val="none"/>
        </c:marker>
      </c:pivotFmt>
      <c:pivotFmt>
        <c:idx val="1940"/>
        <c:marker>
          <c:symbol val="none"/>
        </c:marker>
      </c:pivotFmt>
      <c:pivotFmt>
        <c:idx val="1941"/>
        <c:marker>
          <c:symbol val="none"/>
        </c:marker>
      </c:pivotFmt>
      <c:pivotFmt>
        <c:idx val="1942"/>
        <c:marker>
          <c:symbol val="none"/>
        </c:marker>
      </c:pivotFmt>
      <c:pivotFmt>
        <c:idx val="1943"/>
        <c:marker>
          <c:symbol val="none"/>
        </c:marker>
      </c:pivotFmt>
      <c:pivotFmt>
        <c:idx val="1944"/>
        <c:marker>
          <c:symbol val="none"/>
        </c:marker>
      </c:pivotFmt>
      <c:pivotFmt>
        <c:idx val="1945"/>
        <c:marker>
          <c:symbol val="none"/>
        </c:marker>
      </c:pivotFmt>
      <c:pivotFmt>
        <c:idx val="1946"/>
        <c:marker>
          <c:symbol val="none"/>
        </c:marker>
      </c:pivotFmt>
      <c:pivotFmt>
        <c:idx val="1947"/>
        <c:marker>
          <c:symbol val="none"/>
        </c:marker>
      </c:pivotFmt>
      <c:pivotFmt>
        <c:idx val="1948"/>
        <c:marker>
          <c:symbol val="none"/>
        </c:marker>
      </c:pivotFmt>
      <c:pivotFmt>
        <c:idx val="1949"/>
        <c:spPr>
          <a:ln w="25400">
            <a:noFill/>
          </a:ln>
        </c:spPr>
        <c:marker>
          <c:symbol val="none"/>
        </c:marker>
      </c:pivotFmt>
      <c:pivotFmt>
        <c:idx val="1950"/>
        <c:marker>
          <c:symbol val="none"/>
        </c:marker>
      </c:pivotFmt>
      <c:pivotFmt>
        <c:idx val="1951"/>
        <c:marker>
          <c:symbol val="none"/>
        </c:marker>
      </c:pivotFmt>
      <c:pivotFmt>
        <c:idx val="1952"/>
        <c:marker>
          <c:symbol val="none"/>
        </c:marker>
      </c:pivotFmt>
      <c:pivotFmt>
        <c:idx val="1953"/>
        <c:marker>
          <c:symbol val="none"/>
        </c:marker>
      </c:pivotFmt>
      <c:pivotFmt>
        <c:idx val="1954"/>
        <c:marker>
          <c:symbol val="none"/>
        </c:marker>
      </c:pivotFmt>
      <c:pivotFmt>
        <c:idx val="1955"/>
        <c:marker>
          <c:symbol val="none"/>
        </c:marker>
      </c:pivotFmt>
      <c:pivotFmt>
        <c:idx val="1956"/>
        <c:marker>
          <c:symbol val="none"/>
        </c:marker>
      </c:pivotFmt>
      <c:pivotFmt>
        <c:idx val="1957"/>
        <c:marker>
          <c:symbol val="none"/>
        </c:marker>
      </c:pivotFmt>
      <c:pivotFmt>
        <c:idx val="1958"/>
        <c:marker>
          <c:symbol val="none"/>
        </c:marker>
      </c:pivotFmt>
      <c:pivotFmt>
        <c:idx val="1959"/>
        <c:marker>
          <c:symbol val="none"/>
        </c:marker>
      </c:pivotFmt>
      <c:pivotFmt>
        <c:idx val="1960"/>
        <c:marker>
          <c:symbol val="none"/>
        </c:marker>
      </c:pivotFmt>
      <c:pivotFmt>
        <c:idx val="1961"/>
        <c:marker>
          <c:symbol val="none"/>
        </c:marker>
      </c:pivotFmt>
      <c:pivotFmt>
        <c:idx val="1962"/>
        <c:marker>
          <c:symbol val="none"/>
        </c:marker>
      </c:pivotFmt>
      <c:pivotFmt>
        <c:idx val="1963"/>
        <c:marker>
          <c:symbol val="none"/>
        </c:marker>
      </c:pivotFmt>
      <c:pivotFmt>
        <c:idx val="1964"/>
        <c:marker>
          <c:symbol val="none"/>
        </c:marker>
      </c:pivotFmt>
      <c:pivotFmt>
        <c:idx val="1965"/>
        <c:marker>
          <c:symbol val="none"/>
        </c:marker>
      </c:pivotFmt>
      <c:pivotFmt>
        <c:idx val="1966"/>
        <c:marker>
          <c:symbol val="none"/>
        </c:marker>
      </c:pivotFmt>
      <c:pivotFmt>
        <c:idx val="1967"/>
        <c:marker>
          <c:symbol val="none"/>
        </c:marker>
      </c:pivotFmt>
      <c:pivotFmt>
        <c:idx val="1968"/>
        <c:marker>
          <c:symbol val="none"/>
        </c:marker>
      </c:pivotFmt>
      <c:pivotFmt>
        <c:idx val="1969"/>
        <c:marker>
          <c:symbol val="none"/>
        </c:marker>
      </c:pivotFmt>
      <c:pivotFmt>
        <c:idx val="1970"/>
        <c:marker>
          <c:symbol val="none"/>
        </c:marker>
      </c:pivotFmt>
      <c:pivotFmt>
        <c:idx val="1971"/>
        <c:marker>
          <c:symbol val="none"/>
        </c:marker>
      </c:pivotFmt>
      <c:pivotFmt>
        <c:idx val="1972"/>
        <c:marker>
          <c:symbol val="none"/>
        </c:marker>
      </c:pivotFmt>
      <c:pivotFmt>
        <c:idx val="1973"/>
        <c:marker>
          <c:symbol val="none"/>
        </c:marker>
      </c:pivotFmt>
      <c:pivotFmt>
        <c:idx val="1974"/>
        <c:marker>
          <c:symbol val="none"/>
        </c:marker>
      </c:pivotFmt>
      <c:pivotFmt>
        <c:idx val="1975"/>
        <c:marker>
          <c:symbol val="none"/>
        </c:marker>
      </c:pivotFmt>
      <c:pivotFmt>
        <c:idx val="1976"/>
        <c:marker>
          <c:symbol val="none"/>
        </c:marker>
      </c:pivotFmt>
      <c:pivotFmt>
        <c:idx val="1977"/>
        <c:marker>
          <c:symbol val="none"/>
        </c:marker>
      </c:pivotFmt>
      <c:pivotFmt>
        <c:idx val="1978"/>
        <c:marker>
          <c:symbol val="none"/>
        </c:marker>
      </c:pivotFmt>
      <c:pivotFmt>
        <c:idx val="1979"/>
        <c:marker>
          <c:symbol val="none"/>
        </c:marker>
      </c:pivotFmt>
      <c:pivotFmt>
        <c:idx val="1980"/>
        <c:marker>
          <c:symbol val="none"/>
        </c:marker>
      </c:pivotFmt>
      <c:pivotFmt>
        <c:idx val="1981"/>
        <c:marker>
          <c:symbol val="none"/>
        </c:marker>
      </c:pivotFmt>
      <c:pivotFmt>
        <c:idx val="1982"/>
        <c:marker>
          <c:symbol val="none"/>
        </c:marker>
      </c:pivotFmt>
      <c:pivotFmt>
        <c:idx val="1983"/>
        <c:marker>
          <c:symbol val="none"/>
        </c:marker>
      </c:pivotFmt>
      <c:pivotFmt>
        <c:idx val="1984"/>
        <c:marker>
          <c:symbol val="none"/>
        </c:marker>
      </c:pivotFmt>
      <c:pivotFmt>
        <c:idx val="1985"/>
        <c:marker>
          <c:symbol val="none"/>
        </c:marker>
      </c:pivotFmt>
      <c:pivotFmt>
        <c:idx val="1986"/>
        <c:marker>
          <c:symbol val="none"/>
        </c:marker>
      </c:pivotFmt>
      <c:pivotFmt>
        <c:idx val="1987"/>
        <c:marker>
          <c:symbol val="none"/>
        </c:marker>
      </c:pivotFmt>
      <c:pivotFmt>
        <c:idx val="1988"/>
        <c:marker>
          <c:symbol val="none"/>
        </c:marker>
      </c:pivotFmt>
      <c:pivotFmt>
        <c:idx val="1989"/>
        <c:marker>
          <c:symbol val="none"/>
        </c:marker>
      </c:pivotFmt>
      <c:pivotFmt>
        <c:idx val="1990"/>
        <c:marker>
          <c:symbol val="none"/>
        </c:marker>
      </c:pivotFmt>
      <c:pivotFmt>
        <c:idx val="1991"/>
        <c:marker>
          <c:symbol val="none"/>
        </c:marker>
      </c:pivotFmt>
      <c:pivotFmt>
        <c:idx val="1992"/>
        <c:marker>
          <c:symbol val="none"/>
        </c:marker>
      </c:pivotFmt>
      <c:pivotFmt>
        <c:idx val="1993"/>
        <c:marker>
          <c:symbol val="none"/>
        </c:marker>
      </c:pivotFmt>
      <c:pivotFmt>
        <c:idx val="1994"/>
        <c:marker>
          <c:symbol val="none"/>
        </c:marker>
      </c:pivotFmt>
      <c:pivotFmt>
        <c:idx val="1995"/>
        <c:marker>
          <c:symbol val="none"/>
        </c:marker>
      </c:pivotFmt>
      <c:pivotFmt>
        <c:idx val="1996"/>
        <c:marker>
          <c:symbol val="none"/>
        </c:marker>
      </c:pivotFmt>
      <c:pivotFmt>
        <c:idx val="1997"/>
        <c:marker>
          <c:symbol val="none"/>
        </c:marker>
      </c:pivotFmt>
      <c:pivotFmt>
        <c:idx val="1998"/>
        <c:marker>
          <c:symbol val="none"/>
        </c:marker>
      </c:pivotFmt>
      <c:pivotFmt>
        <c:idx val="1999"/>
        <c:marker>
          <c:symbol val="none"/>
        </c:marker>
      </c:pivotFmt>
      <c:pivotFmt>
        <c:idx val="2000"/>
        <c:marker>
          <c:symbol val="none"/>
        </c:marker>
      </c:pivotFmt>
      <c:pivotFmt>
        <c:idx val="2001"/>
        <c:marker>
          <c:symbol val="none"/>
        </c:marker>
      </c:pivotFmt>
      <c:pivotFmt>
        <c:idx val="2002"/>
        <c:marker>
          <c:symbol val="none"/>
        </c:marker>
      </c:pivotFmt>
      <c:pivotFmt>
        <c:idx val="2003"/>
        <c:marker>
          <c:symbol val="none"/>
        </c:marker>
      </c:pivotFmt>
      <c:pivotFmt>
        <c:idx val="2004"/>
        <c:marker>
          <c:symbol val="none"/>
        </c:marker>
      </c:pivotFmt>
      <c:pivotFmt>
        <c:idx val="2005"/>
        <c:marker>
          <c:symbol val="none"/>
        </c:marker>
      </c:pivotFmt>
      <c:pivotFmt>
        <c:idx val="2006"/>
        <c:marker>
          <c:symbol val="none"/>
        </c:marker>
      </c:pivotFmt>
      <c:pivotFmt>
        <c:idx val="2007"/>
        <c:marker>
          <c:symbol val="none"/>
        </c:marker>
      </c:pivotFmt>
      <c:pivotFmt>
        <c:idx val="2008"/>
        <c:marker>
          <c:symbol val="none"/>
        </c:marker>
      </c:pivotFmt>
      <c:pivotFmt>
        <c:idx val="2009"/>
        <c:marker>
          <c:symbol val="none"/>
        </c:marker>
      </c:pivotFmt>
      <c:pivotFmt>
        <c:idx val="2010"/>
        <c:marker>
          <c:symbol val="none"/>
        </c:marker>
      </c:pivotFmt>
      <c:pivotFmt>
        <c:idx val="2011"/>
        <c:marker>
          <c:symbol val="none"/>
        </c:marker>
      </c:pivotFmt>
      <c:pivotFmt>
        <c:idx val="2012"/>
        <c:marker>
          <c:symbol val="none"/>
        </c:marker>
      </c:pivotFmt>
      <c:pivotFmt>
        <c:idx val="2013"/>
        <c:marker>
          <c:symbol val="none"/>
        </c:marker>
      </c:pivotFmt>
      <c:pivotFmt>
        <c:idx val="2014"/>
        <c:marker>
          <c:symbol val="none"/>
        </c:marker>
      </c:pivotFmt>
      <c:pivotFmt>
        <c:idx val="2015"/>
        <c:marker>
          <c:symbol val="none"/>
        </c:marker>
      </c:pivotFmt>
      <c:pivotFmt>
        <c:idx val="2016"/>
        <c:marker>
          <c:symbol val="none"/>
        </c:marker>
      </c:pivotFmt>
      <c:pivotFmt>
        <c:idx val="2017"/>
        <c:marker>
          <c:symbol val="none"/>
        </c:marker>
      </c:pivotFmt>
      <c:pivotFmt>
        <c:idx val="2018"/>
        <c:marker>
          <c:symbol val="none"/>
        </c:marker>
      </c:pivotFmt>
      <c:pivotFmt>
        <c:idx val="2019"/>
        <c:marker>
          <c:symbol val="none"/>
        </c:marker>
      </c:pivotFmt>
      <c:pivotFmt>
        <c:idx val="2020"/>
        <c:marker>
          <c:symbol val="none"/>
        </c:marker>
      </c:pivotFmt>
      <c:pivotFmt>
        <c:idx val="2021"/>
        <c:marker>
          <c:symbol val="none"/>
        </c:marker>
      </c:pivotFmt>
      <c:pivotFmt>
        <c:idx val="2022"/>
        <c:marker>
          <c:symbol val="none"/>
        </c:marker>
      </c:pivotFmt>
      <c:pivotFmt>
        <c:idx val="2023"/>
        <c:marker>
          <c:symbol val="none"/>
        </c:marker>
      </c:pivotFmt>
      <c:pivotFmt>
        <c:idx val="2024"/>
        <c:marker>
          <c:symbol val="none"/>
        </c:marker>
      </c:pivotFmt>
      <c:pivotFmt>
        <c:idx val="2025"/>
        <c:marker>
          <c:symbol val="none"/>
        </c:marker>
      </c:pivotFmt>
      <c:pivotFmt>
        <c:idx val="2026"/>
        <c:marker>
          <c:symbol val="none"/>
        </c:marker>
      </c:pivotFmt>
      <c:pivotFmt>
        <c:idx val="2027"/>
        <c:marker>
          <c:symbol val="none"/>
        </c:marker>
      </c:pivotFmt>
      <c:pivotFmt>
        <c:idx val="2028"/>
        <c:marker>
          <c:symbol val="none"/>
        </c:marker>
      </c:pivotFmt>
      <c:pivotFmt>
        <c:idx val="2029"/>
        <c:marker>
          <c:symbol val="none"/>
        </c:marker>
      </c:pivotFmt>
      <c:pivotFmt>
        <c:idx val="2030"/>
        <c:marker>
          <c:symbol val="none"/>
        </c:marker>
      </c:pivotFmt>
      <c:pivotFmt>
        <c:idx val="2031"/>
        <c:marker>
          <c:symbol val="none"/>
        </c:marker>
      </c:pivotFmt>
      <c:pivotFmt>
        <c:idx val="2032"/>
        <c:marker>
          <c:symbol val="none"/>
        </c:marker>
      </c:pivotFmt>
      <c:pivotFmt>
        <c:idx val="2033"/>
        <c:marker>
          <c:symbol val="none"/>
        </c:marker>
      </c:pivotFmt>
      <c:pivotFmt>
        <c:idx val="2034"/>
        <c:marker>
          <c:symbol val="none"/>
        </c:marker>
      </c:pivotFmt>
      <c:pivotFmt>
        <c:idx val="2035"/>
        <c:marker>
          <c:symbol val="none"/>
        </c:marker>
      </c:pivotFmt>
      <c:pivotFmt>
        <c:idx val="2036"/>
        <c:marker>
          <c:symbol val="none"/>
        </c:marker>
      </c:pivotFmt>
      <c:pivotFmt>
        <c:idx val="2037"/>
        <c:marker>
          <c:symbol val="none"/>
        </c:marker>
      </c:pivotFmt>
      <c:pivotFmt>
        <c:idx val="2038"/>
        <c:marker>
          <c:symbol val="none"/>
        </c:marker>
      </c:pivotFmt>
      <c:pivotFmt>
        <c:idx val="2039"/>
        <c:marker>
          <c:symbol val="none"/>
        </c:marker>
      </c:pivotFmt>
      <c:pivotFmt>
        <c:idx val="2040"/>
        <c:marker>
          <c:symbol val="none"/>
        </c:marker>
      </c:pivotFmt>
      <c:pivotFmt>
        <c:idx val="2041"/>
        <c:marker>
          <c:symbol val="none"/>
        </c:marker>
      </c:pivotFmt>
      <c:pivotFmt>
        <c:idx val="2042"/>
        <c:marker>
          <c:symbol val="none"/>
        </c:marker>
      </c:pivotFmt>
      <c:pivotFmt>
        <c:idx val="2043"/>
        <c:marker>
          <c:symbol val="none"/>
        </c:marker>
      </c:pivotFmt>
      <c:pivotFmt>
        <c:idx val="2044"/>
        <c:marker>
          <c:symbol val="none"/>
        </c:marker>
      </c:pivotFmt>
      <c:pivotFmt>
        <c:idx val="2045"/>
        <c:marker>
          <c:symbol val="none"/>
        </c:marker>
      </c:pivotFmt>
      <c:pivotFmt>
        <c:idx val="2046"/>
        <c:marker>
          <c:symbol val="none"/>
        </c:marker>
      </c:pivotFmt>
      <c:pivotFmt>
        <c:idx val="2047"/>
        <c:marker>
          <c:symbol val="none"/>
        </c:marker>
      </c:pivotFmt>
      <c:pivotFmt>
        <c:idx val="2048"/>
        <c:marker>
          <c:symbol val="none"/>
        </c:marker>
      </c:pivotFmt>
      <c:pivotFmt>
        <c:idx val="2049"/>
        <c:marker>
          <c:symbol val="none"/>
        </c:marker>
      </c:pivotFmt>
      <c:pivotFmt>
        <c:idx val="2050"/>
        <c:marker>
          <c:symbol val="none"/>
        </c:marker>
        <c:dLbl>
          <c:idx val="0"/>
          <c:delete val="1"/>
        </c:dLbl>
      </c:pivotFmt>
      <c:pivotFmt>
        <c:idx val="2051"/>
        <c:marker>
          <c:symbol val="none"/>
        </c:marker>
      </c:pivotFmt>
      <c:pivotFmt>
        <c:idx val="2052"/>
        <c:marker>
          <c:symbol val="none"/>
        </c:marker>
      </c:pivotFmt>
      <c:pivotFmt>
        <c:idx val="2053"/>
        <c:marker>
          <c:symbol val="none"/>
        </c:marker>
        <c:dLbl>
          <c:idx val="0"/>
          <c:delete val="1"/>
        </c:dLbl>
      </c:pivotFmt>
      <c:pivotFmt>
        <c:idx val="2054"/>
        <c:marker>
          <c:symbol val="none"/>
        </c:marker>
        <c:dLbl>
          <c:idx val="0"/>
          <c:delete val="1"/>
        </c:dLbl>
      </c:pivotFmt>
      <c:pivotFmt>
        <c:idx val="2055"/>
        <c:marker>
          <c:symbol val="none"/>
        </c:marker>
        <c:dLbl>
          <c:idx val="0"/>
          <c:delete val="1"/>
        </c:dLbl>
      </c:pivotFmt>
      <c:pivotFmt>
        <c:idx val="2056"/>
        <c:marker>
          <c:symbol val="none"/>
        </c:marker>
        <c:dLbl>
          <c:idx val="0"/>
          <c:delete val="1"/>
        </c:dLbl>
      </c:pivotFmt>
      <c:pivotFmt>
        <c:idx val="2057"/>
        <c:marker>
          <c:symbol val="none"/>
        </c:marker>
        <c:dLbl>
          <c:idx val="0"/>
          <c:delete val="1"/>
        </c:dLbl>
      </c:pivotFmt>
      <c:pivotFmt>
        <c:idx val="2058"/>
        <c:marker>
          <c:symbol val="none"/>
        </c:marker>
      </c:pivotFmt>
      <c:pivotFmt>
        <c:idx val="2059"/>
        <c:marker>
          <c:symbol val="none"/>
        </c:marker>
      </c:pivotFmt>
      <c:pivotFmt>
        <c:idx val="2060"/>
        <c:marker>
          <c:symbol val="none"/>
        </c:marker>
      </c:pivotFmt>
      <c:pivotFmt>
        <c:idx val="2061"/>
        <c:marker>
          <c:symbol val="none"/>
        </c:marker>
      </c:pivotFmt>
      <c:pivotFmt>
        <c:idx val="2062"/>
        <c:marker>
          <c:symbol val="none"/>
        </c:marker>
      </c:pivotFmt>
      <c:pivotFmt>
        <c:idx val="2063"/>
        <c:marker>
          <c:symbol val="none"/>
        </c:marker>
      </c:pivotFmt>
      <c:pivotFmt>
        <c:idx val="2064"/>
        <c:marker>
          <c:symbol val="none"/>
        </c:marker>
      </c:pivotFmt>
      <c:pivotFmt>
        <c:idx val="2065"/>
        <c:marker>
          <c:symbol val="none"/>
        </c:marker>
      </c:pivotFmt>
      <c:pivotFmt>
        <c:idx val="2066"/>
        <c:marker>
          <c:symbol val="none"/>
        </c:marker>
      </c:pivotFmt>
      <c:pivotFmt>
        <c:idx val="2067"/>
        <c:marker>
          <c:symbol val="none"/>
        </c:marker>
      </c:pivotFmt>
      <c:pivotFmt>
        <c:idx val="2068"/>
        <c:marker>
          <c:symbol val="none"/>
        </c:marker>
      </c:pivotFmt>
      <c:pivotFmt>
        <c:idx val="2069"/>
        <c:marker>
          <c:symbol val="none"/>
        </c:marker>
      </c:pivotFmt>
      <c:pivotFmt>
        <c:idx val="2070"/>
        <c:marker>
          <c:symbol val="none"/>
        </c:marker>
      </c:pivotFmt>
      <c:pivotFmt>
        <c:idx val="2071"/>
        <c:marker>
          <c:symbol val="none"/>
        </c:marker>
      </c:pivotFmt>
      <c:pivotFmt>
        <c:idx val="2072"/>
        <c:marker>
          <c:symbol val="none"/>
        </c:marker>
      </c:pivotFmt>
      <c:pivotFmt>
        <c:idx val="2073"/>
        <c:marker>
          <c:symbol val="none"/>
        </c:marker>
      </c:pivotFmt>
      <c:pivotFmt>
        <c:idx val="2074"/>
        <c:marker>
          <c:symbol val="none"/>
        </c:marker>
      </c:pivotFmt>
      <c:pivotFmt>
        <c:idx val="2075"/>
        <c:marker>
          <c:symbol val="none"/>
        </c:marker>
      </c:pivotFmt>
      <c:pivotFmt>
        <c:idx val="2076"/>
        <c:marker>
          <c:symbol val="none"/>
        </c:marker>
      </c:pivotFmt>
      <c:pivotFmt>
        <c:idx val="2077"/>
        <c:marker>
          <c:symbol val="none"/>
        </c:marker>
      </c:pivotFmt>
      <c:pivotFmt>
        <c:idx val="2078"/>
        <c:marker>
          <c:symbol val="none"/>
        </c:marker>
      </c:pivotFmt>
      <c:pivotFmt>
        <c:idx val="2079"/>
        <c:marker>
          <c:symbol val="none"/>
        </c:marker>
      </c:pivotFmt>
      <c:pivotFmt>
        <c:idx val="2080"/>
        <c:marker>
          <c:symbol val="none"/>
        </c:marker>
      </c:pivotFmt>
      <c:pivotFmt>
        <c:idx val="2081"/>
        <c:marker>
          <c:symbol val="none"/>
        </c:marker>
      </c:pivotFmt>
      <c:pivotFmt>
        <c:idx val="2082"/>
        <c:marker>
          <c:symbol val="none"/>
        </c:marker>
      </c:pivotFmt>
      <c:pivotFmt>
        <c:idx val="2083"/>
        <c:marker>
          <c:symbol val="none"/>
        </c:marker>
      </c:pivotFmt>
      <c:pivotFmt>
        <c:idx val="2084"/>
        <c:marker>
          <c:symbol val="none"/>
        </c:marker>
      </c:pivotFmt>
      <c:pivotFmt>
        <c:idx val="2085"/>
        <c:marker>
          <c:symbol val="none"/>
        </c:marker>
      </c:pivotFmt>
      <c:pivotFmt>
        <c:idx val="2086"/>
        <c:marker>
          <c:symbol val="none"/>
        </c:marker>
      </c:pivotFmt>
      <c:pivotFmt>
        <c:idx val="2087"/>
        <c:marker>
          <c:symbol val="none"/>
        </c:marker>
      </c:pivotFmt>
      <c:pivotFmt>
        <c:idx val="2088"/>
        <c:marker>
          <c:symbol val="none"/>
        </c:marker>
      </c:pivotFmt>
      <c:pivotFmt>
        <c:idx val="2089"/>
        <c:marker>
          <c:symbol val="none"/>
        </c:marker>
      </c:pivotFmt>
      <c:pivotFmt>
        <c:idx val="2090"/>
        <c:marker>
          <c:symbol val="none"/>
        </c:marker>
      </c:pivotFmt>
      <c:pivotFmt>
        <c:idx val="2091"/>
        <c:marker>
          <c:symbol val="none"/>
        </c:marker>
      </c:pivotFmt>
      <c:pivotFmt>
        <c:idx val="2092"/>
        <c:marker>
          <c:symbol val="none"/>
        </c:marker>
      </c:pivotFmt>
      <c:pivotFmt>
        <c:idx val="2093"/>
        <c:marker>
          <c:symbol val="none"/>
        </c:marker>
      </c:pivotFmt>
      <c:pivotFmt>
        <c:idx val="2094"/>
        <c:marker>
          <c:symbol val="none"/>
        </c:marker>
      </c:pivotFmt>
      <c:pivotFmt>
        <c:idx val="2095"/>
        <c:marker>
          <c:symbol val="none"/>
        </c:marker>
      </c:pivotFmt>
      <c:pivotFmt>
        <c:idx val="2096"/>
        <c:marker>
          <c:symbol val="none"/>
        </c:marker>
      </c:pivotFmt>
      <c:pivotFmt>
        <c:idx val="2097"/>
        <c:marker>
          <c:symbol val="none"/>
        </c:marker>
      </c:pivotFmt>
      <c:pivotFmt>
        <c:idx val="2098"/>
        <c:marker>
          <c:symbol val="none"/>
        </c:marker>
      </c:pivotFmt>
      <c:pivotFmt>
        <c:idx val="2099"/>
        <c:marker>
          <c:symbol val="none"/>
        </c:marker>
      </c:pivotFmt>
      <c:pivotFmt>
        <c:idx val="2100"/>
        <c:marker>
          <c:symbol val="none"/>
        </c:marker>
      </c:pivotFmt>
      <c:pivotFmt>
        <c:idx val="2101"/>
        <c:marker>
          <c:symbol val="none"/>
        </c:marker>
      </c:pivotFmt>
      <c:pivotFmt>
        <c:idx val="2102"/>
        <c:marker>
          <c:symbol val="none"/>
        </c:marker>
      </c:pivotFmt>
      <c:pivotFmt>
        <c:idx val="2103"/>
        <c:marker>
          <c:symbol val="none"/>
        </c:marker>
      </c:pivotFmt>
      <c:pivotFmt>
        <c:idx val="2104"/>
        <c:marker>
          <c:symbol val="none"/>
        </c:marker>
      </c:pivotFmt>
      <c:pivotFmt>
        <c:idx val="2105"/>
        <c:marker>
          <c:symbol val="none"/>
        </c:marker>
      </c:pivotFmt>
      <c:pivotFmt>
        <c:idx val="2106"/>
        <c:marker>
          <c:symbol val="none"/>
        </c:marker>
      </c:pivotFmt>
      <c:pivotFmt>
        <c:idx val="2107"/>
        <c:marker>
          <c:symbol val="none"/>
        </c:marker>
      </c:pivotFmt>
      <c:pivotFmt>
        <c:idx val="2108"/>
        <c:marker>
          <c:symbol val="none"/>
        </c:marker>
      </c:pivotFmt>
      <c:pivotFmt>
        <c:idx val="2109"/>
        <c:marker>
          <c:symbol val="none"/>
        </c:marker>
      </c:pivotFmt>
      <c:pivotFmt>
        <c:idx val="2110"/>
        <c:marker>
          <c:symbol val="none"/>
        </c:marker>
      </c:pivotFmt>
      <c:pivotFmt>
        <c:idx val="2111"/>
        <c:marker>
          <c:symbol val="none"/>
        </c:marker>
      </c:pivotFmt>
      <c:pivotFmt>
        <c:idx val="2112"/>
        <c:marker>
          <c:symbol val="none"/>
        </c:marker>
      </c:pivotFmt>
      <c:pivotFmt>
        <c:idx val="2113"/>
        <c:marker>
          <c:symbol val="none"/>
        </c:marker>
      </c:pivotFmt>
      <c:pivotFmt>
        <c:idx val="2114"/>
        <c:marker>
          <c:symbol val="none"/>
        </c:marker>
      </c:pivotFmt>
      <c:pivotFmt>
        <c:idx val="2115"/>
        <c:marker>
          <c:symbol val="none"/>
        </c:marker>
      </c:pivotFmt>
      <c:pivotFmt>
        <c:idx val="2116"/>
        <c:marker>
          <c:symbol val="none"/>
        </c:marker>
      </c:pivotFmt>
      <c:pivotFmt>
        <c:idx val="2117"/>
        <c:marker>
          <c:symbol val="none"/>
        </c:marker>
      </c:pivotFmt>
      <c:pivotFmt>
        <c:idx val="2118"/>
        <c:marker>
          <c:symbol val="none"/>
        </c:marker>
      </c:pivotFmt>
      <c:pivotFmt>
        <c:idx val="2119"/>
        <c:marker>
          <c:symbol val="none"/>
        </c:marker>
      </c:pivotFmt>
      <c:pivotFmt>
        <c:idx val="2120"/>
        <c:marker>
          <c:symbol val="none"/>
        </c:marker>
      </c:pivotFmt>
      <c:pivotFmt>
        <c:idx val="2121"/>
        <c:marker>
          <c:symbol val="none"/>
        </c:marker>
      </c:pivotFmt>
      <c:pivotFmt>
        <c:idx val="2122"/>
        <c:marker>
          <c:symbol val="none"/>
        </c:marker>
      </c:pivotFmt>
      <c:pivotFmt>
        <c:idx val="2123"/>
        <c:marker>
          <c:symbol val="none"/>
        </c:marker>
      </c:pivotFmt>
      <c:pivotFmt>
        <c:idx val="2124"/>
        <c:marker>
          <c:symbol val="none"/>
        </c:marker>
      </c:pivotFmt>
      <c:pivotFmt>
        <c:idx val="2125"/>
        <c:marker>
          <c:symbol val="none"/>
        </c:marker>
      </c:pivotFmt>
      <c:pivotFmt>
        <c:idx val="2126"/>
        <c:marker>
          <c:symbol val="none"/>
        </c:marker>
      </c:pivotFmt>
      <c:pivotFmt>
        <c:idx val="2127"/>
        <c:marker>
          <c:symbol val="none"/>
        </c:marker>
      </c:pivotFmt>
      <c:pivotFmt>
        <c:idx val="2128"/>
        <c:marker>
          <c:symbol val="none"/>
        </c:marker>
      </c:pivotFmt>
      <c:pivotFmt>
        <c:idx val="2129"/>
        <c:marker>
          <c:symbol val="none"/>
        </c:marker>
      </c:pivotFmt>
      <c:pivotFmt>
        <c:idx val="2130"/>
        <c:marker>
          <c:symbol val="none"/>
        </c:marker>
      </c:pivotFmt>
      <c:pivotFmt>
        <c:idx val="2131"/>
        <c:marker>
          <c:symbol val="none"/>
        </c:marker>
      </c:pivotFmt>
      <c:pivotFmt>
        <c:idx val="2132"/>
        <c:marker>
          <c:symbol val="none"/>
        </c:marker>
      </c:pivotFmt>
      <c:pivotFmt>
        <c:idx val="2133"/>
        <c:marker>
          <c:symbol val="none"/>
        </c:marker>
      </c:pivotFmt>
      <c:pivotFmt>
        <c:idx val="2134"/>
        <c:marker>
          <c:symbol val="none"/>
        </c:marker>
      </c:pivotFmt>
      <c:pivotFmt>
        <c:idx val="2135"/>
        <c:marker>
          <c:symbol val="none"/>
        </c:marker>
        <c:dLbl>
          <c:idx val="0"/>
          <c:delete val="1"/>
        </c:dLbl>
      </c:pivotFmt>
      <c:pivotFmt>
        <c:idx val="2136"/>
      </c:pivotFmt>
      <c:pivotFmt>
        <c:idx val="2137"/>
        <c:marker>
          <c:symbol val="none"/>
        </c:marker>
      </c:pivotFmt>
      <c:pivotFmt>
        <c:idx val="2138"/>
        <c:marker>
          <c:symbol val="none"/>
        </c:marker>
      </c:pivotFmt>
      <c:pivotFmt>
        <c:idx val="2139"/>
        <c:marker>
          <c:symbol val="none"/>
        </c:marker>
      </c:pivotFmt>
      <c:pivotFmt>
        <c:idx val="2140"/>
        <c:marker>
          <c:symbol val="none"/>
        </c:marker>
      </c:pivotFmt>
      <c:pivotFmt>
        <c:idx val="2141"/>
        <c:marker>
          <c:symbol val="none"/>
        </c:marker>
      </c:pivotFmt>
      <c:pivotFmt>
        <c:idx val="2142"/>
        <c:marker>
          <c:symbol val="none"/>
        </c:marker>
      </c:pivotFmt>
      <c:pivotFmt>
        <c:idx val="2143"/>
        <c:marker>
          <c:symbol val="none"/>
        </c:marker>
      </c:pivotFmt>
      <c:pivotFmt>
        <c:idx val="2144"/>
        <c:marker>
          <c:symbol val="none"/>
        </c:marker>
      </c:pivotFmt>
      <c:pivotFmt>
        <c:idx val="2145"/>
        <c:marker>
          <c:symbol val="none"/>
        </c:marker>
      </c:pivotFmt>
      <c:pivotFmt>
        <c:idx val="2146"/>
        <c:marker>
          <c:symbol val="none"/>
        </c:marker>
      </c:pivotFmt>
      <c:pivotFmt>
        <c:idx val="2147"/>
        <c:marker>
          <c:symbol val="none"/>
        </c:marker>
      </c:pivotFmt>
      <c:pivotFmt>
        <c:idx val="2148"/>
        <c:marker>
          <c:symbol val="none"/>
        </c:marker>
      </c:pivotFmt>
      <c:pivotFmt>
        <c:idx val="2149"/>
        <c:marker>
          <c:symbol val="none"/>
        </c:marker>
      </c:pivotFmt>
      <c:pivotFmt>
        <c:idx val="2150"/>
        <c:marker>
          <c:symbol val="none"/>
        </c:marker>
      </c:pivotFmt>
      <c:pivotFmt>
        <c:idx val="2151"/>
        <c:marker>
          <c:symbol val="none"/>
        </c:marker>
      </c:pivotFmt>
      <c:pivotFmt>
        <c:idx val="2152"/>
        <c:marker>
          <c:symbol val="none"/>
        </c:marker>
      </c:pivotFmt>
      <c:pivotFmt>
        <c:idx val="2153"/>
        <c:marker>
          <c:symbol val="none"/>
        </c:marker>
      </c:pivotFmt>
      <c:pivotFmt>
        <c:idx val="2154"/>
        <c:marker>
          <c:symbol val="none"/>
        </c:marker>
      </c:pivotFmt>
      <c:pivotFmt>
        <c:idx val="2155"/>
        <c:marker>
          <c:symbol val="none"/>
        </c:marker>
      </c:pivotFmt>
      <c:pivotFmt>
        <c:idx val="2156"/>
        <c:marker>
          <c:symbol val="none"/>
        </c:marker>
      </c:pivotFmt>
      <c:pivotFmt>
        <c:idx val="2157"/>
        <c:marker>
          <c:symbol val="none"/>
        </c:marker>
      </c:pivotFmt>
      <c:pivotFmt>
        <c:idx val="2158"/>
        <c:marker>
          <c:symbol val="none"/>
        </c:marker>
      </c:pivotFmt>
      <c:pivotFmt>
        <c:idx val="2159"/>
        <c:marker>
          <c:symbol val="none"/>
        </c:marker>
      </c:pivotFmt>
      <c:pivotFmt>
        <c:idx val="2160"/>
        <c:marker>
          <c:symbol val="none"/>
        </c:marker>
      </c:pivotFmt>
      <c:pivotFmt>
        <c:idx val="2161"/>
        <c:marker>
          <c:symbol val="none"/>
        </c:marker>
      </c:pivotFmt>
      <c:pivotFmt>
        <c:idx val="2162"/>
        <c:marker>
          <c:symbol val="none"/>
        </c:marker>
      </c:pivotFmt>
      <c:pivotFmt>
        <c:idx val="2163"/>
        <c:marker>
          <c:symbol val="none"/>
        </c:marker>
      </c:pivotFmt>
      <c:pivotFmt>
        <c:idx val="2164"/>
        <c:marker>
          <c:symbol val="none"/>
        </c:marker>
      </c:pivotFmt>
      <c:pivotFmt>
        <c:idx val="2165"/>
        <c:marker>
          <c:symbol val="none"/>
        </c:marker>
      </c:pivotFmt>
      <c:pivotFmt>
        <c:idx val="2166"/>
        <c:marker>
          <c:symbol val="none"/>
        </c:marker>
      </c:pivotFmt>
      <c:pivotFmt>
        <c:idx val="2167"/>
        <c:marker>
          <c:symbol val="none"/>
        </c:marker>
      </c:pivotFmt>
      <c:pivotFmt>
        <c:idx val="2168"/>
        <c:marker>
          <c:symbol val="none"/>
        </c:marker>
      </c:pivotFmt>
      <c:pivotFmt>
        <c:idx val="2169"/>
        <c:marker>
          <c:symbol val="none"/>
        </c:marker>
      </c:pivotFmt>
      <c:pivotFmt>
        <c:idx val="2170"/>
        <c:marker>
          <c:symbol val="none"/>
        </c:marker>
      </c:pivotFmt>
      <c:pivotFmt>
        <c:idx val="2171"/>
        <c:marker>
          <c:symbol val="none"/>
        </c:marker>
      </c:pivotFmt>
      <c:pivotFmt>
        <c:idx val="2172"/>
        <c:marker>
          <c:symbol val="none"/>
        </c:marker>
      </c:pivotFmt>
      <c:pivotFmt>
        <c:idx val="2173"/>
        <c:marker>
          <c:symbol val="none"/>
        </c:marker>
      </c:pivotFmt>
      <c:pivotFmt>
        <c:idx val="2174"/>
        <c:marker>
          <c:symbol val="none"/>
        </c:marker>
      </c:pivotFmt>
      <c:pivotFmt>
        <c:idx val="2175"/>
        <c:marker>
          <c:symbol val="none"/>
        </c:marker>
      </c:pivotFmt>
      <c:pivotFmt>
        <c:idx val="2176"/>
        <c:marker>
          <c:symbol val="none"/>
        </c:marker>
      </c:pivotFmt>
      <c:pivotFmt>
        <c:idx val="2177"/>
        <c:marker>
          <c:symbol val="none"/>
        </c:marker>
      </c:pivotFmt>
      <c:pivotFmt>
        <c:idx val="2178"/>
        <c:marker>
          <c:symbol val="none"/>
        </c:marker>
      </c:pivotFmt>
      <c:pivotFmt>
        <c:idx val="2179"/>
        <c:marker>
          <c:symbol val="none"/>
        </c:marker>
      </c:pivotFmt>
      <c:pivotFmt>
        <c:idx val="2180"/>
        <c:marker>
          <c:symbol val="none"/>
        </c:marker>
      </c:pivotFmt>
      <c:pivotFmt>
        <c:idx val="2181"/>
        <c:marker>
          <c:symbol val="none"/>
        </c:marker>
      </c:pivotFmt>
      <c:pivotFmt>
        <c:idx val="2182"/>
        <c:marker>
          <c:symbol val="none"/>
        </c:marker>
      </c:pivotFmt>
      <c:pivotFmt>
        <c:idx val="2183"/>
        <c:marker>
          <c:symbol val="none"/>
        </c:marker>
      </c:pivotFmt>
      <c:pivotFmt>
        <c:idx val="2184"/>
        <c:marker>
          <c:symbol val="none"/>
        </c:marker>
      </c:pivotFmt>
      <c:pivotFmt>
        <c:idx val="2185"/>
        <c:marker>
          <c:symbol val="none"/>
        </c:marker>
      </c:pivotFmt>
      <c:pivotFmt>
        <c:idx val="2186"/>
        <c:marker>
          <c:symbol val="none"/>
        </c:marker>
      </c:pivotFmt>
      <c:pivotFmt>
        <c:idx val="2187"/>
        <c:marker>
          <c:symbol val="none"/>
        </c:marker>
      </c:pivotFmt>
      <c:pivotFmt>
        <c:idx val="2188"/>
        <c:marker>
          <c:symbol val="none"/>
        </c:marker>
      </c:pivotFmt>
      <c:pivotFmt>
        <c:idx val="2189"/>
        <c:marker>
          <c:symbol val="none"/>
        </c:marker>
      </c:pivotFmt>
      <c:pivotFmt>
        <c:idx val="2190"/>
        <c:marker>
          <c:symbol val="none"/>
        </c:marker>
      </c:pivotFmt>
      <c:pivotFmt>
        <c:idx val="2191"/>
        <c:marker>
          <c:symbol val="none"/>
        </c:marker>
      </c:pivotFmt>
      <c:pivotFmt>
        <c:idx val="2192"/>
        <c:marker>
          <c:symbol val="none"/>
        </c:marker>
      </c:pivotFmt>
      <c:pivotFmt>
        <c:idx val="2193"/>
        <c:marker>
          <c:symbol val="none"/>
        </c:marker>
      </c:pivotFmt>
      <c:pivotFmt>
        <c:idx val="2194"/>
        <c:marker>
          <c:symbol val="none"/>
        </c:marker>
      </c:pivotFmt>
      <c:pivotFmt>
        <c:idx val="2195"/>
        <c:marker>
          <c:symbol val="none"/>
        </c:marker>
      </c:pivotFmt>
      <c:pivotFmt>
        <c:idx val="2196"/>
        <c:marker>
          <c:symbol val="none"/>
        </c:marker>
      </c:pivotFmt>
      <c:pivotFmt>
        <c:idx val="2197"/>
        <c:marker>
          <c:symbol val="none"/>
        </c:marker>
      </c:pivotFmt>
      <c:pivotFmt>
        <c:idx val="2198"/>
        <c:marker>
          <c:symbol val="none"/>
        </c:marker>
      </c:pivotFmt>
      <c:pivotFmt>
        <c:idx val="2199"/>
        <c:marker>
          <c:symbol val="none"/>
        </c:marker>
      </c:pivotFmt>
      <c:pivotFmt>
        <c:idx val="2200"/>
        <c:marker>
          <c:symbol val="none"/>
        </c:marker>
      </c:pivotFmt>
      <c:pivotFmt>
        <c:idx val="2201"/>
        <c:marker>
          <c:symbol val="none"/>
        </c:marker>
      </c:pivotFmt>
      <c:pivotFmt>
        <c:idx val="2202"/>
        <c:marker>
          <c:symbol val="none"/>
        </c:marker>
      </c:pivotFmt>
      <c:pivotFmt>
        <c:idx val="2203"/>
        <c:marker>
          <c:symbol val="none"/>
        </c:marker>
      </c:pivotFmt>
      <c:pivotFmt>
        <c:idx val="2204"/>
        <c:marker>
          <c:symbol val="none"/>
        </c:marker>
      </c:pivotFmt>
      <c:pivotFmt>
        <c:idx val="2205"/>
        <c:marker>
          <c:symbol val="none"/>
        </c:marker>
      </c:pivotFmt>
      <c:pivotFmt>
        <c:idx val="2206"/>
        <c:marker>
          <c:symbol val="none"/>
        </c:marker>
      </c:pivotFmt>
      <c:pivotFmt>
        <c:idx val="2207"/>
        <c:marker>
          <c:symbol val="none"/>
        </c:marker>
      </c:pivotFmt>
      <c:pivotFmt>
        <c:idx val="2208"/>
        <c:marker>
          <c:symbol val="none"/>
        </c:marker>
      </c:pivotFmt>
      <c:pivotFmt>
        <c:idx val="2209"/>
        <c:marker>
          <c:symbol val="none"/>
        </c:marker>
      </c:pivotFmt>
      <c:pivotFmt>
        <c:idx val="2210"/>
        <c:marker>
          <c:symbol val="none"/>
        </c:marker>
      </c:pivotFmt>
      <c:pivotFmt>
        <c:idx val="2211"/>
        <c:marker>
          <c:symbol val="none"/>
        </c:marker>
      </c:pivotFmt>
      <c:pivotFmt>
        <c:idx val="2212"/>
        <c:marker>
          <c:symbol val="none"/>
        </c:marker>
      </c:pivotFmt>
      <c:pivotFmt>
        <c:idx val="2213"/>
        <c:marker>
          <c:symbol val="none"/>
        </c:marker>
      </c:pivotFmt>
      <c:pivotFmt>
        <c:idx val="2214"/>
        <c:marker>
          <c:symbol val="none"/>
        </c:marker>
      </c:pivotFmt>
      <c:pivotFmt>
        <c:idx val="2215"/>
        <c:marker>
          <c:symbol val="none"/>
        </c:marker>
      </c:pivotFmt>
      <c:pivotFmt>
        <c:idx val="2216"/>
        <c:marker>
          <c:symbol val="none"/>
        </c:marker>
      </c:pivotFmt>
      <c:pivotFmt>
        <c:idx val="2217"/>
        <c:marker>
          <c:symbol val="none"/>
        </c:marker>
      </c:pivotFmt>
      <c:pivotFmt>
        <c:idx val="2218"/>
        <c:marker>
          <c:symbol val="none"/>
        </c:marker>
      </c:pivotFmt>
      <c:pivotFmt>
        <c:idx val="2219"/>
        <c:marker>
          <c:symbol val="none"/>
        </c:marker>
      </c:pivotFmt>
      <c:pivotFmt>
        <c:idx val="2220"/>
        <c:marker>
          <c:symbol val="none"/>
        </c:marker>
      </c:pivotFmt>
      <c:pivotFmt>
        <c:idx val="2221"/>
        <c:marker>
          <c:symbol val="none"/>
        </c:marker>
      </c:pivotFmt>
      <c:pivotFmt>
        <c:idx val="2222"/>
        <c:marker>
          <c:symbol val="none"/>
        </c:marker>
      </c:pivotFmt>
      <c:pivotFmt>
        <c:idx val="2223"/>
        <c:marker>
          <c:symbol val="none"/>
        </c:marker>
      </c:pivotFmt>
      <c:pivotFmt>
        <c:idx val="2224"/>
        <c:marker>
          <c:symbol val="none"/>
        </c:marker>
      </c:pivotFmt>
      <c:pivotFmt>
        <c:idx val="2225"/>
        <c:marker>
          <c:symbol val="none"/>
        </c:marker>
      </c:pivotFmt>
      <c:pivotFmt>
        <c:idx val="2226"/>
        <c:marker>
          <c:symbol val="none"/>
        </c:marker>
      </c:pivotFmt>
      <c:pivotFmt>
        <c:idx val="2227"/>
        <c:marker>
          <c:symbol val="none"/>
        </c:marker>
      </c:pivotFmt>
      <c:pivotFmt>
        <c:idx val="2228"/>
        <c:marker>
          <c:symbol val="none"/>
        </c:marker>
      </c:pivotFmt>
      <c:pivotFmt>
        <c:idx val="2229"/>
        <c:marker>
          <c:symbol val="none"/>
        </c:marker>
      </c:pivotFmt>
      <c:pivotFmt>
        <c:idx val="2230"/>
        <c:marker>
          <c:symbol val="none"/>
        </c:marker>
      </c:pivotFmt>
      <c:pivotFmt>
        <c:idx val="2231"/>
        <c:marker>
          <c:symbol val="none"/>
        </c:marker>
      </c:pivotFmt>
      <c:pivotFmt>
        <c:idx val="2232"/>
        <c:marker>
          <c:symbol val="none"/>
        </c:marker>
      </c:pivotFmt>
      <c:pivotFmt>
        <c:idx val="2233"/>
        <c:marker>
          <c:symbol val="none"/>
        </c:marker>
      </c:pivotFmt>
      <c:pivotFmt>
        <c:idx val="2234"/>
        <c:marker>
          <c:symbol val="none"/>
        </c:marker>
      </c:pivotFmt>
      <c:pivotFmt>
        <c:idx val="2235"/>
        <c:marker>
          <c:symbol val="none"/>
        </c:marker>
      </c:pivotFmt>
      <c:pivotFmt>
        <c:idx val="2236"/>
        <c:marker>
          <c:symbol val="none"/>
        </c:marker>
      </c:pivotFmt>
      <c:pivotFmt>
        <c:idx val="2237"/>
        <c:marker>
          <c:symbol val="none"/>
        </c:marker>
      </c:pivotFmt>
      <c:pivotFmt>
        <c:idx val="2238"/>
        <c:marker>
          <c:symbol val="none"/>
        </c:marker>
      </c:pivotFmt>
      <c:pivotFmt>
        <c:idx val="2239"/>
        <c:marker>
          <c:symbol val="none"/>
        </c:marker>
      </c:pivotFmt>
      <c:pivotFmt>
        <c:idx val="2240"/>
        <c:marker>
          <c:symbol val="none"/>
        </c:marker>
      </c:pivotFmt>
      <c:pivotFmt>
        <c:idx val="2241"/>
        <c:marker>
          <c:symbol val="none"/>
        </c:marker>
      </c:pivotFmt>
      <c:pivotFmt>
        <c:idx val="2242"/>
        <c:marker>
          <c:symbol val="none"/>
        </c:marker>
      </c:pivotFmt>
      <c:pivotFmt>
        <c:idx val="2243"/>
        <c:marker>
          <c:symbol val="none"/>
        </c:marker>
      </c:pivotFmt>
      <c:pivotFmt>
        <c:idx val="2244"/>
        <c:marker>
          <c:symbol val="none"/>
        </c:marker>
      </c:pivotFmt>
      <c:pivotFmt>
        <c:idx val="2245"/>
        <c:marker>
          <c:symbol val="none"/>
        </c:marker>
      </c:pivotFmt>
      <c:pivotFmt>
        <c:idx val="2246"/>
        <c:marker>
          <c:symbol val="none"/>
        </c:marker>
      </c:pivotFmt>
      <c:pivotFmt>
        <c:idx val="2247"/>
        <c:marker>
          <c:symbol val="none"/>
        </c:marker>
      </c:pivotFmt>
      <c:pivotFmt>
        <c:idx val="2248"/>
        <c:marker>
          <c:symbol val="none"/>
        </c:marker>
      </c:pivotFmt>
      <c:pivotFmt>
        <c:idx val="2249"/>
        <c:marker>
          <c:symbol val="none"/>
        </c:marker>
      </c:pivotFmt>
      <c:pivotFmt>
        <c:idx val="2250"/>
        <c:marker>
          <c:symbol val="none"/>
        </c:marker>
      </c:pivotFmt>
      <c:pivotFmt>
        <c:idx val="2251"/>
        <c:marker>
          <c:symbol val="none"/>
        </c:marker>
      </c:pivotFmt>
      <c:pivotFmt>
        <c:idx val="2252"/>
        <c:marker>
          <c:symbol val="none"/>
        </c:marker>
      </c:pivotFmt>
      <c:pivotFmt>
        <c:idx val="2253"/>
        <c:marker>
          <c:symbol val="none"/>
        </c:marker>
      </c:pivotFmt>
      <c:pivotFmt>
        <c:idx val="2254"/>
        <c:marker>
          <c:symbol val="none"/>
        </c:marker>
      </c:pivotFmt>
      <c:pivotFmt>
        <c:idx val="2255"/>
        <c:marker>
          <c:symbol val="none"/>
        </c:marker>
      </c:pivotFmt>
      <c:pivotFmt>
        <c:idx val="2256"/>
        <c:marker>
          <c:symbol val="none"/>
        </c:marker>
      </c:pivotFmt>
      <c:pivotFmt>
        <c:idx val="2257"/>
        <c:marker>
          <c:symbol val="none"/>
        </c:marker>
      </c:pivotFmt>
      <c:pivotFmt>
        <c:idx val="2258"/>
        <c:marker>
          <c:symbol val="none"/>
        </c:marker>
      </c:pivotFmt>
      <c:pivotFmt>
        <c:idx val="2259"/>
        <c:marker>
          <c:symbol val="none"/>
        </c:marker>
      </c:pivotFmt>
      <c:pivotFmt>
        <c:idx val="2260"/>
        <c:marker>
          <c:symbol val="none"/>
        </c:marker>
      </c:pivotFmt>
      <c:pivotFmt>
        <c:idx val="2261"/>
        <c:marker>
          <c:symbol val="none"/>
        </c:marker>
      </c:pivotFmt>
      <c:pivotFmt>
        <c:idx val="2262"/>
        <c:marker>
          <c:symbol val="none"/>
        </c:marker>
      </c:pivotFmt>
      <c:pivotFmt>
        <c:idx val="2263"/>
        <c:marker>
          <c:symbol val="none"/>
        </c:marker>
      </c:pivotFmt>
      <c:pivotFmt>
        <c:idx val="2264"/>
        <c:marker>
          <c:symbol val="none"/>
        </c:marker>
      </c:pivotFmt>
      <c:pivotFmt>
        <c:idx val="2265"/>
        <c:marker>
          <c:symbol val="none"/>
        </c:marker>
      </c:pivotFmt>
      <c:pivotFmt>
        <c:idx val="2266"/>
        <c:marker>
          <c:symbol val="none"/>
        </c:marker>
      </c:pivotFmt>
      <c:pivotFmt>
        <c:idx val="2267"/>
        <c:marker>
          <c:symbol val="none"/>
        </c:marker>
      </c:pivotFmt>
      <c:pivotFmt>
        <c:idx val="2268"/>
        <c:marker>
          <c:symbol val="none"/>
        </c:marker>
      </c:pivotFmt>
      <c:pivotFmt>
        <c:idx val="2269"/>
        <c:marker>
          <c:symbol val="none"/>
        </c:marker>
      </c:pivotFmt>
      <c:pivotFmt>
        <c:idx val="2270"/>
        <c:marker>
          <c:symbol val="none"/>
        </c:marker>
      </c:pivotFmt>
      <c:pivotFmt>
        <c:idx val="2271"/>
        <c:marker>
          <c:symbol val="none"/>
        </c:marker>
      </c:pivotFmt>
      <c:pivotFmt>
        <c:idx val="2272"/>
        <c:marker>
          <c:symbol val="none"/>
        </c:marker>
      </c:pivotFmt>
      <c:pivotFmt>
        <c:idx val="2273"/>
        <c:marker>
          <c:symbol val="none"/>
        </c:marker>
      </c:pivotFmt>
      <c:pivotFmt>
        <c:idx val="2274"/>
        <c:marker>
          <c:symbol val="none"/>
        </c:marker>
      </c:pivotFmt>
      <c:pivotFmt>
        <c:idx val="2275"/>
        <c:marker>
          <c:symbol val="none"/>
        </c:marker>
      </c:pivotFmt>
      <c:pivotFmt>
        <c:idx val="2276"/>
        <c:marker>
          <c:symbol val="none"/>
        </c:marker>
      </c:pivotFmt>
      <c:pivotFmt>
        <c:idx val="2277"/>
        <c:marker>
          <c:symbol val="none"/>
        </c:marker>
      </c:pivotFmt>
      <c:pivotFmt>
        <c:idx val="2278"/>
        <c:marker>
          <c:symbol val="none"/>
        </c:marker>
      </c:pivotFmt>
      <c:pivotFmt>
        <c:idx val="2279"/>
        <c:marker>
          <c:symbol val="none"/>
        </c:marker>
      </c:pivotFmt>
      <c:pivotFmt>
        <c:idx val="2280"/>
        <c:marker>
          <c:symbol val="none"/>
        </c:marker>
      </c:pivotFmt>
      <c:pivotFmt>
        <c:idx val="2281"/>
        <c:marker>
          <c:symbol val="none"/>
        </c:marker>
      </c:pivotFmt>
      <c:pivotFmt>
        <c:idx val="2282"/>
        <c:marker>
          <c:symbol val="none"/>
        </c:marker>
      </c:pivotFmt>
      <c:pivotFmt>
        <c:idx val="2283"/>
        <c:marker>
          <c:symbol val="none"/>
        </c:marker>
      </c:pivotFmt>
      <c:pivotFmt>
        <c:idx val="2284"/>
        <c:marker>
          <c:symbol val="none"/>
        </c:marker>
      </c:pivotFmt>
      <c:pivotFmt>
        <c:idx val="2285"/>
        <c:marker>
          <c:symbol val="none"/>
        </c:marker>
      </c:pivotFmt>
      <c:pivotFmt>
        <c:idx val="2286"/>
        <c:marker>
          <c:symbol val="none"/>
        </c:marker>
      </c:pivotFmt>
      <c:pivotFmt>
        <c:idx val="2287"/>
        <c:marker>
          <c:symbol val="none"/>
        </c:marker>
      </c:pivotFmt>
      <c:pivotFmt>
        <c:idx val="2288"/>
        <c:marker>
          <c:symbol val="none"/>
        </c:marker>
      </c:pivotFmt>
      <c:pivotFmt>
        <c:idx val="2289"/>
        <c:marker>
          <c:symbol val="none"/>
        </c:marker>
      </c:pivotFmt>
      <c:pivotFmt>
        <c:idx val="2290"/>
        <c:marker>
          <c:symbol val="none"/>
        </c:marker>
      </c:pivotFmt>
      <c:pivotFmt>
        <c:idx val="2291"/>
        <c:marker>
          <c:symbol val="none"/>
        </c:marker>
      </c:pivotFmt>
      <c:pivotFmt>
        <c:idx val="2292"/>
        <c:marker>
          <c:symbol val="none"/>
        </c:marker>
      </c:pivotFmt>
      <c:pivotFmt>
        <c:idx val="2293"/>
        <c:marker>
          <c:symbol val="none"/>
        </c:marker>
      </c:pivotFmt>
      <c:pivotFmt>
        <c:idx val="2294"/>
        <c:marker>
          <c:symbol val="none"/>
        </c:marker>
      </c:pivotFmt>
      <c:pivotFmt>
        <c:idx val="2295"/>
        <c:marker>
          <c:symbol val="none"/>
        </c:marker>
      </c:pivotFmt>
      <c:pivotFmt>
        <c:idx val="2296"/>
        <c:marker>
          <c:symbol val="none"/>
        </c:marker>
      </c:pivotFmt>
      <c:pivotFmt>
        <c:idx val="2297"/>
        <c:marker>
          <c:symbol val="none"/>
        </c:marker>
      </c:pivotFmt>
      <c:pivotFmt>
        <c:idx val="2298"/>
        <c:marker>
          <c:symbol val="none"/>
        </c:marker>
      </c:pivotFmt>
      <c:pivotFmt>
        <c:idx val="2299"/>
        <c:marker>
          <c:symbol val="none"/>
        </c:marker>
      </c:pivotFmt>
      <c:pivotFmt>
        <c:idx val="2300"/>
        <c:marker>
          <c:symbol val="none"/>
        </c:marker>
      </c:pivotFmt>
      <c:pivotFmt>
        <c:idx val="2301"/>
        <c:marker>
          <c:symbol val="none"/>
        </c:marker>
      </c:pivotFmt>
      <c:pivotFmt>
        <c:idx val="2302"/>
        <c:marker>
          <c:symbol val="none"/>
        </c:marker>
      </c:pivotFmt>
      <c:pivotFmt>
        <c:idx val="2303"/>
        <c:marker>
          <c:symbol val="none"/>
        </c:marker>
      </c:pivotFmt>
      <c:pivotFmt>
        <c:idx val="2304"/>
        <c:marker>
          <c:symbol val="none"/>
        </c:marker>
      </c:pivotFmt>
      <c:pivotFmt>
        <c:idx val="2305"/>
        <c:marker>
          <c:symbol val="none"/>
        </c:marker>
      </c:pivotFmt>
      <c:pivotFmt>
        <c:idx val="2306"/>
        <c:marker>
          <c:symbol val="none"/>
        </c:marker>
      </c:pivotFmt>
      <c:pivotFmt>
        <c:idx val="2307"/>
        <c:marker>
          <c:symbol val="none"/>
        </c:marker>
      </c:pivotFmt>
      <c:pivotFmt>
        <c:idx val="2308"/>
        <c:marker>
          <c:symbol val="none"/>
        </c:marker>
      </c:pivotFmt>
      <c:pivotFmt>
        <c:idx val="2309"/>
        <c:marker>
          <c:symbol val="none"/>
        </c:marker>
      </c:pivotFmt>
      <c:pivotFmt>
        <c:idx val="2310"/>
        <c:marker>
          <c:symbol val="none"/>
        </c:marker>
      </c:pivotFmt>
      <c:pivotFmt>
        <c:idx val="2311"/>
        <c:marker>
          <c:symbol val="none"/>
        </c:marker>
      </c:pivotFmt>
      <c:pivotFmt>
        <c:idx val="2312"/>
        <c:marker>
          <c:symbol val="none"/>
        </c:marker>
      </c:pivotFmt>
      <c:pivotFmt>
        <c:idx val="2313"/>
        <c:marker>
          <c:symbol val="none"/>
        </c:marker>
      </c:pivotFmt>
      <c:pivotFmt>
        <c:idx val="2314"/>
        <c:marker>
          <c:symbol val="none"/>
        </c:marker>
      </c:pivotFmt>
      <c:pivotFmt>
        <c:idx val="2315"/>
        <c:marker>
          <c:symbol val="none"/>
        </c:marker>
      </c:pivotFmt>
      <c:pivotFmt>
        <c:idx val="2316"/>
        <c:marker>
          <c:symbol val="none"/>
        </c:marker>
      </c:pivotFmt>
      <c:pivotFmt>
        <c:idx val="2317"/>
        <c:marker>
          <c:symbol val="none"/>
        </c:marker>
      </c:pivotFmt>
      <c:pivotFmt>
        <c:idx val="2318"/>
        <c:marker>
          <c:symbol val="none"/>
        </c:marker>
      </c:pivotFmt>
      <c:pivotFmt>
        <c:idx val="2319"/>
        <c:marker>
          <c:symbol val="none"/>
        </c:marker>
      </c:pivotFmt>
      <c:pivotFmt>
        <c:idx val="2320"/>
        <c:marker>
          <c:symbol val="none"/>
        </c:marker>
      </c:pivotFmt>
      <c:pivotFmt>
        <c:idx val="2321"/>
        <c:marker>
          <c:symbol val="none"/>
        </c:marker>
      </c:pivotFmt>
      <c:pivotFmt>
        <c:idx val="2322"/>
        <c:marker>
          <c:symbol val="none"/>
        </c:marker>
      </c:pivotFmt>
      <c:pivotFmt>
        <c:idx val="2323"/>
        <c:marker>
          <c:symbol val="none"/>
        </c:marker>
      </c:pivotFmt>
      <c:pivotFmt>
        <c:idx val="2324"/>
        <c:marker>
          <c:symbol val="none"/>
        </c:marker>
      </c:pivotFmt>
      <c:pivotFmt>
        <c:idx val="2325"/>
        <c:marker>
          <c:symbol val="none"/>
        </c:marker>
      </c:pivotFmt>
      <c:pivotFmt>
        <c:idx val="2326"/>
        <c:marker>
          <c:symbol val="none"/>
        </c:marker>
      </c:pivotFmt>
      <c:pivotFmt>
        <c:idx val="2327"/>
        <c:marker>
          <c:symbol val="none"/>
        </c:marker>
      </c:pivotFmt>
      <c:pivotFmt>
        <c:idx val="2328"/>
        <c:marker>
          <c:symbol val="none"/>
        </c:marker>
      </c:pivotFmt>
      <c:pivotFmt>
        <c:idx val="2329"/>
        <c:marker>
          <c:symbol val="none"/>
        </c:marker>
      </c:pivotFmt>
      <c:pivotFmt>
        <c:idx val="2330"/>
        <c:marker>
          <c:symbol val="none"/>
        </c:marker>
      </c:pivotFmt>
      <c:pivotFmt>
        <c:idx val="2331"/>
        <c:marker>
          <c:symbol val="none"/>
        </c:marker>
      </c:pivotFmt>
      <c:pivotFmt>
        <c:idx val="2332"/>
        <c:marker>
          <c:symbol val="none"/>
        </c:marker>
      </c:pivotFmt>
      <c:pivotFmt>
        <c:idx val="2333"/>
        <c:marker>
          <c:symbol val="none"/>
        </c:marker>
      </c:pivotFmt>
      <c:pivotFmt>
        <c:idx val="2334"/>
        <c:marker>
          <c:symbol val="none"/>
        </c:marker>
      </c:pivotFmt>
      <c:pivotFmt>
        <c:idx val="2335"/>
        <c:marker>
          <c:symbol val="none"/>
        </c:marker>
      </c:pivotFmt>
      <c:pivotFmt>
        <c:idx val="2336"/>
        <c:marker>
          <c:symbol val="none"/>
        </c:marker>
      </c:pivotFmt>
      <c:pivotFmt>
        <c:idx val="2337"/>
        <c:marker>
          <c:symbol val="none"/>
        </c:marker>
      </c:pivotFmt>
      <c:pivotFmt>
        <c:idx val="2338"/>
        <c:marker>
          <c:symbol val="none"/>
        </c:marker>
      </c:pivotFmt>
      <c:pivotFmt>
        <c:idx val="2339"/>
        <c:marker>
          <c:symbol val="none"/>
        </c:marker>
      </c:pivotFmt>
      <c:pivotFmt>
        <c:idx val="2340"/>
        <c:marker>
          <c:symbol val="none"/>
        </c:marker>
      </c:pivotFmt>
      <c:pivotFmt>
        <c:idx val="2341"/>
        <c:marker>
          <c:symbol val="none"/>
        </c:marker>
      </c:pivotFmt>
      <c:pivotFmt>
        <c:idx val="2342"/>
        <c:marker>
          <c:symbol val="none"/>
        </c:marker>
      </c:pivotFmt>
      <c:pivotFmt>
        <c:idx val="2343"/>
        <c:marker>
          <c:symbol val="none"/>
        </c:marker>
      </c:pivotFmt>
      <c:pivotFmt>
        <c:idx val="2344"/>
        <c:marker>
          <c:symbol val="none"/>
        </c:marker>
      </c:pivotFmt>
      <c:pivotFmt>
        <c:idx val="2345"/>
        <c:marker>
          <c:symbol val="none"/>
        </c:marker>
      </c:pivotFmt>
    </c:pivotFmts>
    <c:plotArea>
      <c:layout>
        <c:manualLayout>
          <c:layoutTarget val="inner"/>
          <c:xMode val="edge"/>
          <c:yMode val="edge"/>
          <c:x val="8.4953454151615412E-2"/>
          <c:y val="3.8425649874805012E-2"/>
          <c:w val="0.52820162737873733"/>
          <c:h val="0.8466534410471418"/>
        </c:manualLayout>
      </c:layout>
      <c:lineChart>
        <c:grouping val="standard"/>
        <c:varyColors val="0"/>
        <c:ser>
          <c:idx val="0"/>
          <c:order val="0"/>
          <c:tx>
            <c:strRef>
              <c:f>'Sheet1 (13)'!$B$6:$B$8</c:f>
              <c:strCache>
                <c:ptCount val="1"/>
                <c:pt idx="0">
                  <c:v>Post-init - ADALIMUMAB</c:v>
                </c:pt>
              </c:strCache>
            </c:strRef>
          </c:tx>
          <c:marker>
            <c:symbol val="none"/>
          </c:marker>
          <c:cat>
            <c:strRef>
              <c:f>'Sheet1 (13)'!$A$9:$A$142</c:f>
              <c:strCache>
                <c:ptCount val="133"/>
                <c:pt idx="0">
                  <c:v>-80</c:v>
                </c:pt>
                <c:pt idx="1">
                  <c:v>-79</c:v>
                </c:pt>
                <c:pt idx="2">
                  <c:v>-78</c:v>
                </c:pt>
                <c:pt idx="3">
                  <c:v>-77</c:v>
                </c:pt>
                <c:pt idx="4">
                  <c:v>-76</c:v>
                </c:pt>
                <c:pt idx="5">
                  <c:v>-75</c:v>
                </c:pt>
                <c:pt idx="6">
                  <c:v>-74</c:v>
                </c:pt>
                <c:pt idx="7">
                  <c:v>-73</c:v>
                </c:pt>
                <c:pt idx="8">
                  <c:v>-72</c:v>
                </c:pt>
                <c:pt idx="9">
                  <c:v>-71</c:v>
                </c:pt>
                <c:pt idx="10">
                  <c:v>-70</c:v>
                </c:pt>
                <c:pt idx="11">
                  <c:v>-69</c:v>
                </c:pt>
                <c:pt idx="12">
                  <c:v>-68</c:v>
                </c:pt>
                <c:pt idx="13">
                  <c:v>-67</c:v>
                </c:pt>
                <c:pt idx="14">
                  <c:v>-66</c:v>
                </c:pt>
                <c:pt idx="15">
                  <c:v>-65</c:v>
                </c:pt>
                <c:pt idx="16">
                  <c:v>-64</c:v>
                </c:pt>
                <c:pt idx="17">
                  <c:v>-63</c:v>
                </c:pt>
                <c:pt idx="18">
                  <c:v>-62</c:v>
                </c:pt>
                <c:pt idx="19">
                  <c:v>-61</c:v>
                </c:pt>
                <c:pt idx="20">
                  <c:v>-60</c:v>
                </c:pt>
                <c:pt idx="21">
                  <c:v>-59</c:v>
                </c:pt>
                <c:pt idx="22">
                  <c:v>-58</c:v>
                </c:pt>
                <c:pt idx="23">
                  <c:v>-57</c:v>
                </c:pt>
                <c:pt idx="24">
                  <c:v>-56</c:v>
                </c:pt>
                <c:pt idx="25">
                  <c:v>-55</c:v>
                </c:pt>
                <c:pt idx="26">
                  <c:v>-54</c:v>
                </c:pt>
                <c:pt idx="27">
                  <c:v>-53</c:v>
                </c:pt>
                <c:pt idx="28">
                  <c:v>-52</c:v>
                </c:pt>
                <c:pt idx="29">
                  <c:v>-51</c:v>
                </c:pt>
                <c:pt idx="30">
                  <c:v>-50</c:v>
                </c:pt>
                <c:pt idx="31">
                  <c:v>-49</c:v>
                </c:pt>
                <c:pt idx="32">
                  <c:v>-48</c:v>
                </c:pt>
                <c:pt idx="33">
                  <c:v>-47</c:v>
                </c:pt>
                <c:pt idx="34">
                  <c:v>-46</c:v>
                </c:pt>
                <c:pt idx="35">
                  <c:v>-45</c:v>
                </c:pt>
                <c:pt idx="36">
                  <c:v>-44</c:v>
                </c:pt>
                <c:pt idx="37">
                  <c:v>-43</c:v>
                </c:pt>
                <c:pt idx="38">
                  <c:v>-42</c:v>
                </c:pt>
                <c:pt idx="39">
                  <c:v>-41</c:v>
                </c:pt>
                <c:pt idx="40">
                  <c:v>-40</c:v>
                </c:pt>
                <c:pt idx="41">
                  <c:v>-39</c:v>
                </c:pt>
                <c:pt idx="42">
                  <c:v>-38</c:v>
                </c:pt>
                <c:pt idx="43">
                  <c:v>-37</c:v>
                </c:pt>
                <c:pt idx="44">
                  <c:v>-36</c:v>
                </c:pt>
                <c:pt idx="45">
                  <c:v>-35</c:v>
                </c:pt>
                <c:pt idx="46">
                  <c:v>-34</c:v>
                </c:pt>
                <c:pt idx="47">
                  <c:v>-33</c:v>
                </c:pt>
                <c:pt idx="48">
                  <c:v>-32</c:v>
                </c:pt>
                <c:pt idx="49">
                  <c:v>-31</c:v>
                </c:pt>
                <c:pt idx="50">
                  <c:v>-30</c:v>
                </c:pt>
                <c:pt idx="51">
                  <c:v>-29</c:v>
                </c:pt>
                <c:pt idx="52">
                  <c:v>-28</c:v>
                </c:pt>
                <c:pt idx="53">
                  <c:v>-27</c:v>
                </c:pt>
                <c:pt idx="54">
                  <c:v>-26</c:v>
                </c:pt>
                <c:pt idx="55">
                  <c:v>-25</c:v>
                </c:pt>
                <c:pt idx="56">
                  <c:v>-24</c:v>
                </c:pt>
                <c:pt idx="57">
                  <c:v>-23</c:v>
                </c:pt>
                <c:pt idx="58">
                  <c:v>-22</c:v>
                </c:pt>
                <c:pt idx="59">
                  <c:v>-21</c:v>
                </c:pt>
                <c:pt idx="60">
                  <c:v>-20</c:v>
                </c:pt>
                <c:pt idx="61">
                  <c:v>-19</c:v>
                </c:pt>
                <c:pt idx="62">
                  <c:v>-18</c:v>
                </c:pt>
                <c:pt idx="63">
                  <c:v>-17</c:v>
                </c:pt>
                <c:pt idx="64">
                  <c:v>-16</c:v>
                </c:pt>
                <c:pt idx="65">
                  <c:v>-15</c:v>
                </c:pt>
                <c:pt idx="66">
                  <c:v>-14</c:v>
                </c:pt>
                <c:pt idx="67">
                  <c:v>-13</c:v>
                </c:pt>
                <c:pt idx="68">
                  <c:v>-12</c:v>
                </c:pt>
                <c:pt idx="69">
                  <c:v>-11</c:v>
                </c:pt>
                <c:pt idx="70">
                  <c:v>-10</c:v>
                </c:pt>
                <c:pt idx="71">
                  <c:v>-9</c:v>
                </c:pt>
                <c:pt idx="72">
                  <c:v>-8</c:v>
                </c:pt>
                <c:pt idx="73">
                  <c:v>-7</c:v>
                </c:pt>
                <c:pt idx="74">
                  <c:v>-6</c:v>
                </c:pt>
                <c:pt idx="75">
                  <c:v>-5</c:v>
                </c:pt>
                <c:pt idx="76">
                  <c:v>-4</c:v>
                </c:pt>
                <c:pt idx="77">
                  <c:v>-3</c:v>
                </c:pt>
                <c:pt idx="78">
                  <c:v>-2</c:v>
                </c:pt>
                <c:pt idx="79">
                  <c:v>-1</c:v>
                </c:pt>
                <c:pt idx="80">
                  <c:v>0</c:v>
                </c:pt>
                <c:pt idx="81">
                  <c:v>1</c:v>
                </c:pt>
                <c:pt idx="82">
                  <c:v>2</c:v>
                </c:pt>
                <c:pt idx="83">
                  <c:v>3</c:v>
                </c:pt>
                <c:pt idx="84">
                  <c:v>4</c:v>
                </c:pt>
                <c:pt idx="85">
                  <c:v>5</c:v>
                </c:pt>
                <c:pt idx="86">
                  <c:v>6</c:v>
                </c:pt>
                <c:pt idx="87">
                  <c:v>7</c:v>
                </c:pt>
                <c:pt idx="88">
                  <c:v>8</c:v>
                </c:pt>
                <c:pt idx="89">
                  <c:v>9</c:v>
                </c:pt>
                <c:pt idx="90">
                  <c:v>10</c:v>
                </c:pt>
                <c:pt idx="91">
                  <c:v>11</c:v>
                </c:pt>
                <c:pt idx="92">
                  <c:v>12</c:v>
                </c:pt>
                <c:pt idx="93">
                  <c:v>13</c:v>
                </c:pt>
                <c:pt idx="94">
                  <c:v>14</c:v>
                </c:pt>
                <c:pt idx="95">
                  <c:v>15</c:v>
                </c:pt>
                <c:pt idx="96">
                  <c:v>16</c:v>
                </c:pt>
                <c:pt idx="97">
                  <c:v>17</c:v>
                </c:pt>
                <c:pt idx="98">
                  <c:v>18</c:v>
                </c:pt>
                <c:pt idx="99">
                  <c:v>19</c:v>
                </c:pt>
                <c:pt idx="100">
                  <c:v>20</c:v>
                </c:pt>
                <c:pt idx="101">
                  <c:v>21</c:v>
                </c:pt>
                <c:pt idx="102">
                  <c:v>22</c:v>
                </c:pt>
                <c:pt idx="103">
                  <c:v>23</c:v>
                </c:pt>
                <c:pt idx="104">
                  <c:v>24</c:v>
                </c:pt>
                <c:pt idx="105">
                  <c:v>25</c:v>
                </c:pt>
                <c:pt idx="106">
                  <c:v>26</c:v>
                </c:pt>
                <c:pt idx="107">
                  <c:v>27</c:v>
                </c:pt>
                <c:pt idx="108">
                  <c:v>28</c:v>
                </c:pt>
                <c:pt idx="109">
                  <c:v>29</c:v>
                </c:pt>
                <c:pt idx="110">
                  <c:v>30</c:v>
                </c:pt>
                <c:pt idx="111">
                  <c:v>31</c:v>
                </c:pt>
                <c:pt idx="112">
                  <c:v>32</c:v>
                </c:pt>
                <c:pt idx="113">
                  <c:v>33</c:v>
                </c:pt>
                <c:pt idx="114">
                  <c:v>34</c:v>
                </c:pt>
                <c:pt idx="115">
                  <c:v>35</c:v>
                </c:pt>
                <c:pt idx="116">
                  <c:v>36</c:v>
                </c:pt>
                <c:pt idx="117">
                  <c:v>37</c:v>
                </c:pt>
                <c:pt idx="118">
                  <c:v>38</c:v>
                </c:pt>
                <c:pt idx="119">
                  <c:v>39</c:v>
                </c:pt>
                <c:pt idx="120">
                  <c:v>40</c:v>
                </c:pt>
                <c:pt idx="121">
                  <c:v>41</c:v>
                </c:pt>
                <c:pt idx="122">
                  <c:v>42</c:v>
                </c:pt>
                <c:pt idx="123">
                  <c:v>43</c:v>
                </c:pt>
                <c:pt idx="124">
                  <c:v>44</c:v>
                </c:pt>
                <c:pt idx="125">
                  <c:v>45</c:v>
                </c:pt>
                <c:pt idx="126">
                  <c:v>46</c:v>
                </c:pt>
                <c:pt idx="127">
                  <c:v>47</c:v>
                </c:pt>
                <c:pt idx="128">
                  <c:v>48</c:v>
                </c:pt>
                <c:pt idx="129">
                  <c:v>49</c:v>
                </c:pt>
                <c:pt idx="130">
                  <c:v>50</c:v>
                </c:pt>
                <c:pt idx="131">
                  <c:v>51</c:v>
                </c:pt>
                <c:pt idx="132">
                  <c:v>52</c:v>
                </c:pt>
              </c:strCache>
            </c:strRef>
          </c:cat>
          <c:val>
            <c:numRef>
              <c:f>'Sheet1 (13)'!$B$9:$B$142</c:f>
              <c:numCache>
                <c:formatCode>General</c:formatCode>
                <c:ptCount val="133"/>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200</c:v>
                </c:pt>
                <c:pt idx="81">
                  <c:v>200</c:v>
                </c:pt>
                <c:pt idx="82">
                  <c:v>199</c:v>
                </c:pt>
                <c:pt idx="83">
                  <c:v>198</c:v>
                </c:pt>
                <c:pt idx="84">
                  <c:v>197</c:v>
                </c:pt>
                <c:pt idx="85">
                  <c:v>191</c:v>
                </c:pt>
                <c:pt idx="86">
                  <c:v>193</c:v>
                </c:pt>
                <c:pt idx="87">
                  <c:v>191</c:v>
                </c:pt>
                <c:pt idx="88">
                  <c:v>194</c:v>
                </c:pt>
                <c:pt idx="89">
                  <c:v>189</c:v>
                </c:pt>
                <c:pt idx="90">
                  <c:v>191</c:v>
                </c:pt>
                <c:pt idx="91">
                  <c:v>194</c:v>
                </c:pt>
                <c:pt idx="92">
                  <c:v>192</c:v>
                </c:pt>
                <c:pt idx="93">
                  <c:v>185</c:v>
                </c:pt>
                <c:pt idx="94">
                  <c:v>182</c:v>
                </c:pt>
                <c:pt idx="95">
                  <c:v>183</c:v>
                </c:pt>
                <c:pt idx="96">
                  <c:v>180</c:v>
                </c:pt>
                <c:pt idx="97">
                  <c:v>172</c:v>
                </c:pt>
                <c:pt idx="98">
                  <c:v>174</c:v>
                </c:pt>
                <c:pt idx="99">
                  <c:v>173</c:v>
                </c:pt>
                <c:pt idx="100">
                  <c:v>177</c:v>
                </c:pt>
                <c:pt idx="101">
                  <c:v>176</c:v>
                </c:pt>
                <c:pt idx="102">
                  <c:v>175</c:v>
                </c:pt>
                <c:pt idx="103">
                  <c:v>176</c:v>
                </c:pt>
                <c:pt idx="104">
                  <c:v>177</c:v>
                </c:pt>
                <c:pt idx="105">
                  <c:v>174</c:v>
                </c:pt>
                <c:pt idx="106">
                  <c:v>177</c:v>
                </c:pt>
                <c:pt idx="107">
                  <c:v>176</c:v>
                </c:pt>
                <c:pt idx="108">
                  <c:v>171</c:v>
                </c:pt>
                <c:pt idx="109">
                  <c:v>170</c:v>
                </c:pt>
                <c:pt idx="110">
                  <c:v>166</c:v>
                </c:pt>
                <c:pt idx="111">
                  <c:v>166</c:v>
                </c:pt>
                <c:pt idx="112">
                  <c:v>174</c:v>
                </c:pt>
                <c:pt idx="113">
                  <c:v>176</c:v>
                </c:pt>
                <c:pt idx="114">
                  <c:v>174</c:v>
                </c:pt>
                <c:pt idx="115">
                  <c:v>172</c:v>
                </c:pt>
                <c:pt idx="116">
                  <c:v>173</c:v>
                </c:pt>
                <c:pt idx="117">
                  <c:v>170</c:v>
                </c:pt>
                <c:pt idx="118">
                  <c:v>168</c:v>
                </c:pt>
                <c:pt idx="119">
                  <c:v>163</c:v>
                </c:pt>
                <c:pt idx="120">
                  <c:v>160</c:v>
                </c:pt>
                <c:pt idx="121">
                  <c:v>160</c:v>
                </c:pt>
                <c:pt idx="122">
                  <c:v>157</c:v>
                </c:pt>
                <c:pt idx="123">
                  <c:v>157</c:v>
                </c:pt>
                <c:pt idx="124">
                  <c:v>164</c:v>
                </c:pt>
                <c:pt idx="125">
                  <c:v>164</c:v>
                </c:pt>
                <c:pt idx="126">
                  <c:v>162</c:v>
                </c:pt>
                <c:pt idx="127">
                  <c:v>161</c:v>
                </c:pt>
                <c:pt idx="128">
                  <c:v>161</c:v>
                </c:pt>
                <c:pt idx="129">
                  <c:v>166</c:v>
                </c:pt>
                <c:pt idx="130">
                  <c:v>164</c:v>
                </c:pt>
                <c:pt idx="131">
                  <c:v>165</c:v>
                </c:pt>
                <c:pt idx="132">
                  <c:v>163</c:v>
                </c:pt>
              </c:numCache>
            </c:numRef>
          </c:val>
          <c:smooth val="0"/>
        </c:ser>
        <c:ser>
          <c:idx val="1"/>
          <c:order val="1"/>
          <c:tx>
            <c:strRef>
              <c:f>'Sheet1 (13)'!$C$6:$C$8</c:f>
              <c:strCache>
                <c:ptCount val="1"/>
                <c:pt idx="0">
                  <c:v>Post-init - ADALIMUMAB+METHOTREXATE</c:v>
                </c:pt>
              </c:strCache>
            </c:strRef>
          </c:tx>
          <c:marker>
            <c:symbol val="none"/>
          </c:marker>
          <c:cat>
            <c:strRef>
              <c:f>'Sheet1 (13)'!$A$9:$A$142</c:f>
              <c:strCache>
                <c:ptCount val="133"/>
                <c:pt idx="0">
                  <c:v>-80</c:v>
                </c:pt>
                <c:pt idx="1">
                  <c:v>-79</c:v>
                </c:pt>
                <c:pt idx="2">
                  <c:v>-78</c:v>
                </c:pt>
                <c:pt idx="3">
                  <c:v>-77</c:v>
                </c:pt>
                <c:pt idx="4">
                  <c:v>-76</c:v>
                </c:pt>
                <c:pt idx="5">
                  <c:v>-75</c:v>
                </c:pt>
                <c:pt idx="6">
                  <c:v>-74</c:v>
                </c:pt>
                <c:pt idx="7">
                  <c:v>-73</c:v>
                </c:pt>
                <c:pt idx="8">
                  <c:v>-72</c:v>
                </c:pt>
                <c:pt idx="9">
                  <c:v>-71</c:v>
                </c:pt>
                <c:pt idx="10">
                  <c:v>-70</c:v>
                </c:pt>
                <c:pt idx="11">
                  <c:v>-69</c:v>
                </c:pt>
                <c:pt idx="12">
                  <c:v>-68</c:v>
                </c:pt>
                <c:pt idx="13">
                  <c:v>-67</c:v>
                </c:pt>
                <c:pt idx="14">
                  <c:v>-66</c:v>
                </c:pt>
                <c:pt idx="15">
                  <c:v>-65</c:v>
                </c:pt>
                <c:pt idx="16">
                  <c:v>-64</c:v>
                </c:pt>
                <c:pt idx="17">
                  <c:v>-63</c:v>
                </c:pt>
                <c:pt idx="18">
                  <c:v>-62</c:v>
                </c:pt>
                <c:pt idx="19">
                  <c:v>-61</c:v>
                </c:pt>
                <c:pt idx="20">
                  <c:v>-60</c:v>
                </c:pt>
                <c:pt idx="21">
                  <c:v>-59</c:v>
                </c:pt>
                <c:pt idx="22">
                  <c:v>-58</c:v>
                </c:pt>
                <c:pt idx="23">
                  <c:v>-57</c:v>
                </c:pt>
                <c:pt idx="24">
                  <c:v>-56</c:v>
                </c:pt>
                <c:pt idx="25">
                  <c:v>-55</c:v>
                </c:pt>
                <c:pt idx="26">
                  <c:v>-54</c:v>
                </c:pt>
                <c:pt idx="27">
                  <c:v>-53</c:v>
                </c:pt>
                <c:pt idx="28">
                  <c:v>-52</c:v>
                </c:pt>
                <c:pt idx="29">
                  <c:v>-51</c:v>
                </c:pt>
                <c:pt idx="30">
                  <c:v>-50</c:v>
                </c:pt>
                <c:pt idx="31">
                  <c:v>-49</c:v>
                </c:pt>
                <c:pt idx="32">
                  <c:v>-48</c:v>
                </c:pt>
                <c:pt idx="33">
                  <c:v>-47</c:v>
                </c:pt>
                <c:pt idx="34">
                  <c:v>-46</c:v>
                </c:pt>
                <c:pt idx="35">
                  <c:v>-45</c:v>
                </c:pt>
                <c:pt idx="36">
                  <c:v>-44</c:v>
                </c:pt>
                <c:pt idx="37">
                  <c:v>-43</c:v>
                </c:pt>
                <c:pt idx="38">
                  <c:v>-42</c:v>
                </c:pt>
                <c:pt idx="39">
                  <c:v>-41</c:v>
                </c:pt>
                <c:pt idx="40">
                  <c:v>-40</c:v>
                </c:pt>
                <c:pt idx="41">
                  <c:v>-39</c:v>
                </c:pt>
                <c:pt idx="42">
                  <c:v>-38</c:v>
                </c:pt>
                <c:pt idx="43">
                  <c:v>-37</c:v>
                </c:pt>
                <c:pt idx="44">
                  <c:v>-36</c:v>
                </c:pt>
                <c:pt idx="45">
                  <c:v>-35</c:v>
                </c:pt>
                <c:pt idx="46">
                  <c:v>-34</c:v>
                </c:pt>
                <c:pt idx="47">
                  <c:v>-33</c:v>
                </c:pt>
                <c:pt idx="48">
                  <c:v>-32</c:v>
                </c:pt>
                <c:pt idx="49">
                  <c:v>-31</c:v>
                </c:pt>
                <c:pt idx="50">
                  <c:v>-30</c:v>
                </c:pt>
                <c:pt idx="51">
                  <c:v>-29</c:v>
                </c:pt>
                <c:pt idx="52">
                  <c:v>-28</c:v>
                </c:pt>
                <c:pt idx="53">
                  <c:v>-27</c:v>
                </c:pt>
                <c:pt idx="54">
                  <c:v>-26</c:v>
                </c:pt>
                <c:pt idx="55">
                  <c:v>-25</c:v>
                </c:pt>
                <c:pt idx="56">
                  <c:v>-24</c:v>
                </c:pt>
                <c:pt idx="57">
                  <c:v>-23</c:v>
                </c:pt>
                <c:pt idx="58">
                  <c:v>-22</c:v>
                </c:pt>
                <c:pt idx="59">
                  <c:v>-21</c:v>
                </c:pt>
                <c:pt idx="60">
                  <c:v>-20</c:v>
                </c:pt>
                <c:pt idx="61">
                  <c:v>-19</c:v>
                </c:pt>
                <c:pt idx="62">
                  <c:v>-18</c:v>
                </c:pt>
                <c:pt idx="63">
                  <c:v>-17</c:v>
                </c:pt>
                <c:pt idx="64">
                  <c:v>-16</c:v>
                </c:pt>
                <c:pt idx="65">
                  <c:v>-15</c:v>
                </c:pt>
                <c:pt idx="66">
                  <c:v>-14</c:v>
                </c:pt>
                <c:pt idx="67">
                  <c:v>-13</c:v>
                </c:pt>
                <c:pt idx="68">
                  <c:v>-12</c:v>
                </c:pt>
                <c:pt idx="69">
                  <c:v>-11</c:v>
                </c:pt>
                <c:pt idx="70">
                  <c:v>-10</c:v>
                </c:pt>
                <c:pt idx="71">
                  <c:v>-9</c:v>
                </c:pt>
                <c:pt idx="72">
                  <c:v>-8</c:v>
                </c:pt>
                <c:pt idx="73">
                  <c:v>-7</c:v>
                </c:pt>
                <c:pt idx="74">
                  <c:v>-6</c:v>
                </c:pt>
                <c:pt idx="75">
                  <c:v>-5</c:v>
                </c:pt>
                <c:pt idx="76">
                  <c:v>-4</c:v>
                </c:pt>
                <c:pt idx="77">
                  <c:v>-3</c:v>
                </c:pt>
                <c:pt idx="78">
                  <c:v>-2</c:v>
                </c:pt>
                <c:pt idx="79">
                  <c:v>-1</c:v>
                </c:pt>
                <c:pt idx="80">
                  <c:v>0</c:v>
                </c:pt>
                <c:pt idx="81">
                  <c:v>1</c:v>
                </c:pt>
                <c:pt idx="82">
                  <c:v>2</c:v>
                </c:pt>
                <c:pt idx="83">
                  <c:v>3</c:v>
                </c:pt>
                <c:pt idx="84">
                  <c:v>4</c:v>
                </c:pt>
                <c:pt idx="85">
                  <c:v>5</c:v>
                </c:pt>
                <c:pt idx="86">
                  <c:v>6</c:v>
                </c:pt>
                <c:pt idx="87">
                  <c:v>7</c:v>
                </c:pt>
                <c:pt idx="88">
                  <c:v>8</c:v>
                </c:pt>
                <c:pt idx="89">
                  <c:v>9</c:v>
                </c:pt>
                <c:pt idx="90">
                  <c:v>10</c:v>
                </c:pt>
                <c:pt idx="91">
                  <c:v>11</c:v>
                </c:pt>
                <c:pt idx="92">
                  <c:v>12</c:v>
                </c:pt>
                <c:pt idx="93">
                  <c:v>13</c:v>
                </c:pt>
                <c:pt idx="94">
                  <c:v>14</c:v>
                </c:pt>
                <c:pt idx="95">
                  <c:v>15</c:v>
                </c:pt>
                <c:pt idx="96">
                  <c:v>16</c:v>
                </c:pt>
                <c:pt idx="97">
                  <c:v>17</c:v>
                </c:pt>
                <c:pt idx="98">
                  <c:v>18</c:v>
                </c:pt>
                <c:pt idx="99">
                  <c:v>19</c:v>
                </c:pt>
                <c:pt idx="100">
                  <c:v>20</c:v>
                </c:pt>
                <c:pt idx="101">
                  <c:v>21</c:v>
                </c:pt>
                <c:pt idx="102">
                  <c:v>22</c:v>
                </c:pt>
                <c:pt idx="103">
                  <c:v>23</c:v>
                </c:pt>
                <c:pt idx="104">
                  <c:v>24</c:v>
                </c:pt>
                <c:pt idx="105">
                  <c:v>25</c:v>
                </c:pt>
                <c:pt idx="106">
                  <c:v>26</c:v>
                </c:pt>
                <c:pt idx="107">
                  <c:v>27</c:v>
                </c:pt>
                <c:pt idx="108">
                  <c:v>28</c:v>
                </c:pt>
                <c:pt idx="109">
                  <c:v>29</c:v>
                </c:pt>
                <c:pt idx="110">
                  <c:v>30</c:v>
                </c:pt>
                <c:pt idx="111">
                  <c:v>31</c:v>
                </c:pt>
                <c:pt idx="112">
                  <c:v>32</c:v>
                </c:pt>
                <c:pt idx="113">
                  <c:v>33</c:v>
                </c:pt>
                <c:pt idx="114">
                  <c:v>34</c:v>
                </c:pt>
                <c:pt idx="115">
                  <c:v>35</c:v>
                </c:pt>
                <c:pt idx="116">
                  <c:v>36</c:v>
                </c:pt>
                <c:pt idx="117">
                  <c:v>37</c:v>
                </c:pt>
                <c:pt idx="118">
                  <c:v>38</c:v>
                </c:pt>
                <c:pt idx="119">
                  <c:v>39</c:v>
                </c:pt>
                <c:pt idx="120">
                  <c:v>40</c:v>
                </c:pt>
                <c:pt idx="121">
                  <c:v>41</c:v>
                </c:pt>
                <c:pt idx="122">
                  <c:v>42</c:v>
                </c:pt>
                <c:pt idx="123">
                  <c:v>43</c:v>
                </c:pt>
                <c:pt idx="124">
                  <c:v>44</c:v>
                </c:pt>
                <c:pt idx="125">
                  <c:v>45</c:v>
                </c:pt>
                <c:pt idx="126">
                  <c:v>46</c:v>
                </c:pt>
                <c:pt idx="127">
                  <c:v>47</c:v>
                </c:pt>
                <c:pt idx="128">
                  <c:v>48</c:v>
                </c:pt>
                <c:pt idx="129">
                  <c:v>49</c:v>
                </c:pt>
                <c:pt idx="130">
                  <c:v>50</c:v>
                </c:pt>
                <c:pt idx="131">
                  <c:v>51</c:v>
                </c:pt>
                <c:pt idx="132">
                  <c:v>52</c:v>
                </c:pt>
              </c:strCache>
            </c:strRef>
          </c:cat>
          <c:val>
            <c:numRef>
              <c:f>'Sheet1 (13)'!$C$9:$C$142</c:f>
              <c:numCache>
                <c:formatCode>General</c:formatCode>
                <c:ptCount val="133"/>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163</c:v>
                </c:pt>
                <c:pt idx="81">
                  <c:v>162</c:v>
                </c:pt>
                <c:pt idx="82">
                  <c:v>163</c:v>
                </c:pt>
                <c:pt idx="83">
                  <c:v>163</c:v>
                </c:pt>
                <c:pt idx="84">
                  <c:v>163</c:v>
                </c:pt>
                <c:pt idx="85">
                  <c:v>160</c:v>
                </c:pt>
                <c:pt idx="86">
                  <c:v>158</c:v>
                </c:pt>
                <c:pt idx="87">
                  <c:v>159</c:v>
                </c:pt>
                <c:pt idx="88">
                  <c:v>162</c:v>
                </c:pt>
                <c:pt idx="89">
                  <c:v>163</c:v>
                </c:pt>
                <c:pt idx="90">
                  <c:v>166</c:v>
                </c:pt>
                <c:pt idx="91">
                  <c:v>164</c:v>
                </c:pt>
                <c:pt idx="92">
                  <c:v>166</c:v>
                </c:pt>
                <c:pt idx="93">
                  <c:v>162</c:v>
                </c:pt>
                <c:pt idx="94">
                  <c:v>164</c:v>
                </c:pt>
                <c:pt idx="95">
                  <c:v>162</c:v>
                </c:pt>
                <c:pt idx="96">
                  <c:v>163</c:v>
                </c:pt>
                <c:pt idx="97">
                  <c:v>162</c:v>
                </c:pt>
                <c:pt idx="98">
                  <c:v>164</c:v>
                </c:pt>
                <c:pt idx="99">
                  <c:v>167</c:v>
                </c:pt>
                <c:pt idx="100">
                  <c:v>165</c:v>
                </c:pt>
                <c:pt idx="101">
                  <c:v>168</c:v>
                </c:pt>
                <c:pt idx="102">
                  <c:v>168</c:v>
                </c:pt>
                <c:pt idx="103">
                  <c:v>166</c:v>
                </c:pt>
                <c:pt idx="104">
                  <c:v>165</c:v>
                </c:pt>
                <c:pt idx="105">
                  <c:v>165</c:v>
                </c:pt>
                <c:pt idx="106">
                  <c:v>162</c:v>
                </c:pt>
                <c:pt idx="107">
                  <c:v>160</c:v>
                </c:pt>
                <c:pt idx="108">
                  <c:v>163</c:v>
                </c:pt>
                <c:pt idx="109">
                  <c:v>162</c:v>
                </c:pt>
                <c:pt idx="110">
                  <c:v>161</c:v>
                </c:pt>
                <c:pt idx="111">
                  <c:v>162</c:v>
                </c:pt>
                <c:pt idx="112">
                  <c:v>159</c:v>
                </c:pt>
                <c:pt idx="113">
                  <c:v>158</c:v>
                </c:pt>
                <c:pt idx="114">
                  <c:v>157</c:v>
                </c:pt>
                <c:pt idx="115">
                  <c:v>156</c:v>
                </c:pt>
                <c:pt idx="116">
                  <c:v>156</c:v>
                </c:pt>
                <c:pt idx="117">
                  <c:v>158</c:v>
                </c:pt>
                <c:pt idx="118">
                  <c:v>159</c:v>
                </c:pt>
                <c:pt idx="119">
                  <c:v>161</c:v>
                </c:pt>
                <c:pt idx="120">
                  <c:v>159</c:v>
                </c:pt>
                <c:pt idx="121">
                  <c:v>156</c:v>
                </c:pt>
                <c:pt idx="122">
                  <c:v>158</c:v>
                </c:pt>
                <c:pt idx="123">
                  <c:v>160</c:v>
                </c:pt>
                <c:pt idx="124">
                  <c:v>160</c:v>
                </c:pt>
                <c:pt idx="125">
                  <c:v>160</c:v>
                </c:pt>
                <c:pt idx="126">
                  <c:v>161</c:v>
                </c:pt>
                <c:pt idx="127">
                  <c:v>162</c:v>
                </c:pt>
                <c:pt idx="128">
                  <c:v>161</c:v>
                </c:pt>
                <c:pt idx="129">
                  <c:v>159</c:v>
                </c:pt>
                <c:pt idx="130">
                  <c:v>157</c:v>
                </c:pt>
                <c:pt idx="131">
                  <c:v>157</c:v>
                </c:pt>
                <c:pt idx="132">
                  <c:v>159</c:v>
                </c:pt>
              </c:numCache>
            </c:numRef>
          </c:val>
          <c:smooth val="0"/>
        </c:ser>
        <c:ser>
          <c:idx val="2"/>
          <c:order val="2"/>
          <c:tx>
            <c:strRef>
              <c:f>'Sheet1 (13)'!$D$6:$D$8</c:f>
              <c:strCache>
                <c:ptCount val="1"/>
                <c:pt idx="0">
                  <c:v>Post-init - ETANERCEPT</c:v>
                </c:pt>
              </c:strCache>
            </c:strRef>
          </c:tx>
          <c:marker>
            <c:symbol val="none"/>
          </c:marker>
          <c:cat>
            <c:strRef>
              <c:f>'Sheet1 (13)'!$A$9:$A$142</c:f>
              <c:strCache>
                <c:ptCount val="133"/>
                <c:pt idx="0">
                  <c:v>-80</c:v>
                </c:pt>
                <c:pt idx="1">
                  <c:v>-79</c:v>
                </c:pt>
                <c:pt idx="2">
                  <c:v>-78</c:v>
                </c:pt>
                <c:pt idx="3">
                  <c:v>-77</c:v>
                </c:pt>
                <c:pt idx="4">
                  <c:v>-76</c:v>
                </c:pt>
                <c:pt idx="5">
                  <c:v>-75</c:v>
                </c:pt>
                <c:pt idx="6">
                  <c:v>-74</c:v>
                </c:pt>
                <c:pt idx="7">
                  <c:v>-73</c:v>
                </c:pt>
                <c:pt idx="8">
                  <c:v>-72</c:v>
                </c:pt>
                <c:pt idx="9">
                  <c:v>-71</c:v>
                </c:pt>
                <c:pt idx="10">
                  <c:v>-70</c:v>
                </c:pt>
                <c:pt idx="11">
                  <c:v>-69</c:v>
                </c:pt>
                <c:pt idx="12">
                  <c:v>-68</c:v>
                </c:pt>
                <c:pt idx="13">
                  <c:v>-67</c:v>
                </c:pt>
                <c:pt idx="14">
                  <c:v>-66</c:v>
                </c:pt>
                <c:pt idx="15">
                  <c:v>-65</c:v>
                </c:pt>
                <c:pt idx="16">
                  <c:v>-64</c:v>
                </c:pt>
                <c:pt idx="17">
                  <c:v>-63</c:v>
                </c:pt>
                <c:pt idx="18">
                  <c:v>-62</c:v>
                </c:pt>
                <c:pt idx="19">
                  <c:v>-61</c:v>
                </c:pt>
                <c:pt idx="20">
                  <c:v>-60</c:v>
                </c:pt>
                <c:pt idx="21">
                  <c:v>-59</c:v>
                </c:pt>
                <c:pt idx="22">
                  <c:v>-58</c:v>
                </c:pt>
                <c:pt idx="23">
                  <c:v>-57</c:v>
                </c:pt>
                <c:pt idx="24">
                  <c:v>-56</c:v>
                </c:pt>
                <c:pt idx="25">
                  <c:v>-55</c:v>
                </c:pt>
                <c:pt idx="26">
                  <c:v>-54</c:v>
                </c:pt>
                <c:pt idx="27">
                  <c:v>-53</c:v>
                </c:pt>
                <c:pt idx="28">
                  <c:v>-52</c:v>
                </c:pt>
                <c:pt idx="29">
                  <c:v>-51</c:v>
                </c:pt>
                <c:pt idx="30">
                  <c:v>-50</c:v>
                </c:pt>
                <c:pt idx="31">
                  <c:v>-49</c:v>
                </c:pt>
                <c:pt idx="32">
                  <c:v>-48</c:v>
                </c:pt>
                <c:pt idx="33">
                  <c:v>-47</c:v>
                </c:pt>
                <c:pt idx="34">
                  <c:v>-46</c:v>
                </c:pt>
                <c:pt idx="35">
                  <c:v>-45</c:v>
                </c:pt>
                <c:pt idx="36">
                  <c:v>-44</c:v>
                </c:pt>
                <c:pt idx="37">
                  <c:v>-43</c:v>
                </c:pt>
                <c:pt idx="38">
                  <c:v>-42</c:v>
                </c:pt>
                <c:pt idx="39">
                  <c:v>-41</c:v>
                </c:pt>
                <c:pt idx="40">
                  <c:v>-40</c:v>
                </c:pt>
                <c:pt idx="41">
                  <c:v>-39</c:v>
                </c:pt>
                <c:pt idx="42">
                  <c:v>-38</c:v>
                </c:pt>
                <c:pt idx="43">
                  <c:v>-37</c:v>
                </c:pt>
                <c:pt idx="44">
                  <c:v>-36</c:v>
                </c:pt>
                <c:pt idx="45">
                  <c:v>-35</c:v>
                </c:pt>
                <c:pt idx="46">
                  <c:v>-34</c:v>
                </c:pt>
                <c:pt idx="47">
                  <c:v>-33</c:v>
                </c:pt>
                <c:pt idx="48">
                  <c:v>-32</c:v>
                </c:pt>
                <c:pt idx="49">
                  <c:v>-31</c:v>
                </c:pt>
                <c:pt idx="50">
                  <c:v>-30</c:v>
                </c:pt>
                <c:pt idx="51">
                  <c:v>-29</c:v>
                </c:pt>
                <c:pt idx="52">
                  <c:v>-28</c:v>
                </c:pt>
                <c:pt idx="53">
                  <c:v>-27</c:v>
                </c:pt>
                <c:pt idx="54">
                  <c:v>-26</c:v>
                </c:pt>
                <c:pt idx="55">
                  <c:v>-25</c:v>
                </c:pt>
                <c:pt idx="56">
                  <c:v>-24</c:v>
                </c:pt>
                <c:pt idx="57">
                  <c:v>-23</c:v>
                </c:pt>
                <c:pt idx="58">
                  <c:v>-22</c:v>
                </c:pt>
                <c:pt idx="59">
                  <c:v>-21</c:v>
                </c:pt>
                <c:pt idx="60">
                  <c:v>-20</c:v>
                </c:pt>
                <c:pt idx="61">
                  <c:v>-19</c:v>
                </c:pt>
                <c:pt idx="62">
                  <c:v>-18</c:v>
                </c:pt>
                <c:pt idx="63">
                  <c:v>-17</c:v>
                </c:pt>
                <c:pt idx="64">
                  <c:v>-16</c:v>
                </c:pt>
                <c:pt idx="65">
                  <c:v>-15</c:v>
                </c:pt>
                <c:pt idx="66">
                  <c:v>-14</c:v>
                </c:pt>
                <c:pt idx="67">
                  <c:v>-13</c:v>
                </c:pt>
                <c:pt idx="68">
                  <c:v>-12</c:v>
                </c:pt>
                <c:pt idx="69">
                  <c:v>-11</c:v>
                </c:pt>
                <c:pt idx="70">
                  <c:v>-10</c:v>
                </c:pt>
                <c:pt idx="71">
                  <c:v>-9</c:v>
                </c:pt>
                <c:pt idx="72">
                  <c:v>-8</c:v>
                </c:pt>
                <c:pt idx="73">
                  <c:v>-7</c:v>
                </c:pt>
                <c:pt idx="74">
                  <c:v>-6</c:v>
                </c:pt>
                <c:pt idx="75">
                  <c:v>-5</c:v>
                </c:pt>
                <c:pt idx="76">
                  <c:v>-4</c:v>
                </c:pt>
                <c:pt idx="77">
                  <c:v>-3</c:v>
                </c:pt>
                <c:pt idx="78">
                  <c:v>-2</c:v>
                </c:pt>
                <c:pt idx="79">
                  <c:v>-1</c:v>
                </c:pt>
                <c:pt idx="80">
                  <c:v>0</c:v>
                </c:pt>
                <c:pt idx="81">
                  <c:v>1</c:v>
                </c:pt>
                <c:pt idx="82">
                  <c:v>2</c:v>
                </c:pt>
                <c:pt idx="83">
                  <c:v>3</c:v>
                </c:pt>
                <c:pt idx="84">
                  <c:v>4</c:v>
                </c:pt>
                <c:pt idx="85">
                  <c:v>5</c:v>
                </c:pt>
                <c:pt idx="86">
                  <c:v>6</c:v>
                </c:pt>
                <c:pt idx="87">
                  <c:v>7</c:v>
                </c:pt>
                <c:pt idx="88">
                  <c:v>8</c:v>
                </c:pt>
                <c:pt idx="89">
                  <c:v>9</c:v>
                </c:pt>
                <c:pt idx="90">
                  <c:v>10</c:v>
                </c:pt>
                <c:pt idx="91">
                  <c:v>11</c:v>
                </c:pt>
                <c:pt idx="92">
                  <c:v>12</c:v>
                </c:pt>
                <c:pt idx="93">
                  <c:v>13</c:v>
                </c:pt>
                <c:pt idx="94">
                  <c:v>14</c:v>
                </c:pt>
                <c:pt idx="95">
                  <c:v>15</c:v>
                </c:pt>
                <c:pt idx="96">
                  <c:v>16</c:v>
                </c:pt>
                <c:pt idx="97">
                  <c:v>17</c:v>
                </c:pt>
                <c:pt idx="98">
                  <c:v>18</c:v>
                </c:pt>
                <c:pt idx="99">
                  <c:v>19</c:v>
                </c:pt>
                <c:pt idx="100">
                  <c:v>20</c:v>
                </c:pt>
                <c:pt idx="101">
                  <c:v>21</c:v>
                </c:pt>
                <c:pt idx="102">
                  <c:v>22</c:v>
                </c:pt>
                <c:pt idx="103">
                  <c:v>23</c:v>
                </c:pt>
                <c:pt idx="104">
                  <c:v>24</c:v>
                </c:pt>
                <c:pt idx="105">
                  <c:v>25</c:v>
                </c:pt>
                <c:pt idx="106">
                  <c:v>26</c:v>
                </c:pt>
                <c:pt idx="107">
                  <c:v>27</c:v>
                </c:pt>
                <c:pt idx="108">
                  <c:v>28</c:v>
                </c:pt>
                <c:pt idx="109">
                  <c:v>29</c:v>
                </c:pt>
                <c:pt idx="110">
                  <c:v>30</c:v>
                </c:pt>
                <c:pt idx="111">
                  <c:v>31</c:v>
                </c:pt>
                <c:pt idx="112">
                  <c:v>32</c:v>
                </c:pt>
                <c:pt idx="113">
                  <c:v>33</c:v>
                </c:pt>
                <c:pt idx="114">
                  <c:v>34</c:v>
                </c:pt>
                <c:pt idx="115">
                  <c:v>35</c:v>
                </c:pt>
                <c:pt idx="116">
                  <c:v>36</c:v>
                </c:pt>
                <c:pt idx="117">
                  <c:v>37</c:v>
                </c:pt>
                <c:pt idx="118">
                  <c:v>38</c:v>
                </c:pt>
                <c:pt idx="119">
                  <c:v>39</c:v>
                </c:pt>
                <c:pt idx="120">
                  <c:v>40</c:v>
                </c:pt>
                <c:pt idx="121">
                  <c:v>41</c:v>
                </c:pt>
                <c:pt idx="122">
                  <c:v>42</c:v>
                </c:pt>
                <c:pt idx="123">
                  <c:v>43</c:v>
                </c:pt>
                <c:pt idx="124">
                  <c:v>44</c:v>
                </c:pt>
                <c:pt idx="125">
                  <c:v>45</c:v>
                </c:pt>
                <c:pt idx="126">
                  <c:v>46</c:v>
                </c:pt>
                <c:pt idx="127">
                  <c:v>47</c:v>
                </c:pt>
                <c:pt idx="128">
                  <c:v>48</c:v>
                </c:pt>
                <c:pt idx="129">
                  <c:v>49</c:v>
                </c:pt>
                <c:pt idx="130">
                  <c:v>50</c:v>
                </c:pt>
                <c:pt idx="131">
                  <c:v>51</c:v>
                </c:pt>
                <c:pt idx="132">
                  <c:v>52</c:v>
                </c:pt>
              </c:strCache>
            </c:strRef>
          </c:cat>
          <c:val>
            <c:numRef>
              <c:f>'Sheet1 (13)'!$D$9:$D$142</c:f>
              <c:numCache>
                <c:formatCode>General</c:formatCode>
                <c:ptCount val="133"/>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89</c:v>
                </c:pt>
                <c:pt idx="81">
                  <c:v>89</c:v>
                </c:pt>
                <c:pt idx="82">
                  <c:v>89</c:v>
                </c:pt>
                <c:pt idx="83">
                  <c:v>89</c:v>
                </c:pt>
                <c:pt idx="84">
                  <c:v>89</c:v>
                </c:pt>
                <c:pt idx="85">
                  <c:v>80</c:v>
                </c:pt>
                <c:pt idx="86">
                  <c:v>81</c:v>
                </c:pt>
                <c:pt idx="87">
                  <c:v>81</c:v>
                </c:pt>
                <c:pt idx="88">
                  <c:v>81</c:v>
                </c:pt>
                <c:pt idx="89">
                  <c:v>72</c:v>
                </c:pt>
                <c:pt idx="90">
                  <c:v>72</c:v>
                </c:pt>
                <c:pt idx="91">
                  <c:v>71</c:v>
                </c:pt>
                <c:pt idx="92">
                  <c:v>74</c:v>
                </c:pt>
                <c:pt idx="93">
                  <c:v>73</c:v>
                </c:pt>
                <c:pt idx="94">
                  <c:v>72</c:v>
                </c:pt>
                <c:pt idx="95">
                  <c:v>76</c:v>
                </c:pt>
                <c:pt idx="96">
                  <c:v>75</c:v>
                </c:pt>
                <c:pt idx="97">
                  <c:v>80</c:v>
                </c:pt>
                <c:pt idx="98">
                  <c:v>79</c:v>
                </c:pt>
                <c:pt idx="99">
                  <c:v>79</c:v>
                </c:pt>
                <c:pt idx="100">
                  <c:v>78</c:v>
                </c:pt>
                <c:pt idx="101">
                  <c:v>78</c:v>
                </c:pt>
                <c:pt idx="102">
                  <c:v>79</c:v>
                </c:pt>
                <c:pt idx="103">
                  <c:v>80</c:v>
                </c:pt>
                <c:pt idx="104">
                  <c:v>79</c:v>
                </c:pt>
                <c:pt idx="105">
                  <c:v>79</c:v>
                </c:pt>
                <c:pt idx="106">
                  <c:v>76</c:v>
                </c:pt>
                <c:pt idx="107">
                  <c:v>77</c:v>
                </c:pt>
                <c:pt idx="108">
                  <c:v>78</c:v>
                </c:pt>
                <c:pt idx="109">
                  <c:v>77</c:v>
                </c:pt>
                <c:pt idx="110">
                  <c:v>82</c:v>
                </c:pt>
                <c:pt idx="111">
                  <c:v>82</c:v>
                </c:pt>
                <c:pt idx="112">
                  <c:v>81</c:v>
                </c:pt>
                <c:pt idx="113">
                  <c:v>81</c:v>
                </c:pt>
                <c:pt idx="114">
                  <c:v>84</c:v>
                </c:pt>
                <c:pt idx="115">
                  <c:v>88</c:v>
                </c:pt>
                <c:pt idx="116">
                  <c:v>88</c:v>
                </c:pt>
                <c:pt idx="117">
                  <c:v>86</c:v>
                </c:pt>
                <c:pt idx="118">
                  <c:v>84</c:v>
                </c:pt>
                <c:pt idx="119">
                  <c:v>83</c:v>
                </c:pt>
                <c:pt idx="120">
                  <c:v>82</c:v>
                </c:pt>
                <c:pt idx="121">
                  <c:v>79</c:v>
                </c:pt>
                <c:pt idx="122">
                  <c:v>83</c:v>
                </c:pt>
                <c:pt idx="123">
                  <c:v>84</c:v>
                </c:pt>
                <c:pt idx="124">
                  <c:v>81</c:v>
                </c:pt>
                <c:pt idx="125">
                  <c:v>83</c:v>
                </c:pt>
                <c:pt idx="126">
                  <c:v>82</c:v>
                </c:pt>
                <c:pt idx="127">
                  <c:v>83</c:v>
                </c:pt>
                <c:pt idx="128">
                  <c:v>82</c:v>
                </c:pt>
                <c:pt idx="129">
                  <c:v>81</c:v>
                </c:pt>
                <c:pt idx="130">
                  <c:v>83</c:v>
                </c:pt>
                <c:pt idx="131">
                  <c:v>83</c:v>
                </c:pt>
                <c:pt idx="132">
                  <c:v>85</c:v>
                </c:pt>
              </c:numCache>
            </c:numRef>
          </c:val>
          <c:smooth val="0"/>
        </c:ser>
        <c:ser>
          <c:idx val="3"/>
          <c:order val="3"/>
          <c:tx>
            <c:strRef>
              <c:f>'Sheet1 (13)'!$E$6:$E$8</c:f>
              <c:strCache>
                <c:ptCount val="1"/>
                <c:pt idx="0">
                  <c:v>Post-init - ETANERCEPT+METHOTREXATE</c:v>
                </c:pt>
              </c:strCache>
            </c:strRef>
          </c:tx>
          <c:marker>
            <c:symbol val="none"/>
          </c:marker>
          <c:cat>
            <c:strRef>
              <c:f>'Sheet1 (13)'!$A$9:$A$142</c:f>
              <c:strCache>
                <c:ptCount val="133"/>
                <c:pt idx="0">
                  <c:v>-80</c:v>
                </c:pt>
                <c:pt idx="1">
                  <c:v>-79</c:v>
                </c:pt>
                <c:pt idx="2">
                  <c:v>-78</c:v>
                </c:pt>
                <c:pt idx="3">
                  <c:v>-77</c:v>
                </c:pt>
                <c:pt idx="4">
                  <c:v>-76</c:v>
                </c:pt>
                <c:pt idx="5">
                  <c:v>-75</c:v>
                </c:pt>
                <c:pt idx="6">
                  <c:v>-74</c:v>
                </c:pt>
                <c:pt idx="7">
                  <c:v>-73</c:v>
                </c:pt>
                <c:pt idx="8">
                  <c:v>-72</c:v>
                </c:pt>
                <c:pt idx="9">
                  <c:v>-71</c:v>
                </c:pt>
                <c:pt idx="10">
                  <c:v>-70</c:v>
                </c:pt>
                <c:pt idx="11">
                  <c:v>-69</c:v>
                </c:pt>
                <c:pt idx="12">
                  <c:v>-68</c:v>
                </c:pt>
                <c:pt idx="13">
                  <c:v>-67</c:v>
                </c:pt>
                <c:pt idx="14">
                  <c:v>-66</c:v>
                </c:pt>
                <c:pt idx="15">
                  <c:v>-65</c:v>
                </c:pt>
                <c:pt idx="16">
                  <c:v>-64</c:v>
                </c:pt>
                <c:pt idx="17">
                  <c:v>-63</c:v>
                </c:pt>
                <c:pt idx="18">
                  <c:v>-62</c:v>
                </c:pt>
                <c:pt idx="19">
                  <c:v>-61</c:v>
                </c:pt>
                <c:pt idx="20">
                  <c:v>-60</c:v>
                </c:pt>
                <c:pt idx="21">
                  <c:v>-59</c:v>
                </c:pt>
                <c:pt idx="22">
                  <c:v>-58</c:v>
                </c:pt>
                <c:pt idx="23">
                  <c:v>-57</c:v>
                </c:pt>
                <c:pt idx="24">
                  <c:v>-56</c:v>
                </c:pt>
                <c:pt idx="25">
                  <c:v>-55</c:v>
                </c:pt>
                <c:pt idx="26">
                  <c:v>-54</c:v>
                </c:pt>
                <c:pt idx="27">
                  <c:v>-53</c:v>
                </c:pt>
                <c:pt idx="28">
                  <c:v>-52</c:v>
                </c:pt>
                <c:pt idx="29">
                  <c:v>-51</c:v>
                </c:pt>
                <c:pt idx="30">
                  <c:v>-50</c:v>
                </c:pt>
                <c:pt idx="31">
                  <c:v>-49</c:v>
                </c:pt>
                <c:pt idx="32">
                  <c:v>-48</c:v>
                </c:pt>
                <c:pt idx="33">
                  <c:v>-47</c:v>
                </c:pt>
                <c:pt idx="34">
                  <c:v>-46</c:v>
                </c:pt>
                <c:pt idx="35">
                  <c:v>-45</c:v>
                </c:pt>
                <c:pt idx="36">
                  <c:v>-44</c:v>
                </c:pt>
                <c:pt idx="37">
                  <c:v>-43</c:v>
                </c:pt>
                <c:pt idx="38">
                  <c:v>-42</c:v>
                </c:pt>
                <c:pt idx="39">
                  <c:v>-41</c:v>
                </c:pt>
                <c:pt idx="40">
                  <c:v>-40</c:v>
                </c:pt>
                <c:pt idx="41">
                  <c:v>-39</c:v>
                </c:pt>
                <c:pt idx="42">
                  <c:v>-38</c:v>
                </c:pt>
                <c:pt idx="43">
                  <c:v>-37</c:v>
                </c:pt>
                <c:pt idx="44">
                  <c:v>-36</c:v>
                </c:pt>
                <c:pt idx="45">
                  <c:v>-35</c:v>
                </c:pt>
                <c:pt idx="46">
                  <c:v>-34</c:v>
                </c:pt>
                <c:pt idx="47">
                  <c:v>-33</c:v>
                </c:pt>
                <c:pt idx="48">
                  <c:v>-32</c:v>
                </c:pt>
                <c:pt idx="49">
                  <c:v>-31</c:v>
                </c:pt>
                <c:pt idx="50">
                  <c:v>-30</c:v>
                </c:pt>
                <c:pt idx="51">
                  <c:v>-29</c:v>
                </c:pt>
                <c:pt idx="52">
                  <c:v>-28</c:v>
                </c:pt>
                <c:pt idx="53">
                  <c:v>-27</c:v>
                </c:pt>
                <c:pt idx="54">
                  <c:v>-26</c:v>
                </c:pt>
                <c:pt idx="55">
                  <c:v>-25</c:v>
                </c:pt>
                <c:pt idx="56">
                  <c:v>-24</c:v>
                </c:pt>
                <c:pt idx="57">
                  <c:v>-23</c:v>
                </c:pt>
                <c:pt idx="58">
                  <c:v>-22</c:v>
                </c:pt>
                <c:pt idx="59">
                  <c:v>-21</c:v>
                </c:pt>
                <c:pt idx="60">
                  <c:v>-20</c:v>
                </c:pt>
                <c:pt idx="61">
                  <c:v>-19</c:v>
                </c:pt>
                <c:pt idx="62">
                  <c:v>-18</c:v>
                </c:pt>
                <c:pt idx="63">
                  <c:v>-17</c:v>
                </c:pt>
                <c:pt idx="64">
                  <c:v>-16</c:v>
                </c:pt>
                <c:pt idx="65">
                  <c:v>-15</c:v>
                </c:pt>
                <c:pt idx="66">
                  <c:v>-14</c:v>
                </c:pt>
                <c:pt idx="67">
                  <c:v>-13</c:v>
                </c:pt>
                <c:pt idx="68">
                  <c:v>-12</c:v>
                </c:pt>
                <c:pt idx="69">
                  <c:v>-11</c:v>
                </c:pt>
                <c:pt idx="70">
                  <c:v>-10</c:v>
                </c:pt>
                <c:pt idx="71">
                  <c:v>-9</c:v>
                </c:pt>
                <c:pt idx="72">
                  <c:v>-8</c:v>
                </c:pt>
                <c:pt idx="73">
                  <c:v>-7</c:v>
                </c:pt>
                <c:pt idx="74">
                  <c:v>-6</c:v>
                </c:pt>
                <c:pt idx="75">
                  <c:v>-5</c:v>
                </c:pt>
                <c:pt idx="76">
                  <c:v>-4</c:v>
                </c:pt>
                <c:pt idx="77">
                  <c:v>-3</c:v>
                </c:pt>
                <c:pt idx="78">
                  <c:v>-2</c:v>
                </c:pt>
                <c:pt idx="79">
                  <c:v>-1</c:v>
                </c:pt>
                <c:pt idx="80">
                  <c:v>0</c:v>
                </c:pt>
                <c:pt idx="81">
                  <c:v>1</c:v>
                </c:pt>
                <c:pt idx="82">
                  <c:v>2</c:v>
                </c:pt>
                <c:pt idx="83">
                  <c:v>3</c:v>
                </c:pt>
                <c:pt idx="84">
                  <c:v>4</c:v>
                </c:pt>
                <c:pt idx="85">
                  <c:v>5</c:v>
                </c:pt>
                <c:pt idx="86">
                  <c:v>6</c:v>
                </c:pt>
                <c:pt idx="87">
                  <c:v>7</c:v>
                </c:pt>
                <c:pt idx="88">
                  <c:v>8</c:v>
                </c:pt>
                <c:pt idx="89">
                  <c:v>9</c:v>
                </c:pt>
                <c:pt idx="90">
                  <c:v>10</c:v>
                </c:pt>
                <c:pt idx="91">
                  <c:v>11</c:v>
                </c:pt>
                <c:pt idx="92">
                  <c:v>12</c:v>
                </c:pt>
                <c:pt idx="93">
                  <c:v>13</c:v>
                </c:pt>
                <c:pt idx="94">
                  <c:v>14</c:v>
                </c:pt>
                <c:pt idx="95">
                  <c:v>15</c:v>
                </c:pt>
                <c:pt idx="96">
                  <c:v>16</c:v>
                </c:pt>
                <c:pt idx="97">
                  <c:v>17</c:v>
                </c:pt>
                <c:pt idx="98">
                  <c:v>18</c:v>
                </c:pt>
                <c:pt idx="99">
                  <c:v>19</c:v>
                </c:pt>
                <c:pt idx="100">
                  <c:v>20</c:v>
                </c:pt>
                <c:pt idx="101">
                  <c:v>21</c:v>
                </c:pt>
                <c:pt idx="102">
                  <c:v>22</c:v>
                </c:pt>
                <c:pt idx="103">
                  <c:v>23</c:v>
                </c:pt>
                <c:pt idx="104">
                  <c:v>24</c:v>
                </c:pt>
                <c:pt idx="105">
                  <c:v>25</c:v>
                </c:pt>
                <c:pt idx="106">
                  <c:v>26</c:v>
                </c:pt>
                <c:pt idx="107">
                  <c:v>27</c:v>
                </c:pt>
                <c:pt idx="108">
                  <c:v>28</c:v>
                </c:pt>
                <c:pt idx="109">
                  <c:v>29</c:v>
                </c:pt>
                <c:pt idx="110">
                  <c:v>30</c:v>
                </c:pt>
                <c:pt idx="111">
                  <c:v>31</c:v>
                </c:pt>
                <c:pt idx="112">
                  <c:v>32</c:v>
                </c:pt>
                <c:pt idx="113">
                  <c:v>33</c:v>
                </c:pt>
                <c:pt idx="114">
                  <c:v>34</c:v>
                </c:pt>
                <c:pt idx="115">
                  <c:v>35</c:v>
                </c:pt>
                <c:pt idx="116">
                  <c:v>36</c:v>
                </c:pt>
                <c:pt idx="117">
                  <c:v>37</c:v>
                </c:pt>
                <c:pt idx="118">
                  <c:v>38</c:v>
                </c:pt>
                <c:pt idx="119">
                  <c:v>39</c:v>
                </c:pt>
                <c:pt idx="120">
                  <c:v>40</c:v>
                </c:pt>
                <c:pt idx="121">
                  <c:v>41</c:v>
                </c:pt>
                <c:pt idx="122">
                  <c:v>42</c:v>
                </c:pt>
                <c:pt idx="123">
                  <c:v>43</c:v>
                </c:pt>
                <c:pt idx="124">
                  <c:v>44</c:v>
                </c:pt>
                <c:pt idx="125">
                  <c:v>45</c:v>
                </c:pt>
                <c:pt idx="126">
                  <c:v>46</c:v>
                </c:pt>
                <c:pt idx="127">
                  <c:v>47</c:v>
                </c:pt>
                <c:pt idx="128">
                  <c:v>48</c:v>
                </c:pt>
                <c:pt idx="129">
                  <c:v>49</c:v>
                </c:pt>
                <c:pt idx="130">
                  <c:v>50</c:v>
                </c:pt>
                <c:pt idx="131">
                  <c:v>51</c:v>
                </c:pt>
                <c:pt idx="132">
                  <c:v>52</c:v>
                </c:pt>
              </c:strCache>
            </c:strRef>
          </c:cat>
          <c:val>
            <c:numRef>
              <c:f>'Sheet1 (13)'!$E$9:$E$142</c:f>
              <c:numCache>
                <c:formatCode>General</c:formatCode>
                <c:ptCount val="133"/>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68</c:v>
                </c:pt>
                <c:pt idx="81">
                  <c:v>68</c:v>
                </c:pt>
                <c:pt idx="82">
                  <c:v>68</c:v>
                </c:pt>
                <c:pt idx="83">
                  <c:v>67</c:v>
                </c:pt>
                <c:pt idx="84">
                  <c:v>67</c:v>
                </c:pt>
                <c:pt idx="85">
                  <c:v>61</c:v>
                </c:pt>
                <c:pt idx="86">
                  <c:v>60</c:v>
                </c:pt>
                <c:pt idx="87">
                  <c:v>61</c:v>
                </c:pt>
                <c:pt idx="88">
                  <c:v>61</c:v>
                </c:pt>
                <c:pt idx="89">
                  <c:v>59</c:v>
                </c:pt>
                <c:pt idx="90">
                  <c:v>58</c:v>
                </c:pt>
                <c:pt idx="91">
                  <c:v>60</c:v>
                </c:pt>
                <c:pt idx="92">
                  <c:v>58</c:v>
                </c:pt>
                <c:pt idx="93">
                  <c:v>57</c:v>
                </c:pt>
                <c:pt idx="94">
                  <c:v>57</c:v>
                </c:pt>
                <c:pt idx="95">
                  <c:v>53</c:v>
                </c:pt>
                <c:pt idx="96">
                  <c:v>52</c:v>
                </c:pt>
                <c:pt idx="97">
                  <c:v>55</c:v>
                </c:pt>
                <c:pt idx="98">
                  <c:v>59</c:v>
                </c:pt>
                <c:pt idx="99">
                  <c:v>64</c:v>
                </c:pt>
                <c:pt idx="100">
                  <c:v>66</c:v>
                </c:pt>
                <c:pt idx="101">
                  <c:v>67</c:v>
                </c:pt>
                <c:pt idx="102">
                  <c:v>66</c:v>
                </c:pt>
                <c:pt idx="103">
                  <c:v>66</c:v>
                </c:pt>
                <c:pt idx="104">
                  <c:v>65</c:v>
                </c:pt>
                <c:pt idx="105">
                  <c:v>66</c:v>
                </c:pt>
                <c:pt idx="106">
                  <c:v>66</c:v>
                </c:pt>
                <c:pt idx="107">
                  <c:v>67</c:v>
                </c:pt>
                <c:pt idx="108">
                  <c:v>68</c:v>
                </c:pt>
                <c:pt idx="109">
                  <c:v>67</c:v>
                </c:pt>
                <c:pt idx="110">
                  <c:v>65</c:v>
                </c:pt>
                <c:pt idx="111">
                  <c:v>66</c:v>
                </c:pt>
                <c:pt idx="112">
                  <c:v>66</c:v>
                </c:pt>
                <c:pt idx="113">
                  <c:v>68</c:v>
                </c:pt>
                <c:pt idx="114">
                  <c:v>69</c:v>
                </c:pt>
                <c:pt idx="115">
                  <c:v>65</c:v>
                </c:pt>
                <c:pt idx="116">
                  <c:v>64</c:v>
                </c:pt>
                <c:pt idx="117">
                  <c:v>67</c:v>
                </c:pt>
                <c:pt idx="118">
                  <c:v>67</c:v>
                </c:pt>
                <c:pt idx="119">
                  <c:v>69</c:v>
                </c:pt>
                <c:pt idx="120">
                  <c:v>67</c:v>
                </c:pt>
                <c:pt idx="121">
                  <c:v>69</c:v>
                </c:pt>
                <c:pt idx="122">
                  <c:v>70</c:v>
                </c:pt>
                <c:pt idx="123">
                  <c:v>72</c:v>
                </c:pt>
                <c:pt idx="124">
                  <c:v>72</c:v>
                </c:pt>
                <c:pt idx="125">
                  <c:v>75</c:v>
                </c:pt>
                <c:pt idx="126">
                  <c:v>74</c:v>
                </c:pt>
                <c:pt idx="127">
                  <c:v>74</c:v>
                </c:pt>
                <c:pt idx="128">
                  <c:v>72</c:v>
                </c:pt>
                <c:pt idx="129">
                  <c:v>70</c:v>
                </c:pt>
                <c:pt idx="130">
                  <c:v>70</c:v>
                </c:pt>
                <c:pt idx="131">
                  <c:v>70</c:v>
                </c:pt>
                <c:pt idx="132">
                  <c:v>70</c:v>
                </c:pt>
              </c:numCache>
            </c:numRef>
          </c:val>
          <c:smooth val="0"/>
        </c:ser>
        <c:ser>
          <c:idx val="4"/>
          <c:order val="4"/>
          <c:tx>
            <c:strRef>
              <c:f>'Sheet1 (13)'!$F$6:$F$8</c:f>
              <c:strCache>
                <c:ptCount val="1"/>
                <c:pt idx="0">
                  <c:v>Post-init - GOLIMUMAB</c:v>
                </c:pt>
              </c:strCache>
            </c:strRef>
          </c:tx>
          <c:marker>
            <c:symbol val="none"/>
          </c:marker>
          <c:cat>
            <c:strRef>
              <c:f>'Sheet1 (13)'!$A$9:$A$142</c:f>
              <c:strCache>
                <c:ptCount val="133"/>
                <c:pt idx="0">
                  <c:v>-80</c:v>
                </c:pt>
                <c:pt idx="1">
                  <c:v>-79</c:v>
                </c:pt>
                <c:pt idx="2">
                  <c:v>-78</c:v>
                </c:pt>
                <c:pt idx="3">
                  <c:v>-77</c:v>
                </c:pt>
                <c:pt idx="4">
                  <c:v>-76</c:v>
                </c:pt>
                <c:pt idx="5">
                  <c:v>-75</c:v>
                </c:pt>
                <c:pt idx="6">
                  <c:v>-74</c:v>
                </c:pt>
                <c:pt idx="7">
                  <c:v>-73</c:v>
                </c:pt>
                <c:pt idx="8">
                  <c:v>-72</c:v>
                </c:pt>
                <c:pt idx="9">
                  <c:v>-71</c:v>
                </c:pt>
                <c:pt idx="10">
                  <c:v>-70</c:v>
                </c:pt>
                <c:pt idx="11">
                  <c:v>-69</c:v>
                </c:pt>
                <c:pt idx="12">
                  <c:v>-68</c:v>
                </c:pt>
                <c:pt idx="13">
                  <c:v>-67</c:v>
                </c:pt>
                <c:pt idx="14">
                  <c:v>-66</c:v>
                </c:pt>
                <c:pt idx="15">
                  <c:v>-65</c:v>
                </c:pt>
                <c:pt idx="16">
                  <c:v>-64</c:v>
                </c:pt>
                <c:pt idx="17">
                  <c:v>-63</c:v>
                </c:pt>
                <c:pt idx="18">
                  <c:v>-62</c:v>
                </c:pt>
                <c:pt idx="19">
                  <c:v>-61</c:v>
                </c:pt>
                <c:pt idx="20">
                  <c:v>-60</c:v>
                </c:pt>
                <c:pt idx="21">
                  <c:v>-59</c:v>
                </c:pt>
                <c:pt idx="22">
                  <c:v>-58</c:v>
                </c:pt>
                <c:pt idx="23">
                  <c:v>-57</c:v>
                </c:pt>
                <c:pt idx="24">
                  <c:v>-56</c:v>
                </c:pt>
                <c:pt idx="25">
                  <c:v>-55</c:v>
                </c:pt>
                <c:pt idx="26">
                  <c:v>-54</c:v>
                </c:pt>
                <c:pt idx="27">
                  <c:v>-53</c:v>
                </c:pt>
                <c:pt idx="28">
                  <c:v>-52</c:v>
                </c:pt>
                <c:pt idx="29">
                  <c:v>-51</c:v>
                </c:pt>
                <c:pt idx="30">
                  <c:v>-50</c:v>
                </c:pt>
                <c:pt idx="31">
                  <c:v>-49</c:v>
                </c:pt>
                <c:pt idx="32">
                  <c:v>-48</c:v>
                </c:pt>
                <c:pt idx="33">
                  <c:v>-47</c:v>
                </c:pt>
                <c:pt idx="34">
                  <c:v>-46</c:v>
                </c:pt>
                <c:pt idx="35">
                  <c:v>-45</c:v>
                </c:pt>
                <c:pt idx="36">
                  <c:v>-44</c:v>
                </c:pt>
                <c:pt idx="37">
                  <c:v>-43</c:v>
                </c:pt>
                <c:pt idx="38">
                  <c:v>-42</c:v>
                </c:pt>
                <c:pt idx="39">
                  <c:v>-41</c:v>
                </c:pt>
                <c:pt idx="40">
                  <c:v>-40</c:v>
                </c:pt>
                <c:pt idx="41">
                  <c:v>-39</c:v>
                </c:pt>
                <c:pt idx="42">
                  <c:v>-38</c:v>
                </c:pt>
                <c:pt idx="43">
                  <c:v>-37</c:v>
                </c:pt>
                <c:pt idx="44">
                  <c:v>-36</c:v>
                </c:pt>
                <c:pt idx="45">
                  <c:v>-35</c:v>
                </c:pt>
                <c:pt idx="46">
                  <c:v>-34</c:v>
                </c:pt>
                <c:pt idx="47">
                  <c:v>-33</c:v>
                </c:pt>
                <c:pt idx="48">
                  <c:v>-32</c:v>
                </c:pt>
                <c:pt idx="49">
                  <c:v>-31</c:v>
                </c:pt>
                <c:pt idx="50">
                  <c:v>-30</c:v>
                </c:pt>
                <c:pt idx="51">
                  <c:v>-29</c:v>
                </c:pt>
                <c:pt idx="52">
                  <c:v>-28</c:v>
                </c:pt>
                <c:pt idx="53">
                  <c:v>-27</c:v>
                </c:pt>
                <c:pt idx="54">
                  <c:v>-26</c:v>
                </c:pt>
                <c:pt idx="55">
                  <c:v>-25</c:v>
                </c:pt>
                <c:pt idx="56">
                  <c:v>-24</c:v>
                </c:pt>
                <c:pt idx="57">
                  <c:v>-23</c:v>
                </c:pt>
                <c:pt idx="58">
                  <c:v>-22</c:v>
                </c:pt>
                <c:pt idx="59">
                  <c:v>-21</c:v>
                </c:pt>
                <c:pt idx="60">
                  <c:v>-20</c:v>
                </c:pt>
                <c:pt idx="61">
                  <c:v>-19</c:v>
                </c:pt>
                <c:pt idx="62">
                  <c:v>-18</c:v>
                </c:pt>
                <c:pt idx="63">
                  <c:v>-17</c:v>
                </c:pt>
                <c:pt idx="64">
                  <c:v>-16</c:v>
                </c:pt>
                <c:pt idx="65">
                  <c:v>-15</c:v>
                </c:pt>
                <c:pt idx="66">
                  <c:v>-14</c:v>
                </c:pt>
                <c:pt idx="67">
                  <c:v>-13</c:v>
                </c:pt>
                <c:pt idx="68">
                  <c:v>-12</c:v>
                </c:pt>
                <c:pt idx="69">
                  <c:v>-11</c:v>
                </c:pt>
                <c:pt idx="70">
                  <c:v>-10</c:v>
                </c:pt>
                <c:pt idx="71">
                  <c:v>-9</c:v>
                </c:pt>
                <c:pt idx="72">
                  <c:v>-8</c:v>
                </c:pt>
                <c:pt idx="73">
                  <c:v>-7</c:v>
                </c:pt>
                <c:pt idx="74">
                  <c:v>-6</c:v>
                </c:pt>
                <c:pt idx="75">
                  <c:v>-5</c:v>
                </c:pt>
                <c:pt idx="76">
                  <c:v>-4</c:v>
                </c:pt>
                <c:pt idx="77">
                  <c:v>-3</c:v>
                </c:pt>
                <c:pt idx="78">
                  <c:v>-2</c:v>
                </c:pt>
                <c:pt idx="79">
                  <c:v>-1</c:v>
                </c:pt>
                <c:pt idx="80">
                  <c:v>0</c:v>
                </c:pt>
                <c:pt idx="81">
                  <c:v>1</c:v>
                </c:pt>
                <c:pt idx="82">
                  <c:v>2</c:v>
                </c:pt>
                <c:pt idx="83">
                  <c:v>3</c:v>
                </c:pt>
                <c:pt idx="84">
                  <c:v>4</c:v>
                </c:pt>
                <c:pt idx="85">
                  <c:v>5</c:v>
                </c:pt>
                <c:pt idx="86">
                  <c:v>6</c:v>
                </c:pt>
                <c:pt idx="87">
                  <c:v>7</c:v>
                </c:pt>
                <c:pt idx="88">
                  <c:v>8</c:v>
                </c:pt>
                <c:pt idx="89">
                  <c:v>9</c:v>
                </c:pt>
                <c:pt idx="90">
                  <c:v>10</c:v>
                </c:pt>
                <c:pt idx="91">
                  <c:v>11</c:v>
                </c:pt>
                <c:pt idx="92">
                  <c:v>12</c:v>
                </c:pt>
                <c:pt idx="93">
                  <c:v>13</c:v>
                </c:pt>
                <c:pt idx="94">
                  <c:v>14</c:v>
                </c:pt>
                <c:pt idx="95">
                  <c:v>15</c:v>
                </c:pt>
                <c:pt idx="96">
                  <c:v>16</c:v>
                </c:pt>
                <c:pt idx="97">
                  <c:v>17</c:v>
                </c:pt>
                <c:pt idx="98">
                  <c:v>18</c:v>
                </c:pt>
                <c:pt idx="99">
                  <c:v>19</c:v>
                </c:pt>
                <c:pt idx="100">
                  <c:v>20</c:v>
                </c:pt>
                <c:pt idx="101">
                  <c:v>21</c:v>
                </c:pt>
                <c:pt idx="102">
                  <c:v>22</c:v>
                </c:pt>
                <c:pt idx="103">
                  <c:v>23</c:v>
                </c:pt>
                <c:pt idx="104">
                  <c:v>24</c:v>
                </c:pt>
                <c:pt idx="105">
                  <c:v>25</c:v>
                </c:pt>
                <c:pt idx="106">
                  <c:v>26</c:v>
                </c:pt>
                <c:pt idx="107">
                  <c:v>27</c:v>
                </c:pt>
                <c:pt idx="108">
                  <c:v>28</c:v>
                </c:pt>
                <c:pt idx="109">
                  <c:v>29</c:v>
                </c:pt>
                <c:pt idx="110">
                  <c:v>30</c:v>
                </c:pt>
                <c:pt idx="111">
                  <c:v>31</c:v>
                </c:pt>
                <c:pt idx="112">
                  <c:v>32</c:v>
                </c:pt>
                <c:pt idx="113">
                  <c:v>33</c:v>
                </c:pt>
                <c:pt idx="114">
                  <c:v>34</c:v>
                </c:pt>
                <c:pt idx="115">
                  <c:v>35</c:v>
                </c:pt>
                <c:pt idx="116">
                  <c:v>36</c:v>
                </c:pt>
                <c:pt idx="117">
                  <c:v>37</c:v>
                </c:pt>
                <c:pt idx="118">
                  <c:v>38</c:v>
                </c:pt>
                <c:pt idx="119">
                  <c:v>39</c:v>
                </c:pt>
                <c:pt idx="120">
                  <c:v>40</c:v>
                </c:pt>
                <c:pt idx="121">
                  <c:v>41</c:v>
                </c:pt>
                <c:pt idx="122">
                  <c:v>42</c:v>
                </c:pt>
                <c:pt idx="123">
                  <c:v>43</c:v>
                </c:pt>
                <c:pt idx="124">
                  <c:v>44</c:v>
                </c:pt>
                <c:pt idx="125">
                  <c:v>45</c:v>
                </c:pt>
                <c:pt idx="126">
                  <c:v>46</c:v>
                </c:pt>
                <c:pt idx="127">
                  <c:v>47</c:v>
                </c:pt>
                <c:pt idx="128">
                  <c:v>48</c:v>
                </c:pt>
                <c:pt idx="129">
                  <c:v>49</c:v>
                </c:pt>
                <c:pt idx="130">
                  <c:v>50</c:v>
                </c:pt>
                <c:pt idx="131">
                  <c:v>51</c:v>
                </c:pt>
                <c:pt idx="132">
                  <c:v>52</c:v>
                </c:pt>
              </c:strCache>
            </c:strRef>
          </c:cat>
          <c:val>
            <c:numRef>
              <c:f>'Sheet1 (13)'!$F$9:$F$142</c:f>
              <c:numCache>
                <c:formatCode>General</c:formatCode>
                <c:ptCount val="133"/>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73</c:v>
                </c:pt>
                <c:pt idx="81">
                  <c:v>73</c:v>
                </c:pt>
                <c:pt idx="82">
                  <c:v>73</c:v>
                </c:pt>
                <c:pt idx="83">
                  <c:v>73</c:v>
                </c:pt>
                <c:pt idx="84">
                  <c:v>72</c:v>
                </c:pt>
                <c:pt idx="85">
                  <c:v>69</c:v>
                </c:pt>
                <c:pt idx="86">
                  <c:v>69</c:v>
                </c:pt>
                <c:pt idx="87">
                  <c:v>69</c:v>
                </c:pt>
                <c:pt idx="88">
                  <c:v>70</c:v>
                </c:pt>
                <c:pt idx="89">
                  <c:v>70</c:v>
                </c:pt>
                <c:pt idx="90">
                  <c:v>72</c:v>
                </c:pt>
                <c:pt idx="91">
                  <c:v>70</c:v>
                </c:pt>
                <c:pt idx="92">
                  <c:v>70</c:v>
                </c:pt>
                <c:pt idx="93">
                  <c:v>69</c:v>
                </c:pt>
                <c:pt idx="94">
                  <c:v>68</c:v>
                </c:pt>
                <c:pt idx="95">
                  <c:v>68</c:v>
                </c:pt>
                <c:pt idx="96">
                  <c:v>66</c:v>
                </c:pt>
                <c:pt idx="97">
                  <c:v>66</c:v>
                </c:pt>
                <c:pt idx="98">
                  <c:v>64</c:v>
                </c:pt>
                <c:pt idx="99">
                  <c:v>63</c:v>
                </c:pt>
                <c:pt idx="100">
                  <c:v>61</c:v>
                </c:pt>
                <c:pt idx="101">
                  <c:v>61</c:v>
                </c:pt>
                <c:pt idx="102">
                  <c:v>62</c:v>
                </c:pt>
                <c:pt idx="103">
                  <c:v>61</c:v>
                </c:pt>
                <c:pt idx="104">
                  <c:v>60</c:v>
                </c:pt>
                <c:pt idx="105">
                  <c:v>59</c:v>
                </c:pt>
                <c:pt idx="106">
                  <c:v>60</c:v>
                </c:pt>
                <c:pt idx="107">
                  <c:v>60</c:v>
                </c:pt>
                <c:pt idx="108">
                  <c:v>60</c:v>
                </c:pt>
                <c:pt idx="109">
                  <c:v>60</c:v>
                </c:pt>
                <c:pt idx="110">
                  <c:v>63</c:v>
                </c:pt>
                <c:pt idx="111">
                  <c:v>62</c:v>
                </c:pt>
                <c:pt idx="112">
                  <c:v>60</c:v>
                </c:pt>
                <c:pt idx="113">
                  <c:v>57</c:v>
                </c:pt>
                <c:pt idx="114">
                  <c:v>59</c:v>
                </c:pt>
                <c:pt idx="115">
                  <c:v>58</c:v>
                </c:pt>
                <c:pt idx="116">
                  <c:v>57</c:v>
                </c:pt>
                <c:pt idx="117">
                  <c:v>59</c:v>
                </c:pt>
                <c:pt idx="118">
                  <c:v>59</c:v>
                </c:pt>
                <c:pt idx="119">
                  <c:v>60</c:v>
                </c:pt>
                <c:pt idx="120">
                  <c:v>57</c:v>
                </c:pt>
                <c:pt idx="121">
                  <c:v>54</c:v>
                </c:pt>
                <c:pt idx="122">
                  <c:v>55</c:v>
                </c:pt>
                <c:pt idx="123">
                  <c:v>54</c:v>
                </c:pt>
                <c:pt idx="124">
                  <c:v>52</c:v>
                </c:pt>
                <c:pt idx="125">
                  <c:v>52</c:v>
                </c:pt>
                <c:pt idx="126">
                  <c:v>52</c:v>
                </c:pt>
                <c:pt idx="127">
                  <c:v>52</c:v>
                </c:pt>
                <c:pt idx="128">
                  <c:v>52</c:v>
                </c:pt>
                <c:pt idx="129">
                  <c:v>51</c:v>
                </c:pt>
                <c:pt idx="130">
                  <c:v>49</c:v>
                </c:pt>
                <c:pt idx="131">
                  <c:v>48</c:v>
                </c:pt>
                <c:pt idx="132">
                  <c:v>50</c:v>
                </c:pt>
              </c:numCache>
            </c:numRef>
          </c:val>
          <c:smooth val="0"/>
        </c:ser>
        <c:ser>
          <c:idx val="5"/>
          <c:order val="5"/>
          <c:tx>
            <c:strRef>
              <c:f>'Sheet1 (13)'!$G$6:$G$8</c:f>
              <c:strCache>
                <c:ptCount val="1"/>
                <c:pt idx="0">
                  <c:v>Post-init - GOLIMUMAB+METHOTREXATE</c:v>
                </c:pt>
              </c:strCache>
            </c:strRef>
          </c:tx>
          <c:marker>
            <c:symbol val="none"/>
          </c:marker>
          <c:cat>
            <c:strRef>
              <c:f>'Sheet1 (13)'!$A$9:$A$142</c:f>
              <c:strCache>
                <c:ptCount val="133"/>
                <c:pt idx="0">
                  <c:v>-80</c:v>
                </c:pt>
                <c:pt idx="1">
                  <c:v>-79</c:v>
                </c:pt>
                <c:pt idx="2">
                  <c:v>-78</c:v>
                </c:pt>
                <c:pt idx="3">
                  <c:v>-77</c:v>
                </c:pt>
                <c:pt idx="4">
                  <c:v>-76</c:v>
                </c:pt>
                <c:pt idx="5">
                  <c:v>-75</c:v>
                </c:pt>
                <c:pt idx="6">
                  <c:v>-74</c:v>
                </c:pt>
                <c:pt idx="7">
                  <c:v>-73</c:v>
                </c:pt>
                <c:pt idx="8">
                  <c:v>-72</c:v>
                </c:pt>
                <c:pt idx="9">
                  <c:v>-71</c:v>
                </c:pt>
                <c:pt idx="10">
                  <c:v>-70</c:v>
                </c:pt>
                <c:pt idx="11">
                  <c:v>-69</c:v>
                </c:pt>
                <c:pt idx="12">
                  <c:v>-68</c:v>
                </c:pt>
                <c:pt idx="13">
                  <c:v>-67</c:v>
                </c:pt>
                <c:pt idx="14">
                  <c:v>-66</c:v>
                </c:pt>
                <c:pt idx="15">
                  <c:v>-65</c:v>
                </c:pt>
                <c:pt idx="16">
                  <c:v>-64</c:v>
                </c:pt>
                <c:pt idx="17">
                  <c:v>-63</c:v>
                </c:pt>
                <c:pt idx="18">
                  <c:v>-62</c:v>
                </c:pt>
                <c:pt idx="19">
                  <c:v>-61</c:v>
                </c:pt>
                <c:pt idx="20">
                  <c:v>-60</c:v>
                </c:pt>
                <c:pt idx="21">
                  <c:v>-59</c:v>
                </c:pt>
                <c:pt idx="22">
                  <c:v>-58</c:v>
                </c:pt>
                <c:pt idx="23">
                  <c:v>-57</c:v>
                </c:pt>
                <c:pt idx="24">
                  <c:v>-56</c:v>
                </c:pt>
                <c:pt idx="25">
                  <c:v>-55</c:v>
                </c:pt>
                <c:pt idx="26">
                  <c:v>-54</c:v>
                </c:pt>
                <c:pt idx="27">
                  <c:v>-53</c:v>
                </c:pt>
                <c:pt idx="28">
                  <c:v>-52</c:v>
                </c:pt>
                <c:pt idx="29">
                  <c:v>-51</c:v>
                </c:pt>
                <c:pt idx="30">
                  <c:v>-50</c:v>
                </c:pt>
                <c:pt idx="31">
                  <c:v>-49</c:v>
                </c:pt>
                <c:pt idx="32">
                  <c:v>-48</c:v>
                </c:pt>
                <c:pt idx="33">
                  <c:v>-47</c:v>
                </c:pt>
                <c:pt idx="34">
                  <c:v>-46</c:v>
                </c:pt>
                <c:pt idx="35">
                  <c:v>-45</c:v>
                </c:pt>
                <c:pt idx="36">
                  <c:v>-44</c:v>
                </c:pt>
                <c:pt idx="37">
                  <c:v>-43</c:v>
                </c:pt>
                <c:pt idx="38">
                  <c:v>-42</c:v>
                </c:pt>
                <c:pt idx="39">
                  <c:v>-41</c:v>
                </c:pt>
                <c:pt idx="40">
                  <c:v>-40</c:v>
                </c:pt>
                <c:pt idx="41">
                  <c:v>-39</c:v>
                </c:pt>
                <c:pt idx="42">
                  <c:v>-38</c:v>
                </c:pt>
                <c:pt idx="43">
                  <c:v>-37</c:v>
                </c:pt>
                <c:pt idx="44">
                  <c:v>-36</c:v>
                </c:pt>
                <c:pt idx="45">
                  <c:v>-35</c:v>
                </c:pt>
                <c:pt idx="46">
                  <c:v>-34</c:v>
                </c:pt>
                <c:pt idx="47">
                  <c:v>-33</c:v>
                </c:pt>
                <c:pt idx="48">
                  <c:v>-32</c:v>
                </c:pt>
                <c:pt idx="49">
                  <c:v>-31</c:v>
                </c:pt>
                <c:pt idx="50">
                  <c:v>-30</c:v>
                </c:pt>
                <c:pt idx="51">
                  <c:v>-29</c:v>
                </c:pt>
                <c:pt idx="52">
                  <c:v>-28</c:v>
                </c:pt>
                <c:pt idx="53">
                  <c:v>-27</c:v>
                </c:pt>
                <c:pt idx="54">
                  <c:v>-26</c:v>
                </c:pt>
                <c:pt idx="55">
                  <c:v>-25</c:v>
                </c:pt>
                <c:pt idx="56">
                  <c:v>-24</c:v>
                </c:pt>
                <c:pt idx="57">
                  <c:v>-23</c:v>
                </c:pt>
                <c:pt idx="58">
                  <c:v>-22</c:v>
                </c:pt>
                <c:pt idx="59">
                  <c:v>-21</c:v>
                </c:pt>
                <c:pt idx="60">
                  <c:v>-20</c:v>
                </c:pt>
                <c:pt idx="61">
                  <c:v>-19</c:v>
                </c:pt>
                <c:pt idx="62">
                  <c:v>-18</c:v>
                </c:pt>
                <c:pt idx="63">
                  <c:v>-17</c:v>
                </c:pt>
                <c:pt idx="64">
                  <c:v>-16</c:v>
                </c:pt>
                <c:pt idx="65">
                  <c:v>-15</c:v>
                </c:pt>
                <c:pt idx="66">
                  <c:v>-14</c:v>
                </c:pt>
                <c:pt idx="67">
                  <c:v>-13</c:v>
                </c:pt>
                <c:pt idx="68">
                  <c:v>-12</c:v>
                </c:pt>
                <c:pt idx="69">
                  <c:v>-11</c:v>
                </c:pt>
                <c:pt idx="70">
                  <c:v>-10</c:v>
                </c:pt>
                <c:pt idx="71">
                  <c:v>-9</c:v>
                </c:pt>
                <c:pt idx="72">
                  <c:v>-8</c:v>
                </c:pt>
                <c:pt idx="73">
                  <c:v>-7</c:v>
                </c:pt>
                <c:pt idx="74">
                  <c:v>-6</c:v>
                </c:pt>
                <c:pt idx="75">
                  <c:v>-5</c:v>
                </c:pt>
                <c:pt idx="76">
                  <c:v>-4</c:v>
                </c:pt>
                <c:pt idx="77">
                  <c:v>-3</c:v>
                </c:pt>
                <c:pt idx="78">
                  <c:v>-2</c:v>
                </c:pt>
                <c:pt idx="79">
                  <c:v>-1</c:v>
                </c:pt>
                <c:pt idx="80">
                  <c:v>0</c:v>
                </c:pt>
                <c:pt idx="81">
                  <c:v>1</c:v>
                </c:pt>
                <c:pt idx="82">
                  <c:v>2</c:v>
                </c:pt>
                <c:pt idx="83">
                  <c:v>3</c:v>
                </c:pt>
                <c:pt idx="84">
                  <c:v>4</c:v>
                </c:pt>
                <c:pt idx="85">
                  <c:v>5</c:v>
                </c:pt>
                <c:pt idx="86">
                  <c:v>6</c:v>
                </c:pt>
                <c:pt idx="87">
                  <c:v>7</c:v>
                </c:pt>
                <c:pt idx="88">
                  <c:v>8</c:v>
                </c:pt>
                <c:pt idx="89">
                  <c:v>9</c:v>
                </c:pt>
                <c:pt idx="90">
                  <c:v>10</c:v>
                </c:pt>
                <c:pt idx="91">
                  <c:v>11</c:v>
                </c:pt>
                <c:pt idx="92">
                  <c:v>12</c:v>
                </c:pt>
                <c:pt idx="93">
                  <c:v>13</c:v>
                </c:pt>
                <c:pt idx="94">
                  <c:v>14</c:v>
                </c:pt>
                <c:pt idx="95">
                  <c:v>15</c:v>
                </c:pt>
                <c:pt idx="96">
                  <c:v>16</c:v>
                </c:pt>
                <c:pt idx="97">
                  <c:v>17</c:v>
                </c:pt>
                <c:pt idx="98">
                  <c:v>18</c:v>
                </c:pt>
                <c:pt idx="99">
                  <c:v>19</c:v>
                </c:pt>
                <c:pt idx="100">
                  <c:v>20</c:v>
                </c:pt>
                <c:pt idx="101">
                  <c:v>21</c:v>
                </c:pt>
                <c:pt idx="102">
                  <c:v>22</c:v>
                </c:pt>
                <c:pt idx="103">
                  <c:v>23</c:v>
                </c:pt>
                <c:pt idx="104">
                  <c:v>24</c:v>
                </c:pt>
                <c:pt idx="105">
                  <c:v>25</c:v>
                </c:pt>
                <c:pt idx="106">
                  <c:v>26</c:v>
                </c:pt>
                <c:pt idx="107">
                  <c:v>27</c:v>
                </c:pt>
                <c:pt idx="108">
                  <c:v>28</c:v>
                </c:pt>
                <c:pt idx="109">
                  <c:v>29</c:v>
                </c:pt>
                <c:pt idx="110">
                  <c:v>30</c:v>
                </c:pt>
                <c:pt idx="111">
                  <c:v>31</c:v>
                </c:pt>
                <c:pt idx="112">
                  <c:v>32</c:v>
                </c:pt>
                <c:pt idx="113">
                  <c:v>33</c:v>
                </c:pt>
                <c:pt idx="114">
                  <c:v>34</c:v>
                </c:pt>
                <c:pt idx="115">
                  <c:v>35</c:v>
                </c:pt>
                <c:pt idx="116">
                  <c:v>36</c:v>
                </c:pt>
                <c:pt idx="117">
                  <c:v>37</c:v>
                </c:pt>
                <c:pt idx="118">
                  <c:v>38</c:v>
                </c:pt>
                <c:pt idx="119">
                  <c:v>39</c:v>
                </c:pt>
                <c:pt idx="120">
                  <c:v>40</c:v>
                </c:pt>
                <c:pt idx="121">
                  <c:v>41</c:v>
                </c:pt>
                <c:pt idx="122">
                  <c:v>42</c:v>
                </c:pt>
                <c:pt idx="123">
                  <c:v>43</c:v>
                </c:pt>
                <c:pt idx="124">
                  <c:v>44</c:v>
                </c:pt>
                <c:pt idx="125">
                  <c:v>45</c:v>
                </c:pt>
                <c:pt idx="126">
                  <c:v>46</c:v>
                </c:pt>
                <c:pt idx="127">
                  <c:v>47</c:v>
                </c:pt>
                <c:pt idx="128">
                  <c:v>48</c:v>
                </c:pt>
                <c:pt idx="129">
                  <c:v>49</c:v>
                </c:pt>
                <c:pt idx="130">
                  <c:v>50</c:v>
                </c:pt>
                <c:pt idx="131">
                  <c:v>51</c:v>
                </c:pt>
                <c:pt idx="132">
                  <c:v>52</c:v>
                </c:pt>
              </c:strCache>
            </c:strRef>
          </c:cat>
          <c:val>
            <c:numRef>
              <c:f>'Sheet1 (13)'!$G$9:$G$142</c:f>
              <c:numCache>
                <c:formatCode>General</c:formatCode>
                <c:ptCount val="133"/>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48</c:v>
                </c:pt>
                <c:pt idx="81">
                  <c:v>48</c:v>
                </c:pt>
                <c:pt idx="82">
                  <c:v>48</c:v>
                </c:pt>
                <c:pt idx="83">
                  <c:v>48</c:v>
                </c:pt>
                <c:pt idx="84">
                  <c:v>49</c:v>
                </c:pt>
                <c:pt idx="85">
                  <c:v>48</c:v>
                </c:pt>
                <c:pt idx="86">
                  <c:v>48</c:v>
                </c:pt>
                <c:pt idx="87">
                  <c:v>48</c:v>
                </c:pt>
                <c:pt idx="88">
                  <c:v>47</c:v>
                </c:pt>
                <c:pt idx="89">
                  <c:v>48</c:v>
                </c:pt>
                <c:pt idx="90">
                  <c:v>47</c:v>
                </c:pt>
                <c:pt idx="91">
                  <c:v>47</c:v>
                </c:pt>
                <c:pt idx="92">
                  <c:v>47</c:v>
                </c:pt>
                <c:pt idx="93">
                  <c:v>46</c:v>
                </c:pt>
                <c:pt idx="94">
                  <c:v>43</c:v>
                </c:pt>
                <c:pt idx="95">
                  <c:v>43</c:v>
                </c:pt>
                <c:pt idx="96">
                  <c:v>42</c:v>
                </c:pt>
                <c:pt idx="97">
                  <c:v>44</c:v>
                </c:pt>
                <c:pt idx="98">
                  <c:v>41</c:v>
                </c:pt>
                <c:pt idx="99">
                  <c:v>42</c:v>
                </c:pt>
                <c:pt idx="100">
                  <c:v>43</c:v>
                </c:pt>
                <c:pt idx="101">
                  <c:v>45</c:v>
                </c:pt>
                <c:pt idx="102">
                  <c:v>47</c:v>
                </c:pt>
                <c:pt idx="103">
                  <c:v>46</c:v>
                </c:pt>
                <c:pt idx="104">
                  <c:v>46</c:v>
                </c:pt>
                <c:pt idx="105">
                  <c:v>46</c:v>
                </c:pt>
                <c:pt idx="106">
                  <c:v>45</c:v>
                </c:pt>
                <c:pt idx="107">
                  <c:v>46</c:v>
                </c:pt>
                <c:pt idx="108">
                  <c:v>48</c:v>
                </c:pt>
                <c:pt idx="109">
                  <c:v>48</c:v>
                </c:pt>
                <c:pt idx="110">
                  <c:v>47</c:v>
                </c:pt>
                <c:pt idx="111">
                  <c:v>49</c:v>
                </c:pt>
                <c:pt idx="112">
                  <c:v>52</c:v>
                </c:pt>
                <c:pt idx="113">
                  <c:v>52</c:v>
                </c:pt>
                <c:pt idx="114">
                  <c:v>54</c:v>
                </c:pt>
                <c:pt idx="115">
                  <c:v>51</c:v>
                </c:pt>
                <c:pt idx="116">
                  <c:v>53</c:v>
                </c:pt>
                <c:pt idx="117">
                  <c:v>55</c:v>
                </c:pt>
                <c:pt idx="118">
                  <c:v>56</c:v>
                </c:pt>
                <c:pt idx="119">
                  <c:v>56</c:v>
                </c:pt>
                <c:pt idx="120">
                  <c:v>57</c:v>
                </c:pt>
                <c:pt idx="121">
                  <c:v>55</c:v>
                </c:pt>
                <c:pt idx="122">
                  <c:v>57</c:v>
                </c:pt>
                <c:pt idx="123">
                  <c:v>57</c:v>
                </c:pt>
                <c:pt idx="124">
                  <c:v>56</c:v>
                </c:pt>
                <c:pt idx="125">
                  <c:v>57</c:v>
                </c:pt>
                <c:pt idx="126">
                  <c:v>57</c:v>
                </c:pt>
                <c:pt idx="127">
                  <c:v>59</c:v>
                </c:pt>
                <c:pt idx="128">
                  <c:v>57</c:v>
                </c:pt>
                <c:pt idx="129">
                  <c:v>57</c:v>
                </c:pt>
                <c:pt idx="130">
                  <c:v>57</c:v>
                </c:pt>
                <c:pt idx="131">
                  <c:v>58</c:v>
                </c:pt>
                <c:pt idx="132">
                  <c:v>57</c:v>
                </c:pt>
              </c:numCache>
            </c:numRef>
          </c:val>
          <c:smooth val="0"/>
        </c:ser>
        <c:ser>
          <c:idx val="6"/>
          <c:order val="6"/>
          <c:tx>
            <c:strRef>
              <c:f>'Sheet1 (13)'!$H$6:$H$8</c:f>
              <c:strCache>
                <c:ptCount val="1"/>
                <c:pt idx="0">
                  <c:v>Post-init - METHOTREXATE</c:v>
                </c:pt>
              </c:strCache>
            </c:strRef>
          </c:tx>
          <c:marker>
            <c:symbol val="none"/>
          </c:marker>
          <c:cat>
            <c:strRef>
              <c:f>'Sheet1 (13)'!$A$9:$A$142</c:f>
              <c:strCache>
                <c:ptCount val="133"/>
                <c:pt idx="0">
                  <c:v>-80</c:v>
                </c:pt>
                <c:pt idx="1">
                  <c:v>-79</c:v>
                </c:pt>
                <c:pt idx="2">
                  <c:v>-78</c:v>
                </c:pt>
                <c:pt idx="3">
                  <c:v>-77</c:v>
                </c:pt>
                <c:pt idx="4">
                  <c:v>-76</c:v>
                </c:pt>
                <c:pt idx="5">
                  <c:v>-75</c:v>
                </c:pt>
                <c:pt idx="6">
                  <c:v>-74</c:v>
                </c:pt>
                <c:pt idx="7">
                  <c:v>-73</c:v>
                </c:pt>
                <c:pt idx="8">
                  <c:v>-72</c:v>
                </c:pt>
                <c:pt idx="9">
                  <c:v>-71</c:v>
                </c:pt>
                <c:pt idx="10">
                  <c:v>-70</c:v>
                </c:pt>
                <c:pt idx="11">
                  <c:v>-69</c:v>
                </c:pt>
                <c:pt idx="12">
                  <c:v>-68</c:v>
                </c:pt>
                <c:pt idx="13">
                  <c:v>-67</c:v>
                </c:pt>
                <c:pt idx="14">
                  <c:v>-66</c:v>
                </c:pt>
                <c:pt idx="15">
                  <c:v>-65</c:v>
                </c:pt>
                <c:pt idx="16">
                  <c:v>-64</c:v>
                </c:pt>
                <c:pt idx="17">
                  <c:v>-63</c:v>
                </c:pt>
                <c:pt idx="18">
                  <c:v>-62</c:v>
                </c:pt>
                <c:pt idx="19">
                  <c:v>-61</c:v>
                </c:pt>
                <c:pt idx="20">
                  <c:v>-60</c:v>
                </c:pt>
                <c:pt idx="21">
                  <c:v>-59</c:v>
                </c:pt>
                <c:pt idx="22">
                  <c:v>-58</c:v>
                </c:pt>
                <c:pt idx="23">
                  <c:v>-57</c:v>
                </c:pt>
                <c:pt idx="24">
                  <c:v>-56</c:v>
                </c:pt>
                <c:pt idx="25">
                  <c:v>-55</c:v>
                </c:pt>
                <c:pt idx="26">
                  <c:v>-54</c:v>
                </c:pt>
                <c:pt idx="27">
                  <c:v>-53</c:v>
                </c:pt>
                <c:pt idx="28">
                  <c:v>-52</c:v>
                </c:pt>
                <c:pt idx="29">
                  <c:v>-51</c:v>
                </c:pt>
                <c:pt idx="30">
                  <c:v>-50</c:v>
                </c:pt>
                <c:pt idx="31">
                  <c:v>-49</c:v>
                </c:pt>
                <c:pt idx="32">
                  <c:v>-48</c:v>
                </c:pt>
                <c:pt idx="33">
                  <c:v>-47</c:v>
                </c:pt>
                <c:pt idx="34">
                  <c:v>-46</c:v>
                </c:pt>
                <c:pt idx="35">
                  <c:v>-45</c:v>
                </c:pt>
                <c:pt idx="36">
                  <c:v>-44</c:v>
                </c:pt>
                <c:pt idx="37">
                  <c:v>-43</c:v>
                </c:pt>
                <c:pt idx="38">
                  <c:v>-42</c:v>
                </c:pt>
                <c:pt idx="39">
                  <c:v>-41</c:v>
                </c:pt>
                <c:pt idx="40">
                  <c:v>-40</c:v>
                </c:pt>
                <c:pt idx="41">
                  <c:v>-39</c:v>
                </c:pt>
                <c:pt idx="42">
                  <c:v>-38</c:v>
                </c:pt>
                <c:pt idx="43">
                  <c:v>-37</c:v>
                </c:pt>
                <c:pt idx="44">
                  <c:v>-36</c:v>
                </c:pt>
                <c:pt idx="45">
                  <c:v>-35</c:v>
                </c:pt>
                <c:pt idx="46">
                  <c:v>-34</c:v>
                </c:pt>
                <c:pt idx="47">
                  <c:v>-33</c:v>
                </c:pt>
                <c:pt idx="48">
                  <c:v>-32</c:v>
                </c:pt>
                <c:pt idx="49">
                  <c:v>-31</c:v>
                </c:pt>
                <c:pt idx="50">
                  <c:v>-30</c:v>
                </c:pt>
                <c:pt idx="51">
                  <c:v>-29</c:v>
                </c:pt>
                <c:pt idx="52">
                  <c:v>-28</c:v>
                </c:pt>
                <c:pt idx="53">
                  <c:v>-27</c:v>
                </c:pt>
                <c:pt idx="54">
                  <c:v>-26</c:v>
                </c:pt>
                <c:pt idx="55">
                  <c:v>-25</c:v>
                </c:pt>
                <c:pt idx="56">
                  <c:v>-24</c:v>
                </c:pt>
                <c:pt idx="57">
                  <c:v>-23</c:v>
                </c:pt>
                <c:pt idx="58">
                  <c:v>-22</c:v>
                </c:pt>
                <c:pt idx="59">
                  <c:v>-21</c:v>
                </c:pt>
                <c:pt idx="60">
                  <c:v>-20</c:v>
                </c:pt>
                <c:pt idx="61">
                  <c:v>-19</c:v>
                </c:pt>
                <c:pt idx="62">
                  <c:v>-18</c:v>
                </c:pt>
                <c:pt idx="63">
                  <c:v>-17</c:v>
                </c:pt>
                <c:pt idx="64">
                  <c:v>-16</c:v>
                </c:pt>
                <c:pt idx="65">
                  <c:v>-15</c:v>
                </c:pt>
                <c:pt idx="66">
                  <c:v>-14</c:v>
                </c:pt>
                <c:pt idx="67">
                  <c:v>-13</c:v>
                </c:pt>
                <c:pt idx="68">
                  <c:v>-12</c:v>
                </c:pt>
                <c:pt idx="69">
                  <c:v>-11</c:v>
                </c:pt>
                <c:pt idx="70">
                  <c:v>-10</c:v>
                </c:pt>
                <c:pt idx="71">
                  <c:v>-9</c:v>
                </c:pt>
                <c:pt idx="72">
                  <c:v>-8</c:v>
                </c:pt>
                <c:pt idx="73">
                  <c:v>-7</c:v>
                </c:pt>
                <c:pt idx="74">
                  <c:v>-6</c:v>
                </c:pt>
                <c:pt idx="75">
                  <c:v>-5</c:v>
                </c:pt>
                <c:pt idx="76">
                  <c:v>-4</c:v>
                </c:pt>
                <c:pt idx="77">
                  <c:v>-3</c:v>
                </c:pt>
                <c:pt idx="78">
                  <c:v>-2</c:v>
                </c:pt>
                <c:pt idx="79">
                  <c:v>-1</c:v>
                </c:pt>
                <c:pt idx="80">
                  <c:v>0</c:v>
                </c:pt>
                <c:pt idx="81">
                  <c:v>1</c:v>
                </c:pt>
                <c:pt idx="82">
                  <c:v>2</c:v>
                </c:pt>
                <c:pt idx="83">
                  <c:v>3</c:v>
                </c:pt>
                <c:pt idx="84">
                  <c:v>4</c:v>
                </c:pt>
                <c:pt idx="85">
                  <c:v>5</c:v>
                </c:pt>
                <c:pt idx="86">
                  <c:v>6</c:v>
                </c:pt>
                <c:pt idx="87">
                  <c:v>7</c:v>
                </c:pt>
                <c:pt idx="88">
                  <c:v>8</c:v>
                </c:pt>
                <c:pt idx="89">
                  <c:v>9</c:v>
                </c:pt>
                <c:pt idx="90">
                  <c:v>10</c:v>
                </c:pt>
                <c:pt idx="91">
                  <c:v>11</c:v>
                </c:pt>
                <c:pt idx="92">
                  <c:v>12</c:v>
                </c:pt>
                <c:pt idx="93">
                  <c:v>13</c:v>
                </c:pt>
                <c:pt idx="94">
                  <c:v>14</c:v>
                </c:pt>
                <c:pt idx="95">
                  <c:v>15</c:v>
                </c:pt>
                <c:pt idx="96">
                  <c:v>16</c:v>
                </c:pt>
                <c:pt idx="97">
                  <c:v>17</c:v>
                </c:pt>
                <c:pt idx="98">
                  <c:v>18</c:v>
                </c:pt>
                <c:pt idx="99">
                  <c:v>19</c:v>
                </c:pt>
                <c:pt idx="100">
                  <c:v>20</c:v>
                </c:pt>
                <c:pt idx="101">
                  <c:v>21</c:v>
                </c:pt>
                <c:pt idx="102">
                  <c:v>22</c:v>
                </c:pt>
                <c:pt idx="103">
                  <c:v>23</c:v>
                </c:pt>
                <c:pt idx="104">
                  <c:v>24</c:v>
                </c:pt>
                <c:pt idx="105">
                  <c:v>25</c:v>
                </c:pt>
                <c:pt idx="106">
                  <c:v>26</c:v>
                </c:pt>
                <c:pt idx="107">
                  <c:v>27</c:v>
                </c:pt>
                <c:pt idx="108">
                  <c:v>28</c:v>
                </c:pt>
                <c:pt idx="109">
                  <c:v>29</c:v>
                </c:pt>
                <c:pt idx="110">
                  <c:v>30</c:v>
                </c:pt>
                <c:pt idx="111">
                  <c:v>31</c:v>
                </c:pt>
                <c:pt idx="112">
                  <c:v>32</c:v>
                </c:pt>
                <c:pt idx="113">
                  <c:v>33</c:v>
                </c:pt>
                <c:pt idx="114">
                  <c:v>34</c:v>
                </c:pt>
                <c:pt idx="115">
                  <c:v>35</c:v>
                </c:pt>
                <c:pt idx="116">
                  <c:v>36</c:v>
                </c:pt>
                <c:pt idx="117">
                  <c:v>37</c:v>
                </c:pt>
                <c:pt idx="118">
                  <c:v>38</c:v>
                </c:pt>
                <c:pt idx="119">
                  <c:v>39</c:v>
                </c:pt>
                <c:pt idx="120">
                  <c:v>40</c:v>
                </c:pt>
                <c:pt idx="121">
                  <c:v>41</c:v>
                </c:pt>
                <c:pt idx="122">
                  <c:v>42</c:v>
                </c:pt>
                <c:pt idx="123">
                  <c:v>43</c:v>
                </c:pt>
                <c:pt idx="124">
                  <c:v>44</c:v>
                </c:pt>
                <c:pt idx="125">
                  <c:v>45</c:v>
                </c:pt>
                <c:pt idx="126">
                  <c:v>46</c:v>
                </c:pt>
                <c:pt idx="127">
                  <c:v>47</c:v>
                </c:pt>
                <c:pt idx="128">
                  <c:v>48</c:v>
                </c:pt>
                <c:pt idx="129">
                  <c:v>49</c:v>
                </c:pt>
                <c:pt idx="130">
                  <c:v>50</c:v>
                </c:pt>
                <c:pt idx="131">
                  <c:v>51</c:v>
                </c:pt>
                <c:pt idx="132">
                  <c:v>52</c:v>
                </c:pt>
              </c:strCache>
            </c:strRef>
          </c:cat>
          <c:val>
            <c:numRef>
              <c:f>'Sheet1 (13)'!$H$9:$H$142</c:f>
              <c:numCache>
                <c:formatCode>General</c:formatCode>
                <c:ptCount val="133"/>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11</c:v>
                </c:pt>
                <c:pt idx="86">
                  <c:v>9</c:v>
                </c:pt>
                <c:pt idx="87">
                  <c:v>11</c:v>
                </c:pt>
                <c:pt idx="88">
                  <c:v>11</c:v>
                </c:pt>
                <c:pt idx="89">
                  <c:v>13</c:v>
                </c:pt>
                <c:pt idx="90">
                  <c:v>12</c:v>
                </c:pt>
                <c:pt idx="91">
                  <c:v>12</c:v>
                </c:pt>
                <c:pt idx="92">
                  <c:v>13</c:v>
                </c:pt>
                <c:pt idx="93">
                  <c:v>18</c:v>
                </c:pt>
                <c:pt idx="94">
                  <c:v>22</c:v>
                </c:pt>
                <c:pt idx="95">
                  <c:v>21</c:v>
                </c:pt>
                <c:pt idx="96">
                  <c:v>22</c:v>
                </c:pt>
                <c:pt idx="97">
                  <c:v>29</c:v>
                </c:pt>
                <c:pt idx="98">
                  <c:v>32</c:v>
                </c:pt>
                <c:pt idx="99">
                  <c:v>31</c:v>
                </c:pt>
                <c:pt idx="100">
                  <c:v>31</c:v>
                </c:pt>
                <c:pt idx="101">
                  <c:v>26</c:v>
                </c:pt>
                <c:pt idx="102">
                  <c:v>25</c:v>
                </c:pt>
                <c:pt idx="103">
                  <c:v>29</c:v>
                </c:pt>
                <c:pt idx="104">
                  <c:v>31</c:v>
                </c:pt>
                <c:pt idx="105">
                  <c:v>31</c:v>
                </c:pt>
                <c:pt idx="106">
                  <c:v>33</c:v>
                </c:pt>
                <c:pt idx="107">
                  <c:v>34</c:v>
                </c:pt>
                <c:pt idx="108">
                  <c:v>35</c:v>
                </c:pt>
                <c:pt idx="109">
                  <c:v>36</c:v>
                </c:pt>
                <c:pt idx="110">
                  <c:v>37</c:v>
                </c:pt>
                <c:pt idx="111">
                  <c:v>36</c:v>
                </c:pt>
                <c:pt idx="112">
                  <c:v>34</c:v>
                </c:pt>
                <c:pt idx="113">
                  <c:v>36</c:v>
                </c:pt>
                <c:pt idx="114">
                  <c:v>37</c:v>
                </c:pt>
                <c:pt idx="115">
                  <c:v>44</c:v>
                </c:pt>
                <c:pt idx="116">
                  <c:v>42</c:v>
                </c:pt>
                <c:pt idx="117">
                  <c:v>37</c:v>
                </c:pt>
                <c:pt idx="118">
                  <c:v>37</c:v>
                </c:pt>
                <c:pt idx="119">
                  <c:v>38</c:v>
                </c:pt>
                <c:pt idx="120">
                  <c:v>39</c:v>
                </c:pt>
                <c:pt idx="121">
                  <c:v>41</c:v>
                </c:pt>
                <c:pt idx="122">
                  <c:v>42</c:v>
                </c:pt>
                <c:pt idx="123">
                  <c:v>46</c:v>
                </c:pt>
                <c:pt idx="124">
                  <c:v>47</c:v>
                </c:pt>
                <c:pt idx="125">
                  <c:v>45</c:v>
                </c:pt>
                <c:pt idx="126">
                  <c:v>45</c:v>
                </c:pt>
                <c:pt idx="127">
                  <c:v>48</c:v>
                </c:pt>
                <c:pt idx="128">
                  <c:v>50</c:v>
                </c:pt>
                <c:pt idx="129">
                  <c:v>50</c:v>
                </c:pt>
                <c:pt idx="130">
                  <c:v>52</c:v>
                </c:pt>
                <c:pt idx="131">
                  <c:v>49</c:v>
                </c:pt>
                <c:pt idx="132">
                  <c:v>48</c:v>
                </c:pt>
              </c:numCache>
            </c:numRef>
          </c:val>
          <c:smooth val="0"/>
        </c:ser>
        <c:ser>
          <c:idx val="7"/>
          <c:order val="7"/>
          <c:tx>
            <c:strRef>
              <c:f>'Sheet1 (13)'!$I$6:$I$8</c:f>
              <c:strCache>
                <c:ptCount val="1"/>
                <c:pt idx="0">
                  <c:v>Post-init - ADALIMUMAB+METHOTREXATE+SULFASALAZINE</c:v>
                </c:pt>
              </c:strCache>
            </c:strRef>
          </c:tx>
          <c:marker>
            <c:symbol val="none"/>
          </c:marker>
          <c:cat>
            <c:strRef>
              <c:f>'Sheet1 (13)'!$A$9:$A$142</c:f>
              <c:strCache>
                <c:ptCount val="133"/>
                <c:pt idx="0">
                  <c:v>-80</c:v>
                </c:pt>
                <c:pt idx="1">
                  <c:v>-79</c:v>
                </c:pt>
                <c:pt idx="2">
                  <c:v>-78</c:v>
                </c:pt>
                <c:pt idx="3">
                  <c:v>-77</c:v>
                </c:pt>
                <c:pt idx="4">
                  <c:v>-76</c:v>
                </c:pt>
                <c:pt idx="5">
                  <c:v>-75</c:v>
                </c:pt>
                <c:pt idx="6">
                  <c:v>-74</c:v>
                </c:pt>
                <c:pt idx="7">
                  <c:v>-73</c:v>
                </c:pt>
                <c:pt idx="8">
                  <c:v>-72</c:v>
                </c:pt>
                <c:pt idx="9">
                  <c:v>-71</c:v>
                </c:pt>
                <c:pt idx="10">
                  <c:v>-70</c:v>
                </c:pt>
                <c:pt idx="11">
                  <c:v>-69</c:v>
                </c:pt>
                <c:pt idx="12">
                  <c:v>-68</c:v>
                </c:pt>
                <c:pt idx="13">
                  <c:v>-67</c:v>
                </c:pt>
                <c:pt idx="14">
                  <c:v>-66</c:v>
                </c:pt>
                <c:pt idx="15">
                  <c:v>-65</c:v>
                </c:pt>
                <c:pt idx="16">
                  <c:v>-64</c:v>
                </c:pt>
                <c:pt idx="17">
                  <c:v>-63</c:v>
                </c:pt>
                <c:pt idx="18">
                  <c:v>-62</c:v>
                </c:pt>
                <c:pt idx="19">
                  <c:v>-61</c:v>
                </c:pt>
                <c:pt idx="20">
                  <c:v>-60</c:v>
                </c:pt>
                <c:pt idx="21">
                  <c:v>-59</c:v>
                </c:pt>
                <c:pt idx="22">
                  <c:v>-58</c:v>
                </c:pt>
                <c:pt idx="23">
                  <c:v>-57</c:v>
                </c:pt>
                <c:pt idx="24">
                  <c:v>-56</c:v>
                </c:pt>
                <c:pt idx="25">
                  <c:v>-55</c:v>
                </c:pt>
                <c:pt idx="26">
                  <c:v>-54</c:v>
                </c:pt>
                <c:pt idx="27">
                  <c:v>-53</c:v>
                </c:pt>
                <c:pt idx="28">
                  <c:v>-52</c:v>
                </c:pt>
                <c:pt idx="29">
                  <c:v>-51</c:v>
                </c:pt>
                <c:pt idx="30">
                  <c:v>-50</c:v>
                </c:pt>
                <c:pt idx="31">
                  <c:v>-49</c:v>
                </c:pt>
                <c:pt idx="32">
                  <c:v>-48</c:v>
                </c:pt>
                <c:pt idx="33">
                  <c:v>-47</c:v>
                </c:pt>
                <c:pt idx="34">
                  <c:v>-46</c:v>
                </c:pt>
                <c:pt idx="35">
                  <c:v>-45</c:v>
                </c:pt>
                <c:pt idx="36">
                  <c:v>-44</c:v>
                </c:pt>
                <c:pt idx="37">
                  <c:v>-43</c:v>
                </c:pt>
                <c:pt idx="38">
                  <c:v>-42</c:v>
                </c:pt>
                <c:pt idx="39">
                  <c:v>-41</c:v>
                </c:pt>
                <c:pt idx="40">
                  <c:v>-40</c:v>
                </c:pt>
                <c:pt idx="41">
                  <c:v>-39</c:v>
                </c:pt>
                <c:pt idx="42">
                  <c:v>-38</c:v>
                </c:pt>
                <c:pt idx="43">
                  <c:v>-37</c:v>
                </c:pt>
                <c:pt idx="44">
                  <c:v>-36</c:v>
                </c:pt>
                <c:pt idx="45">
                  <c:v>-35</c:v>
                </c:pt>
                <c:pt idx="46">
                  <c:v>-34</c:v>
                </c:pt>
                <c:pt idx="47">
                  <c:v>-33</c:v>
                </c:pt>
                <c:pt idx="48">
                  <c:v>-32</c:v>
                </c:pt>
                <c:pt idx="49">
                  <c:v>-31</c:v>
                </c:pt>
                <c:pt idx="50">
                  <c:v>-30</c:v>
                </c:pt>
                <c:pt idx="51">
                  <c:v>-29</c:v>
                </c:pt>
                <c:pt idx="52">
                  <c:v>-28</c:v>
                </c:pt>
                <c:pt idx="53">
                  <c:v>-27</c:v>
                </c:pt>
                <c:pt idx="54">
                  <c:v>-26</c:v>
                </c:pt>
                <c:pt idx="55">
                  <c:v>-25</c:v>
                </c:pt>
                <c:pt idx="56">
                  <c:v>-24</c:v>
                </c:pt>
                <c:pt idx="57">
                  <c:v>-23</c:v>
                </c:pt>
                <c:pt idx="58">
                  <c:v>-22</c:v>
                </c:pt>
                <c:pt idx="59">
                  <c:v>-21</c:v>
                </c:pt>
                <c:pt idx="60">
                  <c:v>-20</c:v>
                </c:pt>
                <c:pt idx="61">
                  <c:v>-19</c:v>
                </c:pt>
                <c:pt idx="62">
                  <c:v>-18</c:v>
                </c:pt>
                <c:pt idx="63">
                  <c:v>-17</c:v>
                </c:pt>
                <c:pt idx="64">
                  <c:v>-16</c:v>
                </c:pt>
                <c:pt idx="65">
                  <c:v>-15</c:v>
                </c:pt>
                <c:pt idx="66">
                  <c:v>-14</c:v>
                </c:pt>
                <c:pt idx="67">
                  <c:v>-13</c:v>
                </c:pt>
                <c:pt idx="68">
                  <c:v>-12</c:v>
                </c:pt>
                <c:pt idx="69">
                  <c:v>-11</c:v>
                </c:pt>
                <c:pt idx="70">
                  <c:v>-10</c:v>
                </c:pt>
                <c:pt idx="71">
                  <c:v>-9</c:v>
                </c:pt>
                <c:pt idx="72">
                  <c:v>-8</c:v>
                </c:pt>
                <c:pt idx="73">
                  <c:v>-7</c:v>
                </c:pt>
                <c:pt idx="74">
                  <c:v>-6</c:v>
                </c:pt>
                <c:pt idx="75">
                  <c:v>-5</c:v>
                </c:pt>
                <c:pt idx="76">
                  <c:v>-4</c:v>
                </c:pt>
                <c:pt idx="77">
                  <c:v>-3</c:v>
                </c:pt>
                <c:pt idx="78">
                  <c:v>-2</c:v>
                </c:pt>
                <c:pt idx="79">
                  <c:v>-1</c:v>
                </c:pt>
                <c:pt idx="80">
                  <c:v>0</c:v>
                </c:pt>
                <c:pt idx="81">
                  <c:v>1</c:v>
                </c:pt>
                <c:pt idx="82">
                  <c:v>2</c:v>
                </c:pt>
                <c:pt idx="83">
                  <c:v>3</c:v>
                </c:pt>
                <c:pt idx="84">
                  <c:v>4</c:v>
                </c:pt>
                <c:pt idx="85">
                  <c:v>5</c:v>
                </c:pt>
                <c:pt idx="86">
                  <c:v>6</c:v>
                </c:pt>
                <c:pt idx="87">
                  <c:v>7</c:v>
                </c:pt>
                <c:pt idx="88">
                  <c:v>8</c:v>
                </c:pt>
                <c:pt idx="89">
                  <c:v>9</c:v>
                </c:pt>
                <c:pt idx="90">
                  <c:v>10</c:v>
                </c:pt>
                <c:pt idx="91">
                  <c:v>11</c:v>
                </c:pt>
                <c:pt idx="92">
                  <c:v>12</c:v>
                </c:pt>
                <c:pt idx="93">
                  <c:v>13</c:v>
                </c:pt>
                <c:pt idx="94">
                  <c:v>14</c:v>
                </c:pt>
                <c:pt idx="95">
                  <c:v>15</c:v>
                </c:pt>
                <c:pt idx="96">
                  <c:v>16</c:v>
                </c:pt>
                <c:pt idx="97">
                  <c:v>17</c:v>
                </c:pt>
                <c:pt idx="98">
                  <c:v>18</c:v>
                </c:pt>
                <c:pt idx="99">
                  <c:v>19</c:v>
                </c:pt>
                <c:pt idx="100">
                  <c:v>20</c:v>
                </c:pt>
                <c:pt idx="101">
                  <c:v>21</c:v>
                </c:pt>
                <c:pt idx="102">
                  <c:v>22</c:v>
                </c:pt>
                <c:pt idx="103">
                  <c:v>23</c:v>
                </c:pt>
                <c:pt idx="104">
                  <c:v>24</c:v>
                </c:pt>
                <c:pt idx="105">
                  <c:v>25</c:v>
                </c:pt>
                <c:pt idx="106">
                  <c:v>26</c:v>
                </c:pt>
                <c:pt idx="107">
                  <c:v>27</c:v>
                </c:pt>
                <c:pt idx="108">
                  <c:v>28</c:v>
                </c:pt>
                <c:pt idx="109">
                  <c:v>29</c:v>
                </c:pt>
                <c:pt idx="110">
                  <c:v>30</c:v>
                </c:pt>
                <c:pt idx="111">
                  <c:v>31</c:v>
                </c:pt>
                <c:pt idx="112">
                  <c:v>32</c:v>
                </c:pt>
                <c:pt idx="113">
                  <c:v>33</c:v>
                </c:pt>
                <c:pt idx="114">
                  <c:v>34</c:v>
                </c:pt>
                <c:pt idx="115">
                  <c:v>35</c:v>
                </c:pt>
                <c:pt idx="116">
                  <c:v>36</c:v>
                </c:pt>
                <c:pt idx="117">
                  <c:v>37</c:v>
                </c:pt>
                <c:pt idx="118">
                  <c:v>38</c:v>
                </c:pt>
                <c:pt idx="119">
                  <c:v>39</c:v>
                </c:pt>
                <c:pt idx="120">
                  <c:v>40</c:v>
                </c:pt>
                <c:pt idx="121">
                  <c:v>41</c:v>
                </c:pt>
                <c:pt idx="122">
                  <c:v>42</c:v>
                </c:pt>
                <c:pt idx="123">
                  <c:v>43</c:v>
                </c:pt>
                <c:pt idx="124">
                  <c:v>44</c:v>
                </c:pt>
                <c:pt idx="125">
                  <c:v>45</c:v>
                </c:pt>
                <c:pt idx="126">
                  <c:v>46</c:v>
                </c:pt>
                <c:pt idx="127">
                  <c:v>47</c:v>
                </c:pt>
                <c:pt idx="128">
                  <c:v>48</c:v>
                </c:pt>
                <c:pt idx="129">
                  <c:v>49</c:v>
                </c:pt>
                <c:pt idx="130">
                  <c:v>50</c:v>
                </c:pt>
                <c:pt idx="131">
                  <c:v>51</c:v>
                </c:pt>
                <c:pt idx="132">
                  <c:v>52</c:v>
                </c:pt>
              </c:strCache>
            </c:strRef>
          </c:cat>
          <c:val>
            <c:numRef>
              <c:f>'Sheet1 (13)'!$I$9:$I$142</c:f>
              <c:numCache>
                <c:formatCode>General</c:formatCode>
                <c:ptCount val="133"/>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48</c:v>
                </c:pt>
                <c:pt idx="81">
                  <c:v>49</c:v>
                </c:pt>
                <c:pt idx="82">
                  <c:v>49</c:v>
                </c:pt>
                <c:pt idx="83">
                  <c:v>48</c:v>
                </c:pt>
                <c:pt idx="84">
                  <c:v>48</c:v>
                </c:pt>
                <c:pt idx="85">
                  <c:v>45</c:v>
                </c:pt>
                <c:pt idx="86">
                  <c:v>45</c:v>
                </c:pt>
                <c:pt idx="87">
                  <c:v>47</c:v>
                </c:pt>
                <c:pt idx="88">
                  <c:v>44</c:v>
                </c:pt>
                <c:pt idx="89">
                  <c:v>42</c:v>
                </c:pt>
                <c:pt idx="90">
                  <c:v>41</c:v>
                </c:pt>
                <c:pt idx="91">
                  <c:v>40</c:v>
                </c:pt>
                <c:pt idx="92">
                  <c:v>38</c:v>
                </c:pt>
                <c:pt idx="93">
                  <c:v>37</c:v>
                </c:pt>
                <c:pt idx="94">
                  <c:v>35</c:v>
                </c:pt>
                <c:pt idx="95">
                  <c:v>33</c:v>
                </c:pt>
                <c:pt idx="96">
                  <c:v>30</c:v>
                </c:pt>
                <c:pt idx="97">
                  <c:v>26</c:v>
                </c:pt>
                <c:pt idx="98">
                  <c:v>24</c:v>
                </c:pt>
                <c:pt idx="99">
                  <c:v>24</c:v>
                </c:pt>
                <c:pt idx="100">
                  <c:v>25</c:v>
                </c:pt>
                <c:pt idx="101">
                  <c:v>25</c:v>
                </c:pt>
                <c:pt idx="102">
                  <c:v>25</c:v>
                </c:pt>
                <c:pt idx="103">
                  <c:v>24</c:v>
                </c:pt>
                <c:pt idx="104">
                  <c:v>24</c:v>
                </c:pt>
                <c:pt idx="105">
                  <c:v>23</c:v>
                </c:pt>
                <c:pt idx="106">
                  <c:v>23</c:v>
                </c:pt>
                <c:pt idx="107">
                  <c:v>24</c:v>
                </c:pt>
                <c:pt idx="108">
                  <c:v>23</c:v>
                </c:pt>
                <c:pt idx="109">
                  <c:v>22</c:v>
                </c:pt>
                <c:pt idx="110">
                  <c:v>21</c:v>
                </c:pt>
                <c:pt idx="111">
                  <c:v>21</c:v>
                </c:pt>
                <c:pt idx="112">
                  <c:v>20</c:v>
                </c:pt>
                <c:pt idx="113">
                  <c:v>20</c:v>
                </c:pt>
                <c:pt idx="114">
                  <c:v>18</c:v>
                </c:pt>
                <c:pt idx="115">
                  <c:v>16</c:v>
                </c:pt>
                <c:pt idx="116">
                  <c:v>16</c:v>
                </c:pt>
                <c:pt idx="117">
                  <c:v>16</c:v>
                </c:pt>
                <c:pt idx="118">
                  <c:v>16</c:v>
                </c:pt>
                <c:pt idx="119">
                  <c:v>14</c:v>
                </c:pt>
                <c:pt idx="120">
                  <c:v>15</c:v>
                </c:pt>
                <c:pt idx="121">
                  <c:v>16</c:v>
                </c:pt>
                <c:pt idx="122">
                  <c:v>17</c:v>
                </c:pt>
                <c:pt idx="123">
                  <c:v>17</c:v>
                </c:pt>
                <c:pt idx="124">
                  <c:v>17</c:v>
                </c:pt>
                <c:pt idx="125">
                  <c:v>16</c:v>
                </c:pt>
                <c:pt idx="126">
                  <c:v>16</c:v>
                </c:pt>
                <c:pt idx="127">
                  <c:v>16</c:v>
                </c:pt>
                <c:pt idx="128">
                  <c:v>16</c:v>
                </c:pt>
                <c:pt idx="129">
                  <c:v>15</c:v>
                </c:pt>
                <c:pt idx="130">
                  <c:v>16</c:v>
                </c:pt>
                <c:pt idx="131">
                  <c:v>16</c:v>
                </c:pt>
                <c:pt idx="132">
                  <c:v>17</c:v>
                </c:pt>
              </c:numCache>
            </c:numRef>
          </c:val>
          <c:smooth val="0"/>
        </c:ser>
        <c:ser>
          <c:idx val="8"/>
          <c:order val="8"/>
          <c:tx>
            <c:strRef>
              <c:f>'Sheet1 (13)'!$J$6:$J$8</c:f>
              <c:strCache>
                <c:ptCount val="1"/>
                <c:pt idx="0">
                  <c:v>Post-init - ADALIMUMAB+LEFLUNOMIDE</c:v>
                </c:pt>
              </c:strCache>
            </c:strRef>
          </c:tx>
          <c:marker>
            <c:symbol val="none"/>
          </c:marker>
          <c:cat>
            <c:strRef>
              <c:f>'Sheet1 (13)'!$A$9:$A$142</c:f>
              <c:strCache>
                <c:ptCount val="133"/>
                <c:pt idx="0">
                  <c:v>-80</c:v>
                </c:pt>
                <c:pt idx="1">
                  <c:v>-79</c:v>
                </c:pt>
                <c:pt idx="2">
                  <c:v>-78</c:v>
                </c:pt>
                <c:pt idx="3">
                  <c:v>-77</c:v>
                </c:pt>
                <c:pt idx="4">
                  <c:v>-76</c:v>
                </c:pt>
                <c:pt idx="5">
                  <c:v>-75</c:v>
                </c:pt>
                <c:pt idx="6">
                  <c:v>-74</c:v>
                </c:pt>
                <c:pt idx="7">
                  <c:v>-73</c:v>
                </c:pt>
                <c:pt idx="8">
                  <c:v>-72</c:v>
                </c:pt>
                <c:pt idx="9">
                  <c:v>-71</c:v>
                </c:pt>
                <c:pt idx="10">
                  <c:v>-70</c:v>
                </c:pt>
                <c:pt idx="11">
                  <c:v>-69</c:v>
                </c:pt>
                <c:pt idx="12">
                  <c:v>-68</c:v>
                </c:pt>
                <c:pt idx="13">
                  <c:v>-67</c:v>
                </c:pt>
                <c:pt idx="14">
                  <c:v>-66</c:v>
                </c:pt>
                <c:pt idx="15">
                  <c:v>-65</c:v>
                </c:pt>
                <c:pt idx="16">
                  <c:v>-64</c:v>
                </c:pt>
                <c:pt idx="17">
                  <c:v>-63</c:v>
                </c:pt>
                <c:pt idx="18">
                  <c:v>-62</c:v>
                </c:pt>
                <c:pt idx="19">
                  <c:v>-61</c:v>
                </c:pt>
                <c:pt idx="20">
                  <c:v>-60</c:v>
                </c:pt>
                <c:pt idx="21">
                  <c:v>-59</c:v>
                </c:pt>
                <c:pt idx="22">
                  <c:v>-58</c:v>
                </c:pt>
                <c:pt idx="23">
                  <c:v>-57</c:v>
                </c:pt>
                <c:pt idx="24">
                  <c:v>-56</c:v>
                </c:pt>
                <c:pt idx="25">
                  <c:v>-55</c:v>
                </c:pt>
                <c:pt idx="26">
                  <c:v>-54</c:v>
                </c:pt>
                <c:pt idx="27">
                  <c:v>-53</c:v>
                </c:pt>
                <c:pt idx="28">
                  <c:v>-52</c:v>
                </c:pt>
                <c:pt idx="29">
                  <c:v>-51</c:v>
                </c:pt>
                <c:pt idx="30">
                  <c:v>-50</c:v>
                </c:pt>
                <c:pt idx="31">
                  <c:v>-49</c:v>
                </c:pt>
                <c:pt idx="32">
                  <c:v>-48</c:v>
                </c:pt>
                <c:pt idx="33">
                  <c:v>-47</c:v>
                </c:pt>
                <c:pt idx="34">
                  <c:v>-46</c:v>
                </c:pt>
                <c:pt idx="35">
                  <c:v>-45</c:v>
                </c:pt>
                <c:pt idx="36">
                  <c:v>-44</c:v>
                </c:pt>
                <c:pt idx="37">
                  <c:v>-43</c:v>
                </c:pt>
                <c:pt idx="38">
                  <c:v>-42</c:v>
                </c:pt>
                <c:pt idx="39">
                  <c:v>-41</c:v>
                </c:pt>
                <c:pt idx="40">
                  <c:v>-40</c:v>
                </c:pt>
                <c:pt idx="41">
                  <c:v>-39</c:v>
                </c:pt>
                <c:pt idx="42">
                  <c:v>-38</c:v>
                </c:pt>
                <c:pt idx="43">
                  <c:v>-37</c:v>
                </c:pt>
                <c:pt idx="44">
                  <c:v>-36</c:v>
                </c:pt>
                <c:pt idx="45">
                  <c:v>-35</c:v>
                </c:pt>
                <c:pt idx="46">
                  <c:v>-34</c:v>
                </c:pt>
                <c:pt idx="47">
                  <c:v>-33</c:v>
                </c:pt>
                <c:pt idx="48">
                  <c:v>-32</c:v>
                </c:pt>
                <c:pt idx="49">
                  <c:v>-31</c:v>
                </c:pt>
                <c:pt idx="50">
                  <c:v>-30</c:v>
                </c:pt>
                <c:pt idx="51">
                  <c:v>-29</c:v>
                </c:pt>
                <c:pt idx="52">
                  <c:v>-28</c:v>
                </c:pt>
                <c:pt idx="53">
                  <c:v>-27</c:v>
                </c:pt>
                <c:pt idx="54">
                  <c:v>-26</c:v>
                </c:pt>
                <c:pt idx="55">
                  <c:v>-25</c:v>
                </c:pt>
                <c:pt idx="56">
                  <c:v>-24</c:v>
                </c:pt>
                <c:pt idx="57">
                  <c:v>-23</c:v>
                </c:pt>
                <c:pt idx="58">
                  <c:v>-22</c:v>
                </c:pt>
                <c:pt idx="59">
                  <c:v>-21</c:v>
                </c:pt>
                <c:pt idx="60">
                  <c:v>-20</c:v>
                </c:pt>
                <c:pt idx="61">
                  <c:v>-19</c:v>
                </c:pt>
                <c:pt idx="62">
                  <c:v>-18</c:v>
                </c:pt>
                <c:pt idx="63">
                  <c:v>-17</c:v>
                </c:pt>
                <c:pt idx="64">
                  <c:v>-16</c:v>
                </c:pt>
                <c:pt idx="65">
                  <c:v>-15</c:v>
                </c:pt>
                <c:pt idx="66">
                  <c:v>-14</c:v>
                </c:pt>
                <c:pt idx="67">
                  <c:v>-13</c:v>
                </c:pt>
                <c:pt idx="68">
                  <c:v>-12</c:v>
                </c:pt>
                <c:pt idx="69">
                  <c:v>-11</c:v>
                </c:pt>
                <c:pt idx="70">
                  <c:v>-10</c:v>
                </c:pt>
                <c:pt idx="71">
                  <c:v>-9</c:v>
                </c:pt>
                <c:pt idx="72">
                  <c:v>-8</c:v>
                </c:pt>
                <c:pt idx="73">
                  <c:v>-7</c:v>
                </c:pt>
                <c:pt idx="74">
                  <c:v>-6</c:v>
                </c:pt>
                <c:pt idx="75">
                  <c:v>-5</c:v>
                </c:pt>
                <c:pt idx="76">
                  <c:v>-4</c:v>
                </c:pt>
                <c:pt idx="77">
                  <c:v>-3</c:v>
                </c:pt>
                <c:pt idx="78">
                  <c:v>-2</c:v>
                </c:pt>
                <c:pt idx="79">
                  <c:v>-1</c:v>
                </c:pt>
                <c:pt idx="80">
                  <c:v>0</c:v>
                </c:pt>
                <c:pt idx="81">
                  <c:v>1</c:v>
                </c:pt>
                <c:pt idx="82">
                  <c:v>2</c:v>
                </c:pt>
                <c:pt idx="83">
                  <c:v>3</c:v>
                </c:pt>
                <c:pt idx="84">
                  <c:v>4</c:v>
                </c:pt>
                <c:pt idx="85">
                  <c:v>5</c:v>
                </c:pt>
                <c:pt idx="86">
                  <c:v>6</c:v>
                </c:pt>
                <c:pt idx="87">
                  <c:v>7</c:v>
                </c:pt>
                <c:pt idx="88">
                  <c:v>8</c:v>
                </c:pt>
                <c:pt idx="89">
                  <c:v>9</c:v>
                </c:pt>
                <c:pt idx="90">
                  <c:v>10</c:v>
                </c:pt>
                <c:pt idx="91">
                  <c:v>11</c:v>
                </c:pt>
                <c:pt idx="92">
                  <c:v>12</c:v>
                </c:pt>
                <c:pt idx="93">
                  <c:v>13</c:v>
                </c:pt>
                <c:pt idx="94">
                  <c:v>14</c:v>
                </c:pt>
                <c:pt idx="95">
                  <c:v>15</c:v>
                </c:pt>
                <c:pt idx="96">
                  <c:v>16</c:v>
                </c:pt>
                <c:pt idx="97">
                  <c:v>17</c:v>
                </c:pt>
                <c:pt idx="98">
                  <c:v>18</c:v>
                </c:pt>
                <c:pt idx="99">
                  <c:v>19</c:v>
                </c:pt>
                <c:pt idx="100">
                  <c:v>20</c:v>
                </c:pt>
                <c:pt idx="101">
                  <c:v>21</c:v>
                </c:pt>
                <c:pt idx="102">
                  <c:v>22</c:v>
                </c:pt>
                <c:pt idx="103">
                  <c:v>23</c:v>
                </c:pt>
                <c:pt idx="104">
                  <c:v>24</c:v>
                </c:pt>
                <c:pt idx="105">
                  <c:v>25</c:v>
                </c:pt>
                <c:pt idx="106">
                  <c:v>26</c:v>
                </c:pt>
                <c:pt idx="107">
                  <c:v>27</c:v>
                </c:pt>
                <c:pt idx="108">
                  <c:v>28</c:v>
                </c:pt>
                <c:pt idx="109">
                  <c:v>29</c:v>
                </c:pt>
                <c:pt idx="110">
                  <c:v>30</c:v>
                </c:pt>
                <c:pt idx="111">
                  <c:v>31</c:v>
                </c:pt>
                <c:pt idx="112">
                  <c:v>32</c:v>
                </c:pt>
                <c:pt idx="113">
                  <c:v>33</c:v>
                </c:pt>
                <c:pt idx="114">
                  <c:v>34</c:v>
                </c:pt>
                <c:pt idx="115">
                  <c:v>35</c:v>
                </c:pt>
                <c:pt idx="116">
                  <c:v>36</c:v>
                </c:pt>
                <c:pt idx="117">
                  <c:v>37</c:v>
                </c:pt>
                <c:pt idx="118">
                  <c:v>38</c:v>
                </c:pt>
                <c:pt idx="119">
                  <c:v>39</c:v>
                </c:pt>
                <c:pt idx="120">
                  <c:v>40</c:v>
                </c:pt>
                <c:pt idx="121">
                  <c:v>41</c:v>
                </c:pt>
                <c:pt idx="122">
                  <c:v>42</c:v>
                </c:pt>
                <c:pt idx="123">
                  <c:v>43</c:v>
                </c:pt>
                <c:pt idx="124">
                  <c:v>44</c:v>
                </c:pt>
                <c:pt idx="125">
                  <c:v>45</c:v>
                </c:pt>
                <c:pt idx="126">
                  <c:v>46</c:v>
                </c:pt>
                <c:pt idx="127">
                  <c:v>47</c:v>
                </c:pt>
                <c:pt idx="128">
                  <c:v>48</c:v>
                </c:pt>
                <c:pt idx="129">
                  <c:v>49</c:v>
                </c:pt>
                <c:pt idx="130">
                  <c:v>50</c:v>
                </c:pt>
                <c:pt idx="131">
                  <c:v>51</c:v>
                </c:pt>
                <c:pt idx="132">
                  <c:v>52</c:v>
                </c:pt>
              </c:strCache>
            </c:strRef>
          </c:cat>
          <c:val>
            <c:numRef>
              <c:f>'Sheet1 (13)'!$J$9:$J$142</c:f>
              <c:numCache>
                <c:formatCode>General</c:formatCode>
                <c:ptCount val="133"/>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35</c:v>
                </c:pt>
                <c:pt idx="81">
                  <c:v>35</c:v>
                </c:pt>
                <c:pt idx="82">
                  <c:v>35</c:v>
                </c:pt>
                <c:pt idx="83">
                  <c:v>36</c:v>
                </c:pt>
                <c:pt idx="84">
                  <c:v>37</c:v>
                </c:pt>
                <c:pt idx="85">
                  <c:v>35</c:v>
                </c:pt>
                <c:pt idx="86">
                  <c:v>35</c:v>
                </c:pt>
                <c:pt idx="87">
                  <c:v>36</c:v>
                </c:pt>
                <c:pt idx="88">
                  <c:v>34</c:v>
                </c:pt>
                <c:pt idx="89">
                  <c:v>34</c:v>
                </c:pt>
                <c:pt idx="90">
                  <c:v>34</c:v>
                </c:pt>
                <c:pt idx="91">
                  <c:v>34</c:v>
                </c:pt>
                <c:pt idx="92">
                  <c:v>34</c:v>
                </c:pt>
                <c:pt idx="93">
                  <c:v>30</c:v>
                </c:pt>
                <c:pt idx="94">
                  <c:v>29</c:v>
                </c:pt>
                <c:pt idx="95">
                  <c:v>28</c:v>
                </c:pt>
                <c:pt idx="96">
                  <c:v>29</c:v>
                </c:pt>
                <c:pt idx="97">
                  <c:v>30</c:v>
                </c:pt>
                <c:pt idx="98">
                  <c:v>25</c:v>
                </c:pt>
                <c:pt idx="99">
                  <c:v>26</c:v>
                </c:pt>
                <c:pt idx="100">
                  <c:v>25</c:v>
                </c:pt>
                <c:pt idx="101">
                  <c:v>25</c:v>
                </c:pt>
                <c:pt idx="102">
                  <c:v>25</c:v>
                </c:pt>
                <c:pt idx="103">
                  <c:v>24</c:v>
                </c:pt>
                <c:pt idx="104">
                  <c:v>23</c:v>
                </c:pt>
                <c:pt idx="105">
                  <c:v>21</c:v>
                </c:pt>
                <c:pt idx="106">
                  <c:v>21</c:v>
                </c:pt>
                <c:pt idx="107">
                  <c:v>21</c:v>
                </c:pt>
                <c:pt idx="108">
                  <c:v>20</c:v>
                </c:pt>
                <c:pt idx="109">
                  <c:v>21</c:v>
                </c:pt>
                <c:pt idx="110">
                  <c:v>21</c:v>
                </c:pt>
                <c:pt idx="111">
                  <c:v>21</c:v>
                </c:pt>
                <c:pt idx="112">
                  <c:v>19</c:v>
                </c:pt>
                <c:pt idx="113">
                  <c:v>19</c:v>
                </c:pt>
                <c:pt idx="114">
                  <c:v>20</c:v>
                </c:pt>
                <c:pt idx="115">
                  <c:v>20</c:v>
                </c:pt>
                <c:pt idx="116">
                  <c:v>20</c:v>
                </c:pt>
                <c:pt idx="117">
                  <c:v>22</c:v>
                </c:pt>
                <c:pt idx="118">
                  <c:v>22</c:v>
                </c:pt>
                <c:pt idx="119">
                  <c:v>22</c:v>
                </c:pt>
                <c:pt idx="120">
                  <c:v>22</c:v>
                </c:pt>
                <c:pt idx="121">
                  <c:v>22</c:v>
                </c:pt>
                <c:pt idx="122">
                  <c:v>21</c:v>
                </c:pt>
                <c:pt idx="123">
                  <c:v>21</c:v>
                </c:pt>
                <c:pt idx="124">
                  <c:v>20</c:v>
                </c:pt>
                <c:pt idx="125">
                  <c:v>21</c:v>
                </c:pt>
                <c:pt idx="126">
                  <c:v>21</c:v>
                </c:pt>
                <c:pt idx="127">
                  <c:v>22</c:v>
                </c:pt>
                <c:pt idx="128">
                  <c:v>22</c:v>
                </c:pt>
                <c:pt idx="129">
                  <c:v>21</c:v>
                </c:pt>
                <c:pt idx="130">
                  <c:v>21</c:v>
                </c:pt>
                <c:pt idx="131">
                  <c:v>21</c:v>
                </c:pt>
                <c:pt idx="132">
                  <c:v>20</c:v>
                </c:pt>
              </c:numCache>
            </c:numRef>
          </c:val>
          <c:smooth val="0"/>
        </c:ser>
        <c:ser>
          <c:idx val="9"/>
          <c:order val="9"/>
          <c:tx>
            <c:strRef>
              <c:f>'Sheet1 (13)'!$K$6:$K$8</c:f>
              <c:strCache>
                <c:ptCount val="1"/>
                <c:pt idx="0">
                  <c:v>Post-init - ADALIMUMAB+LEFLUNOMIDE+METHOTREXATE</c:v>
                </c:pt>
              </c:strCache>
            </c:strRef>
          </c:tx>
          <c:marker>
            <c:symbol val="none"/>
          </c:marker>
          <c:cat>
            <c:strRef>
              <c:f>'Sheet1 (13)'!$A$9:$A$142</c:f>
              <c:strCache>
                <c:ptCount val="133"/>
                <c:pt idx="0">
                  <c:v>-80</c:v>
                </c:pt>
                <c:pt idx="1">
                  <c:v>-79</c:v>
                </c:pt>
                <c:pt idx="2">
                  <c:v>-78</c:v>
                </c:pt>
                <c:pt idx="3">
                  <c:v>-77</c:v>
                </c:pt>
                <c:pt idx="4">
                  <c:v>-76</c:v>
                </c:pt>
                <c:pt idx="5">
                  <c:v>-75</c:v>
                </c:pt>
                <c:pt idx="6">
                  <c:v>-74</c:v>
                </c:pt>
                <c:pt idx="7">
                  <c:v>-73</c:v>
                </c:pt>
                <c:pt idx="8">
                  <c:v>-72</c:v>
                </c:pt>
                <c:pt idx="9">
                  <c:v>-71</c:v>
                </c:pt>
                <c:pt idx="10">
                  <c:v>-70</c:v>
                </c:pt>
                <c:pt idx="11">
                  <c:v>-69</c:v>
                </c:pt>
                <c:pt idx="12">
                  <c:v>-68</c:v>
                </c:pt>
                <c:pt idx="13">
                  <c:v>-67</c:v>
                </c:pt>
                <c:pt idx="14">
                  <c:v>-66</c:v>
                </c:pt>
                <c:pt idx="15">
                  <c:v>-65</c:v>
                </c:pt>
                <c:pt idx="16">
                  <c:v>-64</c:v>
                </c:pt>
                <c:pt idx="17">
                  <c:v>-63</c:v>
                </c:pt>
                <c:pt idx="18">
                  <c:v>-62</c:v>
                </c:pt>
                <c:pt idx="19">
                  <c:v>-61</c:v>
                </c:pt>
                <c:pt idx="20">
                  <c:v>-60</c:v>
                </c:pt>
                <c:pt idx="21">
                  <c:v>-59</c:v>
                </c:pt>
                <c:pt idx="22">
                  <c:v>-58</c:v>
                </c:pt>
                <c:pt idx="23">
                  <c:v>-57</c:v>
                </c:pt>
                <c:pt idx="24">
                  <c:v>-56</c:v>
                </c:pt>
                <c:pt idx="25">
                  <c:v>-55</c:v>
                </c:pt>
                <c:pt idx="26">
                  <c:v>-54</c:v>
                </c:pt>
                <c:pt idx="27">
                  <c:v>-53</c:v>
                </c:pt>
                <c:pt idx="28">
                  <c:v>-52</c:v>
                </c:pt>
                <c:pt idx="29">
                  <c:v>-51</c:v>
                </c:pt>
                <c:pt idx="30">
                  <c:v>-50</c:v>
                </c:pt>
                <c:pt idx="31">
                  <c:v>-49</c:v>
                </c:pt>
                <c:pt idx="32">
                  <c:v>-48</c:v>
                </c:pt>
                <c:pt idx="33">
                  <c:v>-47</c:v>
                </c:pt>
                <c:pt idx="34">
                  <c:v>-46</c:v>
                </c:pt>
                <c:pt idx="35">
                  <c:v>-45</c:v>
                </c:pt>
                <c:pt idx="36">
                  <c:v>-44</c:v>
                </c:pt>
                <c:pt idx="37">
                  <c:v>-43</c:v>
                </c:pt>
                <c:pt idx="38">
                  <c:v>-42</c:v>
                </c:pt>
                <c:pt idx="39">
                  <c:v>-41</c:v>
                </c:pt>
                <c:pt idx="40">
                  <c:v>-40</c:v>
                </c:pt>
                <c:pt idx="41">
                  <c:v>-39</c:v>
                </c:pt>
                <c:pt idx="42">
                  <c:v>-38</c:v>
                </c:pt>
                <c:pt idx="43">
                  <c:v>-37</c:v>
                </c:pt>
                <c:pt idx="44">
                  <c:v>-36</c:v>
                </c:pt>
                <c:pt idx="45">
                  <c:v>-35</c:v>
                </c:pt>
                <c:pt idx="46">
                  <c:v>-34</c:v>
                </c:pt>
                <c:pt idx="47">
                  <c:v>-33</c:v>
                </c:pt>
                <c:pt idx="48">
                  <c:v>-32</c:v>
                </c:pt>
                <c:pt idx="49">
                  <c:v>-31</c:v>
                </c:pt>
                <c:pt idx="50">
                  <c:v>-30</c:v>
                </c:pt>
                <c:pt idx="51">
                  <c:v>-29</c:v>
                </c:pt>
                <c:pt idx="52">
                  <c:v>-28</c:v>
                </c:pt>
                <c:pt idx="53">
                  <c:v>-27</c:v>
                </c:pt>
                <c:pt idx="54">
                  <c:v>-26</c:v>
                </c:pt>
                <c:pt idx="55">
                  <c:v>-25</c:v>
                </c:pt>
                <c:pt idx="56">
                  <c:v>-24</c:v>
                </c:pt>
                <c:pt idx="57">
                  <c:v>-23</c:v>
                </c:pt>
                <c:pt idx="58">
                  <c:v>-22</c:v>
                </c:pt>
                <c:pt idx="59">
                  <c:v>-21</c:v>
                </c:pt>
                <c:pt idx="60">
                  <c:v>-20</c:v>
                </c:pt>
                <c:pt idx="61">
                  <c:v>-19</c:v>
                </c:pt>
                <c:pt idx="62">
                  <c:v>-18</c:v>
                </c:pt>
                <c:pt idx="63">
                  <c:v>-17</c:v>
                </c:pt>
                <c:pt idx="64">
                  <c:v>-16</c:v>
                </c:pt>
                <c:pt idx="65">
                  <c:v>-15</c:v>
                </c:pt>
                <c:pt idx="66">
                  <c:v>-14</c:v>
                </c:pt>
                <c:pt idx="67">
                  <c:v>-13</c:v>
                </c:pt>
                <c:pt idx="68">
                  <c:v>-12</c:v>
                </c:pt>
                <c:pt idx="69">
                  <c:v>-11</c:v>
                </c:pt>
                <c:pt idx="70">
                  <c:v>-10</c:v>
                </c:pt>
                <c:pt idx="71">
                  <c:v>-9</c:v>
                </c:pt>
                <c:pt idx="72">
                  <c:v>-8</c:v>
                </c:pt>
                <c:pt idx="73">
                  <c:v>-7</c:v>
                </c:pt>
                <c:pt idx="74">
                  <c:v>-6</c:v>
                </c:pt>
                <c:pt idx="75">
                  <c:v>-5</c:v>
                </c:pt>
                <c:pt idx="76">
                  <c:v>-4</c:v>
                </c:pt>
                <c:pt idx="77">
                  <c:v>-3</c:v>
                </c:pt>
                <c:pt idx="78">
                  <c:v>-2</c:v>
                </c:pt>
                <c:pt idx="79">
                  <c:v>-1</c:v>
                </c:pt>
                <c:pt idx="80">
                  <c:v>0</c:v>
                </c:pt>
                <c:pt idx="81">
                  <c:v>1</c:v>
                </c:pt>
                <c:pt idx="82">
                  <c:v>2</c:v>
                </c:pt>
                <c:pt idx="83">
                  <c:v>3</c:v>
                </c:pt>
                <c:pt idx="84">
                  <c:v>4</c:v>
                </c:pt>
                <c:pt idx="85">
                  <c:v>5</c:v>
                </c:pt>
                <c:pt idx="86">
                  <c:v>6</c:v>
                </c:pt>
                <c:pt idx="87">
                  <c:v>7</c:v>
                </c:pt>
                <c:pt idx="88">
                  <c:v>8</c:v>
                </c:pt>
                <c:pt idx="89">
                  <c:v>9</c:v>
                </c:pt>
                <c:pt idx="90">
                  <c:v>10</c:v>
                </c:pt>
                <c:pt idx="91">
                  <c:v>11</c:v>
                </c:pt>
                <c:pt idx="92">
                  <c:v>12</c:v>
                </c:pt>
                <c:pt idx="93">
                  <c:v>13</c:v>
                </c:pt>
                <c:pt idx="94">
                  <c:v>14</c:v>
                </c:pt>
                <c:pt idx="95">
                  <c:v>15</c:v>
                </c:pt>
                <c:pt idx="96">
                  <c:v>16</c:v>
                </c:pt>
                <c:pt idx="97">
                  <c:v>17</c:v>
                </c:pt>
                <c:pt idx="98">
                  <c:v>18</c:v>
                </c:pt>
                <c:pt idx="99">
                  <c:v>19</c:v>
                </c:pt>
                <c:pt idx="100">
                  <c:v>20</c:v>
                </c:pt>
                <c:pt idx="101">
                  <c:v>21</c:v>
                </c:pt>
                <c:pt idx="102">
                  <c:v>22</c:v>
                </c:pt>
                <c:pt idx="103">
                  <c:v>23</c:v>
                </c:pt>
                <c:pt idx="104">
                  <c:v>24</c:v>
                </c:pt>
                <c:pt idx="105">
                  <c:v>25</c:v>
                </c:pt>
                <c:pt idx="106">
                  <c:v>26</c:v>
                </c:pt>
                <c:pt idx="107">
                  <c:v>27</c:v>
                </c:pt>
                <c:pt idx="108">
                  <c:v>28</c:v>
                </c:pt>
                <c:pt idx="109">
                  <c:v>29</c:v>
                </c:pt>
                <c:pt idx="110">
                  <c:v>30</c:v>
                </c:pt>
                <c:pt idx="111">
                  <c:v>31</c:v>
                </c:pt>
                <c:pt idx="112">
                  <c:v>32</c:v>
                </c:pt>
                <c:pt idx="113">
                  <c:v>33</c:v>
                </c:pt>
                <c:pt idx="114">
                  <c:v>34</c:v>
                </c:pt>
                <c:pt idx="115">
                  <c:v>35</c:v>
                </c:pt>
                <c:pt idx="116">
                  <c:v>36</c:v>
                </c:pt>
                <c:pt idx="117">
                  <c:v>37</c:v>
                </c:pt>
                <c:pt idx="118">
                  <c:v>38</c:v>
                </c:pt>
                <c:pt idx="119">
                  <c:v>39</c:v>
                </c:pt>
                <c:pt idx="120">
                  <c:v>40</c:v>
                </c:pt>
                <c:pt idx="121">
                  <c:v>41</c:v>
                </c:pt>
                <c:pt idx="122">
                  <c:v>42</c:v>
                </c:pt>
                <c:pt idx="123">
                  <c:v>43</c:v>
                </c:pt>
                <c:pt idx="124">
                  <c:v>44</c:v>
                </c:pt>
                <c:pt idx="125">
                  <c:v>45</c:v>
                </c:pt>
                <c:pt idx="126">
                  <c:v>46</c:v>
                </c:pt>
                <c:pt idx="127">
                  <c:v>47</c:v>
                </c:pt>
                <c:pt idx="128">
                  <c:v>48</c:v>
                </c:pt>
                <c:pt idx="129">
                  <c:v>49</c:v>
                </c:pt>
                <c:pt idx="130">
                  <c:v>50</c:v>
                </c:pt>
                <c:pt idx="131">
                  <c:v>51</c:v>
                </c:pt>
                <c:pt idx="132">
                  <c:v>52</c:v>
                </c:pt>
              </c:strCache>
            </c:strRef>
          </c:cat>
          <c:val>
            <c:numRef>
              <c:f>'Sheet1 (13)'!$K$9:$K$142</c:f>
              <c:numCache>
                <c:formatCode>General</c:formatCode>
                <c:ptCount val="133"/>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46</c:v>
                </c:pt>
                <c:pt idx="81">
                  <c:v>46</c:v>
                </c:pt>
                <c:pt idx="82">
                  <c:v>46</c:v>
                </c:pt>
                <c:pt idx="83">
                  <c:v>46</c:v>
                </c:pt>
                <c:pt idx="84">
                  <c:v>47</c:v>
                </c:pt>
                <c:pt idx="85">
                  <c:v>45</c:v>
                </c:pt>
                <c:pt idx="86">
                  <c:v>44</c:v>
                </c:pt>
                <c:pt idx="87">
                  <c:v>41</c:v>
                </c:pt>
                <c:pt idx="88">
                  <c:v>39</c:v>
                </c:pt>
                <c:pt idx="89">
                  <c:v>39</c:v>
                </c:pt>
                <c:pt idx="90">
                  <c:v>38</c:v>
                </c:pt>
                <c:pt idx="91">
                  <c:v>39</c:v>
                </c:pt>
                <c:pt idx="92">
                  <c:v>37</c:v>
                </c:pt>
                <c:pt idx="93">
                  <c:v>36</c:v>
                </c:pt>
                <c:pt idx="94">
                  <c:v>32</c:v>
                </c:pt>
                <c:pt idx="95">
                  <c:v>32</c:v>
                </c:pt>
                <c:pt idx="96">
                  <c:v>31</c:v>
                </c:pt>
                <c:pt idx="97">
                  <c:v>25</c:v>
                </c:pt>
                <c:pt idx="98">
                  <c:v>26</c:v>
                </c:pt>
                <c:pt idx="99">
                  <c:v>25</c:v>
                </c:pt>
                <c:pt idx="100">
                  <c:v>25</c:v>
                </c:pt>
                <c:pt idx="101">
                  <c:v>23</c:v>
                </c:pt>
                <c:pt idx="102">
                  <c:v>22</c:v>
                </c:pt>
                <c:pt idx="103">
                  <c:v>22</c:v>
                </c:pt>
                <c:pt idx="104">
                  <c:v>21</c:v>
                </c:pt>
                <c:pt idx="105">
                  <c:v>20</c:v>
                </c:pt>
                <c:pt idx="106">
                  <c:v>19</c:v>
                </c:pt>
                <c:pt idx="107">
                  <c:v>20</c:v>
                </c:pt>
                <c:pt idx="108">
                  <c:v>20</c:v>
                </c:pt>
                <c:pt idx="109">
                  <c:v>19</c:v>
                </c:pt>
                <c:pt idx="110">
                  <c:v>19</c:v>
                </c:pt>
                <c:pt idx="111">
                  <c:v>18</c:v>
                </c:pt>
                <c:pt idx="112">
                  <c:v>19</c:v>
                </c:pt>
                <c:pt idx="113">
                  <c:v>18</c:v>
                </c:pt>
                <c:pt idx="114">
                  <c:v>19</c:v>
                </c:pt>
                <c:pt idx="115">
                  <c:v>19</c:v>
                </c:pt>
                <c:pt idx="116">
                  <c:v>19</c:v>
                </c:pt>
                <c:pt idx="117">
                  <c:v>18</c:v>
                </c:pt>
                <c:pt idx="118">
                  <c:v>18</c:v>
                </c:pt>
                <c:pt idx="119">
                  <c:v>18</c:v>
                </c:pt>
                <c:pt idx="120">
                  <c:v>19</c:v>
                </c:pt>
                <c:pt idx="121">
                  <c:v>18</c:v>
                </c:pt>
                <c:pt idx="122">
                  <c:v>16</c:v>
                </c:pt>
                <c:pt idx="123">
                  <c:v>16</c:v>
                </c:pt>
                <c:pt idx="124">
                  <c:v>16</c:v>
                </c:pt>
                <c:pt idx="125">
                  <c:v>15</c:v>
                </c:pt>
                <c:pt idx="126">
                  <c:v>14</c:v>
                </c:pt>
                <c:pt idx="127">
                  <c:v>13</c:v>
                </c:pt>
                <c:pt idx="128">
                  <c:v>13</c:v>
                </c:pt>
                <c:pt idx="129">
                  <c:v>13</c:v>
                </c:pt>
                <c:pt idx="130">
                  <c:v>12</c:v>
                </c:pt>
                <c:pt idx="131">
                  <c:v>12</c:v>
                </c:pt>
                <c:pt idx="132">
                  <c:v>12</c:v>
                </c:pt>
              </c:numCache>
            </c:numRef>
          </c:val>
          <c:smooth val="0"/>
        </c:ser>
        <c:ser>
          <c:idx val="10"/>
          <c:order val="10"/>
          <c:tx>
            <c:strRef>
              <c:f>'Sheet1 (13)'!$L$6:$L$8</c:f>
              <c:strCache>
                <c:ptCount val="1"/>
                <c:pt idx="0">
                  <c:v>Pre-init - METHOTREXATE</c:v>
                </c:pt>
              </c:strCache>
            </c:strRef>
          </c:tx>
          <c:marker>
            <c:symbol val="none"/>
          </c:marker>
          <c:cat>
            <c:strRef>
              <c:f>'Sheet1 (13)'!$A$9:$A$142</c:f>
              <c:strCache>
                <c:ptCount val="133"/>
                <c:pt idx="0">
                  <c:v>-80</c:v>
                </c:pt>
                <c:pt idx="1">
                  <c:v>-79</c:v>
                </c:pt>
                <c:pt idx="2">
                  <c:v>-78</c:v>
                </c:pt>
                <c:pt idx="3">
                  <c:v>-77</c:v>
                </c:pt>
                <c:pt idx="4">
                  <c:v>-76</c:v>
                </c:pt>
                <c:pt idx="5">
                  <c:v>-75</c:v>
                </c:pt>
                <c:pt idx="6">
                  <c:v>-74</c:v>
                </c:pt>
                <c:pt idx="7">
                  <c:v>-73</c:v>
                </c:pt>
                <c:pt idx="8">
                  <c:v>-72</c:v>
                </c:pt>
                <c:pt idx="9">
                  <c:v>-71</c:v>
                </c:pt>
                <c:pt idx="10">
                  <c:v>-70</c:v>
                </c:pt>
                <c:pt idx="11">
                  <c:v>-69</c:v>
                </c:pt>
                <c:pt idx="12">
                  <c:v>-68</c:v>
                </c:pt>
                <c:pt idx="13">
                  <c:v>-67</c:v>
                </c:pt>
                <c:pt idx="14">
                  <c:v>-66</c:v>
                </c:pt>
                <c:pt idx="15">
                  <c:v>-65</c:v>
                </c:pt>
                <c:pt idx="16">
                  <c:v>-64</c:v>
                </c:pt>
                <c:pt idx="17">
                  <c:v>-63</c:v>
                </c:pt>
                <c:pt idx="18">
                  <c:v>-62</c:v>
                </c:pt>
                <c:pt idx="19">
                  <c:v>-61</c:v>
                </c:pt>
                <c:pt idx="20">
                  <c:v>-60</c:v>
                </c:pt>
                <c:pt idx="21">
                  <c:v>-59</c:v>
                </c:pt>
                <c:pt idx="22">
                  <c:v>-58</c:v>
                </c:pt>
                <c:pt idx="23">
                  <c:v>-57</c:v>
                </c:pt>
                <c:pt idx="24">
                  <c:v>-56</c:v>
                </c:pt>
                <c:pt idx="25">
                  <c:v>-55</c:v>
                </c:pt>
                <c:pt idx="26">
                  <c:v>-54</c:v>
                </c:pt>
                <c:pt idx="27">
                  <c:v>-53</c:v>
                </c:pt>
                <c:pt idx="28">
                  <c:v>-52</c:v>
                </c:pt>
                <c:pt idx="29">
                  <c:v>-51</c:v>
                </c:pt>
                <c:pt idx="30">
                  <c:v>-50</c:v>
                </c:pt>
                <c:pt idx="31">
                  <c:v>-49</c:v>
                </c:pt>
                <c:pt idx="32">
                  <c:v>-48</c:v>
                </c:pt>
                <c:pt idx="33">
                  <c:v>-47</c:v>
                </c:pt>
                <c:pt idx="34">
                  <c:v>-46</c:v>
                </c:pt>
                <c:pt idx="35">
                  <c:v>-45</c:v>
                </c:pt>
                <c:pt idx="36">
                  <c:v>-44</c:v>
                </c:pt>
                <c:pt idx="37">
                  <c:v>-43</c:v>
                </c:pt>
                <c:pt idx="38">
                  <c:v>-42</c:v>
                </c:pt>
                <c:pt idx="39">
                  <c:v>-41</c:v>
                </c:pt>
                <c:pt idx="40">
                  <c:v>-40</c:v>
                </c:pt>
                <c:pt idx="41">
                  <c:v>-39</c:v>
                </c:pt>
                <c:pt idx="42">
                  <c:v>-38</c:v>
                </c:pt>
                <c:pt idx="43">
                  <c:v>-37</c:v>
                </c:pt>
                <c:pt idx="44">
                  <c:v>-36</c:v>
                </c:pt>
                <c:pt idx="45">
                  <c:v>-35</c:v>
                </c:pt>
                <c:pt idx="46">
                  <c:v>-34</c:v>
                </c:pt>
                <c:pt idx="47">
                  <c:v>-33</c:v>
                </c:pt>
                <c:pt idx="48">
                  <c:v>-32</c:v>
                </c:pt>
                <c:pt idx="49">
                  <c:v>-31</c:v>
                </c:pt>
                <c:pt idx="50">
                  <c:v>-30</c:v>
                </c:pt>
                <c:pt idx="51">
                  <c:v>-29</c:v>
                </c:pt>
                <c:pt idx="52">
                  <c:v>-28</c:v>
                </c:pt>
                <c:pt idx="53">
                  <c:v>-27</c:v>
                </c:pt>
                <c:pt idx="54">
                  <c:v>-26</c:v>
                </c:pt>
                <c:pt idx="55">
                  <c:v>-25</c:v>
                </c:pt>
                <c:pt idx="56">
                  <c:v>-24</c:v>
                </c:pt>
                <c:pt idx="57">
                  <c:v>-23</c:v>
                </c:pt>
                <c:pt idx="58">
                  <c:v>-22</c:v>
                </c:pt>
                <c:pt idx="59">
                  <c:v>-21</c:v>
                </c:pt>
                <c:pt idx="60">
                  <c:v>-20</c:v>
                </c:pt>
                <c:pt idx="61">
                  <c:v>-19</c:v>
                </c:pt>
                <c:pt idx="62">
                  <c:v>-18</c:v>
                </c:pt>
                <c:pt idx="63">
                  <c:v>-17</c:v>
                </c:pt>
                <c:pt idx="64">
                  <c:v>-16</c:v>
                </c:pt>
                <c:pt idx="65">
                  <c:v>-15</c:v>
                </c:pt>
                <c:pt idx="66">
                  <c:v>-14</c:v>
                </c:pt>
                <c:pt idx="67">
                  <c:v>-13</c:v>
                </c:pt>
                <c:pt idx="68">
                  <c:v>-12</c:v>
                </c:pt>
                <c:pt idx="69">
                  <c:v>-11</c:v>
                </c:pt>
                <c:pt idx="70">
                  <c:v>-10</c:v>
                </c:pt>
                <c:pt idx="71">
                  <c:v>-9</c:v>
                </c:pt>
                <c:pt idx="72">
                  <c:v>-8</c:v>
                </c:pt>
                <c:pt idx="73">
                  <c:v>-7</c:v>
                </c:pt>
                <c:pt idx="74">
                  <c:v>-6</c:v>
                </c:pt>
                <c:pt idx="75">
                  <c:v>-5</c:v>
                </c:pt>
                <c:pt idx="76">
                  <c:v>-4</c:v>
                </c:pt>
                <c:pt idx="77">
                  <c:v>-3</c:v>
                </c:pt>
                <c:pt idx="78">
                  <c:v>-2</c:v>
                </c:pt>
                <c:pt idx="79">
                  <c:v>-1</c:v>
                </c:pt>
                <c:pt idx="80">
                  <c:v>0</c:v>
                </c:pt>
                <c:pt idx="81">
                  <c:v>1</c:v>
                </c:pt>
                <c:pt idx="82">
                  <c:v>2</c:v>
                </c:pt>
                <c:pt idx="83">
                  <c:v>3</c:v>
                </c:pt>
                <c:pt idx="84">
                  <c:v>4</c:v>
                </c:pt>
                <c:pt idx="85">
                  <c:v>5</c:v>
                </c:pt>
                <c:pt idx="86">
                  <c:v>6</c:v>
                </c:pt>
                <c:pt idx="87">
                  <c:v>7</c:v>
                </c:pt>
                <c:pt idx="88">
                  <c:v>8</c:v>
                </c:pt>
                <c:pt idx="89">
                  <c:v>9</c:v>
                </c:pt>
                <c:pt idx="90">
                  <c:v>10</c:v>
                </c:pt>
                <c:pt idx="91">
                  <c:v>11</c:v>
                </c:pt>
                <c:pt idx="92">
                  <c:v>12</c:v>
                </c:pt>
                <c:pt idx="93">
                  <c:v>13</c:v>
                </c:pt>
                <c:pt idx="94">
                  <c:v>14</c:v>
                </c:pt>
                <c:pt idx="95">
                  <c:v>15</c:v>
                </c:pt>
                <c:pt idx="96">
                  <c:v>16</c:v>
                </c:pt>
                <c:pt idx="97">
                  <c:v>17</c:v>
                </c:pt>
                <c:pt idx="98">
                  <c:v>18</c:v>
                </c:pt>
                <c:pt idx="99">
                  <c:v>19</c:v>
                </c:pt>
                <c:pt idx="100">
                  <c:v>20</c:v>
                </c:pt>
                <c:pt idx="101">
                  <c:v>21</c:v>
                </c:pt>
                <c:pt idx="102">
                  <c:v>22</c:v>
                </c:pt>
                <c:pt idx="103">
                  <c:v>23</c:v>
                </c:pt>
                <c:pt idx="104">
                  <c:v>24</c:v>
                </c:pt>
                <c:pt idx="105">
                  <c:v>25</c:v>
                </c:pt>
                <c:pt idx="106">
                  <c:v>26</c:v>
                </c:pt>
                <c:pt idx="107">
                  <c:v>27</c:v>
                </c:pt>
                <c:pt idx="108">
                  <c:v>28</c:v>
                </c:pt>
                <c:pt idx="109">
                  <c:v>29</c:v>
                </c:pt>
                <c:pt idx="110">
                  <c:v>30</c:v>
                </c:pt>
                <c:pt idx="111">
                  <c:v>31</c:v>
                </c:pt>
                <c:pt idx="112">
                  <c:v>32</c:v>
                </c:pt>
                <c:pt idx="113">
                  <c:v>33</c:v>
                </c:pt>
                <c:pt idx="114">
                  <c:v>34</c:v>
                </c:pt>
                <c:pt idx="115">
                  <c:v>35</c:v>
                </c:pt>
                <c:pt idx="116">
                  <c:v>36</c:v>
                </c:pt>
                <c:pt idx="117">
                  <c:v>37</c:v>
                </c:pt>
                <c:pt idx="118">
                  <c:v>38</c:v>
                </c:pt>
                <c:pt idx="119">
                  <c:v>39</c:v>
                </c:pt>
                <c:pt idx="120">
                  <c:v>40</c:v>
                </c:pt>
                <c:pt idx="121">
                  <c:v>41</c:v>
                </c:pt>
                <c:pt idx="122">
                  <c:v>42</c:v>
                </c:pt>
                <c:pt idx="123">
                  <c:v>43</c:v>
                </c:pt>
                <c:pt idx="124">
                  <c:v>44</c:v>
                </c:pt>
                <c:pt idx="125">
                  <c:v>45</c:v>
                </c:pt>
                <c:pt idx="126">
                  <c:v>46</c:v>
                </c:pt>
                <c:pt idx="127">
                  <c:v>47</c:v>
                </c:pt>
                <c:pt idx="128">
                  <c:v>48</c:v>
                </c:pt>
                <c:pt idx="129">
                  <c:v>49</c:v>
                </c:pt>
                <c:pt idx="130">
                  <c:v>50</c:v>
                </c:pt>
                <c:pt idx="131">
                  <c:v>51</c:v>
                </c:pt>
                <c:pt idx="132">
                  <c:v>52</c:v>
                </c:pt>
              </c:strCache>
            </c:strRef>
          </c:cat>
          <c:val>
            <c:numRef>
              <c:f>'Sheet1 (13)'!$L$9:$L$142</c:f>
              <c:numCache>
                <c:formatCode>General</c:formatCode>
                <c:ptCount val="133"/>
                <c:pt idx="0">
                  <c:v>192</c:v>
                </c:pt>
                <c:pt idx="1">
                  <c:v>195</c:v>
                </c:pt>
                <c:pt idx="2">
                  <c:v>203</c:v>
                </c:pt>
                <c:pt idx="3">
                  <c:v>203</c:v>
                </c:pt>
                <c:pt idx="4">
                  <c:v>201</c:v>
                </c:pt>
                <c:pt idx="5">
                  <c:v>203</c:v>
                </c:pt>
                <c:pt idx="6">
                  <c:v>203</c:v>
                </c:pt>
                <c:pt idx="7">
                  <c:v>210</c:v>
                </c:pt>
                <c:pt idx="8">
                  <c:v>215</c:v>
                </c:pt>
                <c:pt idx="9">
                  <c:v>214</c:v>
                </c:pt>
                <c:pt idx="10">
                  <c:v>214</c:v>
                </c:pt>
                <c:pt idx="11">
                  <c:v>213</c:v>
                </c:pt>
                <c:pt idx="12">
                  <c:v>217</c:v>
                </c:pt>
                <c:pt idx="13">
                  <c:v>220</c:v>
                </c:pt>
                <c:pt idx="14">
                  <c:v>224</c:v>
                </c:pt>
                <c:pt idx="15">
                  <c:v>223</c:v>
                </c:pt>
                <c:pt idx="16">
                  <c:v>229</c:v>
                </c:pt>
                <c:pt idx="17">
                  <c:v>230</c:v>
                </c:pt>
                <c:pt idx="18">
                  <c:v>224</c:v>
                </c:pt>
                <c:pt idx="19">
                  <c:v>222</c:v>
                </c:pt>
                <c:pt idx="20">
                  <c:v>221</c:v>
                </c:pt>
                <c:pt idx="21">
                  <c:v>224</c:v>
                </c:pt>
                <c:pt idx="22">
                  <c:v>224</c:v>
                </c:pt>
                <c:pt idx="23">
                  <c:v>225</c:v>
                </c:pt>
                <c:pt idx="24">
                  <c:v>222</c:v>
                </c:pt>
                <c:pt idx="25">
                  <c:v>220</c:v>
                </c:pt>
                <c:pt idx="26">
                  <c:v>221</c:v>
                </c:pt>
                <c:pt idx="27">
                  <c:v>223</c:v>
                </c:pt>
                <c:pt idx="28">
                  <c:v>226</c:v>
                </c:pt>
                <c:pt idx="29">
                  <c:v>226</c:v>
                </c:pt>
                <c:pt idx="30">
                  <c:v>232</c:v>
                </c:pt>
                <c:pt idx="31">
                  <c:v>229</c:v>
                </c:pt>
                <c:pt idx="32">
                  <c:v>233</c:v>
                </c:pt>
                <c:pt idx="33">
                  <c:v>235</c:v>
                </c:pt>
                <c:pt idx="34">
                  <c:v>237</c:v>
                </c:pt>
                <c:pt idx="35">
                  <c:v>233</c:v>
                </c:pt>
                <c:pt idx="36">
                  <c:v>236</c:v>
                </c:pt>
                <c:pt idx="37">
                  <c:v>241</c:v>
                </c:pt>
                <c:pt idx="38">
                  <c:v>245</c:v>
                </c:pt>
                <c:pt idx="39">
                  <c:v>246</c:v>
                </c:pt>
                <c:pt idx="40">
                  <c:v>257</c:v>
                </c:pt>
                <c:pt idx="41">
                  <c:v>261</c:v>
                </c:pt>
                <c:pt idx="42">
                  <c:v>263</c:v>
                </c:pt>
                <c:pt idx="43">
                  <c:v>266</c:v>
                </c:pt>
                <c:pt idx="44">
                  <c:v>263</c:v>
                </c:pt>
                <c:pt idx="45">
                  <c:v>262</c:v>
                </c:pt>
                <c:pt idx="46">
                  <c:v>262</c:v>
                </c:pt>
                <c:pt idx="47">
                  <c:v>260</c:v>
                </c:pt>
                <c:pt idx="48">
                  <c:v>267</c:v>
                </c:pt>
                <c:pt idx="49">
                  <c:v>272</c:v>
                </c:pt>
                <c:pt idx="50">
                  <c:v>270</c:v>
                </c:pt>
                <c:pt idx="51">
                  <c:v>278</c:v>
                </c:pt>
                <c:pt idx="52">
                  <c:v>283</c:v>
                </c:pt>
                <c:pt idx="53">
                  <c:v>281</c:v>
                </c:pt>
                <c:pt idx="54">
                  <c:v>291</c:v>
                </c:pt>
                <c:pt idx="55">
                  <c:v>293</c:v>
                </c:pt>
                <c:pt idx="56">
                  <c:v>290</c:v>
                </c:pt>
                <c:pt idx="57">
                  <c:v>291</c:v>
                </c:pt>
                <c:pt idx="58">
                  <c:v>284</c:v>
                </c:pt>
                <c:pt idx="59">
                  <c:v>277</c:v>
                </c:pt>
                <c:pt idx="60">
                  <c:v>286</c:v>
                </c:pt>
                <c:pt idx="61">
                  <c:v>288</c:v>
                </c:pt>
                <c:pt idx="62">
                  <c:v>279</c:v>
                </c:pt>
                <c:pt idx="63">
                  <c:v>266</c:v>
                </c:pt>
                <c:pt idx="64">
                  <c:v>238</c:v>
                </c:pt>
                <c:pt idx="65">
                  <c:v>226</c:v>
                </c:pt>
                <c:pt idx="66">
                  <c:v>226</c:v>
                </c:pt>
                <c:pt idx="67">
                  <c:v>229</c:v>
                </c:pt>
                <c:pt idx="68">
                  <c:v>228</c:v>
                </c:pt>
                <c:pt idx="69">
                  <c:v>228</c:v>
                </c:pt>
                <c:pt idx="70">
                  <c:v>233</c:v>
                </c:pt>
                <c:pt idx="71">
                  <c:v>246</c:v>
                </c:pt>
                <c:pt idx="72">
                  <c:v>248</c:v>
                </c:pt>
                <c:pt idx="73">
                  <c:v>259</c:v>
                </c:pt>
                <c:pt idx="74">
                  <c:v>263</c:v>
                </c:pt>
                <c:pt idx="75">
                  <c:v>268</c:v>
                </c:pt>
                <c:pt idx="76">
                  <c:v>265</c:v>
                </c:pt>
                <c:pt idx="77">
                  <c:v>266</c:v>
                </c:pt>
                <c:pt idx="78">
                  <c:v>264</c:v>
                </c:pt>
                <c:pt idx="79">
                  <c:v>262</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numCache>
            </c:numRef>
          </c:val>
          <c:smooth val="0"/>
        </c:ser>
        <c:ser>
          <c:idx val="11"/>
          <c:order val="11"/>
          <c:tx>
            <c:strRef>
              <c:f>'Sheet1 (13)'!$M$6:$M$8</c:f>
              <c:strCache>
                <c:ptCount val="1"/>
                <c:pt idx="0">
                  <c:v>Pre-init - LEFLUNOMIDE+METHOTREXATE</c:v>
                </c:pt>
              </c:strCache>
            </c:strRef>
          </c:tx>
          <c:marker>
            <c:symbol val="none"/>
          </c:marker>
          <c:cat>
            <c:strRef>
              <c:f>'Sheet1 (13)'!$A$9:$A$142</c:f>
              <c:strCache>
                <c:ptCount val="133"/>
                <c:pt idx="0">
                  <c:v>-80</c:v>
                </c:pt>
                <c:pt idx="1">
                  <c:v>-79</c:v>
                </c:pt>
                <c:pt idx="2">
                  <c:v>-78</c:v>
                </c:pt>
                <c:pt idx="3">
                  <c:v>-77</c:v>
                </c:pt>
                <c:pt idx="4">
                  <c:v>-76</c:v>
                </c:pt>
                <c:pt idx="5">
                  <c:v>-75</c:v>
                </c:pt>
                <c:pt idx="6">
                  <c:v>-74</c:v>
                </c:pt>
                <c:pt idx="7">
                  <c:v>-73</c:v>
                </c:pt>
                <c:pt idx="8">
                  <c:v>-72</c:v>
                </c:pt>
                <c:pt idx="9">
                  <c:v>-71</c:v>
                </c:pt>
                <c:pt idx="10">
                  <c:v>-70</c:v>
                </c:pt>
                <c:pt idx="11">
                  <c:v>-69</c:v>
                </c:pt>
                <c:pt idx="12">
                  <c:v>-68</c:v>
                </c:pt>
                <c:pt idx="13">
                  <c:v>-67</c:v>
                </c:pt>
                <c:pt idx="14">
                  <c:v>-66</c:v>
                </c:pt>
                <c:pt idx="15">
                  <c:v>-65</c:v>
                </c:pt>
                <c:pt idx="16">
                  <c:v>-64</c:v>
                </c:pt>
                <c:pt idx="17">
                  <c:v>-63</c:v>
                </c:pt>
                <c:pt idx="18">
                  <c:v>-62</c:v>
                </c:pt>
                <c:pt idx="19">
                  <c:v>-61</c:v>
                </c:pt>
                <c:pt idx="20">
                  <c:v>-60</c:v>
                </c:pt>
                <c:pt idx="21">
                  <c:v>-59</c:v>
                </c:pt>
                <c:pt idx="22">
                  <c:v>-58</c:v>
                </c:pt>
                <c:pt idx="23">
                  <c:v>-57</c:v>
                </c:pt>
                <c:pt idx="24">
                  <c:v>-56</c:v>
                </c:pt>
                <c:pt idx="25">
                  <c:v>-55</c:v>
                </c:pt>
                <c:pt idx="26">
                  <c:v>-54</c:v>
                </c:pt>
                <c:pt idx="27">
                  <c:v>-53</c:v>
                </c:pt>
                <c:pt idx="28">
                  <c:v>-52</c:v>
                </c:pt>
                <c:pt idx="29">
                  <c:v>-51</c:v>
                </c:pt>
                <c:pt idx="30">
                  <c:v>-50</c:v>
                </c:pt>
                <c:pt idx="31">
                  <c:v>-49</c:v>
                </c:pt>
                <c:pt idx="32">
                  <c:v>-48</c:v>
                </c:pt>
                <c:pt idx="33">
                  <c:v>-47</c:v>
                </c:pt>
                <c:pt idx="34">
                  <c:v>-46</c:v>
                </c:pt>
                <c:pt idx="35">
                  <c:v>-45</c:v>
                </c:pt>
                <c:pt idx="36">
                  <c:v>-44</c:v>
                </c:pt>
                <c:pt idx="37">
                  <c:v>-43</c:v>
                </c:pt>
                <c:pt idx="38">
                  <c:v>-42</c:v>
                </c:pt>
                <c:pt idx="39">
                  <c:v>-41</c:v>
                </c:pt>
                <c:pt idx="40">
                  <c:v>-40</c:v>
                </c:pt>
                <c:pt idx="41">
                  <c:v>-39</c:v>
                </c:pt>
                <c:pt idx="42">
                  <c:v>-38</c:v>
                </c:pt>
                <c:pt idx="43">
                  <c:v>-37</c:v>
                </c:pt>
                <c:pt idx="44">
                  <c:v>-36</c:v>
                </c:pt>
                <c:pt idx="45">
                  <c:v>-35</c:v>
                </c:pt>
                <c:pt idx="46">
                  <c:v>-34</c:v>
                </c:pt>
                <c:pt idx="47">
                  <c:v>-33</c:v>
                </c:pt>
                <c:pt idx="48">
                  <c:v>-32</c:v>
                </c:pt>
                <c:pt idx="49">
                  <c:v>-31</c:v>
                </c:pt>
                <c:pt idx="50">
                  <c:v>-30</c:v>
                </c:pt>
                <c:pt idx="51">
                  <c:v>-29</c:v>
                </c:pt>
                <c:pt idx="52">
                  <c:v>-28</c:v>
                </c:pt>
                <c:pt idx="53">
                  <c:v>-27</c:v>
                </c:pt>
                <c:pt idx="54">
                  <c:v>-26</c:v>
                </c:pt>
                <c:pt idx="55">
                  <c:v>-25</c:v>
                </c:pt>
                <c:pt idx="56">
                  <c:v>-24</c:v>
                </c:pt>
                <c:pt idx="57">
                  <c:v>-23</c:v>
                </c:pt>
                <c:pt idx="58">
                  <c:v>-22</c:v>
                </c:pt>
                <c:pt idx="59">
                  <c:v>-21</c:v>
                </c:pt>
                <c:pt idx="60">
                  <c:v>-20</c:v>
                </c:pt>
                <c:pt idx="61">
                  <c:v>-19</c:v>
                </c:pt>
                <c:pt idx="62">
                  <c:v>-18</c:v>
                </c:pt>
                <c:pt idx="63">
                  <c:v>-17</c:v>
                </c:pt>
                <c:pt idx="64">
                  <c:v>-16</c:v>
                </c:pt>
                <c:pt idx="65">
                  <c:v>-15</c:v>
                </c:pt>
                <c:pt idx="66">
                  <c:v>-14</c:v>
                </c:pt>
                <c:pt idx="67">
                  <c:v>-13</c:v>
                </c:pt>
                <c:pt idx="68">
                  <c:v>-12</c:v>
                </c:pt>
                <c:pt idx="69">
                  <c:v>-11</c:v>
                </c:pt>
                <c:pt idx="70">
                  <c:v>-10</c:v>
                </c:pt>
                <c:pt idx="71">
                  <c:v>-9</c:v>
                </c:pt>
                <c:pt idx="72">
                  <c:v>-8</c:v>
                </c:pt>
                <c:pt idx="73">
                  <c:v>-7</c:v>
                </c:pt>
                <c:pt idx="74">
                  <c:v>-6</c:v>
                </c:pt>
                <c:pt idx="75">
                  <c:v>-5</c:v>
                </c:pt>
                <c:pt idx="76">
                  <c:v>-4</c:v>
                </c:pt>
                <c:pt idx="77">
                  <c:v>-3</c:v>
                </c:pt>
                <c:pt idx="78">
                  <c:v>-2</c:v>
                </c:pt>
                <c:pt idx="79">
                  <c:v>-1</c:v>
                </c:pt>
                <c:pt idx="80">
                  <c:v>0</c:v>
                </c:pt>
                <c:pt idx="81">
                  <c:v>1</c:v>
                </c:pt>
                <c:pt idx="82">
                  <c:v>2</c:v>
                </c:pt>
                <c:pt idx="83">
                  <c:v>3</c:v>
                </c:pt>
                <c:pt idx="84">
                  <c:v>4</c:v>
                </c:pt>
                <c:pt idx="85">
                  <c:v>5</c:v>
                </c:pt>
                <c:pt idx="86">
                  <c:v>6</c:v>
                </c:pt>
                <c:pt idx="87">
                  <c:v>7</c:v>
                </c:pt>
                <c:pt idx="88">
                  <c:v>8</c:v>
                </c:pt>
                <c:pt idx="89">
                  <c:v>9</c:v>
                </c:pt>
                <c:pt idx="90">
                  <c:v>10</c:v>
                </c:pt>
                <c:pt idx="91">
                  <c:v>11</c:v>
                </c:pt>
                <c:pt idx="92">
                  <c:v>12</c:v>
                </c:pt>
                <c:pt idx="93">
                  <c:v>13</c:v>
                </c:pt>
                <c:pt idx="94">
                  <c:v>14</c:v>
                </c:pt>
                <c:pt idx="95">
                  <c:v>15</c:v>
                </c:pt>
                <c:pt idx="96">
                  <c:v>16</c:v>
                </c:pt>
                <c:pt idx="97">
                  <c:v>17</c:v>
                </c:pt>
                <c:pt idx="98">
                  <c:v>18</c:v>
                </c:pt>
                <c:pt idx="99">
                  <c:v>19</c:v>
                </c:pt>
                <c:pt idx="100">
                  <c:v>20</c:v>
                </c:pt>
                <c:pt idx="101">
                  <c:v>21</c:v>
                </c:pt>
                <c:pt idx="102">
                  <c:v>22</c:v>
                </c:pt>
                <c:pt idx="103">
                  <c:v>23</c:v>
                </c:pt>
                <c:pt idx="104">
                  <c:v>24</c:v>
                </c:pt>
                <c:pt idx="105">
                  <c:v>25</c:v>
                </c:pt>
                <c:pt idx="106">
                  <c:v>26</c:v>
                </c:pt>
                <c:pt idx="107">
                  <c:v>27</c:v>
                </c:pt>
                <c:pt idx="108">
                  <c:v>28</c:v>
                </c:pt>
                <c:pt idx="109">
                  <c:v>29</c:v>
                </c:pt>
                <c:pt idx="110">
                  <c:v>30</c:v>
                </c:pt>
                <c:pt idx="111">
                  <c:v>31</c:v>
                </c:pt>
                <c:pt idx="112">
                  <c:v>32</c:v>
                </c:pt>
                <c:pt idx="113">
                  <c:v>33</c:v>
                </c:pt>
                <c:pt idx="114">
                  <c:v>34</c:v>
                </c:pt>
                <c:pt idx="115">
                  <c:v>35</c:v>
                </c:pt>
                <c:pt idx="116">
                  <c:v>36</c:v>
                </c:pt>
                <c:pt idx="117">
                  <c:v>37</c:v>
                </c:pt>
                <c:pt idx="118">
                  <c:v>38</c:v>
                </c:pt>
                <c:pt idx="119">
                  <c:v>39</c:v>
                </c:pt>
                <c:pt idx="120">
                  <c:v>40</c:v>
                </c:pt>
                <c:pt idx="121">
                  <c:v>41</c:v>
                </c:pt>
                <c:pt idx="122">
                  <c:v>42</c:v>
                </c:pt>
                <c:pt idx="123">
                  <c:v>43</c:v>
                </c:pt>
                <c:pt idx="124">
                  <c:v>44</c:v>
                </c:pt>
                <c:pt idx="125">
                  <c:v>45</c:v>
                </c:pt>
                <c:pt idx="126">
                  <c:v>46</c:v>
                </c:pt>
                <c:pt idx="127">
                  <c:v>47</c:v>
                </c:pt>
                <c:pt idx="128">
                  <c:v>48</c:v>
                </c:pt>
                <c:pt idx="129">
                  <c:v>49</c:v>
                </c:pt>
                <c:pt idx="130">
                  <c:v>50</c:v>
                </c:pt>
                <c:pt idx="131">
                  <c:v>51</c:v>
                </c:pt>
                <c:pt idx="132">
                  <c:v>52</c:v>
                </c:pt>
              </c:strCache>
            </c:strRef>
          </c:cat>
          <c:val>
            <c:numRef>
              <c:f>'Sheet1 (13)'!$M$9:$M$142</c:f>
              <c:numCache>
                <c:formatCode>General</c:formatCode>
                <c:ptCount val="133"/>
                <c:pt idx="0">
                  <c:v>56</c:v>
                </c:pt>
                <c:pt idx="1">
                  <c:v>55</c:v>
                </c:pt>
                <c:pt idx="2">
                  <c:v>53</c:v>
                </c:pt>
                <c:pt idx="3">
                  <c:v>56</c:v>
                </c:pt>
                <c:pt idx="4">
                  <c:v>58</c:v>
                </c:pt>
                <c:pt idx="5">
                  <c:v>58</c:v>
                </c:pt>
                <c:pt idx="6">
                  <c:v>59</c:v>
                </c:pt>
                <c:pt idx="7">
                  <c:v>59</c:v>
                </c:pt>
                <c:pt idx="8">
                  <c:v>60</c:v>
                </c:pt>
                <c:pt idx="9">
                  <c:v>58</c:v>
                </c:pt>
                <c:pt idx="10">
                  <c:v>57</c:v>
                </c:pt>
                <c:pt idx="11">
                  <c:v>60</c:v>
                </c:pt>
                <c:pt idx="12">
                  <c:v>60</c:v>
                </c:pt>
                <c:pt idx="13">
                  <c:v>62</c:v>
                </c:pt>
                <c:pt idx="14">
                  <c:v>61</c:v>
                </c:pt>
                <c:pt idx="15">
                  <c:v>63</c:v>
                </c:pt>
                <c:pt idx="16">
                  <c:v>61</c:v>
                </c:pt>
                <c:pt idx="17">
                  <c:v>63</c:v>
                </c:pt>
                <c:pt idx="18">
                  <c:v>67</c:v>
                </c:pt>
                <c:pt idx="19">
                  <c:v>67</c:v>
                </c:pt>
                <c:pt idx="20">
                  <c:v>67</c:v>
                </c:pt>
                <c:pt idx="21">
                  <c:v>64</c:v>
                </c:pt>
                <c:pt idx="22">
                  <c:v>64</c:v>
                </c:pt>
                <c:pt idx="23">
                  <c:v>65</c:v>
                </c:pt>
                <c:pt idx="24">
                  <c:v>67</c:v>
                </c:pt>
                <c:pt idx="25">
                  <c:v>69</c:v>
                </c:pt>
                <c:pt idx="26">
                  <c:v>70</c:v>
                </c:pt>
                <c:pt idx="27">
                  <c:v>69</c:v>
                </c:pt>
                <c:pt idx="28">
                  <c:v>68</c:v>
                </c:pt>
                <c:pt idx="29">
                  <c:v>68</c:v>
                </c:pt>
                <c:pt idx="30">
                  <c:v>70</c:v>
                </c:pt>
                <c:pt idx="31">
                  <c:v>73</c:v>
                </c:pt>
                <c:pt idx="32">
                  <c:v>75</c:v>
                </c:pt>
                <c:pt idx="33">
                  <c:v>78</c:v>
                </c:pt>
                <c:pt idx="34">
                  <c:v>79</c:v>
                </c:pt>
                <c:pt idx="35">
                  <c:v>82</c:v>
                </c:pt>
                <c:pt idx="36">
                  <c:v>79</c:v>
                </c:pt>
                <c:pt idx="37">
                  <c:v>77</c:v>
                </c:pt>
                <c:pt idx="38">
                  <c:v>78</c:v>
                </c:pt>
                <c:pt idx="39">
                  <c:v>81</c:v>
                </c:pt>
                <c:pt idx="40">
                  <c:v>82</c:v>
                </c:pt>
                <c:pt idx="41">
                  <c:v>81</c:v>
                </c:pt>
                <c:pt idx="42">
                  <c:v>84</c:v>
                </c:pt>
                <c:pt idx="43">
                  <c:v>83</c:v>
                </c:pt>
                <c:pt idx="44">
                  <c:v>85</c:v>
                </c:pt>
                <c:pt idx="45">
                  <c:v>88</c:v>
                </c:pt>
                <c:pt idx="46">
                  <c:v>91</c:v>
                </c:pt>
                <c:pt idx="47">
                  <c:v>101</c:v>
                </c:pt>
                <c:pt idx="48">
                  <c:v>102</c:v>
                </c:pt>
                <c:pt idx="49">
                  <c:v>105</c:v>
                </c:pt>
                <c:pt idx="50">
                  <c:v>105</c:v>
                </c:pt>
                <c:pt idx="51">
                  <c:v>109</c:v>
                </c:pt>
                <c:pt idx="52">
                  <c:v>113</c:v>
                </c:pt>
                <c:pt idx="53">
                  <c:v>119</c:v>
                </c:pt>
                <c:pt idx="54">
                  <c:v>119</c:v>
                </c:pt>
                <c:pt idx="55">
                  <c:v>123</c:v>
                </c:pt>
                <c:pt idx="56">
                  <c:v>131</c:v>
                </c:pt>
                <c:pt idx="57">
                  <c:v>131</c:v>
                </c:pt>
                <c:pt idx="58">
                  <c:v>135</c:v>
                </c:pt>
                <c:pt idx="59">
                  <c:v>143</c:v>
                </c:pt>
                <c:pt idx="60">
                  <c:v>146</c:v>
                </c:pt>
                <c:pt idx="61">
                  <c:v>152</c:v>
                </c:pt>
                <c:pt idx="62">
                  <c:v>162</c:v>
                </c:pt>
                <c:pt idx="63">
                  <c:v>169</c:v>
                </c:pt>
                <c:pt idx="64">
                  <c:v>198</c:v>
                </c:pt>
                <c:pt idx="65">
                  <c:v>214</c:v>
                </c:pt>
                <c:pt idx="66">
                  <c:v>222</c:v>
                </c:pt>
                <c:pt idx="67">
                  <c:v>224</c:v>
                </c:pt>
                <c:pt idx="68">
                  <c:v>227</c:v>
                </c:pt>
                <c:pt idx="69">
                  <c:v>227</c:v>
                </c:pt>
                <c:pt idx="70">
                  <c:v>226</c:v>
                </c:pt>
                <c:pt idx="71">
                  <c:v>225</c:v>
                </c:pt>
                <c:pt idx="72">
                  <c:v>224</c:v>
                </c:pt>
                <c:pt idx="73">
                  <c:v>223</c:v>
                </c:pt>
                <c:pt idx="74">
                  <c:v>223</c:v>
                </c:pt>
                <c:pt idx="75">
                  <c:v>217</c:v>
                </c:pt>
                <c:pt idx="76">
                  <c:v>218</c:v>
                </c:pt>
                <c:pt idx="77">
                  <c:v>218</c:v>
                </c:pt>
                <c:pt idx="78">
                  <c:v>220</c:v>
                </c:pt>
                <c:pt idx="79">
                  <c:v>220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numCache>
            </c:numRef>
          </c:val>
          <c:smooth val="0"/>
        </c:ser>
        <c:ser>
          <c:idx val="12"/>
          <c:order val="12"/>
          <c:tx>
            <c:strRef>
              <c:f>'Sheet1 (13)'!$N$6:$N$8</c:f>
              <c:strCache>
                <c:ptCount val="1"/>
                <c:pt idx="0">
                  <c:v>Pre-init - METHOTREXATE+SULFASALAZINE</c:v>
                </c:pt>
              </c:strCache>
            </c:strRef>
          </c:tx>
          <c:marker>
            <c:symbol val="none"/>
          </c:marker>
          <c:cat>
            <c:strRef>
              <c:f>'Sheet1 (13)'!$A$9:$A$142</c:f>
              <c:strCache>
                <c:ptCount val="133"/>
                <c:pt idx="0">
                  <c:v>-80</c:v>
                </c:pt>
                <c:pt idx="1">
                  <c:v>-79</c:v>
                </c:pt>
                <c:pt idx="2">
                  <c:v>-78</c:v>
                </c:pt>
                <c:pt idx="3">
                  <c:v>-77</c:v>
                </c:pt>
                <c:pt idx="4">
                  <c:v>-76</c:v>
                </c:pt>
                <c:pt idx="5">
                  <c:v>-75</c:v>
                </c:pt>
                <c:pt idx="6">
                  <c:v>-74</c:v>
                </c:pt>
                <c:pt idx="7">
                  <c:v>-73</c:v>
                </c:pt>
                <c:pt idx="8">
                  <c:v>-72</c:v>
                </c:pt>
                <c:pt idx="9">
                  <c:v>-71</c:v>
                </c:pt>
                <c:pt idx="10">
                  <c:v>-70</c:v>
                </c:pt>
                <c:pt idx="11">
                  <c:v>-69</c:v>
                </c:pt>
                <c:pt idx="12">
                  <c:v>-68</c:v>
                </c:pt>
                <c:pt idx="13">
                  <c:v>-67</c:v>
                </c:pt>
                <c:pt idx="14">
                  <c:v>-66</c:v>
                </c:pt>
                <c:pt idx="15">
                  <c:v>-65</c:v>
                </c:pt>
                <c:pt idx="16">
                  <c:v>-64</c:v>
                </c:pt>
                <c:pt idx="17">
                  <c:v>-63</c:v>
                </c:pt>
                <c:pt idx="18">
                  <c:v>-62</c:v>
                </c:pt>
                <c:pt idx="19">
                  <c:v>-61</c:v>
                </c:pt>
                <c:pt idx="20">
                  <c:v>-60</c:v>
                </c:pt>
                <c:pt idx="21">
                  <c:v>-59</c:v>
                </c:pt>
                <c:pt idx="22">
                  <c:v>-58</c:v>
                </c:pt>
                <c:pt idx="23">
                  <c:v>-57</c:v>
                </c:pt>
                <c:pt idx="24">
                  <c:v>-56</c:v>
                </c:pt>
                <c:pt idx="25">
                  <c:v>-55</c:v>
                </c:pt>
                <c:pt idx="26">
                  <c:v>-54</c:v>
                </c:pt>
                <c:pt idx="27">
                  <c:v>-53</c:v>
                </c:pt>
                <c:pt idx="28">
                  <c:v>-52</c:v>
                </c:pt>
                <c:pt idx="29">
                  <c:v>-51</c:v>
                </c:pt>
                <c:pt idx="30">
                  <c:v>-50</c:v>
                </c:pt>
                <c:pt idx="31">
                  <c:v>-49</c:v>
                </c:pt>
                <c:pt idx="32">
                  <c:v>-48</c:v>
                </c:pt>
                <c:pt idx="33">
                  <c:v>-47</c:v>
                </c:pt>
                <c:pt idx="34">
                  <c:v>-46</c:v>
                </c:pt>
                <c:pt idx="35">
                  <c:v>-45</c:v>
                </c:pt>
                <c:pt idx="36">
                  <c:v>-44</c:v>
                </c:pt>
                <c:pt idx="37">
                  <c:v>-43</c:v>
                </c:pt>
                <c:pt idx="38">
                  <c:v>-42</c:v>
                </c:pt>
                <c:pt idx="39">
                  <c:v>-41</c:v>
                </c:pt>
                <c:pt idx="40">
                  <c:v>-40</c:v>
                </c:pt>
                <c:pt idx="41">
                  <c:v>-39</c:v>
                </c:pt>
                <c:pt idx="42">
                  <c:v>-38</c:v>
                </c:pt>
                <c:pt idx="43">
                  <c:v>-37</c:v>
                </c:pt>
                <c:pt idx="44">
                  <c:v>-36</c:v>
                </c:pt>
                <c:pt idx="45">
                  <c:v>-35</c:v>
                </c:pt>
                <c:pt idx="46">
                  <c:v>-34</c:v>
                </c:pt>
                <c:pt idx="47">
                  <c:v>-33</c:v>
                </c:pt>
                <c:pt idx="48">
                  <c:v>-32</c:v>
                </c:pt>
                <c:pt idx="49">
                  <c:v>-31</c:v>
                </c:pt>
                <c:pt idx="50">
                  <c:v>-30</c:v>
                </c:pt>
                <c:pt idx="51">
                  <c:v>-29</c:v>
                </c:pt>
                <c:pt idx="52">
                  <c:v>-28</c:v>
                </c:pt>
                <c:pt idx="53">
                  <c:v>-27</c:v>
                </c:pt>
                <c:pt idx="54">
                  <c:v>-26</c:v>
                </c:pt>
                <c:pt idx="55">
                  <c:v>-25</c:v>
                </c:pt>
                <c:pt idx="56">
                  <c:v>-24</c:v>
                </c:pt>
                <c:pt idx="57">
                  <c:v>-23</c:v>
                </c:pt>
                <c:pt idx="58">
                  <c:v>-22</c:v>
                </c:pt>
                <c:pt idx="59">
                  <c:v>-21</c:v>
                </c:pt>
                <c:pt idx="60">
                  <c:v>-20</c:v>
                </c:pt>
                <c:pt idx="61">
                  <c:v>-19</c:v>
                </c:pt>
                <c:pt idx="62">
                  <c:v>-18</c:v>
                </c:pt>
                <c:pt idx="63">
                  <c:v>-17</c:v>
                </c:pt>
                <c:pt idx="64">
                  <c:v>-16</c:v>
                </c:pt>
                <c:pt idx="65">
                  <c:v>-15</c:v>
                </c:pt>
                <c:pt idx="66">
                  <c:v>-14</c:v>
                </c:pt>
                <c:pt idx="67">
                  <c:v>-13</c:v>
                </c:pt>
                <c:pt idx="68">
                  <c:v>-12</c:v>
                </c:pt>
                <c:pt idx="69">
                  <c:v>-11</c:v>
                </c:pt>
                <c:pt idx="70">
                  <c:v>-10</c:v>
                </c:pt>
                <c:pt idx="71">
                  <c:v>-9</c:v>
                </c:pt>
                <c:pt idx="72">
                  <c:v>-8</c:v>
                </c:pt>
                <c:pt idx="73">
                  <c:v>-7</c:v>
                </c:pt>
                <c:pt idx="74">
                  <c:v>-6</c:v>
                </c:pt>
                <c:pt idx="75">
                  <c:v>-5</c:v>
                </c:pt>
                <c:pt idx="76">
                  <c:v>-4</c:v>
                </c:pt>
                <c:pt idx="77">
                  <c:v>-3</c:v>
                </c:pt>
                <c:pt idx="78">
                  <c:v>-2</c:v>
                </c:pt>
                <c:pt idx="79">
                  <c:v>-1</c:v>
                </c:pt>
                <c:pt idx="80">
                  <c:v>0</c:v>
                </c:pt>
                <c:pt idx="81">
                  <c:v>1</c:v>
                </c:pt>
                <c:pt idx="82">
                  <c:v>2</c:v>
                </c:pt>
                <c:pt idx="83">
                  <c:v>3</c:v>
                </c:pt>
                <c:pt idx="84">
                  <c:v>4</c:v>
                </c:pt>
                <c:pt idx="85">
                  <c:v>5</c:v>
                </c:pt>
                <c:pt idx="86">
                  <c:v>6</c:v>
                </c:pt>
                <c:pt idx="87">
                  <c:v>7</c:v>
                </c:pt>
                <c:pt idx="88">
                  <c:v>8</c:v>
                </c:pt>
                <c:pt idx="89">
                  <c:v>9</c:v>
                </c:pt>
                <c:pt idx="90">
                  <c:v>10</c:v>
                </c:pt>
                <c:pt idx="91">
                  <c:v>11</c:v>
                </c:pt>
                <c:pt idx="92">
                  <c:v>12</c:v>
                </c:pt>
                <c:pt idx="93">
                  <c:v>13</c:v>
                </c:pt>
                <c:pt idx="94">
                  <c:v>14</c:v>
                </c:pt>
                <c:pt idx="95">
                  <c:v>15</c:v>
                </c:pt>
                <c:pt idx="96">
                  <c:v>16</c:v>
                </c:pt>
                <c:pt idx="97">
                  <c:v>17</c:v>
                </c:pt>
                <c:pt idx="98">
                  <c:v>18</c:v>
                </c:pt>
                <c:pt idx="99">
                  <c:v>19</c:v>
                </c:pt>
                <c:pt idx="100">
                  <c:v>20</c:v>
                </c:pt>
                <c:pt idx="101">
                  <c:v>21</c:v>
                </c:pt>
                <c:pt idx="102">
                  <c:v>22</c:v>
                </c:pt>
                <c:pt idx="103">
                  <c:v>23</c:v>
                </c:pt>
                <c:pt idx="104">
                  <c:v>24</c:v>
                </c:pt>
                <c:pt idx="105">
                  <c:v>25</c:v>
                </c:pt>
                <c:pt idx="106">
                  <c:v>26</c:v>
                </c:pt>
                <c:pt idx="107">
                  <c:v>27</c:v>
                </c:pt>
                <c:pt idx="108">
                  <c:v>28</c:v>
                </c:pt>
                <c:pt idx="109">
                  <c:v>29</c:v>
                </c:pt>
                <c:pt idx="110">
                  <c:v>30</c:v>
                </c:pt>
                <c:pt idx="111">
                  <c:v>31</c:v>
                </c:pt>
                <c:pt idx="112">
                  <c:v>32</c:v>
                </c:pt>
                <c:pt idx="113">
                  <c:v>33</c:v>
                </c:pt>
                <c:pt idx="114">
                  <c:v>34</c:v>
                </c:pt>
                <c:pt idx="115">
                  <c:v>35</c:v>
                </c:pt>
                <c:pt idx="116">
                  <c:v>36</c:v>
                </c:pt>
                <c:pt idx="117">
                  <c:v>37</c:v>
                </c:pt>
                <c:pt idx="118">
                  <c:v>38</c:v>
                </c:pt>
                <c:pt idx="119">
                  <c:v>39</c:v>
                </c:pt>
                <c:pt idx="120">
                  <c:v>40</c:v>
                </c:pt>
                <c:pt idx="121">
                  <c:v>41</c:v>
                </c:pt>
                <c:pt idx="122">
                  <c:v>42</c:v>
                </c:pt>
                <c:pt idx="123">
                  <c:v>43</c:v>
                </c:pt>
                <c:pt idx="124">
                  <c:v>44</c:v>
                </c:pt>
                <c:pt idx="125">
                  <c:v>45</c:v>
                </c:pt>
                <c:pt idx="126">
                  <c:v>46</c:v>
                </c:pt>
                <c:pt idx="127">
                  <c:v>47</c:v>
                </c:pt>
                <c:pt idx="128">
                  <c:v>48</c:v>
                </c:pt>
                <c:pt idx="129">
                  <c:v>49</c:v>
                </c:pt>
                <c:pt idx="130">
                  <c:v>50</c:v>
                </c:pt>
                <c:pt idx="131">
                  <c:v>51</c:v>
                </c:pt>
                <c:pt idx="132">
                  <c:v>52</c:v>
                </c:pt>
              </c:strCache>
            </c:strRef>
          </c:cat>
          <c:val>
            <c:numRef>
              <c:f>'Sheet1 (13)'!$N$9:$N$142</c:f>
              <c:numCache>
                <c:formatCode>General</c:formatCode>
                <c:ptCount val="133"/>
                <c:pt idx="0">
                  <c:v>49</c:v>
                </c:pt>
                <c:pt idx="1">
                  <c:v>50</c:v>
                </c:pt>
                <c:pt idx="2">
                  <c:v>50</c:v>
                </c:pt>
                <c:pt idx="3">
                  <c:v>51</c:v>
                </c:pt>
                <c:pt idx="4">
                  <c:v>51</c:v>
                </c:pt>
                <c:pt idx="5">
                  <c:v>55</c:v>
                </c:pt>
                <c:pt idx="6">
                  <c:v>54</c:v>
                </c:pt>
                <c:pt idx="7">
                  <c:v>54</c:v>
                </c:pt>
                <c:pt idx="8">
                  <c:v>53</c:v>
                </c:pt>
                <c:pt idx="9">
                  <c:v>55</c:v>
                </c:pt>
                <c:pt idx="10">
                  <c:v>57</c:v>
                </c:pt>
                <c:pt idx="11">
                  <c:v>58</c:v>
                </c:pt>
                <c:pt idx="12">
                  <c:v>60</c:v>
                </c:pt>
                <c:pt idx="13">
                  <c:v>58</c:v>
                </c:pt>
                <c:pt idx="14">
                  <c:v>57</c:v>
                </c:pt>
                <c:pt idx="15">
                  <c:v>58</c:v>
                </c:pt>
                <c:pt idx="16">
                  <c:v>57</c:v>
                </c:pt>
                <c:pt idx="17">
                  <c:v>59</c:v>
                </c:pt>
                <c:pt idx="18">
                  <c:v>60</c:v>
                </c:pt>
                <c:pt idx="19">
                  <c:v>62</c:v>
                </c:pt>
                <c:pt idx="20">
                  <c:v>61</c:v>
                </c:pt>
                <c:pt idx="21">
                  <c:v>63</c:v>
                </c:pt>
                <c:pt idx="22">
                  <c:v>63</c:v>
                </c:pt>
                <c:pt idx="23">
                  <c:v>63</c:v>
                </c:pt>
                <c:pt idx="24">
                  <c:v>64</c:v>
                </c:pt>
                <c:pt idx="25">
                  <c:v>65</c:v>
                </c:pt>
                <c:pt idx="26">
                  <c:v>65</c:v>
                </c:pt>
                <c:pt idx="27">
                  <c:v>63</c:v>
                </c:pt>
                <c:pt idx="28">
                  <c:v>63</c:v>
                </c:pt>
                <c:pt idx="29">
                  <c:v>64</c:v>
                </c:pt>
                <c:pt idx="30">
                  <c:v>66</c:v>
                </c:pt>
                <c:pt idx="31">
                  <c:v>68</c:v>
                </c:pt>
                <c:pt idx="32">
                  <c:v>66</c:v>
                </c:pt>
                <c:pt idx="33">
                  <c:v>65</c:v>
                </c:pt>
                <c:pt idx="34">
                  <c:v>67</c:v>
                </c:pt>
                <c:pt idx="35">
                  <c:v>67</c:v>
                </c:pt>
                <c:pt idx="36">
                  <c:v>66</c:v>
                </c:pt>
                <c:pt idx="37">
                  <c:v>64</c:v>
                </c:pt>
                <c:pt idx="38">
                  <c:v>67</c:v>
                </c:pt>
                <c:pt idx="39">
                  <c:v>68</c:v>
                </c:pt>
                <c:pt idx="40">
                  <c:v>68</c:v>
                </c:pt>
                <c:pt idx="41">
                  <c:v>70</c:v>
                </c:pt>
                <c:pt idx="42">
                  <c:v>72</c:v>
                </c:pt>
                <c:pt idx="43">
                  <c:v>76</c:v>
                </c:pt>
                <c:pt idx="44">
                  <c:v>77</c:v>
                </c:pt>
                <c:pt idx="45">
                  <c:v>77</c:v>
                </c:pt>
                <c:pt idx="46">
                  <c:v>77</c:v>
                </c:pt>
                <c:pt idx="47">
                  <c:v>79</c:v>
                </c:pt>
                <c:pt idx="48">
                  <c:v>82</c:v>
                </c:pt>
                <c:pt idx="49">
                  <c:v>83</c:v>
                </c:pt>
                <c:pt idx="50">
                  <c:v>88</c:v>
                </c:pt>
                <c:pt idx="51">
                  <c:v>90</c:v>
                </c:pt>
                <c:pt idx="52">
                  <c:v>94</c:v>
                </c:pt>
                <c:pt idx="53">
                  <c:v>96</c:v>
                </c:pt>
                <c:pt idx="54">
                  <c:v>99</c:v>
                </c:pt>
                <c:pt idx="55">
                  <c:v>106</c:v>
                </c:pt>
                <c:pt idx="56">
                  <c:v>111</c:v>
                </c:pt>
                <c:pt idx="57">
                  <c:v>113</c:v>
                </c:pt>
                <c:pt idx="58">
                  <c:v>119</c:v>
                </c:pt>
                <c:pt idx="59">
                  <c:v>123</c:v>
                </c:pt>
                <c:pt idx="60">
                  <c:v>126</c:v>
                </c:pt>
                <c:pt idx="61">
                  <c:v>135</c:v>
                </c:pt>
                <c:pt idx="62">
                  <c:v>146</c:v>
                </c:pt>
                <c:pt idx="63">
                  <c:v>160</c:v>
                </c:pt>
                <c:pt idx="64">
                  <c:v>177</c:v>
                </c:pt>
                <c:pt idx="65">
                  <c:v>190</c:v>
                </c:pt>
                <c:pt idx="66">
                  <c:v>193</c:v>
                </c:pt>
                <c:pt idx="67">
                  <c:v>195</c:v>
                </c:pt>
                <c:pt idx="68">
                  <c:v>194</c:v>
                </c:pt>
                <c:pt idx="69">
                  <c:v>197</c:v>
                </c:pt>
                <c:pt idx="70">
                  <c:v>197</c:v>
                </c:pt>
                <c:pt idx="71">
                  <c:v>188</c:v>
                </c:pt>
                <c:pt idx="72">
                  <c:v>185</c:v>
                </c:pt>
                <c:pt idx="73">
                  <c:v>181</c:v>
                </c:pt>
                <c:pt idx="74">
                  <c:v>183</c:v>
                </c:pt>
                <c:pt idx="75">
                  <c:v>183</c:v>
                </c:pt>
                <c:pt idx="76">
                  <c:v>186</c:v>
                </c:pt>
                <c:pt idx="77">
                  <c:v>188</c:v>
                </c:pt>
                <c:pt idx="78">
                  <c:v>189</c:v>
                </c:pt>
                <c:pt idx="79">
                  <c:v>192</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numCache>
            </c:numRef>
          </c:val>
          <c:smooth val="0"/>
        </c:ser>
        <c:ser>
          <c:idx val="13"/>
          <c:order val="13"/>
          <c:tx>
            <c:strRef>
              <c:f>'Sheet1 (13)'!$O$6:$O$8</c:f>
              <c:strCache>
                <c:ptCount val="1"/>
                <c:pt idx="0">
                  <c:v>Pre-init - LEFLUNOMIDE</c:v>
                </c:pt>
              </c:strCache>
            </c:strRef>
          </c:tx>
          <c:marker>
            <c:symbol val="none"/>
          </c:marker>
          <c:cat>
            <c:strRef>
              <c:f>'Sheet1 (13)'!$A$9:$A$142</c:f>
              <c:strCache>
                <c:ptCount val="133"/>
                <c:pt idx="0">
                  <c:v>-80</c:v>
                </c:pt>
                <c:pt idx="1">
                  <c:v>-79</c:v>
                </c:pt>
                <c:pt idx="2">
                  <c:v>-78</c:v>
                </c:pt>
                <c:pt idx="3">
                  <c:v>-77</c:v>
                </c:pt>
                <c:pt idx="4">
                  <c:v>-76</c:v>
                </c:pt>
                <c:pt idx="5">
                  <c:v>-75</c:v>
                </c:pt>
                <c:pt idx="6">
                  <c:v>-74</c:v>
                </c:pt>
                <c:pt idx="7">
                  <c:v>-73</c:v>
                </c:pt>
                <c:pt idx="8">
                  <c:v>-72</c:v>
                </c:pt>
                <c:pt idx="9">
                  <c:v>-71</c:v>
                </c:pt>
                <c:pt idx="10">
                  <c:v>-70</c:v>
                </c:pt>
                <c:pt idx="11">
                  <c:v>-69</c:v>
                </c:pt>
                <c:pt idx="12">
                  <c:v>-68</c:v>
                </c:pt>
                <c:pt idx="13">
                  <c:v>-67</c:v>
                </c:pt>
                <c:pt idx="14">
                  <c:v>-66</c:v>
                </c:pt>
                <c:pt idx="15">
                  <c:v>-65</c:v>
                </c:pt>
                <c:pt idx="16">
                  <c:v>-64</c:v>
                </c:pt>
                <c:pt idx="17">
                  <c:v>-63</c:v>
                </c:pt>
                <c:pt idx="18">
                  <c:v>-62</c:v>
                </c:pt>
                <c:pt idx="19">
                  <c:v>-61</c:v>
                </c:pt>
                <c:pt idx="20">
                  <c:v>-60</c:v>
                </c:pt>
                <c:pt idx="21">
                  <c:v>-59</c:v>
                </c:pt>
                <c:pt idx="22">
                  <c:v>-58</c:v>
                </c:pt>
                <c:pt idx="23">
                  <c:v>-57</c:v>
                </c:pt>
                <c:pt idx="24">
                  <c:v>-56</c:v>
                </c:pt>
                <c:pt idx="25">
                  <c:v>-55</c:v>
                </c:pt>
                <c:pt idx="26">
                  <c:v>-54</c:v>
                </c:pt>
                <c:pt idx="27">
                  <c:v>-53</c:v>
                </c:pt>
                <c:pt idx="28">
                  <c:v>-52</c:v>
                </c:pt>
                <c:pt idx="29">
                  <c:v>-51</c:v>
                </c:pt>
                <c:pt idx="30">
                  <c:v>-50</c:v>
                </c:pt>
                <c:pt idx="31">
                  <c:v>-49</c:v>
                </c:pt>
                <c:pt idx="32">
                  <c:v>-48</c:v>
                </c:pt>
                <c:pt idx="33">
                  <c:v>-47</c:v>
                </c:pt>
                <c:pt idx="34">
                  <c:v>-46</c:v>
                </c:pt>
                <c:pt idx="35">
                  <c:v>-45</c:v>
                </c:pt>
                <c:pt idx="36">
                  <c:v>-44</c:v>
                </c:pt>
                <c:pt idx="37">
                  <c:v>-43</c:v>
                </c:pt>
                <c:pt idx="38">
                  <c:v>-42</c:v>
                </c:pt>
                <c:pt idx="39">
                  <c:v>-41</c:v>
                </c:pt>
                <c:pt idx="40">
                  <c:v>-40</c:v>
                </c:pt>
                <c:pt idx="41">
                  <c:v>-39</c:v>
                </c:pt>
                <c:pt idx="42">
                  <c:v>-38</c:v>
                </c:pt>
                <c:pt idx="43">
                  <c:v>-37</c:v>
                </c:pt>
                <c:pt idx="44">
                  <c:v>-36</c:v>
                </c:pt>
                <c:pt idx="45">
                  <c:v>-35</c:v>
                </c:pt>
                <c:pt idx="46">
                  <c:v>-34</c:v>
                </c:pt>
                <c:pt idx="47">
                  <c:v>-33</c:v>
                </c:pt>
                <c:pt idx="48">
                  <c:v>-32</c:v>
                </c:pt>
                <c:pt idx="49">
                  <c:v>-31</c:v>
                </c:pt>
                <c:pt idx="50">
                  <c:v>-30</c:v>
                </c:pt>
                <c:pt idx="51">
                  <c:v>-29</c:v>
                </c:pt>
                <c:pt idx="52">
                  <c:v>-28</c:v>
                </c:pt>
                <c:pt idx="53">
                  <c:v>-27</c:v>
                </c:pt>
                <c:pt idx="54">
                  <c:v>-26</c:v>
                </c:pt>
                <c:pt idx="55">
                  <c:v>-25</c:v>
                </c:pt>
                <c:pt idx="56">
                  <c:v>-24</c:v>
                </c:pt>
                <c:pt idx="57">
                  <c:v>-23</c:v>
                </c:pt>
                <c:pt idx="58">
                  <c:v>-22</c:v>
                </c:pt>
                <c:pt idx="59">
                  <c:v>-21</c:v>
                </c:pt>
                <c:pt idx="60">
                  <c:v>-20</c:v>
                </c:pt>
                <c:pt idx="61">
                  <c:v>-19</c:v>
                </c:pt>
                <c:pt idx="62">
                  <c:v>-18</c:v>
                </c:pt>
                <c:pt idx="63">
                  <c:v>-17</c:v>
                </c:pt>
                <c:pt idx="64">
                  <c:v>-16</c:v>
                </c:pt>
                <c:pt idx="65">
                  <c:v>-15</c:v>
                </c:pt>
                <c:pt idx="66">
                  <c:v>-14</c:v>
                </c:pt>
                <c:pt idx="67">
                  <c:v>-13</c:v>
                </c:pt>
                <c:pt idx="68">
                  <c:v>-12</c:v>
                </c:pt>
                <c:pt idx="69">
                  <c:v>-11</c:v>
                </c:pt>
                <c:pt idx="70">
                  <c:v>-10</c:v>
                </c:pt>
                <c:pt idx="71">
                  <c:v>-9</c:v>
                </c:pt>
                <c:pt idx="72">
                  <c:v>-8</c:v>
                </c:pt>
                <c:pt idx="73">
                  <c:v>-7</c:v>
                </c:pt>
                <c:pt idx="74">
                  <c:v>-6</c:v>
                </c:pt>
                <c:pt idx="75">
                  <c:v>-5</c:v>
                </c:pt>
                <c:pt idx="76">
                  <c:v>-4</c:v>
                </c:pt>
                <c:pt idx="77">
                  <c:v>-3</c:v>
                </c:pt>
                <c:pt idx="78">
                  <c:v>-2</c:v>
                </c:pt>
                <c:pt idx="79">
                  <c:v>-1</c:v>
                </c:pt>
                <c:pt idx="80">
                  <c:v>0</c:v>
                </c:pt>
                <c:pt idx="81">
                  <c:v>1</c:v>
                </c:pt>
                <c:pt idx="82">
                  <c:v>2</c:v>
                </c:pt>
                <c:pt idx="83">
                  <c:v>3</c:v>
                </c:pt>
                <c:pt idx="84">
                  <c:v>4</c:v>
                </c:pt>
                <c:pt idx="85">
                  <c:v>5</c:v>
                </c:pt>
                <c:pt idx="86">
                  <c:v>6</c:v>
                </c:pt>
                <c:pt idx="87">
                  <c:v>7</c:v>
                </c:pt>
                <c:pt idx="88">
                  <c:v>8</c:v>
                </c:pt>
                <c:pt idx="89">
                  <c:v>9</c:v>
                </c:pt>
                <c:pt idx="90">
                  <c:v>10</c:v>
                </c:pt>
                <c:pt idx="91">
                  <c:v>11</c:v>
                </c:pt>
                <c:pt idx="92">
                  <c:v>12</c:v>
                </c:pt>
                <c:pt idx="93">
                  <c:v>13</c:v>
                </c:pt>
                <c:pt idx="94">
                  <c:v>14</c:v>
                </c:pt>
                <c:pt idx="95">
                  <c:v>15</c:v>
                </c:pt>
                <c:pt idx="96">
                  <c:v>16</c:v>
                </c:pt>
                <c:pt idx="97">
                  <c:v>17</c:v>
                </c:pt>
                <c:pt idx="98">
                  <c:v>18</c:v>
                </c:pt>
                <c:pt idx="99">
                  <c:v>19</c:v>
                </c:pt>
                <c:pt idx="100">
                  <c:v>20</c:v>
                </c:pt>
                <c:pt idx="101">
                  <c:v>21</c:v>
                </c:pt>
                <c:pt idx="102">
                  <c:v>22</c:v>
                </c:pt>
                <c:pt idx="103">
                  <c:v>23</c:v>
                </c:pt>
                <c:pt idx="104">
                  <c:v>24</c:v>
                </c:pt>
                <c:pt idx="105">
                  <c:v>25</c:v>
                </c:pt>
                <c:pt idx="106">
                  <c:v>26</c:v>
                </c:pt>
                <c:pt idx="107">
                  <c:v>27</c:v>
                </c:pt>
                <c:pt idx="108">
                  <c:v>28</c:v>
                </c:pt>
                <c:pt idx="109">
                  <c:v>29</c:v>
                </c:pt>
                <c:pt idx="110">
                  <c:v>30</c:v>
                </c:pt>
                <c:pt idx="111">
                  <c:v>31</c:v>
                </c:pt>
                <c:pt idx="112">
                  <c:v>32</c:v>
                </c:pt>
                <c:pt idx="113">
                  <c:v>33</c:v>
                </c:pt>
                <c:pt idx="114">
                  <c:v>34</c:v>
                </c:pt>
                <c:pt idx="115">
                  <c:v>35</c:v>
                </c:pt>
                <c:pt idx="116">
                  <c:v>36</c:v>
                </c:pt>
                <c:pt idx="117">
                  <c:v>37</c:v>
                </c:pt>
                <c:pt idx="118">
                  <c:v>38</c:v>
                </c:pt>
                <c:pt idx="119">
                  <c:v>39</c:v>
                </c:pt>
                <c:pt idx="120">
                  <c:v>40</c:v>
                </c:pt>
                <c:pt idx="121">
                  <c:v>41</c:v>
                </c:pt>
                <c:pt idx="122">
                  <c:v>42</c:v>
                </c:pt>
                <c:pt idx="123">
                  <c:v>43</c:v>
                </c:pt>
                <c:pt idx="124">
                  <c:v>44</c:v>
                </c:pt>
                <c:pt idx="125">
                  <c:v>45</c:v>
                </c:pt>
                <c:pt idx="126">
                  <c:v>46</c:v>
                </c:pt>
                <c:pt idx="127">
                  <c:v>47</c:v>
                </c:pt>
                <c:pt idx="128">
                  <c:v>48</c:v>
                </c:pt>
                <c:pt idx="129">
                  <c:v>49</c:v>
                </c:pt>
                <c:pt idx="130">
                  <c:v>50</c:v>
                </c:pt>
                <c:pt idx="131">
                  <c:v>51</c:v>
                </c:pt>
                <c:pt idx="132">
                  <c:v>52</c:v>
                </c:pt>
              </c:strCache>
            </c:strRef>
          </c:cat>
          <c:val>
            <c:numRef>
              <c:f>'Sheet1 (13)'!$O$9:$O$142</c:f>
              <c:numCache>
                <c:formatCode>General</c:formatCode>
                <c:ptCount val="133"/>
                <c:pt idx="0">
                  <c:v>37</c:v>
                </c:pt>
                <c:pt idx="1">
                  <c:v>35</c:v>
                </c:pt>
                <c:pt idx="2">
                  <c:v>35</c:v>
                </c:pt>
                <c:pt idx="3">
                  <c:v>35</c:v>
                </c:pt>
                <c:pt idx="4">
                  <c:v>36</c:v>
                </c:pt>
                <c:pt idx="5">
                  <c:v>38</c:v>
                </c:pt>
                <c:pt idx="6">
                  <c:v>36</c:v>
                </c:pt>
                <c:pt idx="7">
                  <c:v>36</c:v>
                </c:pt>
                <c:pt idx="8">
                  <c:v>36</c:v>
                </c:pt>
                <c:pt idx="9">
                  <c:v>36</c:v>
                </c:pt>
                <c:pt idx="10">
                  <c:v>37</c:v>
                </c:pt>
                <c:pt idx="11">
                  <c:v>36</c:v>
                </c:pt>
                <c:pt idx="12">
                  <c:v>36</c:v>
                </c:pt>
                <c:pt idx="13">
                  <c:v>36</c:v>
                </c:pt>
                <c:pt idx="14">
                  <c:v>38</c:v>
                </c:pt>
                <c:pt idx="15">
                  <c:v>38</c:v>
                </c:pt>
                <c:pt idx="16">
                  <c:v>40</c:v>
                </c:pt>
                <c:pt idx="17">
                  <c:v>39</c:v>
                </c:pt>
                <c:pt idx="18">
                  <c:v>36</c:v>
                </c:pt>
                <c:pt idx="19">
                  <c:v>37</c:v>
                </c:pt>
                <c:pt idx="20">
                  <c:v>39</c:v>
                </c:pt>
                <c:pt idx="21">
                  <c:v>43</c:v>
                </c:pt>
                <c:pt idx="22">
                  <c:v>44</c:v>
                </c:pt>
                <c:pt idx="23">
                  <c:v>44</c:v>
                </c:pt>
                <c:pt idx="24">
                  <c:v>43</c:v>
                </c:pt>
                <c:pt idx="25">
                  <c:v>42</c:v>
                </c:pt>
                <c:pt idx="26">
                  <c:v>43</c:v>
                </c:pt>
                <c:pt idx="27">
                  <c:v>42</c:v>
                </c:pt>
                <c:pt idx="28">
                  <c:v>42</c:v>
                </c:pt>
                <c:pt idx="29">
                  <c:v>43</c:v>
                </c:pt>
                <c:pt idx="30">
                  <c:v>45</c:v>
                </c:pt>
                <c:pt idx="31">
                  <c:v>46</c:v>
                </c:pt>
                <c:pt idx="32">
                  <c:v>48</c:v>
                </c:pt>
                <c:pt idx="33">
                  <c:v>47</c:v>
                </c:pt>
                <c:pt idx="34">
                  <c:v>48</c:v>
                </c:pt>
                <c:pt idx="35">
                  <c:v>48</c:v>
                </c:pt>
                <c:pt idx="36">
                  <c:v>50</c:v>
                </c:pt>
                <c:pt idx="37">
                  <c:v>49</c:v>
                </c:pt>
                <c:pt idx="38">
                  <c:v>51</c:v>
                </c:pt>
                <c:pt idx="39">
                  <c:v>47</c:v>
                </c:pt>
                <c:pt idx="40">
                  <c:v>46</c:v>
                </c:pt>
                <c:pt idx="41">
                  <c:v>48</c:v>
                </c:pt>
                <c:pt idx="42">
                  <c:v>48</c:v>
                </c:pt>
                <c:pt idx="43">
                  <c:v>51</c:v>
                </c:pt>
                <c:pt idx="44">
                  <c:v>53</c:v>
                </c:pt>
                <c:pt idx="45">
                  <c:v>55</c:v>
                </c:pt>
                <c:pt idx="46">
                  <c:v>56</c:v>
                </c:pt>
                <c:pt idx="47">
                  <c:v>58</c:v>
                </c:pt>
                <c:pt idx="48">
                  <c:v>57</c:v>
                </c:pt>
                <c:pt idx="49">
                  <c:v>59</c:v>
                </c:pt>
                <c:pt idx="50">
                  <c:v>62</c:v>
                </c:pt>
                <c:pt idx="51">
                  <c:v>61</c:v>
                </c:pt>
                <c:pt idx="52">
                  <c:v>59</c:v>
                </c:pt>
                <c:pt idx="53">
                  <c:v>58</c:v>
                </c:pt>
                <c:pt idx="54">
                  <c:v>62</c:v>
                </c:pt>
                <c:pt idx="55">
                  <c:v>66</c:v>
                </c:pt>
                <c:pt idx="56">
                  <c:v>67</c:v>
                </c:pt>
                <c:pt idx="57">
                  <c:v>66</c:v>
                </c:pt>
                <c:pt idx="58">
                  <c:v>63</c:v>
                </c:pt>
                <c:pt idx="59">
                  <c:v>66</c:v>
                </c:pt>
                <c:pt idx="60">
                  <c:v>68</c:v>
                </c:pt>
                <c:pt idx="61">
                  <c:v>67</c:v>
                </c:pt>
                <c:pt idx="62">
                  <c:v>69</c:v>
                </c:pt>
                <c:pt idx="63">
                  <c:v>67</c:v>
                </c:pt>
                <c:pt idx="64">
                  <c:v>60</c:v>
                </c:pt>
                <c:pt idx="65">
                  <c:v>60</c:v>
                </c:pt>
                <c:pt idx="66">
                  <c:v>56</c:v>
                </c:pt>
                <c:pt idx="67">
                  <c:v>53</c:v>
                </c:pt>
                <c:pt idx="68">
                  <c:v>51</c:v>
                </c:pt>
                <c:pt idx="69">
                  <c:v>48</c:v>
                </c:pt>
                <c:pt idx="70">
                  <c:v>49</c:v>
                </c:pt>
                <c:pt idx="71">
                  <c:v>46</c:v>
                </c:pt>
                <c:pt idx="72">
                  <c:v>47</c:v>
                </c:pt>
                <c:pt idx="73">
                  <c:v>44</c:v>
                </c:pt>
                <c:pt idx="74">
                  <c:v>42</c:v>
                </c:pt>
                <c:pt idx="75">
                  <c:v>40</c:v>
                </c:pt>
                <c:pt idx="76">
                  <c:v>40</c:v>
                </c:pt>
                <c:pt idx="77">
                  <c:v>40</c:v>
                </c:pt>
                <c:pt idx="78">
                  <c:v>41</c:v>
                </c:pt>
                <c:pt idx="79">
                  <c:v>41</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numCache>
            </c:numRef>
          </c:val>
          <c:smooth val="0"/>
        </c:ser>
        <c:ser>
          <c:idx val="14"/>
          <c:order val="14"/>
          <c:tx>
            <c:strRef>
              <c:f>'Sheet1 (13)'!$P$6:$P$8</c:f>
              <c:strCache>
                <c:ptCount val="1"/>
                <c:pt idx="0">
                  <c:v>Pre-init - SULFASALAZINE</c:v>
                </c:pt>
              </c:strCache>
            </c:strRef>
          </c:tx>
          <c:marker>
            <c:symbol val="none"/>
          </c:marker>
          <c:cat>
            <c:strRef>
              <c:f>'Sheet1 (13)'!$A$9:$A$142</c:f>
              <c:strCache>
                <c:ptCount val="133"/>
                <c:pt idx="0">
                  <c:v>-80</c:v>
                </c:pt>
                <c:pt idx="1">
                  <c:v>-79</c:v>
                </c:pt>
                <c:pt idx="2">
                  <c:v>-78</c:v>
                </c:pt>
                <c:pt idx="3">
                  <c:v>-77</c:v>
                </c:pt>
                <c:pt idx="4">
                  <c:v>-76</c:v>
                </c:pt>
                <c:pt idx="5">
                  <c:v>-75</c:v>
                </c:pt>
                <c:pt idx="6">
                  <c:v>-74</c:v>
                </c:pt>
                <c:pt idx="7">
                  <c:v>-73</c:v>
                </c:pt>
                <c:pt idx="8">
                  <c:v>-72</c:v>
                </c:pt>
                <c:pt idx="9">
                  <c:v>-71</c:v>
                </c:pt>
                <c:pt idx="10">
                  <c:v>-70</c:v>
                </c:pt>
                <c:pt idx="11">
                  <c:v>-69</c:v>
                </c:pt>
                <c:pt idx="12">
                  <c:v>-68</c:v>
                </c:pt>
                <c:pt idx="13">
                  <c:v>-67</c:v>
                </c:pt>
                <c:pt idx="14">
                  <c:v>-66</c:v>
                </c:pt>
                <c:pt idx="15">
                  <c:v>-65</c:v>
                </c:pt>
                <c:pt idx="16">
                  <c:v>-64</c:v>
                </c:pt>
                <c:pt idx="17">
                  <c:v>-63</c:v>
                </c:pt>
                <c:pt idx="18">
                  <c:v>-62</c:v>
                </c:pt>
                <c:pt idx="19">
                  <c:v>-61</c:v>
                </c:pt>
                <c:pt idx="20">
                  <c:v>-60</c:v>
                </c:pt>
                <c:pt idx="21">
                  <c:v>-59</c:v>
                </c:pt>
                <c:pt idx="22">
                  <c:v>-58</c:v>
                </c:pt>
                <c:pt idx="23">
                  <c:v>-57</c:v>
                </c:pt>
                <c:pt idx="24">
                  <c:v>-56</c:v>
                </c:pt>
                <c:pt idx="25">
                  <c:v>-55</c:v>
                </c:pt>
                <c:pt idx="26">
                  <c:v>-54</c:v>
                </c:pt>
                <c:pt idx="27">
                  <c:v>-53</c:v>
                </c:pt>
                <c:pt idx="28">
                  <c:v>-52</c:v>
                </c:pt>
                <c:pt idx="29">
                  <c:v>-51</c:v>
                </c:pt>
                <c:pt idx="30">
                  <c:v>-50</c:v>
                </c:pt>
                <c:pt idx="31">
                  <c:v>-49</c:v>
                </c:pt>
                <c:pt idx="32">
                  <c:v>-48</c:v>
                </c:pt>
                <c:pt idx="33">
                  <c:v>-47</c:v>
                </c:pt>
                <c:pt idx="34">
                  <c:v>-46</c:v>
                </c:pt>
                <c:pt idx="35">
                  <c:v>-45</c:v>
                </c:pt>
                <c:pt idx="36">
                  <c:v>-44</c:v>
                </c:pt>
                <c:pt idx="37">
                  <c:v>-43</c:v>
                </c:pt>
                <c:pt idx="38">
                  <c:v>-42</c:v>
                </c:pt>
                <c:pt idx="39">
                  <c:v>-41</c:v>
                </c:pt>
                <c:pt idx="40">
                  <c:v>-40</c:v>
                </c:pt>
                <c:pt idx="41">
                  <c:v>-39</c:v>
                </c:pt>
                <c:pt idx="42">
                  <c:v>-38</c:v>
                </c:pt>
                <c:pt idx="43">
                  <c:v>-37</c:v>
                </c:pt>
                <c:pt idx="44">
                  <c:v>-36</c:v>
                </c:pt>
                <c:pt idx="45">
                  <c:v>-35</c:v>
                </c:pt>
                <c:pt idx="46">
                  <c:v>-34</c:v>
                </c:pt>
                <c:pt idx="47">
                  <c:v>-33</c:v>
                </c:pt>
                <c:pt idx="48">
                  <c:v>-32</c:v>
                </c:pt>
                <c:pt idx="49">
                  <c:v>-31</c:v>
                </c:pt>
                <c:pt idx="50">
                  <c:v>-30</c:v>
                </c:pt>
                <c:pt idx="51">
                  <c:v>-29</c:v>
                </c:pt>
                <c:pt idx="52">
                  <c:v>-28</c:v>
                </c:pt>
                <c:pt idx="53">
                  <c:v>-27</c:v>
                </c:pt>
                <c:pt idx="54">
                  <c:v>-26</c:v>
                </c:pt>
                <c:pt idx="55">
                  <c:v>-25</c:v>
                </c:pt>
                <c:pt idx="56">
                  <c:v>-24</c:v>
                </c:pt>
                <c:pt idx="57">
                  <c:v>-23</c:v>
                </c:pt>
                <c:pt idx="58">
                  <c:v>-22</c:v>
                </c:pt>
                <c:pt idx="59">
                  <c:v>-21</c:v>
                </c:pt>
                <c:pt idx="60">
                  <c:v>-20</c:v>
                </c:pt>
                <c:pt idx="61">
                  <c:v>-19</c:v>
                </c:pt>
                <c:pt idx="62">
                  <c:v>-18</c:v>
                </c:pt>
                <c:pt idx="63">
                  <c:v>-17</c:v>
                </c:pt>
                <c:pt idx="64">
                  <c:v>-16</c:v>
                </c:pt>
                <c:pt idx="65">
                  <c:v>-15</c:v>
                </c:pt>
                <c:pt idx="66">
                  <c:v>-14</c:v>
                </c:pt>
                <c:pt idx="67">
                  <c:v>-13</c:v>
                </c:pt>
                <c:pt idx="68">
                  <c:v>-12</c:v>
                </c:pt>
                <c:pt idx="69">
                  <c:v>-11</c:v>
                </c:pt>
                <c:pt idx="70">
                  <c:v>-10</c:v>
                </c:pt>
                <c:pt idx="71">
                  <c:v>-9</c:v>
                </c:pt>
                <c:pt idx="72">
                  <c:v>-8</c:v>
                </c:pt>
                <c:pt idx="73">
                  <c:v>-7</c:v>
                </c:pt>
                <c:pt idx="74">
                  <c:v>-6</c:v>
                </c:pt>
                <c:pt idx="75">
                  <c:v>-5</c:v>
                </c:pt>
                <c:pt idx="76">
                  <c:v>-4</c:v>
                </c:pt>
                <c:pt idx="77">
                  <c:v>-3</c:v>
                </c:pt>
                <c:pt idx="78">
                  <c:v>-2</c:v>
                </c:pt>
                <c:pt idx="79">
                  <c:v>-1</c:v>
                </c:pt>
                <c:pt idx="80">
                  <c:v>0</c:v>
                </c:pt>
                <c:pt idx="81">
                  <c:v>1</c:v>
                </c:pt>
                <c:pt idx="82">
                  <c:v>2</c:v>
                </c:pt>
                <c:pt idx="83">
                  <c:v>3</c:v>
                </c:pt>
                <c:pt idx="84">
                  <c:v>4</c:v>
                </c:pt>
                <c:pt idx="85">
                  <c:v>5</c:v>
                </c:pt>
                <c:pt idx="86">
                  <c:v>6</c:v>
                </c:pt>
                <c:pt idx="87">
                  <c:v>7</c:v>
                </c:pt>
                <c:pt idx="88">
                  <c:v>8</c:v>
                </c:pt>
                <c:pt idx="89">
                  <c:v>9</c:v>
                </c:pt>
                <c:pt idx="90">
                  <c:v>10</c:v>
                </c:pt>
                <c:pt idx="91">
                  <c:v>11</c:v>
                </c:pt>
                <c:pt idx="92">
                  <c:v>12</c:v>
                </c:pt>
                <c:pt idx="93">
                  <c:v>13</c:v>
                </c:pt>
                <c:pt idx="94">
                  <c:v>14</c:v>
                </c:pt>
                <c:pt idx="95">
                  <c:v>15</c:v>
                </c:pt>
                <c:pt idx="96">
                  <c:v>16</c:v>
                </c:pt>
                <c:pt idx="97">
                  <c:v>17</c:v>
                </c:pt>
                <c:pt idx="98">
                  <c:v>18</c:v>
                </c:pt>
                <c:pt idx="99">
                  <c:v>19</c:v>
                </c:pt>
                <c:pt idx="100">
                  <c:v>20</c:v>
                </c:pt>
                <c:pt idx="101">
                  <c:v>21</c:v>
                </c:pt>
                <c:pt idx="102">
                  <c:v>22</c:v>
                </c:pt>
                <c:pt idx="103">
                  <c:v>23</c:v>
                </c:pt>
                <c:pt idx="104">
                  <c:v>24</c:v>
                </c:pt>
                <c:pt idx="105">
                  <c:v>25</c:v>
                </c:pt>
                <c:pt idx="106">
                  <c:v>26</c:v>
                </c:pt>
                <c:pt idx="107">
                  <c:v>27</c:v>
                </c:pt>
                <c:pt idx="108">
                  <c:v>28</c:v>
                </c:pt>
                <c:pt idx="109">
                  <c:v>29</c:v>
                </c:pt>
                <c:pt idx="110">
                  <c:v>30</c:v>
                </c:pt>
                <c:pt idx="111">
                  <c:v>31</c:v>
                </c:pt>
                <c:pt idx="112">
                  <c:v>32</c:v>
                </c:pt>
                <c:pt idx="113">
                  <c:v>33</c:v>
                </c:pt>
                <c:pt idx="114">
                  <c:v>34</c:v>
                </c:pt>
                <c:pt idx="115">
                  <c:v>35</c:v>
                </c:pt>
                <c:pt idx="116">
                  <c:v>36</c:v>
                </c:pt>
                <c:pt idx="117">
                  <c:v>37</c:v>
                </c:pt>
                <c:pt idx="118">
                  <c:v>38</c:v>
                </c:pt>
                <c:pt idx="119">
                  <c:v>39</c:v>
                </c:pt>
                <c:pt idx="120">
                  <c:v>40</c:v>
                </c:pt>
                <c:pt idx="121">
                  <c:v>41</c:v>
                </c:pt>
                <c:pt idx="122">
                  <c:v>42</c:v>
                </c:pt>
                <c:pt idx="123">
                  <c:v>43</c:v>
                </c:pt>
                <c:pt idx="124">
                  <c:v>44</c:v>
                </c:pt>
                <c:pt idx="125">
                  <c:v>45</c:v>
                </c:pt>
                <c:pt idx="126">
                  <c:v>46</c:v>
                </c:pt>
                <c:pt idx="127">
                  <c:v>47</c:v>
                </c:pt>
                <c:pt idx="128">
                  <c:v>48</c:v>
                </c:pt>
                <c:pt idx="129">
                  <c:v>49</c:v>
                </c:pt>
                <c:pt idx="130">
                  <c:v>50</c:v>
                </c:pt>
                <c:pt idx="131">
                  <c:v>51</c:v>
                </c:pt>
                <c:pt idx="132">
                  <c:v>52</c:v>
                </c:pt>
              </c:strCache>
            </c:strRef>
          </c:cat>
          <c:val>
            <c:numRef>
              <c:f>'Sheet1 (13)'!$P$9:$P$142</c:f>
              <c:numCache>
                <c:formatCode>General</c:formatCode>
                <c:ptCount val="133"/>
                <c:pt idx="0">
                  <c:v>30</c:v>
                </c:pt>
                <c:pt idx="1">
                  <c:v>29</c:v>
                </c:pt>
                <c:pt idx="2">
                  <c:v>30</c:v>
                </c:pt>
                <c:pt idx="3">
                  <c:v>32</c:v>
                </c:pt>
                <c:pt idx="4">
                  <c:v>30</c:v>
                </c:pt>
                <c:pt idx="5">
                  <c:v>30</c:v>
                </c:pt>
                <c:pt idx="6">
                  <c:v>30</c:v>
                </c:pt>
                <c:pt idx="7">
                  <c:v>31</c:v>
                </c:pt>
                <c:pt idx="8">
                  <c:v>32</c:v>
                </c:pt>
                <c:pt idx="9">
                  <c:v>32</c:v>
                </c:pt>
                <c:pt idx="10">
                  <c:v>34</c:v>
                </c:pt>
                <c:pt idx="11">
                  <c:v>34</c:v>
                </c:pt>
                <c:pt idx="12">
                  <c:v>32</c:v>
                </c:pt>
                <c:pt idx="13">
                  <c:v>31</c:v>
                </c:pt>
                <c:pt idx="14">
                  <c:v>34</c:v>
                </c:pt>
                <c:pt idx="15">
                  <c:v>34</c:v>
                </c:pt>
                <c:pt idx="16">
                  <c:v>34</c:v>
                </c:pt>
                <c:pt idx="17">
                  <c:v>33</c:v>
                </c:pt>
                <c:pt idx="18">
                  <c:v>32</c:v>
                </c:pt>
                <c:pt idx="19">
                  <c:v>32</c:v>
                </c:pt>
                <c:pt idx="20">
                  <c:v>33</c:v>
                </c:pt>
                <c:pt idx="21">
                  <c:v>34</c:v>
                </c:pt>
                <c:pt idx="22">
                  <c:v>34</c:v>
                </c:pt>
                <c:pt idx="23">
                  <c:v>36</c:v>
                </c:pt>
                <c:pt idx="24">
                  <c:v>38</c:v>
                </c:pt>
                <c:pt idx="25">
                  <c:v>37</c:v>
                </c:pt>
                <c:pt idx="26">
                  <c:v>37</c:v>
                </c:pt>
                <c:pt idx="27">
                  <c:v>38</c:v>
                </c:pt>
                <c:pt idx="28">
                  <c:v>42</c:v>
                </c:pt>
                <c:pt idx="29">
                  <c:v>43</c:v>
                </c:pt>
                <c:pt idx="30">
                  <c:v>42</c:v>
                </c:pt>
                <c:pt idx="31">
                  <c:v>42</c:v>
                </c:pt>
                <c:pt idx="32">
                  <c:v>45</c:v>
                </c:pt>
                <c:pt idx="33">
                  <c:v>46</c:v>
                </c:pt>
                <c:pt idx="34">
                  <c:v>46</c:v>
                </c:pt>
                <c:pt idx="35">
                  <c:v>48</c:v>
                </c:pt>
                <c:pt idx="36">
                  <c:v>45</c:v>
                </c:pt>
                <c:pt idx="37">
                  <c:v>45</c:v>
                </c:pt>
                <c:pt idx="38">
                  <c:v>46</c:v>
                </c:pt>
                <c:pt idx="39">
                  <c:v>46</c:v>
                </c:pt>
                <c:pt idx="40">
                  <c:v>44</c:v>
                </c:pt>
                <c:pt idx="41">
                  <c:v>46</c:v>
                </c:pt>
                <c:pt idx="42">
                  <c:v>46</c:v>
                </c:pt>
                <c:pt idx="43">
                  <c:v>47</c:v>
                </c:pt>
                <c:pt idx="44">
                  <c:v>45</c:v>
                </c:pt>
                <c:pt idx="45">
                  <c:v>48</c:v>
                </c:pt>
                <c:pt idx="46">
                  <c:v>50</c:v>
                </c:pt>
                <c:pt idx="47">
                  <c:v>49</c:v>
                </c:pt>
                <c:pt idx="48">
                  <c:v>51</c:v>
                </c:pt>
                <c:pt idx="49">
                  <c:v>58</c:v>
                </c:pt>
                <c:pt idx="50">
                  <c:v>56</c:v>
                </c:pt>
                <c:pt idx="51">
                  <c:v>58</c:v>
                </c:pt>
                <c:pt idx="52">
                  <c:v>58</c:v>
                </c:pt>
                <c:pt idx="53">
                  <c:v>61</c:v>
                </c:pt>
                <c:pt idx="54">
                  <c:v>62</c:v>
                </c:pt>
                <c:pt idx="55">
                  <c:v>53</c:v>
                </c:pt>
                <c:pt idx="56">
                  <c:v>53</c:v>
                </c:pt>
                <c:pt idx="57">
                  <c:v>52</c:v>
                </c:pt>
                <c:pt idx="58">
                  <c:v>52</c:v>
                </c:pt>
                <c:pt idx="59">
                  <c:v>52</c:v>
                </c:pt>
                <c:pt idx="60">
                  <c:v>51</c:v>
                </c:pt>
                <c:pt idx="61">
                  <c:v>45</c:v>
                </c:pt>
                <c:pt idx="62">
                  <c:v>41</c:v>
                </c:pt>
                <c:pt idx="63">
                  <c:v>41</c:v>
                </c:pt>
                <c:pt idx="64">
                  <c:v>37</c:v>
                </c:pt>
                <c:pt idx="65">
                  <c:v>31</c:v>
                </c:pt>
                <c:pt idx="66">
                  <c:v>28</c:v>
                </c:pt>
                <c:pt idx="67">
                  <c:v>23</c:v>
                </c:pt>
                <c:pt idx="68">
                  <c:v>23</c:v>
                </c:pt>
                <c:pt idx="69">
                  <c:v>26</c:v>
                </c:pt>
                <c:pt idx="70">
                  <c:v>23</c:v>
                </c:pt>
                <c:pt idx="71">
                  <c:v>22</c:v>
                </c:pt>
                <c:pt idx="72">
                  <c:v>20</c:v>
                </c:pt>
                <c:pt idx="73">
                  <c:v>17</c:v>
                </c:pt>
                <c:pt idx="74">
                  <c:v>18</c:v>
                </c:pt>
                <c:pt idx="75">
                  <c:v>19</c:v>
                </c:pt>
                <c:pt idx="76">
                  <c:v>21</c:v>
                </c:pt>
                <c:pt idx="77">
                  <c:v>21</c:v>
                </c:pt>
                <c:pt idx="78">
                  <c:v>21</c:v>
                </c:pt>
                <c:pt idx="79">
                  <c:v>20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numCache>
            </c:numRef>
          </c:val>
          <c:smooth val="0"/>
        </c:ser>
        <c:ser>
          <c:idx val="15"/>
          <c:order val="15"/>
          <c:tx>
            <c:strRef>
              <c:f>'Sheet1 (13)'!$Q$6:$Q$8</c:f>
              <c:strCache>
                <c:ptCount val="1"/>
                <c:pt idx="0">
                  <c:v>Pre-init - LEFLUNOMIDE+METHOTREXATE+SULFASALAZINE</c:v>
                </c:pt>
              </c:strCache>
            </c:strRef>
          </c:tx>
          <c:marker>
            <c:symbol val="none"/>
          </c:marker>
          <c:cat>
            <c:strRef>
              <c:f>'Sheet1 (13)'!$A$9:$A$142</c:f>
              <c:strCache>
                <c:ptCount val="133"/>
                <c:pt idx="0">
                  <c:v>-80</c:v>
                </c:pt>
                <c:pt idx="1">
                  <c:v>-79</c:v>
                </c:pt>
                <c:pt idx="2">
                  <c:v>-78</c:v>
                </c:pt>
                <c:pt idx="3">
                  <c:v>-77</c:v>
                </c:pt>
                <c:pt idx="4">
                  <c:v>-76</c:v>
                </c:pt>
                <c:pt idx="5">
                  <c:v>-75</c:v>
                </c:pt>
                <c:pt idx="6">
                  <c:v>-74</c:v>
                </c:pt>
                <c:pt idx="7">
                  <c:v>-73</c:v>
                </c:pt>
                <c:pt idx="8">
                  <c:v>-72</c:v>
                </c:pt>
                <c:pt idx="9">
                  <c:v>-71</c:v>
                </c:pt>
                <c:pt idx="10">
                  <c:v>-70</c:v>
                </c:pt>
                <c:pt idx="11">
                  <c:v>-69</c:v>
                </c:pt>
                <c:pt idx="12">
                  <c:v>-68</c:v>
                </c:pt>
                <c:pt idx="13">
                  <c:v>-67</c:v>
                </c:pt>
                <c:pt idx="14">
                  <c:v>-66</c:v>
                </c:pt>
                <c:pt idx="15">
                  <c:v>-65</c:v>
                </c:pt>
                <c:pt idx="16">
                  <c:v>-64</c:v>
                </c:pt>
                <c:pt idx="17">
                  <c:v>-63</c:v>
                </c:pt>
                <c:pt idx="18">
                  <c:v>-62</c:v>
                </c:pt>
                <c:pt idx="19">
                  <c:v>-61</c:v>
                </c:pt>
                <c:pt idx="20">
                  <c:v>-60</c:v>
                </c:pt>
                <c:pt idx="21">
                  <c:v>-59</c:v>
                </c:pt>
                <c:pt idx="22">
                  <c:v>-58</c:v>
                </c:pt>
                <c:pt idx="23">
                  <c:v>-57</c:v>
                </c:pt>
                <c:pt idx="24">
                  <c:v>-56</c:v>
                </c:pt>
                <c:pt idx="25">
                  <c:v>-55</c:v>
                </c:pt>
                <c:pt idx="26">
                  <c:v>-54</c:v>
                </c:pt>
                <c:pt idx="27">
                  <c:v>-53</c:v>
                </c:pt>
                <c:pt idx="28">
                  <c:v>-52</c:v>
                </c:pt>
                <c:pt idx="29">
                  <c:v>-51</c:v>
                </c:pt>
                <c:pt idx="30">
                  <c:v>-50</c:v>
                </c:pt>
                <c:pt idx="31">
                  <c:v>-49</c:v>
                </c:pt>
                <c:pt idx="32">
                  <c:v>-48</c:v>
                </c:pt>
                <c:pt idx="33">
                  <c:v>-47</c:v>
                </c:pt>
                <c:pt idx="34">
                  <c:v>-46</c:v>
                </c:pt>
                <c:pt idx="35">
                  <c:v>-45</c:v>
                </c:pt>
                <c:pt idx="36">
                  <c:v>-44</c:v>
                </c:pt>
                <c:pt idx="37">
                  <c:v>-43</c:v>
                </c:pt>
                <c:pt idx="38">
                  <c:v>-42</c:v>
                </c:pt>
                <c:pt idx="39">
                  <c:v>-41</c:v>
                </c:pt>
                <c:pt idx="40">
                  <c:v>-40</c:v>
                </c:pt>
                <c:pt idx="41">
                  <c:v>-39</c:v>
                </c:pt>
                <c:pt idx="42">
                  <c:v>-38</c:v>
                </c:pt>
                <c:pt idx="43">
                  <c:v>-37</c:v>
                </c:pt>
                <c:pt idx="44">
                  <c:v>-36</c:v>
                </c:pt>
                <c:pt idx="45">
                  <c:v>-35</c:v>
                </c:pt>
                <c:pt idx="46">
                  <c:v>-34</c:v>
                </c:pt>
                <c:pt idx="47">
                  <c:v>-33</c:v>
                </c:pt>
                <c:pt idx="48">
                  <c:v>-32</c:v>
                </c:pt>
                <c:pt idx="49">
                  <c:v>-31</c:v>
                </c:pt>
                <c:pt idx="50">
                  <c:v>-30</c:v>
                </c:pt>
                <c:pt idx="51">
                  <c:v>-29</c:v>
                </c:pt>
                <c:pt idx="52">
                  <c:v>-28</c:v>
                </c:pt>
                <c:pt idx="53">
                  <c:v>-27</c:v>
                </c:pt>
                <c:pt idx="54">
                  <c:v>-26</c:v>
                </c:pt>
                <c:pt idx="55">
                  <c:v>-25</c:v>
                </c:pt>
                <c:pt idx="56">
                  <c:v>-24</c:v>
                </c:pt>
                <c:pt idx="57">
                  <c:v>-23</c:v>
                </c:pt>
                <c:pt idx="58">
                  <c:v>-22</c:v>
                </c:pt>
                <c:pt idx="59">
                  <c:v>-21</c:v>
                </c:pt>
                <c:pt idx="60">
                  <c:v>-20</c:v>
                </c:pt>
                <c:pt idx="61">
                  <c:v>-19</c:v>
                </c:pt>
                <c:pt idx="62">
                  <c:v>-18</c:v>
                </c:pt>
                <c:pt idx="63">
                  <c:v>-17</c:v>
                </c:pt>
                <c:pt idx="64">
                  <c:v>-16</c:v>
                </c:pt>
                <c:pt idx="65">
                  <c:v>-15</c:v>
                </c:pt>
                <c:pt idx="66">
                  <c:v>-14</c:v>
                </c:pt>
                <c:pt idx="67">
                  <c:v>-13</c:v>
                </c:pt>
                <c:pt idx="68">
                  <c:v>-12</c:v>
                </c:pt>
                <c:pt idx="69">
                  <c:v>-11</c:v>
                </c:pt>
                <c:pt idx="70">
                  <c:v>-10</c:v>
                </c:pt>
                <c:pt idx="71">
                  <c:v>-9</c:v>
                </c:pt>
                <c:pt idx="72">
                  <c:v>-8</c:v>
                </c:pt>
                <c:pt idx="73">
                  <c:v>-7</c:v>
                </c:pt>
                <c:pt idx="74">
                  <c:v>-6</c:v>
                </c:pt>
                <c:pt idx="75">
                  <c:v>-5</c:v>
                </c:pt>
                <c:pt idx="76">
                  <c:v>-4</c:v>
                </c:pt>
                <c:pt idx="77">
                  <c:v>-3</c:v>
                </c:pt>
                <c:pt idx="78">
                  <c:v>-2</c:v>
                </c:pt>
                <c:pt idx="79">
                  <c:v>-1</c:v>
                </c:pt>
                <c:pt idx="80">
                  <c:v>0</c:v>
                </c:pt>
                <c:pt idx="81">
                  <c:v>1</c:v>
                </c:pt>
                <c:pt idx="82">
                  <c:v>2</c:v>
                </c:pt>
                <c:pt idx="83">
                  <c:v>3</c:v>
                </c:pt>
                <c:pt idx="84">
                  <c:v>4</c:v>
                </c:pt>
                <c:pt idx="85">
                  <c:v>5</c:v>
                </c:pt>
                <c:pt idx="86">
                  <c:v>6</c:v>
                </c:pt>
                <c:pt idx="87">
                  <c:v>7</c:v>
                </c:pt>
                <c:pt idx="88">
                  <c:v>8</c:v>
                </c:pt>
                <c:pt idx="89">
                  <c:v>9</c:v>
                </c:pt>
                <c:pt idx="90">
                  <c:v>10</c:v>
                </c:pt>
                <c:pt idx="91">
                  <c:v>11</c:v>
                </c:pt>
                <c:pt idx="92">
                  <c:v>12</c:v>
                </c:pt>
                <c:pt idx="93">
                  <c:v>13</c:v>
                </c:pt>
                <c:pt idx="94">
                  <c:v>14</c:v>
                </c:pt>
                <c:pt idx="95">
                  <c:v>15</c:v>
                </c:pt>
                <c:pt idx="96">
                  <c:v>16</c:v>
                </c:pt>
                <c:pt idx="97">
                  <c:v>17</c:v>
                </c:pt>
                <c:pt idx="98">
                  <c:v>18</c:v>
                </c:pt>
                <c:pt idx="99">
                  <c:v>19</c:v>
                </c:pt>
                <c:pt idx="100">
                  <c:v>20</c:v>
                </c:pt>
                <c:pt idx="101">
                  <c:v>21</c:v>
                </c:pt>
                <c:pt idx="102">
                  <c:v>22</c:v>
                </c:pt>
                <c:pt idx="103">
                  <c:v>23</c:v>
                </c:pt>
                <c:pt idx="104">
                  <c:v>24</c:v>
                </c:pt>
                <c:pt idx="105">
                  <c:v>25</c:v>
                </c:pt>
                <c:pt idx="106">
                  <c:v>26</c:v>
                </c:pt>
                <c:pt idx="107">
                  <c:v>27</c:v>
                </c:pt>
                <c:pt idx="108">
                  <c:v>28</c:v>
                </c:pt>
                <c:pt idx="109">
                  <c:v>29</c:v>
                </c:pt>
                <c:pt idx="110">
                  <c:v>30</c:v>
                </c:pt>
                <c:pt idx="111">
                  <c:v>31</c:v>
                </c:pt>
                <c:pt idx="112">
                  <c:v>32</c:v>
                </c:pt>
                <c:pt idx="113">
                  <c:v>33</c:v>
                </c:pt>
                <c:pt idx="114">
                  <c:v>34</c:v>
                </c:pt>
                <c:pt idx="115">
                  <c:v>35</c:v>
                </c:pt>
                <c:pt idx="116">
                  <c:v>36</c:v>
                </c:pt>
                <c:pt idx="117">
                  <c:v>37</c:v>
                </c:pt>
                <c:pt idx="118">
                  <c:v>38</c:v>
                </c:pt>
                <c:pt idx="119">
                  <c:v>39</c:v>
                </c:pt>
                <c:pt idx="120">
                  <c:v>40</c:v>
                </c:pt>
                <c:pt idx="121">
                  <c:v>41</c:v>
                </c:pt>
                <c:pt idx="122">
                  <c:v>42</c:v>
                </c:pt>
                <c:pt idx="123">
                  <c:v>43</c:v>
                </c:pt>
                <c:pt idx="124">
                  <c:v>44</c:v>
                </c:pt>
                <c:pt idx="125">
                  <c:v>45</c:v>
                </c:pt>
                <c:pt idx="126">
                  <c:v>46</c:v>
                </c:pt>
                <c:pt idx="127">
                  <c:v>47</c:v>
                </c:pt>
                <c:pt idx="128">
                  <c:v>48</c:v>
                </c:pt>
                <c:pt idx="129">
                  <c:v>49</c:v>
                </c:pt>
                <c:pt idx="130">
                  <c:v>50</c:v>
                </c:pt>
                <c:pt idx="131">
                  <c:v>51</c:v>
                </c:pt>
                <c:pt idx="132">
                  <c:v>52</c:v>
                </c:pt>
              </c:strCache>
            </c:strRef>
          </c:cat>
          <c:val>
            <c:numRef>
              <c:f>'Sheet1 (13)'!$Q$9:$Q$142</c:f>
              <c:numCache>
                <c:formatCode>General</c:formatCode>
                <c:ptCount val="133"/>
                <c:pt idx="0">
                  <c:v>5</c:v>
                </c:pt>
                <c:pt idx="1">
                  <c:v>5</c:v>
                </c:pt>
                <c:pt idx="2">
                  <c:v>4</c:v>
                </c:pt>
                <c:pt idx="3">
                  <c:v>3</c:v>
                </c:pt>
                <c:pt idx="4">
                  <c:v>3</c:v>
                </c:pt>
                <c:pt idx="5">
                  <c:v>3</c:v>
                </c:pt>
                <c:pt idx="6">
                  <c:v>3</c:v>
                </c:pt>
                <c:pt idx="7">
                  <c:v>3</c:v>
                </c:pt>
                <c:pt idx="8">
                  <c:v>3</c:v>
                </c:pt>
                <c:pt idx="9">
                  <c:v>3</c:v>
                </c:pt>
                <c:pt idx="10">
                  <c:v>3</c:v>
                </c:pt>
                <c:pt idx="11">
                  <c:v>4</c:v>
                </c:pt>
                <c:pt idx="12">
                  <c:v>4</c:v>
                </c:pt>
                <c:pt idx="13">
                  <c:v>5</c:v>
                </c:pt>
                <c:pt idx="14">
                  <c:v>5</c:v>
                </c:pt>
                <c:pt idx="15">
                  <c:v>5</c:v>
                </c:pt>
                <c:pt idx="16">
                  <c:v>6</c:v>
                </c:pt>
                <c:pt idx="17">
                  <c:v>6</c:v>
                </c:pt>
                <c:pt idx="18">
                  <c:v>5</c:v>
                </c:pt>
                <c:pt idx="19">
                  <c:v>5</c:v>
                </c:pt>
                <c:pt idx="20">
                  <c:v>5</c:v>
                </c:pt>
                <c:pt idx="21">
                  <c:v>5</c:v>
                </c:pt>
                <c:pt idx="22">
                  <c:v>5</c:v>
                </c:pt>
                <c:pt idx="23">
                  <c:v>5</c:v>
                </c:pt>
                <c:pt idx="24">
                  <c:v>5</c:v>
                </c:pt>
                <c:pt idx="25">
                  <c:v>6</c:v>
                </c:pt>
                <c:pt idx="26">
                  <c:v>6</c:v>
                </c:pt>
                <c:pt idx="27">
                  <c:v>6</c:v>
                </c:pt>
                <c:pt idx="28">
                  <c:v>8</c:v>
                </c:pt>
                <c:pt idx="29">
                  <c:v>9</c:v>
                </c:pt>
                <c:pt idx="30">
                  <c:v>9</c:v>
                </c:pt>
                <c:pt idx="31">
                  <c:v>9</c:v>
                </c:pt>
                <c:pt idx="32">
                  <c:v>10</c:v>
                </c:pt>
                <c:pt idx="33">
                  <c:v>11</c:v>
                </c:pt>
                <c:pt idx="34">
                  <c:v>11</c:v>
                </c:pt>
                <c:pt idx="35">
                  <c:v>12</c:v>
                </c:pt>
                <c:pt idx="36">
                  <c:v>13</c:v>
                </c:pt>
                <c:pt idx="37">
                  <c:v>14</c:v>
                </c:pt>
                <c:pt idx="38">
                  <c:v>14</c:v>
                </c:pt>
                <c:pt idx="39">
                  <c:v>14</c:v>
                </c:pt>
                <c:pt idx="40">
                  <c:v>13</c:v>
                </c:pt>
                <c:pt idx="41">
                  <c:v>14</c:v>
                </c:pt>
                <c:pt idx="42">
                  <c:v>14</c:v>
                </c:pt>
                <c:pt idx="43">
                  <c:v>14</c:v>
                </c:pt>
                <c:pt idx="44">
                  <c:v>16</c:v>
                </c:pt>
                <c:pt idx="45">
                  <c:v>17</c:v>
                </c:pt>
                <c:pt idx="46">
                  <c:v>16</c:v>
                </c:pt>
                <c:pt idx="47">
                  <c:v>13</c:v>
                </c:pt>
                <c:pt idx="48">
                  <c:v>13</c:v>
                </c:pt>
                <c:pt idx="49">
                  <c:v>12</c:v>
                </c:pt>
                <c:pt idx="50">
                  <c:v>11</c:v>
                </c:pt>
                <c:pt idx="51">
                  <c:v>10</c:v>
                </c:pt>
                <c:pt idx="52">
                  <c:v>10</c:v>
                </c:pt>
                <c:pt idx="53">
                  <c:v>11</c:v>
                </c:pt>
                <c:pt idx="54">
                  <c:v>8</c:v>
                </c:pt>
                <c:pt idx="55">
                  <c:v>8</c:v>
                </c:pt>
                <c:pt idx="56">
                  <c:v>7</c:v>
                </c:pt>
                <c:pt idx="57">
                  <c:v>8</c:v>
                </c:pt>
                <c:pt idx="58">
                  <c:v>10</c:v>
                </c:pt>
                <c:pt idx="59">
                  <c:v>13</c:v>
                </c:pt>
                <c:pt idx="60">
                  <c:v>12</c:v>
                </c:pt>
                <c:pt idx="61">
                  <c:v>12</c:v>
                </c:pt>
                <c:pt idx="62">
                  <c:v>12</c:v>
                </c:pt>
                <c:pt idx="63">
                  <c:v>15</c:v>
                </c:pt>
                <c:pt idx="64">
                  <c:v>17</c:v>
                </c:pt>
                <c:pt idx="65">
                  <c:v>17</c:v>
                </c:pt>
                <c:pt idx="66">
                  <c:v>18</c:v>
                </c:pt>
                <c:pt idx="67">
                  <c:v>19</c:v>
                </c:pt>
                <c:pt idx="68">
                  <c:v>20</c:v>
                </c:pt>
                <c:pt idx="69">
                  <c:v>20</c:v>
                </c:pt>
                <c:pt idx="70">
                  <c:v>17</c:v>
                </c:pt>
                <c:pt idx="71">
                  <c:v>18</c:v>
                </c:pt>
                <c:pt idx="72">
                  <c:v>20</c:v>
                </c:pt>
                <c:pt idx="73">
                  <c:v>20</c:v>
                </c:pt>
                <c:pt idx="74">
                  <c:v>19</c:v>
                </c:pt>
                <c:pt idx="75">
                  <c:v>21</c:v>
                </c:pt>
                <c:pt idx="76">
                  <c:v>21</c:v>
                </c:pt>
                <c:pt idx="77">
                  <c:v>21</c:v>
                </c:pt>
                <c:pt idx="78">
                  <c:v>21</c:v>
                </c:pt>
                <c:pt idx="79">
                  <c:v>21</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numCache>
            </c:numRef>
          </c:val>
          <c:smooth val="0"/>
        </c:ser>
        <c:ser>
          <c:idx val="16"/>
          <c:order val="16"/>
          <c:tx>
            <c:strRef>
              <c:f>'Sheet1 (13)'!$R$6:$R$8</c:f>
              <c:strCache>
                <c:ptCount val="1"/>
                <c:pt idx="0">
                  <c:v>Pre-init - HYDROXYCHLOROQUINE+METHOTREXATE</c:v>
                </c:pt>
              </c:strCache>
            </c:strRef>
          </c:tx>
          <c:marker>
            <c:symbol val="none"/>
          </c:marker>
          <c:cat>
            <c:strRef>
              <c:f>'Sheet1 (13)'!$A$9:$A$142</c:f>
              <c:strCache>
                <c:ptCount val="133"/>
                <c:pt idx="0">
                  <c:v>-80</c:v>
                </c:pt>
                <c:pt idx="1">
                  <c:v>-79</c:v>
                </c:pt>
                <c:pt idx="2">
                  <c:v>-78</c:v>
                </c:pt>
                <c:pt idx="3">
                  <c:v>-77</c:v>
                </c:pt>
                <c:pt idx="4">
                  <c:v>-76</c:v>
                </c:pt>
                <c:pt idx="5">
                  <c:v>-75</c:v>
                </c:pt>
                <c:pt idx="6">
                  <c:v>-74</c:v>
                </c:pt>
                <c:pt idx="7">
                  <c:v>-73</c:v>
                </c:pt>
                <c:pt idx="8">
                  <c:v>-72</c:v>
                </c:pt>
                <c:pt idx="9">
                  <c:v>-71</c:v>
                </c:pt>
                <c:pt idx="10">
                  <c:v>-70</c:v>
                </c:pt>
                <c:pt idx="11">
                  <c:v>-69</c:v>
                </c:pt>
                <c:pt idx="12">
                  <c:v>-68</c:v>
                </c:pt>
                <c:pt idx="13">
                  <c:v>-67</c:v>
                </c:pt>
                <c:pt idx="14">
                  <c:v>-66</c:v>
                </c:pt>
                <c:pt idx="15">
                  <c:v>-65</c:v>
                </c:pt>
                <c:pt idx="16">
                  <c:v>-64</c:v>
                </c:pt>
                <c:pt idx="17">
                  <c:v>-63</c:v>
                </c:pt>
                <c:pt idx="18">
                  <c:v>-62</c:v>
                </c:pt>
                <c:pt idx="19">
                  <c:v>-61</c:v>
                </c:pt>
                <c:pt idx="20">
                  <c:v>-60</c:v>
                </c:pt>
                <c:pt idx="21">
                  <c:v>-59</c:v>
                </c:pt>
                <c:pt idx="22">
                  <c:v>-58</c:v>
                </c:pt>
                <c:pt idx="23">
                  <c:v>-57</c:v>
                </c:pt>
                <c:pt idx="24">
                  <c:v>-56</c:v>
                </c:pt>
                <c:pt idx="25">
                  <c:v>-55</c:v>
                </c:pt>
                <c:pt idx="26">
                  <c:v>-54</c:v>
                </c:pt>
                <c:pt idx="27">
                  <c:v>-53</c:v>
                </c:pt>
                <c:pt idx="28">
                  <c:v>-52</c:v>
                </c:pt>
                <c:pt idx="29">
                  <c:v>-51</c:v>
                </c:pt>
                <c:pt idx="30">
                  <c:v>-50</c:v>
                </c:pt>
                <c:pt idx="31">
                  <c:v>-49</c:v>
                </c:pt>
                <c:pt idx="32">
                  <c:v>-48</c:v>
                </c:pt>
                <c:pt idx="33">
                  <c:v>-47</c:v>
                </c:pt>
                <c:pt idx="34">
                  <c:v>-46</c:v>
                </c:pt>
                <c:pt idx="35">
                  <c:v>-45</c:v>
                </c:pt>
                <c:pt idx="36">
                  <c:v>-44</c:v>
                </c:pt>
                <c:pt idx="37">
                  <c:v>-43</c:v>
                </c:pt>
                <c:pt idx="38">
                  <c:v>-42</c:v>
                </c:pt>
                <c:pt idx="39">
                  <c:v>-41</c:v>
                </c:pt>
                <c:pt idx="40">
                  <c:v>-40</c:v>
                </c:pt>
                <c:pt idx="41">
                  <c:v>-39</c:v>
                </c:pt>
                <c:pt idx="42">
                  <c:v>-38</c:v>
                </c:pt>
                <c:pt idx="43">
                  <c:v>-37</c:v>
                </c:pt>
                <c:pt idx="44">
                  <c:v>-36</c:v>
                </c:pt>
                <c:pt idx="45">
                  <c:v>-35</c:v>
                </c:pt>
                <c:pt idx="46">
                  <c:v>-34</c:v>
                </c:pt>
                <c:pt idx="47">
                  <c:v>-33</c:v>
                </c:pt>
                <c:pt idx="48">
                  <c:v>-32</c:v>
                </c:pt>
                <c:pt idx="49">
                  <c:v>-31</c:v>
                </c:pt>
                <c:pt idx="50">
                  <c:v>-30</c:v>
                </c:pt>
                <c:pt idx="51">
                  <c:v>-29</c:v>
                </c:pt>
                <c:pt idx="52">
                  <c:v>-28</c:v>
                </c:pt>
                <c:pt idx="53">
                  <c:v>-27</c:v>
                </c:pt>
                <c:pt idx="54">
                  <c:v>-26</c:v>
                </c:pt>
                <c:pt idx="55">
                  <c:v>-25</c:v>
                </c:pt>
                <c:pt idx="56">
                  <c:v>-24</c:v>
                </c:pt>
                <c:pt idx="57">
                  <c:v>-23</c:v>
                </c:pt>
                <c:pt idx="58">
                  <c:v>-22</c:v>
                </c:pt>
                <c:pt idx="59">
                  <c:v>-21</c:v>
                </c:pt>
                <c:pt idx="60">
                  <c:v>-20</c:v>
                </c:pt>
                <c:pt idx="61">
                  <c:v>-19</c:v>
                </c:pt>
                <c:pt idx="62">
                  <c:v>-18</c:v>
                </c:pt>
                <c:pt idx="63">
                  <c:v>-17</c:v>
                </c:pt>
                <c:pt idx="64">
                  <c:v>-16</c:v>
                </c:pt>
                <c:pt idx="65">
                  <c:v>-15</c:v>
                </c:pt>
                <c:pt idx="66">
                  <c:v>-14</c:v>
                </c:pt>
                <c:pt idx="67">
                  <c:v>-13</c:v>
                </c:pt>
                <c:pt idx="68">
                  <c:v>-12</c:v>
                </c:pt>
                <c:pt idx="69">
                  <c:v>-11</c:v>
                </c:pt>
                <c:pt idx="70">
                  <c:v>-10</c:v>
                </c:pt>
                <c:pt idx="71">
                  <c:v>-9</c:v>
                </c:pt>
                <c:pt idx="72">
                  <c:v>-8</c:v>
                </c:pt>
                <c:pt idx="73">
                  <c:v>-7</c:v>
                </c:pt>
                <c:pt idx="74">
                  <c:v>-6</c:v>
                </c:pt>
                <c:pt idx="75">
                  <c:v>-5</c:v>
                </c:pt>
                <c:pt idx="76">
                  <c:v>-4</c:v>
                </c:pt>
                <c:pt idx="77">
                  <c:v>-3</c:v>
                </c:pt>
                <c:pt idx="78">
                  <c:v>-2</c:v>
                </c:pt>
                <c:pt idx="79">
                  <c:v>-1</c:v>
                </c:pt>
                <c:pt idx="80">
                  <c:v>0</c:v>
                </c:pt>
                <c:pt idx="81">
                  <c:v>1</c:v>
                </c:pt>
                <c:pt idx="82">
                  <c:v>2</c:v>
                </c:pt>
                <c:pt idx="83">
                  <c:v>3</c:v>
                </c:pt>
                <c:pt idx="84">
                  <c:v>4</c:v>
                </c:pt>
                <c:pt idx="85">
                  <c:v>5</c:v>
                </c:pt>
                <c:pt idx="86">
                  <c:v>6</c:v>
                </c:pt>
                <c:pt idx="87">
                  <c:v>7</c:v>
                </c:pt>
                <c:pt idx="88">
                  <c:v>8</c:v>
                </c:pt>
                <c:pt idx="89">
                  <c:v>9</c:v>
                </c:pt>
                <c:pt idx="90">
                  <c:v>10</c:v>
                </c:pt>
                <c:pt idx="91">
                  <c:v>11</c:v>
                </c:pt>
                <c:pt idx="92">
                  <c:v>12</c:v>
                </c:pt>
                <c:pt idx="93">
                  <c:v>13</c:v>
                </c:pt>
                <c:pt idx="94">
                  <c:v>14</c:v>
                </c:pt>
                <c:pt idx="95">
                  <c:v>15</c:v>
                </c:pt>
                <c:pt idx="96">
                  <c:v>16</c:v>
                </c:pt>
                <c:pt idx="97">
                  <c:v>17</c:v>
                </c:pt>
                <c:pt idx="98">
                  <c:v>18</c:v>
                </c:pt>
                <c:pt idx="99">
                  <c:v>19</c:v>
                </c:pt>
                <c:pt idx="100">
                  <c:v>20</c:v>
                </c:pt>
                <c:pt idx="101">
                  <c:v>21</c:v>
                </c:pt>
                <c:pt idx="102">
                  <c:v>22</c:v>
                </c:pt>
                <c:pt idx="103">
                  <c:v>23</c:v>
                </c:pt>
                <c:pt idx="104">
                  <c:v>24</c:v>
                </c:pt>
                <c:pt idx="105">
                  <c:v>25</c:v>
                </c:pt>
                <c:pt idx="106">
                  <c:v>26</c:v>
                </c:pt>
                <c:pt idx="107">
                  <c:v>27</c:v>
                </c:pt>
                <c:pt idx="108">
                  <c:v>28</c:v>
                </c:pt>
                <c:pt idx="109">
                  <c:v>29</c:v>
                </c:pt>
                <c:pt idx="110">
                  <c:v>30</c:v>
                </c:pt>
                <c:pt idx="111">
                  <c:v>31</c:v>
                </c:pt>
                <c:pt idx="112">
                  <c:v>32</c:v>
                </c:pt>
                <c:pt idx="113">
                  <c:v>33</c:v>
                </c:pt>
                <c:pt idx="114">
                  <c:v>34</c:v>
                </c:pt>
                <c:pt idx="115">
                  <c:v>35</c:v>
                </c:pt>
                <c:pt idx="116">
                  <c:v>36</c:v>
                </c:pt>
                <c:pt idx="117">
                  <c:v>37</c:v>
                </c:pt>
                <c:pt idx="118">
                  <c:v>38</c:v>
                </c:pt>
                <c:pt idx="119">
                  <c:v>39</c:v>
                </c:pt>
                <c:pt idx="120">
                  <c:v>40</c:v>
                </c:pt>
                <c:pt idx="121">
                  <c:v>41</c:v>
                </c:pt>
                <c:pt idx="122">
                  <c:v>42</c:v>
                </c:pt>
                <c:pt idx="123">
                  <c:v>43</c:v>
                </c:pt>
                <c:pt idx="124">
                  <c:v>44</c:v>
                </c:pt>
                <c:pt idx="125">
                  <c:v>45</c:v>
                </c:pt>
                <c:pt idx="126">
                  <c:v>46</c:v>
                </c:pt>
                <c:pt idx="127">
                  <c:v>47</c:v>
                </c:pt>
                <c:pt idx="128">
                  <c:v>48</c:v>
                </c:pt>
                <c:pt idx="129">
                  <c:v>49</c:v>
                </c:pt>
                <c:pt idx="130">
                  <c:v>50</c:v>
                </c:pt>
                <c:pt idx="131">
                  <c:v>51</c:v>
                </c:pt>
                <c:pt idx="132">
                  <c:v>52</c:v>
                </c:pt>
              </c:strCache>
            </c:strRef>
          </c:cat>
          <c:val>
            <c:numRef>
              <c:f>'Sheet1 (13)'!$R$9:$R$142</c:f>
              <c:numCache>
                <c:formatCode>General</c:formatCode>
                <c:ptCount val="133"/>
                <c:pt idx="0">
                  <c:v>9</c:v>
                </c:pt>
                <c:pt idx="1">
                  <c:v>8</c:v>
                </c:pt>
                <c:pt idx="2">
                  <c:v>8</c:v>
                </c:pt>
                <c:pt idx="3">
                  <c:v>8</c:v>
                </c:pt>
                <c:pt idx="4">
                  <c:v>8</c:v>
                </c:pt>
                <c:pt idx="5">
                  <c:v>8</c:v>
                </c:pt>
                <c:pt idx="6">
                  <c:v>8</c:v>
                </c:pt>
                <c:pt idx="7">
                  <c:v>8</c:v>
                </c:pt>
                <c:pt idx="8">
                  <c:v>9</c:v>
                </c:pt>
                <c:pt idx="9">
                  <c:v>9</c:v>
                </c:pt>
                <c:pt idx="10">
                  <c:v>9</c:v>
                </c:pt>
                <c:pt idx="11">
                  <c:v>10</c:v>
                </c:pt>
                <c:pt idx="12">
                  <c:v>11</c:v>
                </c:pt>
                <c:pt idx="13">
                  <c:v>11</c:v>
                </c:pt>
                <c:pt idx="14">
                  <c:v>11</c:v>
                </c:pt>
                <c:pt idx="15">
                  <c:v>11</c:v>
                </c:pt>
                <c:pt idx="16">
                  <c:v>11</c:v>
                </c:pt>
                <c:pt idx="17">
                  <c:v>8</c:v>
                </c:pt>
                <c:pt idx="18">
                  <c:v>8</c:v>
                </c:pt>
                <c:pt idx="19">
                  <c:v>8</c:v>
                </c:pt>
                <c:pt idx="20">
                  <c:v>8</c:v>
                </c:pt>
                <c:pt idx="21">
                  <c:v>8</c:v>
                </c:pt>
                <c:pt idx="22">
                  <c:v>8</c:v>
                </c:pt>
                <c:pt idx="23">
                  <c:v>8</c:v>
                </c:pt>
                <c:pt idx="24">
                  <c:v>9</c:v>
                </c:pt>
                <c:pt idx="25">
                  <c:v>9</c:v>
                </c:pt>
                <c:pt idx="26">
                  <c:v>8</c:v>
                </c:pt>
                <c:pt idx="27">
                  <c:v>8</c:v>
                </c:pt>
                <c:pt idx="28">
                  <c:v>9</c:v>
                </c:pt>
                <c:pt idx="29">
                  <c:v>9</c:v>
                </c:pt>
                <c:pt idx="30">
                  <c:v>9</c:v>
                </c:pt>
                <c:pt idx="31">
                  <c:v>9</c:v>
                </c:pt>
                <c:pt idx="32">
                  <c:v>8</c:v>
                </c:pt>
                <c:pt idx="33">
                  <c:v>8</c:v>
                </c:pt>
                <c:pt idx="34">
                  <c:v>9</c:v>
                </c:pt>
                <c:pt idx="35">
                  <c:v>9</c:v>
                </c:pt>
                <c:pt idx="36">
                  <c:v>8</c:v>
                </c:pt>
                <c:pt idx="37">
                  <c:v>8</c:v>
                </c:pt>
                <c:pt idx="38">
                  <c:v>8</c:v>
                </c:pt>
                <c:pt idx="39">
                  <c:v>8</c:v>
                </c:pt>
                <c:pt idx="40">
                  <c:v>8</c:v>
                </c:pt>
                <c:pt idx="41">
                  <c:v>8</c:v>
                </c:pt>
                <c:pt idx="42">
                  <c:v>9</c:v>
                </c:pt>
                <c:pt idx="43">
                  <c:v>11</c:v>
                </c:pt>
                <c:pt idx="44">
                  <c:v>11</c:v>
                </c:pt>
                <c:pt idx="45">
                  <c:v>12</c:v>
                </c:pt>
                <c:pt idx="46">
                  <c:v>11</c:v>
                </c:pt>
                <c:pt idx="47">
                  <c:v>12</c:v>
                </c:pt>
                <c:pt idx="48">
                  <c:v>13</c:v>
                </c:pt>
                <c:pt idx="49">
                  <c:v>13</c:v>
                </c:pt>
                <c:pt idx="50">
                  <c:v>13</c:v>
                </c:pt>
                <c:pt idx="51">
                  <c:v>13</c:v>
                </c:pt>
                <c:pt idx="52">
                  <c:v>11</c:v>
                </c:pt>
                <c:pt idx="53">
                  <c:v>11</c:v>
                </c:pt>
                <c:pt idx="54">
                  <c:v>12</c:v>
                </c:pt>
                <c:pt idx="55">
                  <c:v>11</c:v>
                </c:pt>
                <c:pt idx="56">
                  <c:v>12</c:v>
                </c:pt>
                <c:pt idx="57">
                  <c:v>12</c:v>
                </c:pt>
                <c:pt idx="58">
                  <c:v>12</c:v>
                </c:pt>
                <c:pt idx="59">
                  <c:v>10</c:v>
                </c:pt>
                <c:pt idx="60">
                  <c:v>11</c:v>
                </c:pt>
                <c:pt idx="61">
                  <c:v>12</c:v>
                </c:pt>
                <c:pt idx="62">
                  <c:v>12</c:v>
                </c:pt>
                <c:pt idx="63">
                  <c:v>12</c:v>
                </c:pt>
                <c:pt idx="64">
                  <c:v>12</c:v>
                </c:pt>
                <c:pt idx="65">
                  <c:v>11</c:v>
                </c:pt>
                <c:pt idx="66">
                  <c:v>9</c:v>
                </c:pt>
                <c:pt idx="67">
                  <c:v>9</c:v>
                </c:pt>
                <c:pt idx="68">
                  <c:v>9</c:v>
                </c:pt>
                <c:pt idx="69">
                  <c:v>9</c:v>
                </c:pt>
                <c:pt idx="70">
                  <c:v>9</c:v>
                </c:pt>
                <c:pt idx="71">
                  <c:v>8</c:v>
                </c:pt>
                <c:pt idx="72">
                  <c:v>7</c:v>
                </c:pt>
                <c:pt idx="73">
                  <c:v>7</c:v>
                </c:pt>
                <c:pt idx="74">
                  <c:v>7</c:v>
                </c:pt>
                <c:pt idx="75">
                  <c:v>7</c:v>
                </c:pt>
                <c:pt idx="76">
                  <c:v>7</c:v>
                </c:pt>
                <c:pt idx="77">
                  <c:v>7</c:v>
                </c:pt>
                <c:pt idx="78">
                  <c:v>7</c:v>
                </c:pt>
                <c:pt idx="79">
                  <c:v>7</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numCache>
            </c:numRef>
          </c:val>
          <c:smooth val="0"/>
        </c:ser>
        <c:ser>
          <c:idx val="17"/>
          <c:order val="17"/>
          <c:tx>
            <c:strRef>
              <c:f>'Sheet1 (13)'!$S$6:$S$8</c:f>
              <c:strCache>
                <c:ptCount val="1"/>
                <c:pt idx="0">
                  <c:v>Pre-init - LEFLUNOMIDE+SULFASALAZINE</c:v>
                </c:pt>
              </c:strCache>
            </c:strRef>
          </c:tx>
          <c:marker>
            <c:symbol val="none"/>
          </c:marker>
          <c:cat>
            <c:strRef>
              <c:f>'Sheet1 (13)'!$A$9:$A$142</c:f>
              <c:strCache>
                <c:ptCount val="133"/>
                <c:pt idx="0">
                  <c:v>-80</c:v>
                </c:pt>
                <c:pt idx="1">
                  <c:v>-79</c:v>
                </c:pt>
                <c:pt idx="2">
                  <c:v>-78</c:v>
                </c:pt>
                <c:pt idx="3">
                  <c:v>-77</c:v>
                </c:pt>
                <c:pt idx="4">
                  <c:v>-76</c:v>
                </c:pt>
                <c:pt idx="5">
                  <c:v>-75</c:v>
                </c:pt>
                <c:pt idx="6">
                  <c:v>-74</c:v>
                </c:pt>
                <c:pt idx="7">
                  <c:v>-73</c:v>
                </c:pt>
                <c:pt idx="8">
                  <c:v>-72</c:v>
                </c:pt>
                <c:pt idx="9">
                  <c:v>-71</c:v>
                </c:pt>
                <c:pt idx="10">
                  <c:v>-70</c:v>
                </c:pt>
                <c:pt idx="11">
                  <c:v>-69</c:v>
                </c:pt>
                <c:pt idx="12">
                  <c:v>-68</c:v>
                </c:pt>
                <c:pt idx="13">
                  <c:v>-67</c:v>
                </c:pt>
                <c:pt idx="14">
                  <c:v>-66</c:v>
                </c:pt>
                <c:pt idx="15">
                  <c:v>-65</c:v>
                </c:pt>
                <c:pt idx="16">
                  <c:v>-64</c:v>
                </c:pt>
                <c:pt idx="17">
                  <c:v>-63</c:v>
                </c:pt>
                <c:pt idx="18">
                  <c:v>-62</c:v>
                </c:pt>
                <c:pt idx="19">
                  <c:v>-61</c:v>
                </c:pt>
                <c:pt idx="20">
                  <c:v>-60</c:v>
                </c:pt>
                <c:pt idx="21">
                  <c:v>-59</c:v>
                </c:pt>
                <c:pt idx="22">
                  <c:v>-58</c:v>
                </c:pt>
                <c:pt idx="23">
                  <c:v>-57</c:v>
                </c:pt>
                <c:pt idx="24">
                  <c:v>-56</c:v>
                </c:pt>
                <c:pt idx="25">
                  <c:v>-55</c:v>
                </c:pt>
                <c:pt idx="26">
                  <c:v>-54</c:v>
                </c:pt>
                <c:pt idx="27">
                  <c:v>-53</c:v>
                </c:pt>
                <c:pt idx="28">
                  <c:v>-52</c:v>
                </c:pt>
                <c:pt idx="29">
                  <c:v>-51</c:v>
                </c:pt>
                <c:pt idx="30">
                  <c:v>-50</c:v>
                </c:pt>
                <c:pt idx="31">
                  <c:v>-49</c:v>
                </c:pt>
                <c:pt idx="32">
                  <c:v>-48</c:v>
                </c:pt>
                <c:pt idx="33">
                  <c:v>-47</c:v>
                </c:pt>
                <c:pt idx="34">
                  <c:v>-46</c:v>
                </c:pt>
                <c:pt idx="35">
                  <c:v>-45</c:v>
                </c:pt>
                <c:pt idx="36">
                  <c:v>-44</c:v>
                </c:pt>
                <c:pt idx="37">
                  <c:v>-43</c:v>
                </c:pt>
                <c:pt idx="38">
                  <c:v>-42</c:v>
                </c:pt>
                <c:pt idx="39">
                  <c:v>-41</c:v>
                </c:pt>
                <c:pt idx="40">
                  <c:v>-40</c:v>
                </c:pt>
                <c:pt idx="41">
                  <c:v>-39</c:v>
                </c:pt>
                <c:pt idx="42">
                  <c:v>-38</c:v>
                </c:pt>
                <c:pt idx="43">
                  <c:v>-37</c:v>
                </c:pt>
                <c:pt idx="44">
                  <c:v>-36</c:v>
                </c:pt>
                <c:pt idx="45">
                  <c:v>-35</c:v>
                </c:pt>
                <c:pt idx="46">
                  <c:v>-34</c:v>
                </c:pt>
                <c:pt idx="47">
                  <c:v>-33</c:v>
                </c:pt>
                <c:pt idx="48">
                  <c:v>-32</c:v>
                </c:pt>
                <c:pt idx="49">
                  <c:v>-31</c:v>
                </c:pt>
                <c:pt idx="50">
                  <c:v>-30</c:v>
                </c:pt>
                <c:pt idx="51">
                  <c:v>-29</c:v>
                </c:pt>
                <c:pt idx="52">
                  <c:v>-28</c:v>
                </c:pt>
                <c:pt idx="53">
                  <c:v>-27</c:v>
                </c:pt>
                <c:pt idx="54">
                  <c:v>-26</c:v>
                </c:pt>
                <c:pt idx="55">
                  <c:v>-25</c:v>
                </c:pt>
                <c:pt idx="56">
                  <c:v>-24</c:v>
                </c:pt>
                <c:pt idx="57">
                  <c:v>-23</c:v>
                </c:pt>
                <c:pt idx="58">
                  <c:v>-22</c:v>
                </c:pt>
                <c:pt idx="59">
                  <c:v>-21</c:v>
                </c:pt>
                <c:pt idx="60">
                  <c:v>-20</c:v>
                </c:pt>
                <c:pt idx="61">
                  <c:v>-19</c:v>
                </c:pt>
                <c:pt idx="62">
                  <c:v>-18</c:v>
                </c:pt>
                <c:pt idx="63">
                  <c:v>-17</c:v>
                </c:pt>
                <c:pt idx="64">
                  <c:v>-16</c:v>
                </c:pt>
                <c:pt idx="65">
                  <c:v>-15</c:v>
                </c:pt>
                <c:pt idx="66">
                  <c:v>-14</c:v>
                </c:pt>
                <c:pt idx="67">
                  <c:v>-13</c:v>
                </c:pt>
                <c:pt idx="68">
                  <c:v>-12</c:v>
                </c:pt>
                <c:pt idx="69">
                  <c:v>-11</c:v>
                </c:pt>
                <c:pt idx="70">
                  <c:v>-10</c:v>
                </c:pt>
                <c:pt idx="71">
                  <c:v>-9</c:v>
                </c:pt>
                <c:pt idx="72">
                  <c:v>-8</c:v>
                </c:pt>
                <c:pt idx="73">
                  <c:v>-7</c:v>
                </c:pt>
                <c:pt idx="74">
                  <c:v>-6</c:v>
                </c:pt>
                <c:pt idx="75">
                  <c:v>-5</c:v>
                </c:pt>
                <c:pt idx="76">
                  <c:v>-4</c:v>
                </c:pt>
                <c:pt idx="77">
                  <c:v>-3</c:v>
                </c:pt>
                <c:pt idx="78">
                  <c:v>-2</c:v>
                </c:pt>
                <c:pt idx="79">
                  <c:v>-1</c:v>
                </c:pt>
                <c:pt idx="80">
                  <c:v>0</c:v>
                </c:pt>
                <c:pt idx="81">
                  <c:v>1</c:v>
                </c:pt>
                <c:pt idx="82">
                  <c:v>2</c:v>
                </c:pt>
                <c:pt idx="83">
                  <c:v>3</c:v>
                </c:pt>
                <c:pt idx="84">
                  <c:v>4</c:v>
                </c:pt>
                <c:pt idx="85">
                  <c:v>5</c:v>
                </c:pt>
                <c:pt idx="86">
                  <c:v>6</c:v>
                </c:pt>
                <c:pt idx="87">
                  <c:v>7</c:v>
                </c:pt>
                <c:pt idx="88">
                  <c:v>8</c:v>
                </c:pt>
                <c:pt idx="89">
                  <c:v>9</c:v>
                </c:pt>
                <c:pt idx="90">
                  <c:v>10</c:v>
                </c:pt>
                <c:pt idx="91">
                  <c:v>11</c:v>
                </c:pt>
                <c:pt idx="92">
                  <c:v>12</c:v>
                </c:pt>
                <c:pt idx="93">
                  <c:v>13</c:v>
                </c:pt>
                <c:pt idx="94">
                  <c:v>14</c:v>
                </c:pt>
                <c:pt idx="95">
                  <c:v>15</c:v>
                </c:pt>
                <c:pt idx="96">
                  <c:v>16</c:v>
                </c:pt>
                <c:pt idx="97">
                  <c:v>17</c:v>
                </c:pt>
                <c:pt idx="98">
                  <c:v>18</c:v>
                </c:pt>
                <c:pt idx="99">
                  <c:v>19</c:v>
                </c:pt>
                <c:pt idx="100">
                  <c:v>20</c:v>
                </c:pt>
                <c:pt idx="101">
                  <c:v>21</c:v>
                </c:pt>
                <c:pt idx="102">
                  <c:v>22</c:v>
                </c:pt>
                <c:pt idx="103">
                  <c:v>23</c:v>
                </c:pt>
                <c:pt idx="104">
                  <c:v>24</c:v>
                </c:pt>
                <c:pt idx="105">
                  <c:v>25</c:v>
                </c:pt>
                <c:pt idx="106">
                  <c:v>26</c:v>
                </c:pt>
                <c:pt idx="107">
                  <c:v>27</c:v>
                </c:pt>
                <c:pt idx="108">
                  <c:v>28</c:v>
                </c:pt>
                <c:pt idx="109">
                  <c:v>29</c:v>
                </c:pt>
                <c:pt idx="110">
                  <c:v>30</c:v>
                </c:pt>
                <c:pt idx="111">
                  <c:v>31</c:v>
                </c:pt>
                <c:pt idx="112">
                  <c:v>32</c:v>
                </c:pt>
                <c:pt idx="113">
                  <c:v>33</c:v>
                </c:pt>
                <c:pt idx="114">
                  <c:v>34</c:v>
                </c:pt>
                <c:pt idx="115">
                  <c:v>35</c:v>
                </c:pt>
                <c:pt idx="116">
                  <c:v>36</c:v>
                </c:pt>
                <c:pt idx="117">
                  <c:v>37</c:v>
                </c:pt>
                <c:pt idx="118">
                  <c:v>38</c:v>
                </c:pt>
                <c:pt idx="119">
                  <c:v>39</c:v>
                </c:pt>
                <c:pt idx="120">
                  <c:v>40</c:v>
                </c:pt>
                <c:pt idx="121">
                  <c:v>41</c:v>
                </c:pt>
                <c:pt idx="122">
                  <c:v>42</c:v>
                </c:pt>
                <c:pt idx="123">
                  <c:v>43</c:v>
                </c:pt>
                <c:pt idx="124">
                  <c:v>44</c:v>
                </c:pt>
                <c:pt idx="125">
                  <c:v>45</c:v>
                </c:pt>
                <c:pt idx="126">
                  <c:v>46</c:v>
                </c:pt>
                <c:pt idx="127">
                  <c:v>47</c:v>
                </c:pt>
                <c:pt idx="128">
                  <c:v>48</c:v>
                </c:pt>
                <c:pt idx="129">
                  <c:v>49</c:v>
                </c:pt>
                <c:pt idx="130">
                  <c:v>50</c:v>
                </c:pt>
                <c:pt idx="131">
                  <c:v>51</c:v>
                </c:pt>
                <c:pt idx="132">
                  <c:v>52</c:v>
                </c:pt>
              </c:strCache>
            </c:strRef>
          </c:cat>
          <c:val>
            <c:numRef>
              <c:f>'Sheet1 (13)'!$S$9:$S$142</c:f>
              <c:numCache>
                <c:formatCode>General</c:formatCode>
                <c:ptCount val="133"/>
                <c:pt idx="0">
                  <c:v>3</c:v>
                </c:pt>
                <c:pt idx="1">
                  <c:v>3</c:v>
                </c:pt>
                <c:pt idx="2">
                  <c:v>4</c:v>
                </c:pt>
                <c:pt idx="3">
                  <c:v>4</c:v>
                </c:pt>
                <c:pt idx="4">
                  <c:v>4</c:v>
                </c:pt>
                <c:pt idx="5">
                  <c:v>5</c:v>
                </c:pt>
                <c:pt idx="6">
                  <c:v>5</c:v>
                </c:pt>
                <c:pt idx="7">
                  <c:v>5</c:v>
                </c:pt>
                <c:pt idx="8">
                  <c:v>6</c:v>
                </c:pt>
                <c:pt idx="9">
                  <c:v>6</c:v>
                </c:pt>
                <c:pt idx="10">
                  <c:v>6</c:v>
                </c:pt>
                <c:pt idx="11">
                  <c:v>6</c:v>
                </c:pt>
                <c:pt idx="12">
                  <c:v>6</c:v>
                </c:pt>
                <c:pt idx="13">
                  <c:v>7</c:v>
                </c:pt>
                <c:pt idx="14">
                  <c:v>7</c:v>
                </c:pt>
                <c:pt idx="15">
                  <c:v>7</c:v>
                </c:pt>
                <c:pt idx="16">
                  <c:v>6</c:v>
                </c:pt>
                <c:pt idx="17">
                  <c:v>6</c:v>
                </c:pt>
                <c:pt idx="18">
                  <c:v>8</c:v>
                </c:pt>
                <c:pt idx="19">
                  <c:v>7</c:v>
                </c:pt>
                <c:pt idx="20">
                  <c:v>7</c:v>
                </c:pt>
                <c:pt idx="21">
                  <c:v>7</c:v>
                </c:pt>
                <c:pt idx="22">
                  <c:v>7</c:v>
                </c:pt>
                <c:pt idx="23">
                  <c:v>5</c:v>
                </c:pt>
                <c:pt idx="24">
                  <c:v>5</c:v>
                </c:pt>
                <c:pt idx="25">
                  <c:v>5</c:v>
                </c:pt>
                <c:pt idx="26">
                  <c:v>5</c:v>
                </c:pt>
                <c:pt idx="27">
                  <c:v>5</c:v>
                </c:pt>
                <c:pt idx="28">
                  <c:v>4</c:v>
                </c:pt>
                <c:pt idx="29">
                  <c:v>4</c:v>
                </c:pt>
                <c:pt idx="30">
                  <c:v>4</c:v>
                </c:pt>
                <c:pt idx="31">
                  <c:v>3</c:v>
                </c:pt>
                <c:pt idx="32">
                  <c:v>3</c:v>
                </c:pt>
                <c:pt idx="33">
                  <c:v>5</c:v>
                </c:pt>
                <c:pt idx="34">
                  <c:v>5</c:v>
                </c:pt>
                <c:pt idx="35">
                  <c:v>6</c:v>
                </c:pt>
                <c:pt idx="36">
                  <c:v>6</c:v>
                </c:pt>
                <c:pt idx="37">
                  <c:v>6</c:v>
                </c:pt>
                <c:pt idx="38">
                  <c:v>6</c:v>
                </c:pt>
                <c:pt idx="39">
                  <c:v>7</c:v>
                </c:pt>
                <c:pt idx="40">
                  <c:v>10</c:v>
                </c:pt>
                <c:pt idx="41">
                  <c:v>10</c:v>
                </c:pt>
                <c:pt idx="42">
                  <c:v>10</c:v>
                </c:pt>
                <c:pt idx="43">
                  <c:v>10</c:v>
                </c:pt>
                <c:pt idx="44">
                  <c:v>11</c:v>
                </c:pt>
                <c:pt idx="45">
                  <c:v>10</c:v>
                </c:pt>
                <c:pt idx="46">
                  <c:v>10</c:v>
                </c:pt>
                <c:pt idx="47">
                  <c:v>12</c:v>
                </c:pt>
                <c:pt idx="48">
                  <c:v>12</c:v>
                </c:pt>
                <c:pt idx="49">
                  <c:v>13</c:v>
                </c:pt>
                <c:pt idx="50">
                  <c:v>15</c:v>
                </c:pt>
                <c:pt idx="51">
                  <c:v>15</c:v>
                </c:pt>
                <c:pt idx="52">
                  <c:v>15</c:v>
                </c:pt>
                <c:pt idx="53">
                  <c:v>15</c:v>
                </c:pt>
                <c:pt idx="54">
                  <c:v>15</c:v>
                </c:pt>
                <c:pt idx="55">
                  <c:v>13</c:v>
                </c:pt>
                <c:pt idx="56">
                  <c:v>12</c:v>
                </c:pt>
                <c:pt idx="57">
                  <c:v>12</c:v>
                </c:pt>
                <c:pt idx="58">
                  <c:v>14</c:v>
                </c:pt>
                <c:pt idx="59">
                  <c:v>13</c:v>
                </c:pt>
                <c:pt idx="60">
                  <c:v>13</c:v>
                </c:pt>
                <c:pt idx="61">
                  <c:v>14</c:v>
                </c:pt>
                <c:pt idx="62">
                  <c:v>15</c:v>
                </c:pt>
                <c:pt idx="63">
                  <c:v>15</c:v>
                </c:pt>
                <c:pt idx="64">
                  <c:v>14</c:v>
                </c:pt>
                <c:pt idx="65">
                  <c:v>15</c:v>
                </c:pt>
                <c:pt idx="66">
                  <c:v>16</c:v>
                </c:pt>
                <c:pt idx="67">
                  <c:v>18</c:v>
                </c:pt>
                <c:pt idx="68">
                  <c:v>18</c:v>
                </c:pt>
                <c:pt idx="69">
                  <c:v>16</c:v>
                </c:pt>
                <c:pt idx="70">
                  <c:v>15</c:v>
                </c:pt>
                <c:pt idx="71">
                  <c:v>14</c:v>
                </c:pt>
                <c:pt idx="72">
                  <c:v>13</c:v>
                </c:pt>
                <c:pt idx="73">
                  <c:v>12</c:v>
                </c:pt>
                <c:pt idx="74">
                  <c:v>12</c:v>
                </c:pt>
                <c:pt idx="75">
                  <c:v>11</c:v>
                </c:pt>
                <c:pt idx="76">
                  <c:v>10</c:v>
                </c:pt>
                <c:pt idx="77">
                  <c:v>10</c:v>
                </c:pt>
                <c:pt idx="78">
                  <c:v>10</c:v>
                </c:pt>
                <c:pt idx="79">
                  <c:v>10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numCache>
            </c:numRef>
          </c:val>
          <c:smooth val="0"/>
        </c:ser>
        <c:ser>
          <c:idx val="18"/>
          <c:order val="18"/>
          <c:tx>
            <c:strRef>
              <c:f>'Sheet1 (13)'!$T$6:$T$8</c:f>
              <c:strCache>
                <c:ptCount val="1"/>
                <c:pt idx="0">
                  <c:v>Pre-init - HYDROXYCHLOROQUINE</c:v>
                </c:pt>
              </c:strCache>
            </c:strRef>
          </c:tx>
          <c:marker>
            <c:symbol val="none"/>
          </c:marker>
          <c:cat>
            <c:strRef>
              <c:f>'Sheet1 (13)'!$A$9:$A$142</c:f>
              <c:strCache>
                <c:ptCount val="133"/>
                <c:pt idx="0">
                  <c:v>-80</c:v>
                </c:pt>
                <c:pt idx="1">
                  <c:v>-79</c:v>
                </c:pt>
                <c:pt idx="2">
                  <c:v>-78</c:v>
                </c:pt>
                <c:pt idx="3">
                  <c:v>-77</c:v>
                </c:pt>
                <c:pt idx="4">
                  <c:v>-76</c:v>
                </c:pt>
                <c:pt idx="5">
                  <c:v>-75</c:v>
                </c:pt>
                <c:pt idx="6">
                  <c:v>-74</c:v>
                </c:pt>
                <c:pt idx="7">
                  <c:v>-73</c:v>
                </c:pt>
                <c:pt idx="8">
                  <c:v>-72</c:v>
                </c:pt>
                <c:pt idx="9">
                  <c:v>-71</c:v>
                </c:pt>
                <c:pt idx="10">
                  <c:v>-70</c:v>
                </c:pt>
                <c:pt idx="11">
                  <c:v>-69</c:v>
                </c:pt>
                <c:pt idx="12">
                  <c:v>-68</c:v>
                </c:pt>
                <c:pt idx="13">
                  <c:v>-67</c:v>
                </c:pt>
                <c:pt idx="14">
                  <c:v>-66</c:v>
                </c:pt>
                <c:pt idx="15">
                  <c:v>-65</c:v>
                </c:pt>
                <c:pt idx="16">
                  <c:v>-64</c:v>
                </c:pt>
                <c:pt idx="17">
                  <c:v>-63</c:v>
                </c:pt>
                <c:pt idx="18">
                  <c:v>-62</c:v>
                </c:pt>
                <c:pt idx="19">
                  <c:v>-61</c:v>
                </c:pt>
                <c:pt idx="20">
                  <c:v>-60</c:v>
                </c:pt>
                <c:pt idx="21">
                  <c:v>-59</c:v>
                </c:pt>
                <c:pt idx="22">
                  <c:v>-58</c:v>
                </c:pt>
                <c:pt idx="23">
                  <c:v>-57</c:v>
                </c:pt>
                <c:pt idx="24">
                  <c:v>-56</c:v>
                </c:pt>
                <c:pt idx="25">
                  <c:v>-55</c:v>
                </c:pt>
                <c:pt idx="26">
                  <c:v>-54</c:v>
                </c:pt>
                <c:pt idx="27">
                  <c:v>-53</c:v>
                </c:pt>
                <c:pt idx="28">
                  <c:v>-52</c:v>
                </c:pt>
                <c:pt idx="29">
                  <c:v>-51</c:v>
                </c:pt>
                <c:pt idx="30">
                  <c:v>-50</c:v>
                </c:pt>
                <c:pt idx="31">
                  <c:v>-49</c:v>
                </c:pt>
                <c:pt idx="32">
                  <c:v>-48</c:v>
                </c:pt>
                <c:pt idx="33">
                  <c:v>-47</c:v>
                </c:pt>
                <c:pt idx="34">
                  <c:v>-46</c:v>
                </c:pt>
                <c:pt idx="35">
                  <c:v>-45</c:v>
                </c:pt>
                <c:pt idx="36">
                  <c:v>-44</c:v>
                </c:pt>
                <c:pt idx="37">
                  <c:v>-43</c:v>
                </c:pt>
                <c:pt idx="38">
                  <c:v>-42</c:v>
                </c:pt>
                <c:pt idx="39">
                  <c:v>-41</c:v>
                </c:pt>
                <c:pt idx="40">
                  <c:v>-40</c:v>
                </c:pt>
                <c:pt idx="41">
                  <c:v>-39</c:v>
                </c:pt>
                <c:pt idx="42">
                  <c:v>-38</c:v>
                </c:pt>
                <c:pt idx="43">
                  <c:v>-37</c:v>
                </c:pt>
                <c:pt idx="44">
                  <c:v>-36</c:v>
                </c:pt>
                <c:pt idx="45">
                  <c:v>-35</c:v>
                </c:pt>
                <c:pt idx="46">
                  <c:v>-34</c:v>
                </c:pt>
                <c:pt idx="47">
                  <c:v>-33</c:v>
                </c:pt>
                <c:pt idx="48">
                  <c:v>-32</c:v>
                </c:pt>
                <c:pt idx="49">
                  <c:v>-31</c:v>
                </c:pt>
                <c:pt idx="50">
                  <c:v>-30</c:v>
                </c:pt>
                <c:pt idx="51">
                  <c:v>-29</c:v>
                </c:pt>
                <c:pt idx="52">
                  <c:v>-28</c:v>
                </c:pt>
                <c:pt idx="53">
                  <c:v>-27</c:v>
                </c:pt>
                <c:pt idx="54">
                  <c:v>-26</c:v>
                </c:pt>
                <c:pt idx="55">
                  <c:v>-25</c:v>
                </c:pt>
                <c:pt idx="56">
                  <c:v>-24</c:v>
                </c:pt>
                <c:pt idx="57">
                  <c:v>-23</c:v>
                </c:pt>
                <c:pt idx="58">
                  <c:v>-22</c:v>
                </c:pt>
                <c:pt idx="59">
                  <c:v>-21</c:v>
                </c:pt>
                <c:pt idx="60">
                  <c:v>-20</c:v>
                </c:pt>
                <c:pt idx="61">
                  <c:v>-19</c:v>
                </c:pt>
                <c:pt idx="62">
                  <c:v>-18</c:v>
                </c:pt>
                <c:pt idx="63">
                  <c:v>-17</c:v>
                </c:pt>
                <c:pt idx="64">
                  <c:v>-16</c:v>
                </c:pt>
                <c:pt idx="65">
                  <c:v>-15</c:v>
                </c:pt>
                <c:pt idx="66">
                  <c:v>-14</c:v>
                </c:pt>
                <c:pt idx="67">
                  <c:v>-13</c:v>
                </c:pt>
                <c:pt idx="68">
                  <c:v>-12</c:v>
                </c:pt>
                <c:pt idx="69">
                  <c:v>-11</c:v>
                </c:pt>
                <c:pt idx="70">
                  <c:v>-10</c:v>
                </c:pt>
                <c:pt idx="71">
                  <c:v>-9</c:v>
                </c:pt>
                <c:pt idx="72">
                  <c:v>-8</c:v>
                </c:pt>
                <c:pt idx="73">
                  <c:v>-7</c:v>
                </c:pt>
                <c:pt idx="74">
                  <c:v>-6</c:v>
                </c:pt>
                <c:pt idx="75">
                  <c:v>-5</c:v>
                </c:pt>
                <c:pt idx="76">
                  <c:v>-4</c:v>
                </c:pt>
                <c:pt idx="77">
                  <c:v>-3</c:v>
                </c:pt>
                <c:pt idx="78">
                  <c:v>-2</c:v>
                </c:pt>
                <c:pt idx="79">
                  <c:v>-1</c:v>
                </c:pt>
                <c:pt idx="80">
                  <c:v>0</c:v>
                </c:pt>
                <c:pt idx="81">
                  <c:v>1</c:v>
                </c:pt>
                <c:pt idx="82">
                  <c:v>2</c:v>
                </c:pt>
                <c:pt idx="83">
                  <c:v>3</c:v>
                </c:pt>
                <c:pt idx="84">
                  <c:v>4</c:v>
                </c:pt>
                <c:pt idx="85">
                  <c:v>5</c:v>
                </c:pt>
                <c:pt idx="86">
                  <c:v>6</c:v>
                </c:pt>
                <c:pt idx="87">
                  <c:v>7</c:v>
                </c:pt>
                <c:pt idx="88">
                  <c:v>8</c:v>
                </c:pt>
                <c:pt idx="89">
                  <c:v>9</c:v>
                </c:pt>
                <c:pt idx="90">
                  <c:v>10</c:v>
                </c:pt>
                <c:pt idx="91">
                  <c:v>11</c:v>
                </c:pt>
                <c:pt idx="92">
                  <c:v>12</c:v>
                </c:pt>
                <c:pt idx="93">
                  <c:v>13</c:v>
                </c:pt>
                <c:pt idx="94">
                  <c:v>14</c:v>
                </c:pt>
                <c:pt idx="95">
                  <c:v>15</c:v>
                </c:pt>
                <c:pt idx="96">
                  <c:v>16</c:v>
                </c:pt>
                <c:pt idx="97">
                  <c:v>17</c:v>
                </c:pt>
                <c:pt idx="98">
                  <c:v>18</c:v>
                </c:pt>
                <c:pt idx="99">
                  <c:v>19</c:v>
                </c:pt>
                <c:pt idx="100">
                  <c:v>20</c:v>
                </c:pt>
                <c:pt idx="101">
                  <c:v>21</c:v>
                </c:pt>
                <c:pt idx="102">
                  <c:v>22</c:v>
                </c:pt>
                <c:pt idx="103">
                  <c:v>23</c:v>
                </c:pt>
                <c:pt idx="104">
                  <c:v>24</c:v>
                </c:pt>
                <c:pt idx="105">
                  <c:v>25</c:v>
                </c:pt>
                <c:pt idx="106">
                  <c:v>26</c:v>
                </c:pt>
                <c:pt idx="107">
                  <c:v>27</c:v>
                </c:pt>
                <c:pt idx="108">
                  <c:v>28</c:v>
                </c:pt>
                <c:pt idx="109">
                  <c:v>29</c:v>
                </c:pt>
                <c:pt idx="110">
                  <c:v>30</c:v>
                </c:pt>
                <c:pt idx="111">
                  <c:v>31</c:v>
                </c:pt>
                <c:pt idx="112">
                  <c:v>32</c:v>
                </c:pt>
                <c:pt idx="113">
                  <c:v>33</c:v>
                </c:pt>
                <c:pt idx="114">
                  <c:v>34</c:v>
                </c:pt>
                <c:pt idx="115">
                  <c:v>35</c:v>
                </c:pt>
                <c:pt idx="116">
                  <c:v>36</c:v>
                </c:pt>
                <c:pt idx="117">
                  <c:v>37</c:v>
                </c:pt>
                <c:pt idx="118">
                  <c:v>38</c:v>
                </c:pt>
                <c:pt idx="119">
                  <c:v>39</c:v>
                </c:pt>
                <c:pt idx="120">
                  <c:v>40</c:v>
                </c:pt>
                <c:pt idx="121">
                  <c:v>41</c:v>
                </c:pt>
                <c:pt idx="122">
                  <c:v>42</c:v>
                </c:pt>
                <c:pt idx="123">
                  <c:v>43</c:v>
                </c:pt>
                <c:pt idx="124">
                  <c:v>44</c:v>
                </c:pt>
                <c:pt idx="125">
                  <c:v>45</c:v>
                </c:pt>
                <c:pt idx="126">
                  <c:v>46</c:v>
                </c:pt>
                <c:pt idx="127">
                  <c:v>47</c:v>
                </c:pt>
                <c:pt idx="128">
                  <c:v>48</c:v>
                </c:pt>
                <c:pt idx="129">
                  <c:v>49</c:v>
                </c:pt>
                <c:pt idx="130">
                  <c:v>50</c:v>
                </c:pt>
                <c:pt idx="131">
                  <c:v>51</c:v>
                </c:pt>
                <c:pt idx="132">
                  <c:v>52</c:v>
                </c:pt>
              </c:strCache>
            </c:strRef>
          </c:cat>
          <c:val>
            <c:numRef>
              <c:f>'Sheet1 (13)'!$T$9:$T$142</c:f>
              <c:numCache>
                <c:formatCode>General</c:formatCode>
                <c:ptCount val="133"/>
                <c:pt idx="0">
                  <c:v>10</c:v>
                </c:pt>
                <c:pt idx="1">
                  <c:v>8</c:v>
                </c:pt>
                <c:pt idx="2">
                  <c:v>8</c:v>
                </c:pt>
                <c:pt idx="3">
                  <c:v>8</c:v>
                </c:pt>
                <c:pt idx="4">
                  <c:v>7</c:v>
                </c:pt>
                <c:pt idx="5">
                  <c:v>6</c:v>
                </c:pt>
                <c:pt idx="6">
                  <c:v>6</c:v>
                </c:pt>
                <c:pt idx="7">
                  <c:v>6</c:v>
                </c:pt>
                <c:pt idx="8">
                  <c:v>7</c:v>
                </c:pt>
                <c:pt idx="9">
                  <c:v>7</c:v>
                </c:pt>
                <c:pt idx="10">
                  <c:v>7</c:v>
                </c:pt>
                <c:pt idx="11">
                  <c:v>6</c:v>
                </c:pt>
                <c:pt idx="12">
                  <c:v>6</c:v>
                </c:pt>
                <c:pt idx="13">
                  <c:v>7</c:v>
                </c:pt>
                <c:pt idx="14">
                  <c:v>7</c:v>
                </c:pt>
                <c:pt idx="15">
                  <c:v>7</c:v>
                </c:pt>
                <c:pt idx="16">
                  <c:v>8</c:v>
                </c:pt>
                <c:pt idx="17">
                  <c:v>9</c:v>
                </c:pt>
                <c:pt idx="18">
                  <c:v>10</c:v>
                </c:pt>
                <c:pt idx="19">
                  <c:v>10</c:v>
                </c:pt>
                <c:pt idx="20">
                  <c:v>10</c:v>
                </c:pt>
                <c:pt idx="21">
                  <c:v>10</c:v>
                </c:pt>
                <c:pt idx="22">
                  <c:v>9</c:v>
                </c:pt>
                <c:pt idx="23">
                  <c:v>9</c:v>
                </c:pt>
                <c:pt idx="24">
                  <c:v>10</c:v>
                </c:pt>
                <c:pt idx="25">
                  <c:v>9</c:v>
                </c:pt>
                <c:pt idx="26">
                  <c:v>9</c:v>
                </c:pt>
                <c:pt idx="27">
                  <c:v>10</c:v>
                </c:pt>
                <c:pt idx="28">
                  <c:v>8</c:v>
                </c:pt>
                <c:pt idx="29">
                  <c:v>8</c:v>
                </c:pt>
                <c:pt idx="30">
                  <c:v>8</c:v>
                </c:pt>
                <c:pt idx="31">
                  <c:v>8</c:v>
                </c:pt>
                <c:pt idx="32">
                  <c:v>8</c:v>
                </c:pt>
                <c:pt idx="33">
                  <c:v>8</c:v>
                </c:pt>
                <c:pt idx="34">
                  <c:v>8</c:v>
                </c:pt>
                <c:pt idx="35">
                  <c:v>8</c:v>
                </c:pt>
                <c:pt idx="36">
                  <c:v>8</c:v>
                </c:pt>
                <c:pt idx="37">
                  <c:v>6</c:v>
                </c:pt>
                <c:pt idx="38">
                  <c:v>7</c:v>
                </c:pt>
                <c:pt idx="39">
                  <c:v>6</c:v>
                </c:pt>
                <c:pt idx="40">
                  <c:v>7</c:v>
                </c:pt>
                <c:pt idx="41">
                  <c:v>7</c:v>
                </c:pt>
                <c:pt idx="42">
                  <c:v>7</c:v>
                </c:pt>
                <c:pt idx="43">
                  <c:v>8</c:v>
                </c:pt>
                <c:pt idx="44">
                  <c:v>7</c:v>
                </c:pt>
                <c:pt idx="45">
                  <c:v>7</c:v>
                </c:pt>
                <c:pt idx="46">
                  <c:v>8</c:v>
                </c:pt>
                <c:pt idx="47">
                  <c:v>7</c:v>
                </c:pt>
                <c:pt idx="48">
                  <c:v>6</c:v>
                </c:pt>
                <c:pt idx="49">
                  <c:v>7</c:v>
                </c:pt>
                <c:pt idx="50">
                  <c:v>7</c:v>
                </c:pt>
                <c:pt idx="51">
                  <c:v>7</c:v>
                </c:pt>
                <c:pt idx="52">
                  <c:v>7</c:v>
                </c:pt>
                <c:pt idx="53">
                  <c:v>6</c:v>
                </c:pt>
                <c:pt idx="54">
                  <c:v>4</c:v>
                </c:pt>
                <c:pt idx="55">
                  <c:v>4</c:v>
                </c:pt>
                <c:pt idx="56">
                  <c:v>4</c:v>
                </c:pt>
                <c:pt idx="57">
                  <c:v>3</c:v>
                </c:pt>
                <c:pt idx="58">
                  <c:v>3</c:v>
                </c:pt>
                <c:pt idx="59">
                  <c:v>4</c:v>
                </c:pt>
                <c:pt idx="60">
                  <c:v>4</c:v>
                </c:pt>
                <c:pt idx="61">
                  <c:v>4</c:v>
                </c:pt>
                <c:pt idx="62">
                  <c:v>5</c:v>
                </c:pt>
                <c:pt idx="63">
                  <c:v>5</c:v>
                </c:pt>
                <c:pt idx="64">
                  <c:v>5</c:v>
                </c:pt>
                <c:pt idx="65">
                  <c:v>6</c:v>
                </c:pt>
                <c:pt idx="66">
                  <c:v>5</c:v>
                </c:pt>
                <c:pt idx="67">
                  <c:v>5</c:v>
                </c:pt>
                <c:pt idx="68">
                  <c:v>5</c:v>
                </c:pt>
                <c:pt idx="69">
                  <c:v>6</c:v>
                </c:pt>
                <c:pt idx="70">
                  <c:v>6</c:v>
                </c:pt>
                <c:pt idx="71">
                  <c:v>6</c:v>
                </c:pt>
                <c:pt idx="72">
                  <c:v>6</c:v>
                </c:pt>
                <c:pt idx="73">
                  <c:v>6</c:v>
                </c:pt>
                <c:pt idx="74">
                  <c:v>6</c:v>
                </c:pt>
                <c:pt idx="75">
                  <c:v>6</c:v>
                </c:pt>
                <c:pt idx="76">
                  <c:v>6</c:v>
                </c:pt>
                <c:pt idx="77">
                  <c:v>6</c:v>
                </c:pt>
                <c:pt idx="78">
                  <c:v>6</c:v>
                </c:pt>
                <c:pt idx="79">
                  <c:v>6</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numCache>
            </c:numRef>
          </c:val>
          <c:smooth val="0"/>
        </c:ser>
        <c:ser>
          <c:idx val="19"/>
          <c:order val="19"/>
          <c:tx>
            <c:strRef>
              <c:f>'Sheet1 (13)'!$U$6:$U$8</c:f>
              <c:strCache>
                <c:ptCount val="1"/>
                <c:pt idx="0">
                  <c:v>Pre-init - AZATHIOPRINE</c:v>
                </c:pt>
              </c:strCache>
            </c:strRef>
          </c:tx>
          <c:marker>
            <c:symbol val="none"/>
          </c:marker>
          <c:cat>
            <c:strRef>
              <c:f>'Sheet1 (13)'!$A$9:$A$142</c:f>
              <c:strCache>
                <c:ptCount val="133"/>
                <c:pt idx="0">
                  <c:v>-80</c:v>
                </c:pt>
                <c:pt idx="1">
                  <c:v>-79</c:v>
                </c:pt>
                <c:pt idx="2">
                  <c:v>-78</c:v>
                </c:pt>
                <c:pt idx="3">
                  <c:v>-77</c:v>
                </c:pt>
                <c:pt idx="4">
                  <c:v>-76</c:v>
                </c:pt>
                <c:pt idx="5">
                  <c:v>-75</c:v>
                </c:pt>
                <c:pt idx="6">
                  <c:v>-74</c:v>
                </c:pt>
                <c:pt idx="7">
                  <c:v>-73</c:v>
                </c:pt>
                <c:pt idx="8">
                  <c:v>-72</c:v>
                </c:pt>
                <c:pt idx="9">
                  <c:v>-71</c:v>
                </c:pt>
                <c:pt idx="10">
                  <c:v>-70</c:v>
                </c:pt>
                <c:pt idx="11">
                  <c:v>-69</c:v>
                </c:pt>
                <c:pt idx="12">
                  <c:v>-68</c:v>
                </c:pt>
                <c:pt idx="13">
                  <c:v>-67</c:v>
                </c:pt>
                <c:pt idx="14">
                  <c:v>-66</c:v>
                </c:pt>
                <c:pt idx="15">
                  <c:v>-65</c:v>
                </c:pt>
                <c:pt idx="16">
                  <c:v>-64</c:v>
                </c:pt>
                <c:pt idx="17">
                  <c:v>-63</c:v>
                </c:pt>
                <c:pt idx="18">
                  <c:v>-62</c:v>
                </c:pt>
                <c:pt idx="19">
                  <c:v>-61</c:v>
                </c:pt>
                <c:pt idx="20">
                  <c:v>-60</c:v>
                </c:pt>
                <c:pt idx="21">
                  <c:v>-59</c:v>
                </c:pt>
                <c:pt idx="22">
                  <c:v>-58</c:v>
                </c:pt>
                <c:pt idx="23">
                  <c:v>-57</c:v>
                </c:pt>
                <c:pt idx="24">
                  <c:v>-56</c:v>
                </c:pt>
                <c:pt idx="25">
                  <c:v>-55</c:v>
                </c:pt>
                <c:pt idx="26">
                  <c:v>-54</c:v>
                </c:pt>
                <c:pt idx="27">
                  <c:v>-53</c:v>
                </c:pt>
                <c:pt idx="28">
                  <c:v>-52</c:v>
                </c:pt>
                <c:pt idx="29">
                  <c:v>-51</c:v>
                </c:pt>
                <c:pt idx="30">
                  <c:v>-50</c:v>
                </c:pt>
                <c:pt idx="31">
                  <c:v>-49</c:v>
                </c:pt>
                <c:pt idx="32">
                  <c:v>-48</c:v>
                </c:pt>
                <c:pt idx="33">
                  <c:v>-47</c:v>
                </c:pt>
                <c:pt idx="34">
                  <c:v>-46</c:v>
                </c:pt>
                <c:pt idx="35">
                  <c:v>-45</c:v>
                </c:pt>
                <c:pt idx="36">
                  <c:v>-44</c:v>
                </c:pt>
                <c:pt idx="37">
                  <c:v>-43</c:v>
                </c:pt>
                <c:pt idx="38">
                  <c:v>-42</c:v>
                </c:pt>
                <c:pt idx="39">
                  <c:v>-41</c:v>
                </c:pt>
                <c:pt idx="40">
                  <c:v>-40</c:v>
                </c:pt>
                <c:pt idx="41">
                  <c:v>-39</c:v>
                </c:pt>
                <c:pt idx="42">
                  <c:v>-38</c:v>
                </c:pt>
                <c:pt idx="43">
                  <c:v>-37</c:v>
                </c:pt>
                <c:pt idx="44">
                  <c:v>-36</c:v>
                </c:pt>
                <c:pt idx="45">
                  <c:v>-35</c:v>
                </c:pt>
                <c:pt idx="46">
                  <c:v>-34</c:v>
                </c:pt>
                <c:pt idx="47">
                  <c:v>-33</c:v>
                </c:pt>
                <c:pt idx="48">
                  <c:v>-32</c:v>
                </c:pt>
                <c:pt idx="49">
                  <c:v>-31</c:v>
                </c:pt>
                <c:pt idx="50">
                  <c:v>-30</c:v>
                </c:pt>
                <c:pt idx="51">
                  <c:v>-29</c:v>
                </c:pt>
                <c:pt idx="52">
                  <c:v>-28</c:v>
                </c:pt>
                <c:pt idx="53">
                  <c:v>-27</c:v>
                </c:pt>
                <c:pt idx="54">
                  <c:v>-26</c:v>
                </c:pt>
                <c:pt idx="55">
                  <c:v>-25</c:v>
                </c:pt>
                <c:pt idx="56">
                  <c:v>-24</c:v>
                </c:pt>
                <c:pt idx="57">
                  <c:v>-23</c:v>
                </c:pt>
                <c:pt idx="58">
                  <c:v>-22</c:v>
                </c:pt>
                <c:pt idx="59">
                  <c:v>-21</c:v>
                </c:pt>
                <c:pt idx="60">
                  <c:v>-20</c:v>
                </c:pt>
                <c:pt idx="61">
                  <c:v>-19</c:v>
                </c:pt>
                <c:pt idx="62">
                  <c:v>-18</c:v>
                </c:pt>
                <c:pt idx="63">
                  <c:v>-17</c:v>
                </c:pt>
                <c:pt idx="64">
                  <c:v>-16</c:v>
                </c:pt>
                <c:pt idx="65">
                  <c:v>-15</c:v>
                </c:pt>
                <c:pt idx="66">
                  <c:v>-14</c:v>
                </c:pt>
                <c:pt idx="67">
                  <c:v>-13</c:v>
                </c:pt>
                <c:pt idx="68">
                  <c:v>-12</c:v>
                </c:pt>
                <c:pt idx="69">
                  <c:v>-11</c:v>
                </c:pt>
                <c:pt idx="70">
                  <c:v>-10</c:v>
                </c:pt>
                <c:pt idx="71">
                  <c:v>-9</c:v>
                </c:pt>
                <c:pt idx="72">
                  <c:v>-8</c:v>
                </c:pt>
                <c:pt idx="73">
                  <c:v>-7</c:v>
                </c:pt>
                <c:pt idx="74">
                  <c:v>-6</c:v>
                </c:pt>
                <c:pt idx="75">
                  <c:v>-5</c:v>
                </c:pt>
                <c:pt idx="76">
                  <c:v>-4</c:v>
                </c:pt>
                <c:pt idx="77">
                  <c:v>-3</c:v>
                </c:pt>
                <c:pt idx="78">
                  <c:v>-2</c:v>
                </c:pt>
                <c:pt idx="79">
                  <c:v>-1</c:v>
                </c:pt>
                <c:pt idx="80">
                  <c:v>0</c:v>
                </c:pt>
                <c:pt idx="81">
                  <c:v>1</c:v>
                </c:pt>
                <c:pt idx="82">
                  <c:v>2</c:v>
                </c:pt>
                <c:pt idx="83">
                  <c:v>3</c:v>
                </c:pt>
                <c:pt idx="84">
                  <c:v>4</c:v>
                </c:pt>
                <c:pt idx="85">
                  <c:v>5</c:v>
                </c:pt>
                <c:pt idx="86">
                  <c:v>6</c:v>
                </c:pt>
                <c:pt idx="87">
                  <c:v>7</c:v>
                </c:pt>
                <c:pt idx="88">
                  <c:v>8</c:v>
                </c:pt>
                <c:pt idx="89">
                  <c:v>9</c:v>
                </c:pt>
                <c:pt idx="90">
                  <c:v>10</c:v>
                </c:pt>
                <c:pt idx="91">
                  <c:v>11</c:v>
                </c:pt>
                <c:pt idx="92">
                  <c:v>12</c:v>
                </c:pt>
                <c:pt idx="93">
                  <c:v>13</c:v>
                </c:pt>
                <c:pt idx="94">
                  <c:v>14</c:v>
                </c:pt>
                <c:pt idx="95">
                  <c:v>15</c:v>
                </c:pt>
                <c:pt idx="96">
                  <c:v>16</c:v>
                </c:pt>
                <c:pt idx="97">
                  <c:v>17</c:v>
                </c:pt>
                <c:pt idx="98">
                  <c:v>18</c:v>
                </c:pt>
                <c:pt idx="99">
                  <c:v>19</c:v>
                </c:pt>
                <c:pt idx="100">
                  <c:v>20</c:v>
                </c:pt>
                <c:pt idx="101">
                  <c:v>21</c:v>
                </c:pt>
                <c:pt idx="102">
                  <c:v>22</c:v>
                </c:pt>
                <c:pt idx="103">
                  <c:v>23</c:v>
                </c:pt>
                <c:pt idx="104">
                  <c:v>24</c:v>
                </c:pt>
                <c:pt idx="105">
                  <c:v>25</c:v>
                </c:pt>
                <c:pt idx="106">
                  <c:v>26</c:v>
                </c:pt>
                <c:pt idx="107">
                  <c:v>27</c:v>
                </c:pt>
                <c:pt idx="108">
                  <c:v>28</c:v>
                </c:pt>
                <c:pt idx="109">
                  <c:v>29</c:v>
                </c:pt>
                <c:pt idx="110">
                  <c:v>30</c:v>
                </c:pt>
                <c:pt idx="111">
                  <c:v>31</c:v>
                </c:pt>
                <c:pt idx="112">
                  <c:v>32</c:v>
                </c:pt>
                <c:pt idx="113">
                  <c:v>33</c:v>
                </c:pt>
                <c:pt idx="114">
                  <c:v>34</c:v>
                </c:pt>
                <c:pt idx="115">
                  <c:v>35</c:v>
                </c:pt>
                <c:pt idx="116">
                  <c:v>36</c:v>
                </c:pt>
                <c:pt idx="117">
                  <c:v>37</c:v>
                </c:pt>
                <c:pt idx="118">
                  <c:v>38</c:v>
                </c:pt>
                <c:pt idx="119">
                  <c:v>39</c:v>
                </c:pt>
                <c:pt idx="120">
                  <c:v>40</c:v>
                </c:pt>
                <c:pt idx="121">
                  <c:v>41</c:v>
                </c:pt>
                <c:pt idx="122">
                  <c:v>42</c:v>
                </c:pt>
                <c:pt idx="123">
                  <c:v>43</c:v>
                </c:pt>
                <c:pt idx="124">
                  <c:v>44</c:v>
                </c:pt>
                <c:pt idx="125">
                  <c:v>45</c:v>
                </c:pt>
                <c:pt idx="126">
                  <c:v>46</c:v>
                </c:pt>
                <c:pt idx="127">
                  <c:v>47</c:v>
                </c:pt>
                <c:pt idx="128">
                  <c:v>48</c:v>
                </c:pt>
                <c:pt idx="129">
                  <c:v>49</c:v>
                </c:pt>
                <c:pt idx="130">
                  <c:v>50</c:v>
                </c:pt>
                <c:pt idx="131">
                  <c:v>51</c:v>
                </c:pt>
                <c:pt idx="132">
                  <c:v>52</c:v>
                </c:pt>
              </c:strCache>
            </c:strRef>
          </c:cat>
          <c:val>
            <c:numRef>
              <c:f>'Sheet1 (13)'!$U$9:$U$142</c:f>
              <c:numCache>
                <c:formatCode>General</c:formatCode>
                <c:ptCount val="133"/>
                <c:pt idx="0">
                  <c:v>3</c:v>
                </c:pt>
                <c:pt idx="1">
                  <c:v>3</c:v>
                </c:pt>
                <c:pt idx="2">
                  <c:v>3</c:v>
                </c:pt>
                <c:pt idx="3">
                  <c:v>4</c:v>
                </c:pt>
                <c:pt idx="4">
                  <c:v>4</c:v>
                </c:pt>
                <c:pt idx="5">
                  <c:v>4</c:v>
                </c:pt>
                <c:pt idx="6">
                  <c:v>4</c:v>
                </c:pt>
                <c:pt idx="7">
                  <c:v>4</c:v>
                </c:pt>
                <c:pt idx="8">
                  <c:v>4</c:v>
                </c:pt>
                <c:pt idx="9">
                  <c:v>5</c:v>
                </c:pt>
                <c:pt idx="10">
                  <c:v>4</c:v>
                </c:pt>
                <c:pt idx="11">
                  <c:v>4</c:v>
                </c:pt>
                <c:pt idx="12">
                  <c:v>4</c:v>
                </c:pt>
                <c:pt idx="13">
                  <c:v>4</c:v>
                </c:pt>
                <c:pt idx="14">
                  <c:v>5</c:v>
                </c:pt>
                <c:pt idx="15">
                  <c:v>5</c:v>
                </c:pt>
                <c:pt idx="16">
                  <c:v>4</c:v>
                </c:pt>
                <c:pt idx="17">
                  <c:v>4</c:v>
                </c:pt>
                <c:pt idx="18">
                  <c:v>4</c:v>
                </c:pt>
                <c:pt idx="19">
                  <c:v>4</c:v>
                </c:pt>
                <c:pt idx="20">
                  <c:v>4</c:v>
                </c:pt>
                <c:pt idx="21">
                  <c:v>4</c:v>
                </c:pt>
                <c:pt idx="22">
                  <c:v>4</c:v>
                </c:pt>
                <c:pt idx="23">
                  <c:v>4</c:v>
                </c:pt>
                <c:pt idx="24">
                  <c:v>4</c:v>
                </c:pt>
                <c:pt idx="25">
                  <c:v>4</c:v>
                </c:pt>
                <c:pt idx="26">
                  <c:v>5</c:v>
                </c:pt>
                <c:pt idx="27">
                  <c:v>5</c:v>
                </c:pt>
                <c:pt idx="28">
                  <c:v>4</c:v>
                </c:pt>
                <c:pt idx="29">
                  <c:v>4</c:v>
                </c:pt>
                <c:pt idx="30">
                  <c:v>4</c:v>
                </c:pt>
                <c:pt idx="31">
                  <c:v>5</c:v>
                </c:pt>
                <c:pt idx="32">
                  <c:v>5</c:v>
                </c:pt>
                <c:pt idx="33">
                  <c:v>5</c:v>
                </c:pt>
                <c:pt idx="34">
                  <c:v>4</c:v>
                </c:pt>
                <c:pt idx="35">
                  <c:v>4</c:v>
                </c:pt>
                <c:pt idx="36">
                  <c:v>4</c:v>
                </c:pt>
                <c:pt idx="37">
                  <c:v>4</c:v>
                </c:pt>
                <c:pt idx="38">
                  <c:v>5</c:v>
                </c:pt>
                <c:pt idx="39">
                  <c:v>5</c:v>
                </c:pt>
                <c:pt idx="40">
                  <c:v>4</c:v>
                </c:pt>
                <c:pt idx="41">
                  <c:v>4</c:v>
                </c:pt>
                <c:pt idx="42">
                  <c:v>4</c:v>
                </c:pt>
                <c:pt idx="43">
                  <c:v>4</c:v>
                </c:pt>
                <c:pt idx="44">
                  <c:v>4</c:v>
                </c:pt>
                <c:pt idx="45">
                  <c:v>4</c:v>
                </c:pt>
                <c:pt idx="46">
                  <c:v>4</c:v>
                </c:pt>
                <c:pt idx="47">
                  <c:v>4</c:v>
                </c:pt>
                <c:pt idx="48">
                  <c:v>4</c:v>
                </c:pt>
                <c:pt idx="49">
                  <c:v>5</c:v>
                </c:pt>
                <c:pt idx="50">
                  <c:v>5</c:v>
                </c:pt>
                <c:pt idx="51">
                  <c:v>6</c:v>
                </c:pt>
                <c:pt idx="52">
                  <c:v>5</c:v>
                </c:pt>
                <c:pt idx="53">
                  <c:v>5</c:v>
                </c:pt>
                <c:pt idx="54">
                  <c:v>5</c:v>
                </c:pt>
                <c:pt idx="55">
                  <c:v>5</c:v>
                </c:pt>
                <c:pt idx="56">
                  <c:v>5</c:v>
                </c:pt>
                <c:pt idx="57">
                  <c:v>5</c:v>
                </c:pt>
                <c:pt idx="58">
                  <c:v>5</c:v>
                </c:pt>
                <c:pt idx="59">
                  <c:v>6</c:v>
                </c:pt>
                <c:pt idx="60">
                  <c:v>6</c:v>
                </c:pt>
                <c:pt idx="61">
                  <c:v>5</c:v>
                </c:pt>
                <c:pt idx="62">
                  <c:v>6</c:v>
                </c:pt>
                <c:pt idx="63">
                  <c:v>6</c:v>
                </c:pt>
                <c:pt idx="64">
                  <c:v>6</c:v>
                </c:pt>
                <c:pt idx="65">
                  <c:v>6</c:v>
                </c:pt>
                <c:pt idx="66">
                  <c:v>5</c:v>
                </c:pt>
                <c:pt idx="67">
                  <c:v>5</c:v>
                </c:pt>
                <c:pt idx="68">
                  <c:v>5</c:v>
                </c:pt>
                <c:pt idx="69">
                  <c:v>5</c:v>
                </c:pt>
                <c:pt idx="70">
                  <c:v>5</c:v>
                </c:pt>
                <c:pt idx="71">
                  <c:v>5</c:v>
                </c:pt>
                <c:pt idx="72">
                  <c:v>5</c:v>
                </c:pt>
                <c:pt idx="73">
                  <c:v>5</c:v>
                </c:pt>
                <c:pt idx="74">
                  <c:v>4</c:v>
                </c:pt>
                <c:pt idx="75">
                  <c:v>4</c:v>
                </c:pt>
                <c:pt idx="76">
                  <c:v>4</c:v>
                </c:pt>
                <c:pt idx="77">
                  <c:v>4</c:v>
                </c:pt>
                <c:pt idx="78">
                  <c:v>4</c:v>
                </c:pt>
                <c:pt idx="79">
                  <c:v>4</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numCache>
            </c:numRef>
          </c:val>
          <c:smooth val="0"/>
        </c:ser>
        <c:dLbls>
          <c:showLegendKey val="0"/>
          <c:showVal val="0"/>
          <c:showCatName val="0"/>
          <c:showSerName val="0"/>
          <c:showPercent val="0"/>
          <c:showBubbleSize val="0"/>
        </c:dLbls>
        <c:marker val="1"/>
        <c:smooth val="0"/>
        <c:axId val="365340928"/>
        <c:axId val="365343104"/>
      </c:lineChart>
      <c:catAx>
        <c:axId val="365340928"/>
        <c:scaling>
          <c:orientation val="minMax"/>
        </c:scaling>
        <c:delete val="0"/>
        <c:axPos val="b"/>
        <c:title>
          <c:tx>
            <c:rich>
              <a:bodyPr/>
              <a:lstStyle/>
              <a:p>
                <a:pPr>
                  <a:defRPr sz="900"/>
                </a:pPr>
                <a:r>
                  <a:rPr lang="en-AU" sz="900" b="0"/>
                  <a:t>Weeks from initiation</a:t>
                </a:r>
              </a:p>
            </c:rich>
          </c:tx>
          <c:layout/>
          <c:overlay val="0"/>
        </c:title>
        <c:majorTickMark val="none"/>
        <c:minorTickMark val="none"/>
        <c:tickLblPos val="nextTo"/>
        <c:txPr>
          <a:bodyPr/>
          <a:lstStyle/>
          <a:p>
            <a:pPr>
              <a:defRPr sz="900"/>
            </a:pPr>
            <a:endParaRPr lang="en-US"/>
          </a:p>
        </c:txPr>
        <c:crossAx val="365343104"/>
        <c:crosses val="autoZero"/>
        <c:auto val="1"/>
        <c:lblAlgn val="ctr"/>
        <c:lblOffset val="100"/>
        <c:noMultiLvlLbl val="0"/>
      </c:catAx>
      <c:valAx>
        <c:axId val="365343104"/>
        <c:scaling>
          <c:orientation val="minMax"/>
        </c:scaling>
        <c:delete val="0"/>
        <c:axPos val="l"/>
        <c:majorGridlines/>
        <c:title>
          <c:tx>
            <c:rich>
              <a:bodyPr/>
              <a:lstStyle/>
              <a:p>
                <a:pPr>
                  <a:defRPr sz="900" b="0"/>
                </a:pPr>
                <a:r>
                  <a:rPr lang="en-US" sz="900" b="0"/>
                  <a:t>Patients</a:t>
                </a:r>
              </a:p>
            </c:rich>
          </c:tx>
          <c:layout>
            <c:manualLayout>
              <c:xMode val="edge"/>
              <c:yMode val="edge"/>
              <c:x val="4.2270533410862596E-3"/>
              <c:y val="0.40984647168325145"/>
            </c:manualLayout>
          </c:layout>
          <c:overlay val="0"/>
        </c:title>
        <c:numFmt formatCode="#,##0" sourceLinked="0"/>
        <c:majorTickMark val="none"/>
        <c:minorTickMark val="none"/>
        <c:tickLblPos val="nextTo"/>
        <c:crossAx val="365340928"/>
        <c:crosses val="autoZero"/>
        <c:crossBetween val="between"/>
      </c:valAx>
    </c:plotArea>
    <c:legend>
      <c:legendPos val="r"/>
      <c:layout>
        <c:manualLayout>
          <c:xMode val="edge"/>
          <c:yMode val="edge"/>
          <c:x val="0.62060075823855343"/>
          <c:y val="6.5600102030916679E-2"/>
          <c:w val="0.3667188315075639"/>
          <c:h val="0.90340961925213881"/>
        </c:manualLayout>
      </c:layout>
      <c:overlay val="0"/>
      <c:txPr>
        <a:bodyPr/>
        <a:lstStyle/>
        <a:p>
          <a:pPr>
            <a:defRPr sz="600"/>
          </a:pPr>
          <a:endParaRPr lang="en-US"/>
        </a:p>
      </c:txPr>
    </c:legend>
    <c:plotVisOnly val="1"/>
    <c:dispBlanksAs val="gap"/>
    <c:showDLblsOverMax val="0"/>
  </c:chart>
  <c:externalData r:id="rId1">
    <c:autoUpdate val="0"/>
  </c:externalData>
  <c:userShapes r:id="rId2"/>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[D880 - prevalent drg regimens, all pat_ids, dos jan10 to sep15.xlsx]Sheet1 (13)!PivotTable1</c:name>
    <c:fmtId val="-1"/>
  </c:pivotSource>
  <c:chart>
    <c:autoTitleDeleted val="1"/>
    <c:pivotFmts>
      <c:pivotFmt>
        <c:idx val="0"/>
      </c:pivotFmt>
      <c:pivotFmt>
        <c:idx val="1"/>
      </c:pivotFmt>
      <c:pivotFmt>
        <c:idx val="2"/>
      </c:pivotFmt>
      <c:pivotFmt>
        <c:idx val="3"/>
      </c:pivotFmt>
      <c:pivotFmt>
        <c:idx val="4"/>
      </c:pivotFmt>
      <c:pivotFmt>
        <c:idx val="5"/>
      </c:pivotFmt>
      <c:pivotFmt>
        <c:idx val="6"/>
      </c:pivotFmt>
      <c:pivotFmt>
        <c:idx val="7"/>
      </c:pivotFmt>
      <c:pivotFmt>
        <c:idx val="8"/>
      </c:pivotFmt>
      <c:pivotFmt>
        <c:idx val="9"/>
      </c:pivotFmt>
      <c:pivotFmt>
        <c:idx val="10"/>
      </c:pivotFmt>
      <c:pivotFmt>
        <c:idx val="11"/>
      </c:pivotFmt>
      <c:pivotFmt>
        <c:idx val="12"/>
      </c:pivotFmt>
      <c:pivotFmt>
        <c:idx val="13"/>
      </c:pivotFmt>
      <c:pivotFmt>
        <c:idx val="14"/>
      </c:pivotFmt>
      <c:pivotFmt>
        <c:idx val="15"/>
      </c:pivotFmt>
      <c:pivotFmt>
        <c:idx val="16"/>
      </c:pivotFmt>
      <c:pivotFmt>
        <c:idx val="17"/>
      </c:pivotFmt>
      <c:pivotFmt>
        <c:idx val="18"/>
      </c:pivotFmt>
      <c:pivotFmt>
        <c:idx val="19"/>
      </c:pivotFmt>
      <c:pivotFmt>
        <c:idx val="20"/>
      </c:pivotFmt>
      <c:pivotFmt>
        <c:idx val="21"/>
      </c:pivotFmt>
      <c:pivotFmt>
        <c:idx val="22"/>
      </c:pivotFmt>
      <c:pivotFmt>
        <c:idx val="23"/>
      </c:pivotFmt>
      <c:pivotFmt>
        <c:idx val="24"/>
      </c:pivotFmt>
      <c:pivotFmt>
        <c:idx val="25"/>
      </c:pivotFmt>
      <c:pivotFmt>
        <c:idx val="26"/>
      </c:pivotFmt>
      <c:pivotFmt>
        <c:idx val="27"/>
      </c:pivotFmt>
      <c:pivotFmt>
        <c:idx val="28"/>
      </c:pivotFmt>
      <c:pivotFmt>
        <c:idx val="29"/>
      </c:pivotFmt>
      <c:pivotFmt>
        <c:idx val="30"/>
      </c:pivotFmt>
      <c:pivotFmt>
        <c:idx val="31"/>
      </c:pivotFmt>
      <c:pivotFmt>
        <c:idx val="32"/>
      </c:pivotFmt>
      <c:pivotFmt>
        <c:idx val="33"/>
      </c:pivotFmt>
      <c:pivotFmt>
        <c:idx val="34"/>
      </c:pivotFmt>
      <c:pivotFmt>
        <c:idx val="35"/>
      </c:pivotFmt>
      <c:pivotFmt>
        <c:idx val="36"/>
      </c:pivotFmt>
      <c:pivotFmt>
        <c:idx val="37"/>
      </c:pivotFmt>
      <c:pivotFmt>
        <c:idx val="38"/>
      </c:pivotFmt>
      <c:pivotFmt>
        <c:idx val="39"/>
      </c:pivotFmt>
      <c:pivotFmt>
        <c:idx val="40"/>
      </c:pivotFmt>
      <c:pivotFmt>
        <c:idx val="41"/>
      </c:pivotFmt>
      <c:pivotFmt>
        <c:idx val="42"/>
      </c:pivotFmt>
      <c:pivotFmt>
        <c:idx val="43"/>
      </c:pivotFmt>
      <c:pivotFmt>
        <c:idx val="44"/>
      </c:pivotFmt>
      <c:pivotFmt>
        <c:idx val="45"/>
      </c:pivotFmt>
      <c:pivotFmt>
        <c:idx val="46"/>
      </c:pivotFmt>
      <c:pivotFmt>
        <c:idx val="47"/>
      </c:pivotFmt>
      <c:pivotFmt>
        <c:idx val="48"/>
      </c:pivotFmt>
      <c:pivotFmt>
        <c:idx val="49"/>
      </c:pivotFmt>
      <c:pivotFmt>
        <c:idx val="50"/>
      </c:pivotFmt>
      <c:pivotFmt>
        <c:idx val="51"/>
      </c:pivotFmt>
      <c:pivotFmt>
        <c:idx val="52"/>
      </c:pivotFmt>
      <c:pivotFmt>
        <c:idx val="53"/>
      </c:pivotFmt>
      <c:pivotFmt>
        <c:idx val="54"/>
      </c:pivotFmt>
      <c:pivotFmt>
        <c:idx val="55"/>
      </c:pivotFmt>
      <c:pivotFmt>
        <c:idx val="56"/>
      </c:pivotFmt>
      <c:pivotFmt>
        <c:idx val="57"/>
      </c:pivotFmt>
      <c:pivotFmt>
        <c:idx val="58"/>
      </c:pivotFmt>
      <c:pivotFmt>
        <c:idx val="59"/>
      </c:pivotFmt>
      <c:pivotFmt>
        <c:idx val="60"/>
      </c:pivotFmt>
      <c:pivotFmt>
        <c:idx val="61"/>
      </c:pivotFmt>
      <c:pivotFmt>
        <c:idx val="62"/>
      </c:pivotFmt>
      <c:pivotFmt>
        <c:idx val="63"/>
      </c:pivotFmt>
      <c:pivotFmt>
        <c:idx val="64"/>
      </c:pivotFmt>
      <c:pivotFmt>
        <c:idx val="65"/>
      </c:pivotFmt>
      <c:pivotFmt>
        <c:idx val="66"/>
      </c:pivotFmt>
      <c:pivotFmt>
        <c:idx val="67"/>
      </c:pivotFmt>
      <c:pivotFmt>
        <c:idx val="68"/>
      </c:pivotFmt>
      <c:pivotFmt>
        <c:idx val="69"/>
      </c:pivotFmt>
      <c:pivotFmt>
        <c:idx val="70"/>
      </c:pivotFmt>
      <c:pivotFmt>
        <c:idx val="71"/>
      </c:pivotFmt>
      <c:pivotFmt>
        <c:idx val="72"/>
      </c:pivotFmt>
      <c:pivotFmt>
        <c:idx val="73"/>
      </c:pivotFmt>
      <c:pivotFmt>
        <c:idx val="74"/>
      </c:pivotFmt>
      <c:pivotFmt>
        <c:idx val="75"/>
      </c:pivotFmt>
      <c:pivotFmt>
        <c:idx val="76"/>
      </c:pivotFmt>
      <c:pivotFmt>
        <c:idx val="77"/>
      </c:pivotFmt>
      <c:pivotFmt>
        <c:idx val="78"/>
      </c:pivotFmt>
      <c:pivotFmt>
        <c:idx val="79"/>
      </c:pivotFmt>
      <c:pivotFmt>
        <c:idx val="80"/>
      </c:pivotFmt>
      <c:pivotFmt>
        <c:idx val="81"/>
      </c:pivotFmt>
      <c:pivotFmt>
        <c:idx val="82"/>
      </c:pivotFmt>
      <c:pivotFmt>
        <c:idx val="83"/>
      </c:pivotFmt>
      <c:pivotFmt>
        <c:idx val="84"/>
      </c:pivotFmt>
      <c:pivotFmt>
        <c:idx val="85"/>
      </c:pivotFmt>
      <c:pivotFmt>
        <c:idx val="86"/>
      </c:pivotFmt>
      <c:pivotFmt>
        <c:idx val="87"/>
      </c:pivotFmt>
      <c:pivotFmt>
        <c:idx val="88"/>
      </c:pivotFmt>
      <c:pivotFmt>
        <c:idx val="89"/>
      </c:pivotFmt>
      <c:pivotFmt>
        <c:idx val="90"/>
      </c:pivotFmt>
      <c:pivotFmt>
        <c:idx val="91"/>
      </c:pivotFmt>
      <c:pivotFmt>
        <c:idx val="92"/>
      </c:pivotFmt>
      <c:pivotFmt>
        <c:idx val="93"/>
      </c:pivotFmt>
      <c:pivotFmt>
        <c:idx val="94"/>
      </c:pivotFmt>
      <c:pivotFmt>
        <c:idx val="95"/>
      </c:pivotFmt>
      <c:pivotFmt>
        <c:idx val="96"/>
      </c:pivotFmt>
      <c:pivotFmt>
        <c:idx val="97"/>
      </c:pivotFmt>
      <c:pivotFmt>
        <c:idx val="98"/>
      </c:pivotFmt>
      <c:pivotFmt>
        <c:idx val="99"/>
      </c:pivotFmt>
      <c:pivotFmt>
        <c:idx val="100"/>
      </c:pivotFmt>
      <c:pivotFmt>
        <c:idx val="101"/>
      </c:pivotFmt>
      <c:pivotFmt>
        <c:idx val="102"/>
      </c:pivotFmt>
      <c:pivotFmt>
        <c:idx val="103"/>
      </c:pivotFmt>
      <c:pivotFmt>
        <c:idx val="104"/>
      </c:pivotFmt>
      <c:pivotFmt>
        <c:idx val="105"/>
      </c:pivotFmt>
      <c:pivotFmt>
        <c:idx val="106"/>
      </c:pivotFmt>
      <c:pivotFmt>
        <c:idx val="107"/>
      </c:pivotFmt>
      <c:pivotFmt>
        <c:idx val="108"/>
      </c:pivotFmt>
      <c:pivotFmt>
        <c:idx val="109"/>
      </c:pivotFmt>
      <c:pivotFmt>
        <c:idx val="110"/>
      </c:pivotFmt>
      <c:pivotFmt>
        <c:idx val="111"/>
      </c:pivotFmt>
      <c:pivotFmt>
        <c:idx val="112"/>
      </c:pivotFmt>
      <c:pivotFmt>
        <c:idx val="113"/>
      </c:pivotFmt>
      <c:pivotFmt>
        <c:idx val="114"/>
      </c:pivotFmt>
      <c:pivotFmt>
        <c:idx val="115"/>
      </c:pivotFmt>
      <c:pivotFmt>
        <c:idx val="116"/>
      </c:pivotFmt>
      <c:pivotFmt>
        <c:idx val="117"/>
      </c:pivotFmt>
      <c:pivotFmt>
        <c:idx val="118"/>
      </c:pivotFmt>
      <c:pivotFmt>
        <c:idx val="119"/>
      </c:pivotFmt>
      <c:pivotFmt>
        <c:idx val="120"/>
      </c:pivotFmt>
      <c:pivotFmt>
        <c:idx val="121"/>
      </c:pivotFmt>
      <c:pivotFmt>
        <c:idx val="122"/>
      </c:pivotFmt>
      <c:pivotFmt>
        <c:idx val="123"/>
      </c:pivotFmt>
      <c:pivotFmt>
        <c:idx val="124"/>
      </c:pivotFmt>
      <c:pivotFmt>
        <c:idx val="125"/>
      </c:pivotFmt>
      <c:pivotFmt>
        <c:idx val="126"/>
      </c:pivotFmt>
      <c:pivotFmt>
        <c:idx val="127"/>
      </c:pivotFmt>
      <c:pivotFmt>
        <c:idx val="128"/>
      </c:pivotFmt>
      <c:pivotFmt>
        <c:idx val="129"/>
      </c:pivotFmt>
      <c:pivotFmt>
        <c:idx val="130"/>
      </c:pivotFmt>
      <c:pivotFmt>
        <c:idx val="131"/>
      </c:pivotFmt>
      <c:pivotFmt>
        <c:idx val="132"/>
      </c:pivotFmt>
      <c:pivotFmt>
        <c:idx val="133"/>
      </c:pivotFmt>
      <c:pivotFmt>
        <c:idx val="134"/>
      </c:pivotFmt>
      <c:pivotFmt>
        <c:idx val="135"/>
      </c:pivotFmt>
      <c:pivotFmt>
        <c:idx val="136"/>
      </c:pivotFmt>
      <c:pivotFmt>
        <c:idx val="137"/>
      </c:pivotFmt>
      <c:pivotFmt>
        <c:idx val="138"/>
      </c:pivotFmt>
      <c:pivotFmt>
        <c:idx val="139"/>
      </c:pivotFmt>
      <c:pivotFmt>
        <c:idx val="140"/>
      </c:pivotFmt>
      <c:pivotFmt>
        <c:idx val="141"/>
      </c:pivotFmt>
      <c:pivotFmt>
        <c:idx val="142"/>
      </c:pivotFmt>
      <c:pivotFmt>
        <c:idx val="143"/>
      </c:pivotFmt>
      <c:pivotFmt>
        <c:idx val="144"/>
      </c:pivotFmt>
      <c:pivotFmt>
        <c:idx val="145"/>
      </c:pivotFmt>
      <c:pivotFmt>
        <c:idx val="146"/>
      </c:pivotFmt>
      <c:pivotFmt>
        <c:idx val="147"/>
      </c:pivotFmt>
      <c:pivotFmt>
        <c:idx val="148"/>
      </c:pivotFmt>
      <c:pivotFmt>
        <c:idx val="149"/>
      </c:pivotFmt>
      <c:pivotFmt>
        <c:idx val="150"/>
      </c:pivotFmt>
      <c:pivotFmt>
        <c:idx val="151"/>
      </c:pivotFmt>
      <c:pivotFmt>
        <c:idx val="152"/>
      </c:pivotFmt>
      <c:pivotFmt>
        <c:idx val="153"/>
      </c:pivotFmt>
      <c:pivotFmt>
        <c:idx val="154"/>
      </c:pivotFmt>
      <c:pivotFmt>
        <c:idx val="155"/>
      </c:pivotFmt>
      <c:pivotFmt>
        <c:idx val="156"/>
      </c:pivotFmt>
      <c:pivotFmt>
        <c:idx val="157"/>
      </c:pivotFmt>
      <c:pivotFmt>
        <c:idx val="158"/>
      </c:pivotFmt>
      <c:pivotFmt>
        <c:idx val="159"/>
      </c:pivotFmt>
      <c:pivotFmt>
        <c:idx val="160"/>
      </c:pivotFmt>
      <c:pivotFmt>
        <c:idx val="161"/>
      </c:pivotFmt>
      <c:pivotFmt>
        <c:idx val="162"/>
      </c:pivotFmt>
      <c:pivotFmt>
        <c:idx val="163"/>
      </c:pivotFmt>
      <c:pivotFmt>
        <c:idx val="164"/>
      </c:pivotFmt>
      <c:pivotFmt>
        <c:idx val="165"/>
      </c:pivotFmt>
      <c:pivotFmt>
        <c:idx val="166"/>
      </c:pivotFmt>
      <c:pivotFmt>
        <c:idx val="167"/>
      </c:pivotFmt>
      <c:pivotFmt>
        <c:idx val="168"/>
      </c:pivotFmt>
      <c:pivotFmt>
        <c:idx val="169"/>
      </c:pivotFmt>
      <c:pivotFmt>
        <c:idx val="170"/>
      </c:pivotFmt>
      <c:pivotFmt>
        <c:idx val="171"/>
      </c:pivotFmt>
      <c:pivotFmt>
        <c:idx val="172"/>
      </c:pivotFmt>
      <c:pivotFmt>
        <c:idx val="173"/>
      </c:pivotFmt>
      <c:pivotFmt>
        <c:idx val="174"/>
      </c:pivotFmt>
      <c:pivotFmt>
        <c:idx val="175"/>
      </c:pivotFmt>
      <c:pivotFmt>
        <c:idx val="176"/>
      </c:pivotFmt>
      <c:pivotFmt>
        <c:idx val="177"/>
      </c:pivotFmt>
      <c:pivotFmt>
        <c:idx val="178"/>
      </c:pivotFmt>
      <c:pivotFmt>
        <c:idx val="179"/>
      </c:pivotFmt>
      <c:pivotFmt>
        <c:idx val="180"/>
      </c:pivotFmt>
      <c:pivotFmt>
        <c:idx val="181"/>
      </c:pivotFmt>
      <c:pivotFmt>
        <c:idx val="182"/>
      </c:pivotFmt>
      <c:pivotFmt>
        <c:idx val="183"/>
      </c:pivotFmt>
      <c:pivotFmt>
        <c:idx val="184"/>
      </c:pivotFmt>
      <c:pivotFmt>
        <c:idx val="185"/>
      </c:pivotFmt>
      <c:pivotFmt>
        <c:idx val="186"/>
      </c:pivotFmt>
      <c:pivotFmt>
        <c:idx val="187"/>
      </c:pivotFmt>
      <c:pivotFmt>
        <c:idx val="188"/>
      </c:pivotFmt>
      <c:pivotFmt>
        <c:idx val="189"/>
      </c:pivotFmt>
      <c:pivotFmt>
        <c:idx val="190"/>
      </c:pivotFmt>
      <c:pivotFmt>
        <c:idx val="191"/>
      </c:pivotFmt>
      <c:pivotFmt>
        <c:idx val="192"/>
      </c:pivotFmt>
      <c:pivotFmt>
        <c:idx val="193"/>
      </c:pivotFmt>
      <c:pivotFmt>
        <c:idx val="194"/>
      </c:pivotFmt>
      <c:pivotFmt>
        <c:idx val="195"/>
      </c:pivotFmt>
      <c:pivotFmt>
        <c:idx val="196"/>
      </c:pivotFmt>
      <c:pivotFmt>
        <c:idx val="197"/>
      </c:pivotFmt>
      <c:pivotFmt>
        <c:idx val="198"/>
      </c:pivotFmt>
      <c:pivotFmt>
        <c:idx val="199"/>
      </c:pivotFmt>
      <c:pivotFmt>
        <c:idx val="200"/>
      </c:pivotFmt>
      <c:pivotFmt>
        <c:idx val="201"/>
      </c:pivotFmt>
      <c:pivotFmt>
        <c:idx val="202"/>
      </c:pivotFmt>
      <c:pivotFmt>
        <c:idx val="203"/>
      </c:pivotFmt>
      <c:pivotFmt>
        <c:idx val="204"/>
      </c:pivotFmt>
      <c:pivotFmt>
        <c:idx val="205"/>
      </c:pivotFmt>
      <c:pivotFmt>
        <c:idx val="206"/>
      </c:pivotFmt>
      <c:pivotFmt>
        <c:idx val="207"/>
      </c:pivotFmt>
      <c:pivotFmt>
        <c:idx val="208"/>
      </c:pivotFmt>
      <c:pivotFmt>
        <c:idx val="209"/>
      </c:pivotFmt>
      <c:pivotFmt>
        <c:idx val="210"/>
      </c:pivotFmt>
      <c:pivotFmt>
        <c:idx val="211"/>
      </c:pivotFmt>
      <c:pivotFmt>
        <c:idx val="212"/>
      </c:pivotFmt>
      <c:pivotFmt>
        <c:idx val="213"/>
      </c:pivotFmt>
      <c:pivotFmt>
        <c:idx val="214"/>
      </c:pivotFmt>
      <c:pivotFmt>
        <c:idx val="215"/>
      </c:pivotFmt>
      <c:pivotFmt>
        <c:idx val="216"/>
      </c:pivotFmt>
      <c:pivotFmt>
        <c:idx val="217"/>
      </c:pivotFmt>
      <c:pivotFmt>
        <c:idx val="218"/>
      </c:pivotFmt>
      <c:pivotFmt>
        <c:idx val="219"/>
      </c:pivotFmt>
      <c:pivotFmt>
        <c:idx val="220"/>
      </c:pivotFmt>
      <c:pivotFmt>
        <c:idx val="221"/>
      </c:pivotFmt>
      <c:pivotFmt>
        <c:idx val="222"/>
      </c:pivotFmt>
      <c:pivotFmt>
        <c:idx val="223"/>
      </c:pivotFmt>
      <c:pivotFmt>
        <c:idx val="224"/>
      </c:pivotFmt>
      <c:pivotFmt>
        <c:idx val="225"/>
      </c:pivotFmt>
      <c:pivotFmt>
        <c:idx val="226"/>
      </c:pivotFmt>
      <c:pivotFmt>
        <c:idx val="227"/>
      </c:pivotFmt>
      <c:pivotFmt>
        <c:idx val="228"/>
      </c:pivotFmt>
      <c:pivotFmt>
        <c:idx val="229"/>
      </c:pivotFmt>
      <c:pivotFmt>
        <c:idx val="230"/>
      </c:pivotFmt>
      <c:pivotFmt>
        <c:idx val="231"/>
      </c:pivotFmt>
      <c:pivotFmt>
        <c:idx val="232"/>
      </c:pivotFmt>
      <c:pivotFmt>
        <c:idx val="233"/>
      </c:pivotFmt>
      <c:pivotFmt>
        <c:idx val="234"/>
      </c:pivotFmt>
      <c:pivotFmt>
        <c:idx val="235"/>
      </c:pivotFmt>
      <c:pivotFmt>
        <c:idx val="236"/>
      </c:pivotFmt>
      <c:pivotFmt>
        <c:idx val="237"/>
      </c:pivotFmt>
      <c:pivotFmt>
        <c:idx val="238"/>
      </c:pivotFmt>
      <c:pivotFmt>
        <c:idx val="239"/>
      </c:pivotFmt>
      <c:pivotFmt>
        <c:idx val="240"/>
      </c:pivotFmt>
      <c:pivotFmt>
        <c:idx val="241"/>
      </c:pivotFmt>
      <c:pivotFmt>
        <c:idx val="242"/>
      </c:pivotFmt>
      <c:pivotFmt>
        <c:idx val="243"/>
      </c:pivotFmt>
      <c:pivotFmt>
        <c:idx val="244"/>
      </c:pivotFmt>
      <c:pivotFmt>
        <c:idx val="245"/>
      </c:pivotFmt>
      <c:pivotFmt>
        <c:idx val="246"/>
      </c:pivotFmt>
      <c:pivotFmt>
        <c:idx val="247"/>
      </c:pivotFmt>
      <c:pivotFmt>
        <c:idx val="248"/>
      </c:pivotFmt>
      <c:pivotFmt>
        <c:idx val="249"/>
      </c:pivotFmt>
      <c:pivotFmt>
        <c:idx val="250"/>
      </c:pivotFmt>
      <c:pivotFmt>
        <c:idx val="251"/>
      </c:pivotFmt>
      <c:pivotFmt>
        <c:idx val="252"/>
      </c:pivotFmt>
      <c:pivotFmt>
        <c:idx val="253"/>
      </c:pivotFmt>
      <c:pivotFmt>
        <c:idx val="254"/>
      </c:pivotFmt>
      <c:pivotFmt>
        <c:idx val="255"/>
      </c:pivotFmt>
      <c:pivotFmt>
        <c:idx val="256"/>
      </c:pivotFmt>
      <c:pivotFmt>
        <c:idx val="257"/>
      </c:pivotFmt>
      <c:pivotFmt>
        <c:idx val="258"/>
      </c:pivotFmt>
      <c:pivotFmt>
        <c:idx val="259"/>
      </c:pivotFmt>
      <c:pivotFmt>
        <c:idx val="260"/>
      </c:pivotFmt>
      <c:pivotFmt>
        <c:idx val="261"/>
      </c:pivotFmt>
      <c:pivotFmt>
        <c:idx val="262"/>
      </c:pivotFmt>
      <c:pivotFmt>
        <c:idx val="263"/>
      </c:pivotFmt>
      <c:pivotFmt>
        <c:idx val="264"/>
      </c:pivotFmt>
      <c:pivotFmt>
        <c:idx val="265"/>
      </c:pivotFmt>
      <c:pivotFmt>
        <c:idx val="266"/>
      </c:pivotFmt>
      <c:pivotFmt>
        <c:idx val="267"/>
      </c:pivotFmt>
      <c:pivotFmt>
        <c:idx val="268"/>
      </c:pivotFmt>
      <c:pivotFmt>
        <c:idx val="269"/>
      </c:pivotFmt>
      <c:pivotFmt>
        <c:idx val="270"/>
      </c:pivotFmt>
      <c:pivotFmt>
        <c:idx val="271"/>
      </c:pivotFmt>
      <c:pivotFmt>
        <c:idx val="272"/>
      </c:pivotFmt>
      <c:pivotFmt>
        <c:idx val="273"/>
      </c:pivotFmt>
      <c:pivotFmt>
        <c:idx val="274"/>
      </c:pivotFmt>
      <c:pivotFmt>
        <c:idx val="275"/>
      </c:pivotFmt>
      <c:pivotFmt>
        <c:idx val="276"/>
      </c:pivotFmt>
      <c:pivotFmt>
        <c:idx val="277"/>
      </c:pivotFmt>
      <c:pivotFmt>
        <c:idx val="278"/>
      </c:pivotFmt>
      <c:pivotFmt>
        <c:idx val="279"/>
      </c:pivotFmt>
      <c:pivotFmt>
        <c:idx val="280"/>
      </c:pivotFmt>
      <c:pivotFmt>
        <c:idx val="281"/>
      </c:pivotFmt>
      <c:pivotFmt>
        <c:idx val="282"/>
      </c:pivotFmt>
      <c:pivotFmt>
        <c:idx val="283"/>
      </c:pivotFmt>
      <c:pivotFmt>
        <c:idx val="284"/>
      </c:pivotFmt>
      <c:pivotFmt>
        <c:idx val="285"/>
      </c:pivotFmt>
      <c:pivotFmt>
        <c:idx val="286"/>
      </c:pivotFmt>
      <c:pivotFmt>
        <c:idx val="287"/>
      </c:pivotFmt>
      <c:pivotFmt>
        <c:idx val="288"/>
      </c:pivotFmt>
      <c:pivotFmt>
        <c:idx val="289"/>
      </c:pivotFmt>
      <c:pivotFmt>
        <c:idx val="290"/>
      </c:pivotFmt>
      <c:pivotFmt>
        <c:idx val="291"/>
      </c:pivotFmt>
      <c:pivotFmt>
        <c:idx val="292"/>
      </c:pivotFmt>
      <c:pivotFmt>
        <c:idx val="293"/>
      </c:pivotFmt>
      <c:pivotFmt>
        <c:idx val="294"/>
      </c:pivotFmt>
      <c:pivotFmt>
        <c:idx val="295"/>
      </c:pivotFmt>
      <c:pivotFmt>
        <c:idx val="296"/>
      </c:pivotFmt>
      <c:pivotFmt>
        <c:idx val="297"/>
      </c:pivotFmt>
      <c:pivotFmt>
        <c:idx val="298"/>
      </c:pivotFmt>
      <c:pivotFmt>
        <c:idx val="299"/>
      </c:pivotFmt>
      <c:pivotFmt>
        <c:idx val="300"/>
      </c:pivotFmt>
      <c:pivotFmt>
        <c:idx val="301"/>
      </c:pivotFmt>
      <c:pivotFmt>
        <c:idx val="302"/>
      </c:pivotFmt>
      <c:pivotFmt>
        <c:idx val="303"/>
      </c:pivotFmt>
      <c:pivotFmt>
        <c:idx val="304"/>
      </c:pivotFmt>
      <c:pivotFmt>
        <c:idx val="305"/>
      </c:pivotFmt>
      <c:pivotFmt>
        <c:idx val="306"/>
      </c:pivotFmt>
      <c:pivotFmt>
        <c:idx val="307"/>
      </c:pivotFmt>
      <c:pivotFmt>
        <c:idx val="308"/>
      </c:pivotFmt>
      <c:pivotFmt>
        <c:idx val="309"/>
      </c:pivotFmt>
      <c:pivotFmt>
        <c:idx val="310"/>
      </c:pivotFmt>
      <c:pivotFmt>
        <c:idx val="311"/>
      </c:pivotFmt>
      <c:pivotFmt>
        <c:idx val="312"/>
      </c:pivotFmt>
      <c:pivotFmt>
        <c:idx val="313"/>
      </c:pivotFmt>
      <c:pivotFmt>
        <c:idx val="314"/>
      </c:pivotFmt>
      <c:pivotFmt>
        <c:idx val="315"/>
      </c:pivotFmt>
      <c:pivotFmt>
        <c:idx val="316"/>
      </c:pivotFmt>
      <c:pivotFmt>
        <c:idx val="317"/>
      </c:pivotFmt>
      <c:pivotFmt>
        <c:idx val="318"/>
      </c:pivotFmt>
      <c:pivotFmt>
        <c:idx val="319"/>
      </c:pivotFmt>
      <c:pivotFmt>
        <c:idx val="320"/>
      </c:pivotFmt>
      <c:pivotFmt>
        <c:idx val="321"/>
      </c:pivotFmt>
      <c:pivotFmt>
        <c:idx val="322"/>
      </c:pivotFmt>
      <c:pivotFmt>
        <c:idx val="323"/>
      </c:pivotFmt>
      <c:pivotFmt>
        <c:idx val="324"/>
      </c:pivotFmt>
      <c:pivotFmt>
        <c:idx val="325"/>
      </c:pivotFmt>
      <c:pivotFmt>
        <c:idx val="326"/>
      </c:pivotFmt>
      <c:pivotFmt>
        <c:idx val="327"/>
      </c:pivotFmt>
      <c:pivotFmt>
        <c:idx val="328"/>
      </c:pivotFmt>
      <c:pivotFmt>
        <c:idx val="329"/>
      </c:pivotFmt>
      <c:pivotFmt>
        <c:idx val="330"/>
      </c:pivotFmt>
      <c:pivotFmt>
        <c:idx val="331"/>
      </c:pivotFmt>
      <c:pivotFmt>
        <c:idx val="332"/>
      </c:pivotFmt>
      <c:pivotFmt>
        <c:idx val="333"/>
      </c:pivotFmt>
      <c:pivotFmt>
        <c:idx val="334"/>
      </c:pivotFmt>
      <c:pivotFmt>
        <c:idx val="335"/>
      </c:pivotFmt>
      <c:pivotFmt>
        <c:idx val="336"/>
      </c:pivotFmt>
      <c:pivotFmt>
        <c:idx val="337"/>
      </c:pivotFmt>
      <c:pivotFmt>
        <c:idx val="338"/>
      </c:pivotFmt>
      <c:pivotFmt>
        <c:idx val="339"/>
      </c:pivotFmt>
      <c:pivotFmt>
        <c:idx val="340"/>
      </c:pivotFmt>
      <c:pivotFmt>
        <c:idx val="341"/>
      </c:pivotFmt>
      <c:pivotFmt>
        <c:idx val="342"/>
      </c:pivotFmt>
      <c:pivotFmt>
        <c:idx val="343"/>
      </c:pivotFmt>
      <c:pivotFmt>
        <c:idx val="344"/>
      </c:pivotFmt>
      <c:pivotFmt>
        <c:idx val="345"/>
      </c:pivotFmt>
      <c:pivotFmt>
        <c:idx val="346"/>
      </c:pivotFmt>
      <c:pivotFmt>
        <c:idx val="347"/>
      </c:pivotFmt>
      <c:pivotFmt>
        <c:idx val="348"/>
      </c:pivotFmt>
      <c:pivotFmt>
        <c:idx val="349"/>
      </c:pivotFmt>
      <c:pivotFmt>
        <c:idx val="350"/>
      </c:pivotFmt>
      <c:pivotFmt>
        <c:idx val="351"/>
      </c:pivotFmt>
      <c:pivotFmt>
        <c:idx val="352"/>
      </c:pivotFmt>
      <c:pivotFmt>
        <c:idx val="353"/>
      </c:pivotFmt>
      <c:pivotFmt>
        <c:idx val="354"/>
      </c:pivotFmt>
      <c:pivotFmt>
        <c:idx val="355"/>
      </c:pivotFmt>
      <c:pivotFmt>
        <c:idx val="356"/>
      </c:pivotFmt>
      <c:pivotFmt>
        <c:idx val="357"/>
      </c:pivotFmt>
      <c:pivotFmt>
        <c:idx val="358"/>
      </c:pivotFmt>
      <c:pivotFmt>
        <c:idx val="359"/>
      </c:pivotFmt>
      <c:pivotFmt>
        <c:idx val="360"/>
      </c:pivotFmt>
      <c:pivotFmt>
        <c:idx val="361"/>
      </c:pivotFmt>
      <c:pivotFmt>
        <c:idx val="362"/>
      </c:pivotFmt>
      <c:pivotFmt>
        <c:idx val="363"/>
      </c:pivotFmt>
      <c:pivotFmt>
        <c:idx val="364"/>
      </c:pivotFmt>
      <c:pivotFmt>
        <c:idx val="365"/>
      </c:pivotFmt>
      <c:pivotFmt>
        <c:idx val="366"/>
      </c:pivotFmt>
      <c:pivotFmt>
        <c:idx val="367"/>
      </c:pivotFmt>
      <c:pivotFmt>
        <c:idx val="368"/>
      </c:pivotFmt>
      <c:pivotFmt>
        <c:idx val="369"/>
      </c:pivotFmt>
      <c:pivotFmt>
        <c:idx val="370"/>
      </c:pivotFmt>
      <c:pivotFmt>
        <c:idx val="371"/>
      </c:pivotFmt>
      <c:pivotFmt>
        <c:idx val="372"/>
      </c:pivotFmt>
      <c:pivotFmt>
        <c:idx val="373"/>
      </c:pivotFmt>
      <c:pivotFmt>
        <c:idx val="374"/>
      </c:pivotFmt>
      <c:pivotFmt>
        <c:idx val="375"/>
      </c:pivotFmt>
      <c:pivotFmt>
        <c:idx val="376"/>
      </c:pivotFmt>
      <c:pivotFmt>
        <c:idx val="377"/>
      </c:pivotFmt>
      <c:pivotFmt>
        <c:idx val="378"/>
      </c:pivotFmt>
      <c:pivotFmt>
        <c:idx val="379"/>
      </c:pivotFmt>
      <c:pivotFmt>
        <c:idx val="380"/>
      </c:pivotFmt>
      <c:pivotFmt>
        <c:idx val="381"/>
      </c:pivotFmt>
      <c:pivotFmt>
        <c:idx val="382"/>
      </c:pivotFmt>
      <c:pivotFmt>
        <c:idx val="383"/>
      </c:pivotFmt>
      <c:pivotFmt>
        <c:idx val="384"/>
      </c:pivotFmt>
      <c:pivotFmt>
        <c:idx val="385"/>
      </c:pivotFmt>
      <c:pivotFmt>
        <c:idx val="386"/>
      </c:pivotFmt>
      <c:pivotFmt>
        <c:idx val="387"/>
      </c:pivotFmt>
      <c:pivotFmt>
        <c:idx val="388"/>
      </c:pivotFmt>
      <c:pivotFmt>
        <c:idx val="389"/>
      </c:pivotFmt>
      <c:pivotFmt>
        <c:idx val="390"/>
      </c:pivotFmt>
      <c:pivotFmt>
        <c:idx val="391"/>
      </c:pivotFmt>
      <c:pivotFmt>
        <c:idx val="392"/>
      </c:pivotFmt>
      <c:pivotFmt>
        <c:idx val="393"/>
      </c:pivotFmt>
      <c:pivotFmt>
        <c:idx val="394"/>
      </c:pivotFmt>
      <c:pivotFmt>
        <c:idx val="395"/>
      </c:pivotFmt>
      <c:pivotFmt>
        <c:idx val="396"/>
      </c:pivotFmt>
      <c:pivotFmt>
        <c:idx val="397"/>
      </c:pivotFmt>
      <c:pivotFmt>
        <c:idx val="398"/>
      </c:pivotFmt>
      <c:pivotFmt>
        <c:idx val="399"/>
      </c:pivotFmt>
      <c:pivotFmt>
        <c:idx val="400"/>
      </c:pivotFmt>
      <c:pivotFmt>
        <c:idx val="401"/>
      </c:pivotFmt>
      <c:pivotFmt>
        <c:idx val="402"/>
      </c:pivotFmt>
      <c:pivotFmt>
        <c:idx val="403"/>
      </c:pivotFmt>
      <c:pivotFmt>
        <c:idx val="404"/>
      </c:pivotFmt>
      <c:pivotFmt>
        <c:idx val="405"/>
      </c:pivotFmt>
      <c:pivotFmt>
        <c:idx val="406"/>
      </c:pivotFmt>
      <c:pivotFmt>
        <c:idx val="407"/>
      </c:pivotFmt>
      <c:pivotFmt>
        <c:idx val="408"/>
      </c:pivotFmt>
      <c:pivotFmt>
        <c:idx val="409"/>
      </c:pivotFmt>
      <c:pivotFmt>
        <c:idx val="410"/>
      </c:pivotFmt>
      <c:pivotFmt>
        <c:idx val="411"/>
      </c:pivotFmt>
      <c:pivotFmt>
        <c:idx val="412"/>
      </c:pivotFmt>
      <c:pivotFmt>
        <c:idx val="413"/>
      </c:pivotFmt>
      <c:pivotFmt>
        <c:idx val="414"/>
      </c:pivotFmt>
      <c:pivotFmt>
        <c:idx val="415"/>
      </c:pivotFmt>
      <c:pivotFmt>
        <c:idx val="416"/>
      </c:pivotFmt>
      <c:pivotFmt>
        <c:idx val="417"/>
      </c:pivotFmt>
      <c:pivotFmt>
        <c:idx val="418"/>
      </c:pivotFmt>
      <c:pivotFmt>
        <c:idx val="419"/>
      </c:pivotFmt>
      <c:pivotFmt>
        <c:idx val="420"/>
      </c:pivotFmt>
      <c:pivotFmt>
        <c:idx val="421"/>
      </c:pivotFmt>
      <c:pivotFmt>
        <c:idx val="422"/>
      </c:pivotFmt>
      <c:pivotFmt>
        <c:idx val="423"/>
      </c:pivotFmt>
      <c:pivotFmt>
        <c:idx val="424"/>
      </c:pivotFmt>
      <c:pivotFmt>
        <c:idx val="425"/>
      </c:pivotFmt>
      <c:pivotFmt>
        <c:idx val="426"/>
      </c:pivotFmt>
      <c:pivotFmt>
        <c:idx val="427"/>
      </c:pivotFmt>
      <c:pivotFmt>
        <c:idx val="428"/>
      </c:pivotFmt>
      <c:pivotFmt>
        <c:idx val="429"/>
      </c:pivotFmt>
      <c:pivotFmt>
        <c:idx val="430"/>
      </c:pivotFmt>
      <c:pivotFmt>
        <c:idx val="431"/>
      </c:pivotFmt>
      <c:pivotFmt>
        <c:idx val="432"/>
      </c:pivotFmt>
      <c:pivotFmt>
        <c:idx val="433"/>
      </c:pivotFmt>
      <c:pivotFmt>
        <c:idx val="434"/>
      </c:pivotFmt>
      <c:pivotFmt>
        <c:idx val="435"/>
      </c:pivotFmt>
      <c:pivotFmt>
        <c:idx val="436"/>
      </c:pivotFmt>
      <c:pivotFmt>
        <c:idx val="437"/>
      </c:pivotFmt>
      <c:pivotFmt>
        <c:idx val="438"/>
      </c:pivotFmt>
      <c:pivotFmt>
        <c:idx val="439"/>
      </c:pivotFmt>
      <c:pivotFmt>
        <c:idx val="440"/>
      </c:pivotFmt>
      <c:pivotFmt>
        <c:idx val="441"/>
      </c:pivotFmt>
      <c:pivotFmt>
        <c:idx val="442"/>
      </c:pivotFmt>
      <c:pivotFmt>
        <c:idx val="443"/>
      </c:pivotFmt>
      <c:pivotFmt>
        <c:idx val="444"/>
      </c:pivotFmt>
      <c:pivotFmt>
        <c:idx val="445"/>
      </c:pivotFmt>
      <c:pivotFmt>
        <c:idx val="446"/>
      </c:pivotFmt>
      <c:pivotFmt>
        <c:idx val="447"/>
      </c:pivotFmt>
      <c:pivotFmt>
        <c:idx val="448"/>
      </c:pivotFmt>
      <c:pivotFmt>
        <c:idx val="449"/>
      </c:pivotFmt>
      <c:pivotFmt>
        <c:idx val="450"/>
      </c:pivotFmt>
      <c:pivotFmt>
        <c:idx val="451"/>
      </c:pivotFmt>
      <c:pivotFmt>
        <c:idx val="452"/>
      </c:pivotFmt>
      <c:pivotFmt>
        <c:idx val="453"/>
      </c:pivotFmt>
      <c:pivotFmt>
        <c:idx val="454"/>
      </c:pivotFmt>
      <c:pivotFmt>
        <c:idx val="455"/>
      </c:pivotFmt>
      <c:pivotFmt>
        <c:idx val="456"/>
      </c:pivotFmt>
      <c:pivotFmt>
        <c:idx val="457"/>
      </c:pivotFmt>
      <c:pivotFmt>
        <c:idx val="458"/>
      </c:pivotFmt>
      <c:pivotFmt>
        <c:idx val="459"/>
      </c:pivotFmt>
      <c:pivotFmt>
        <c:idx val="460"/>
      </c:pivotFmt>
      <c:pivotFmt>
        <c:idx val="461"/>
      </c:pivotFmt>
      <c:pivotFmt>
        <c:idx val="462"/>
      </c:pivotFmt>
      <c:pivotFmt>
        <c:idx val="463"/>
      </c:pivotFmt>
      <c:pivotFmt>
        <c:idx val="464"/>
      </c:pivotFmt>
      <c:pivotFmt>
        <c:idx val="465"/>
      </c:pivotFmt>
      <c:pivotFmt>
        <c:idx val="466"/>
      </c:pivotFmt>
      <c:pivotFmt>
        <c:idx val="467"/>
      </c:pivotFmt>
      <c:pivotFmt>
        <c:idx val="468"/>
      </c:pivotFmt>
      <c:pivotFmt>
        <c:idx val="469"/>
      </c:pivotFmt>
      <c:pivotFmt>
        <c:idx val="470"/>
      </c:pivotFmt>
      <c:pivotFmt>
        <c:idx val="471"/>
      </c:pivotFmt>
      <c:pivotFmt>
        <c:idx val="472"/>
      </c:pivotFmt>
      <c:pivotFmt>
        <c:idx val="473"/>
      </c:pivotFmt>
      <c:pivotFmt>
        <c:idx val="474"/>
      </c:pivotFmt>
      <c:pivotFmt>
        <c:idx val="475"/>
      </c:pivotFmt>
      <c:pivotFmt>
        <c:idx val="476"/>
      </c:pivotFmt>
      <c:pivotFmt>
        <c:idx val="477"/>
      </c:pivotFmt>
      <c:pivotFmt>
        <c:idx val="478"/>
      </c:pivotFmt>
      <c:pivotFmt>
        <c:idx val="479"/>
      </c:pivotFmt>
      <c:pivotFmt>
        <c:idx val="480"/>
      </c:pivotFmt>
      <c:pivotFmt>
        <c:idx val="481"/>
      </c:pivotFmt>
      <c:pivotFmt>
        <c:idx val="482"/>
      </c:pivotFmt>
      <c:pivotFmt>
        <c:idx val="483"/>
      </c:pivotFmt>
      <c:pivotFmt>
        <c:idx val="484"/>
      </c:pivotFmt>
      <c:pivotFmt>
        <c:idx val="485"/>
      </c:pivotFmt>
      <c:pivotFmt>
        <c:idx val="486"/>
      </c:pivotFmt>
      <c:pivotFmt>
        <c:idx val="487"/>
      </c:pivotFmt>
      <c:pivotFmt>
        <c:idx val="488"/>
      </c:pivotFmt>
      <c:pivotFmt>
        <c:idx val="489"/>
      </c:pivotFmt>
      <c:pivotFmt>
        <c:idx val="490"/>
      </c:pivotFmt>
      <c:pivotFmt>
        <c:idx val="491"/>
      </c:pivotFmt>
      <c:pivotFmt>
        <c:idx val="492"/>
      </c:pivotFmt>
      <c:pivotFmt>
        <c:idx val="493"/>
      </c:pivotFmt>
      <c:pivotFmt>
        <c:idx val="494"/>
      </c:pivotFmt>
      <c:pivotFmt>
        <c:idx val="495"/>
      </c:pivotFmt>
      <c:pivotFmt>
        <c:idx val="496"/>
      </c:pivotFmt>
      <c:pivotFmt>
        <c:idx val="497"/>
      </c:pivotFmt>
      <c:pivotFmt>
        <c:idx val="498"/>
      </c:pivotFmt>
      <c:pivotFmt>
        <c:idx val="499"/>
      </c:pivotFmt>
      <c:pivotFmt>
        <c:idx val="500"/>
      </c:pivotFmt>
      <c:pivotFmt>
        <c:idx val="501"/>
      </c:pivotFmt>
      <c:pivotFmt>
        <c:idx val="502"/>
      </c:pivotFmt>
      <c:pivotFmt>
        <c:idx val="503"/>
      </c:pivotFmt>
      <c:pivotFmt>
        <c:idx val="504"/>
      </c:pivotFmt>
      <c:pivotFmt>
        <c:idx val="505"/>
      </c:pivotFmt>
      <c:pivotFmt>
        <c:idx val="506"/>
      </c:pivotFmt>
      <c:pivotFmt>
        <c:idx val="507"/>
      </c:pivotFmt>
      <c:pivotFmt>
        <c:idx val="508"/>
      </c:pivotFmt>
      <c:pivotFmt>
        <c:idx val="509"/>
      </c:pivotFmt>
      <c:pivotFmt>
        <c:idx val="510"/>
      </c:pivotFmt>
      <c:pivotFmt>
        <c:idx val="511"/>
      </c:pivotFmt>
      <c:pivotFmt>
        <c:idx val="512"/>
      </c:pivotFmt>
      <c:pivotFmt>
        <c:idx val="513"/>
      </c:pivotFmt>
      <c:pivotFmt>
        <c:idx val="514"/>
      </c:pivotFmt>
      <c:pivotFmt>
        <c:idx val="515"/>
      </c:pivotFmt>
      <c:pivotFmt>
        <c:idx val="516"/>
      </c:pivotFmt>
      <c:pivotFmt>
        <c:idx val="517"/>
      </c:pivotFmt>
      <c:pivotFmt>
        <c:idx val="518"/>
      </c:pivotFmt>
      <c:pivotFmt>
        <c:idx val="519"/>
      </c:pivotFmt>
      <c:pivotFmt>
        <c:idx val="520"/>
      </c:pivotFmt>
      <c:pivotFmt>
        <c:idx val="521"/>
      </c:pivotFmt>
      <c:pivotFmt>
        <c:idx val="522"/>
      </c:pivotFmt>
      <c:pivotFmt>
        <c:idx val="523"/>
      </c:pivotFmt>
      <c:pivotFmt>
        <c:idx val="524"/>
      </c:pivotFmt>
      <c:pivotFmt>
        <c:idx val="525"/>
      </c:pivotFmt>
      <c:pivotFmt>
        <c:idx val="526"/>
      </c:pivotFmt>
      <c:pivotFmt>
        <c:idx val="527"/>
      </c:pivotFmt>
      <c:pivotFmt>
        <c:idx val="528"/>
      </c:pivotFmt>
      <c:pivotFmt>
        <c:idx val="529"/>
      </c:pivotFmt>
      <c:pivotFmt>
        <c:idx val="530"/>
      </c:pivotFmt>
      <c:pivotFmt>
        <c:idx val="531"/>
      </c:pivotFmt>
      <c:pivotFmt>
        <c:idx val="532"/>
      </c:pivotFmt>
      <c:pivotFmt>
        <c:idx val="533"/>
      </c:pivotFmt>
      <c:pivotFmt>
        <c:idx val="534"/>
      </c:pivotFmt>
      <c:pivotFmt>
        <c:idx val="535"/>
      </c:pivotFmt>
      <c:pivotFmt>
        <c:idx val="536"/>
      </c:pivotFmt>
      <c:pivotFmt>
        <c:idx val="537"/>
      </c:pivotFmt>
      <c:pivotFmt>
        <c:idx val="538"/>
      </c:pivotFmt>
      <c:pivotFmt>
        <c:idx val="539"/>
      </c:pivotFmt>
      <c:pivotFmt>
        <c:idx val="540"/>
      </c:pivotFmt>
      <c:pivotFmt>
        <c:idx val="541"/>
      </c:pivotFmt>
      <c:pivotFmt>
        <c:idx val="542"/>
      </c:pivotFmt>
      <c:pivotFmt>
        <c:idx val="543"/>
      </c:pivotFmt>
      <c:pivotFmt>
        <c:idx val="544"/>
      </c:pivotFmt>
      <c:pivotFmt>
        <c:idx val="545"/>
      </c:pivotFmt>
      <c:pivotFmt>
        <c:idx val="546"/>
      </c:pivotFmt>
      <c:pivotFmt>
        <c:idx val="547"/>
      </c:pivotFmt>
      <c:pivotFmt>
        <c:idx val="548"/>
      </c:pivotFmt>
      <c:pivotFmt>
        <c:idx val="549"/>
      </c:pivotFmt>
      <c:pivotFmt>
        <c:idx val="550"/>
      </c:pivotFmt>
      <c:pivotFmt>
        <c:idx val="551"/>
      </c:pivotFmt>
      <c:pivotFmt>
        <c:idx val="552"/>
      </c:pivotFmt>
      <c:pivotFmt>
        <c:idx val="553"/>
      </c:pivotFmt>
      <c:pivotFmt>
        <c:idx val="554"/>
      </c:pivotFmt>
      <c:pivotFmt>
        <c:idx val="555"/>
      </c:pivotFmt>
      <c:pivotFmt>
        <c:idx val="556"/>
      </c:pivotFmt>
      <c:pivotFmt>
        <c:idx val="557"/>
      </c:pivotFmt>
      <c:pivotFmt>
        <c:idx val="558"/>
      </c:pivotFmt>
      <c:pivotFmt>
        <c:idx val="559"/>
      </c:pivotFmt>
      <c:pivotFmt>
        <c:idx val="560"/>
      </c:pivotFmt>
      <c:pivotFmt>
        <c:idx val="561"/>
      </c:pivotFmt>
      <c:pivotFmt>
        <c:idx val="562"/>
      </c:pivotFmt>
      <c:pivotFmt>
        <c:idx val="563"/>
      </c:pivotFmt>
      <c:pivotFmt>
        <c:idx val="564"/>
      </c:pivotFmt>
      <c:pivotFmt>
        <c:idx val="565"/>
      </c:pivotFmt>
      <c:pivotFmt>
        <c:idx val="566"/>
      </c:pivotFmt>
      <c:pivotFmt>
        <c:idx val="567"/>
      </c:pivotFmt>
      <c:pivotFmt>
        <c:idx val="568"/>
      </c:pivotFmt>
      <c:pivotFmt>
        <c:idx val="569"/>
      </c:pivotFmt>
      <c:pivotFmt>
        <c:idx val="570"/>
      </c:pivotFmt>
      <c:pivotFmt>
        <c:idx val="571"/>
      </c:pivotFmt>
      <c:pivotFmt>
        <c:idx val="572"/>
      </c:pivotFmt>
      <c:pivotFmt>
        <c:idx val="573"/>
      </c:pivotFmt>
      <c:pivotFmt>
        <c:idx val="574"/>
      </c:pivotFmt>
      <c:pivotFmt>
        <c:idx val="575"/>
      </c:pivotFmt>
      <c:pivotFmt>
        <c:idx val="576"/>
      </c:pivotFmt>
      <c:pivotFmt>
        <c:idx val="577"/>
      </c:pivotFmt>
      <c:pivotFmt>
        <c:idx val="578"/>
      </c:pivotFmt>
      <c:pivotFmt>
        <c:idx val="579"/>
      </c:pivotFmt>
      <c:pivotFmt>
        <c:idx val="580"/>
      </c:pivotFmt>
      <c:pivotFmt>
        <c:idx val="581"/>
      </c:pivotFmt>
      <c:pivotFmt>
        <c:idx val="582"/>
      </c:pivotFmt>
      <c:pivotFmt>
        <c:idx val="583"/>
      </c:pivotFmt>
      <c:pivotFmt>
        <c:idx val="584"/>
      </c:pivotFmt>
      <c:pivotFmt>
        <c:idx val="585"/>
      </c:pivotFmt>
      <c:pivotFmt>
        <c:idx val="586"/>
      </c:pivotFmt>
      <c:pivotFmt>
        <c:idx val="587"/>
      </c:pivotFmt>
      <c:pivotFmt>
        <c:idx val="588"/>
      </c:pivotFmt>
      <c:pivotFmt>
        <c:idx val="589"/>
      </c:pivotFmt>
      <c:pivotFmt>
        <c:idx val="590"/>
      </c:pivotFmt>
      <c:pivotFmt>
        <c:idx val="591"/>
      </c:pivotFmt>
      <c:pivotFmt>
        <c:idx val="592"/>
      </c:pivotFmt>
      <c:pivotFmt>
        <c:idx val="593"/>
      </c:pivotFmt>
      <c:pivotFmt>
        <c:idx val="594"/>
      </c:pivotFmt>
      <c:pivotFmt>
        <c:idx val="595"/>
      </c:pivotFmt>
      <c:pivotFmt>
        <c:idx val="596"/>
      </c:pivotFmt>
      <c:pivotFmt>
        <c:idx val="597"/>
      </c:pivotFmt>
      <c:pivotFmt>
        <c:idx val="598"/>
      </c:pivotFmt>
      <c:pivotFmt>
        <c:idx val="599"/>
      </c:pivotFmt>
      <c:pivotFmt>
        <c:idx val="600"/>
      </c:pivotFmt>
      <c:pivotFmt>
        <c:idx val="601"/>
      </c:pivotFmt>
      <c:pivotFmt>
        <c:idx val="602"/>
      </c:pivotFmt>
      <c:pivotFmt>
        <c:idx val="603"/>
      </c:pivotFmt>
      <c:pivotFmt>
        <c:idx val="604"/>
      </c:pivotFmt>
      <c:pivotFmt>
        <c:idx val="605"/>
      </c:pivotFmt>
      <c:pivotFmt>
        <c:idx val="606"/>
      </c:pivotFmt>
      <c:pivotFmt>
        <c:idx val="607"/>
      </c:pivotFmt>
      <c:pivotFmt>
        <c:idx val="608"/>
      </c:pivotFmt>
      <c:pivotFmt>
        <c:idx val="609"/>
      </c:pivotFmt>
      <c:pivotFmt>
        <c:idx val="610"/>
      </c:pivotFmt>
      <c:pivotFmt>
        <c:idx val="611"/>
      </c:pivotFmt>
      <c:pivotFmt>
        <c:idx val="612"/>
      </c:pivotFmt>
      <c:pivotFmt>
        <c:idx val="613"/>
      </c:pivotFmt>
      <c:pivotFmt>
        <c:idx val="614"/>
      </c:pivotFmt>
      <c:pivotFmt>
        <c:idx val="615"/>
      </c:pivotFmt>
      <c:pivotFmt>
        <c:idx val="616"/>
      </c:pivotFmt>
      <c:pivotFmt>
        <c:idx val="617"/>
      </c:pivotFmt>
      <c:pivotFmt>
        <c:idx val="618"/>
      </c:pivotFmt>
      <c:pivotFmt>
        <c:idx val="619"/>
      </c:pivotFmt>
      <c:pivotFmt>
        <c:idx val="620"/>
      </c:pivotFmt>
      <c:pivotFmt>
        <c:idx val="621"/>
      </c:pivotFmt>
      <c:pivotFmt>
        <c:idx val="622"/>
      </c:pivotFmt>
      <c:pivotFmt>
        <c:idx val="623"/>
      </c:pivotFmt>
      <c:pivotFmt>
        <c:idx val="624"/>
      </c:pivotFmt>
      <c:pivotFmt>
        <c:idx val="625"/>
      </c:pivotFmt>
      <c:pivotFmt>
        <c:idx val="626"/>
      </c:pivotFmt>
      <c:pivotFmt>
        <c:idx val="627"/>
      </c:pivotFmt>
      <c:pivotFmt>
        <c:idx val="628"/>
      </c:pivotFmt>
      <c:pivotFmt>
        <c:idx val="629"/>
      </c:pivotFmt>
      <c:pivotFmt>
        <c:idx val="630"/>
      </c:pivotFmt>
      <c:pivotFmt>
        <c:idx val="631"/>
      </c:pivotFmt>
      <c:pivotFmt>
        <c:idx val="632"/>
      </c:pivotFmt>
      <c:pivotFmt>
        <c:idx val="633"/>
      </c:pivotFmt>
      <c:pivotFmt>
        <c:idx val="634"/>
      </c:pivotFmt>
      <c:pivotFmt>
        <c:idx val="635"/>
      </c:pivotFmt>
      <c:pivotFmt>
        <c:idx val="636"/>
      </c:pivotFmt>
      <c:pivotFmt>
        <c:idx val="637"/>
      </c:pivotFmt>
      <c:pivotFmt>
        <c:idx val="638"/>
      </c:pivotFmt>
      <c:pivotFmt>
        <c:idx val="639"/>
      </c:pivotFmt>
      <c:pivotFmt>
        <c:idx val="640"/>
      </c:pivotFmt>
      <c:pivotFmt>
        <c:idx val="641"/>
      </c:pivotFmt>
      <c:pivotFmt>
        <c:idx val="642"/>
      </c:pivotFmt>
      <c:pivotFmt>
        <c:idx val="643"/>
      </c:pivotFmt>
      <c:pivotFmt>
        <c:idx val="644"/>
      </c:pivotFmt>
      <c:pivotFmt>
        <c:idx val="645"/>
      </c:pivotFmt>
      <c:pivotFmt>
        <c:idx val="646"/>
      </c:pivotFmt>
      <c:pivotFmt>
        <c:idx val="647"/>
      </c:pivotFmt>
      <c:pivotFmt>
        <c:idx val="648"/>
      </c:pivotFmt>
      <c:pivotFmt>
        <c:idx val="649"/>
      </c:pivotFmt>
      <c:pivotFmt>
        <c:idx val="650"/>
      </c:pivotFmt>
      <c:pivotFmt>
        <c:idx val="651"/>
      </c:pivotFmt>
      <c:pivotFmt>
        <c:idx val="652"/>
      </c:pivotFmt>
      <c:pivotFmt>
        <c:idx val="653"/>
      </c:pivotFmt>
      <c:pivotFmt>
        <c:idx val="654"/>
      </c:pivotFmt>
      <c:pivotFmt>
        <c:idx val="655"/>
      </c:pivotFmt>
      <c:pivotFmt>
        <c:idx val="656"/>
      </c:pivotFmt>
      <c:pivotFmt>
        <c:idx val="657"/>
      </c:pivotFmt>
      <c:pivotFmt>
        <c:idx val="658"/>
      </c:pivotFmt>
      <c:pivotFmt>
        <c:idx val="659"/>
      </c:pivotFmt>
      <c:pivotFmt>
        <c:idx val="660"/>
      </c:pivotFmt>
      <c:pivotFmt>
        <c:idx val="661"/>
      </c:pivotFmt>
      <c:pivotFmt>
        <c:idx val="662"/>
      </c:pivotFmt>
      <c:pivotFmt>
        <c:idx val="663"/>
      </c:pivotFmt>
      <c:pivotFmt>
        <c:idx val="664"/>
      </c:pivotFmt>
      <c:pivotFmt>
        <c:idx val="665"/>
      </c:pivotFmt>
      <c:pivotFmt>
        <c:idx val="666"/>
      </c:pivotFmt>
      <c:pivotFmt>
        <c:idx val="667"/>
      </c:pivotFmt>
      <c:pivotFmt>
        <c:idx val="668"/>
      </c:pivotFmt>
      <c:pivotFmt>
        <c:idx val="669"/>
      </c:pivotFmt>
      <c:pivotFmt>
        <c:idx val="670"/>
      </c:pivotFmt>
      <c:pivotFmt>
        <c:idx val="671"/>
      </c:pivotFmt>
      <c:pivotFmt>
        <c:idx val="672"/>
      </c:pivotFmt>
      <c:pivotFmt>
        <c:idx val="673"/>
      </c:pivotFmt>
      <c:pivotFmt>
        <c:idx val="674"/>
      </c:pivotFmt>
      <c:pivotFmt>
        <c:idx val="675"/>
      </c:pivotFmt>
      <c:pivotFmt>
        <c:idx val="676"/>
      </c:pivotFmt>
      <c:pivotFmt>
        <c:idx val="677"/>
      </c:pivotFmt>
      <c:pivotFmt>
        <c:idx val="678"/>
      </c:pivotFmt>
      <c:pivotFmt>
        <c:idx val="679"/>
      </c:pivotFmt>
      <c:pivotFmt>
        <c:idx val="680"/>
      </c:pivotFmt>
      <c:pivotFmt>
        <c:idx val="681"/>
      </c:pivotFmt>
      <c:pivotFmt>
        <c:idx val="682"/>
      </c:pivotFmt>
      <c:pivotFmt>
        <c:idx val="683"/>
      </c:pivotFmt>
      <c:pivotFmt>
        <c:idx val="684"/>
      </c:pivotFmt>
      <c:pivotFmt>
        <c:idx val="685"/>
      </c:pivotFmt>
      <c:pivotFmt>
        <c:idx val="686"/>
      </c:pivotFmt>
      <c:pivotFmt>
        <c:idx val="687"/>
      </c:pivotFmt>
      <c:pivotFmt>
        <c:idx val="688"/>
      </c:pivotFmt>
      <c:pivotFmt>
        <c:idx val="689"/>
      </c:pivotFmt>
      <c:pivotFmt>
        <c:idx val="690"/>
      </c:pivotFmt>
      <c:pivotFmt>
        <c:idx val="691"/>
      </c:pivotFmt>
      <c:pivotFmt>
        <c:idx val="692"/>
      </c:pivotFmt>
      <c:pivotFmt>
        <c:idx val="693"/>
      </c:pivotFmt>
      <c:pivotFmt>
        <c:idx val="694"/>
      </c:pivotFmt>
      <c:pivotFmt>
        <c:idx val="695"/>
      </c:pivotFmt>
      <c:pivotFmt>
        <c:idx val="696"/>
      </c:pivotFmt>
      <c:pivotFmt>
        <c:idx val="697"/>
      </c:pivotFmt>
      <c:pivotFmt>
        <c:idx val="698"/>
      </c:pivotFmt>
      <c:pivotFmt>
        <c:idx val="699"/>
      </c:pivotFmt>
      <c:pivotFmt>
        <c:idx val="700"/>
      </c:pivotFmt>
      <c:pivotFmt>
        <c:idx val="701"/>
      </c:pivotFmt>
      <c:pivotFmt>
        <c:idx val="702"/>
      </c:pivotFmt>
      <c:pivotFmt>
        <c:idx val="703"/>
      </c:pivotFmt>
      <c:pivotFmt>
        <c:idx val="704"/>
      </c:pivotFmt>
      <c:pivotFmt>
        <c:idx val="705"/>
      </c:pivotFmt>
      <c:pivotFmt>
        <c:idx val="706"/>
      </c:pivotFmt>
      <c:pivotFmt>
        <c:idx val="707"/>
      </c:pivotFmt>
      <c:pivotFmt>
        <c:idx val="708"/>
      </c:pivotFmt>
      <c:pivotFmt>
        <c:idx val="709"/>
      </c:pivotFmt>
      <c:pivotFmt>
        <c:idx val="710"/>
      </c:pivotFmt>
      <c:pivotFmt>
        <c:idx val="711"/>
      </c:pivotFmt>
      <c:pivotFmt>
        <c:idx val="712"/>
      </c:pivotFmt>
      <c:pivotFmt>
        <c:idx val="713"/>
      </c:pivotFmt>
      <c:pivotFmt>
        <c:idx val="714"/>
      </c:pivotFmt>
      <c:pivotFmt>
        <c:idx val="715"/>
      </c:pivotFmt>
      <c:pivotFmt>
        <c:idx val="716"/>
      </c:pivotFmt>
      <c:pivotFmt>
        <c:idx val="717"/>
      </c:pivotFmt>
      <c:pivotFmt>
        <c:idx val="718"/>
      </c:pivotFmt>
      <c:pivotFmt>
        <c:idx val="719"/>
      </c:pivotFmt>
      <c:pivotFmt>
        <c:idx val="720"/>
      </c:pivotFmt>
      <c:pivotFmt>
        <c:idx val="721"/>
      </c:pivotFmt>
      <c:pivotFmt>
        <c:idx val="722"/>
      </c:pivotFmt>
      <c:pivotFmt>
        <c:idx val="723"/>
      </c:pivotFmt>
      <c:pivotFmt>
        <c:idx val="724"/>
      </c:pivotFmt>
      <c:pivotFmt>
        <c:idx val="725"/>
      </c:pivotFmt>
      <c:pivotFmt>
        <c:idx val="726"/>
      </c:pivotFmt>
      <c:pivotFmt>
        <c:idx val="727"/>
      </c:pivotFmt>
      <c:pivotFmt>
        <c:idx val="728"/>
      </c:pivotFmt>
      <c:pivotFmt>
        <c:idx val="729"/>
      </c:pivotFmt>
      <c:pivotFmt>
        <c:idx val="730"/>
      </c:pivotFmt>
      <c:pivotFmt>
        <c:idx val="731"/>
      </c:pivotFmt>
      <c:pivotFmt>
        <c:idx val="732"/>
      </c:pivotFmt>
      <c:pivotFmt>
        <c:idx val="733"/>
      </c:pivotFmt>
      <c:pivotFmt>
        <c:idx val="734"/>
      </c:pivotFmt>
      <c:pivotFmt>
        <c:idx val="735"/>
      </c:pivotFmt>
      <c:pivotFmt>
        <c:idx val="736"/>
      </c:pivotFmt>
      <c:pivotFmt>
        <c:idx val="737"/>
      </c:pivotFmt>
      <c:pivotFmt>
        <c:idx val="738"/>
      </c:pivotFmt>
      <c:pivotFmt>
        <c:idx val="739"/>
      </c:pivotFmt>
      <c:pivotFmt>
        <c:idx val="740"/>
      </c:pivotFmt>
      <c:pivotFmt>
        <c:idx val="741"/>
      </c:pivotFmt>
      <c:pivotFmt>
        <c:idx val="742"/>
      </c:pivotFmt>
      <c:pivotFmt>
        <c:idx val="743"/>
      </c:pivotFmt>
      <c:pivotFmt>
        <c:idx val="744"/>
      </c:pivotFmt>
      <c:pivotFmt>
        <c:idx val="745"/>
      </c:pivotFmt>
      <c:pivotFmt>
        <c:idx val="746"/>
      </c:pivotFmt>
      <c:pivotFmt>
        <c:idx val="747"/>
      </c:pivotFmt>
      <c:pivotFmt>
        <c:idx val="748"/>
      </c:pivotFmt>
      <c:pivotFmt>
        <c:idx val="749"/>
      </c:pivotFmt>
      <c:pivotFmt>
        <c:idx val="750"/>
      </c:pivotFmt>
      <c:pivotFmt>
        <c:idx val="751"/>
      </c:pivotFmt>
      <c:pivotFmt>
        <c:idx val="752"/>
      </c:pivotFmt>
      <c:pivotFmt>
        <c:idx val="753"/>
      </c:pivotFmt>
      <c:pivotFmt>
        <c:idx val="754"/>
      </c:pivotFmt>
      <c:pivotFmt>
        <c:idx val="755"/>
      </c:pivotFmt>
      <c:pivotFmt>
        <c:idx val="756"/>
      </c:pivotFmt>
      <c:pivotFmt>
        <c:idx val="757"/>
      </c:pivotFmt>
      <c:pivotFmt>
        <c:idx val="758"/>
      </c:pivotFmt>
      <c:pivotFmt>
        <c:idx val="759"/>
      </c:pivotFmt>
      <c:pivotFmt>
        <c:idx val="760"/>
      </c:pivotFmt>
      <c:pivotFmt>
        <c:idx val="761"/>
      </c:pivotFmt>
      <c:pivotFmt>
        <c:idx val="762"/>
      </c:pivotFmt>
      <c:pivotFmt>
        <c:idx val="763"/>
      </c:pivotFmt>
      <c:pivotFmt>
        <c:idx val="764"/>
      </c:pivotFmt>
      <c:pivotFmt>
        <c:idx val="765"/>
      </c:pivotFmt>
      <c:pivotFmt>
        <c:idx val="766"/>
      </c:pivotFmt>
      <c:pivotFmt>
        <c:idx val="767"/>
      </c:pivotFmt>
      <c:pivotFmt>
        <c:idx val="768"/>
      </c:pivotFmt>
      <c:pivotFmt>
        <c:idx val="769"/>
      </c:pivotFmt>
      <c:pivotFmt>
        <c:idx val="770"/>
      </c:pivotFmt>
      <c:pivotFmt>
        <c:idx val="771"/>
      </c:pivotFmt>
      <c:pivotFmt>
        <c:idx val="772"/>
      </c:pivotFmt>
      <c:pivotFmt>
        <c:idx val="773"/>
      </c:pivotFmt>
      <c:pivotFmt>
        <c:idx val="774"/>
      </c:pivotFmt>
      <c:pivotFmt>
        <c:idx val="775"/>
      </c:pivotFmt>
      <c:pivotFmt>
        <c:idx val="776"/>
      </c:pivotFmt>
      <c:pivotFmt>
        <c:idx val="777"/>
      </c:pivotFmt>
      <c:pivotFmt>
        <c:idx val="778"/>
      </c:pivotFmt>
      <c:pivotFmt>
        <c:idx val="779"/>
      </c:pivotFmt>
      <c:pivotFmt>
        <c:idx val="780"/>
      </c:pivotFmt>
      <c:pivotFmt>
        <c:idx val="781"/>
      </c:pivotFmt>
      <c:pivotFmt>
        <c:idx val="782"/>
      </c:pivotFmt>
      <c:pivotFmt>
        <c:idx val="783"/>
      </c:pivotFmt>
      <c:pivotFmt>
        <c:idx val="784"/>
      </c:pivotFmt>
      <c:pivotFmt>
        <c:idx val="785"/>
      </c:pivotFmt>
      <c:pivotFmt>
        <c:idx val="786"/>
      </c:pivotFmt>
      <c:pivotFmt>
        <c:idx val="787"/>
      </c:pivotFmt>
      <c:pivotFmt>
        <c:idx val="788"/>
      </c:pivotFmt>
      <c:pivotFmt>
        <c:idx val="789"/>
      </c:pivotFmt>
      <c:pivotFmt>
        <c:idx val="790"/>
      </c:pivotFmt>
      <c:pivotFmt>
        <c:idx val="791"/>
      </c:pivotFmt>
      <c:pivotFmt>
        <c:idx val="792"/>
      </c:pivotFmt>
      <c:pivotFmt>
        <c:idx val="793"/>
      </c:pivotFmt>
      <c:pivotFmt>
        <c:idx val="794"/>
      </c:pivotFmt>
      <c:pivotFmt>
        <c:idx val="795"/>
      </c:pivotFmt>
      <c:pivotFmt>
        <c:idx val="796"/>
      </c:pivotFmt>
      <c:pivotFmt>
        <c:idx val="797"/>
      </c:pivotFmt>
      <c:pivotFmt>
        <c:idx val="798"/>
      </c:pivotFmt>
      <c:pivotFmt>
        <c:idx val="799"/>
      </c:pivotFmt>
      <c:pivotFmt>
        <c:idx val="800"/>
      </c:pivotFmt>
      <c:pivotFmt>
        <c:idx val="801"/>
      </c:pivotFmt>
      <c:pivotFmt>
        <c:idx val="802"/>
      </c:pivotFmt>
      <c:pivotFmt>
        <c:idx val="803"/>
      </c:pivotFmt>
      <c:pivotFmt>
        <c:idx val="804"/>
      </c:pivotFmt>
      <c:pivotFmt>
        <c:idx val="805"/>
      </c:pivotFmt>
      <c:pivotFmt>
        <c:idx val="806"/>
      </c:pivotFmt>
      <c:pivotFmt>
        <c:idx val="807"/>
      </c:pivotFmt>
      <c:pivotFmt>
        <c:idx val="808"/>
      </c:pivotFmt>
      <c:pivotFmt>
        <c:idx val="809"/>
      </c:pivotFmt>
      <c:pivotFmt>
        <c:idx val="810"/>
      </c:pivotFmt>
      <c:pivotFmt>
        <c:idx val="811"/>
      </c:pivotFmt>
      <c:pivotFmt>
        <c:idx val="812"/>
      </c:pivotFmt>
      <c:pivotFmt>
        <c:idx val="813"/>
      </c:pivotFmt>
      <c:pivotFmt>
        <c:idx val="814"/>
      </c:pivotFmt>
      <c:pivotFmt>
        <c:idx val="815"/>
      </c:pivotFmt>
      <c:pivotFmt>
        <c:idx val="816"/>
      </c:pivotFmt>
      <c:pivotFmt>
        <c:idx val="817"/>
      </c:pivotFmt>
      <c:pivotFmt>
        <c:idx val="818"/>
      </c:pivotFmt>
      <c:pivotFmt>
        <c:idx val="819"/>
      </c:pivotFmt>
      <c:pivotFmt>
        <c:idx val="820"/>
      </c:pivotFmt>
      <c:pivotFmt>
        <c:idx val="821"/>
      </c:pivotFmt>
      <c:pivotFmt>
        <c:idx val="822"/>
      </c:pivotFmt>
      <c:pivotFmt>
        <c:idx val="823"/>
      </c:pivotFmt>
      <c:pivotFmt>
        <c:idx val="824"/>
      </c:pivotFmt>
      <c:pivotFmt>
        <c:idx val="825"/>
      </c:pivotFmt>
      <c:pivotFmt>
        <c:idx val="826"/>
      </c:pivotFmt>
      <c:pivotFmt>
        <c:idx val="827"/>
      </c:pivotFmt>
      <c:pivotFmt>
        <c:idx val="828"/>
      </c:pivotFmt>
      <c:pivotFmt>
        <c:idx val="829"/>
      </c:pivotFmt>
      <c:pivotFmt>
        <c:idx val="830"/>
      </c:pivotFmt>
      <c:pivotFmt>
        <c:idx val="831"/>
      </c:pivotFmt>
      <c:pivotFmt>
        <c:idx val="832"/>
      </c:pivotFmt>
      <c:pivotFmt>
        <c:idx val="833"/>
      </c:pivotFmt>
      <c:pivotFmt>
        <c:idx val="834"/>
      </c:pivotFmt>
      <c:pivotFmt>
        <c:idx val="835"/>
      </c:pivotFmt>
      <c:pivotFmt>
        <c:idx val="836"/>
      </c:pivotFmt>
      <c:pivotFmt>
        <c:idx val="837"/>
      </c:pivotFmt>
      <c:pivotFmt>
        <c:idx val="838"/>
      </c:pivotFmt>
      <c:pivotFmt>
        <c:idx val="839"/>
      </c:pivotFmt>
      <c:pivotFmt>
        <c:idx val="840"/>
      </c:pivotFmt>
      <c:pivotFmt>
        <c:idx val="841"/>
      </c:pivotFmt>
      <c:pivotFmt>
        <c:idx val="842"/>
      </c:pivotFmt>
      <c:pivotFmt>
        <c:idx val="843"/>
      </c:pivotFmt>
      <c:pivotFmt>
        <c:idx val="844"/>
      </c:pivotFmt>
      <c:pivotFmt>
        <c:idx val="845"/>
      </c:pivotFmt>
      <c:pivotFmt>
        <c:idx val="846"/>
      </c:pivotFmt>
      <c:pivotFmt>
        <c:idx val="847"/>
      </c:pivotFmt>
      <c:pivotFmt>
        <c:idx val="848"/>
      </c:pivotFmt>
      <c:pivotFmt>
        <c:idx val="849"/>
      </c:pivotFmt>
      <c:pivotFmt>
        <c:idx val="850"/>
      </c:pivotFmt>
      <c:pivotFmt>
        <c:idx val="851"/>
      </c:pivotFmt>
      <c:pivotFmt>
        <c:idx val="852"/>
      </c:pivotFmt>
      <c:pivotFmt>
        <c:idx val="853"/>
      </c:pivotFmt>
      <c:pivotFmt>
        <c:idx val="854"/>
      </c:pivotFmt>
      <c:pivotFmt>
        <c:idx val="855"/>
      </c:pivotFmt>
      <c:pivotFmt>
        <c:idx val="856"/>
      </c:pivotFmt>
      <c:pivotFmt>
        <c:idx val="857"/>
      </c:pivotFmt>
      <c:pivotFmt>
        <c:idx val="858"/>
      </c:pivotFmt>
      <c:pivotFmt>
        <c:idx val="859"/>
      </c:pivotFmt>
      <c:pivotFmt>
        <c:idx val="860"/>
      </c:pivotFmt>
      <c:pivotFmt>
        <c:idx val="861"/>
      </c:pivotFmt>
      <c:pivotFmt>
        <c:idx val="862"/>
      </c:pivotFmt>
      <c:pivotFmt>
        <c:idx val="863"/>
      </c:pivotFmt>
      <c:pivotFmt>
        <c:idx val="864"/>
      </c:pivotFmt>
      <c:pivotFmt>
        <c:idx val="865"/>
      </c:pivotFmt>
      <c:pivotFmt>
        <c:idx val="866"/>
      </c:pivotFmt>
      <c:pivotFmt>
        <c:idx val="867"/>
      </c:pivotFmt>
      <c:pivotFmt>
        <c:idx val="868"/>
      </c:pivotFmt>
      <c:pivotFmt>
        <c:idx val="869"/>
      </c:pivotFmt>
      <c:pivotFmt>
        <c:idx val="870"/>
      </c:pivotFmt>
      <c:pivotFmt>
        <c:idx val="871"/>
      </c:pivotFmt>
      <c:pivotFmt>
        <c:idx val="872"/>
      </c:pivotFmt>
      <c:pivotFmt>
        <c:idx val="873"/>
      </c:pivotFmt>
      <c:pivotFmt>
        <c:idx val="874"/>
      </c:pivotFmt>
      <c:pivotFmt>
        <c:idx val="875"/>
      </c:pivotFmt>
      <c:pivotFmt>
        <c:idx val="876"/>
      </c:pivotFmt>
      <c:pivotFmt>
        <c:idx val="877"/>
      </c:pivotFmt>
      <c:pivotFmt>
        <c:idx val="878"/>
      </c:pivotFmt>
      <c:pivotFmt>
        <c:idx val="879"/>
      </c:pivotFmt>
      <c:pivotFmt>
        <c:idx val="880"/>
      </c:pivotFmt>
      <c:pivotFmt>
        <c:idx val="881"/>
      </c:pivotFmt>
      <c:pivotFmt>
        <c:idx val="882"/>
      </c:pivotFmt>
      <c:pivotFmt>
        <c:idx val="883"/>
      </c:pivotFmt>
      <c:pivotFmt>
        <c:idx val="884"/>
      </c:pivotFmt>
      <c:pivotFmt>
        <c:idx val="885"/>
      </c:pivotFmt>
      <c:pivotFmt>
        <c:idx val="886"/>
      </c:pivotFmt>
      <c:pivotFmt>
        <c:idx val="887"/>
      </c:pivotFmt>
      <c:pivotFmt>
        <c:idx val="888"/>
      </c:pivotFmt>
      <c:pivotFmt>
        <c:idx val="889"/>
      </c:pivotFmt>
      <c:pivotFmt>
        <c:idx val="890"/>
      </c:pivotFmt>
      <c:pivotFmt>
        <c:idx val="891"/>
      </c:pivotFmt>
      <c:pivotFmt>
        <c:idx val="892"/>
      </c:pivotFmt>
      <c:pivotFmt>
        <c:idx val="893"/>
      </c:pivotFmt>
      <c:pivotFmt>
        <c:idx val="894"/>
      </c:pivotFmt>
      <c:pivotFmt>
        <c:idx val="895"/>
      </c:pivotFmt>
      <c:pivotFmt>
        <c:idx val="896"/>
      </c:pivotFmt>
      <c:pivotFmt>
        <c:idx val="897"/>
      </c:pivotFmt>
      <c:pivotFmt>
        <c:idx val="898"/>
      </c:pivotFmt>
      <c:pivotFmt>
        <c:idx val="899"/>
      </c:pivotFmt>
      <c:pivotFmt>
        <c:idx val="900"/>
      </c:pivotFmt>
      <c:pivotFmt>
        <c:idx val="901"/>
      </c:pivotFmt>
      <c:pivotFmt>
        <c:idx val="902"/>
      </c:pivotFmt>
      <c:pivotFmt>
        <c:idx val="903"/>
      </c:pivotFmt>
      <c:pivotFmt>
        <c:idx val="904"/>
      </c:pivotFmt>
      <c:pivotFmt>
        <c:idx val="905"/>
      </c:pivotFmt>
      <c:pivotFmt>
        <c:idx val="906"/>
      </c:pivotFmt>
      <c:pivotFmt>
        <c:idx val="907"/>
      </c:pivotFmt>
      <c:pivotFmt>
        <c:idx val="908"/>
      </c:pivotFmt>
      <c:pivotFmt>
        <c:idx val="909"/>
      </c:pivotFmt>
      <c:pivotFmt>
        <c:idx val="910"/>
      </c:pivotFmt>
      <c:pivotFmt>
        <c:idx val="911"/>
      </c:pivotFmt>
      <c:pivotFmt>
        <c:idx val="912"/>
      </c:pivotFmt>
      <c:pivotFmt>
        <c:idx val="913"/>
      </c:pivotFmt>
      <c:pivotFmt>
        <c:idx val="914"/>
      </c:pivotFmt>
      <c:pivotFmt>
        <c:idx val="915"/>
      </c:pivotFmt>
      <c:pivotFmt>
        <c:idx val="916"/>
      </c:pivotFmt>
      <c:pivotFmt>
        <c:idx val="917"/>
      </c:pivotFmt>
      <c:pivotFmt>
        <c:idx val="918"/>
      </c:pivotFmt>
      <c:pivotFmt>
        <c:idx val="919"/>
      </c:pivotFmt>
      <c:pivotFmt>
        <c:idx val="920"/>
      </c:pivotFmt>
      <c:pivotFmt>
        <c:idx val="921"/>
      </c:pivotFmt>
      <c:pivotFmt>
        <c:idx val="922"/>
      </c:pivotFmt>
      <c:pivotFmt>
        <c:idx val="923"/>
      </c:pivotFmt>
      <c:pivotFmt>
        <c:idx val="924"/>
      </c:pivotFmt>
      <c:pivotFmt>
        <c:idx val="925"/>
      </c:pivotFmt>
      <c:pivotFmt>
        <c:idx val="926"/>
      </c:pivotFmt>
      <c:pivotFmt>
        <c:idx val="927"/>
      </c:pivotFmt>
      <c:pivotFmt>
        <c:idx val="928"/>
      </c:pivotFmt>
      <c:pivotFmt>
        <c:idx val="929"/>
      </c:pivotFmt>
      <c:pivotFmt>
        <c:idx val="930"/>
      </c:pivotFmt>
      <c:pivotFmt>
        <c:idx val="931"/>
      </c:pivotFmt>
      <c:pivotFmt>
        <c:idx val="932"/>
      </c:pivotFmt>
      <c:pivotFmt>
        <c:idx val="933"/>
      </c:pivotFmt>
      <c:pivotFmt>
        <c:idx val="934"/>
      </c:pivotFmt>
      <c:pivotFmt>
        <c:idx val="935"/>
      </c:pivotFmt>
      <c:pivotFmt>
        <c:idx val="936"/>
      </c:pivotFmt>
      <c:pivotFmt>
        <c:idx val="937"/>
      </c:pivotFmt>
      <c:pivotFmt>
        <c:idx val="938"/>
      </c:pivotFmt>
      <c:pivotFmt>
        <c:idx val="939"/>
      </c:pivotFmt>
      <c:pivotFmt>
        <c:idx val="940"/>
      </c:pivotFmt>
      <c:pivotFmt>
        <c:idx val="941"/>
      </c:pivotFmt>
      <c:pivotFmt>
        <c:idx val="942"/>
      </c:pivotFmt>
      <c:pivotFmt>
        <c:idx val="943"/>
      </c:pivotFmt>
      <c:pivotFmt>
        <c:idx val="944"/>
      </c:pivotFmt>
      <c:pivotFmt>
        <c:idx val="945"/>
      </c:pivotFmt>
      <c:pivotFmt>
        <c:idx val="946"/>
      </c:pivotFmt>
      <c:pivotFmt>
        <c:idx val="947"/>
      </c:pivotFmt>
      <c:pivotFmt>
        <c:idx val="948"/>
      </c:pivotFmt>
      <c:pivotFmt>
        <c:idx val="949"/>
      </c:pivotFmt>
      <c:pivotFmt>
        <c:idx val="950"/>
      </c:pivotFmt>
      <c:pivotFmt>
        <c:idx val="951"/>
      </c:pivotFmt>
      <c:pivotFmt>
        <c:idx val="952"/>
      </c:pivotFmt>
      <c:pivotFmt>
        <c:idx val="953"/>
      </c:pivotFmt>
      <c:pivotFmt>
        <c:idx val="954"/>
      </c:pivotFmt>
      <c:pivotFmt>
        <c:idx val="955"/>
      </c:pivotFmt>
      <c:pivotFmt>
        <c:idx val="956"/>
      </c:pivotFmt>
      <c:pivotFmt>
        <c:idx val="957"/>
      </c:pivotFmt>
      <c:pivotFmt>
        <c:idx val="958"/>
      </c:pivotFmt>
      <c:pivotFmt>
        <c:idx val="959"/>
      </c:pivotFmt>
      <c:pivotFmt>
        <c:idx val="960"/>
      </c:pivotFmt>
      <c:pivotFmt>
        <c:idx val="961"/>
      </c:pivotFmt>
      <c:pivotFmt>
        <c:idx val="962"/>
      </c:pivotFmt>
      <c:pivotFmt>
        <c:idx val="963"/>
      </c:pivotFmt>
      <c:pivotFmt>
        <c:idx val="964"/>
      </c:pivotFmt>
      <c:pivotFmt>
        <c:idx val="965"/>
      </c:pivotFmt>
      <c:pivotFmt>
        <c:idx val="966"/>
      </c:pivotFmt>
      <c:pivotFmt>
        <c:idx val="967"/>
      </c:pivotFmt>
      <c:pivotFmt>
        <c:idx val="968"/>
      </c:pivotFmt>
      <c:pivotFmt>
        <c:idx val="969"/>
      </c:pivotFmt>
      <c:pivotFmt>
        <c:idx val="970"/>
      </c:pivotFmt>
      <c:pivotFmt>
        <c:idx val="971"/>
      </c:pivotFmt>
      <c:pivotFmt>
        <c:idx val="972"/>
      </c:pivotFmt>
      <c:pivotFmt>
        <c:idx val="973"/>
      </c:pivotFmt>
      <c:pivotFmt>
        <c:idx val="974"/>
      </c:pivotFmt>
      <c:pivotFmt>
        <c:idx val="975"/>
      </c:pivotFmt>
      <c:pivotFmt>
        <c:idx val="976"/>
      </c:pivotFmt>
      <c:pivotFmt>
        <c:idx val="977"/>
      </c:pivotFmt>
      <c:pivotFmt>
        <c:idx val="978"/>
      </c:pivotFmt>
      <c:pivotFmt>
        <c:idx val="979"/>
      </c:pivotFmt>
      <c:pivotFmt>
        <c:idx val="980"/>
      </c:pivotFmt>
      <c:pivotFmt>
        <c:idx val="981"/>
      </c:pivotFmt>
      <c:pivotFmt>
        <c:idx val="982"/>
      </c:pivotFmt>
      <c:pivotFmt>
        <c:idx val="983"/>
      </c:pivotFmt>
      <c:pivotFmt>
        <c:idx val="984"/>
      </c:pivotFmt>
      <c:pivotFmt>
        <c:idx val="985"/>
      </c:pivotFmt>
      <c:pivotFmt>
        <c:idx val="986"/>
      </c:pivotFmt>
      <c:pivotFmt>
        <c:idx val="987"/>
      </c:pivotFmt>
      <c:pivotFmt>
        <c:idx val="988"/>
      </c:pivotFmt>
      <c:pivotFmt>
        <c:idx val="989"/>
      </c:pivotFmt>
      <c:pivotFmt>
        <c:idx val="990"/>
      </c:pivotFmt>
      <c:pivotFmt>
        <c:idx val="991"/>
      </c:pivotFmt>
      <c:pivotFmt>
        <c:idx val="992"/>
      </c:pivotFmt>
      <c:pivotFmt>
        <c:idx val="993"/>
      </c:pivotFmt>
      <c:pivotFmt>
        <c:idx val="994"/>
      </c:pivotFmt>
      <c:pivotFmt>
        <c:idx val="995"/>
      </c:pivotFmt>
      <c:pivotFmt>
        <c:idx val="996"/>
      </c:pivotFmt>
      <c:pivotFmt>
        <c:idx val="997"/>
      </c:pivotFmt>
      <c:pivotFmt>
        <c:idx val="998"/>
      </c:pivotFmt>
      <c:pivotFmt>
        <c:idx val="999"/>
      </c:pivotFmt>
      <c:pivotFmt>
        <c:idx val="1000"/>
      </c:pivotFmt>
      <c:pivotFmt>
        <c:idx val="1001"/>
      </c:pivotFmt>
      <c:pivotFmt>
        <c:idx val="1002"/>
      </c:pivotFmt>
      <c:pivotFmt>
        <c:idx val="1003"/>
      </c:pivotFmt>
      <c:pivotFmt>
        <c:idx val="1004"/>
      </c:pivotFmt>
      <c:pivotFmt>
        <c:idx val="1005"/>
      </c:pivotFmt>
      <c:pivotFmt>
        <c:idx val="1006"/>
      </c:pivotFmt>
      <c:pivotFmt>
        <c:idx val="1007"/>
      </c:pivotFmt>
      <c:pivotFmt>
        <c:idx val="1008"/>
      </c:pivotFmt>
      <c:pivotFmt>
        <c:idx val="1009"/>
      </c:pivotFmt>
      <c:pivotFmt>
        <c:idx val="1010"/>
      </c:pivotFmt>
      <c:pivotFmt>
        <c:idx val="1011"/>
      </c:pivotFmt>
      <c:pivotFmt>
        <c:idx val="1012"/>
      </c:pivotFmt>
      <c:pivotFmt>
        <c:idx val="1013"/>
      </c:pivotFmt>
      <c:pivotFmt>
        <c:idx val="1014"/>
      </c:pivotFmt>
      <c:pivotFmt>
        <c:idx val="1015"/>
      </c:pivotFmt>
      <c:pivotFmt>
        <c:idx val="1016"/>
      </c:pivotFmt>
      <c:pivotFmt>
        <c:idx val="1017"/>
      </c:pivotFmt>
      <c:pivotFmt>
        <c:idx val="1018"/>
      </c:pivotFmt>
      <c:pivotFmt>
        <c:idx val="1019"/>
      </c:pivotFmt>
      <c:pivotFmt>
        <c:idx val="1020"/>
      </c:pivotFmt>
      <c:pivotFmt>
        <c:idx val="1021"/>
      </c:pivotFmt>
      <c:pivotFmt>
        <c:idx val="1022"/>
      </c:pivotFmt>
      <c:pivotFmt>
        <c:idx val="1023"/>
      </c:pivotFmt>
      <c:pivotFmt>
        <c:idx val="1024"/>
      </c:pivotFmt>
      <c:pivotFmt>
        <c:idx val="1025"/>
      </c:pivotFmt>
      <c:pivotFmt>
        <c:idx val="1026"/>
      </c:pivotFmt>
      <c:pivotFmt>
        <c:idx val="1027"/>
      </c:pivotFmt>
      <c:pivotFmt>
        <c:idx val="1028"/>
      </c:pivotFmt>
      <c:pivotFmt>
        <c:idx val="1029"/>
      </c:pivotFmt>
      <c:pivotFmt>
        <c:idx val="1030"/>
      </c:pivotFmt>
      <c:pivotFmt>
        <c:idx val="1031"/>
      </c:pivotFmt>
      <c:pivotFmt>
        <c:idx val="1032"/>
      </c:pivotFmt>
      <c:pivotFmt>
        <c:idx val="1033"/>
      </c:pivotFmt>
      <c:pivotFmt>
        <c:idx val="1034"/>
      </c:pivotFmt>
      <c:pivotFmt>
        <c:idx val="1035"/>
      </c:pivotFmt>
      <c:pivotFmt>
        <c:idx val="1036"/>
      </c:pivotFmt>
      <c:pivotFmt>
        <c:idx val="1037"/>
      </c:pivotFmt>
      <c:pivotFmt>
        <c:idx val="1038"/>
      </c:pivotFmt>
      <c:pivotFmt>
        <c:idx val="1039"/>
      </c:pivotFmt>
      <c:pivotFmt>
        <c:idx val="1040"/>
      </c:pivotFmt>
      <c:pivotFmt>
        <c:idx val="1041"/>
      </c:pivotFmt>
      <c:pivotFmt>
        <c:idx val="1042"/>
      </c:pivotFmt>
      <c:pivotFmt>
        <c:idx val="1043"/>
      </c:pivotFmt>
      <c:pivotFmt>
        <c:idx val="1044"/>
      </c:pivotFmt>
      <c:pivotFmt>
        <c:idx val="1045"/>
      </c:pivotFmt>
      <c:pivotFmt>
        <c:idx val="1046"/>
      </c:pivotFmt>
      <c:pivotFmt>
        <c:idx val="1047"/>
      </c:pivotFmt>
      <c:pivotFmt>
        <c:idx val="1048"/>
      </c:pivotFmt>
      <c:pivotFmt>
        <c:idx val="1049"/>
      </c:pivotFmt>
      <c:pivotFmt>
        <c:idx val="1050"/>
      </c:pivotFmt>
      <c:pivotFmt>
        <c:idx val="1051"/>
      </c:pivotFmt>
      <c:pivotFmt>
        <c:idx val="1052"/>
      </c:pivotFmt>
      <c:pivotFmt>
        <c:idx val="1053"/>
      </c:pivotFmt>
      <c:pivotFmt>
        <c:idx val="1054"/>
      </c:pivotFmt>
      <c:pivotFmt>
        <c:idx val="1055"/>
      </c:pivotFmt>
      <c:pivotFmt>
        <c:idx val="1056"/>
      </c:pivotFmt>
      <c:pivotFmt>
        <c:idx val="1057"/>
      </c:pivotFmt>
      <c:pivotFmt>
        <c:idx val="1058"/>
      </c:pivotFmt>
      <c:pivotFmt>
        <c:idx val="1059"/>
      </c:pivotFmt>
      <c:pivotFmt>
        <c:idx val="1060"/>
      </c:pivotFmt>
      <c:pivotFmt>
        <c:idx val="1061"/>
      </c:pivotFmt>
      <c:pivotFmt>
        <c:idx val="1062"/>
      </c:pivotFmt>
      <c:pivotFmt>
        <c:idx val="1063"/>
      </c:pivotFmt>
      <c:pivotFmt>
        <c:idx val="1064"/>
      </c:pivotFmt>
      <c:pivotFmt>
        <c:idx val="1065"/>
      </c:pivotFmt>
      <c:pivotFmt>
        <c:idx val="1066"/>
      </c:pivotFmt>
      <c:pivotFmt>
        <c:idx val="1067"/>
      </c:pivotFmt>
      <c:pivotFmt>
        <c:idx val="1068"/>
      </c:pivotFmt>
      <c:pivotFmt>
        <c:idx val="1069"/>
      </c:pivotFmt>
      <c:pivotFmt>
        <c:idx val="1070"/>
      </c:pivotFmt>
      <c:pivotFmt>
        <c:idx val="1071"/>
      </c:pivotFmt>
      <c:pivotFmt>
        <c:idx val="1072"/>
      </c:pivotFmt>
      <c:pivotFmt>
        <c:idx val="1073"/>
      </c:pivotFmt>
      <c:pivotFmt>
        <c:idx val="1074"/>
      </c:pivotFmt>
      <c:pivotFmt>
        <c:idx val="1075"/>
      </c:pivotFmt>
      <c:pivotFmt>
        <c:idx val="1076"/>
      </c:pivotFmt>
      <c:pivotFmt>
        <c:idx val="1077"/>
      </c:pivotFmt>
      <c:pivotFmt>
        <c:idx val="1078"/>
      </c:pivotFmt>
      <c:pivotFmt>
        <c:idx val="1079"/>
      </c:pivotFmt>
      <c:pivotFmt>
        <c:idx val="1080"/>
      </c:pivotFmt>
      <c:pivotFmt>
        <c:idx val="1081"/>
      </c:pivotFmt>
      <c:pivotFmt>
        <c:idx val="1082"/>
      </c:pivotFmt>
      <c:pivotFmt>
        <c:idx val="1083"/>
      </c:pivotFmt>
      <c:pivotFmt>
        <c:idx val="1084"/>
      </c:pivotFmt>
      <c:pivotFmt>
        <c:idx val="1085"/>
      </c:pivotFmt>
      <c:pivotFmt>
        <c:idx val="1086"/>
      </c:pivotFmt>
      <c:pivotFmt>
        <c:idx val="1087"/>
      </c:pivotFmt>
      <c:pivotFmt>
        <c:idx val="1088"/>
      </c:pivotFmt>
      <c:pivotFmt>
        <c:idx val="1089"/>
      </c:pivotFmt>
      <c:pivotFmt>
        <c:idx val="1090"/>
      </c:pivotFmt>
      <c:pivotFmt>
        <c:idx val="1091"/>
      </c:pivotFmt>
      <c:pivotFmt>
        <c:idx val="1092"/>
      </c:pivotFmt>
      <c:pivotFmt>
        <c:idx val="1093"/>
      </c:pivotFmt>
      <c:pivotFmt>
        <c:idx val="1094"/>
      </c:pivotFmt>
      <c:pivotFmt>
        <c:idx val="1095"/>
      </c:pivotFmt>
      <c:pivotFmt>
        <c:idx val="1096"/>
      </c:pivotFmt>
      <c:pivotFmt>
        <c:idx val="1097"/>
      </c:pivotFmt>
      <c:pivotFmt>
        <c:idx val="1098"/>
      </c:pivotFmt>
      <c:pivotFmt>
        <c:idx val="1099"/>
      </c:pivotFmt>
      <c:pivotFmt>
        <c:idx val="1100"/>
      </c:pivotFmt>
      <c:pivotFmt>
        <c:idx val="1101"/>
      </c:pivotFmt>
      <c:pivotFmt>
        <c:idx val="1102"/>
      </c:pivotFmt>
      <c:pivotFmt>
        <c:idx val="1103"/>
      </c:pivotFmt>
      <c:pivotFmt>
        <c:idx val="1104"/>
      </c:pivotFmt>
      <c:pivotFmt>
        <c:idx val="1105"/>
      </c:pivotFmt>
      <c:pivotFmt>
        <c:idx val="1106"/>
      </c:pivotFmt>
      <c:pivotFmt>
        <c:idx val="1107"/>
      </c:pivotFmt>
      <c:pivotFmt>
        <c:idx val="1108"/>
      </c:pivotFmt>
      <c:pivotFmt>
        <c:idx val="1109"/>
      </c:pivotFmt>
      <c:pivotFmt>
        <c:idx val="1110"/>
      </c:pivotFmt>
      <c:pivotFmt>
        <c:idx val="1111"/>
      </c:pivotFmt>
      <c:pivotFmt>
        <c:idx val="1112"/>
        <c:marker>
          <c:symbol val="none"/>
        </c:marker>
      </c:pivotFmt>
      <c:pivotFmt>
        <c:idx val="1113"/>
        <c:marker>
          <c:symbol val="none"/>
        </c:marker>
      </c:pivotFmt>
      <c:pivotFmt>
        <c:idx val="1114"/>
        <c:marker>
          <c:symbol val="none"/>
        </c:marker>
      </c:pivotFmt>
      <c:pivotFmt>
        <c:idx val="1115"/>
        <c:marker>
          <c:symbol val="none"/>
        </c:marker>
      </c:pivotFmt>
      <c:pivotFmt>
        <c:idx val="1116"/>
        <c:marker>
          <c:symbol val="none"/>
        </c:marker>
      </c:pivotFmt>
      <c:pivotFmt>
        <c:idx val="1117"/>
        <c:marker>
          <c:symbol val="none"/>
        </c:marker>
      </c:pivotFmt>
      <c:pivotFmt>
        <c:idx val="1118"/>
        <c:marker>
          <c:symbol val="none"/>
        </c:marker>
      </c:pivotFmt>
      <c:pivotFmt>
        <c:idx val="1119"/>
        <c:marker>
          <c:symbol val="none"/>
        </c:marker>
      </c:pivotFmt>
      <c:pivotFmt>
        <c:idx val="1120"/>
        <c:marker>
          <c:symbol val="none"/>
        </c:marker>
      </c:pivotFmt>
      <c:pivotFmt>
        <c:idx val="1121"/>
        <c:marker>
          <c:symbol val="none"/>
        </c:marker>
      </c:pivotFmt>
      <c:pivotFmt>
        <c:idx val="1122"/>
        <c:marker>
          <c:symbol val="none"/>
        </c:marker>
      </c:pivotFmt>
      <c:pivotFmt>
        <c:idx val="1123"/>
        <c:marker>
          <c:symbol val="none"/>
        </c:marker>
      </c:pivotFmt>
      <c:pivotFmt>
        <c:idx val="1124"/>
        <c:marker>
          <c:symbol val="none"/>
        </c:marker>
      </c:pivotFmt>
      <c:pivotFmt>
        <c:idx val="1125"/>
        <c:marker>
          <c:symbol val="none"/>
        </c:marker>
      </c:pivotFmt>
      <c:pivotFmt>
        <c:idx val="1126"/>
        <c:marker>
          <c:symbol val="none"/>
        </c:marker>
      </c:pivotFmt>
      <c:pivotFmt>
        <c:idx val="1127"/>
        <c:marker>
          <c:symbol val="none"/>
        </c:marker>
      </c:pivotFmt>
      <c:pivotFmt>
        <c:idx val="1128"/>
        <c:marker>
          <c:symbol val="none"/>
        </c:marker>
      </c:pivotFmt>
      <c:pivotFmt>
        <c:idx val="1129"/>
        <c:marker>
          <c:symbol val="none"/>
        </c:marker>
      </c:pivotFmt>
      <c:pivotFmt>
        <c:idx val="1130"/>
        <c:marker>
          <c:symbol val="none"/>
        </c:marker>
      </c:pivotFmt>
      <c:pivotFmt>
        <c:idx val="1131"/>
        <c:marker>
          <c:symbol val="none"/>
        </c:marker>
      </c:pivotFmt>
      <c:pivotFmt>
        <c:idx val="1132"/>
      </c:pivotFmt>
      <c:pivotFmt>
        <c:idx val="1133"/>
      </c:pivotFmt>
      <c:pivotFmt>
        <c:idx val="1134"/>
      </c:pivotFmt>
      <c:pivotFmt>
        <c:idx val="1135"/>
      </c:pivotFmt>
      <c:pivotFmt>
        <c:idx val="1136"/>
      </c:pivotFmt>
      <c:pivotFmt>
        <c:idx val="1137"/>
      </c:pivotFmt>
      <c:pivotFmt>
        <c:idx val="1138"/>
      </c:pivotFmt>
      <c:pivotFmt>
        <c:idx val="1139"/>
      </c:pivotFmt>
      <c:pivotFmt>
        <c:idx val="1140"/>
      </c:pivotFmt>
      <c:pivotFmt>
        <c:idx val="1141"/>
      </c:pivotFmt>
      <c:pivotFmt>
        <c:idx val="1142"/>
      </c:pivotFmt>
      <c:pivotFmt>
        <c:idx val="1143"/>
      </c:pivotFmt>
      <c:pivotFmt>
        <c:idx val="1144"/>
      </c:pivotFmt>
      <c:pivotFmt>
        <c:idx val="1145"/>
      </c:pivotFmt>
      <c:pivotFmt>
        <c:idx val="1146"/>
      </c:pivotFmt>
      <c:pivotFmt>
        <c:idx val="1147"/>
      </c:pivotFmt>
      <c:pivotFmt>
        <c:idx val="1148"/>
      </c:pivotFmt>
      <c:pivotFmt>
        <c:idx val="1149"/>
      </c:pivotFmt>
      <c:pivotFmt>
        <c:idx val="1150"/>
      </c:pivotFmt>
      <c:pivotFmt>
        <c:idx val="1151"/>
      </c:pivotFmt>
      <c:pivotFmt>
        <c:idx val="1152"/>
        <c:marker>
          <c:symbol val="none"/>
        </c:marker>
      </c:pivotFmt>
      <c:pivotFmt>
        <c:idx val="1153"/>
        <c:marker>
          <c:symbol val="none"/>
        </c:marker>
      </c:pivotFmt>
      <c:pivotFmt>
        <c:idx val="1154"/>
        <c:marker>
          <c:symbol val="none"/>
        </c:marker>
      </c:pivotFmt>
      <c:pivotFmt>
        <c:idx val="1155"/>
        <c:marker>
          <c:symbol val="none"/>
        </c:marker>
      </c:pivotFmt>
      <c:pivotFmt>
        <c:idx val="1156"/>
        <c:marker>
          <c:symbol val="none"/>
        </c:marker>
      </c:pivotFmt>
      <c:pivotFmt>
        <c:idx val="1157"/>
        <c:marker>
          <c:symbol val="none"/>
        </c:marker>
      </c:pivotFmt>
      <c:pivotFmt>
        <c:idx val="1158"/>
        <c:marker>
          <c:symbol val="none"/>
        </c:marker>
      </c:pivotFmt>
      <c:pivotFmt>
        <c:idx val="1159"/>
        <c:marker>
          <c:symbol val="none"/>
        </c:marker>
      </c:pivotFmt>
      <c:pivotFmt>
        <c:idx val="1160"/>
        <c:marker>
          <c:symbol val="none"/>
        </c:marker>
      </c:pivotFmt>
      <c:pivotFmt>
        <c:idx val="1161"/>
        <c:marker>
          <c:symbol val="none"/>
        </c:marker>
      </c:pivotFmt>
      <c:pivotFmt>
        <c:idx val="1162"/>
        <c:marker>
          <c:symbol val="none"/>
        </c:marker>
      </c:pivotFmt>
      <c:pivotFmt>
        <c:idx val="1163"/>
        <c:marker>
          <c:symbol val="none"/>
        </c:marker>
      </c:pivotFmt>
      <c:pivotFmt>
        <c:idx val="1164"/>
        <c:marker>
          <c:symbol val="none"/>
        </c:marker>
      </c:pivotFmt>
      <c:pivotFmt>
        <c:idx val="1165"/>
        <c:marker>
          <c:symbol val="none"/>
        </c:marker>
      </c:pivotFmt>
      <c:pivotFmt>
        <c:idx val="1166"/>
        <c:marker>
          <c:symbol val="none"/>
        </c:marker>
      </c:pivotFmt>
      <c:pivotFmt>
        <c:idx val="1167"/>
        <c:marker>
          <c:symbol val="none"/>
        </c:marker>
      </c:pivotFmt>
      <c:pivotFmt>
        <c:idx val="1168"/>
        <c:marker>
          <c:symbol val="none"/>
        </c:marker>
      </c:pivotFmt>
      <c:pivotFmt>
        <c:idx val="1169"/>
        <c:marker>
          <c:symbol val="none"/>
        </c:marker>
      </c:pivotFmt>
      <c:pivotFmt>
        <c:idx val="1170"/>
        <c:marker>
          <c:symbol val="none"/>
        </c:marker>
      </c:pivotFmt>
      <c:pivotFmt>
        <c:idx val="1171"/>
        <c:marker>
          <c:symbol val="none"/>
        </c:marker>
      </c:pivotFmt>
      <c:pivotFmt>
        <c:idx val="1172"/>
        <c:marker>
          <c:symbol val="none"/>
        </c:marker>
      </c:pivotFmt>
      <c:pivotFmt>
        <c:idx val="1173"/>
        <c:marker>
          <c:symbol val="none"/>
        </c:marker>
      </c:pivotFmt>
      <c:pivotFmt>
        <c:idx val="1174"/>
        <c:marker>
          <c:symbol val="none"/>
        </c:marker>
      </c:pivotFmt>
      <c:pivotFmt>
        <c:idx val="1175"/>
        <c:marker>
          <c:symbol val="none"/>
        </c:marker>
      </c:pivotFmt>
      <c:pivotFmt>
        <c:idx val="1176"/>
        <c:marker>
          <c:symbol val="none"/>
        </c:marker>
      </c:pivotFmt>
      <c:pivotFmt>
        <c:idx val="1177"/>
        <c:marker>
          <c:symbol val="none"/>
        </c:marker>
      </c:pivotFmt>
      <c:pivotFmt>
        <c:idx val="1178"/>
        <c:marker>
          <c:symbol val="none"/>
        </c:marker>
      </c:pivotFmt>
      <c:pivotFmt>
        <c:idx val="1179"/>
        <c:marker>
          <c:symbol val="none"/>
        </c:marker>
      </c:pivotFmt>
      <c:pivotFmt>
        <c:idx val="1180"/>
        <c:marker>
          <c:symbol val="none"/>
        </c:marker>
      </c:pivotFmt>
      <c:pivotFmt>
        <c:idx val="1181"/>
        <c:marker>
          <c:symbol val="none"/>
        </c:marker>
      </c:pivotFmt>
      <c:pivotFmt>
        <c:idx val="1182"/>
        <c:marker>
          <c:symbol val="none"/>
        </c:marker>
      </c:pivotFmt>
      <c:pivotFmt>
        <c:idx val="1183"/>
        <c:marker>
          <c:symbol val="none"/>
        </c:marker>
      </c:pivotFmt>
      <c:pivotFmt>
        <c:idx val="1184"/>
        <c:marker>
          <c:symbol val="none"/>
        </c:marker>
      </c:pivotFmt>
      <c:pivotFmt>
        <c:idx val="1185"/>
        <c:marker>
          <c:symbol val="none"/>
        </c:marker>
      </c:pivotFmt>
      <c:pivotFmt>
        <c:idx val="1186"/>
        <c:marker>
          <c:symbol val="none"/>
        </c:marker>
      </c:pivotFmt>
      <c:pivotFmt>
        <c:idx val="1187"/>
        <c:marker>
          <c:symbol val="none"/>
        </c:marker>
      </c:pivotFmt>
      <c:pivotFmt>
        <c:idx val="1188"/>
        <c:marker>
          <c:symbol val="none"/>
        </c:marker>
      </c:pivotFmt>
      <c:pivotFmt>
        <c:idx val="1189"/>
        <c:marker>
          <c:symbol val="none"/>
        </c:marker>
      </c:pivotFmt>
      <c:pivotFmt>
        <c:idx val="1190"/>
        <c:marker>
          <c:symbol val="none"/>
        </c:marker>
      </c:pivotFmt>
      <c:pivotFmt>
        <c:idx val="1191"/>
        <c:marker>
          <c:symbol val="none"/>
        </c:marker>
      </c:pivotFmt>
      <c:pivotFmt>
        <c:idx val="1192"/>
        <c:marker>
          <c:symbol val="none"/>
        </c:marker>
      </c:pivotFmt>
      <c:pivotFmt>
        <c:idx val="1193"/>
        <c:marker>
          <c:symbol val="none"/>
        </c:marker>
      </c:pivotFmt>
      <c:pivotFmt>
        <c:idx val="1194"/>
        <c:marker>
          <c:symbol val="none"/>
        </c:marker>
      </c:pivotFmt>
      <c:pivotFmt>
        <c:idx val="1195"/>
        <c:marker>
          <c:symbol val="none"/>
        </c:marker>
      </c:pivotFmt>
      <c:pivotFmt>
        <c:idx val="1196"/>
        <c:marker>
          <c:symbol val="none"/>
        </c:marker>
      </c:pivotFmt>
      <c:pivotFmt>
        <c:idx val="1197"/>
        <c:marker>
          <c:symbol val="none"/>
        </c:marker>
      </c:pivotFmt>
      <c:pivotFmt>
        <c:idx val="1198"/>
        <c:marker>
          <c:symbol val="none"/>
        </c:marker>
      </c:pivotFmt>
      <c:pivotFmt>
        <c:idx val="1199"/>
        <c:marker>
          <c:symbol val="none"/>
        </c:marker>
      </c:pivotFmt>
      <c:pivotFmt>
        <c:idx val="1200"/>
        <c:marker>
          <c:symbol val="none"/>
        </c:marker>
      </c:pivotFmt>
      <c:pivotFmt>
        <c:idx val="1201"/>
        <c:marker>
          <c:symbol val="none"/>
        </c:marker>
      </c:pivotFmt>
      <c:pivotFmt>
        <c:idx val="1202"/>
        <c:marker>
          <c:symbol val="none"/>
        </c:marker>
      </c:pivotFmt>
      <c:pivotFmt>
        <c:idx val="1203"/>
        <c:marker>
          <c:symbol val="none"/>
        </c:marker>
      </c:pivotFmt>
      <c:pivotFmt>
        <c:idx val="1204"/>
        <c:marker>
          <c:symbol val="none"/>
        </c:marker>
      </c:pivotFmt>
      <c:pivotFmt>
        <c:idx val="1205"/>
        <c:marker>
          <c:symbol val="none"/>
        </c:marker>
      </c:pivotFmt>
      <c:pivotFmt>
        <c:idx val="1206"/>
        <c:marker>
          <c:symbol val="none"/>
        </c:marker>
      </c:pivotFmt>
      <c:pivotFmt>
        <c:idx val="1207"/>
        <c:marker>
          <c:symbol val="none"/>
        </c:marker>
      </c:pivotFmt>
      <c:pivotFmt>
        <c:idx val="1208"/>
        <c:marker>
          <c:symbol val="none"/>
        </c:marker>
      </c:pivotFmt>
      <c:pivotFmt>
        <c:idx val="1209"/>
        <c:marker>
          <c:symbol val="none"/>
        </c:marker>
      </c:pivotFmt>
      <c:pivotFmt>
        <c:idx val="1210"/>
        <c:marker>
          <c:symbol val="none"/>
        </c:marker>
      </c:pivotFmt>
      <c:pivotFmt>
        <c:idx val="1211"/>
        <c:marker>
          <c:symbol val="none"/>
        </c:marker>
      </c:pivotFmt>
      <c:pivotFmt>
        <c:idx val="1212"/>
        <c:marker>
          <c:symbol val="none"/>
        </c:marker>
      </c:pivotFmt>
      <c:pivotFmt>
        <c:idx val="1213"/>
        <c:marker>
          <c:symbol val="none"/>
        </c:marker>
      </c:pivotFmt>
      <c:pivotFmt>
        <c:idx val="1214"/>
        <c:marker>
          <c:symbol val="none"/>
        </c:marker>
      </c:pivotFmt>
      <c:pivotFmt>
        <c:idx val="1215"/>
        <c:marker>
          <c:symbol val="none"/>
        </c:marker>
      </c:pivotFmt>
      <c:pivotFmt>
        <c:idx val="1216"/>
        <c:marker>
          <c:symbol val="none"/>
        </c:marker>
      </c:pivotFmt>
      <c:pivotFmt>
        <c:idx val="1217"/>
        <c:marker>
          <c:symbol val="none"/>
        </c:marker>
      </c:pivotFmt>
      <c:pivotFmt>
        <c:idx val="1218"/>
        <c:marker>
          <c:symbol val="none"/>
        </c:marker>
      </c:pivotFmt>
      <c:pivotFmt>
        <c:idx val="1219"/>
        <c:marker>
          <c:symbol val="none"/>
        </c:marker>
      </c:pivotFmt>
      <c:pivotFmt>
        <c:idx val="1220"/>
        <c:marker>
          <c:symbol val="none"/>
        </c:marker>
      </c:pivotFmt>
      <c:pivotFmt>
        <c:idx val="1221"/>
        <c:marker>
          <c:symbol val="none"/>
        </c:marker>
      </c:pivotFmt>
      <c:pivotFmt>
        <c:idx val="1222"/>
        <c:marker>
          <c:symbol val="none"/>
        </c:marker>
      </c:pivotFmt>
      <c:pivotFmt>
        <c:idx val="1223"/>
        <c:marker>
          <c:symbol val="none"/>
        </c:marker>
      </c:pivotFmt>
      <c:pivotFmt>
        <c:idx val="1224"/>
        <c:marker>
          <c:symbol val="none"/>
        </c:marker>
      </c:pivotFmt>
      <c:pivotFmt>
        <c:idx val="1225"/>
        <c:marker>
          <c:symbol val="none"/>
        </c:marker>
      </c:pivotFmt>
      <c:pivotFmt>
        <c:idx val="1226"/>
        <c:marker>
          <c:symbol val="none"/>
        </c:marker>
      </c:pivotFmt>
      <c:pivotFmt>
        <c:idx val="1227"/>
        <c:marker>
          <c:symbol val="none"/>
        </c:marker>
      </c:pivotFmt>
      <c:pivotFmt>
        <c:idx val="1228"/>
        <c:marker>
          <c:symbol val="none"/>
        </c:marker>
      </c:pivotFmt>
      <c:pivotFmt>
        <c:idx val="1229"/>
        <c:marker>
          <c:symbol val="none"/>
        </c:marker>
      </c:pivotFmt>
      <c:pivotFmt>
        <c:idx val="1230"/>
        <c:marker>
          <c:symbol val="none"/>
        </c:marker>
      </c:pivotFmt>
      <c:pivotFmt>
        <c:idx val="1231"/>
        <c:marker>
          <c:symbol val="none"/>
        </c:marker>
      </c:pivotFmt>
      <c:pivotFmt>
        <c:idx val="1232"/>
        <c:marker>
          <c:symbol val="none"/>
        </c:marker>
      </c:pivotFmt>
      <c:pivotFmt>
        <c:idx val="1233"/>
        <c:marker>
          <c:symbol val="none"/>
        </c:marker>
      </c:pivotFmt>
      <c:pivotFmt>
        <c:idx val="1234"/>
        <c:marker>
          <c:symbol val="none"/>
        </c:marker>
      </c:pivotFmt>
      <c:pivotFmt>
        <c:idx val="1235"/>
        <c:marker>
          <c:symbol val="none"/>
        </c:marker>
      </c:pivotFmt>
      <c:pivotFmt>
        <c:idx val="1236"/>
        <c:marker>
          <c:symbol val="none"/>
        </c:marker>
      </c:pivotFmt>
      <c:pivotFmt>
        <c:idx val="1237"/>
        <c:marker>
          <c:symbol val="none"/>
        </c:marker>
      </c:pivotFmt>
      <c:pivotFmt>
        <c:idx val="1238"/>
        <c:marker>
          <c:symbol val="none"/>
        </c:marker>
      </c:pivotFmt>
      <c:pivotFmt>
        <c:idx val="1239"/>
        <c:marker>
          <c:symbol val="none"/>
        </c:marker>
      </c:pivotFmt>
      <c:pivotFmt>
        <c:idx val="1240"/>
        <c:marker>
          <c:symbol val="none"/>
        </c:marker>
      </c:pivotFmt>
      <c:pivotFmt>
        <c:idx val="1241"/>
        <c:marker>
          <c:symbol val="none"/>
        </c:marker>
      </c:pivotFmt>
      <c:pivotFmt>
        <c:idx val="1242"/>
        <c:marker>
          <c:symbol val="none"/>
        </c:marker>
      </c:pivotFmt>
      <c:pivotFmt>
        <c:idx val="1243"/>
        <c:marker>
          <c:symbol val="none"/>
        </c:marker>
      </c:pivotFmt>
      <c:pivotFmt>
        <c:idx val="1244"/>
        <c:marker>
          <c:symbol val="none"/>
        </c:marker>
      </c:pivotFmt>
      <c:pivotFmt>
        <c:idx val="1245"/>
        <c:marker>
          <c:symbol val="none"/>
        </c:marker>
      </c:pivotFmt>
      <c:pivotFmt>
        <c:idx val="1246"/>
        <c:marker>
          <c:symbol val="none"/>
        </c:marker>
      </c:pivotFmt>
      <c:pivotFmt>
        <c:idx val="1247"/>
        <c:marker>
          <c:symbol val="none"/>
        </c:marker>
      </c:pivotFmt>
      <c:pivotFmt>
        <c:idx val="1248"/>
        <c:marker>
          <c:symbol val="none"/>
        </c:marker>
      </c:pivotFmt>
      <c:pivotFmt>
        <c:idx val="1249"/>
        <c:marker>
          <c:symbol val="none"/>
        </c:marker>
      </c:pivotFmt>
      <c:pivotFmt>
        <c:idx val="1250"/>
        <c:marker>
          <c:symbol val="none"/>
        </c:marker>
      </c:pivotFmt>
      <c:pivotFmt>
        <c:idx val="1251"/>
        <c:marker>
          <c:symbol val="none"/>
        </c:marker>
      </c:pivotFmt>
      <c:pivotFmt>
        <c:idx val="1252"/>
        <c:marker>
          <c:symbol val="none"/>
        </c:marker>
      </c:pivotFmt>
      <c:pivotFmt>
        <c:idx val="1253"/>
        <c:marker>
          <c:symbol val="none"/>
        </c:marker>
      </c:pivotFmt>
      <c:pivotFmt>
        <c:idx val="1254"/>
        <c:marker>
          <c:symbol val="none"/>
        </c:marker>
      </c:pivotFmt>
      <c:pivotFmt>
        <c:idx val="1255"/>
        <c:marker>
          <c:symbol val="none"/>
        </c:marker>
      </c:pivotFmt>
      <c:pivotFmt>
        <c:idx val="1256"/>
        <c:marker>
          <c:symbol val="none"/>
        </c:marker>
      </c:pivotFmt>
      <c:pivotFmt>
        <c:idx val="1257"/>
        <c:marker>
          <c:symbol val="none"/>
        </c:marker>
      </c:pivotFmt>
      <c:pivotFmt>
        <c:idx val="1258"/>
        <c:marker>
          <c:symbol val="none"/>
        </c:marker>
      </c:pivotFmt>
      <c:pivotFmt>
        <c:idx val="1259"/>
        <c:marker>
          <c:symbol val="none"/>
        </c:marker>
      </c:pivotFmt>
      <c:pivotFmt>
        <c:idx val="1260"/>
        <c:marker>
          <c:symbol val="none"/>
        </c:marker>
      </c:pivotFmt>
      <c:pivotFmt>
        <c:idx val="1261"/>
        <c:marker>
          <c:symbol val="none"/>
        </c:marker>
      </c:pivotFmt>
      <c:pivotFmt>
        <c:idx val="1262"/>
        <c:spPr>
          <a:ln>
            <a:solidFill>
              <a:schemeClr val="tx1"/>
            </a:solidFill>
          </a:ln>
        </c:spPr>
        <c:marker>
          <c:symbol val="none"/>
        </c:marker>
      </c:pivotFmt>
      <c:pivotFmt>
        <c:idx val="1263"/>
        <c:marker>
          <c:symbol val="none"/>
        </c:marker>
      </c:pivotFmt>
      <c:pivotFmt>
        <c:idx val="1264"/>
        <c:marker>
          <c:symbol val="none"/>
        </c:marker>
      </c:pivotFmt>
      <c:pivotFmt>
        <c:idx val="1265"/>
        <c:marker>
          <c:symbol val="none"/>
        </c:marker>
      </c:pivotFmt>
      <c:pivotFmt>
        <c:idx val="1266"/>
        <c:spPr>
          <a:ln>
            <a:solidFill>
              <a:srgbClr val="FF0000"/>
            </a:solidFill>
          </a:ln>
        </c:spPr>
        <c:marker>
          <c:symbol val="none"/>
        </c:marker>
      </c:pivotFmt>
      <c:pivotFmt>
        <c:idx val="1267"/>
        <c:marker>
          <c:symbol val="none"/>
        </c:marker>
      </c:pivotFmt>
      <c:pivotFmt>
        <c:idx val="1268"/>
        <c:marker>
          <c:symbol val="none"/>
        </c:marker>
      </c:pivotFmt>
      <c:pivotFmt>
        <c:idx val="1269"/>
        <c:marker>
          <c:symbol val="none"/>
        </c:marker>
      </c:pivotFmt>
      <c:pivotFmt>
        <c:idx val="1270"/>
        <c:marker>
          <c:symbol val="none"/>
        </c:marker>
      </c:pivotFmt>
      <c:pivotFmt>
        <c:idx val="1271"/>
        <c:marker>
          <c:symbol val="none"/>
        </c:marker>
      </c:pivotFmt>
      <c:pivotFmt>
        <c:idx val="1272"/>
        <c:marker>
          <c:symbol val="none"/>
        </c:marker>
      </c:pivotFmt>
      <c:pivotFmt>
        <c:idx val="1273"/>
        <c:marker>
          <c:symbol val="none"/>
        </c:marker>
      </c:pivotFmt>
      <c:pivotFmt>
        <c:idx val="1274"/>
        <c:marker>
          <c:symbol val="none"/>
        </c:marker>
      </c:pivotFmt>
      <c:pivotFmt>
        <c:idx val="1275"/>
        <c:marker>
          <c:symbol val="none"/>
        </c:marker>
      </c:pivotFmt>
      <c:pivotFmt>
        <c:idx val="1276"/>
        <c:marker>
          <c:symbol val="none"/>
        </c:marker>
      </c:pivotFmt>
      <c:pivotFmt>
        <c:idx val="1277"/>
        <c:marker>
          <c:symbol val="none"/>
        </c:marker>
      </c:pivotFmt>
      <c:pivotFmt>
        <c:idx val="1278"/>
        <c:marker>
          <c:symbol val="none"/>
        </c:marker>
      </c:pivotFmt>
      <c:pivotFmt>
        <c:idx val="1279"/>
        <c:marker>
          <c:symbol val="none"/>
        </c:marker>
      </c:pivotFmt>
      <c:pivotFmt>
        <c:idx val="1280"/>
        <c:marker>
          <c:symbol val="none"/>
        </c:marker>
      </c:pivotFmt>
      <c:pivotFmt>
        <c:idx val="1281"/>
        <c:marker>
          <c:symbol val="none"/>
        </c:marker>
      </c:pivotFmt>
      <c:pivotFmt>
        <c:idx val="1282"/>
        <c:marker>
          <c:symbol val="none"/>
        </c:marker>
      </c:pivotFmt>
      <c:pivotFmt>
        <c:idx val="1283"/>
        <c:spPr>
          <a:ln>
            <a:solidFill>
              <a:srgbClr val="FF0000"/>
            </a:solidFill>
          </a:ln>
        </c:spPr>
        <c:marker>
          <c:symbol val="none"/>
        </c:marker>
      </c:pivotFmt>
      <c:pivotFmt>
        <c:idx val="1284"/>
        <c:marker>
          <c:symbol val="none"/>
        </c:marker>
      </c:pivotFmt>
      <c:pivotFmt>
        <c:idx val="1285"/>
        <c:spPr>
          <a:ln>
            <a:solidFill>
              <a:schemeClr val="tx1"/>
            </a:solidFill>
          </a:ln>
        </c:spPr>
        <c:marker>
          <c:symbol val="none"/>
        </c:marker>
      </c:pivotFmt>
      <c:pivotFmt>
        <c:idx val="1286"/>
        <c:marker>
          <c:symbol val="none"/>
        </c:marker>
      </c:pivotFmt>
      <c:pivotFmt>
        <c:idx val="1287"/>
        <c:marker>
          <c:symbol val="none"/>
        </c:marker>
      </c:pivotFmt>
      <c:pivotFmt>
        <c:idx val="1288"/>
        <c:marker>
          <c:symbol val="none"/>
        </c:marker>
      </c:pivotFmt>
      <c:pivotFmt>
        <c:idx val="1289"/>
        <c:marker>
          <c:symbol val="none"/>
        </c:marker>
      </c:pivotFmt>
      <c:pivotFmt>
        <c:idx val="1290"/>
        <c:marker>
          <c:symbol val="none"/>
        </c:marker>
      </c:pivotFmt>
      <c:pivotFmt>
        <c:idx val="1291"/>
        <c:marker>
          <c:symbol val="none"/>
        </c:marker>
      </c:pivotFmt>
      <c:pivotFmt>
        <c:idx val="1292"/>
        <c:marker>
          <c:symbol val="none"/>
        </c:marker>
      </c:pivotFmt>
      <c:pivotFmt>
        <c:idx val="1293"/>
        <c:marker>
          <c:symbol val="none"/>
        </c:marker>
      </c:pivotFmt>
      <c:pivotFmt>
        <c:idx val="1294"/>
        <c:marker>
          <c:symbol val="none"/>
        </c:marker>
      </c:pivotFmt>
      <c:pivotFmt>
        <c:idx val="1295"/>
        <c:marker>
          <c:symbol val="none"/>
        </c:marker>
      </c:pivotFmt>
      <c:pivotFmt>
        <c:idx val="1296"/>
        <c:marker>
          <c:symbol val="none"/>
        </c:marker>
      </c:pivotFmt>
      <c:pivotFmt>
        <c:idx val="1297"/>
        <c:marker>
          <c:symbol val="none"/>
        </c:marker>
      </c:pivotFmt>
      <c:pivotFmt>
        <c:idx val="1298"/>
        <c:marker>
          <c:symbol val="none"/>
        </c:marker>
      </c:pivotFmt>
      <c:pivotFmt>
        <c:idx val="1299"/>
        <c:marker>
          <c:symbol val="none"/>
        </c:marker>
      </c:pivotFmt>
      <c:pivotFmt>
        <c:idx val="1300"/>
        <c:marker>
          <c:symbol val="none"/>
        </c:marker>
      </c:pivotFmt>
      <c:pivotFmt>
        <c:idx val="1301"/>
        <c:spPr>
          <a:ln>
            <a:solidFill>
              <a:srgbClr val="FF0000"/>
            </a:solidFill>
          </a:ln>
        </c:spPr>
        <c:marker>
          <c:symbol val="none"/>
        </c:marker>
      </c:pivotFmt>
      <c:pivotFmt>
        <c:idx val="1302"/>
        <c:marker>
          <c:symbol val="none"/>
        </c:marker>
      </c:pivotFmt>
      <c:pivotFmt>
        <c:idx val="1303"/>
        <c:spPr>
          <a:ln>
            <a:solidFill>
              <a:schemeClr val="tx1"/>
            </a:solidFill>
          </a:ln>
        </c:spPr>
        <c:marker>
          <c:symbol val="none"/>
        </c:marker>
      </c:pivotFmt>
      <c:pivotFmt>
        <c:idx val="1304"/>
        <c:marker>
          <c:symbol val="none"/>
        </c:marker>
      </c:pivotFmt>
      <c:pivotFmt>
        <c:idx val="1305"/>
        <c:marker>
          <c:symbol val="none"/>
        </c:marker>
      </c:pivotFmt>
      <c:pivotFmt>
        <c:idx val="1306"/>
        <c:marker>
          <c:symbol val="none"/>
        </c:marker>
      </c:pivotFmt>
      <c:pivotFmt>
        <c:idx val="1307"/>
        <c:marker>
          <c:symbol val="none"/>
        </c:marker>
      </c:pivotFmt>
      <c:pivotFmt>
        <c:idx val="1308"/>
        <c:marker>
          <c:symbol val="none"/>
        </c:marker>
      </c:pivotFmt>
      <c:pivotFmt>
        <c:idx val="1309"/>
        <c:marker>
          <c:symbol val="none"/>
        </c:marker>
      </c:pivotFmt>
      <c:pivotFmt>
        <c:idx val="1310"/>
        <c:marker>
          <c:symbol val="none"/>
        </c:marker>
      </c:pivotFmt>
      <c:pivotFmt>
        <c:idx val="1311"/>
        <c:marker>
          <c:symbol val="none"/>
        </c:marker>
      </c:pivotFmt>
      <c:pivotFmt>
        <c:idx val="1312"/>
        <c:marker>
          <c:symbol val="none"/>
        </c:marker>
      </c:pivotFmt>
      <c:pivotFmt>
        <c:idx val="1313"/>
        <c:marker>
          <c:symbol val="none"/>
        </c:marker>
      </c:pivotFmt>
      <c:pivotFmt>
        <c:idx val="1314"/>
        <c:marker>
          <c:symbol val="none"/>
        </c:marker>
      </c:pivotFmt>
      <c:pivotFmt>
        <c:idx val="1315"/>
        <c:marker>
          <c:symbol val="none"/>
        </c:marker>
      </c:pivotFmt>
      <c:pivotFmt>
        <c:idx val="1316"/>
        <c:marker>
          <c:symbol val="none"/>
        </c:marker>
      </c:pivotFmt>
      <c:pivotFmt>
        <c:idx val="1317"/>
        <c:marker>
          <c:symbol val="none"/>
        </c:marker>
      </c:pivotFmt>
      <c:pivotFmt>
        <c:idx val="1318"/>
        <c:marker>
          <c:symbol val="none"/>
        </c:marker>
      </c:pivotFmt>
      <c:pivotFmt>
        <c:idx val="1319"/>
        <c:spPr>
          <a:ln>
            <a:solidFill>
              <a:srgbClr val="FF0000"/>
            </a:solidFill>
          </a:ln>
        </c:spPr>
        <c:marker>
          <c:symbol val="none"/>
        </c:marker>
      </c:pivotFmt>
      <c:pivotFmt>
        <c:idx val="1320"/>
        <c:marker>
          <c:symbol val="none"/>
        </c:marker>
      </c:pivotFmt>
      <c:pivotFmt>
        <c:idx val="1321"/>
        <c:spPr>
          <a:ln>
            <a:solidFill>
              <a:schemeClr val="tx1"/>
            </a:solidFill>
          </a:ln>
        </c:spPr>
        <c:marker>
          <c:symbol val="none"/>
        </c:marker>
      </c:pivotFmt>
      <c:pivotFmt>
        <c:idx val="1322"/>
        <c:marker>
          <c:symbol val="none"/>
        </c:marker>
      </c:pivotFmt>
      <c:pivotFmt>
        <c:idx val="1323"/>
        <c:marker>
          <c:symbol val="none"/>
        </c:marker>
      </c:pivotFmt>
      <c:pivotFmt>
        <c:idx val="1324"/>
        <c:marker>
          <c:symbol val="none"/>
        </c:marker>
      </c:pivotFmt>
      <c:pivotFmt>
        <c:idx val="1325"/>
        <c:marker>
          <c:symbol val="none"/>
        </c:marker>
      </c:pivotFmt>
      <c:pivotFmt>
        <c:idx val="1326"/>
        <c:marker>
          <c:symbol val="none"/>
        </c:marker>
      </c:pivotFmt>
      <c:pivotFmt>
        <c:idx val="1327"/>
        <c:marker>
          <c:symbol val="none"/>
        </c:marker>
      </c:pivotFmt>
      <c:pivotFmt>
        <c:idx val="1328"/>
        <c:marker>
          <c:symbol val="none"/>
        </c:marker>
      </c:pivotFmt>
      <c:pivotFmt>
        <c:idx val="1329"/>
        <c:marker>
          <c:symbol val="none"/>
        </c:marker>
      </c:pivotFmt>
      <c:pivotFmt>
        <c:idx val="1330"/>
        <c:marker>
          <c:symbol val="none"/>
        </c:marker>
      </c:pivotFmt>
      <c:pivotFmt>
        <c:idx val="1331"/>
        <c:marker>
          <c:symbol val="none"/>
        </c:marker>
      </c:pivotFmt>
      <c:pivotFmt>
        <c:idx val="1332"/>
        <c:marker>
          <c:symbol val="none"/>
        </c:marker>
      </c:pivotFmt>
      <c:pivotFmt>
        <c:idx val="1333"/>
        <c:marker>
          <c:symbol val="none"/>
        </c:marker>
      </c:pivotFmt>
      <c:pivotFmt>
        <c:idx val="1334"/>
        <c:marker>
          <c:symbol val="none"/>
        </c:marker>
      </c:pivotFmt>
      <c:pivotFmt>
        <c:idx val="1335"/>
        <c:marker>
          <c:symbol val="none"/>
        </c:marker>
      </c:pivotFmt>
      <c:pivotFmt>
        <c:idx val="1336"/>
        <c:marker>
          <c:symbol val="none"/>
        </c:marker>
      </c:pivotFmt>
      <c:pivotFmt>
        <c:idx val="1337"/>
        <c:marker>
          <c:symbol val="none"/>
        </c:marker>
      </c:pivotFmt>
      <c:pivotFmt>
        <c:idx val="1338"/>
        <c:marker>
          <c:symbol val="none"/>
        </c:marker>
      </c:pivotFmt>
      <c:pivotFmt>
        <c:idx val="1339"/>
        <c:spPr>
          <a:ln>
            <a:solidFill>
              <a:srgbClr val="FF0000"/>
            </a:solidFill>
          </a:ln>
        </c:spPr>
        <c:marker>
          <c:symbol val="none"/>
        </c:marker>
      </c:pivotFmt>
      <c:pivotFmt>
        <c:idx val="1340"/>
        <c:marker>
          <c:symbol val="none"/>
        </c:marker>
      </c:pivotFmt>
      <c:pivotFmt>
        <c:idx val="1341"/>
        <c:spPr>
          <a:ln>
            <a:solidFill>
              <a:schemeClr val="tx1"/>
            </a:solidFill>
          </a:ln>
        </c:spPr>
        <c:marker>
          <c:symbol val="none"/>
        </c:marker>
      </c:pivotFmt>
      <c:pivotFmt>
        <c:idx val="1342"/>
        <c:marker>
          <c:symbol val="none"/>
        </c:marker>
      </c:pivotFmt>
      <c:pivotFmt>
        <c:idx val="1343"/>
        <c:marker>
          <c:symbol val="none"/>
        </c:marker>
      </c:pivotFmt>
      <c:pivotFmt>
        <c:idx val="1344"/>
        <c:marker>
          <c:symbol val="none"/>
        </c:marker>
      </c:pivotFmt>
      <c:pivotFmt>
        <c:idx val="1345"/>
        <c:marker>
          <c:symbol val="none"/>
        </c:marker>
      </c:pivotFmt>
      <c:pivotFmt>
        <c:idx val="1346"/>
        <c:marker>
          <c:symbol val="none"/>
        </c:marker>
      </c:pivotFmt>
      <c:pivotFmt>
        <c:idx val="1347"/>
        <c:marker>
          <c:symbol val="none"/>
        </c:marker>
      </c:pivotFmt>
      <c:pivotFmt>
        <c:idx val="1348"/>
        <c:marker>
          <c:symbol val="none"/>
        </c:marker>
      </c:pivotFmt>
      <c:pivotFmt>
        <c:idx val="1349"/>
        <c:marker>
          <c:symbol val="none"/>
        </c:marker>
      </c:pivotFmt>
      <c:pivotFmt>
        <c:idx val="1350"/>
        <c:marker>
          <c:symbol val="none"/>
        </c:marker>
      </c:pivotFmt>
      <c:pivotFmt>
        <c:idx val="1351"/>
        <c:marker>
          <c:symbol val="none"/>
        </c:marker>
      </c:pivotFmt>
      <c:pivotFmt>
        <c:idx val="1352"/>
        <c:marker>
          <c:symbol val="none"/>
        </c:marker>
      </c:pivotFmt>
      <c:pivotFmt>
        <c:idx val="1353"/>
        <c:marker>
          <c:symbol val="none"/>
        </c:marker>
      </c:pivotFmt>
      <c:pivotFmt>
        <c:idx val="1354"/>
        <c:marker>
          <c:symbol val="none"/>
        </c:marker>
      </c:pivotFmt>
      <c:pivotFmt>
        <c:idx val="1355"/>
        <c:marker>
          <c:symbol val="none"/>
        </c:marker>
      </c:pivotFmt>
      <c:pivotFmt>
        <c:idx val="1356"/>
        <c:marker>
          <c:symbol val="none"/>
        </c:marker>
      </c:pivotFmt>
      <c:pivotFmt>
        <c:idx val="1357"/>
        <c:marker>
          <c:symbol val="none"/>
        </c:marker>
      </c:pivotFmt>
      <c:pivotFmt>
        <c:idx val="1358"/>
        <c:marker>
          <c:symbol val="none"/>
        </c:marker>
      </c:pivotFmt>
      <c:pivotFmt>
        <c:idx val="1359"/>
        <c:marker>
          <c:symbol val="none"/>
        </c:marker>
      </c:pivotFmt>
      <c:pivotFmt>
        <c:idx val="1360"/>
        <c:marker>
          <c:symbol val="none"/>
        </c:marker>
      </c:pivotFmt>
      <c:pivotFmt>
        <c:idx val="1361"/>
        <c:marker>
          <c:symbol val="none"/>
        </c:marker>
      </c:pivotFmt>
      <c:pivotFmt>
        <c:idx val="1362"/>
        <c:marker>
          <c:symbol val="none"/>
        </c:marker>
      </c:pivotFmt>
      <c:pivotFmt>
        <c:idx val="1363"/>
        <c:marker>
          <c:symbol val="none"/>
        </c:marker>
      </c:pivotFmt>
      <c:pivotFmt>
        <c:idx val="1364"/>
        <c:marker>
          <c:symbol val="none"/>
        </c:marker>
      </c:pivotFmt>
      <c:pivotFmt>
        <c:idx val="1365"/>
        <c:marker>
          <c:symbol val="none"/>
        </c:marker>
      </c:pivotFmt>
      <c:pivotFmt>
        <c:idx val="1366"/>
        <c:marker>
          <c:symbol val="none"/>
        </c:marker>
      </c:pivotFmt>
      <c:pivotFmt>
        <c:idx val="1367"/>
        <c:marker>
          <c:symbol val="none"/>
        </c:marker>
      </c:pivotFmt>
      <c:pivotFmt>
        <c:idx val="1368"/>
        <c:marker>
          <c:symbol val="none"/>
        </c:marker>
      </c:pivotFmt>
      <c:pivotFmt>
        <c:idx val="1369"/>
        <c:marker>
          <c:symbol val="none"/>
        </c:marker>
      </c:pivotFmt>
      <c:pivotFmt>
        <c:idx val="1370"/>
        <c:marker>
          <c:symbol val="none"/>
        </c:marker>
      </c:pivotFmt>
      <c:pivotFmt>
        <c:idx val="1371"/>
        <c:marker>
          <c:symbol val="none"/>
        </c:marker>
      </c:pivotFmt>
      <c:pivotFmt>
        <c:idx val="1372"/>
        <c:marker>
          <c:symbol val="none"/>
        </c:marker>
      </c:pivotFmt>
      <c:pivotFmt>
        <c:idx val="1373"/>
        <c:marker>
          <c:symbol val="none"/>
        </c:marker>
      </c:pivotFmt>
      <c:pivotFmt>
        <c:idx val="1374"/>
        <c:marker>
          <c:symbol val="none"/>
        </c:marker>
      </c:pivotFmt>
      <c:pivotFmt>
        <c:idx val="1375"/>
        <c:marker>
          <c:symbol val="none"/>
        </c:marker>
      </c:pivotFmt>
      <c:pivotFmt>
        <c:idx val="1376"/>
        <c:marker>
          <c:symbol val="none"/>
        </c:marker>
      </c:pivotFmt>
      <c:pivotFmt>
        <c:idx val="1377"/>
        <c:marker>
          <c:symbol val="none"/>
        </c:marker>
      </c:pivotFmt>
      <c:pivotFmt>
        <c:idx val="1378"/>
        <c:marker>
          <c:symbol val="none"/>
        </c:marker>
      </c:pivotFmt>
      <c:pivotFmt>
        <c:idx val="1379"/>
        <c:marker>
          <c:symbol val="none"/>
        </c:marker>
      </c:pivotFmt>
      <c:pivotFmt>
        <c:idx val="1380"/>
        <c:marker>
          <c:symbol val="none"/>
        </c:marker>
      </c:pivotFmt>
      <c:pivotFmt>
        <c:idx val="1381"/>
        <c:marker>
          <c:symbol val="none"/>
        </c:marker>
      </c:pivotFmt>
      <c:pivotFmt>
        <c:idx val="1382"/>
        <c:marker>
          <c:symbol val="none"/>
        </c:marker>
      </c:pivotFmt>
      <c:pivotFmt>
        <c:idx val="1383"/>
        <c:marker>
          <c:symbol val="none"/>
        </c:marker>
      </c:pivotFmt>
      <c:pivotFmt>
        <c:idx val="1384"/>
        <c:marker>
          <c:symbol val="none"/>
        </c:marker>
      </c:pivotFmt>
      <c:pivotFmt>
        <c:idx val="1385"/>
        <c:marker>
          <c:symbol val="none"/>
        </c:marker>
      </c:pivotFmt>
      <c:pivotFmt>
        <c:idx val="1386"/>
        <c:marker>
          <c:symbol val="none"/>
        </c:marker>
      </c:pivotFmt>
      <c:pivotFmt>
        <c:idx val="1387"/>
        <c:marker>
          <c:symbol val="none"/>
        </c:marker>
      </c:pivotFmt>
      <c:pivotFmt>
        <c:idx val="1388"/>
        <c:marker>
          <c:symbol val="none"/>
        </c:marker>
      </c:pivotFmt>
      <c:pivotFmt>
        <c:idx val="1389"/>
        <c:marker>
          <c:symbol val="none"/>
        </c:marker>
      </c:pivotFmt>
      <c:pivotFmt>
        <c:idx val="1390"/>
        <c:marker>
          <c:symbol val="none"/>
        </c:marker>
      </c:pivotFmt>
      <c:pivotFmt>
        <c:idx val="1391"/>
        <c:marker>
          <c:symbol val="none"/>
        </c:marker>
      </c:pivotFmt>
      <c:pivotFmt>
        <c:idx val="1392"/>
        <c:marker>
          <c:symbol val="none"/>
        </c:marker>
      </c:pivotFmt>
      <c:pivotFmt>
        <c:idx val="1393"/>
        <c:marker>
          <c:symbol val="none"/>
        </c:marker>
      </c:pivotFmt>
      <c:pivotFmt>
        <c:idx val="1394"/>
        <c:marker>
          <c:symbol val="none"/>
        </c:marker>
      </c:pivotFmt>
      <c:pivotFmt>
        <c:idx val="1395"/>
        <c:marker>
          <c:symbol val="none"/>
        </c:marker>
      </c:pivotFmt>
      <c:pivotFmt>
        <c:idx val="1396"/>
        <c:marker>
          <c:symbol val="none"/>
        </c:marker>
      </c:pivotFmt>
      <c:pivotFmt>
        <c:idx val="1397"/>
        <c:marker>
          <c:symbol val="none"/>
        </c:marker>
      </c:pivotFmt>
      <c:pivotFmt>
        <c:idx val="1398"/>
        <c:marker>
          <c:symbol val="none"/>
        </c:marker>
      </c:pivotFmt>
      <c:pivotFmt>
        <c:idx val="1399"/>
        <c:marker>
          <c:symbol val="none"/>
        </c:marker>
      </c:pivotFmt>
      <c:pivotFmt>
        <c:idx val="1400"/>
        <c:marker>
          <c:symbol val="none"/>
        </c:marker>
      </c:pivotFmt>
      <c:pivotFmt>
        <c:idx val="1401"/>
        <c:marker>
          <c:symbol val="none"/>
        </c:marker>
      </c:pivotFmt>
      <c:pivotFmt>
        <c:idx val="1402"/>
        <c:marker>
          <c:symbol val="none"/>
        </c:marker>
      </c:pivotFmt>
      <c:pivotFmt>
        <c:idx val="1403"/>
        <c:marker>
          <c:symbol val="none"/>
        </c:marker>
      </c:pivotFmt>
      <c:pivotFmt>
        <c:idx val="1404"/>
        <c:marker>
          <c:symbol val="none"/>
        </c:marker>
      </c:pivotFmt>
      <c:pivotFmt>
        <c:idx val="1405"/>
        <c:marker>
          <c:symbol val="none"/>
        </c:marker>
      </c:pivotFmt>
      <c:pivotFmt>
        <c:idx val="1406"/>
        <c:marker>
          <c:symbol val="none"/>
        </c:marker>
      </c:pivotFmt>
      <c:pivotFmt>
        <c:idx val="1407"/>
        <c:marker>
          <c:symbol val="none"/>
        </c:marker>
      </c:pivotFmt>
      <c:pivotFmt>
        <c:idx val="1408"/>
        <c:marker>
          <c:symbol val="none"/>
        </c:marker>
      </c:pivotFmt>
      <c:pivotFmt>
        <c:idx val="1409"/>
        <c:marker>
          <c:symbol val="none"/>
        </c:marker>
      </c:pivotFmt>
      <c:pivotFmt>
        <c:idx val="1410"/>
        <c:marker>
          <c:symbol val="none"/>
        </c:marker>
      </c:pivotFmt>
      <c:pivotFmt>
        <c:idx val="1411"/>
        <c:marker>
          <c:symbol val="none"/>
        </c:marker>
      </c:pivotFmt>
      <c:pivotFmt>
        <c:idx val="1412"/>
        <c:marker>
          <c:symbol val="none"/>
        </c:marker>
      </c:pivotFmt>
      <c:pivotFmt>
        <c:idx val="1413"/>
        <c:marker>
          <c:symbol val="none"/>
        </c:marker>
      </c:pivotFmt>
      <c:pivotFmt>
        <c:idx val="1414"/>
        <c:marker>
          <c:symbol val="none"/>
        </c:marker>
      </c:pivotFmt>
      <c:pivotFmt>
        <c:idx val="1415"/>
        <c:marker>
          <c:symbol val="none"/>
        </c:marker>
      </c:pivotFmt>
      <c:pivotFmt>
        <c:idx val="1416"/>
        <c:marker>
          <c:symbol val="none"/>
        </c:marker>
      </c:pivotFmt>
      <c:pivotFmt>
        <c:idx val="1417"/>
        <c:marker>
          <c:symbol val="none"/>
        </c:marker>
      </c:pivotFmt>
      <c:pivotFmt>
        <c:idx val="1418"/>
        <c:marker>
          <c:symbol val="none"/>
        </c:marker>
      </c:pivotFmt>
      <c:pivotFmt>
        <c:idx val="1419"/>
        <c:marker>
          <c:symbol val="none"/>
        </c:marker>
      </c:pivotFmt>
      <c:pivotFmt>
        <c:idx val="1420"/>
        <c:marker>
          <c:symbol val="none"/>
        </c:marker>
      </c:pivotFmt>
      <c:pivotFmt>
        <c:idx val="1421"/>
        <c:marker>
          <c:symbol val="none"/>
        </c:marker>
      </c:pivotFmt>
      <c:pivotFmt>
        <c:idx val="1422"/>
        <c:marker>
          <c:symbol val="none"/>
        </c:marker>
      </c:pivotFmt>
      <c:pivotFmt>
        <c:idx val="1423"/>
        <c:marker>
          <c:symbol val="none"/>
        </c:marker>
      </c:pivotFmt>
      <c:pivotFmt>
        <c:idx val="1424"/>
        <c:marker>
          <c:symbol val="none"/>
        </c:marker>
      </c:pivotFmt>
      <c:pivotFmt>
        <c:idx val="1425"/>
        <c:marker>
          <c:symbol val="none"/>
        </c:marker>
      </c:pivotFmt>
      <c:pivotFmt>
        <c:idx val="1426"/>
        <c:marker>
          <c:symbol val="none"/>
        </c:marker>
      </c:pivotFmt>
      <c:pivotFmt>
        <c:idx val="1427"/>
        <c:marker>
          <c:symbol val="none"/>
        </c:marker>
      </c:pivotFmt>
      <c:pivotFmt>
        <c:idx val="1428"/>
        <c:marker>
          <c:symbol val="none"/>
        </c:marker>
      </c:pivotFmt>
      <c:pivotFmt>
        <c:idx val="1429"/>
        <c:marker>
          <c:symbol val="none"/>
        </c:marker>
      </c:pivotFmt>
      <c:pivotFmt>
        <c:idx val="1430"/>
        <c:marker>
          <c:symbol val="none"/>
        </c:marker>
      </c:pivotFmt>
      <c:pivotFmt>
        <c:idx val="1431"/>
        <c:marker>
          <c:symbol val="none"/>
        </c:marker>
      </c:pivotFmt>
      <c:pivotFmt>
        <c:idx val="1432"/>
        <c:marker>
          <c:symbol val="none"/>
        </c:marker>
      </c:pivotFmt>
      <c:pivotFmt>
        <c:idx val="1433"/>
        <c:marker>
          <c:symbol val="none"/>
        </c:marker>
      </c:pivotFmt>
      <c:pivotFmt>
        <c:idx val="1434"/>
        <c:marker>
          <c:symbol val="none"/>
        </c:marker>
      </c:pivotFmt>
      <c:pivotFmt>
        <c:idx val="1435"/>
        <c:marker>
          <c:symbol val="none"/>
        </c:marker>
      </c:pivotFmt>
      <c:pivotFmt>
        <c:idx val="1436"/>
        <c:marker>
          <c:symbol val="none"/>
        </c:marker>
      </c:pivotFmt>
      <c:pivotFmt>
        <c:idx val="1437"/>
        <c:marker>
          <c:symbol val="none"/>
        </c:marker>
      </c:pivotFmt>
      <c:pivotFmt>
        <c:idx val="1438"/>
        <c:marker>
          <c:symbol val="none"/>
        </c:marker>
      </c:pivotFmt>
      <c:pivotFmt>
        <c:idx val="1439"/>
        <c:marker>
          <c:symbol val="none"/>
        </c:marker>
      </c:pivotFmt>
      <c:pivotFmt>
        <c:idx val="1440"/>
        <c:marker>
          <c:symbol val="none"/>
        </c:marker>
      </c:pivotFmt>
      <c:pivotFmt>
        <c:idx val="1441"/>
        <c:marker>
          <c:symbol val="none"/>
        </c:marker>
      </c:pivotFmt>
      <c:pivotFmt>
        <c:idx val="1442"/>
        <c:marker>
          <c:symbol val="none"/>
        </c:marker>
      </c:pivotFmt>
      <c:pivotFmt>
        <c:idx val="1443"/>
        <c:marker>
          <c:symbol val="none"/>
        </c:marker>
      </c:pivotFmt>
      <c:pivotFmt>
        <c:idx val="1444"/>
        <c:marker>
          <c:symbol val="none"/>
        </c:marker>
      </c:pivotFmt>
      <c:pivotFmt>
        <c:idx val="1445"/>
        <c:marker>
          <c:symbol val="none"/>
        </c:marker>
      </c:pivotFmt>
      <c:pivotFmt>
        <c:idx val="1446"/>
        <c:marker>
          <c:symbol val="none"/>
        </c:marker>
      </c:pivotFmt>
      <c:pivotFmt>
        <c:idx val="1447"/>
        <c:marker>
          <c:symbol val="none"/>
        </c:marker>
      </c:pivotFmt>
      <c:pivotFmt>
        <c:idx val="1448"/>
        <c:marker>
          <c:symbol val="none"/>
        </c:marker>
      </c:pivotFmt>
      <c:pivotFmt>
        <c:idx val="1449"/>
        <c:marker>
          <c:symbol val="none"/>
        </c:marker>
      </c:pivotFmt>
      <c:pivotFmt>
        <c:idx val="1450"/>
        <c:marker>
          <c:symbol val="none"/>
        </c:marker>
      </c:pivotFmt>
      <c:pivotFmt>
        <c:idx val="1451"/>
        <c:marker>
          <c:symbol val="none"/>
        </c:marker>
      </c:pivotFmt>
      <c:pivotFmt>
        <c:idx val="1452"/>
        <c:marker>
          <c:symbol val="none"/>
        </c:marker>
      </c:pivotFmt>
      <c:pivotFmt>
        <c:idx val="1453"/>
        <c:marker>
          <c:symbol val="none"/>
        </c:marker>
      </c:pivotFmt>
      <c:pivotFmt>
        <c:idx val="1454"/>
        <c:marker>
          <c:symbol val="none"/>
        </c:marker>
      </c:pivotFmt>
      <c:pivotFmt>
        <c:idx val="1455"/>
        <c:marker>
          <c:symbol val="none"/>
        </c:marker>
      </c:pivotFmt>
      <c:pivotFmt>
        <c:idx val="1456"/>
        <c:marker>
          <c:symbol val="none"/>
        </c:marker>
      </c:pivotFmt>
      <c:pivotFmt>
        <c:idx val="1457"/>
        <c:marker>
          <c:symbol val="none"/>
        </c:marker>
      </c:pivotFmt>
      <c:pivotFmt>
        <c:idx val="1458"/>
        <c:marker>
          <c:symbol val="none"/>
        </c:marker>
      </c:pivotFmt>
      <c:pivotFmt>
        <c:idx val="1459"/>
        <c:marker>
          <c:symbol val="none"/>
        </c:marker>
      </c:pivotFmt>
      <c:pivotFmt>
        <c:idx val="1460"/>
        <c:marker>
          <c:symbol val="none"/>
        </c:marker>
      </c:pivotFmt>
      <c:pivotFmt>
        <c:idx val="1461"/>
        <c:marker>
          <c:symbol val="none"/>
        </c:marker>
      </c:pivotFmt>
      <c:pivotFmt>
        <c:idx val="1462"/>
        <c:marker>
          <c:symbol val="none"/>
        </c:marker>
      </c:pivotFmt>
      <c:pivotFmt>
        <c:idx val="1463"/>
        <c:marker>
          <c:symbol val="none"/>
        </c:marker>
      </c:pivotFmt>
      <c:pivotFmt>
        <c:idx val="1464"/>
        <c:marker>
          <c:symbol val="none"/>
        </c:marker>
      </c:pivotFmt>
      <c:pivotFmt>
        <c:idx val="1465"/>
        <c:marker>
          <c:symbol val="none"/>
        </c:marker>
      </c:pivotFmt>
      <c:pivotFmt>
        <c:idx val="1466"/>
        <c:marker>
          <c:symbol val="none"/>
        </c:marker>
      </c:pivotFmt>
      <c:pivotFmt>
        <c:idx val="1467"/>
        <c:marker>
          <c:symbol val="none"/>
        </c:marker>
      </c:pivotFmt>
      <c:pivotFmt>
        <c:idx val="1468"/>
        <c:marker>
          <c:symbol val="none"/>
        </c:marker>
      </c:pivotFmt>
      <c:pivotFmt>
        <c:idx val="1469"/>
        <c:marker>
          <c:symbol val="none"/>
        </c:marker>
      </c:pivotFmt>
      <c:pivotFmt>
        <c:idx val="1470"/>
        <c:marker>
          <c:symbol val="none"/>
        </c:marker>
      </c:pivotFmt>
      <c:pivotFmt>
        <c:idx val="1471"/>
        <c:marker>
          <c:symbol val="none"/>
        </c:marker>
      </c:pivotFmt>
      <c:pivotFmt>
        <c:idx val="1472"/>
        <c:marker>
          <c:symbol val="none"/>
        </c:marker>
      </c:pivotFmt>
      <c:pivotFmt>
        <c:idx val="1473"/>
        <c:marker>
          <c:symbol val="none"/>
        </c:marker>
      </c:pivotFmt>
      <c:pivotFmt>
        <c:idx val="1474"/>
        <c:marker>
          <c:symbol val="none"/>
        </c:marker>
      </c:pivotFmt>
      <c:pivotFmt>
        <c:idx val="1475"/>
        <c:marker>
          <c:symbol val="none"/>
        </c:marker>
      </c:pivotFmt>
      <c:pivotFmt>
        <c:idx val="1476"/>
        <c:marker>
          <c:symbol val="none"/>
        </c:marker>
      </c:pivotFmt>
      <c:pivotFmt>
        <c:idx val="1477"/>
        <c:marker>
          <c:symbol val="none"/>
        </c:marker>
      </c:pivotFmt>
      <c:pivotFmt>
        <c:idx val="1478"/>
        <c:marker>
          <c:symbol val="none"/>
        </c:marker>
      </c:pivotFmt>
      <c:pivotFmt>
        <c:idx val="1479"/>
        <c:marker>
          <c:symbol val="none"/>
        </c:marker>
      </c:pivotFmt>
      <c:pivotFmt>
        <c:idx val="1480"/>
        <c:marker>
          <c:symbol val="none"/>
        </c:marker>
      </c:pivotFmt>
      <c:pivotFmt>
        <c:idx val="1481"/>
        <c:marker>
          <c:symbol val="none"/>
        </c:marker>
      </c:pivotFmt>
      <c:pivotFmt>
        <c:idx val="1482"/>
        <c:marker>
          <c:symbol val="none"/>
        </c:marker>
      </c:pivotFmt>
      <c:pivotFmt>
        <c:idx val="1483"/>
        <c:marker>
          <c:symbol val="none"/>
        </c:marker>
      </c:pivotFmt>
      <c:pivotFmt>
        <c:idx val="1484"/>
        <c:marker>
          <c:symbol val="none"/>
        </c:marker>
      </c:pivotFmt>
      <c:pivotFmt>
        <c:idx val="1485"/>
        <c:marker>
          <c:symbol val="none"/>
        </c:marker>
      </c:pivotFmt>
      <c:pivotFmt>
        <c:idx val="1486"/>
        <c:marker>
          <c:symbol val="none"/>
        </c:marker>
      </c:pivotFmt>
      <c:pivotFmt>
        <c:idx val="1487"/>
        <c:marker>
          <c:symbol val="none"/>
        </c:marker>
      </c:pivotFmt>
      <c:pivotFmt>
        <c:idx val="1488"/>
        <c:marker>
          <c:symbol val="none"/>
        </c:marker>
      </c:pivotFmt>
      <c:pivotFmt>
        <c:idx val="1489"/>
        <c:marker>
          <c:symbol val="none"/>
        </c:marker>
      </c:pivotFmt>
      <c:pivotFmt>
        <c:idx val="1490"/>
        <c:marker>
          <c:symbol val="none"/>
        </c:marker>
      </c:pivotFmt>
      <c:pivotFmt>
        <c:idx val="1491"/>
        <c:marker>
          <c:symbol val="none"/>
        </c:marker>
      </c:pivotFmt>
      <c:pivotFmt>
        <c:idx val="1492"/>
        <c:marker>
          <c:symbol val="none"/>
        </c:marker>
      </c:pivotFmt>
      <c:pivotFmt>
        <c:idx val="1493"/>
        <c:marker>
          <c:symbol val="none"/>
        </c:marker>
      </c:pivotFmt>
      <c:pivotFmt>
        <c:idx val="1494"/>
        <c:marker>
          <c:symbol val="none"/>
        </c:marker>
      </c:pivotFmt>
      <c:pivotFmt>
        <c:idx val="1495"/>
        <c:marker>
          <c:symbol val="none"/>
        </c:marker>
      </c:pivotFmt>
      <c:pivotFmt>
        <c:idx val="1496"/>
        <c:marker>
          <c:symbol val="none"/>
        </c:marker>
      </c:pivotFmt>
      <c:pivotFmt>
        <c:idx val="1497"/>
        <c:marker>
          <c:symbol val="none"/>
        </c:marker>
      </c:pivotFmt>
      <c:pivotFmt>
        <c:idx val="1498"/>
        <c:marker>
          <c:symbol val="none"/>
        </c:marker>
      </c:pivotFmt>
      <c:pivotFmt>
        <c:idx val="1499"/>
        <c:marker>
          <c:symbol val="none"/>
        </c:marker>
      </c:pivotFmt>
      <c:pivotFmt>
        <c:idx val="1500"/>
        <c:marker>
          <c:symbol val="none"/>
        </c:marker>
      </c:pivotFmt>
      <c:pivotFmt>
        <c:idx val="1501"/>
        <c:marker>
          <c:symbol val="none"/>
        </c:marker>
      </c:pivotFmt>
      <c:pivotFmt>
        <c:idx val="1502"/>
        <c:marker>
          <c:symbol val="none"/>
        </c:marker>
      </c:pivotFmt>
      <c:pivotFmt>
        <c:idx val="1503"/>
        <c:marker>
          <c:symbol val="none"/>
        </c:marker>
      </c:pivotFmt>
      <c:pivotFmt>
        <c:idx val="1504"/>
        <c:marker>
          <c:symbol val="none"/>
        </c:marker>
      </c:pivotFmt>
      <c:pivotFmt>
        <c:idx val="1505"/>
        <c:marker>
          <c:symbol val="none"/>
        </c:marker>
      </c:pivotFmt>
      <c:pivotFmt>
        <c:idx val="1506"/>
        <c:marker>
          <c:symbol val="none"/>
        </c:marker>
      </c:pivotFmt>
      <c:pivotFmt>
        <c:idx val="1507"/>
        <c:marker>
          <c:symbol val="none"/>
        </c:marker>
      </c:pivotFmt>
      <c:pivotFmt>
        <c:idx val="1508"/>
        <c:marker>
          <c:symbol val="none"/>
        </c:marker>
      </c:pivotFmt>
      <c:pivotFmt>
        <c:idx val="1509"/>
        <c:marker>
          <c:symbol val="none"/>
        </c:marker>
      </c:pivotFmt>
      <c:pivotFmt>
        <c:idx val="1510"/>
        <c:marker>
          <c:symbol val="none"/>
        </c:marker>
      </c:pivotFmt>
      <c:pivotFmt>
        <c:idx val="1511"/>
        <c:marker>
          <c:symbol val="none"/>
        </c:marker>
      </c:pivotFmt>
      <c:pivotFmt>
        <c:idx val="1512"/>
        <c:marker>
          <c:symbol val="none"/>
        </c:marker>
      </c:pivotFmt>
      <c:pivotFmt>
        <c:idx val="1513"/>
        <c:marker>
          <c:symbol val="none"/>
        </c:marker>
      </c:pivotFmt>
      <c:pivotFmt>
        <c:idx val="1514"/>
        <c:marker>
          <c:symbol val="none"/>
        </c:marker>
      </c:pivotFmt>
      <c:pivotFmt>
        <c:idx val="1515"/>
        <c:marker>
          <c:symbol val="none"/>
        </c:marker>
      </c:pivotFmt>
      <c:pivotFmt>
        <c:idx val="1516"/>
        <c:marker>
          <c:symbol val="none"/>
        </c:marker>
      </c:pivotFmt>
      <c:pivotFmt>
        <c:idx val="1517"/>
        <c:marker>
          <c:symbol val="none"/>
        </c:marker>
      </c:pivotFmt>
      <c:pivotFmt>
        <c:idx val="1518"/>
        <c:marker>
          <c:symbol val="none"/>
        </c:marker>
      </c:pivotFmt>
      <c:pivotFmt>
        <c:idx val="1519"/>
        <c:marker>
          <c:symbol val="none"/>
        </c:marker>
      </c:pivotFmt>
      <c:pivotFmt>
        <c:idx val="1520"/>
        <c:marker>
          <c:symbol val="none"/>
        </c:marker>
      </c:pivotFmt>
      <c:pivotFmt>
        <c:idx val="1521"/>
        <c:marker>
          <c:symbol val="none"/>
        </c:marker>
      </c:pivotFmt>
      <c:pivotFmt>
        <c:idx val="1522"/>
        <c:marker>
          <c:symbol val="none"/>
        </c:marker>
      </c:pivotFmt>
      <c:pivotFmt>
        <c:idx val="1523"/>
        <c:marker>
          <c:symbol val="none"/>
        </c:marker>
      </c:pivotFmt>
      <c:pivotFmt>
        <c:idx val="1524"/>
        <c:marker>
          <c:symbol val="none"/>
        </c:marker>
      </c:pivotFmt>
      <c:pivotFmt>
        <c:idx val="1525"/>
        <c:marker>
          <c:symbol val="none"/>
        </c:marker>
      </c:pivotFmt>
      <c:pivotFmt>
        <c:idx val="1526"/>
        <c:marker>
          <c:symbol val="none"/>
        </c:marker>
      </c:pivotFmt>
      <c:pivotFmt>
        <c:idx val="1527"/>
        <c:marker>
          <c:symbol val="none"/>
        </c:marker>
      </c:pivotFmt>
      <c:pivotFmt>
        <c:idx val="1528"/>
        <c:marker>
          <c:symbol val="none"/>
        </c:marker>
      </c:pivotFmt>
      <c:pivotFmt>
        <c:idx val="1529"/>
        <c:marker>
          <c:symbol val="none"/>
        </c:marker>
      </c:pivotFmt>
      <c:pivotFmt>
        <c:idx val="1530"/>
        <c:marker>
          <c:symbol val="none"/>
        </c:marker>
      </c:pivotFmt>
      <c:pivotFmt>
        <c:idx val="1531"/>
        <c:marker>
          <c:symbol val="none"/>
        </c:marker>
      </c:pivotFmt>
      <c:pivotFmt>
        <c:idx val="1532"/>
        <c:marker>
          <c:symbol val="none"/>
        </c:marker>
      </c:pivotFmt>
      <c:pivotFmt>
        <c:idx val="1533"/>
        <c:marker>
          <c:symbol val="none"/>
        </c:marker>
      </c:pivotFmt>
      <c:pivotFmt>
        <c:idx val="1534"/>
        <c:marker>
          <c:symbol val="none"/>
        </c:marker>
      </c:pivotFmt>
      <c:pivotFmt>
        <c:idx val="1535"/>
        <c:marker>
          <c:symbol val="none"/>
        </c:marker>
      </c:pivotFmt>
      <c:pivotFmt>
        <c:idx val="1536"/>
        <c:marker>
          <c:symbol val="none"/>
        </c:marker>
      </c:pivotFmt>
      <c:pivotFmt>
        <c:idx val="1537"/>
        <c:marker>
          <c:symbol val="none"/>
        </c:marker>
      </c:pivotFmt>
      <c:pivotFmt>
        <c:idx val="1538"/>
        <c:marker>
          <c:symbol val="none"/>
        </c:marker>
      </c:pivotFmt>
      <c:pivotFmt>
        <c:idx val="1539"/>
        <c:marker>
          <c:symbol val="none"/>
        </c:marker>
      </c:pivotFmt>
      <c:pivotFmt>
        <c:idx val="1540"/>
        <c:marker>
          <c:symbol val="none"/>
        </c:marker>
      </c:pivotFmt>
      <c:pivotFmt>
        <c:idx val="1541"/>
        <c:marker>
          <c:symbol val="none"/>
        </c:marker>
      </c:pivotFmt>
      <c:pivotFmt>
        <c:idx val="1542"/>
        <c:marker>
          <c:symbol val="none"/>
        </c:marker>
      </c:pivotFmt>
      <c:pivotFmt>
        <c:idx val="1543"/>
        <c:marker>
          <c:symbol val="none"/>
        </c:marker>
      </c:pivotFmt>
      <c:pivotFmt>
        <c:idx val="1544"/>
        <c:marker>
          <c:symbol val="none"/>
        </c:marker>
      </c:pivotFmt>
      <c:pivotFmt>
        <c:idx val="1545"/>
        <c:marker>
          <c:symbol val="none"/>
        </c:marker>
      </c:pivotFmt>
      <c:pivotFmt>
        <c:idx val="1546"/>
        <c:marker>
          <c:symbol val="none"/>
        </c:marker>
      </c:pivotFmt>
      <c:pivotFmt>
        <c:idx val="1547"/>
        <c:marker>
          <c:symbol val="none"/>
        </c:marker>
      </c:pivotFmt>
      <c:pivotFmt>
        <c:idx val="1548"/>
        <c:marker>
          <c:symbol val="none"/>
        </c:marker>
      </c:pivotFmt>
      <c:pivotFmt>
        <c:idx val="1549"/>
        <c:marker>
          <c:symbol val="none"/>
        </c:marker>
      </c:pivotFmt>
      <c:pivotFmt>
        <c:idx val="1550"/>
        <c:marker>
          <c:symbol val="none"/>
        </c:marker>
      </c:pivotFmt>
      <c:pivotFmt>
        <c:idx val="1551"/>
        <c:marker>
          <c:symbol val="none"/>
        </c:marker>
      </c:pivotFmt>
      <c:pivotFmt>
        <c:idx val="1552"/>
        <c:marker>
          <c:symbol val="none"/>
        </c:marker>
      </c:pivotFmt>
      <c:pivotFmt>
        <c:idx val="1553"/>
        <c:marker>
          <c:symbol val="none"/>
        </c:marker>
      </c:pivotFmt>
      <c:pivotFmt>
        <c:idx val="1554"/>
        <c:marker>
          <c:symbol val="none"/>
        </c:marker>
      </c:pivotFmt>
      <c:pivotFmt>
        <c:idx val="1555"/>
        <c:marker>
          <c:symbol val="none"/>
        </c:marker>
      </c:pivotFmt>
      <c:pivotFmt>
        <c:idx val="1556"/>
        <c:marker>
          <c:symbol val="none"/>
        </c:marker>
      </c:pivotFmt>
      <c:pivotFmt>
        <c:idx val="1557"/>
        <c:marker>
          <c:symbol val="none"/>
        </c:marker>
      </c:pivotFmt>
      <c:pivotFmt>
        <c:idx val="1558"/>
        <c:marker>
          <c:symbol val="none"/>
        </c:marker>
      </c:pivotFmt>
      <c:pivotFmt>
        <c:idx val="1559"/>
        <c:marker>
          <c:symbol val="none"/>
        </c:marker>
      </c:pivotFmt>
      <c:pivotFmt>
        <c:idx val="1560"/>
        <c:marker>
          <c:symbol val="none"/>
        </c:marker>
      </c:pivotFmt>
      <c:pivotFmt>
        <c:idx val="1561"/>
        <c:marker>
          <c:symbol val="none"/>
        </c:marker>
      </c:pivotFmt>
      <c:pivotFmt>
        <c:idx val="1562"/>
        <c:marker>
          <c:symbol val="none"/>
        </c:marker>
      </c:pivotFmt>
      <c:pivotFmt>
        <c:idx val="1563"/>
        <c:marker>
          <c:symbol val="none"/>
        </c:marker>
      </c:pivotFmt>
      <c:pivotFmt>
        <c:idx val="1564"/>
        <c:marker>
          <c:symbol val="none"/>
        </c:marker>
      </c:pivotFmt>
      <c:pivotFmt>
        <c:idx val="1565"/>
        <c:marker>
          <c:symbol val="none"/>
        </c:marker>
      </c:pivotFmt>
      <c:pivotFmt>
        <c:idx val="1566"/>
        <c:marker>
          <c:symbol val="none"/>
        </c:marker>
      </c:pivotFmt>
      <c:pivotFmt>
        <c:idx val="1567"/>
        <c:marker>
          <c:symbol val="none"/>
        </c:marker>
      </c:pivotFmt>
      <c:pivotFmt>
        <c:idx val="1568"/>
        <c:marker>
          <c:symbol val="none"/>
        </c:marker>
      </c:pivotFmt>
      <c:pivotFmt>
        <c:idx val="1569"/>
        <c:marker>
          <c:symbol val="none"/>
        </c:marker>
      </c:pivotFmt>
      <c:pivotFmt>
        <c:idx val="1570"/>
        <c:marker>
          <c:symbol val="none"/>
        </c:marker>
      </c:pivotFmt>
      <c:pivotFmt>
        <c:idx val="1571"/>
        <c:marker>
          <c:symbol val="none"/>
        </c:marker>
      </c:pivotFmt>
      <c:pivotFmt>
        <c:idx val="1572"/>
        <c:marker>
          <c:symbol val="none"/>
        </c:marker>
      </c:pivotFmt>
      <c:pivotFmt>
        <c:idx val="1573"/>
        <c:marker>
          <c:symbol val="none"/>
        </c:marker>
      </c:pivotFmt>
      <c:pivotFmt>
        <c:idx val="1574"/>
        <c:marker>
          <c:symbol val="none"/>
        </c:marker>
      </c:pivotFmt>
      <c:pivotFmt>
        <c:idx val="1575"/>
        <c:marker>
          <c:symbol val="none"/>
        </c:marker>
      </c:pivotFmt>
      <c:pivotFmt>
        <c:idx val="1576"/>
        <c:marker>
          <c:symbol val="none"/>
        </c:marker>
      </c:pivotFmt>
      <c:pivotFmt>
        <c:idx val="1577"/>
        <c:marker>
          <c:symbol val="none"/>
        </c:marker>
      </c:pivotFmt>
      <c:pivotFmt>
        <c:idx val="1578"/>
        <c:marker>
          <c:symbol val="none"/>
        </c:marker>
      </c:pivotFmt>
      <c:pivotFmt>
        <c:idx val="1579"/>
        <c:marker>
          <c:symbol val="none"/>
        </c:marker>
      </c:pivotFmt>
      <c:pivotFmt>
        <c:idx val="1580"/>
        <c:marker>
          <c:symbol val="none"/>
        </c:marker>
      </c:pivotFmt>
      <c:pivotFmt>
        <c:idx val="1581"/>
        <c:marker>
          <c:symbol val="none"/>
        </c:marker>
      </c:pivotFmt>
      <c:pivotFmt>
        <c:idx val="1582"/>
        <c:marker>
          <c:symbol val="none"/>
        </c:marker>
      </c:pivotFmt>
      <c:pivotFmt>
        <c:idx val="1583"/>
        <c:marker>
          <c:symbol val="none"/>
        </c:marker>
      </c:pivotFmt>
      <c:pivotFmt>
        <c:idx val="1584"/>
        <c:marker>
          <c:symbol val="none"/>
        </c:marker>
      </c:pivotFmt>
      <c:pivotFmt>
        <c:idx val="1585"/>
        <c:marker>
          <c:symbol val="none"/>
        </c:marker>
      </c:pivotFmt>
      <c:pivotFmt>
        <c:idx val="1586"/>
        <c:marker>
          <c:symbol val="none"/>
        </c:marker>
      </c:pivotFmt>
      <c:pivotFmt>
        <c:idx val="1587"/>
        <c:marker>
          <c:symbol val="none"/>
        </c:marker>
      </c:pivotFmt>
      <c:pivotFmt>
        <c:idx val="1588"/>
        <c:marker>
          <c:symbol val="none"/>
        </c:marker>
      </c:pivotFmt>
      <c:pivotFmt>
        <c:idx val="1589"/>
        <c:marker>
          <c:symbol val="none"/>
        </c:marker>
      </c:pivotFmt>
      <c:pivotFmt>
        <c:idx val="1590"/>
        <c:marker>
          <c:symbol val="none"/>
        </c:marker>
      </c:pivotFmt>
      <c:pivotFmt>
        <c:idx val="1591"/>
        <c:marker>
          <c:symbol val="none"/>
        </c:marker>
      </c:pivotFmt>
      <c:pivotFmt>
        <c:idx val="1592"/>
        <c:marker>
          <c:symbol val="none"/>
        </c:marker>
      </c:pivotFmt>
      <c:pivotFmt>
        <c:idx val="1593"/>
        <c:marker>
          <c:symbol val="none"/>
        </c:marker>
      </c:pivotFmt>
      <c:pivotFmt>
        <c:idx val="1594"/>
        <c:marker>
          <c:symbol val="none"/>
        </c:marker>
      </c:pivotFmt>
      <c:pivotFmt>
        <c:idx val="1595"/>
        <c:marker>
          <c:symbol val="none"/>
        </c:marker>
      </c:pivotFmt>
      <c:pivotFmt>
        <c:idx val="1596"/>
        <c:marker>
          <c:symbol val="none"/>
        </c:marker>
      </c:pivotFmt>
      <c:pivotFmt>
        <c:idx val="1597"/>
        <c:marker>
          <c:symbol val="none"/>
        </c:marker>
      </c:pivotFmt>
      <c:pivotFmt>
        <c:idx val="1598"/>
        <c:marker>
          <c:symbol val="none"/>
        </c:marker>
      </c:pivotFmt>
      <c:pivotFmt>
        <c:idx val="1599"/>
        <c:marker>
          <c:symbol val="none"/>
        </c:marker>
      </c:pivotFmt>
      <c:pivotFmt>
        <c:idx val="1600"/>
        <c:marker>
          <c:symbol val="none"/>
        </c:marker>
      </c:pivotFmt>
      <c:pivotFmt>
        <c:idx val="1601"/>
        <c:marker>
          <c:symbol val="none"/>
        </c:marker>
      </c:pivotFmt>
      <c:pivotFmt>
        <c:idx val="1602"/>
        <c:marker>
          <c:symbol val="none"/>
        </c:marker>
      </c:pivotFmt>
      <c:pivotFmt>
        <c:idx val="1603"/>
        <c:marker>
          <c:symbol val="none"/>
        </c:marker>
      </c:pivotFmt>
      <c:pivotFmt>
        <c:idx val="1604"/>
        <c:marker>
          <c:symbol val="none"/>
        </c:marker>
      </c:pivotFmt>
      <c:pivotFmt>
        <c:idx val="1605"/>
        <c:marker>
          <c:symbol val="none"/>
        </c:marker>
      </c:pivotFmt>
      <c:pivotFmt>
        <c:idx val="1606"/>
        <c:marker>
          <c:symbol val="none"/>
        </c:marker>
      </c:pivotFmt>
      <c:pivotFmt>
        <c:idx val="1607"/>
        <c:marker>
          <c:symbol val="none"/>
        </c:marker>
      </c:pivotFmt>
      <c:pivotFmt>
        <c:idx val="1608"/>
        <c:marker>
          <c:symbol val="none"/>
        </c:marker>
      </c:pivotFmt>
      <c:pivotFmt>
        <c:idx val="1609"/>
        <c:marker>
          <c:symbol val="none"/>
        </c:marker>
      </c:pivotFmt>
      <c:pivotFmt>
        <c:idx val="1610"/>
        <c:marker>
          <c:symbol val="none"/>
        </c:marker>
      </c:pivotFmt>
      <c:pivotFmt>
        <c:idx val="1611"/>
        <c:marker>
          <c:symbol val="none"/>
        </c:marker>
      </c:pivotFmt>
      <c:pivotFmt>
        <c:idx val="1612"/>
        <c:marker>
          <c:symbol val="none"/>
        </c:marker>
      </c:pivotFmt>
      <c:pivotFmt>
        <c:idx val="1613"/>
        <c:marker>
          <c:symbol val="none"/>
        </c:marker>
      </c:pivotFmt>
      <c:pivotFmt>
        <c:idx val="1614"/>
        <c:marker>
          <c:symbol val="none"/>
        </c:marker>
      </c:pivotFmt>
      <c:pivotFmt>
        <c:idx val="1615"/>
        <c:marker>
          <c:symbol val="none"/>
        </c:marker>
      </c:pivotFmt>
      <c:pivotFmt>
        <c:idx val="1616"/>
        <c:marker>
          <c:symbol val="none"/>
        </c:marker>
      </c:pivotFmt>
      <c:pivotFmt>
        <c:idx val="1617"/>
        <c:marker>
          <c:symbol val="none"/>
        </c:marker>
      </c:pivotFmt>
      <c:pivotFmt>
        <c:idx val="1618"/>
        <c:marker>
          <c:symbol val="none"/>
        </c:marker>
      </c:pivotFmt>
      <c:pivotFmt>
        <c:idx val="1619"/>
        <c:marker>
          <c:symbol val="none"/>
        </c:marker>
      </c:pivotFmt>
      <c:pivotFmt>
        <c:idx val="1620"/>
        <c:marker>
          <c:symbol val="none"/>
        </c:marker>
      </c:pivotFmt>
      <c:pivotFmt>
        <c:idx val="1621"/>
        <c:marker>
          <c:symbol val="none"/>
        </c:marker>
      </c:pivotFmt>
      <c:pivotFmt>
        <c:idx val="1622"/>
        <c:marker>
          <c:symbol val="none"/>
        </c:marker>
      </c:pivotFmt>
      <c:pivotFmt>
        <c:idx val="1623"/>
        <c:marker>
          <c:symbol val="none"/>
        </c:marker>
      </c:pivotFmt>
      <c:pivotFmt>
        <c:idx val="1624"/>
        <c:marker>
          <c:symbol val="none"/>
        </c:marker>
      </c:pivotFmt>
      <c:pivotFmt>
        <c:idx val="1625"/>
        <c:marker>
          <c:symbol val="none"/>
        </c:marker>
      </c:pivotFmt>
      <c:pivotFmt>
        <c:idx val="1626"/>
        <c:marker>
          <c:symbol val="none"/>
        </c:marker>
      </c:pivotFmt>
      <c:pivotFmt>
        <c:idx val="1627"/>
        <c:marker>
          <c:symbol val="none"/>
        </c:marker>
      </c:pivotFmt>
      <c:pivotFmt>
        <c:idx val="1628"/>
        <c:marker>
          <c:symbol val="none"/>
        </c:marker>
      </c:pivotFmt>
      <c:pivotFmt>
        <c:idx val="1629"/>
        <c:marker>
          <c:symbol val="none"/>
        </c:marker>
      </c:pivotFmt>
      <c:pivotFmt>
        <c:idx val="1630"/>
        <c:marker>
          <c:symbol val="none"/>
        </c:marker>
      </c:pivotFmt>
      <c:pivotFmt>
        <c:idx val="1631"/>
        <c:marker>
          <c:symbol val="none"/>
        </c:marker>
      </c:pivotFmt>
      <c:pivotFmt>
        <c:idx val="1632"/>
        <c:marker>
          <c:symbol val="none"/>
        </c:marker>
      </c:pivotFmt>
      <c:pivotFmt>
        <c:idx val="1633"/>
        <c:marker>
          <c:symbol val="none"/>
        </c:marker>
      </c:pivotFmt>
      <c:pivotFmt>
        <c:idx val="1634"/>
        <c:marker>
          <c:symbol val="none"/>
        </c:marker>
      </c:pivotFmt>
      <c:pivotFmt>
        <c:idx val="1635"/>
        <c:marker>
          <c:symbol val="none"/>
        </c:marker>
      </c:pivotFmt>
      <c:pivotFmt>
        <c:idx val="1636"/>
        <c:marker>
          <c:symbol val="none"/>
        </c:marker>
      </c:pivotFmt>
      <c:pivotFmt>
        <c:idx val="1637"/>
        <c:marker>
          <c:symbol val="none"/>
        </c:marker>
      </c:pivotFmt>
      <c:pivotFmt>
        <c:idx val="1638"/>
        <c:marker>
          <c:symbol val="none"/>
        </c:marker>
      </c:pivotFmt>
      <c:pivotFmt>
        <c:idx val="1639"/>
        <c:marker>
          <c:symbol val="none"/>
        </c:marker>
      </c:pivotFmt>
      <c:pivotFmt>
        <c:idx val="1640"/>
        <c:marker>
          <c:symbol val="none"/>
        </c:marker>
      </c:pivotFmt>
      <c:pivotFmt>
        <c:idx val="1641"/>
        <c:marker>
          <c:symbol val="none"/>
        </c:marker>
      </c:pivotFmt>
      <c:pivotFmt>
        <c:idx val="1642"/>
        <c:marker>
          <c:symbol val="none"/>
        </c:marker>
      </c:pivotFmt>
      <c:pivotFmt>
        <c:idx val="1643"/>
        <c:marker>
          <c:symbol val="none"/>
        </c:marker>
      </c:pivotFmt>
      <c:pivotFmt>
        <c:idx val="1644"/>
        <c:marker>
          <c:symbol val="none"/>
        </c:marker>
      </c:pivotFmt>
      <c:pivotFmt>
        <c:idx val="1645"/>
        <c:marker>
          <c:symbol val="none"/>
        </c:marker>
      </c:pivotFmt>
      <c:pivotFmt>
        <c:idx val="1646"/>
        <c:marker>
          <c:symbol val="none"/>
        </c:marker>
      </c:pivotFmt>
      <c:pivotFmt>
        <c:idx val="1647"/>
        <c:marker>
          <c:symbol val="none"/>
        </c:marker>
      </c:pivotFmt>
      <c:pivotFmt>
        <c:idx val="1648"/>
        <c:marker>
          <c:symbol val="none"/>
        </c:marker>
      </c:pivotFmt>
      <c:pivotFmt>
        <c:idx val="1649"/>
        <c:marker>
          <c:symbol val="none"/>
        </c:marker>
      </c:pivotFmt>
      <c:pivotFmt>
        <c:idx val="1650"/>
        <c:marker>
          <c:symbol val="none"/>
        </c:marker>
      </c:pivotFmt>
      <c:pivotFmt>
        <c:idx val="1651"/>
        <c:marker>
          <c:symbol val="none"/>
        </c:marker>
      </c:pivotFmt>
      <c:pivotFmt>
        <c:idx val="1652"/>
        <c:marker>
          <c:symbol val="none"/>
        </c:marker>
      </c:pivotFmt>
      <c:pivotFmt>
        <c:idx val="1653"/>
        <c:marker>
          <c:symbol val="none"/>
        </c:marker>
      </c:pivotFmt>
      <c:pivotFmt>
        <c:idx val="1654"/>
        <c:marker>
          <c:symbol val="none"/>
        </c:marker>
      </c:pivotFmt>
      <c:pivotFmt>
        <c:idx val="1655"/>
        <c:marker>
          <c:symbol val="none"/>
        </c:marker>
      </c:pivotFmt>
      <c:pivotFmt>
        <c:idx val="1656"/>
        <c:marker>
          <c:symbol val="none"/>
        </c:marker>
      </c:pivotFmt>
      <c:pivotFmt>
        <c:idx val="1657"/>
        <c:marker>
          <c:symbol val="none"/>
        </c:marker>
      </c:pivotFmt>
      <c:pivotFmt>
        <c:idx val="1658"/>
        <c:marker>
          <c:symbol val="none"/>
        </c:marker>
      </c:pivotFmt>
      <c:pivotFmt>
        <c:idx val="1659"/>
        <c:marker>
          <c:symbol val="none"/>
        </c:marker>
      </c:pivotFmt>
      <c:pivotFmt>
        <c:idx val="1660"/>
        <c:marker>
          <c:symbol val="none"/>
        </c:marker>
      </c:pivotFmt>
      <c:pivotFmt>
        <c:idx val="1661"/>
        <c:marker>
          <c:symbol val="none"/>
        </c:marker>
      </c:pivotFmt>
      <c:pivotFmt>
        <c:idx val="1662"/>
        <c:marker>
          <c:symbol val="none"/>
        </c:marker>
      </c:pivotFmt>
      <c:pivotFmt>
        <c:idx val="1663"/>
        <c:marker>
          <c:symbol val="none"/>
        </c:marker>
      </c:pivotFmt>
      <c:pivotFmt>
        <c:idx val="1664"/>
        <c:marker>
          <c:symbol val="none"/>
        </c:marker>
      </c:pivotFmt>
      <c:pivotFmt>
        <c:idx val="1665"/>
        <c:marker>
          <c:symbol val="none"/>
        </c:marker>
      </c:pivotFmt>
      <c:pivotFmt>
        <c:idx val="1666"/>
        <c:marker>
          <c:symbol val="none"/>
        </c:marker>
      </c:pivotFmt>
      <c:pivotFmt>
        <c:idx val="1667"/>
        <c:marker>
          <c:symbol val="none"/>
        </c:marker>
      </c:pivotFmt>
      <c:pivotFmt>
        <c:idx val="1668"/>
        <c:marker>
          <c:symbol val="none"/>
        </c:marker>
      </c:pivotFmt>
      <c:pivotFmt>
        <c:idx val="1669"/>
        <c:marker>
          <c:symbol val="none"/>
        </c:marker>
      </c:pivotFmt>
      <c:pivotFmt>
        <c:idx val="1670"/>
        <c:marker>
          <c:symbol val="none"/>
        </c:marker>
      </c:pivotFmt>
      <c:pivotFmt>
        <c:idx val="1671"/>
        <c:marker>
          <c:symbol val="none"/>
        </c:marker>
      </c:pivotFmt>
      <c:pivotFmt>
        <c:idx val="1672"/>
        <c:marker>
          <c:symbol val="none"/>
        </c:marker>
      </c:pivotFmt>
      <c:pivotFmt>
        <c:idx val="1673"/>
        <c:marker>
          <c:symbol val="none"/>
        </c:marker>
      </c:pivotFmt>
      <c:pivotFmt>
        <c:idx val="1674"/>
        <c:marker>
          <c:symbol val="none"/>
        </c:marker>
      </c:pivotFmt>
      <c:pivotFmt>
        <c:idx val="1675"/>
        <c:marker>
          <c:symbol val="none"/>
        </c:marker>
      </c:pivotFmt>
      <c:pivotFmt>
        <c:idx val="1676"/>
        <c:marker>
          <c:symbol val="none"/>
        </c:marker>
      </c:pivotFmt>
      <c:pivotFmt>
        <c:idx val="1677"/>
        <c:marker>
          <c:symbol val="none"/>
        </c:marker>
      </c:pivotFmt>
      <c:pivotFmt>
        <c:idx val="1678"/>
        <c:marker>
          <c:symbol val="none"/>
        </c:marker>
      </c:pivotFmt>
      <c:pivotFmt>
        <c:idx val="1679"/>
        <c:marker>
          <c:symbol val="none"/>
        </c:marker>
      </c:pivotFmt>
      <c:pivotFmt>
        <c:idx val="1680"/>
        <c:marker>
          <c:symbol val="none"/>
        </c:marker>
      </c:pivotFmt>
      <c:pivotFmt>
        <c:idx val="1681"/>
        <c:marker>
          <c:symbol val="none"/>
        </c:marker>
      </c:pivotFmt>
      <c:pivotFmt>
        <c:idx val="1682"/>
        <c:marker>
          <c:symbol val="none"/>
        </c:marker>
      </c:pivotFmt>
      <c:pivotFmt>
        <c:idx val="1683"/>
        <c:marker>
          <c:symbol val="none"/>
        </c:marker>
      </c:pivotFmt>
      <c:pivotFmt>
        <c:idx val="1684"/>
        <c:marker>
          <c:symbol val="none"/>
        </c:marker>
      </c:pivotFmt>
      <c:pivotFmt>
        <c:idx val="1685"/>
        <c:marker>
          <c:symbol val="none"/>
        </c:marker>
      </c:pivotFmt>
      <c:pivotFmt>
        <c:idx val="1686"/>
        <c:marker>
          <c:symbol val="none"/>
        </c:marker>
      </c:pivotFmt>
      <c:pivotFmt>
        <c:idx val="1687"/>
        <c:marker>
          <c:symbol val="none"/>
        </c:marker>
      </c:pivotFmt>
      <c:pivotFmt>
        <c:idx val="1688"/>
        <c:marker>
          <c:symbol val="none"/>
        </c:marker>
      </c:pivotFmt>
      <c:pivotFmt>
        <c:idx val="1689"/>
        <c:marker>
          <c:symbol val="none"/>
        </c:marker>
      </c:pivotFmt>
      <c:pivotFmt>
        <c:idx val="1690"/>
        <c:marker>
          <c:symbol val="none"/>
        </c:marker>
      </c:pivotFmt>
      <c:pivotFmt>
        <c:idx val="1691"/>
        <c:marker>
          <c:symbol val="none"/>
        </c:marker>
      </c:pivotFmt>
      <c:pivotFmt>
        <c:idx val="1692"/>
        <c:marker>
          <c:symbol val="none"/>
        </c:marker>
      </c:pivotFmt>
      <c:pivotFmt>
        <c:idx val="1693"/>
        <c:marker>
          <c:symbol val="none"/>
        </c:marker>
      </c:pivotFmt>
      <c:pivotFmt>
        <c:idx val="1694"/>
        <c:marker>
          <c:symbol val="none"/>
        </c:marker>
      </c:pivotFmt>
      <c:pivotFmt>
        <c:idx val="1695"/>
        <c:marker>
          <c:symbol val="none"/>
        </c:marker>
      </c:pivotFmt>
      <c:pivotFmt>
        <c:idx val="1696"/>
        <c:marker>
          <c:symbol val="none"/>
        </c:marker>
      </c:pivotFmt>
      <c:pivotFmt>
        <c:idx val="1697"/>
        <c:marker>
          <c:symbol val="none"/>
        </c:marker>
      </c:pivotFmt>
      <c:pivotFmt>
        <c:idx val="1698"/>
        <c:marker>
          <c:symbol val="none"/>
        </c:marker>
      </c:pivotFmt>
      <c:pivotFmt>
        <c:idx val="1699"/>
        <c:marker>
          <c:symbol val="none"/>
        </c:marker>
      </c:pivotFmt>
      <c:pivotFmt>
        <c:idx val="1700"/>
        <c:marker>
          <c:symbol val="none"/>
        </c:marker>
      </c:pivotFmt>
      <c:pivotFmt>
        <c:idx val="1701"/>
        <c:marker>
          <c:symbol val="none"/>
        </c:marker>
      </c:pivotFmt>
      <c:pivotFmt>
        <c:idx val="1702"/>
        <c:marker>
          <c:symbol val="none"/>
        </c:marker>
      </c:pivotFmt>
      <c:pivotFmt>
        <c:idx val="1703"/>
        <c:marker>
          <c:symbol val="none"/>
        </c:marker>
      </c:pivotFmt>
      <c:pivotFmt>
        <c:idx val="1704"/>
        <c:marker>
          <c:symbol val="none"/>
        </c:marker>
      </c:pivotFmt>
      <c:pivotFmt>
        <c:idx val="1705"/>
        <c:marker>
          <c:symbol val="none"/>
        </c:marker>
      </c:pivotFmt>
      <c:pivotFmt>
        <c:idx val="1706"/>
        <c:marker>
          <c:symbol val="none"/>
        </c:marker>
      </c:pivotFmt>
      <c:pivotFmt>
        <c:idx val="1707"/>
        <c:marker>
          <c:symbol val="none"/>
        </c:marker>
      </c:pivotFmt>
      <c:pivotFmt>
        <c:idx val="1708"/>
        <c:marker>
          <c:symbol val="none"/>
        </c:marker>
      </c:pivotFmt>
      <c:pivotFmt>
        <c:idx val="1709"/>
        <c:marker>
          <c:symbol val="none"/>
        </c:marker>
      </c:pivotFmt>
      <c:pivotFmt>
        <c:idx val="1710"/>
        <c:marker>
          <c:symbol val="none"/>
        </c:marker>
      </c:pivotFmt>
      <c:pivotFmt>
        <c:idx val="1711"/>
        <c:marker>
          <c:symbol val="none"/>
        </c:marker>
      </c:pivotFmt>
      <c:pivotFmt>
        <c:idx val="1712"/>
        <c:marker>
          <c:symbol val="none"/>
        </c:marker>
      </c:pivotFmt>
      <c:pivotFmt>
        <c:idx val="1713"/>
        <c:marker>
          <c:symbol val="none"/>
        </c:marker>
      </c:pivotFmt>
      <c:pivotFmt>
        <c:idx val="1714"/>
        <c:marker>
          <c:symbol val="none"/>
        </c:marker>
      </c:pivotFmt>
      <c:pivotFmt>
        <c:idx val="1715"/>
        <c:marker>
          <c:symbol val="none"/>
        </c:marker>
      </c:pivotFmt>
      <c:pivotFmt>
        <c:idx val="1716"/>
        <c:marker>
          <c:symbol val="none"/>
        </c:marker>
      </c:pivotFmt>
      <c:pivotFmt>
        <c:idx val="1717"/>
        <c:marker>
          <c:symbol val="none"/>
        </c:marker>
      </c:pivotFmt>
      <c:pivotFmt>
        <c:idx val="1718"/>
        <c:marker>
          <c:symbol val="none"/>
        </c:marker>
      </c:pivotFmt>
      <c:pivotFmt>
        <c:idx val="1719"/>
        <c:marker>
          <c:symbol val="none"/>
        </c:marker>
      </c:pivotFmt>
      <c:pivotFmt>
        <c:idx val="1720"/>
        <c:marker>
          <c:symbol val="none"/>
        </c:marker>
      </c:pivotFmt>
      <c:pivotFmt>
        <c:idx val="1721"/>
        <c:marker>
          <c:symbol val="none"/>
        </c:marker>
      </c:pivotFmt>
      <c:pivotFmt>
        <c:idx val="1722"/>
        <c:marker>
          <c:symbol val="none"/>
        </c:marker>
      </c:pivotFmt>
      <c:pivotFmt>
        <c:idx val="1723"/>
        <c:marker>
          <c:symbol val="none"/>
        </c:marker>
      </c:pivotFmt>
      <c:pivotFmt>
        <c:idx val="1724"/>
        <c:marker>
          <c:symbol val="none"/>
        </c:marker>
      </c:pivotFmt>
      <c:pivotFmt>
        <c:idx val="1725"/>
        <c:marker>
          <c:symbol val="none"/>
        </c:marker>
      </c:pivotFmt>
      <c:pivotFmt>
        <c:idx val="1726"/>
        <c:marker>
          <c:symbol val="none"/>
        </c:marker>
      </c:pivotFmt>
      <c:pivotFmt>
        <c:idx val="1727"/>
        <c:marker>
          <c:symbol val="none"/>
        </c:marker>
      </c:pivotFmt>
      <c:pivotFmt>
        <c:idx val="1728"/>
        <c:marker>
          <c:symbol val="none"/>
        </c:marker>
      </c:pivotFmt>
      <c:pivotFmt>
        <c:idx val="1729"/>
        <c:marker>
          <c:symbol val="none"/>
        </c:marker>
      </c:pivotFmt>
      <c:pivotFmt>
        <c:idx val="1730"/>
        <c:marker>
          <c:symbol val="none"/>
        </c:marker>
      </c:pivotFmt>
      <c:pivotFmt>
        <c:idx val="1731"/>
        <c:marker>
          <c:symbol val="none"/>
        </c:marker>
      </c:pivotFmt>
      <c:pivotFmt>
        <c:idx val="1732"/>
        <c:marker>
          <c:symbol val="none"/>
        </c:marker>
      </c:pivotFmt>
      <c:pivotFmt>
        <c:idx val="1733"/>
        <c:marker>
          <c:symbol val="none"/>
        </c:marker>
      </c:pivotFmt>
      <c:pivotFmt>
        <c:idx val="1734"/>
        <c:marker>
          <c:symbol val="none"/>
        </c:marker>
      </c:pivotFmt>
      <c:pivotFmt>
        <c:idx val="1735"/>
        <c:marker>
          <c:symbol val="none"/>
        </c:marker>
      </c:pivotFmt>
      <c:pivotFmt>
        <c:idx val="1736"/>
        <c:marker>
          <c:symbol val="none"/>
        </c:marker>
      </c:pivotFmt>
      <c:pivotFmt>
        <c:idx val="1737"/>
        <c:marker>
          <c:symbol val="none"/>
        </c:marker>
      </c:pivotFmt>
      <c:pivotFmt>
        <c:idx val="1738"/>
        <c:marker>
          <c:symbol val="none"/>
        </c:marker>
      </c:pivotFmt>
      <c:pivotFmt>
        <c:idx val="1739"/>
        <c:marker>
          <c:symbol val="none"/>
        </c:marker>
      </c:pivotFmt>
      <c:pivotFmt>
        <c:idx val="1740"/>
        <c:marker>
          <c:symbol val="none"/>
        </c:marker>
      </c:pivotFmt>
      <c:pivotFmt>
        <c:idx val="1741"/>
        <c:marker>
          <c:symbol val="none"/>
        </c:marker>
      </c:pivotFmt>
      <c:pivotFmt>
        <c:idx val="1742"/>
        <c:marker>
          <c:symbol val="none"/>
        </c:marker>
      </c:pivotFmt>
      <c:pivotFmt>
        <c:idx val="1743"/>
        <c:marker>
          <c:symbol val="none"/>
        </c:marker>
      </c:pivotFmt>
      <c:pivotFmt>
        <c:idx val="1744"/>
        <c:marker>
          <c:symbol val="none"/>
        </c:marker>
      </c:pivotFmt>
      <c:pivotFmt>
        <c:idx val="1745"/>
        <c:marker>
          <c:symbol val="none"/>
        </c:marker>
      </c:pivotFmt>
      <c:pivotFmt>
        <c:idx val="1746"/>
        <c:marker>
          <c:symbol val="none"/>
        </c:marker>
      </c:pivotFmt>
      <c:pivotFmt>
        <c:idx val="1747"/>
        <c:marker>
          <c:symbol val="none"/>
        </c:marker>
      </c:pivotFmt>
      <c:pivotFmt>
        <c:idx val="1748"/>
        <c:marker>
          <c:symbol val="none"/>
        </c:marker>
      </c:pivotFmt>
      <c:pivotFmt>
        <c:idx val="1749"/>
        <c:marker>
          <c:symbol val="none"/>
        </c:marker>
      </c:pivotFmt>
      <c:pivotFmt>
        <c:idx val="1750"/>
        <c:marker>
          <c:symbol val="none"/>
        </c:marker>
      </c:pivotFmt>
      <c:pivotFmt>
        <c:idx val="1751"/>
        <c:marker>
          <c:symbol val="none"/>
        </c:marker>
      </c:pivotFmt>
      <c:pivotFmt>
        <c:idx val="1752"/>
        <c:marker>
          <c:symbol val="none"/>
        </c:marker>
      </c:pivotFmt>
      <c:pivotFmt>
        <c:idx val="1753"/>
        <c:marker>
          <c:symbol val="none"/>
        </c:marker>
      </c:pivotFmt>
      <c:pivotFmt>
        <c:idx val="1754"/>
        <c:marker>
          <c:symbol val="none"/>
        </c:marker>
      </c:pivotFmt>
      <c:pivotFmt>
        <c:idx val="1755"/>
        <c:marker>
          <c:symbol val="none"/>
        </c:marker>
      </c:pivotFmt>
      <c:pivotFmt>
        <c:idx val="1756"/>
        <c:marker>
          <c:symbol val="none"/>
        </c:marker>
      </c:pivotFmt>
      <c:pivotFmt>
        <c:idx val="1757"/>
        <c:marker>
          <c:symbol val="none"/>
        </c:marker>
      </c:pivotFmt>
      <c:pivotFmt>
        <c:idx val="1758"/>
        <c:marker>
          <c:symbol val="none"/>
        </c:marker>
      </c:pivotFmt>
      <c:pivotFmt>
        <c:idx val="1759"/>
        <c:marker>
          <c:symbol val="none"/>
        </c:marker>
      </c:pivotFmt>
      <c:pivotFmt>
        <c:idx val="1760"/>
        <c:marker>
          <c:symbol val="none"/>
        </c:marker>
      </c:pivotFmt>
      <c:pivotFmt>
        <c:idx val="1761"/>
        <c:marker>
          <c:symbol val="none"/>
        </c:marker>
      </c:pivotFmt>
      <c:pivotFmt>
        <c:idx val="1762"/>
        <c:marker>
          <c:symbol val="none"/>
        </c:marker>
      </c:pivotFmt>
      <c:pivotFmt>
        <c:idx val="1763"/>
        <c:marker>
          <c:symbol val="none"/>
        </c:marker>
      </c:pivotFmt>
      <c:pivotFmt>
        <c:idx val="1764"/>
        <c:marker>
          <c:symbol val="none"/>
        </c:marker>
      </c:pivotFmt>
      <c:pivotFmt>
        <c:idx val="1765"/>
        <c:marker>
          <c:symbol val="none"/>
        </c:marker>
      </c:pivotFmt>
      <c:pivotFmt>
        <c:idx val="1766"/>
        <c:marker>
          <c:symbol val="none"/>
        </c:marker>
      </c:pivotFmt>
      <c:pivotFmt>
        <c:idx val="1767"/>
        <c:marker>
          <c:symbol val="none"/>
        </c:marker>
      </c:pivotFmt>
      <c:pivotFmt>
        <c:idx val="1768"/>
        <c:marker>
          <c:symbol val="none"/>
        </c:marker>
      </c:pivotFmt>
      <c:pivotFmt>
        <c:idx val="1769"/>
        <c:marker>
          <c:symbol val="none"/>
        </c:marker>
      </c:pivotFmt>
      <c:pivotFmt>
        <c:idx val="1770"/>
        <c:marker>
          <c:symbol val="none"/>
        </c:marker>
      </c:pivotFmt>
      <c:pivotFmt>
        <c:idx val="1771"/>
        <c:marker>
          <c:symbol val="none"/>
        </c:marker>
      </c:pivotFmt>
      <c:pivotFmt>
        <c:idx val="1772"/>
        <c:marker>
          <c:symbol val="none"/>
        </c:marker>
      </c:pivotFmt>
      <c:pivotFmt>
        <c:idx val="1773"/>
        <c:marker>
          <c:symbol val="none"/>
        </c:marker>
      </c:pivotFmt>
      <c:pivotFmt>
        <c:idx val="1774"/>
        <c:marker>
          <c:symbol val="none"/>
        </c:marker>
      </c:pivotFmt>
      <c:pivotFmt>
        <c:idx val="1775"/>
        <c:marker>
          <c:symbol val="none"/>
        </c:marker>
      </c:pivotFmt>
      <c:pivotFmt>
        <c:idx val="1776"/>
        <c:marker>
          <c:symbol val="none"/>
        </c:marker>
      </c:pivotFmt>
      <c:pivotFmt>
        <c:idx val="1777"/>
        <c:marker>
          <c:symbol val="none"/>
        </c:marker>
      </c:pivotFmt>
      <c:pivotFmt>
        <c:idx val="1778"/>
        <c:marker>
          <c:symbol val="none"/>
        </c:marker>
      </c:pivotFmt>
      <c:pivotFmt>
        <c:idx val="1779"/>
        <c:marker>
          <c:symbol val="none"/>
        </c:marker>
      </c:pivotFmt>
      <c:pivotFmt>
        <c:idx val="1780"/>
        <c:marker>
          <c:symbol val="none"/>
        </c:marker>
      </c:pivotFmt>
      <c:pivotFmt>
        <c:idx val="1781"/>
        <c:marker>
          <c:symbol val="none"/>
        </c:marker>
      </c:pivotFmt>
      <c:pivotFmt>
        <c:idx val="1782"/>
        <c:marker>
          <c:symbol val="none"/>
        </c:marker>
      </c:pivotFmt>
      <c:pivotFmt>
        <c:idx val="1783"/>
        <c:marker>
          <c:symbol val="none"/>
        </c:marker>
      </c:pivotFmt>
      <c:pivotFmt>
        <c:idx val="1784"/>
        <c:marker>
          <c:symbol val="none"/>
        </c:marker>
      </c:pivotFmt>
      <c:pivotFmt>
        <c:idx val="1785"/>
        <c:marker>
          <c:symbol val="none"/>
        </c:marker>
      </c:pivotFmt>
      <c:pivotFmt>
        <c:idx val="1786"/>
        <c:marker>
          <c:symbol val="none"/>
        </c:marker>
      </c:pivotFmt>
      <c:pivotFmt>
        <c:idx val="1787"/>
        <c:marker>
          <c:symbol val="none"/>
        </c:marker>
      </c:pivotFmt>
      <c:pivotFmt>
        <c:idx val="1788"/>
        <c:marker>
          <c:symbol val="none"/>
        </c:marker>
      </c:pivotFmt>
      <c:pivotFmt>
        <c:idx val="1789"/>
        <c:marker>
          <c:symbol val="none"/>
        </c:marker>
      </c:pivotFmt>
      <c:pivotFmt>
        <c:idx val="1790"/>
        <c:marker>
          <c:symbol val="none"/>
        </c:marker>
      </c:pivotFmt>
      <c:pivotFmt>
        <c:idx val="1791"/>
        <c:marker>
          <c:symbol val="none"/>
        </c:marker>
      </c:pivotFmt>
      <c:pivotFmt>
        <c:idx val="1792"/>
        <c:marker>
          <c:symbol val="none"/>
        </c:marker>
      </c:pivotFmt>
      <c:pivotFmt>
        <c:idx val="1793"/>
        <c:marker>
          <c:symbol val="none"/>
        </c:marker>
      </c:pivotFmt>
      <c:pivotFmt>
        <c:idx val="1794"/>
        <c:marker>
          <c:symbol val="none"/>
        </c:marker>
      </c:pivotFmt>
      <c:pivotFmt>
        <c:idx val="1795"/>
        <c:marker>
          <c:symbol val="none"/>
        </c:marker>
      </c:pivotFmt>
      <c:pivotFmt>
        <c:idx val="1796"/>
        <c:marker>
          <c:symbol val="none"/>
        </c:marker>
      </c:pivotFmt>
      <c:pivotFmt>
        <c:idx val="1797"/>
        <c:marker>
          <c:symbol val="none"/>
        </c:marker>
      </c:pivotFmt>
      <c:pivotFmt>
        <c:idx val="1798"/>
        <c:marker>
          <c:symbol val="none"/>
        </c:marker>
      </c:pivotFmt>
      <c:pivotFmt>
        <c:idx val="1799"/>
        <c:marker>
          <c:symbol val="none"/>
        </c:marker>
      </c:pivotFmt>
      <c:pivotFmt>
        <c:idx val="1800"/>
        <c:marker>
          <c:symbol val="none"/>
        </c:marker>
      </c:pivotFmt>
      <c:pivotFmt>
        <c:idx val="1801"/>
        <c:marker>
          <c:symbol val="none"/>
        </c:marker>
      </c:pivotFmt>
      <c:pivotFmt>
        <c:idx val="1802"/>
        <c:marker>
          <c:symbol val="none"/>
        </c:marker>
      </c:pivotFmt>
      <c:pivotFmt>
        <c:idx val="1803"/>
        <c:marker>
          <c:symbol val="none"/>
        </c:marker>
      </c:pivotFmt>
      <c:pivotFmt>
        <c:idx val="1804"/>
        <c:marker>
          <c:symbol val="none"/>
        </c:marker>
      </c:pivotFmt>
      <c:pivotFmt>
        <c:idx val="1805"/>
        <c:marker>
          <c:symbol val="none"/>
        </c:marker>
      </c:pivotFmt>
      <c:pivotFmt>
        <c:idx val="1806"/>
        <c:marker>
          <c:symbol val="none"/>
        </c:marker>
      </c:pivotFmt>
      <c:pivotFmt>
        <c:idx val="1807"/>
        <c:marker>
          <c:symbol val="none"/>
        </c:marker>
      </c:pivotFmt>
      <c:pivotFmt>
        <c:idx val="1808"/>
        <c:marker>
          <c:symbol val="none"/>
        </c:marker>
      </c:pivotFmt>
      <c:pivotFmt>
        <c:idx val="1809"/>
        <c:marker>
          <c:symbol val="none"/>
        </c:marker>
      </c:pivotFmt>
      <c:pivotFmt>
        <c:idx val="1810"/>
        <c:marker>
          <c:symbol val="none"/>
        </c:marker>
      </c:pivotFmt>
      <c:pivotFmt>
        <c:idx val="1811"/>
        <c:marker>
          <c:symbol val="none"/>
        </c:marker>
      </c:pivotFmt>
      <c:pivotFmt>
        <c:idx val="1812"/>
        <c:marker>
          <c:symbol val="none"/>
        </c:marker>
      </c:pivotFmt>
      <c:pivotFmt>
        <c:idx val="1813"/>
        <c:marker>
          <c:symbol val="none"/>
        </c:marker>
      </c:pivotFmt>
      <c:pivotFmt>
        <c:idx val="1814"/>
        <c:marker>
          <c:symbol val="none"/>
        </c:marker>
      </c:pivotFmt>
      <c:pivotFmt>
        <c:idx val="1815"/>
        <c:marker>
          <c:symbol val="none"/>
        </c:marker>
      </c:pivotFmt>
      <c:pivotFmt>
        <c:idx val="1816"/>
        <c:marker>
          <c:symbol val="none"/>
        </c:marker>
      </c:pivotFmt>
      <c:pivotFmt>
        <c:idx val="1817"/>
        <c:marker>
          <c:symbol val="none"/>
        </c:marker>
      </c:pivotFmt>
      <c:pivotFmt>
        <c:idx val="1818"/>
        <c:marker>
          <c:symbol val="none"/>
        </c:marker>
      </c:pivotFmt>
      <c:pivotFmt>
        <c:idx val="1819"/>
        <c:marker>
          <c:symbol val="none"/>
        </c:marker>
      </c:pivotFmt>
      <c:pivotFmt>
        <c:idx val="1820"/>
        <c:marker>
          <c:symbol val="none"/>
        </c:marker>
      </c:pivotFmt>
      <c:pivotFmt>
        <c:idx val="1821"/>
        <c:marker>
          <c:symbol val="none"/>
        </c:marker>
      </c:pivotFmt>
      <c:pivotFmt>
        <c:idx val="1822"/>
        <c:marker>
          <c:symbol val="none"/>
        </c:marker>
      </c:pivotFmt>
      <c:pivotFmt>
        <c:idx val="1823"/>
        <c:marker>
          <c:symbol val="none"/>
        </c:marker>
      </c:pivotFmt>
      <c:pivotFmt>
        <c:idx val="1824"/>
        <c:marker>
          <c:symbol val="none"/>
        </c:marker>
      </c:pivotFmt>
      <c:pivotFmt>
        <c:idx val="1825"/>
        <c:marker>
          <c:symbol val="none"/>
        </c:marker>
      </c:pivotFmt>
      <c:pivotFmt>
        <c:idx val="1826"/>
        <c:marker>
          <c:symbol val="none"/>
        </c:marker>
      </c:pivotFmt>
      <c:pivotFmt>
        <c:idx val="1827"/>
        <c:marker>
          <c:symbol val="none"/>
        </c:marker>
      </c:pivotFmt>
      <c:pivotFmt>
        <c:idx val="1828"/>
        <c:marker>
          <c:symbol val="none"/>
        </c:marker>
      </c:pivotFmt>
      <c:pivotFmt>
        <c:idx val="1829"/>
        <c:marker>
          <c:symbol val="none"/>
        </c:marker>
      </c:pivotFmt>
      <c:pivotFmt>
        <c:idx val="1830"/>
        <c:marker>
          <c:symbol val="none"/>
        </c:marker>
      </c:pivotFmt>
      <c:pivotFmt>
        <c:idx val="1831"/>
        <c:marker>
          <c:symbol val="none"/>
        </c:marker>
      </c:pivotFmt>
      <c:pivotFmt>
        <c:idx val="1832"/>
        <c:marker>
          <c:symbol val="none"/>
        </c:marker>
      </c:pivotFmt>
      <c:pivotFmt>
        <c:idx val="1833"/>
        <c:marker>
          <c:symbol val="none"/>
        </c:marker>
      </c:pivotFmt>
      <c:pivotFmt>
        <c:idx val="1834"/>
        <c:marker>
          <c:symbol val="none"/>
        </c:marker>
      </c:pivotFmt>
      <c:pivotFmt>
        <c:idx val="1835"/>
        <c:marker>
          <c:symbol val="none"/>
        </c:marker>
      </c:pivotFmt>
      <c:pivotFmt>
        <c:idx val="1836"/>
        <c:marker>
          <c:symbol val="none"/>
        </c:marker>
      </c:pivotFmt>
      <c:pivotFmt>
        <c:idx val="1837"/>
        <c:marker>
          <c:symbol val="none"/>
        </c:marker>
      </c:pivotFmt>
      <c:pivotFmt>
        <c:idx val="1838"/>
        <c:marker>
          <c:symbol val="none"/>
        </c:marker>
      </c:pivotFmt>
      <c:pivotFmt>
        <c:idx val="1839"/>
        <c:marker>
          <c:symbol val="none"/>
        </c:marker>
      </c:pivotFmt>
      <c:pivotFmt>
        <c:idx val="1840"/>
        <c:marker>
          <c:symbol val="none"/>
        </c:marker>
      </c:pivotFmt>
      <c:pivotFmt>
        <c:idx val="1841"/>
        <c:marker>
          <c:symbol val="none"/>
        </c:marker>
      </c:pivotFmt>
      <c:pivotFmt>
        <c:idx val="1842"/>
        <c:marker>
          <c:symbol val="none"/>
        </c:marker>
      </c:pivotFmt>
      <c:pivotFmt>
        <c:idx val="1843"/>
        <c:marker>
          <c:symbol val="none"/>
        </c:marker>
      </c:pivotFmt>
      <c:pivotFmt>
        <c:idx val="1844"/>
        <c:marker>
          <c:symbol val="none"/>
        </c:marker>
      </c:pivotFmt>
      <c:pivotFmt>
        <c:idx val="1845"/>
        <c:marker>
          <c:symbol val="none"/>
        </c:marker>
      </c:pivotFmt>
      <c:pivotFmt>
        <c:idx val="1846"/>
        <c:marker>
          <c:symbol val="none"/>
        </c:marker>
      </c:pivotFmt>
      <c:pivotFmt>
        <c:idx val="1847"/>
        <c:marker>
          <c:symbol val="none"/>
        </c:marker>
      </c:pivotFmt>
      <c:pivotFmt>
        <c:idx val="1848"/>
        <c:marker>
          <c:symbol val="none"/>
        </c:marker>
      </c:pivotFmt>
      <c:pivotFmt>
        <c:idx val="1849"/>
        <c:marker>
          <c:symbol val="none"/>
        </c:marker>
      </c:pivotFmt>
      <c:pivotFmt>
        <c:idx val="1850"/>
        <c:marker>
          <c:symbol val="none"/>
        </c:marker>
      </c:pivotFmt>
      <c:pivotFmt>
        <c:idx val="1851"/>
        <c:marker>
          <c:symbol val="none"/>
        </c:marker>
      </c:pivotFmt>
      <c:pivotFmt>
        <c:idx val="1852"/>
        <c:marker>
          <c:symbol val="none"/>
        </c:marker>
      </c:pivotFmt>
      <c:pivotFmt>
        <c:idx val="1853"/>
        <c:marker>
          <c:symbol val="none"/>
        </c:marker>
      </c:pivotFmt>
      <c:pivotFmt>
        <c:idx val="1854"/>
        <c:marker>
          <c:symbol val="none"/>
        </c:marker>
      </c:pivotFmt>
      <c:pivotFmt>
        <c:idx val="1855"/>
        <c:marker>
          <c:symbol val="none"/>
        </c:marker>
      </c:pivotFmt>
      <c:pivotFmt>
        <c:idx val="1856"/>
        <c:marker>
          <c:symbol val="none"/>
        </c:marker>
      </c:pivotFmt>
      <c:pivotFmt>
        <c:idx val="1857"/>
        <c:marker>
          <c:symbol val="none"/>
        </c:marker>
      </c:pivotFmt>
      <c:pivotFmt>
        <c:idx val="1858"/>
        <c:marker>
          <c:symbol val="none"/>
        </c:marker>
      </c:pivotFmt>
      <c:pivotFmt>
        <c:idx val="1859"/>
        <c:marker>
          <c:symbol val="none"/>
        </c:marker>
      </c:pivotFmt>
      <c:pivotFmt>
        <c:idx val="1860"/>
        <c:marker>
          <c:symbol val="none"/>
        </c:marker>
      </c:pivotFmt>
      <c:pivotFmt>
        <c:idx val="1861"/>
        <c:marker>
          <c:symbol val="none"/>
        </c:marker>
      </c:pivotFmt>
      <c:pivotFmt>
        <c:idx val="1862"/>
        <c:marker>
          <c:symbol val="none"/>
        </c:marker>
      </c:pivotFmt>
      <c:pivotFmt>
        <c:idx val="1863"/>
        <c:marker>
          <c:symbol val="none"/>
        </c:marker>
      </c:pivotFmt>
      <c:pivotFmt>
        <c:idx val="1864"/>
        <c:marker>
          <c:symbol val="none"/>
        </c:marker>
      </c:pivotFmt>
      <c:pivotFmt>
        <c:idx val="1865"/>
        <c:marker>
          <c:symbol val="none"/>
        </c:marker>
      </c:pivotFmt>
      <c:pivotFmt>
        <c:idx val="1866"/>
        <c:marker>
          <c:symbol val="none"/>
        </c:marker>
      </c:pivotFmt>
      <c:pivotFmt>
        <c:idx val="1867"/>
        <c:marker>
          <c:symbol val="none"/>
        </c:marker>
      </c:pivotFmt>
      <c:pivotFmt>
        <c:idx val="1868"/>
        <c:marker>
          <c:symbol val="none"/>
        </c:marker>
      </c:pivotFmt>
      <c:pivotFmt>
        <c:idx val="1869"/>
        <c:marker>
          <c:symbol val="none"/>
        </c:marker>
      </c:pivotFmt>
      <c:pivotFmt>
        <c:idx val="1870"/>
        <c:marker>
          <c:symbol val="none"/>
        </c:marker>
      </c:pivotFmt>
      <c:pivotFmt>
        <c:idx val="1871"/>
        <c:marker>
          <c:symbol val="none"/>
        </c:marker>
      </c:pivotFmt>
      <c:pivotFmt>
        <c:idx val="1872"/>
        <c:marker>
          <c:symbol val="none"/>
        </c:marker>
      </c:pivotFmt>
      <c:pivotFmt>
        <c:idx val="1873"/>
        <c:marker>
          <c:symbol val="none"/>
        </c:marker>
      </c:pivotFmt>
      <c:pivotFmt>
        <c:idx val="1874"/>
        <c:marker>
          <c:symbol val="none"/>
        </c:marker>
      </c:pivotFmt>
      <c:pivotFmt>
        <c:idx val="1875"/>
        <c:marker>
          <c:symbol val="none"/>
        </c:marker>
      </c:pivotFmt>
      <c:pivotFmt>
        <c:idx val="1876"/>
        <c:marker>
          <c:symbol val="none"/>
        </c:marker>
      </c:pivotFmt>
      <c:pivotFmt>
        <c:idx val="1877"/>
        <c:marker>
          <c:symbol val="none"/>
        </c:marker>
      </c:pivotFmt>
      <c:pivotFmt>
        <c:idx val="1878"/>
        <c:marker>
          <c:symbol val="none"/>
        </c:marker>
      </c:pivotFmt>
      <c:pivotFmt>
        <c:idx val="1879"/>
        <c:marker>
          <c:symbol val="none"/>
        </c:marker>
      </c:pivotFmt>
      <c:pivotFmt>
        <c:idx val="1880"/>
        <c:marker>
          <c:symbol val="none"/>
        </c:marker>
      </c:pivotFmt>
      <c:pivotFmt>
        <c:idx val="1881"/>
        <c:marker>
          <c:symbol val="none"/>
        </c:marker>
      </c:pivotFmt>
      <c:pivotFmt>
        <c:idx val="1882"/>
        <c:marker>
          <c:symbol val="none"/>
        </c:marker>
      </c:pivotFmt>
      <c:pivotFmt>
        <c:idx val="1883"/>
        <c:marker>
          <c:symbol val="none"/>
        </c:marker>
      </c:pivotFmt>
      <c:pivotFmt>
        <c:idx val="1884"/>
        <c:marker>
          <c:symbol val="none"/>
        </c:marker>
      </c:pivotFmt>
      <c:pivotFmt>
        <c:idx val="1885"/>
        <c:marker>
          <c:symbol val="none"/>
        </c:marker>
      </c:pivotFmt>
      <c:pivotFmt>
        <c:idx val="1886"/>
        <c:marker>
          <c:symbol val="none"/>
        </c:marker>
      </c:pivotFmt>
      <c:pivotFmt>
        <c:idx val="1887"/>
        <c:marker>
          <c:symbol val="none"/>
        </c:marker>
      </c:pivotFmt>
      <c:pivotFmt>
        <c:idx val="1888"/>
        <c:marker>
          <c:symbol val="none"/>
        </c:marker>
      </c:pivotFmt>
      <c:pivotFmt>
        <c:idx val="1889"/>
        <c:marker>
          <c:symbol val="none"/>
        </c:marker>
      </c:pivotFmt>
      <c:pivotFmt>
        <c:idx val="1890"/>
        <c:marker>
          <c:symbol val="none"/>
        </c:marker>
      </c:pivotFmt>
      <c:pivotFmt>
        <c:idx val="1891"/>
        <c:marker>
          <c:symbol val="none"/>
        </c:marker>
      </c:pivotFmt>
      <c:pivotFmt>
        <c:idx val="1892"/>
        <c:marker>
          <c:symbol val="none"/>
        </c:marker>
      </c:pivotFmt>
      <c:pivotFmt>
        <c:idx val="1893"/>
        <c:marker>
          <c:symbol val="none"/>
        </c:marker>
      </c:pivotFmt>
      <c:pivotFmt>
        <c:idx val="1894"/>
        <c:marker>
          <c:symbol val="none"/>
        </c:marker>
      </c:pivotFmt>
      <c:pivotFmt>
        <c:idx val="1895"/>
        <c:marker>
          <c:symbol val="none"/>
        </c:marker>
      </c:pivotFmt>
      <c:pivotFmt>
        <c:idx val="1896"/>
        <c:marker>
          <c:symbol val="none"/>
        </c:marker>
      </c:pivotFmt>
      <c:pivotFmt>
        <c:idx val="1897"/>
        <c:marker>
          <c:symbol val="none"/>
        </c:marker>
      </c:pivotFmt>
      <c:pivotFmt>
        <c:idx val="1898"/>
        <c:marker>
          <c:symbol val="none"/>
        </c:marker>
      </c:pivotFmt>
      <c:pivotFmt>
        <c:idx val="1899"/>
        <c:marker>
          <c:symbol val="none"/>
        </c:marker>
      </c:pivotFmt>
      <c:pivotFmt>
        <c:idx val="1900"/>
        <c:marker>
          <c:symbol val="none"/>
        </c:marker>
      </c:pivotFmt>
      <c:pivotFmt>
        <c:idx val="1901"/>
        <c:marker>
          <c:symbol val="none"/>
        </c:marker>
      </c:pivotFmt>
      <c:pivotFmt>
        <c:idx val="1902"/>
        <c:marker>
          <c:symbol val="none"/>
        </c:marker>
      </c:pivotFmt>
      <c:pivotFmt>
        <c:idx val="1903"/>
        <c:marker>
          <c:symbol val="none"/>
        </c:marker>
      </c:pivotFmt>
      <c:pivotFmt>
        <c:idx val="1904"/>
        <c:marker>
          <c:symbol val="none"/>
        </c:marker>
      </c:pivotFmt>
      <c:pivotFmt>
        <c:idx val="1905"/>
        <c:marker>
          <c:symbol val="none"/>
        </c:marker>
      </c:pivotFmt>
      <c:pivotFmt>
        <c:idx val="1906"/>
        <c:marker>
          <c:symbol val="none"/>
        </c:marker>
      </c:pivotFmt>
      <c:pivotFmt>
        <c:idx val="1907"/>
        <c:marker>
          <c:symbol val="none"/>
        </c:marker>
      </c:pivotFmt>
      <c:pivotFmt>
        <c:idx val="1908"/>
        <c:marker>
          <c:symbol val="none"/>
        </c:marker>
      </c:pivotFmt>
      <c:pivotFmt>
        <c:idx val="1909"/>
        <c:marker>
          <c:symbol val="none"/>
        </c:marker>
      </c:pivotFmt>
      <c:pivotFmt>
        <c:idx val="1910"/>
        <c:marker>
          <c:symbol val="none"/>
        </c:marker>
      </c:pivotFmt>
      <c:pivotFmt>
        <c:idx val="1911"/>
        <c:marker>
          <c:symbol val="none"/>
        </c:marker>
      </c:pivotFmt>
      <c:pivotFmt>
        <c:idx val="1912"/>
        <c:marker>
          <c:symbol val="none"/>
        </c:marker>
      </c:pivotFmt>
      <c:pivotFmt>
        <c:idx val="1913"/>
        <c:marker>
          <c:symbol val="none"/>
        </c:marker>
      </c:pivotFmt>
      <c:pivotFmt>
        <c:idx val="1914"/>
        <c:marker>
          <c:symbol val="none"/>
        </c:marker>
      </c:pivotFmt>
      <c:pivotFmt>
        <c:idx val="1915"/>
        <c:marker>
          <c:symbol val="none"/>
        </c:marker>
      </c:pivotFmt>
      <c:pivotFmt>
        <c:idx val="1916"/>
        <c:marker>
          <c:symbol val="none"/>
        </c:marker>
      </c:pivotFmt>
      <c:pivotFmt>
        <c:idx val="1917"/>
        <c:marker>
          <c:symbol val="none"/>
        </c:marker>
      </c:pivotFmt>
      <c:pivotFmt>
        <c:idx val="1918"/>
        <c:marker>
          <c:symbol val="none"/>
        </c:marker>
      </c:pivotFmt>
      <c:pivotFmt>
        <c:idx val="1919"/>
        <c:marker>
          <c:symbol val="none"/>
        </c:marker>
      </c:pivotFmt>
      <c:pivotFmt>
        <c:idx val="1920"/>
        <c:marker>
          <c:symbol val="none"/>
        </c:marker>
      </c:pivotFmt>
      <c:pivotFmt>
        <c:idx val="1921"/>
        <c:marker>
          <c:symbol val="none"/>
        </c:marker>
      </c:pivotFmt>
      <c:pivotFmt>
        <c:idx val="1922"/>
        <c:marker>
          <c:symbol val="none"/>
        </c:marker>
      </c:pivotFmt>
      <c:pivotFmt>
        <c:idx val="1923"/>
        <c:marker>
          <c:symbol val="none"/>
        </c:marker>
      </c:pivotFmt>
      <c:pivotFmt>
        <c:idx val="1924"/>
        <c:marker>
          <c:symbol val="none"/>
        </c:marker>
      </c:pivotFmt>
      <c:pivotFmt>
        <c:idx val="1925"/>
        <c:marker>
          <c:symbol val="none"/>
        </c:marker>
      </c:pivotFmt>
      <c:pivotFmt>
        <c:idx val="1926"/>
        <c:marker>
          <c:symbol val="none"/>
        </c:marker>
      </c:pivotFmt>
      <c:pivotFmt>
        <c:idx val="1927"/>
        <c:marker>
          <c:symbol val="none"/>
        </c:marker>
      </c:pivotFmt>
      <c:pivotFmt>
        <c:idx val="1928"/>
        <c:marker>
          <c:symbol val="none"/>
        </c:marker>
      </c:pivotFmt>
      <c:pivotFmt>
        <c:idx val="1929"/>
        <c:marker>
          <c:symbol val="none"/>
        </c:marker>
      </c:pivotFmt>
      <c:pivotFmt>
        <c:idx val="1930"/>
        <c:marker>
          <c:symbol val="none"/>
        </c:marker>
      </c:pivotFmt>
      <c:pivotFmt>
        <c:idx val="1931"/>
        <c:marker>
          <c:symbol val="none"/>
        </c:marker>
      </c:pivotFmt>
      <c:pivotFmt>
        <c:idx val="1932"/>
        <c:marker>
          <c:symbol val="none"/>
        </c:marker>
      </c:pivotFmt>
      <c:pivotFmt>
        <c:idx val="1933"/>
        <c:marker>
          <c:symbol val="none"/>
        </c:marker>
      </c:pivotFmt>
      <c:pivotFmt>
        <c:idx val="1934"/>
        <c:marker>
          <c:symbol val="none"/>
        </c:marker>
      </c:pivotFmt>
      <c:pivotFmt>
        <c:idx val="1935"/>
        <c:marker>
          <c:symbol val="none"/>
        </c:marker>
      </c:pivotFmt>
      <c:pivotFmt>
        <c:idx val="1936"/>
        <c:marker>
          <c:symbol val="none"/>
        </c:marker>
      </c:pivotFmt>
      <c:pivotFmt>
        <c:idx val="1937"/>
        <c:marker>
          <c:symbol val="none"/>
        </c:marker>
      </c:pivotFmt>
      <c:pivotFmt>
        <c:idx val="1938"/>
        <c:marker>
          <c:symbol val="none"/>
        </c:marker>
      </c:pivotFmt>
      <c:pivotFmt>
        <c:idx val="1939"/>
        <c:marker>
          <c:symbol val="none"/>
        </c:marker>
      </c:pivotFmt>
      <c:pivotFmt>
        <c:idx val="1940"/>
        <c:marker>
          <c:symbol val="none"/>
        </c:marker>
      </c:pivotFmt>
      <c:pivotFmt>
        <c:idx val="1941"/>
        <c:marker>
          <c:symbol val="none"/>
        </c:marker>
      </c:pivotFmt>
      <c:pivotFmt>
        <c:idx val="1942"/>
        <c:marker>
          <c:symbol val="none"/>
        </c:marker>
      </c:pivotFmt>
      <c:pivotFmt>
        <c:idx val="1943"/>
        <c:marker>
          <c:symbol val="none"/>
        </c:marker>
      </c:pivotFmt>
      <c:pivotFmt>
        <c:idx val="1944"/>
        <c:marker>
          <c:symbol val="none"/>
        </c:marker>
      </c:pivotFmt>
      <c:pivotFmt>
        <c:idx val="1945"/>
        <c:marker>
          <c:symbol val="none"/>
        </c:marker>
      </c:pivotFmt>
      <c:pivotFmt>
        <c:idx val="1946"/>
        <c:marker>
          <c:symbol val="none"/>
        </c:marker>
      </c:pivotFmt>
      <c:pivotFmt>
        <c:idx val="1947"/>
        <c:marker>
          <c:symbol val="none"/>
        </c:marker>
      </c:pivotFmt>
      <c:pivotFmt>
        <c:idx val="1948"/>
        <c:marker>
          <c:symbol val="none"/>
        </c:marker>
      </c:pivotFmt>
      <c:pivotFmt>
        <c:idx val="1949"/>
        <c:marker>
          <c:symbol val="none"/>
        </c:marker>
      </c:pivotFmt>
      <c:pivotFmt>
        <c:idx val="1950"/>
        <c:marker>
          <c:symbol val="none"/>
        </c:marker>
      </c:pivotFmt>
      <c:pivotFmt>
        <c:idx val="1951"/>
        <c:marker>
          <c:symbol val="none"/>
        </c:marker>
      </c:pivotFmt>
      <c:pivotFmt>
        <c:idx val="1952"/>
        <c:marker>
          <c:symbol val="none"/>
        </c:marker>
      </c:pivotFmt>
      <c:pivotFmt>
        <c:idx val="1953"/>
        <c:marker>
          <c:symbol val="none"/>
        </c:marker>
      </c:pivotFmt>
      <c:pivotFmt>
        <c:idx val="1954"/>
        <c:marker>
          <c:symbol val="none"/>
        </c:marker>
      </c:pivotFmt>
      <c:pivotFmt>
        <c:idx val="1955"/>
        <c:marker>
          <c:symbol val="none"/>
        </c:marker>
      </c:pivotFmt>
      <c:pivotFmt>
        <c:idx val="1956"/>
        <c:marker>
          <c:symbol val="none"/>
        </c:marker>
      </c:pivotFmt>
      <c:pivotFmt>
        <c:idx val="1957"/>
        <c:marker>
          <c:symbol val="none"/>
        </c:marker>
      </c:pivotFmt>
      <c:pivotFmt>
        <c:idx val="1958"/>
        <c:marker>
          <c:symbol val="none"/>
        </c:marker>
      </c:pivotFmt>
      <c:pivotFmt>
        <c:idx val="1959"/>
        <c:marker>
          <c:symbol val="none"/>
        </c:marker>
      </c:pivotFmt>
      <c:pivotFmt>
        <c:idx val="1960"/>
        <c:marker>
          <c:symbol val="none"/>
        </c:marker>
      </c:pivotFmt>
      <c:pivotFmt>
        <c:idx val="1961"/>
        <c:marker>
          <c:symbol val="none"/>
        </c:marker>
      </c:pivotFmt>
      <c:pivotFmt>
        <c:idx val="1962"/>
        <c:marker>
          <c:symbol val="none"/>
        </c:marker>
      </c:pivotFmt>
      <c:pivotFmt>
        <c:idx val="1963"/>
        <c:marker>
          <c:symbol val="none"/>
        </c:marker>
      </c:pivotFmt>
      <c:pivotFmt>
        <c:idx val="1964"/>
        <c:marker>
          <c:symbol val="none"/>
        </c:marker>
      </c:pivotFmt>
      <c:pivotFmt>
        <c:idx val="1965"/>
        <c:marker>
          <c:symbol val="none"/>
        </c:marker>
      </c:pivotFmt>
      <c:pivotFmt>
        <c:idx val="1966"/>
        <c:marker>
          <c:symbol val="none"/>
        </c:marker>
      </c:pivotFmt>
      <c:pivotFmt>
        <c:idx val="1967"/>
        <c:marker>
          <c:symbol val="none"/>
        </c:marker>
      </c:pivotFmt>
      <c:pivotFmt>
        <c:idx val="1968"/>
        <c:marker>
          <c:symbol val="none"/>
        </c:marker>
      </c:pivotFmt>
      <c:pivotFmt>
        <c:idx val="1969"/>
        <c:marker>
          <c:symbol val="none"/>
        </c:marker>
      </c:pivotFmt>
      <c:pivotFmt>
        <c:idx val="1970"/>
        <c:marker>
          <c:symbol val="none"/>
        </c:marker>
      </c:pivotFmt>
      <c:pivotFmt>
        <c:idx val="1971"/>
        <c:marker>
          <c:symbol val="none"/>
        </c:marker>
      </c:pivotFmt>
      <c:pivotFmt>
        <c:idx val="1972"/>
        <c:marker>
          <c:symbol val="none"/>
        </c:marker>
      </c:pivotFmt>
      <c:pivotFmt>
        <c:idx val="1973"/>
        <c:marker>
          <c:symbol val="none"/>
        </c:marker>
      </c:pivotFmt>
      <c:pivotFmt>
        <c:idx val="1974"/>
        <c:marker>
          <c:symbol val="none"/>
        </c:marker>
      </c:pivotFmt>
      <c:pivotFmt>
        <c:idx val="1975"/>
        <c:marker>
          <c:symbol val="none"/>
        </c:marker>
      </c:pivotFmt>
      <c:pivotFmt>
        <c:idx val="1976"/>
        <c:marker>
          <c:symbol val="none"/>
        </c:marker>
      </c:pivotFmt>
      <c:pivotFmt>
        <c:idx val="1977"/>
        <c:marker>
          <c:symbol val="none"/>
        </c:marker>
      </c:pivotFmt>
      <c:pivotFmt>
        <c:idx val="1978"/>
        <c:marker>
          <c:symbol val="none"/>
        </c:marker>
      </c:pivotFmt>
      <c:pivotFmt>
        <c:idx val="1979"/>
        <c:marker>
          <c:symbol val="none"/>
        </c:marker>
      </c:pivotFmt>
      <c:pivotFmt>
        <c:idx val="1980"/>
        <c:marker>
          <c:symbol val="none"/>
        </c:marker>
      </c:pivotFmt>
      <c:pivotFmt>
        <c:idx val="1981"/>
        <c:marker>
          <c:symbol val="none"/>
        </c:marker>
      </c:pivotFmt>
      <c:pivotFmt>
        <c:idx val="1982"/>
        <c:marker>
          <c:symbol val="none"/>
        </c:marker>
      </c:pivotFmt>
      <c:pivotFmt>
        <c:idx val="1983"/>
        <c:marker>
          <c:symbol val="none"/>
        </c:marker>
      </c:pivotFmt>
      <c:pivotFmt>
        <c:idx val="1984"/>
        <c:marker>
          <c:symbol val="none"/>
        </c:marker>
      </c:pivotFmt>
      <c:pivotFmt>
        <c:idx val="1985"/>
        <c:marker>
          <c:symbol val="none"/>
        </c:marker>
      </c:pivotFmt>
      <c:pivotFmt>
        <c:idx val="1986"/>
        <c:marker>
          <c:symbol val="none"/>
        </c:marker>
      </c:pivotFmt>
      <c:pivotFmt>
        <c:idx val="1987"/>
        <c:marker>
          <c:symbol val="none"/>
        </c:marker>
      </c:pivotFmt>
      <c:pivotFmt>
        <c:idx val="1988"/>
        <c:marker>
          <c:symbol val="none"/>
        </c:marker>
      </c:pivotFmt>
      <c:pivotFmt>
        <c:idx val="1989"/>
        <c:marker>
          <c:symbol val="none"/>
        </c:marker>
      </c:pivotFmt>
      <c:pivotFmt>
        <c:idx val="1990"/>
        <c:marker>
          <c:symbol val="none"/>
        </c:marker>
      </c:pivotFmt>
      <c:pivotFmt>
        <c:idx val="1991"/>
        <c:marker>
          <c:symbol val="none"/>
        </c:marker>
      </c:pivotFmt>
      <c:pivotFmt>
        <c:idx val="1992"/>
        <c:marker>
          <c:symbol val="none"/>
        </c:marker>
      </c:pivotFmt>
      <c:pivotFmt>
        <c:idx val="1993"/>
        <c:marker>
          <c:symbol val="none"/>
        </c:marker>
      </c:pivotFmt>
      <c:pivotFmt>
        <c:idx val="1994"/>
        <c:marker>
          <c:symbol val="none"/>
        </c:marker>
      </c:pivotFmt>
      <c:pivotFmt>
        <c:idx val="1995"/>
        <c:marker>
          <c:symbol val="none"/>
        </c:marker>
      </c:pivotFmt>
      <c:pivotFmt>
        <c:idx val="1996"/>
        <c:marker>
          <c:symbol val="none"/>
        </c:marker>
      </c:pivotFmt>
      <c:pivotFmt>
        <c:idx val="1997"/>
        <c:marker>
          <c:symbol val="none"/>
        </c:marker>
      </c:pivotFmt>
      <c:pivotFmt>
        <c:idx val="1998"/>
        <c:marker>
          <c:symbol val="none"/>
        </c:marker>
      </c:pivotFmt>
      <c:pivotFmt>
        <c:idx val="1999"/>
        <c:marker>
          <c:symbol val="none"/>
        </c:marker>
      </c:pivotFmt>
      <c:pivotFmt>
        <c:idx val="2000"/>
        <c:marker>
          <c:symbol val="none"/>
        </c:marker>
      </c:pivotFmt>
      <c:pivotFmt>
        <c:idx val="2001"/>
        <c:marker>
          <c:symbol val="none"/>
        </c:marker>
      </c:pivotFmt>
      <c:pivotFmt>
        <c:idx val="2002"/>
        <c:marker>
          <c:symbol val="none"/>
        </c:marker>
      </c:pivotFmt>
      <c:pivotFmt>
        <c:idx val="2003"/>
        <c:marker>
          <c:symbol val="none"/>
        </c:marker>
      </c:pivotFmt>
      <c:pivotFmt>
        <c:idx val="2004"/>
        <c:marker>
          <c:symbol val="none"/>
        </c:marker>
      </c:pivotFmt>
      <c:pivotFmt>
        <c:idx val="2005"/>
        <c:marker>
          <c:symbol val="none"/>
        </c:marker>
      </c:pivotFmt>
      <c:pivotFmt>
        <c:idx val="2006"/>
        <c:marker>
          <c:symbol val="none"/>
        </c:marker>
      </c:pivotFmt>
      <c:pivotFmt>
        <c:idx val="2007"/>
        <c:marker>
          <c:symbol val="none"/>
        </c:marker>
      </c:pivotFmt>
      <c:pivotFmt>
        <c:idx val="2008"/>
        <c:marker>
          <c:symbol val="none"/>
        </c:marker>
      </c:pivotFmt>
      <c:pivotFmt>
        <c:idx val="2009"/>
        <c:marker>
          <c:symbol val="none"/>
        </c:marker>
      </c:pivotFmt>
      <c:pivotFmt>
        <c:idx val="2010"/>
        <c:marker>
          <c:symbol val="none"/>
        </c:marker>
      </c:pivotFmt>
      <c:pivotFmt>
        <c:idx val="2011"/>
        <c:marker>
          <c:symbol val="none"/>
        </c:marker>
      </c:pivotFmt>
      <c:pivotFmt>
        <c:idx val="2012"/>
        <c:marker>
          <c:symbol val="none"/>
        </c:marker>
      </c:pivotFmt>
      <c:pivotFmt>
        <c:idx val="2013"/>
        <c:marker>
          <c:symbol val="none"/>
        </c:marker>
      </c:pivotFmt>
      <c:pivotFmt>
        <c:idx val="2014"/>
        <c:marker>
          <c:symbol val="none"/>
        </c:marker>
      </c:pivotFmt>
      <c:pivotFmt>
        <c:idx val="2015"/>
        <c:marker>
          <c:symbol val="none"/>
        </c:marker>
      </c:pivotFmt>
      <c:pivotFmt>
        <c:idx val="2016"/>
        <c:marker>
          <c:symbol val="none"/>
        </c:marker>
      </c:pivotFmt>
      <c:pivotFmt>
        <c:idx val="2017"/>
        <c:marker>
          <c:symbol val="none"/>
        </c:marker>
      </c:pivotFmt>
      <c:pivotFmt>
        <c:idx val="2018"/>
        <c:marker>
          <c:symbol val="none"/>
        </c:marker>
      </c:pivotFmt>
      <c:pivotFmt>
        <c:idx val="2019"/>
        <c:marker>
          <c:symbol val="none"/>
        </c:marker>
      </c:pivotFmt>
      <c:pivotFmt>
        <c:idx val="2020"/>
        <c:marker>
          <c:symbol val="none"/>
        </c:marker>
      </c:pivotFmt>
      <c:pivotFmt>
        <c:idx val="2021"/>
        <c:marker>
          <c:symbol val="none"/>
        </c:marker>
      </c:pivotFmt>
      <c:pivotFmt>
        <c:idx val="2022"/>
        <c:marker>
          <c:symbol val="none"/>
        </c:marker>
      </c:pivotFmt>
      <c:pivotFmt>
        <c:idx val="2023"/>
        <c:marker>
          <c:symbol val="none"/>
        </c:marker>
      </c:pivotFmt>
      <c:pivotFmt>
        <c:idx val="2024"/>
        <c:marker>
          <c:symbol val="none"/>
        </c:marker>
      </c:pivotFmt>
      <c:pivotFmt>
        <c:idx val="2025"/>
        <c:marker>
          <c:symbol val="none"/>
        </c:marker>
      </c:pivotFmt>
      <c:pivotFmt>
        <c:idx val="2026"/>
        <c:marker>
          <c:symbol val="none"/>
        </c:marker>
      </c:pivotFmt>
      <c:pivotFmt>
        <c:idx val="2027"/>
        <c:marker>
          <c:symbol val="none"/>
        </c:marker>
      </c:pivotFmt>
      <c:pivotFmt>
        <c:idx val="2028"/>
        <c:marker>
          <c:symbol val="none"/>
        </c:marker>
      </c:pivotFmt>
      <c:pivotFmt>
        <c:idx val="2029"/>
        <c:marker>
          <c:symbol val="none"/>
        </c:marker>
      </c:pivotFmt>
      <c:pivotFmt>
        <c:idx val="2030"/>
        <c:marker>
          <c:symbol val="none"/>
        </c:marker>
      </c:pivotFmt>
      <c:pivotFmt>
        <c:idx val="2031"/>
        <c:marker>
          <c:symbol val="none"/>
        </c:marker>
      </c:pivotFmt>
      <c:pivotFmt>
        <c:idx val="2032"/>
        <c:marker>
          <c:symbol val="none"/>
        </c:marker>
      </c:pivotFmt>
      <c:pivotFmt>
        <c:idx val="2033"/>
        <c:marker>
          <c:symbol val="none"/>
        </c:marker>
      </c:pivotFmt>
      <c:pivotFmt>
        <c:idx val="2034"/>
        <c:marker>
          <c:symbol val="none"/>
        </c:marker>
      </c:pivotFmt>
      <c:pivotFmt>
        <c:idx val="2035"/>
        <c:marker>
          <c:symbol val="none"/>
        </c:marker>
      </c:pivotFmt>
      <c:pivotFmt>
        <c:idx val="2036"/>
        <c:marker>
          <c:symbol val="none"/>
        </c:marker>
      </c:pivotFmt>
      <c:pivotFmt>
        <c:idx val="2037"/>
        <c:marker>
          <c:symbol val="none"/>
        </c:marker>
      </c:pivotFmt>
      <c:pivotFmt>
        <c:idx val="2038"/>
        <c:marker>
          <c:symbol val="none"/>
        </c:marker>
      </c:pivotFmt>
      <c:pivotFmt>
        <c:idx val="2039"/>
        <c:marker>
          <c:symbol val="none"/>
        </c:marker>
      </c:pivotFmt>
      <c:pivotFmt>
        <c:idx val="2040"/>
        <c:marker>
          <c:symbol val="none"/>
        </c:marker>
      </c:pivotFmt>
      <c:pivotFmt>
        <c:idx val="2041"/>
        <c:marker>
          <c:symbol val="none"/>
        </c:marker>
      </c:pivotFmt>
      <c:pivotFmt>
        <c:idx val="2042"/>
        <c:marker>
          <c:symbol val="none"/>
        </c:marker>
      </c:pivotFmt>
      <c:pivotFmt>
        <c:idx val="2043"/>
        <c:marker>
          <c:symbol val="none"/>
        </c:marker>
      </c:pivotFmt>
      <c:pivotFmt>
        <c:idx val="2044"/>
        <c:marker>
          <c:symbol val="none"/>
        </c:marker>
      </c:pivotFmt>
      <c:pivotFmt>
        <c:idx val="2045"/>
        <c:marker>
          <c:symbol val="none"/>
        </c:marker>
      </c:pivotFmt>
      <c:pivotFmt>
        <c:idx val="2046"/>
        <c:marker>
          <c:symbol val="none"/>
        </c:marker>
      </c:pivotFmt>
      <c:pivotFmt>
        <c:idx val="2047"/>
        <c:marker>
          <c:symbol val="none"/>
        </c:marker>
      </c:pivotFmt>
      <c:pivotFmt>
        <c:idx val="2048"/>
        <c:marker>
          <c:symbol val="none"/>
        </c:marker>
      </c:pivotFmt>
      <c:pivotFmt>
        <c:idx val="2049"/>
        <c:marker>
          <c:symbol val="none"/>
        </c:marker>
      </c:pivotFmt>
      <c:pivotFmt>
        <c:idx val="2050"/>
        <c:marker>
          <c:symbol val="none"/>
        </c:marker>
        <c:dLbl>
          <c:idx val="0"/>
          <c:delete val="1"/>
        </c:dLbl>
      </c:pivotFmt>
      <c:pivotFmt>
        <c:idx val="2051"/>
        <c:marker>
          <c:symbol val="none"/>
        </c:marker>
      </c:pivotFmt>
      <c:pivotFmt>
        <c:idx val="2052"/>
        <c:marker>
          <c:symbol val="none"/>
        </c:marker>
        <c:dLbl>
          <c:idx val="0"/>
          <c:delete val="1"/>
        </c:dLbl>
      </c:pivotFmt>
      <c:pivotFmt>
        <c:idx val="2053"/>
        <c:marker>
          <c:symbol val="none"/>
        </c:marker>
        <c:dLbl>
          <c:idx val="0"/>
          <c:delete val="1"/>
        </c:dLbl>
      </c:pivotFmt>
      <c:pivotFmt>
        <c:idx val="2054"/>
        <c:marker>
          <c:symbol val="none"/>
        </c:marker>
        <c:dLbl>
          <c:idx val="0"/>
          <c:delete val="1"/>
        </c:dLbl>
      </c:pivotFmt>
      <c:pivotFmt>
        <c:idx val="2055"/>
        <c:marker>
          <c:symbol val="none"/>
        </c:marker>
        <c:dLbl>
          <c:idx val="0"/>
          <c:delete val="1"/>
        </c:dLbl>
      </c:pivotFmt>
      <c:pivotFmt>
        <c:idx val="2056"/>
        <c:marker>
          <c:symbol val="none"/>
        </c:marker>
        <c:dLbl>
          <c:idx val="0"/>
          <c:delete val="1"/>
        </c:dLbl>
      </c:pivotFmt>
      <c:pivotFmt>
        <c:idx val="2057"/>
        <c:marker>
          <c:symbol val="none"/>
        </c:marker>
        <c:dLbl>
          <c:idx val="0"/>
          <c:delete val="1"/>
        </c:dLbl>
      </c:pivotFmt>
      <c:pivotFmt>
        <c:idx val="2058"/>
        <c:marker>
          <c:symbol val="none"/>
        </c:marker>
      </c:pivotFmt>
      <c:pivotFmt>
        <c:idx val="2059"/>
        <c:marker>
          <c:symbol val="none"/>
        </c:marker>
      </c:pivotFmt>
      <c:pivotFmt>
        <c:idx val="2060"/>
        <c:marker>
          <c:symbol val="none"/>
        </c:marker>
      </c:pivotFmt>
      <c:pivotFmt>
        <c:idx val="2061"/>
        <c:marker>
          <c:symbol val="none"/>
        </c:marker>
      </c:pivotFmt>
      <c:pivotFmt>
        <c:idx val="2062"/>
        <c:marker>
          <c:symbol val="none"/>
        </c:marker>
      </c:pivotFmt>
      <c:pivotFmt>
        <c:idx val="2063"/>
        <c:marker>
          <c:symbol val="none"/>
        </c:marker>
      </c:pivotFmt>
      <c:pivotFmt>
        <c:idx val="2064"/>
        <c:marker>
          <c:symbol val="none"/>
        </c:marker>
      </c:pivotFmt>
      <c:pivotFmt>
        <c:idx val="2065"/>
        <c:marker>
          <c:symbol val="none"/>
        </c:marker>
      </c:pivotFmt>
      <c:pivotFmt>
        <c:idx val="2066"/>
        <c:marker>
          <c:symbol val="none"/>
        </c:marker>
      </c:pivotFmt>
      <c:pivotFmt>
        <c:idx val="2067"/>
        <c:marker>
          <c:symbol val="none"/>
        </c:marker>
      </c:pivotFmt>
      <c:pivotFmt>
        <c:idx val="2068"/>
        <c:marker>
          <c:symbol val="none"/>
        </c:marker>
      </c:pivotFmt>
      <c:pivotFmt>
        <c:idx val="2069"/>
        <c:marker>
          <c:symbol val="none"/>
        </c:marker>
      </c:pivotFmt>
      <c:pivotFmt>
        <c:idx val="2070"/>
        <c:marker>
          <c:symbol val="none"/>
        </c:marker>
      </c:pivotFmt>
      <c:pivotFmt>
        <c:idx val="2071"/>
        <c:marker>
          <c:symbol val="none"/>
        </c:marker>
      </c:pivotFmt>
      <c:pivotFmt>
        <c:idx val="2072"/>
        <c:marker>
          <c:symbol val="none"/>
        </c:marker>
      </c:pivotFmt>
      <c:pivotFmt>
        <c:idx val="2073"/>
        <c:marker>
          <c:symbol val="none"/>
        </c:marker>
      </c:pivotFmt>
      <c:pivotFmt>
        <c:idx val="2074"/>
        <c:marker>
          <c:symbol val="none"/>
        </c:marker>
      </c:pivotFmt>
      <c:pivotFmt>
        <c:idx val="2075"/>
        <c:marker>
          <c:symbol val="none"/>
        </c:marker>
      </c:pivotFmt>
      <c:pivotFmt>
        <c:idx val="2076"/>
        <c:marker>
          <c:symbol val="none"/>
        </c:marker>
      </c:pivotFmt>
      <c:pivotFmt>
        <c:idx val="2077"/>
        <c:marker>
          <c:symbol val="none"/>
        </c:marker>
      </c:pivotFmt>
      <c:pivotFmt>
        <c:idx val="2078"/>
        <c:marker>
          <c:symbol val="none"/>
        </c:marker>
      </c:pivotFmt>
      <c:pivotFmt>
        <c:idx val="2079"/>
        <c:marker>
          <c:symbol val="none"/>
        </c:marker>
      </c:pivotFmt>
      <c:pivotFmt>
        <c:idx val="2080"/>
        <c:marker>
          <c:symbol val="none"/>
        </c:marker>
      </c:pivotFmt>
      <c:pivotFmt>
        <c:idx val="2081"/>
        <c:marker>
          <c:symbol val="none"/>
        </c:marker>
      </c:pivotFmt>
      <c:pivotFmt>
        <c:idx val="2082"/>
        <c:marker>
          <c:symbol val="none"/>
        </c:marker>
      </c:pivotFmt>
      <c:pivotFmt>
        <c:idx val="2083"/>
        <c:marker>
          <c:symbol val="none"/>
        </c:marker>
      </c:pivotFmt>
      <c:pivotFmt>
        <c:idx val="2084"/>
        <c:marker>
          <c:symbol val="none"/>
        </c:marker>
      </c:pivotFmt>
      <c:pivotFmt>
        <c:idx val="2085"/>
        <c:marker>
          <c:symbol val="none"/>
        </c:marker>
      </c:pivotFmt>
      <c:pivotFmt>
        <c:idx val="2086"/>
        <c:marker>
          <c:symbol val="none"/>
        </c:marker>
      </c:pivotFmt>
      <c:pivotFmt>
        <c:idx val="2087"/>
        <c:marker>
          <c:symbol val="none"/>
        </c:marker>
      </c:pivotFmt>
      <c:pivotFmt>
        <c:idx val="2088"/>
        <c:marker>
          <c:symbol val="none"/>
        </c:marker>
      </c:pivotFmt>
      <c:pivotFmt>
        <c:idx val="2089"/>
        <c:marker>
          <c:symbol val="none"/>
        </c:marker>
      </c:pivotFmt>
      <c:pivotFmt>
        <c:idx val="2090"/>
        <c:marker>
          <c:symbol val="none"/>
        </c:marker>
      </c:pivotFmt>
      <c:pivotFmt>
        <c:idx val="2091"/>
        <c:marker>
          <c:symbol val="none"/>
        </c:marker>
      </c:pivotFmt>
      <c:pivotFmt>
        <c:idx val="2092"/>
        <c:marker>
          <c:symbol val="none"/>
        </c:marker>
      </c:pivotFmt>
      <c:pivotFmt>
        <c:idx val="2093"/>
        <c:marker>
          <c:symbol val="none"/>
        </c:marker>
      </c:pivotFmt>
      <c:pivotFmt>
        <c:idx val="2094"/>
        <c:marker>
          <c:symbol val="none"/>
        </c:marker>
      </c:pivotFmt>
      <c:pivotFmt>
        <c:idx val="2095"/>
        <c:marker>
          <c:symbol val="none"/>
        </c:marker>
      </c:pivotFmt>
      <c:pivotFmt>
        <c:idx val="2096"/>
        <c:marker>
          <c:symbol val="none"/>
        </c:marker>
      </c:pivotFmt>
      <c:pivotFmt>
        <c:idx val="2097"/>
        <c:marker>
          <c:symbol val="none"/>
        </c:marker>
      </c:pivotFmt>
      <c:pivotFmt>
        <c:idx val="2098"/>
        <c:marker>
          <c:symbol val="none"/>
        </c:marker>
      </c:pivotFmt>
      <c:pivotFmt>
        <c:idx val="2099"/>
        <c:marker>
          <c:symbol val="none"/>
        </c:marker>
      </c:pivotFmt>
      <c:pivotFmt>
        <c:idx val="2100"/>
        <c:marker>
          <c:symbol val="none"/>
        </c:marker>
      </c:pivotFmt>
      <c:pivotFmt>
        <c:idx val="2101"/>
        <c:marker>
          <c:symbol val="none"/>
        </c:marker>
      </c:pivotFmt>
      <c:pivotFmt>
        <c:idx val="2102"/>
        <c:marker>
          <c:symbol val="none"/>
        </c:marker>
      </c:pivotFmt>
      <c:pivotFmt>
        <c:idx val="2103"/>
        <c:marker>
          <c:symbol val="none"/>
        </c:marker>
      </c:pivotFmt>
      <c:pivotFmt>
        <c:idx val="2104"/>
        <c:marker>
          <c:symbol val="none"/>
        </c:marker>
      </c:pivotFmt>
      <c:pivotFmt>
        <c:idx val="2105"/>
        <c:marker>
          <c:symbol val="none"/>
        </c:marker>
      </c:pivotFmt>
      <c:pivotFmt>
        <c:idx val="2106"/>
        <c:marker>
          <c:symbol val="none"/>
        </c:marker>
      </c:pivotFmt>
      <c:pivotFmt>
        <c:idx val="2107"/>
        <c:marker>
          <c:symbol val="none"/>
        </c:marker>
      </c:pivotFmt>
      <c:pivotFmt>
        <c:idx val="2108"/>
        <c:marker>
          <c:symbol val="none"/>
        </c:marker>
      </c:pivotFmt>
      <c:pivotFmt>
        <c:idx val="2109"/>
        <c:marker>
          <c:symbol val="none"/>
        </c:marker>
      </c:pivotFmt>
      <c:pivotFmt>
        <c:idx val="2110"/>
        <c:marker>
          <c:symbol val="none"/>
        </c:marker>
      </c:pivotFmt>
      <c:pivotFmt>
        <c:idx val="2111"/>
        <c:marker>
          <c:symbol val="none"/>
        </c:marker>
      </c:pivotFmt>
      <c:pivotFmt>
        <c:idx val="2112"/>
        <c:marker>
          <c:symbol val="none"/>
        </c:marker>
      </c:pivotFmt>
      <c:pivotFmt>
        <c:idx val="2113"/>
        <c:marker>
          <c:symbol val="none"/>
        </c:marker>
      </c:pivotFmt>
      <c:pivotFmt>
        <c:idx val="2114"/>
        <c:marker>
          <c:symbol val="none"/>
        </c:marker>
      </c:pivotFmt>
      <c:pivotFmt>
        <c:idx val="2115"/>
        <c:marker>
          <c:symbol val="none"/>
        </c:marker>
      </c:pivotFmt>
      <c:pivotFmt>
        <c:idx val="2116"/>
        <c:marker>
          <c:symbol val="none"/>
        </c:marker>
      </c:pivotFmt>
      <c:pivotFmt>
        <c:idx val="2117"/>
        <c:marker>
          <c:symbol val="none"/>
        </c:marker>
      </c:pivotFmt>
      <c:pivotFmt>
        <c:idx val="2118"/>
        <c:marker>
          <c:symbol val="none"/>
        </c:marker>
      </c:pivotFmt>
      <c:pivotFmt>
        <c:idx val="2119"/>
        <c:marker>
          <c:symbol val="none"/>
        </c:marker>
      </c:pivotFmt>
      <c:pivotFmt>
        <c:idx val="2120"/>
        <c:marker>
          <c:symbol val="none"/>
        </c:marker>
      </c:pivotFmt>
      <c:pivotFmt>
        <c:idx val="2121"/>
        <c:marker>
          <c:symbol val="none"/>
        </c:marker>
      </c:pivotFmt>
      <c:pivotFmt>
        <c:idx val="2122"/>
        <c:marker>
          <c:symbol val="none"/>
        </c:marker>
      </c:pivotFmt>
      <c:pivotFmt>
        <c:idx val="2123"/>
        <c:marker>
          <c:symbol val="none"/>
        </c:marker>
      </c:pivotFmt>
      <c:pivotFmt>
        <c:idx val="2124"/>
        <c:marker>
          <c:symbol val="none"/>
        </c:marker>
      </c:pivotFmt>
      <c:pivotFmt>
        <c:idx val="2125"/>
        <c:marker>
          <c:symbol val="none"/>
        </c:marker>
      </c:pivotFmt>
      <c:pivotFmt>
        <c:idx val="2126"/>
        <c:marker>
          <c:symbol val="none"/>
        </c:marker>
      </c:pivotFmt>
      <c:pivotFmt>
        <c:idx val="2127"/>
        <c:marker>
          <c:symbol val="none"/>
        </c:marker>
      </c:pivotFmt>
      <c:pivotFmt>
        <c:idx val="2128"/>
        <c:marker>
          <c:symbol val="none"/>
        </c:marker>
      </c:pivotFmt>
      <c:pivotFmt>
        <c:idx val="2129"/>
        <c:marker>
          <c:symbol val="none"/>
        </c:marker>
      </c:pivotFmt>
      <c:pivotFmt>
        <c:idx val="2130"/>
        <c:marker>
          <c:symbol val="none"/>
        </c:marker>
      </c:pivotFmt>
      <c:pivotFmt>
        <c:idx val="2131"/>
        <c:marker>
          <c:symbol val="none"/>
        </c:marker>
      </c:pivotFmt>
      <c:pivotFmt>
        <c:idx val="2132"/>
        <c:marker>
          <c:symbol val="none"/>
        </c:marker>
      </c:pivotFmt>
      <c:pivotFmt>
        <c:idx val="2133"/>
        <c:marker>
          <c:symbol val="none"/>
        </c:marker>
      </c:pivotFmt>
      <c:pivotFmt>
        <c:idx val="2134"/>
        <c:marker>
          <c:symbol val="none"/>
        </c:marker>
      </c:pivotFmt>
      <c:pivotFmt>
        <c:idx val="2135"/>
        <c:marker>
          <c:symbol val="none"/>
        </c:marker>
      </c:pivotFmt>
      <c:pivotFmt>
        <c:idx val="2136"/>
        <c:marker>
          <c:symbol val="none"/>
        </c:marker>
      </c:pivotFmt>
      <c:pivotFmt>
        <c:idx val="2137"/>
        <c:marker>
          <c:symbol val="none"/>
        </c:marker>
      </c:pivotFmt>
      <c:pivotFmt>
        <c:idx val="2138"/>
        <c:marker>
          <c:symbol val="none"/>
        </c:marker>
      </c:pivotFmt>
      <c:pivotFmt>
        <c:idx val="2139"/>
        <c:marker>
          <c:symbol val="none"/>
        </c:marker>
      </c:pivotFmt>
      <c:pivotFmt>
        <c:idx val="2140"/>
        <c:marker>
          <c:symbol val="none"/>
        </c:marker>
      </c:pivotFmt>
      <c:pivotFmt>
        <c:idx val="2141"/>
        <c:marker>
          <c:symbol val="none"/>
        </c:marker>
      </c:pivotFmt>
      <c:pivotFmt>
        <c:idx val="2142"/>
        <c:marker>
          <c:symbol val="none"/>
        </c:marker>
      </c:pivotFmt>
      <c:pivotFmt>
        <c:idx val="2143"/>
        <c:marker>
          <c:symbol val="none"/>
        </c:marker>
      </c:pivotFmt>
      <c:pivotFmt>
        <c:idx val="2144"/>
        <c:marker>
          <c:symbol val="none"/>
        </c:marker>
      </c:pivotFmt>
      <c:pivotFmt>
        <c:idx val="2145"/>
        <c:marker>
          <c:symbol val="none"/>
        </c:marker>
      </c:pivotFmt>
      <c:pivotFmt>
        <c:idx val="2146"/>
        <c:marker>
          <c:symbol val="none"/>
        </c:marker>
      </c:pivotFmt>
      <c:pivotFmt>
        <c:idx val="2147"/>
        <c:marker>
          <c:symbol val="none"/>
        </c:marker>
      </c:pivotFmt>
      <c:pivotFmt>
        <c:idx val="2148"/>
        <c:marker>
          <c:symbol val="none"/>
        </c:marker>
      </c:pivotFmt>
      <c:pivotFmt>
        <c:idx val="2149"/>
        <c:marker>
          <c:symbol val="none"/>
        </c:marker>
      </c:pivotFmt>
      <c:pivotFmt>
        <c:idx val="2150"/>
        <c:marker>
          <c:symbol val="none"/>
        </c:marker>
      </c:pivotFmt>
      <c:pivotFmt>
        <c:idx val="2151"/>
        <c:marker>
          <c:symbol val="none"/>
        </c:marker>
      </c:pivotFmt>
      <c:pivotFmt>
        <c:idx val="2152"/>
        <c:marker>
          <c:symbol val="none"/>
        </c:marker>
      </c:pivotFmt>
      <c:pivotFmt>
        <c:idx val="2153"/>
        <c:marker>
          <c:symbol val="none"/>
        </c:marker>
      </c:pivotFmt>
      <c:pivotFmt>
        <c:idx val="2154"/>
        <c:marker>
          <c:symbol val="none"/>
        </c:marker>
      </c:pivotFmt>
      <c:pivotFmt>
        <c:idx val="2155"/>
        <c:marker>
          <c:symbol val="none"/>
        </c:marker>
      </c:pivotFmt>
      <c:pivotFmt>
        <c:idx val="2156"/>
        <c:marker>
          <c:symbol val="none"/>
        </c:marker>
      </c:pivotFmt>
      <c:pivotFmt>
        <c:idx val="2157"/>
        <c:marker>
          <c:symbol val="none"/>
        </c:marker>
      </c:pivotFmt>
      <c:pivotFmt>
        <c:idx val="2158"/>
        <c:marker>
          <c:symbol val="none"/>
        </c:marker>
      </c:pivotFmt>
      <c:pivotFmt>
        <c:idx val="2159"/>
        <c:marker>
          <c:symbol val="none"/>
        </c:marker>
      </c:pivotFmt>
      <c:pivotFmt>
        <c:idx val="2160"/>
        <c:marker>
          <c:symbol val="none"/>
        </c:marker>
      </c:pivotFmt>
      <c:pivotFmt>
        <c:idx val="2161"/>
        <c:marker>
          <c:symbol val="none"/>
        </c:marker>
      </c:pivotFmt>
      <c:pivotFmt>
        <c:idx val="2162"/>
        <c:marker>
          <c:symbol val="none"/>
        </c:marker>
      </c:pivotFmt>
      <c:pivotFmt>
        <c:idx val="2163"/>
        <c:marker>
          <c:symbol val="none"/>
        </c:marker>
      </c:pivotFmt>
      <c:pivotFmt>
        <c:idx val="2164"/>
        <c:marker>
          <c:symbol val="none"/>
        </c:marker>
      </c:pivotFmt>
      <c:pivotFmt>
        <c:idx val="2165"/>
        <c:marker>
          <c:symbol val="none"/>
        </c:marker>
      </c:pivotFmt>
      <c:pivotFmt>
        <c:idx val="2166"/>
        <c:marker>
          <c:symbol val="none"/>
        </c:marker>
      </c:pivotFmt>
      <c:pivotFmt>
        <c:idx val="2167"/>
        <c:marker>
          <c:symbol val="none"/>
        </c:marker>
      </c:pivotFmt>
      <c:pivotFmt>
        <c:idx val="2168"/>
        <c:marker>
          <c:symbol val="none"/>
        </c:marker>
      </c:pivotFmt>
      <c:pivotFmt>
        <c:idx val="2169"/>
        <c:marker>
          <c:symbol val="none"/>
        </c:marker>
      </c:pivotFmt>
      <c:pivotFmt>
        <c:idx val="2170"/>
        <c:marker>
          <c:symbol val="none"/>
        </c:marker>
      </c:pivotFmt>
      <c:pivotFmt>
        <c:idx val="2171"/>
        <c:marker>
          <c:symbol val="none"/>
        </c:marker>
      </c:pivotFmt>
      <c:pivotFmt>
        <c:idx val="2172"/>
        <c:marker>
          <c:symbol val="none"/>
        </c:marker>
      </c:pivotFmt>
      <c:pivotFmt>
        <c:idx val="2173"/>
        <c:marker>
          <c:symbol val="none"/>
        </c:marker>
      </c:pivotFmt>
      <c:pivotFmt>
        <c:idx val="2174"/>
        <c:marker>
          <c:symbol val="none"/>
        </c:marker>
      </c:pivotFmt>
      <c:pivotFmt>
        <c:idx val="2175"/>
        <c:marker>
          <c:symbol val="none"/>
        </c:marker>
      </c:pivotFmt>
      <c:pivotFmt>
        <c:idx val="2176"/>
        <c:marker>
          <c:symbol val="none"/>
        </c:marker>
      </c:pivotFmt>
      <c:pivotFmt>
        <c:idx val="2177"/>
        <c:marker>
          <c:symbol val="none"/>
        </c:marker>
      </c:pivotFmt>
      <c:pivotFmt>
        <c:idx val="2178"/>
        <c:marker>
          <c:symbol val="none"/>
        </c:marker>
      </c:pivotFmt>
      <c:pivotFmt>
        <c:idx val="2179"/>
        <c:marker>
          <c:symbol val="none"/>
        </c:marker>
      </c:pivotFmt>
      <c:pivotFmt>
        <c:idx val="2180"/>
        <c:marker>
          <c:symbol val="none"/>
        </c:marker>
      </c:pivotFmt>
      <c:pivotFmt>
        <c:idx val="2181"/>
        <c:marker>
          <c:symbol val="none"/>
        </c:marker>
      </c:pivotFmt>
      <c:pivotFmt>
        <c:idx val="2182"/>
        <c:marker>
          <c:symbol val="none"/>
        </c:marker>
      </c:pivotFmt>
      <c:pivotFmt>
        <c:idx val="2183"/>
        <c:marker>
          <c:symbol val="none"/>
        </c:marker>
      </c:pivotFmt>
      <c:pivotFmt>
        <c:idx val="2184"/>
        <c:marker>
          <c:symbol val="none"/>
        </c:marker>
      </c:pivotFmt>
      <c:pivotFmt>
        <c:idx val="2185"/>
        <c:marker>
          <c:symbol val="none"/>
        </c:marker>
      </c:pivotFmt>
      <c:pivotFmt>
        <c:idx val="2186"/>
        <c:marker>
          <c:symbol val="none"/>
        </c:marker>
      </c:pivotFmt>
      <c:pivotFmt>
        <c:idx val="2187"/>
        <c:marker>
          <c:symbol val="none"/>
        </c:marker>
      </c:pivotFmt>
      <c:pivotFmt>
        <c:idx val="2188"/>
        <c:marker>
          <c:symbol val="none"/>
        </c:marker>
      </c:pivotFmt>
      <c:pivotFmt>
        <c:idx val="2189"/>
        <c:marker>
          <c:symbol val="none"/>
        </c:marker>
      </c:pivotFmt>
      <c:pivotFmt>
        <c:idx val="2190"/>
        <c:marker>
          <c:symbol val="none"/>
        </c:marker>
      </c:pivotFmt>
      <c:pivotFmt>
        <c:idx val="2191"/>
        <c:marker>
          <c:symbol val="none"/>
        </c:marker>
      </c:pivotFmt>
      <c:pivotFmt>
        <c:idx val="2192"/>
        <c:marker>
          <c:symbol val="none"/>
        </c:marker>
      </c:pivotFmt>
      <c:pivotFmt>
        <c:idx val="2193"/>
        <c:marker>
          <c:symbol val="none"/>
        </c:marker>
      </c:pivotFmt>
      <c:pivotFmt>
        <c:idx val="2194"/>
        <c:marker>
          <c:symbol val="none"/>
        </c:marker>
      </c:pivotFmt>
      <c:pivotFmt>
        <c:idx val="2195"/>
        <c:marker>
          <c:symbol val="none"/>
        </c:marker>
      </c:pivotFmt>
      <c:pivotFmt>
        <c:idx val="2196"/>
        <c:marker>
          <c:symbol val="none"/>
        </c:marker>
      </c:pivotFmt>
      <c:pivotFmt>
        <c:idx val="2197"/>
        <c:marker>
          <c:symbol val="none"/>
        </c:marker>
      </c:pivotFmt>
      <c:pivotFmt>
        <c:idx val="2198"/>
        <c:marker>
          <c:symbol val="none"/>
        </c:marker>
      </c:pivotFmt>
      <c:pivotFmt>
        <c:idx val="2199"/>
        <c:marker>
          <c:symbol val="none"/>
        </c:marker>
      </c:pivotFmt>
      <c:pivotFmt>
        <c:idx val="2200"/>
        <c:marker>
          <c:symbol val="none"/>
        </c:marker>
      </c:pivotFmt>
      <c:pivotFmt>
        <c:idx val="2201"/>
        <c:marker>
          <c:symbol val="none"/>
        </c:marker>
      </c:pivotFmt>
      <c:pivotFmt>
        <c:idx val="2202"/>
        <c:marker>
          <c:symbol val="none"/>
        </c:marker>
      </c:pivotFmt>
      <c:pivotFmt>
        <c:idx val="2203"/>
        <c:marker>
          <c:symbol val="none"/>
        </c:marker>
      </c:pivotFmt>
      <c:pivotFmt>
        <c:idx val="2204"/>
        <c:marker>
          <c:symbol val="none"/>
        </c:marker>
      </c:pivotFmt>
      <c:pivotFmt>
        <c:idx val="2205"/>
        <c:marker>
          <c:symbol val="none"/>
        </c:marker>
      </c:pivotFmt>
      <c:pivotFmt>
        <c:idx val="2206"/>
        <c:marker>
          <c:symbol val="none"/>
        </c:marker>
      </c:pivotFmt>
      <c:pivotFmt>
        <c:idx val="2207"/>
        <c:marker>
          <c:symbol val="none"/>
        </c:marker>
      </c:pivotFmt>
      <c:pivotFmt>
        <c:idx val="2208"/>
        <c:marker>
          <c:symbol val="none"/>
        </c:marker>
      </c:pivotFmt>
      <c:pivotFmt>
        <c:idx val="2209"/>
        <c:marker>
          <c:symbol val="none"/>
        </c:marker>
      </c:pivotFmt>
      <c:pivotFmt>
        <c:idx val="2210"/>
        <c:marker>
          <c:symbol val="none"/>
        </c:marker>
      </c:pivotFmt>
      <c:pivotFmt>
        <c:idx val="2211"/>
        <c:marker>
          <c:symbol val="none"/>
        </c:marker>
      </c:pivotFmt>
      <c:pivotFmt>
        <c:idx val="2212"/>
        <c:marker>
          <c:symbol val="none"/>
        </c:marker>
      </c:pivotFmt>
      <c:pivotFmt>
        <c:idx val="2213"/>
        <c:marker>
          <c:symbol val="none"/>
        </c:marker>
      </c:pivotFmt>
      <c:pivotFmt>
        <c:idx val="2214"/>
        <c:marker>
          <c:symbol val="none"/>
        </c:marker>
      </c:pivotFmt>
      <c:pivotFmt>
        <c:idx val="2215"/>
        <c:marker>
          <c:symbol val="none"/>
        </c:marker>
      </c:pivotFmt>
      <c:pivotFmt>
        <c:idx val="2216"/>
        <c:marker>
          <c:symbol val="none"/>
        </c:marker>
      </c:pivotFmt>
      <c:pivotFmt>
        <c:idx val="2217"/>
        <c:marker>
          <c:symbol val="none"/>
        </c:marker>
      </c:pivotFmt>
      <c:pivotFmt>
        <c:idx val="2218"/>
        <c:marker>
          <c:symbol val="none"/>
        </c:marker>
      </c:pivotFmt>
      <c:pivotFmt>
        <c:idx val="2219"/>
        <c:marker>
          <c:symbol val="none"/>
        </c:marker>
      </c:pivotFmt>
      <c:pivotFmt>
        <c:idx val="2220"/>
        <c:marker>
          <c:symbol val="none"/>
        </c:marker>
      </c:pivotFmt>
      <c:pivotFmt>
        <c:idx val="2221"/>
        <c:marker>
          <c:symbol val="none"/>
        </c:marker>
      </c:pivotFmt>
      <c:pivotFmt>
        <c:idx val="2222"/>
        <c:marker>
          <c:symbol val="none"/>
        </c:marker>
      </c:pivotFmt>
      <c:pivotFmt>
        <c:idx val="2223"/>
        <c:marker>
          <c:symbol val="none"/>
        </c:marker>
      </c:pivotFmt>
      <c:pivotFmt>
        <c:idx val="2224"/>
        <c:marker>
          <c:symbol val="none"/>
        </c:marker>
      </c:pivotFmt>
      <c:pivotFmt>
        <c:idx val="2225"/>
        <c:marker>
          <c:symbol val="none"/>
        </c:marker>
      </c:pivotFmt>
      <c:pivotFmt>
        <c:idx val="2226"/>
        <c:marker>
          <c:symbol val="none"/>
        </c:marker>
      </c:pivotFmt>
      <c:pivotFmt>
        <c:idx val="2227"/>
        <c:marker>
          <c:symbol val="none"/>
        </c:marker>
      </c:pivotFmt>
      <c:pivotFmt>
        <c:idx val="2228"/>
        <c:marker>
          <c:symbol val="none"/>
        </c:marker>
      </c:pivotFmt>
      <c:pivotFmt>
        <c:idx val="2229"/>
        <c:marker>
          <c:symbol val="none"/>
        </c:marker>
      </c:pivotFmt>
      <c:pivotFmt>
        <c:idx val="2230"/>
        <c:marker>
          <c:symbol val="none"/>
        </c:marker>
      </c:pivotFmt>
      <c:pivotFmt>
        <c:idx val="2231"/>
        <c:marker>
          <c:symbol val="none"/>
        </c:marker>
      </c:pivotFmt>
      <c:pivotFmt>
        <c:idx val="2232"/>
        <c:marker>
          <c:symbol val="none"/>
        </c:marker>
      </c:pivotFmt>
      <c:pivotFmt>
        <c:idx val="2233"/>
        <c:marker>
          <c:symbol val="none"/>
        </c:marker>
      </c:pivotFmt>
      <c:pivotFmt>
        <c:idx val="2234"/>
        <c:marker>
          <c:symbol val="none"/>
        </c:marker>
      </c:pivotFmt>
      <c:pivotFmt>
        <c:idx val="2235"/>
        <c:marker>
          <c:symbol val="none"/>
        </c:marker>
      </c:pivotFmt>
      <c:pivotFmt>
        <c:idx val="2236"/>
        <c:marker>
          <c:symbol val="none"/>
        </c:marker>
      </c:pivotFmt>
      <c:pivotFmt>
        <c:idx val="2237"/>
        <c:marker>
          <c:symbol val="none"/>
        </c:marker>
      </c:pivotFmt>
      <c:pivotFmt>
        <c:idx val="2238"/>
        <c:marker>
          <c:symbol val="none"/>
        </c:marker>
      </c:pivotFmt>
      <c:pivotFmt>
        <c:idx val="2239"/>
        <c:marker>
          <c:symbol val="none"/>
        </c:marker>
      </c:pivotFmt>
      <c:pivotFmt>
        <c:idx val="2240"/>
        <c:marker>
          <c:symbol val="none"/>
        </c:marker>
      </c:pivotFmt>
      <c:pivotFmt>
        <c:idx val="2241"/>
        <c:marker>
          <c:symbol val="none"/>
        </c:marker>
      </c:pivotFmt>
      <c:pivotFmt>
        <c:idx val="2242"/>
        <c:marker>
          <c:symbol val="none"/>
        </c:marker>
      </c:pivotFmt>
      <c:pivotFmt>
        <c:idx val="2243"/>
        <c:marker>
          <c:symbol val="none"/>
        </c:marker>
      </c:pivotFmt>
      <c:pivotFmt>
        <c:idx val="2244"/>
        <c:marker>
          <c:symbol val="none"/>
        </c:marker>
      </c:pivotFmt>
      <c:pivotFmt>
        <c:idx val="2245"/>
        <c:marker>
          <c:symbol val="none"/>
        </c:marker>
      </c:pivotFmt>
      <c:pivotFmt>
        <c:idx val="2246"/>
        <c:marker>
          <c:symbol val="none"/>
        </c:marker>
      </c:pivotFmt>
      <c:pivotFmt>
        <c:idx val="2247"/>
        <c:marker>
          <c:symbol val="none"/>
        </c:marker>
      </c:pivotFmt>
      <c:pivotFmt>
        <c:idx val="2248"/>
        <c:marker>
          <c:symbol val="none"/>
        </c:marker>
      </c:pivotFmt>
      <c:pivotFmt>
        <c:idx val="2249"/>
        <c:marker>
          <c:symbol val="none"/>
        </c:marker>
      </c:pivotFmt>
      <c:pivotFmt>
        <c:idx val="2250"/>
        <c:marker>
          <c:symbol val="none"/>
        </c:marker>
      </c:pivotFmt>
      <c:pivotFmt>
        <c:idx val="2251"/>
        <c:marker>
          <c:symbol val="none"/>
        </c:marker>
      </c:pivotFmt>
      <c:pivotFmt>
        <c:idx val="2252"/>
        <c:marker>
          <c:symbol val="none"/>
        </c:marker>
      </c:pivotFmt>
      <c:pivotFmt>
        <c:idx val="2253"/>
        <c:marker>
          <c:symbol val="none"/>
        </c:marker>
      </c:pivotFmt>
      <c:pivotFmt>
        <c:idx val="2254"/>
        <c:marker>
          <c:symbol val="none"/>
        </c:marker>
      </c:pivotFmt>
      <c:pivotFmt>
        <c:idx val="2255"/>
        <c:marker>
          <c:symbol val="none"/>
        </c:marker>
      </c:pivotFmt>
      <c:pivotFmt>
        <c:idx val="2256"/>
        <c:marker>
          <c:symbol val="none"/>
        </c:marker>
      </c:pivotFmt>
      <c:pivotFmt>
        <c:idx val="2257"/>
        <c:marker>
          <c:symbol val="none"/>
        </c:marker>
      </c:pivotFmt>
      <c:pivotFmt>
        <c:idx val="2258"/>
        <c:marker>
          <c:symbol val="none"/>
        </c:marker>
      </c:pivotFmt>
      <c:pivotFmt>
        <c:idx val="2259"/>
        <c:marker>
          <c:symbol val="none"/>
        </c:marker>
      </c:pivotFmt>
      <c:pivotFmt>
        <c:idx val="2260"/>
        <c:marker>
          <c:symbol val="none"/>
        </c:marker>
      </c:pivotFmt>
    </c:pivotFmts>
    <c:plotArea>
      <c:layout>
        <c:manualLayout>
          <c:layoutTarget val="inner"/>
          <c:xMode val="edge"/>
          <c:yMode val="edge"/>
          <c:x val="0.1011928382235686"/>
          <c:y val="4.1083099906629318E-2"/>
          <c:w val="0.52473014112043626"/>
          <c:h val="0.75109875971385931"/>
        </c:manualLayout>
      </c:layout>
      <c:lineChart>
        <c:grouping val="standard"/>
        <c:varyColors val="0"/>
        <c:ser>
          <c:idx val="0"/>
          <c:order val="0"/>
          <c:tx>
            <c:strRef>
              <c:f>'Sheet1 (13)'!$B$3:$B$4</c:f>
              <c:strCache>
                <c:ptCount val="1"/>
                <c:pt idx="0">
                  <c:v>ADALIMUMAB</c:v>
                </c:pt>
              </c:strCache>
            </c:strRef>
          </c:tx>
          <c:marker>
            <c:symbol val="none"/>
          </c:marker>
          <c:cat>
            <c:strRef>
              <c:f>'Sheet1 (13)'!$A$5:$A$173</c:f>
              <c:strCache>
                <c:ptCount val="168"/>
                <c:pt idx="0">
                  <c:v>1/06/2012</c:v>
                </c:pt>
                <c:pt idx="1">
                  <c:v>8/06/2012</c:v>
                </c:pt>
                <c:pt idx="2">
                  <c:v>15/06/2012</c:v>
                </c:pt>
                <c:pt idx="3">
                  <c:v>22/06/2012</c:v>
                </c:pt>
                <c:pt idx="4">
                  <c:v>29/06/2012</c:v>
                </c:pt>
                <c:pt idx="5">
                  <c:v>6/07/2012</c:v>
                </c:pt>
                <c:pt idx="6">
                  <c:v>13/07/2012</c:v>
                </c:pt>
                <c:pt idx="7">
                  <c:v>20/07/2012</c:v>
                </c:pt>
                <c:pt idx="8">
                  <c:v>27/07/2012</c:v>
                </c:pt>
                <c:pt idx="9">
                  <c:v>3/08/2012</c:v>
                </c:pt>
                <c:pt idx="10">
                  <c:v>10/08/2012</c:v>
                </c:pt>
                <c:pt idx="11">
                  <c:v>17/08/2012</c:v>
                </c:pt>
                <c:pt idx="12">
                  <c:v>24/08/2012</c:v>
                </c:pt>
                <c:pt idx="13">
                  <c:v>31/08/2012</c:v>
                </c:pt>
                <c:pt idx="14">
                  <c:v>7/09/2012</c:v>
                </c:pt>
                <c:pt idx="15">
                  <c:v>14/09/2012</c:v>
                </c:pt>
                <c:pt idx="16">
                  <c:v>21/09/2012</c:v>
                </c:pt>
                <c:pt idx="17">
                  <c:v>28/09/2012</c:v>
                </c:pt>
                <c:pt idx="18">
                  <c:v>5/10/2012</c:v>
                </c:pt>
                <c:pt idx="19">
                  <c:v>12/10/2012</c:v>
                </c:pt>
                <c:pt idx="20">
                  <c:v>19/10/2012</c:v>
                </c:pt>
                <c:pt idx="21">
                  <c:v>26/10/2012</c:v>
                </c:pt>
                <c:pt idx="22">
                  <c:v>2/11/2012</c:v>
                </c:pt>
                <c:pt idx="23">
                  <c:v>9/11/2012</c:v>
                </c:pt>
                <c:pt idx="24">
                  <c:v>16/11/2012</c:v>
                </c:pt>
                <c:pt idx="25">
                  <c:v>23/11/2012</c:v>
                </c:pt>
                <c:pt idx="26">
                  <c:v>30/11/2012</c:v>
                </c:pt>
                <c:pt idx="27">
                  <c:v>7/12/2012</c:v>
                </c:pt>
                <c:pt idx="28">
                  <c:v>14/12/2012</c:v>
                </c:pt>
                <c:pt idx="29">
                  <c:v>21/12/2012</c:v>
                </c:pt>
                <c:pt idx="30">
                  <c:v>28/12/2012</c:v>
                </c:pt>
                <c:pt idx="31">
                  <c:v>4/01/2013</c:v>
                </c:pt>
                <c:pt idx="32">
                  <c:v>11/01/2013</c:v>
                </c:pt>
                <c:pt idx="33">
                  <c:v>18/01/2013</c:v>
                </c:pt>
                <c:pt idx="34">
                  <c:v>25/01/2013</c:v>
                </c:pt>
                <c:pt idx="35">
                  <c:v>1/02/2013</c:v>
                </c:pt>
                <c:pt idx="36">
                  <c:v>8/02/2013</c:v>
                </c:pt>
                <c:pt idx="37">
                  <c:v>15/02/2013</c:v>
                </c:pt>
                <c:pt idx="38">
                  <c:v>22/02/2013</c:v>
                </c:pt>
                <c:pt idx="39">
                  <c:v>1/03/2013</c:v>
                </c:pt>
                <c:pt idx="40">
                  <c:v>8/03/2013</c:v>
                </c:pt>
                <c:pt idx="41">
                  <c:v>15/03/2013</c:v>
                </c:pt>
                <c:pt idx="42">
                  <c:v>22/03/2013</c:v>
                </c:pt>
                <c:pt idx="43">
                  <c:v>29/03/2013</c:v>
                </c:pt>
                <c:pt idx="44">
                  <c:v>5/04/2013</c:v>
                </c:pt>
                <c:pt idx="45">
                  <c:v>12/04/2013</c:v>
                </c:pt>
                <c:pt idx="46">
                  <c:v>19/04/2013</c:v>
                </c:pt>
                <c:pt idx="47">
                  <c:v>26/04/2013</c:v>
                </c:pt>
                <c:pt idx="48">
                  <c:v>3/05/2013</c:v>
                </c:pt>
                <c:pt idx="49">
                  <c:v>10/05/2013</c:v>
                </c:pt>
                <c:pt idx="50">
                  <c:v>17/05/2013</c:v>
                </c:pt>
                <c:pt idx="51">
                  <c:v>24/05/2013</c:v>
                </c:pt>
                <c:pt idx="52">
                  <c:v>31/05/2013</c:v>
                </c:pt>
                <c:pt idx="53">
                  <c:v>7/06/2013</c:v>
                </c:pt>
                <c:pt idx="54">
                  <c:v>14/06/2013</c:v>
                </c:pt>
                <c:pt idx="55">
                  <c:v>21/06/2013</c:v>
                </c:pt>
                <c:pt idx="56">
                  <c:v>28/06/2013</c:v>
                </c:pt>
                <c:pt idx="57">
                  <c:v>5/07/2013</c:v>
                </c:pt>
                <c:pt idx="58">
                  <c:v>12/07/2013</c:v>
                </c:pt>
                <c:pt idx="59">
                  <c:v>19/07/2013</c:v>
                </c:pt>
                <c:pt idx="60">
                  <c:v>26/07/2013</c:v>
                </c:pt>
                <c:pt idx="61">
                  <c:v>2/08/2013</c:v>
                </c:pt>
                <c:pt idx="62">
                  <c:v>9/08/2013</c:v>
                </c:pt>
                <c:pt idx="63">
                  <c:v>16/08/2013</c:v>
                </c:pt>
                <c:pt idx="64">
                  <c:v>23/08/2013</c:v>
                </c:pt>
                <c:pt idx="65">
                  <c:v>30/08/2013</c:v>
                </c:pt>
                <c:pt idx="66">
                  <c:v>6/09/2013</c:v>
                </c:pt>
                <c:pt idx="67">
                  <c:v>13/09/2013</c:v>
                </c:pt>
                <c:pt idx="68">
                  <c:v>20/09/2013</c:v>
                </c:pt>
                <c:pt idx="69">
                  <c:v>27/09/2013</c:v>
                </c:pt>
                <c:pt idx="70">
                  <c:v>4/10/2013</c:v>
                </c:pt>
                <c:pt idx="71">
                  <c:v>11/10/2013</c:v>
                </c:pt>
                <c:pt idx="72">
                  <c:v>18/10/2013</c:v>
                </c:pt>
                <c:pt idx="73">
                  <c:v>25/10/2013</c:v>
                </c:pt>
                <c:pt idx="74">
                  <c:v>1/11/2013</c:v>
                </c:pt>
                <c:pt idx="75">
                  <c:v>8/11/2013</c:v>
                </c:pt>
                <c:pt idx="76">
                  <c:v>15/11/2013</c:v>
                </c:pt>
                <c:pt idx="77">
                  <c:v>22/11/2013</c:v>
                </c:pt>
                <c:pt idx="78">
                  <c:v>29/11/2013</c:v>
                </c:pt>
                <c:pt idx="79">
                  <c:v>6/12/2013</c:v>
                </c:pt>
                <c:pt idx="80">
                  <c:v>13/12/2013</c:v>
                </c:pt>
                <c:pt idx="81">
                  <c:v>20/12/2013</c:v>
                </c:pt>
                <c:pt idx="82">
                  <c:v>27/12/2013</c:v>
                </c:pt>
                <c:pt idx="83">
                  <c:v>3/01/2014</c:v>
                </c:pt>
                <c:pt idx="84">
                  <c:v>10/01/2014</c:v>
                </c:pt>
                <c:pt idx="85">
                  <c:v>17/01/2014</c:v>
                </c:pt>
                <c:pt idx="86">
                  <c:v>24/01/2014</c:v>
                </c:pt>
                <c:pt idx="87">
                  <c:v>31/01/2014</c:v>
                </c:pt>
                <c:pt idx="88">
                  <c:v>7/02/2014</c:v>
                </c:pt>
                <c:pt idx="89">
                  <c:v>14/02/2014</c:v>
                </c:pt>
                <c:pt idx="90">
                  <c:v>21/02/2014</c:v>
                </c:pt>
                <c:pt idx="91">
                  <c:v>28/02/2014</c:v>
                </c:pt>
                <c:pt idx="92">
                  <c:v>7/03/2014</c:v>
                </c:pt>
                <c:pt idx="93">
                  <c:v>14/03/2014</c:v>
                </c:pt>
                <c:pt idx="94">
                  <c:v>21/03/2014</c:v>
                </c:pt>
                <c:pt idx="95">
                  <c:v>28/03/2014</c:v>
                </c:pt>
                <c:pt idx="96">
                  <c:v>4/04/2014</c:v>
                </c:pt>
                <c:pt idx="97">
                  <c:v>11/04/2014</c:v>
                </c:pt>
                <c:pt idx="98">
                  <c:v>18/04/2014</c:v>
                </c:pt>
                <c:pt idx="99">
                  <c:v>25/04/2014</c:v>
                </c:pt>
                <c:pt idx="100">
                  <c:v>2/05/2014</c:v>
                </c:pt>
                <c:pt idx="101">
                  <c:v>9/05/2014</c:v>
                </c:pt>
                <c:pt idx="102">
                  <c:v>16/05/2014</c:v>
                </c:pt>
                <c:pt idx="103">
                  <c:v>23/05/2014</c:v>
                </c:pt>
                <c:pt idx="104">
                  <c:v>30/05/2014</c:v>
                </c:pt>
                <c:pt idx="105">
                  <c:v>6/06/2014</c:v>
                </c:pt>
                <c:pt idx="106">
                  <c:v>13/06/2014</c:v>
                </c:pt>
                <c:pt idx="107">
                  <c:v>20/06/2014</c:v>
                </c:pt>
                <c:pt idx="108">
                  <c:v>27/06/2014</c:v>
                </c:pt>
                <c:pt idx="109">
                  <c:v>4/07/2014</c:v>
                </c:pt>
                <c:pt idx="110">
                  <c:v>11/07/2014</c:v>
                </c:pt>
                <c:pt idx="111">
                  <c:v>18/07/2014</c:v>
                </c:pt>
                <c:pt idx="112">
                  <c:v>25/07/2014</c:v>
                </c:pt>
                <c:pt idx="113">
                  <c:v>1/08/2014</c:v>
                </c:pt>
                <c:pt idx="114">
                  <c:v>8/08/2014</c:v>
                </c:pt>
                <c:pt idx="115">
                  <c:v>15/08/2014</c:v>
                </c:pt>
                <c:pt idx="116">
                  <c:v>22/08/2014</c:v>
                </c:pt>
                <c:pt idx="117">
                  <c:v>29/08/2014</c:v>
                </c:pt>
                <c:pt idx="118">
                  <c:v>5/09/2014</c:v>
                </c:pt>
                <c:pt idx="119">
                  <c:v>12/09/2014</c:v>
                </c:pt>
                <c:pt idx="120">
                  <c:v>19/09/2014</c:v>
                </c:pt>
                <c:pt idx="121">
                  <c:v>26/09/2014</c:v>
                </c:pt>
                <c:pt idx="122">
                  <c:v>3/10/2014</c:v>
                </c:pt>
                <c:pt idx="123">
                  <c:v>10/10/2014</c:v>
                </c:pt>
                <c:pt idx="124">
                  <c:v>17/10/2014</c:v>
                </c:pt>
                <c:pt idx="125">
                  <c:v>24/10/2014</c:v>
                </c:pt>
                <c:pt idx="126">
                  <c:v>31/10/2014</c:v>
                </c:pt>
                <c:pt idx="127">
                  <c:v>7/11/2014</c:v>
                </c:pt>
                <c:pt idx="128">
                  <c:v>14/11/2014</c:v>
                </c:pt>
                <c:pt idx="129">
                  <c:v>21/11/2014</c:v>
                </c:pt>
                <c:pt idx="130">
                  <c:v>28/11/2014</c:v>
                </c:pt>
                <c:pt idx="131">
                  <c:v>5/12/2014</c:v>
                </c:pt>
                <c:pt idx="132">
                  <c:v>12/12/2014</c:v>
                </c:pt>
                <c:pt idx="133">
                  <c:v>19/12/2014</c:v>
                </c:pt>
                <c:pt idx="134">
                  <c:v>26/12/2014</c:v>
                </c:pt>
                <c:pt idx="135">
                  <c:v>2/01/2015</c:v>
                </c:pt>
                <c:pt idx="136">
                  <c:v>9/01/2015</c:v>
                </c:pt>
                <c:pt idx="137">
                  <c:v>16/01/2015</c:v>
                </c:pt>
                <c:pt idx="138">
                  <c:v>23/01/2015</c:v>
                </c:pt>
                <c:pt idx="139">
                  <c:v>30/01/2015</c:v>
                </c:pt>
                <c:pt idx="140">
                  <c:v>6/02/2015</c:v>
                </c:pt>
                <c:pt idx="141">
                  <c:v>13/02/2015</c:v>
                </c:pt>
                <c:pt idx="142">
                  <c:v>20/02/2015</c:v>
                </c:pt>
                <c:pt idx="143">
                  <c:v>27/02/2015</c:v>
                </c:pt>
                <c:pt idx="144">
                  <c:v>6/03/2015</c:v>
                </c:pt>
                <c:pt idx="145">
                  <c:v>13/03/2015</c:v>
                </c:pt>
                <c:pt idx="146">
                  <c:v>20/03/2015</c:v>
                </c:pt>
                <c:pt idx="147">
                  <c:v>27/03/2015</c:v>
                </c:pt>
                <c:pt idx="148">
                  <c:v>3/04/2015</c:v>
                </c:pt>
                <c:pt idx="149">
                  <c:v>10/04/2015</c:v>
                </c:pt>
                <c:pt idx="150">
                  <c:v>17/04/2015</c:v>
                </c:pt>
                <c:pt idx="151">
                  <c:v>24/04/2015</c:v>
                </c:pt>
                <c:pt idx="152">
                  <c:v>1/05/2015</c:v>
                </c:pt>
                <c:pt idx="153">
                  <c:v>8/05/2015</c:v>
                </c:pt>
                <c:pt idx="154">
                  <c:v>15/05/2015</c:v>
                </c:pt>
                <c:pt idx="155">
                  <c:v>22/05/2015</c:v>
                </c:pt>
                <c:pt idx="156">
                  <c:v>29/05/2015</c:v>
                </c:pt>
                <c:pt idx="157">
                  <c:v>5/06/2015</c:v>
                </c:pt>
                <c:pt idx="158">
                  <c:v>12/06/2015</c:v>
                </c:pt>
                <c:pt idx="159">
                  <c:v>19/06/2015</c:v>
                </c:pt>
                <c:pt idx="160">
                  <c:v>26/06/2015</c:v>
                </c:pt>
                <c:pt idx="161">
                  <c:v>3/07/2015</c:v>
                </c:pt>
                <c:pt idx="162">
                  <c:v>10/07/2015</c:v>
                </c:pt>
                <c:pt idx="163">
                  <c:v>17/07/2015</c:v>
                </c:pt>
                <c:pt idx="164">
                  <c:v>24/07/2015</c:v>
                </c:pt>
                <c:pt idx="165">
                  <c:v>31/07/2015</c:v>
                </c:pt>
                <c:pt idx="166">
                  <c:v>7/08/2015</c:v>
                </c:pt>
                <c:pt idx="167">
                  <c:v>14/08/2015</c:v>
                </c:pt>
              </c:strCache>
            </c:strRef>
          </c:cat>
          <c:val>
            <c:numRef>
              <c:f>'Sheet1 (13)'!$B$5:$B$173</c:f>
              <c:numCache>
                <c:formatCode>General</c:formatCode>
                <c:ptCount val="168"/>
                <c:pt idx="0">
                  <c:v>677</c:v>
                </c:pt>
                <c:pt idx="1">
                  <c:v>675</c:v>
                </c:pt>
                <c:pt idx="2">
                  <c:v>684</c:v>
                </c:pt>
                <c:pt idx="3">
                  <c:v>685</c:v>
                </c:pt>
                <c:pt idx="4">
                  <c:v>694</c:v>
                </c:pt>
                <c:pt idx="5">
                  <c:v>697</c:v>
                </c:pt>
                <c:pt idx="6">
                  <c:v>701</c:v>
                </c:pt>
                <c:pt idx="7">
                  <c:v>704</c:v>
                </c:pt>
                <c:pt idx="8">
                  <c:v>704</c:v>
                </c:pt>
                <c:pt idx="9">
                  <c:v>711</c:v>
                </c:pt>
                <c:pt idx="10">
                  <c:v>706</c:v>
                </c:pt>
                <c:pt idx="11">
                  <c:v>703</c:v>
                </c:pt>
                <c:pt idx="12">
                  <c:v>703</c:v>
                </c:pt>
                <c:pt idx="13">
                  <c:v>712</c:v>
                </c:pt>
                <c:pt idx="14">
                  <c:v>713</c:v>
                </c:pt>
                <c:pt idx="15">
                  <c:v>717</c:v>
                </c:pt>
                <c:pt idx="16">
                  <c:v>721</c:v>
                </c:pt>
                <c:pt idx="17">
                  <c:v>724</c:v>
                </c:pt>
                <c:pt idx="18">
                  <c:v>731</c:v>
                </c:pt>
                <c:pt idx="19">
                  <c:v>728</c:v>
                </c:pt>
                <c:pt idx="20">
                  <c:v>731</c:v>
                </c:pt>
                <c:pt idx="21">
                  <c:v>738</c:v>
                </c:pt>
                <c:pt idx="22">
                  <c:v>733</c:v>
                </c:pt>
                <c:pt idx="23">
                  <c:v>737</c:v>
                </c:pt>
                <c:pt idx="24">
                  <c:v>733</c:v>
                </c:pt>
                <c:pt idx="25">
                  <c:v>728</c:v>
                </c:pt>
                <c:pt idx="26">
                  <c:v>725</c:v>
                </c:pt>
                <c:pt idx="27">
                  <c:v>730</c:v>
                </c:pt>
                <c:pt idx="28">
                  <c:v>728</c:v>
                </c:pt>
                <c:pt idx="29">
                  <c:v>729</c:v>
                </c:pt>
                <c:pt idx="30">
                  <c:v>731</c:v>
                </c:pt>
                <c:pt idx="31">
                  <c:v>735</c:v>
                </c:pt>
                <c:pt idx="32">
                  <c:v>745</c:v>
                </c:pt>
                <c:pt idx="33">
                  <c:v>747</c:v>
                </c:pt>
                <c:pt idx="34">
                  <c:v>746</c:v>
                </c:pt>
                <c:pt idx="35">
                  <c:v>746</c:v>
                </c:pt>
                <c:pt idx="36">
                  <c:v>750</c:v>
                </c:pt>
                <c:pt idx="37">
                  <c:v>756</c:v>
                </c:pt>
                <c:pt idx="38">
                  <c:v>756</c:v>
                </c:pt>
                <c:pt idx="39">
                  <c:v>758</c:v>
                </c:pt>
                <c:pt idx="40">
                  <c:v>762</c:v>
                </c:pt>
                <c:pt idx="41">
                  <c:v>766</c:v>
                </c:pt>
                <c:pt idx="42">
                  <c:v>762</c:v>
                </c:pt>
                <c:pt idx="43">
                  <c:v>761</c:v>
                </c:pt>
                <c:pt idx="44">
                  <c:v>773</c:v>
                </c:pt>
                <c:pt idx="45">
                  <c:v>775</c:v>
                </c:pt>
                <c:pt idx="46">
                  <c:v>776</c:v>
                </c:pt>
                <c:pt idx="47">
                  <c:v>773</c:v>
                </c:pt>
                <c:pt idx="48">
                  <c:v>777</c:v>
                </c:pt>
                <c:pt idx="49">
                  <c:v>778</c:v>
                </c:pt>
                <c:pt idx="50">
                  <c:v>784</c:v>
                </c:pt>
                <c:pt idx="51">
                  <c:v>783</c:v>
                </c:pt>
                <c:pt idx="52">
                  <c:v>786</c:v>
                </c:pt>
                <c:pt idx="53">
                  <c:v>786</c:v>
                </c:pt>
                <c:pt idx="54">
                  <c:v>791</c:v>
                </c:pt>
                <c:pt idx="55">
                  <c:v>794</c:v>
                </c:pt>
                <c:pt idx="56">
                  <c:v>791</c:v>
                </c:pt>
                <c:pt idx="57">
                  <c:v>791</c:v>
                </c:pt>
                <c:pt idx="58">
                  <c:v>791</c:v>
                </c:pt>
                <c:pt idx="59">
                  <c:v>786</c:v>
                </c:pt>
                <c:pt idx="60">
                  <c:v>785</c:v>
                </c:pt>
                <c:pt idx="61">
                  <c:v>779</c:v>
                </c:pt>
                <c:pt idx="62">
                  <c:v>780</c:v>
                </c:pt>
                <c:pt idx="63">
                  <c:v>789</c:v>
                </c:pt>
                <c:pt idx="64">
                  <c:v>787</c:v>
                </c:pt>
                <c:pt idx="65">
                  <c:v>785</c:v>
                </c:pt>
                <c:pt idx="66">
                  <c:v>788</c:v>
                </c:pt>
                <c:pt idx="67">
                  <c:v>802</c:v>
                </c:pt>
                <c:pt idx="68">
                  <c:v>804</c:v>
                </c:pt>
                <c:pt idx="69">
                  <c:v>807</c:v>
                </c:pt>
                <c:pt idx="70">
                  <c:v>816</c:v>
                </c:pt>
                <c:pt idx="71">
                  <c:v>818</c:v>
                </c:pt>
                <c:pt idx="72">
                  <c:v>815</c:v>
                </c:pt>
                <c:pt idx="73">
                  <c:v>816</c:v>
                </c:pt>
                <c:pt idx="74">
                  <c:v>820</c:v>
                </c:pt>
                <c:pt idx="75">
                  <c:v>817</c:v>
                </c:pt>
                <c:pt idx="76">
                  <c:v>822</c:v>
                </c:pt>
                <c:pt idx="77">
                  <c:v>823</c:v>
                </c:pt>
                <c:pt idx="78">
                  <c:v>816</c:v>
                </c:pt>
                <c:pt idx="79">
                  <c:v>812</c:v>
                </c:pt>
                <c:pt idx="80">
                  <c:v>812</c:v>
                </c:pt>
                <c:pt idx="81">
                  <c:v>815</c:v>
                </c:pt>
                <c:pt idx="82">
                  <c:v>826</c:v>
                </c:pt>
                <c:pt idx="83">
                  <c:v>836</c:v>
                </c:pt>
                <c:pt idx="84">
                  <c:v>836</c:v>
                </c:pt>
                <c:pt idx="85">
                  <c:v>836</c:v>
                </c:pt>
                <c:pt idx="86">
                  <c:v>834</c:v>
                </c:pt>
                <c:pt idx="87">
                  <c:v>834</c:v>
                </c:pt>
                <c:pt idx="88">
                  <c:v>837</c:v>
                </c:pt>
                <c:pt idx="89">
                  <c:v>844</c:v>
                </c:pt>
                <c:pt idx="90">
                  <c:v>856</c:v>
                </c:pt>
                <c:pt idx="91">
                  <c:v>853</c:v>
                </c:pt>
                <c:pt idx="92">
                  <c:v>864</c:v>
                </c:pt>
                <c:pt idx="93">
                  <c:v>865</c:v>
                </c:pt>
                <c:pt idx="94">
                  <c:v>867</c:v>
                </c:pt>
                <c:pt idx="95">
                  <c:v>877</c:v>
                </c:pt>
                <c:pt idx="96">
                  <c:v>881</c:v>
                </c:pt>
                <c:pt idx="97">
                  <c:v>891</c:v>
                </c:pt>
                <c:pt idx="98">
                  <c:v>893</c:v>
                </c:pt>
                <c:pt idx="99">
                  <c:v>897</c:v>
                </c:pt>
                <c:pt idx="100">
                  <c:v>898</c:v>
                </c:pt>
                <c:pt idx="101">
                  <c:v>905</c:v>
                </c:pt>
                <c:pt idx="102">
                  <c:v>901</c:v>
                </c:pt>
                <c:pt idx="103">
                  <c:v>906</c:v>
                </c:pt>
                <c:pt idx="104">
                  <c:v>908</c:v>
                </c:pt>
                <c:pt idx="105">
                  <c:v>907</c:v>
                </c:pt>
                <c:pt idx="106">
                  <c:v>908</c:v>
                </c:pt>
                <c:pt idx="107">
                  <c:v>908</c:v>
                </c:pt>
                <c:pt idx="108">
                  <c:v>906</c:v>
                </c:pt>
                <c:pt idx="109">
                  <c:v>906</c:v>
                </c:pt>
                <c:pt idx="110">
                  <c:v>910</c:v>
                </c:pt>
                <c:pt idx="111">
                  <c:v>911</c:v>
                </c:pt>
                <c:pt idx="112">
                  <c:v>914</c:v>
                </c:pt>
                <c:pt idx="113">
                  <c:v>917</c:v>
                </c:pt>
                <c:pt idx="114">
                  <c:v>921</c:v>
                </c:pt>
                <c:pt idx="115">
                  <c:v>921</c:v>
                </c:pt>
                <c:pt idx="116">
                  <c:v>927</c:v>
                </c:pt>
                <c:pt idx="117">
                  <c:v>932</c:v>
                </c:pt>
                <c:pt idx="118">
                  <c:v>932</c:v>
                </c:pt>
                <c:pt idx="119">
                  <c:v>926</c:v>
                </c:pt>
                <c:pt idx="120">
                  <c:v>926</c:v>
                </c:pt>
                <c:pt idx="121">
                  <c:v>924</c:v>
                </c:pt>
                <c:pt idx="122">
                  <c:v>925</c:v>
                </c:pt>
                <c:pt idx="123">
                  <c:v>929</c:v>
                </c:pt>
                <c:pt idx="124">
                  <c:v>941</c:v>
                </c:pt>
                <c:pt idx="125">
                  <c:v>939</c:v>
                </c:pt>
                <c:pt idx="126">
                  <c:v>937</c:v>
                </c:pt>
                <c:pt idx="127">
                  <c:v>942</c:v>
                </c:pt>
                <c:pt idx="128">
                  <c:v>947</c:v>
                </c:pt>
                <c:pt idx="129">
                  <c:v>946</c:v>
                </c:pt>
                <c:pt idx="130">
                  <c:v>947</c:v>
                </c:pt>
                <c:pt idx="131">
                  <c:v>944</c:v>
                </c:pt>
                <c:pt idx="132">
                  <c:v>944</c:v>
                </c:pt>
                <c:pt idx="133">
                  <c:v>956</c:v>
                </c:pt>
                <c:pt idx="134">
                  <c:v>967</c:v>
                </c:pt>
                <c:pt idx="135">
                  <c:v>970</c:v>
                </c:pt>
                <c:pt idx="136">
                  <c:v>965</c:v>
                </c:pt>
                <c:pt idx="137">
                  <c:v>966</c:v>
                </c:pt>
                <c:pt idx="138">
                  <c:v>970</c:v>
                </c:pt>
                <c:pt idx="139">
                  <c:v>971</c:v>
                </c:pt>
                <c:pt idx="140">
                  <c:v>984</c:v>
                </c:pt>
                <c:pt idx="141">
                  <c:v>977</c:v>
                </c:pt>
                <c:pt idx="142">
                  <c:v>976</c:v>
                </c:pt>
                <c:pt idx="143">
                  <c:v>982</c:v>
                </c:pt>
                <c:pt idx="144">
                  <c:v>979</c:v>
                </c:pt>
                <c:pt idx="145">
                  <c:v>978</c:v>
                </c:pt>
                <c:pt idx="146">
                  <c:v>984</c:v>
                </c:pt>
                <c:pt idx="147">
                  <c:v>989</c:v>
                </c:pt>
                <c:pt idx="148">
                  <c:v>994</c:v>
                </c:pt>
                <c:pt idx="149">
                  <c:v>994</c:v>
                </c:pt>
                <c:pt idx="150">
                  <c:v>999</c:v>
                </c:pt>
                <c:pt idx="151">
                  <c:v>1021</c:v>
                </c:pt>
                <c:pt idx="152">
                  <c:v>1023</c:v>
                </c:pt>
                <c:pt idx="153">
                  <c:v>1034</c:v>
                </c:pt>
                <c:pt idx="154">
                  <c:v>1048</c:v>
                </c:pt>
                <c:pt idx="155">
                  <c:v>1049</c:v>
                </c:pt>
                <c:pt idx="156">
                  <c:v>1050</c:v>
                </c:pt>
                <c:pt idx="157">
                  <c:v>1031</c:v>
                </c:pt>
                <c:pt idx="158">
                  <c:v>1035</c:v>
                </c:pt>
                <c:pt idx="159">
                  <c:v>1040</c:v>
                </c:pt>
                <c:pt idx="160">
                  <c:v>1049</c:v>
                </c:pt>
                <c:pt idx="161">
                  <c:v>1047</c:v>
                </c:pt>
                <c:pt idx="162">
                  <c:v>1042</c:v>
                </c:pt>
                <c:pt idx="163">
                  <c:v>1034</c:v>
                </c:pt>
                <c:pt idx="164">
                  <c:v>1028</c:v>
                </c:pt>
                <c:pt idx="165">
                  <c:v>1026</c:v>
                </c:pt>
                <c:pt idx="166">
                  <c:v>1021</c:v>
                </c:pt>
                <c:pt idx="167">
                  <c:v>1022</c:v>
                </c:pt>
              </c:numCache>
            </c:numRef>
          </c:val>
          <c:smooth val="0"/>
        </c:ser>
        <c:ser>
          <c:idx val="1"/>
          <c:order val="1"/>
          <c:tx>
            <c:strRef>
              <c:f>'Sheet1 (13)'!$C$3:$C$4</c:f>
              <c:strCache>
                <c:ptCount val="1"/>
                <c:pt idx="0">
                  <c:v>ADALIMUMAB+METHOTREXATE</c:v>
                </c:pt>
              </c:strCache>
            </c:strRef>
          </c:tx>
          <c:marker>
            <c:symbol val="none"/>
          </c:marker>
          <c:cat>
            <c:strRef>
              <c:f>'Sheet1 (13)'!$A$5:$A$173</c:f>
              <c:strCache>
                <c:ptCount val="168"/>
                <c:pt idx="0">
                  <c:v>1/06/2012</c:v>
                </c:pt>
                <c:pt idx="1">
                  <c:v>8/06/2012</c:v>
                </c:pt>
                <c:pt idx="2">
                  <c:v>15/06/2012</c:v>
                </c:pt>
                <c:pt idx="3">
                  <c:v>22/06/2012</c:v>
                </c:pt>
                <c:pt idx="4">
                  <c:v>29/06/2012</c:v>
                </c:pt>
                <c:pt idx="5">
                  <c:v>6/07/2012</c:v>
                </c:pt>
                <c:pt idx="6">
                  <c:v>13/07/2012</c:v>
                </c:pt>
                <c:pt idx="7">
                  <c:v>20/07/2012</c:v>
                </c:pt>
                <c:pt idx="8">
                  <c:v>27/07/2012</c:v>
                </c:pt>
                <c:pt idx="9">
                  <c:v>3/08/2012</c:v>
                </c:pt>
                <c:pt idx="10">
                  <c:v>10/08/2012</c:v>
                </c:pt>
                <c:pt idx="11">
                  <c:v>17/08/2012</c:v>
                </c:pt>
                <c:pt idx="12">
                  <c:v>24/08/2012</c:v>
                </c:pt>
                <c:pt idx="13">
                  <c:v>31/08/2012</c:v>
                </c:pt>
                <c:pt idx="14">
                  <c:v>7/09/2012</c:v>
                </c:pt>
                <c:pt idx="15">
                  <c:v>14/09/2012</c:v>
                </c:pt>
                <c:pt idx="16">
                  <c:v>21/09/2012</c:v>
                </c:pt>
                <c:pt idx="17">
                  <c:v>28/09/2012</c:v>
                </c:pt>
                <c:pt idx="18">
                  <c:v>5/10/2012</c:v>
                </c:pt>
                <c:pt idx="19">
                  <c:v>12/10/2012</c:v>
                </c:pt>
                <c:pt idx="20">
                  <c:v>19/10/2012</c:v>
                </c:pt>
                <c:pt idx="21">
                  <c:v>26/10/2012</c:v>
                </c:pt>
                <c:pt idx="22">
                  <c:v>2/11/2012</c:v>
                </c:pt>
                <c:pt idx="23">
                  <c:v>9/11/2012</c:v>
                </c:pt>
                <c:pt idx="24">
                  <c:v>16/11/2012</c:v>
                </c:pt>
                <c:pt idx="25">
                  <c:v>23/11/2012</c:v>
                </c:pt>
                <c:pt idx="26">
                  <c:v>30/11/2012</c:v>
                </c:pt>
                <c:pt idx="27">
                  <c:v>7/12/2012</c:v>
                </c:pt>
                <c:pt idx="28">
                  <c:v>14/12/2012</c:v>
                </c:pt>
                <c:pt idx="29">
                  <c:v>21/12/2012</c:v>
                </c:pt>
                <c:pt idx="30">
                  <c:v>28/12/2012</c:v>
                </c:pt>
                <c:pt idx="31">
                  <c:v>4/01/2013</c:v>
                </c:pt>
                <c:pt idx="32">
                  <c:v>11/01/2013</c:v>
                </c:pt>
                <c:pt idx="33">
                  <c:v>18/01/2013</c:v>
                </c:pt>
                <c:pt idx="34">
                  <c:v>25/01/2013</c:v>
                </c:pt>
                <c:pt idx="35">
                  <c:v>1/02/2013</c:v>
                </c:pt>
                <c:pt idx="36">
                  <c:v>8/02/2013</c:v>
                </c:pt>
                <c:pt idx="37">
                  <c:v>15/02/2013</c:v>
                </c:pt>
                <c:pt idx="38">
                  <c:v>22/02/2013</c:v>
                </c:pt>
                <c:pt idx="39">
                  <c:v>1/03/2013</c:v>
                </c:pt>
                <c:pt idx="40">
                  <c:v>8/03/2013</c:v>
                </c:pt>
                <c:pt idx="41">
                  <c:v>15/03/2013</c:v>
                </c:pt>
                <c:pt idx="42">
                  <c:v>22/03/2013</c:v>
                </c:pt>
                <c:pt idx="43">
                  <c:v>29/03/2013</c:v>
                </c:pt>
                <c:pt idx="44">
                  <c:v>5/04/2013</c:v>
                </c:pt>
                <c:pt idx="45">
                  <c:v>12/04/2013</c:v>
                </c:pt>
                <c:pt idx="46">
                  <c:v>19/04/2013</c:v>
                </c:pt>
                <c:pt idx="47">
                  <c:v>26/04/2013</c:v>
                </c:pt>
                <c:pt idx="48">
                  <c:v>3/05/2013</c:v>
                </c:pt>
                <c:pt idx="49">
                  <c:v>10/05/2013</c:v>
                </c:pt>
                <c:pt idx="50">
                  <c:v>17/05/2013</c:v>
                </c:pt>
                <c:pt idx="51">
                  <c:v>24/05/2013</c:v>
                </c:pt>
                <c:pt idx="52">
                  <c:v>31/05/2013</c:v>
                </c:pt>
                <c:pt idx="53">
                  <c:v>7/06/2013</c:v>
                </c:pt>
                <c:pt idx="54">
                  <c:v>14/06/2013</c:v>
                </c:pt>
                <c:pt idx="55">
                  <c:v>21/06/2013</c:v>
                </c:pt>
                <c:pt idx="56">
                  <c:v>28/06/2013</c:v>
                </c:pt>
                <c:pt idx="57">
                  <c:v>5/07/2013</c:v>
                </c:pt>
                <c:pt idx="58">
                  <c:v>12/07/2013</c:v>
                </c:pt>
                <c:pt idx="59">
                  <c:v>19/07/2013</c:v>
                </c:pt>
                <c:pt idx="60">
                  <c:v>26/07/2013</c:v>
                </c:pt>
                <c:pt idx="61">
                  <c:v>2/08/2013</c:v>
                </c:pt>
                <c:pt idx="62">
                  <c:v>9/08/2013</c:v>
                </c:pt>
                <c:pt idx="63">
                  <c:v>16/08/2013</c:v>
                </c:pt>
                <c:pt idx="64">
                  <c:v>23/08/2013</c:v>
                </c:pt>
                <c:pt idx="65">
                  <c:v>30/08/2013</c:v>
                </c:pt>
                <c:pt idx="66">
                  <c:v>6/09/2013</c:v>
                </c:pt>
                <c:pt idx="67">
                  <c:v>13/09/2013</c:v>
                </c:pt>
                <c:pt idx="68">
                  <c:v>20/09/2013</c:v>
                </c:pt>
                <c:pt idx="69">
                  <c:v>27/09/2013</c:v>
                </c:pt>
                <c:pt idx="70">
                  <c:v>4/10/2013</c:v>
                </c:pt>
                <c:pt idx="71">
                  <c:v>11/10/2013</c:v>
                </c:pt>
                <c:pt idx="72">
                  <c:v>18/10/2013</c:v>
                </c:pt>
                <c:pt idx="73">
                  <c:v>25/10/2013</c:v>
                </c:pt>
                <c:pt idx="74">
                  <c:v>1/11/2013</c:v>
                </c:pt>
                <c:pt idx="75">
                  <c:v>8/11/2013</c:v>
                </c:pt>
                <c:pt idx="76">
                  <c:v>15/11/2013</c:v>
                </c:pt>
                <c:pt idx="77">
                  <c:v>22/11/2013</c:v>
                </c:pt>
                <c:pt idx="78">
                  <c:v>29/11/2013</c:v>
                </c:pt>
                <c:pt idx="79">
                  <c:v>6/12/2013</c:v>
                </c:pt>
                <c:pt idx="80">
                  <c:v>13/12/2013</c:v>
                </c:pt>
                <c:pt idx="81">
                  <c:v>20/12/2013</c:v>
                </c:pt>
                <c:pt idx="82">
                  <c:v>27/12/2013</c:v>
                </c:pt>
                <c:pt idx="83">
                  <c:v>3/01/2014</c:v>
                </c:pt>
                <c:pt idx="84">
                  <c:v>10/01/2014</c:v>
                </c:pt>
                <c:pt idx="85">
                  <c:v>17/01/2014</c:v>
                </c:pt>
                <c:pt idx="86">
                  <c:v>24/01/2014</c:v>
                </c:pt>
                <c:pt idx="87">
                  <c:v>31/01/2014</c:v>
                </c:pt>
                <c:pt idx="88">
                  <c:v>7/02/2014</c:v>
                </c:pt>
                <c:pt idx="89">
                  <c:v>14/02/2014</c:v>
                </c:pt>
                <c:pt idx="90">
                  <c:v>21/02/2014</c:v>
                </c:pt>
                <c:pt idx="91">
                  <c:v>28/02/2014</c:v>
                </c:pt>
                <c:pt idx="92">
                  <c:v>7/03/2014</c:v>
                </c:pt>
                <c:pt idx="93">
                  <c:v>14/03/2014</c:v>
                </c:pt>
                <c:pt idx="94">
                  <c:v>21/03/2014</c:v>
                </c:pt>
                <c:pt idx="95">
                  <c:v>28/03/2014</c:v>
                </c:pt>
                <c:pt idx="96">
                  <c:v>4/04/2014</c:v>
                </c:pt>
                <c:pt idx="97">
                  <c:v>11/04/2014</c:v>
                </c:pt>
                <c:pt idx="98">
                  <c:v>18/04/2014</c:v>
                </c:pt>
                <c:pt idx="99">
                  <c:v>25/04/2014</c:v>
                </c:pt>
                <c:pt idx="100">
                  <c:v>2/05/2014</c:v>
                </c:pt>
                <c:pt idx="101">
                  <c:v>9/05/2014</c:v>
                </c:pt>
                <c:pt idx="102">
                  <c:v>16/05/2014</c:v>
                </c:pt>
                <c:pt idx="103">
                  <c:v>23/05/2014</c:v>
                </c:pt>
                <c:pt idx="104">
                  <c:v>30/05/2014</c:v>
                </c:pt>
                <c:pt idx="105">
                  <c:v>6/06/2014</c:v>
                </c:pt>
                <c:pt idx="106">
                  <c:v>13/06/2014</c:v>
                </c:pt>
                <c:pt idx="107">
                  <c:v>20/06/2014</c:v>
                </c:pt>
                <c:pt idx="108">
                  <c:v>27/06/2014</c:v>
                </c:pt>
                <c:pt idx="109">
                  <c:v>4/07/2014</c:v>
                </c:pt>
                <c:pt idx="110">
                  <c:v>11/07/2014</c:v>
                </c:pt>
                <c:pt idx="111">
                  <c:v>18/07/2014</c:v>
                </c:pt>
                <c:pt idx="112">
                  <c:v>25/07/2014</c:v>
                </c:pt>
                <c:pt idx="113">
                  <c:v>1/08/2014</c:v>
                </c:pt>
                <c:pt idx="114">
                  <c:v>8/08/2014</c:v>
                </c:pt>
                <c:pt idx="115">
                  <c:v>15/08/2014</c:v>
                </c:pt>
                <c:pt idx="116">
                  <c:v>22/08/2014</c:v>
                </c:pt>
                <c:pt idx="117">
                  <c:v>29/08/2014</c:v>
                </c:pt>
                <c:pt idx="118">
                  <c:v>5/09/2014</c:v>
                </c:pt>
                <c:pt idx="119">
                  <c:v>12/09/2014</c:v>
                </c:pt>
                <c:pt idx="120">
                  <c:v>19/09/2014</c:v>
                </c:pt>
                <c:pt idx="121">
                  <c:v>26/09/2014</c:v>
                </c:pt>
                <c:pt idx="122">
                  <c:v>3/10/2014</c:v>
                </c:pt>
                <c:pt idx="123">
                  <c:v>10/10/2014</c:v>
                </c:pt>
                <c:pt idx="124">
                  <c:v>17/10/2014</c:v>
                </c:pt>
                <c:pt idx="125">
                  <c:v>24/10/2014</c:v>
                </c:pt>
                <c:pt idx="126">
                  <c:v>31/10/2014</c:v>
                </c:pt>
                <c:pt idx="127">
                  <c:v>7/11/2014</c:v>
                </c:pt>
                <c:pt idx="128">
                  <c:v>14/11/2014</c:v>
                </c:pt>
                <c:pt idx="129">
                  <c:v>21/11/2014</c:v>
                </c:pt>
                <c:pt idx="130">
                  <c:v>28/11/2014</c:v>
                </c:pt>
                <c:pt idx="131">
                  <c:v>5/12/2014</c:v>
                </c:pt>
                <c:pt idx="132">
                  <c:v>12/12/2014</c:v>
                </c:pt>
                <c:pt idx="133">
                  <c:v>19/12/2014</c:v>
                </c:pt>
                <c:pt idx="134">
                  <c:v>26/12/2014</c:v>
                </c:pt>
                <c:pt idx="135">
                  <c:v>2/01/2015</c:v>
                </c:pt>
                <c:pt idx="136">
                  <c:v>9/01/2015</c:v>
                </c:pt>
                <c:pt idx="137">
                  <c:v>16/01/2015</c:v>
                </c:pt>
                <c:pt idx="138">
                  <c:v>23/01/2015</c:v>
                </c:pt>
                <c:pt idx="139">
                  <c:v>30/01/2015</c:v>
                </c:pt>
                <c:pt idx="140">
                  <c:v>6/02/2015</c:v>
                </c:pt>
                <c:pt idx="141">
                  <c:v>13/02/2015</c:v>
                </c:pt>
                <c:pt idx="142">
                  <c:v>20/02/2015</c:v>
                </c:pt>
                <c:pt idx="143">
                  <c:v>27/02/2015</c:v>
                </c:pt>
                <c:pt idx="144">
                  <c:v>6/03/2015</c:v>
                </c:pt>
                <c:pt idx="145">
                  <c:v>13/03/2015</c:v>
                </c:pt>
                <c:pt idx="146">
                  <c:v>20/03/2015</c:v>
                </c:pt>
                <c:pt idx="147">
                  <c:v>27/03/2015</c:v>
                </c:pt>
                <c:pt idx="148">
                  <c:v>3/04/2015</c:v>
                </c:pt>
                <c:pt idx="149">
                  <c:v>10/04/2015</c:v>
                </c:pt>
                <c:pt idx="150">
                  <c:v>17/04/2015</c:v>
                </c:pt>
                <c:pt idx="151">
                  <c:v>24/04/2015</c:v>
                </c:pt>
                <c:pt idx="152">
                  <c:v>1/05/2015</c:v>
                </c:pt>
                <c:pt idx="153">
                  <c:v>8/05/2015</c:v>
                </c:pt>
                <c:pt idx="154">
                  <c:v>15/05/2015</c:v>
                </c:pt>
                <c:pt idx="155">
                  <c:v>22/05/2015</c:v>
                </c:pt>
                <c:pt idx="156">
                  <c:v>29/05/2015</c:v>
                </c:pt>
                <c:pt idx="157">
                  <c:v>5/06/2015</c:v>
                </c:pt>
                <c:pt idx="158">
                  <c:v>12/06/2015</c:v>
                </c:pt>
                <c:pt idx="159">
                  <c:v>19/06/2015</c:v>
                </c:pt>
                <c:pt idx="160">
                  <c:v>26/06/2015</c:v>
                </c:pt>
                <c:pt idx="161">
                  <c:v>3/07/2015</c:v>
                </c:pt>
                <c:pt idx="162">
                  <c:v>10/07/2015</c:v>
                </c:pt>
                <c:pt idx="163">
                  <c:v>17/07/2015</c:v>
                </c:pt>
                <c:pt idx="164">
                  <c:v>24/07/2015</c:v>
                </c:pt>
                <c:pt idx="165">
                  <c:v>31/07/2015</c:v>
                </c:pt>
                <c:pt idx="166">
                  <c:v>7/08/2015</c:v>
                </c:pt>
                <c:pt idx="167">
                  <c:v>14/08/2015</c:v>
                </c:pt>
              </c:strCache>
            </c:strRef>
          </c:cat>
          <c:val>
            <c:numRef>
              <c:f>'Sheet1 (13)'!$C$5:$C$173</c:f>
              <c:numCache>
                <c:formatCode>General</c:formatCode>
                <c:ptCount val="168"/>
                <c:pt idx="0">
                  <c:v>518</c:v>
                </c:pt>
                <c:pt idx="1">
                  <c:v>517</c:v>
                </c:pt>
                <c:pt idx="2">
                  <c:v>515</c:v>
                </c:pt>
                <c:pt idx="3">
                  <c:v>511</c:v>
                </c:pt>
                <c:pt idx="4">
                  <c:v>514</c:v>
                </c:pt>
                <c:pt idx="5">
                  <c:v>521</c:v>
                </c:pt>
                <c:pt idx="6">
                  <c:v>525</c:v>
                </c:pt>
                <c:pt idx="7">
                  <c:v>531</c:v>
                </c:pt>
                <c:pt idx="8">
                  <c:v>531</c:v>
                </c:pt>
                <c:pt idx="9">
                  <c:v>532</c:v>
                </c:pt>
                <c:pt idx="10">
                  <c:v>535</c:v>
                </c:pt>
                <c:pt idx="11">
                  <c:v>545</c:v>
                </c:pt>
                <c:pt idx="12">
                  <c:v>549</c:v>
                </c:pt>
                <c:pt idx="13">
                  <c:v>551</c:v>
                </c:pt>
                <c:pt idx="14">
                  <c:v>559</c:v>
                </c:pt>
                <c:pt idx="15">
                  <c:v>562</c:v>
                </c:pt>
                <c:pt idx="16">
                  <c:v>563</c:v>
                </c:pt>
                <c:pt idx="17">
                  <c:v>566</c:v>
                </c:pt>
                <c:pt idx="18">
                  <c:v>557</c:v>
                </c:pt>
                <c:pt idx="19">
                  <c:v>555</c:v>
                </c:pt>
                <c:pt idx="20">
                  <c:v>557</c:v>
                </c:pt>
                <c:pt idx="21">
                  <c:v>559</c:v>
                </c:pt>
                <c:pt idx="22">
                  <c:v>563</c:v>
                </c:pt>
                <c:pt idx="23">
                  <c:v>564</c:v>
                </c:pt>
                <c:pt idx="24">
                  <c:v>568</c:v>
                </c:pt>
                <c:pt idx="25">
                  <c:v>572</c:v>
                </c:pt>
                <c:pt idx="26">
                  <c:v>572</c:v>
                </c:pt>
                <c:pt idx="27">
                  <c:v>567</c:v>
                </c:pt>
                <c:pt idx="28">
                  <c:v>576</c:v>
                </c:pt>
                <c:pt idx="29">
                  <c:v>576</c:v>
                </c:pt>
                <c:pt idx="30">
                  <c:v>577</c:v>
                </c:pt>
                <c:pt idx="31">
                  <c:v>576</c:v>
                </c:pt>
                <c:pt idx="32">
                  <c:v>580</c:v>
                </c:pt>
                <c:pt idx="33">
                  <c:v>579</c:v>
                </c:pt>
                <c:pt idx="34">
                  <c:v>587</c:v>
                </c:pt>
                <c:pt idx="35">
                  <c:v>589</c:v>
                </c:pt>
                <c:pt idx="36">
                  <c:v>593</c:v>
                </c:pt>
                <c:pt idx="37">
                  <c:v>592</c:v>
                </c:pt>
                <c:pt idx="38">
                  <c:v>589</c:v>
                </c:pt>
                <c:pt idx="39">
                  <c:v>597</c:v>
                </c:pt>
                <c:pt idx="40">
                  <c:v>596</c:v>
                </c:pt>
                <c:pt idx="41">
                  <c:v>597</c:v>
                </c:pt>
                <c:pt idx="42">
                  <c:v>594</c:v>
                </c:pt>
                <c:pt idx="43">
                  <c:v>598</c:v>
                </c:pt>
                <c:pt idx="44">
                  <c:v>605</c:v>
                </c:pt>
                <c:pt idx="45">
                  <c:v>609</c:v>
                </c:pt>
                <c:pt idx="46">
                  <c:v>620</c:v>
                </c:pt>
                <c:pt idx="47">
                  <c:v>621</c:v>
                </c:pt>
                <c:pt idx="48">
                  <c:v>620</c:v>
                </c:pt>
                <c:pt idx="49">
                  <c:v>616</c:v>
                </c:pt>
                <c:pt idx="50">
                  <c:v>617</c:v>
                </c:pt>
                <c:pt idx="51">
                  <c:v>622</c:v>
                </c:pt>
                <c:pt idx="52">
                  <c:v>621</c:v>
                </c:pt>
                <c:pt idx="53">
                  <c:v>627</c:v>
                </c:pt>
                <c:pt idx="54">
                  <c:v>627</c:v>
                </c:pt>
                <c:pt idx="55">
                  <c:v>626</c:v>
                </c:pt>
                <c:pt idx="56">
                  <c:v>628</c:v>
                </c:pt>
                <c:pt idx="57">
                  <c:v>628</c:v>
                </c:pt>
                <c:pt idx="58">
                  <c:v>640</c:v>
                </c:pt>
                <c:pt idx="59">
                  <c:v>643</c:v>
                </c:pt>
                <c:pt idx="60">
                  <c:v>642</c:v>
                </c:pt>
                <c:pt idx="61">
                  <c:v>640</c:v>
                </c:pt>
                <c:pt idx="62">
                  <c:v>646</c:v>
                </c:pt>
                <c:pt idx="63">
                  <c:v>647</c:v>
                </c:pt>
                <c:pt idx="64">
                  <c:v>647</c:v>
                </c:pt>
                <c:pt idx="65">
                  <c:v>648</c:v>
                </c:pt>
                <c:pt idx="66">
                  <c:v>657</c:v>
                </c:pt>
                <c:pt idx="67">
                  <c:v>653</c:v>
                </c:pt>
                <c:pt idx="68">
                  <c:v>662</c:v>
                </c:pt>
                <c:pt idx="69">
                  <c:v>666</c:v>
                </c:pt>
                <c:pt idx="70">
                  <c:v>667</c:v>
                </c:pt>
                <c:pt idx="71">
                  <c:v>668</c:v>
                </c:pt>
                <c:pt idx="72">
                  <c:v>673</c:v>
                </c:pt>
                <c:pt idx="73">
                  <c:v>669</c:v>
                </c:pt>
                <c:pt idx="74">
                  <c:v>671</c:v>
                </c:pt>
                <c:pt idx="75">
                  <c:v>669</c:v>
                </c:pt>
                <c:pt idx="76">
                  <c:v>675</c:v>
                </c:pt>
                <c:pt idx="77">
                  <c:v>679</c:v>
                </c:pt>
                <c:pt idx="78">
                  <c:v>686</c:v>
                </c:pt>
                <c:pt idx="79">
                  <c:v>694</c:v>
                </c:pt>
                <c:pt idx="80">
                  <c:v>683</c:v>
                </c:pt>
                <c:pt idx="81">
                  <c:v>678</c:v>
                </c:pt>
                <c:pt idx="82">
                  <c:v>671</c:v>
                </c:pt>
                <c:pt idx="83">
                  <c:v>677</c:v>
                </c:pt>
                <c:pt idx="84">
                  <c:v>679</c:v>
                </c:pt>
                <c:pt idx="85">
                  <c:v>682</c:v>
                </c:pt>
                <c:pt idx="86">
                  <c:v>682</c:v>
                </c:pt>
                <c:pt idx="87">
                  <c:v>688</c:v>
                </c:pt>
                <c:pt idx="88">
                  <c:v>685</c:v>
                </c:pt>
                <c:pt idx="89">
                  <c:v>682</c:v>
                </c:pt>
                <c:pt idx="90">
                  <c:v>688</c:v>
                </c:pt>
                <c:pt idx="91">
                  <c:v>694</c:v>
                </c:pt>
                <c:pt idx="92">
                  <c:v>699</c:v>
                </c:pt>
                <c:pt idx="93">
                  <c:v>706</c:v>
                </c:pt>
                <c:pt idx="94">
                  <c:v>710</c:v>
                </c:pt>
                <c:pt idx="95">
                  <c:v>709</c:v>
                </c:pt>
                <c:pt idx="96">
                  <c:v>715</c:v>
                </c:pt>
                <c:pt idx="97">
                  <c:v>715</c:v>
                </c:pt>
                <c:pt idx="98">
                  <c:v>714</c:v>
                </c:pt>
                <c:pt idx="99">
                  <c:v>711</c:v>
                </c:pt>
                <c:pt idx="100">
                  <c:v>707</c:v>
                </c:pt>
                <c:pt idx="101">
                  <c:v>706</c:v>
                </c:pt>
                <c:pt idx="102">
                  <c:v>710</c:v>
                </c:pt>
                <c:pt idx="103">
                  <c:v>717</c:v>
                </c:pt>
                <c:pt idx="104">
                  <c:v>714</c:v>
                </c:pt>
                <c:pt idx="105">
                  <c:v>714</c:v>
                </c:pt>
                <c:pt idx="106">
                  <c:v>713</c:v>
                </c:pt>
                <c:pt idx="107">
                  <c:v>711</c:v>
                </c:pt>
                <c:pt idx="108">
                  <c:v>710</c:v>
                </c:pt>
                <c:pt idx="109">
                  <c:v>706</c:v>
                </c:pt>
                <c:pt idx="110">
                  <c:v>705</c:v>
                </c:pt>
                <c:pt idx="111">
                  <c:v>713</c:v>
                </c:pt>
                <c:pt idx="112">
                  <c:v>722</c:v>
                </c:pt>
                <c:pt idx="113">
                  <c:v>724</c:v>
                </c:pt>
                <c:pt idx="114">
                  <c:v>731</c:v>
                </c:pt>
                <c:pt idx="115">
                  <c:v>733</c:v>
                </c:pt>
                <c:pt idx="116">
                  <c:v>736</c:v>
                </c:pt>
                <c:pt idx="117">
                  <c:v>735</c:v>
                </c:pt>
                <c:pt idx="118">
                  <c:v>742</c:v>
                </c:pt>
                <c:pt idx="119">
                  <c:v>748</c:v>
                </c:pt>
                <c:pt idx="120">
                  <c:v>756</c:v>
                </c:pt>
                <c:pt idx="121">
                  <c:v>758</c:v>
                </c:pt>
                <c:pt idx="122">
                  <c:v>765</c:v>
                </c:pt>
                <c:pt idx="123">
                  <c:v>771</c:v>
                </c:pt>
                <c:pt idx="124">
                  <c:v>771</c:v>
                </c:pt>
                <c:pt idx="125">
                  <c:v>771</c:v>
                </c:pt>
                <c:pt idx="126">
                  <c:v>773</c:v>
                </c:pt>
                <c:pt idx="127">
                  <c:v>786</c:v>
                </c:pt>
                <c:pt idx="128">
                  <c:v>789</c:v>
                </c:pt>
                <c:pt idx="129">
                  <c:v>799</c:v>
                </c:pt>
                <c:pt idx="130">
                  <c:v>812</c:v>
                </c:pt>
                <c:pt idx="131">
                  <c:v>822</c:v>
                </c:pt>
                <c:pt idx="132">
                  <c:v>825</c:v>
                </c:pt>
                <c:pt idx="133">
                  <c:v>825</c:v>
                </c:pt>
                <c:pt idx="134">
                  <c:v>819</c:v>
                </c:pt>
                <c:pt idx="135">
                  <c:v>815</c:v>
                </c:pt>
                <c:pt idx="136">
                  <c:v>814</c:v>
                </c:pt>
                <c:pt idx="137">
                  <c:v>818</c:v>
                </c:pt>
                <c:pt idx="138">
                  <c:v>822</c:v>
                </c:pt>
                <c:pt idx="139">
                  <c:v>830</c:v>
                </c:pt>
                <c:pt idx="140">
                  <c:v>826</c:v>
                </c:pt>
                <c:pt idx="141">
                  <c:v>838</c:v>
                </c:pt>
                <c:pt idx="142">
                  <c:v>839</c:v>
                </c:pt>
                <c:pt idx="143">
                  <c:v>841</c:v>
                </c:pt>
                <c:pt idx="144">
                  <c:v>841</c:v>
                </c:pt>
                <c:pt idx="145">
                  <c:v>846</c:v>
                </c:pt>
                <c:pt idx="146">
                  <c:v>847</c:v>
                </c:pt>
                <c:pt idx="147">
                  <c:v>850</c:v>
                </c:pt>
                <c:pt idx="148">
                  <c:v>848</c:v>
                </c:pt>
                <c:pt idx="149">
                  <c:v>842</c:v>
                </c:pt>
                <c:pt idx="150">
                  <c:v>838</c:v>
                </c:pt>
                <c:pt idx="151">
                  <c:v>831</c:v>
                </c:pt>
                <c:pt idx="152">
                  <c:v>820</c:v>
                </c:pt>
                <c:pt idx="153">
                  <c:v>821</c:v>
                </c:pt>
                <c:pt idx="154">
                  <c:v>828</c:v>
                </c:pt>
                <c:pt idx="155">
                  <c:v>818</c:v>
                </c:pt>
                <c:pt idx="156">
                  <c:v>823</c:v>
                </c:pt>
                <c:pt idx="157">
                  <c:v>823</c:v>
                </c:pt>
                <c:pt idx="158">
                  <c:v>822</c:v>
                </c:pt>
                <c:pt idx="159">
                  <c:v>832</c:v>
                </c:pt>
                <c:pt idx="160">
                  <c:v>832</c:v>
                </c:pt>
                <c:pt idx="161">
                  <c:v>828</c:v>
                </c:pt>
                <c:pt idx="162">
                  <c:v>830</c:v>
                </c:pt>
                <c:pt idx="163">
                  <c:v>834</c:v>
                </c:pt>
                <c:pt idx="164">
                  <c:v>833</c:v>
                </c:pt>
                <c:pt idx="165">
                  <c:v>843</c:v>
                </c:pt>
                <c:pt idx="166">
                  <c:v>841</c:v>
                </c:pt>
                <c:pt idx="167">
                  <c:v>853</c:v>
                </c:pt>
              </c:numCache>
            </c:numRef>
          </c:val>
          <c:smooth val="0"/>
        </c:ser>
        <c:ser>
          <c:idx val="2"/>
          <c:order val="2"/>
          <c:tx>
            <c:strRef>
              <c:f>'Sheet1 (13)'!$D$3:$D$4</c:f>
              <c:strCache>
                <c:ptCount val="1"/>
                <c:pt idx="0">
                  <c:v>ETANERCEPT</c:v>
                </c:pt>
              </c:strCache>
            </c:strRef>
          </c:tx>
          <c:marker>
            <c:symbol val="none"/>
          </c:marker>
          <c:cat>
            <c:strRef>
              <c:f>'Sheet1 (13)'!$A$5:$A$173</c:f>
              <c:strCache>
                <c:ptCount val="168"/>
                <c:pt idx="0">
                  <c:v>1/06/2012</c:v>
                </c:pt>
                <c:pt idx="1">
                  <c:v>8/06/2012</c:v>
                </c:pt>
                <c:pt idx="2">
                  <c:v>15/06/2012</c:v>
                </c:pt>
                <c:pt idx="3">
                  <c:v>22/06/2012</c:v>
                </c:pt>
                <c:pt idx="4">
                  <c:v>29/06/2012</c:v>
                </c:pt>
                <c:pt idx="5">
                  <c:v>6/07/2012</c:v>
                </c:pt>
                <c:pt idx="6">
                  <c:v>13/07/2012</c:v>
                </c:pt>
                <c:pt idx="7">
                  <c:v>20/07/2012</c:v>
                </c:pt>
                <c:pt idx="8">
                  <c:v>27/07/2012</c:v>
                </c:pt>
                <c:pt idx="9">
                  <c:v>3/08/2012</c:v>
                </c:pt>
                <c:pt idx="10">
                  <c:v>10/08/2012</c:v>
                </c:pt>
                <c:pt idx="11">
                  <c:v>17/08/2012</c:v>
                </c:pt>
                <c:pt idx="12">
                  <c:v>24/08/2012</c:v>
                </c:pt>
                <c:pt idx="13">
                  <c:v>31/08/2012</c:v>
                </c:pt>
                <c:pt idx="14">
                  <c:v>7/09/2012</c:v>
                </c:pt>
                <c:pt idx="15">
                  <c:v>14/09/2012</c:v>
                </c:pt>
                <c:pt idx="16">
                  <c:v>21/09/2012</c:v>
                </c:pt>
                <c:pt idx="17">
                  <c:v>28/09/2012</c:v>
                </c:pt>
                <c:pt idx="18">
                  <c:v>5/10/2012</c:v>
                </c:pt>
                <c:pt idx="19">
                  <c:v>12/10/2012</c:v>
                </c:pt>
                <c:pt idx="20">
                  <c:v>19/10/2012</c:v>
                </c:pt>
                <c:pt idx="21">
                  <c:v>26/10/2012</c:v>
                </c:pt>
                <c:pt idx="22">
                  <c:v>2/11/2012</c:v>
                </c:pt>
                <c:pt idx="23">
                  <c:v>9/11/2012</c:v>
                </c:pt>
                <c:pt idx="24">
                  <c:v>16/11/2012</c:v>
                </c:pt>
                <c:pt idx="25">
                  <c:v>23/11/2012</c:v>
                </c:pt>
                <c:pt idx="26">
                  <c:v>30/11/2012</c:v>
                </c:pt>
                <c:pt idx="27">
                  <c:v>7/12/2012</c:v>
                </c:pt>
                <c:pt idx="28">
                  <c:v>14/12/2012</c:v>
                </c:pt>
                <c:pt idx="29">
                  <c:v>21/12/2012</c:v>
                </c:pt>
                <c:pt idx="30">
                  <c:v>28/12/2012</c:v>
                </c:pt>
                <c:pt idx="31">
                  <c:v>4/01/2013</c:v>
                </c:pt>
                <c:pt idx="32">
                  <c:v>11/01/2013</c:v>
                </c:pt>
                <c:pt idx="33">
                  <c:v>18/01/2013</c:v>
                </c:pt>
                <c:pt idx="34">
                  <c:v>25/01/2013</c:v>
                </c:pt>
                <c:pt idx="35">
                  <c:v>1/02/2013</c:v>
                </c:pt>
                <c:pt idx="36">
                  <c:v>8/02/2013</c:v>
                </c:pt>
                <c:pt idx="37">
                  <c:v>15/02/2013</c:v>
                </c:pt>
                <c:pt idx="38">
                  <c:v>22/02/2013</c:v>
                </c:pt>
                <c:pt idx="39">
                  <c:v>1/03/2013</c:v>
                </c:pt>
                <c:pt idx="40">
                  <c:v>8/03/2013</c:v>
                </c:pt>
                <c:pt idx="41">
                  <c:v>15/03/2013</c:v>
                </c:pt>
                <c:pt idx="42">
                  <c:v>22/03/2013</c:v>
                </c:pt>
                <c:pt idx="43">
                  <c:v>29/03/2013</c:v>
                </c:pt>
                <c:pt idx="44">
                  <c:v>5/04/2013</c:v>
                </c:pt>
                <c:pt idx="45">
                  <c:v>12/04/2013</c:v>
                </c:pt>
                <c:pt idx="46">
                  <c:v>19/04/2013</c:v>
                </c:pt>
                <c:pt idx="47">
                  <c:v>26/04/2013</c:v>
                </c:pt>
                <c:pt idx="48">
                  <c:v>3/05/2013</c:v>
                </c:pt>
                <c:pt idx="49">
                  <c:v>10/05/2013</c:v>
                </c:pt>
                <c:pt idx="50">
                  <c:v>17/05/2013</c:v>
                </c:pt>
                <c:pt idx="51">
                  <c:v>24/05/2013</c:v>
                </c:pt>
                <c:pt idx="52">
                  <c:v>31/05/2013</c:v>
                </c:pt>
                <c:pt idx="53">
                  <c:v>7/06/2013</c:v>
                </c:pt>
                <c:pt idx="54">
                  <c:v>14/06/2013</c:v>
                </c:pt>
                <c:pt idx="55">
                  <c:v>21/06/2013</c:v>
                </c:pt>
                <c:pt idx="56">
                  <c:v>28/06/2013</c:v>
                </c:pt>
                <c:pt idx="57">
                  <c:v>5/07/2013</c:v>
                </c:pt>
                <c:pt idx="58">
                  <c:v>12/07/2013</c:v>
                </c:pt>
                <c:pt idx="59">
                  <c:v>19/07/2013</c:v>
                </c:pt>
                <c:pt idx="60">
                  <c:v>26/07/2013</c:v>
                </c:pt>
                <c:pt idx="61">
                  <c:v>2/08/2013</c:v>
                </c:pt>
                <c:pt idx="62">
                  <c:v>9/08/2013</c:v>
                </c:pt>
                <c:pt idx="63">
                  <c:v>16/08/2013</c:v>
                </c:pt>
                <c:pt idx="64">
                  <c:v>23/08/2013</c:v>
                </c:pt>
                <c:pt idx="65">
                  <c:v>30/08/2013</c:v>
                </c:pt>
                <c:pt idx="66">
                  <c:v>6/09/2013</c:v>
                </c:pt>
                <c:pt idx="67">
                  <c:v>13/09/2013</c:v>
                </c:pt>
                <c:pt idx="68">
                  <c:v>20/09/2013</c:v>
                </c:pt>
                <c:pt idx="69">
                  <c:v>27/09/2013</c:v>
                </c:pt>
                <c:pt idx="70">
                  <c:v>4/10/2013</c:v>
                </c:pt>
                <c:pt idx="71">
                  <c:v>11/10/2013</c:v>
                </c:pt>
                <c:pt idx="72">
                  <c:v>18/10/2013</c:v>
                </c:pt>
                <c:pt idx="73">
                  <c:v>25/10/2013</c:v>
                </c:pt>
                <c:pt idx="74">
                  <c:v>1/11/2013</c:v>
                </c:pt>
                <c:pt idx="75">
                  <c:v>8/11/2013</c:v>
                </c:pt>
                <c:pt idx="76">
                  <c:v>15/11/2013</c:v>
                </c:pt>
                <c:pt idx="77">
                  <c:v>22/11/2013</c:v>
                </c:pt>
                <c:pt idx="78">
                  <c:v>29/11/2013</c:v>
                </c:pt>
                <c:pt idx="79">
                  <c:v>6/12/2013</c:v>
                </c:pt>
                <c:pt idx="80">
                  <c:v>13/12/2013</c:v>
                </c:pt>
                <c:pt idx="81">
                  <c:v>20/12/2013</c:v>
                </c:pt>
                <c:pt idx="82">
                  <c:v>27/12/2013</c:v>
                </c:pt>
                <c:pt idx="83">
                  <c:v>3/01/2014</c:v>
                </c:pt>
                <c:pt idx="84">
                  <c:v>10/01/2014</c:v>
                </c:pt>
                <c:pt idx="85">
                  <c:v>17/01/2014</c:v>
                </c:pt>
                <c:pt idx="86">
                  <c:v>24/01/2014</c:v>
                </c:pt>
                <c:pt idx="87">
                  <c:v>31/01/2014</c:v>
                </c:pt>
                <c:pt idx="88">
                  <c:v>7/02/2014</c:v>
                </c:pt>
                <c:pt idx="89">
                  <c:v>14/02/2014</c:v>
                </c:pt>
                <c:pt idx="90">
                  <c:v>21/02/2014</c:v>
                </c:pt>
                <c:pt idx="91">
                  <c:v>28/02/2014</c:v>
                </c:pt>
                <c:pt idx="92">
                  <c:v>7/03/2014</c:v>
                </c:pt>
                <c:pt idx="93">
                  <c:v>14/03/2014</c:v>
                </c:pt>
                <c:pt idx="94">
                  <c:v>21/03/2014</c:v>
                </c:pt>
                <c:pt idx="95">
                  <c:v>28/03/2014</c:v>
                </c:pt>
                <c:pt idx="96">
                  <c:v>4/04/2014</c:v>
                </c:pt>
                <c:pt idx="97">
                  <c:v>11/04/2014</c:v>
                </c:pt>
                <c:pt idx="98">
                  <c:v>18/04/2014</c:v>
                </c:pt>
                <c:pt idx="99">
                  <c:v>25/04/2014</c:v>
                </c:pt>
                <c:pt idx="100">
                  <c:v>2/05/2014</c:v>
                </c:pt>
                <c:pt idx="101">
                  <c:v>9/05/2014</c:v>
                </c:pt>
                <c:pt idx="102">
                  <c:v>16/05/2014</c:v>
                </c:pt>
                <c:pt idx="103">
                  <c:v>23/05/2014</c:v>
                </c:pt>
                <c:pt idx="104">
                  <c:v>30/05/2014</c:v>
                </c:pt>
                <c:pt idx="105">
                  <c:v>6/06/2014</c:v>
                </c:pt>
                <c:pt idx="106">
                  <c:v>13/06/2014</c:v>
                </c:pt>
                <c:pt idx="107">
                  <c:v>20/06/2014</c:v>
                </c:pt>
                <c:pt idx="108">
                  <c:v>27/06/2014</c:v>
                </c:pt>
                <c:pt idx="109">
                  <c:v>4/07/2014</c:v>
                </c:pt>
                <c:pt idx="110">
                  <c:v>11/07/2014</c:v>
                </c:pt>
                <c:pt idx="111">
                  <c:v>18/07/2014</c:v>
                </c:pt>
                <c:pt idx="112">
                  <c:v>25/07/2014</c:v>
                </c:pt>
                <c:pt idx="113">
                  <c:v>1/08/2014</c:v>
                </c:pt>
                <c:pt idx="114">
                  <c:v>8/08/2014</c:v>
                </c:pt>
                <c:pt idx="115">
                  <c:v>15/08/2014</c:v>
                </c:pt>
                <c:pt idx="116">
                  <c:v>22/08/2014</c:v>
                </c:pt>
                <c:pt idx="117">
                  <c:v>29/08/2014</c:v>
                </c:pt>
                <c:pt idx="118">
                  <c:v>5/09/2014</c:v>
                </c:pt>
                <c:pt idx="119">
                  <c:v>12/09/2014</c:v>
                </c:pt>
                <c:pt idx="120">
                  <c:v>19/09/2014</c:v>
                </c:pt>
                <c:pt idx="121">
                  <c:v>26/09/2014</c:v>
                </c:pt>
                <c:pt idx="122">
                  <c:v>3/10/2014</c:v>
                </c:pt>
                <c:pt idx="123">
                  <c:v>10/10/2014</c:v>
                </c:pt>
                <c:pt idx="124">
                  <c:v>17/10/2014</c:v>
                </c:pt>
                <c:pt idx="125">
                  <c:v>24/10/2014</c:v>
                </c:pt>
                <c:pt idx="126">
                  <c:v>31/10/2014</c:v>
                </c:pt>
                <c:pt idx="127">
                  <c:v>7/11/2014</c:v>
                </c:pt>
                <c:pt idx="128">
                  <c:v>14/11/2014</c:v>
                </c:pt>
                <c:pt idx="129">
                  <c:v>21/11/2014</c:v>
                </c:pt>
                <c:pt idx="130">
                  <c:v>28/11/2014</c:v>
                </c:pt>
                <c:pt idx="131">
                  <c:v>5/12/2014</c:v>
                </c:pt>
                <c:pt idx="132">
                  <c:v>12/12/2014</c:v>
                </c:pt>
                <c:pt idx="133">
                  <c:v>19/12/2014</c:v>
                </c:pt>
                <c:pt idx="134">
                  <c:v>26/12/2014</c:v>
                </c:pt>
                <c:pt idx="135">
                  <c:v>2/01/2015</c:v>
                </c:pt>
                <c:pt idx="136">
                  <c:v>9/01/2015</c:v>
                </c:pt>
                <c:pt idx="137">
                  <c:v>16/01/2015</c:v>
                </c:pt>
                <c:pt idx="138">
                  <c:v>23/01/2015</c:v>
                </c:pt>
                <c:pt idx="139">
                  <c:v>30/01/2015</c:v>
                </c:pt>
                <c:pt idx="140">
                  <c:v>6/02/2015</c:v>
                </c:pt>
                <c:pt idx="141">
                  <c:v>13/02/2015</c:v>
                </c:pt>
                <c:pt idx="142">
                  <c:v>20/02/2015</c:v>
                </c:pt>
                <c:pt idx="143">
                  <c:v>27/02/2015</c:v>
                </c:pt>
                <c:pt idx="144">
                  <c:v>6/03/2015</c:v>
                </c:pt>
                <c:pt idx="145">
                  <c:v>13/03/2015</c:v>
                </c:pt>
                <c:pt idx="146">
                  <c:v>20/03/2015</c:v>
                </c:pt>
                <c:pt idx="147">
                  <c:v>27/03/2015</c:v>
                </c:pt>
                <c:pt idx="148">
                  <c:v>3/04/2015</c:v>
                </c:pt>
                <c:pt idx="149">
                  <c:v>10/04/2015</c:v>
                </c:pt>
                <c:pt idx="150">
                  <c:v>17/04/2015</c:v>
                </c:pt>
                <c:pt idx="151">
                  <c:v>24/04/2015</c:v>
                </c:pt>
                <c:pt idx="152">
                  <c:v>1/05/2015</c:v>
                </c:pt>
                <c:pt idx="153">
                  <c:v>8/05/2015</c:v>
                </c:pt>
                <c:pt idx="154">
                  <c:v>15/05/2015</c:v>
                </c:pt>
                <c:pt idx="155">
                  <c:v>22/05/2015</c:v>
                </c:pt>
                <c:pt idx="156">
                  <c:v>29/05/2015</c:v>
                </c:pt>
                <c:pt idx="157">
                  <c:v>5/06/2015</c:v>
                </c:pt>
                <c:pt idx="158">
                  <c:v>12/06/2015</c:v>
                </c:pt>
                <c:pt idx="159">
                  <c:v>19/06/2015</c:v>
                </c:pt>
                <c:pt idx="160">
                  <c:v>26/06/2015</c:v>
                </c:pt>
                <c:pt idx="161">
                  <c:v>3/07/2015</c:v>
                </c:pt>
                <c:pt idx="162">
                  <c:v>10/07/2015</c:v>
                </c:pt>
                <c:pt idx="163">
                  <c:v>17/07/2015</c:v>
                </c:pt>
                <c:pt idx="164">
                  <c:v>24/07/2015</c:v>
                </c:pt>
                <c:pt idx="165">
                  <c:v>31/07/2015</c:v>
                </c:pt>
                <c:pt idx="166">
                  <c:v>7/08/2015</c:v>
                </c:pt>
                <c:pt idx="167">
                  <c:v>14/08/2015</c:v>
                </c:pt>
              </c:strCache>
            </c:strRef>
          </c:cat>
          <c:val>
            <c:numRef>
              <c:f>'Sheet1 (13)'!$D$5:$D$173</c:f>
              <c:numCache>
                <c:formatCode>General</c:formatCode>
                <c:ptCount val="168"/>
                <c:pt idx="0">
                  <c:v>502</c:v>
                </c:pt>
                <c:pt idx="1">
                  <c:v>505</c:v>
                </c:pt>
                <c:pt idx="2">
                  <c:v>505</c:v>
                </c:pt>
                <c:pt idx="3">
                  <c:v>509</c:v>
                </c:pt>
                <c:pt idx="4">
                  <c:v>511</c:v>
                </c:pt>
                <c:pt idx="5">
                  <c:v>513</c:v>
                </c:pt>
                <c:pt idx="6">
                  <c:v>511</c:v>
                </c:pt>
                <c:pt idx="7">
                  <c:v>512</c:v>
                </c:pt>
                <c:pt idx="8">
                  <c:v>510</c:v>
                </c:pt>
                <c:pt idx="9">
                  <c:v>505</c:v>
                </c:pt>
                <c:pt idx="10">
                  <c:v>506</c:v>
                </c:pt>
                <c:pt idx="11">
                  <c:v>511</c:v>
                </c:pt>
                <c:pt idx="12">
                  <c:v>511</c:v>
                </c:pt>
                <c:pt idx="13">
                  <c:v>518</c:v>
                </c:pt>
                <c:pt idx="14">
                  <c:v>517</c:v>
                </c:pt>
                <c:pt idx="15">
                  <c:v>525</c:v>
                </c:pt>
                <c:pt idx="16">
                  <c:v>525</c:v>
                </c:pt>
                <c:pt idx="17">
                  <c:v>529</c:v>
                </c:pt>
                <c:pt idx="18">
                  <c:v>534</c:v>
                </c:pt>
                <c:pt idx="19">
                  <c:v>534</c:v>
                </c:pt>
                <c:pt idx="20">
                  <c:v>541</c:v>
                </c:pt>
                <c:pt idx="21">
                  <c:v>547</c:v>
                </c:pt>
                <c:pt idx="22">
                  <c:v>552</c:v>
                </c:pt>
                <c:pt idx="23">
                  <c:v>553</c:v>
                </c:pt>
                <c:pt idx="24">
                  <c:v>560</c:v>
                </c:pt>
                <c:pt idx="25">
                  <c:v>559</c:v>
                </c:pt>
                <c:pt idx="26">
                  <c:v>560</c:v>
                </c:pt>
                <c:pt idx="27">
                  <c:v>559</c:v>
                </c:pt>
                <c:pt idx="28">
                  <c:v>552</c:v>
                </c:pt>
                <c:pt idx="29">
                  <c:v>550</c:v>
                </c:pt>
                <c:pt idx="30">
                  <c:v>552</c:v>
                </c:pt>
                <c:pt idx="31">
                  <c:v>556</c:v>
                </c:pt>
                <c:pt idx="32">
                  <c:v>557</c:v>
                </c:pt>
                <c:pt idx="33">
                  <c:v>557</c:v>
                </c:pt>
                <c:pt idx="34">
                  <c:v>561</c:v>
                </c:pt>
                <c:pt idx="35">
                  <c:v>557</c:v>
                </c:pt>
                <c:pt idx="36">
                  <c:v>558</c:v>
                </c:pt>
                <c:pt idx="37">
                  <c:v>554</c:v>
                </c:pt>
                <c:pt idx="38">
                  <c:v>555</c:v>
                </c:pt>
                <c:pt idx="39">
                  <c:v>560</c:v>
                </c:pt>
                <c:pt idx="40">
                  <c:v>555</c:v>
                </c:pt>
                <c:pt idx="41">
                  <c:v>555</c:v>
                </c:pt>
                <c:pt idx="42">
                  <c:v>553</c:v>
                </c:pt>
                <c:pt idx="43">
                  <c:v>554</c:v>
                </c:pt>
                <c:pt idx="44">
                  <c:v>559</c:v>
                </c:pt>
                <c:pt idx="45">
                  <c:v>562</c:v>
                </c:pt>
                <c:pt idx="46">
                  <c:v>570</c:v>
                </c:pt>
                <c:pt idx="47">
                  <c:v>571</c:v>
                </c:pt>
                <c:pt idx="48">
                  <c:v>569</c:v>
                </c:pt>
                <c:pt idx="49">
                  <c:v>573</c:v>
                </c:pt>
                <c:pt idx="50">
                  <c:v>574</c:v>
                </c:pt>
                <c:pt idx="51">
                  <c:v>576</c:v>
                </c:pt>
                <c:pt idx="52">
                  <c:v>576</c:v>
                </c:pt>
                <c:pt idx="53">
                  <c:v>582</c:v>
                </c:pt>
                <c:pt idx="54">
                  <c:v>584</c:v>
                </c:pt>
                <c:pt idx="55">
                  <c:v>586</c:v>
                </c:pt>
                <c:pt idx="56">
                  <c:v>586</c:v>
                </c:pt>
                <c:pt idx="57">
                  <c:v>588</c:v>
                </c:pt>
                <c:pt idx="58">
                  <c:v>584</c:v>
                </c:pt>
                <c:pt idx="59">
                  <c:v>592</c:v>
                </c:pt>
                <c:pt idx="60">
                  <c:v>590</c:v>
                </c:pt>
                <c:pt idx="61">
                  <c:v>591</c:v>
                </c:pt>
                <c:pt idx="62">
                  <c:v>591</c:v>
                </c:pt>
                <c:pt idx="63">
                  <c:v>593</c:v>
                </c:pt>
                <c:pt idx="64">
                  <c:v>590</c:v>
                </c:pt>
                <c:pt idx="65">
                  <c:v>590</c:v>
                </c:pt>
                <c:pt idx="66">
                  <c:v>593</c:v>
                </c:pt>
                <c:pt idx="67">
                  <c:v>595</c:v>
                </c:pt>
                <c:pt idx="68">
                  <c:v>593</c:v>
                </c:pt>
                <c:pt idx="69">
                  <c:v>593</c:v>
                </c:pt>
                <c:pt idx="70">
                  <c:v>592</c:v>
                </c:pt>
                <c:pt idx="71">
                  <c:v>585</c:v>
                </c:pt>
                <c:pt idx="72">
                  <c:v>584</c:v>
                </c:pt>
                <c:pt idx="73">
                  <c:v>584</c:v>
                </c:pt>
                <c:pt idx="74">
                  <c:v>587</c:v>
                </c:pt>
                <c:pt idx="75">
                  <c:v>596</c:v>
                </c:pt>
                <c:pt idx="76">
                  <c:v>597</c:v>
                </c:pt>
                <c:pt idx="77">
                  <c:v>603</c:v>
                </c:pt>
                <c:pt idx="78">
                  <c:v>599</c:v>
                </c:pt>
                <c:pt idx="79">
                  <c:v>600</c:v>
                </c:pt>
                <c:pt idx="80">
                  <c:v>600</c:v>
                </c:pt>
                <c:pt idx="81">
                  <c:v>595</c:v>
                </c:pt>
                <c:pt idx="82">
                  <c:v>597</c:v>
                </c:pt>
                <c:pt idx="83">
                  <c:v>604</c:v>
                </c:pt>
                <c:pt idx="84">
                  <c:v>607</c:v>
                </c:pt>
                <c:pt idx="85">
                  <c:v>603</c:v>
                </c:pt>
                <c:pt idx="86">
                  <c:v>606</c:v>
                </c:pt>
                <c:pt idx="87">
                  <c:v>603</c:v>
                </c:pt>
                <c:pt idx="88">
                  <c:v>598</c:v>
                </c:pt>
                <c:pt idx="89">
                  <c:v>597</c:v>
                </c:pt>
                <c:pt idx="90">
                  <c:v>596</c:v>
                </c:pt>
                <c:pt idx="91">
                  <c:v>596</c:v>
                </c:pt>
                <c:pt idx="92">
                  <c:v>600</c:v>
                </c:pt>
                <c:pt idx="93">
                  <c:v>606</c:v>
                </c:pt>
                <c:pt idx="94">
                  <c:v>615</c:v>
                </c:pt>
                <c:pt idx="95">
                  <c:v>620</c:v>
                </c:pt>
                <c:pt idx="96">
                  <c:v>623</c:v>
                </c:pt>
                <c:pt idx="97">
                  <c:v>622</c:v>
                </c:pt>
                <c:pt idx="98">
                  <c:v>624</c:v>
                </c:pt>
                <c:pt idx="99">
                  <c:v>625</c:v>
                </c:pt>
                <c:pt idx="100">
                  <c:v>626</c:v>
                </c:pt>
                <c:pt idx="101">
                  <c:v>629</c:v>
                </c:pt>
                <c:pt idx="102">
                  <c:v>633</c:v>
                </c:pt>
                <c:pt idx="103">
                  <c:v>637</c:v>
                </c:pt>
                <c:pt idx="104">
                  <c:v>645</c:v>
                </c:pt>
                <c:pt idx="105">
                  <c:v>646</c:v>
                </c:pt>
                <c:pt idx="106">
                  <c:v>654</c:v>
                </c:pt>
                <c:pt idx="107">
                  <c:v>647</c:v>
                </c:pt>
                <c:pt idx="108">
                  <c:v>653</c:v>
                </c:pt>
                <c:pt idx="109">
                  <c:v>657</c:v>
                </c:pt>
                <c:pt idx="110">
                  <c:v>658</c:v>
                </c:pt>
                <c:pt idx="111">
                  <c:v>660</c:v>
                </c:pt>
                <c:pt idx="112">
                  <c:v>660</c:v>
                </c:pt>
                <c:pt idx="113">
                  <c:v>657</c:v>
                </c:pt>
                <c:pt idx="114">
                  <c:v>654</c:v>
                </c:pt>
                <c:pt idx="115">
                  <c:v>657</c:v>
                </c:pt>
                <c:pt idx="116">
                  <c:v>656</c:v>
                </c:pt>
                <c:pt idx="117">
                  <c:v>654</c:v>
                </c:pt>
                <c:pt idx="118">
                  <c:v>649</c:v>
                </c:pt>
                <c:pt idx="119">
                  <c:v>657</c:v>
                </c:pt>
                <c:pt idx="120">
                  <c:v>657</c:v>
                </c:pt>
                <c:pt idx="121">
                  <c:v>662</c:v>
                </c:pt>
                <c:pt idx="122">
                  <c:v>666</c:v>
                </c:pt>
                <c:pt idx="123">
                  <c:v>669</c:v>
                </c:pt>
                <c:pt idx="124">
                  <c:v>674</c:v>
                </c:pt>
                <c:pt idx="125">
                  <c:v>673</c:v>
                </c:pt>
                <c:pt idx="126">
                  <c:v>674</c:v>
                </c:pt>
                <c:pt idx="127">
                  <c:v>672</c:v>
                </c:pt>
                <c:pt idx="128">
                  <c:v>675</c:v>
                </c:pt>
                <c:pt idx="129">
                  <c:v>680</c:v>
                </c:pt>
                <c:pt idx="130">
                  <c:v>682</c:v>
                </c:pt>
                <c:pt idx="131">
                  <c:v>686</c:v>
                </c:pt>
                <c:pt idx="132">
                  <c:v>680</c:v>
                </c:pt>
                <c:pt idx="133">
                  <c:v>676</c:v>
                </c:pt>
                <c:pt idx="134">
                  <c:v>679</c:v>
                </c:pt>
                <c:pt idx="135">
                  <c:v>685</c:v>
                </c:pt>
                <c:pt idx="136">
                  <c:v>690</c:v>
                </c:pt>
                <c:pt idx="137">
                  <c:v>696</c:v>
                </c:pt>
                <c:pt idx="138">
                  <c:v>696</c:v>
                </c:pt>
                <c:pt idx="139">
                  <c:v>696</c:v>
                </c:pt>
                <c:pt idx="140">
                  <c:v>703</c:v>
                </c:pt>
                <c:pt idx="141">
                  <c:v>704</c:v>
                </c:pt>
                <c:pt idx="142">
                  <c:v>701</c:v>
                </c:pt>
                <c:pt idx="143">
                  <c:v>702</c:v>
                </c:pt>
                <c:pt idx="144">
                  <c:v>702</c:v>
                </c:pt>
                <c:pt idx="145">
                  <c:v>703</c:v>
                </c:pt>
                <c:pt idx="146">
                  <c:v>700</c:v>
                </c:pt>
                <c:pt idx="147">
                  <c:v>699</c:v>
                </c:pt>
                <c:pt idx="148">
                  <c:v>703</c:v>
                </c:pt>
                <c:pt idx="149">
                  <c:v>705</c:v>
                </c:pt>
                <c:pt idx="150">
                  <c:v>708</c:v>
                </c:pt>
                <c:pt idx="151">
                  <c:v>717</c:v>
                </c:pt>
                <c:pt idx="152">
                  <c:v>717</c:v>
                </c:pt>
                <c:pt idx="153">
                  <c:v>716</c:v>
                </c:pt>
                <c:pt idx="154">
                  <c:v>711</c:v>
                </c:pt>
                <c:pt idx="155">
                  <c:v>709</c:v>
                </c:pt>
                <c:pt idx="156">
                  <c:v>711</c:v>
                </c:pt>
                <c:pt idx="157">
                  <c:v>717</c:v>
                </c:pt>
                <c:pt idx="158">
                  <c:v>711</c:v>
                </c:pt>
                <c:pt idx="159">
                  <c:v>708</c:v>
                </c:pt>
                <c:pt idx="160">
                  <c:v>705</c:v>
                </c:pt>
                <c:pt idx="161">
                  <c:v>706</c:v>
                </c:pt>
                <c:pt idx="162">
                  <c:v>694</c:v>
                </c:pt>
                <c:pt idx="163">
                  <c:v>688</c:v>
                </c:pt>
                <c:pt idx="164">
                  <c:v>682</c:v>
                </c:pt>
                <c:pt idx="165">
                  <c:v>684</c:v>
                </c:pt>
                <c:pt idx="166">
                  <c:v>686</c:v>
                </c:pt>
                <c:pt idx="167">
                  <c:v>688</c:v>
                </c:pt>
              </c:numCache>
            </c:numRef>
          </c:val>
          <c:smooth val="0"/>
        </c:ser>
        <c:ser>
          <c:idx val="3"/>
          <c:order val="3"/>
          <c:tx>
            <c:strRef>
              <c:f>'Sheet1 (13)'!$E$3:$E$4</c:f>
              <c:strCache>
                <c:ptCount val="1"/>
                <c:pt idx="0">
                  <c:v>ETANERCEPT+METHOTREXATE</c:v>
                </c:pt>
              </c:strCache>
            </c:strRef>
          </c:tx>
          <c:marker>
            <c:symbol val="none"/>
          </c:marker>
          <c:cat>
            <c:strRef>
              <c:f>'Sheet1 (13)'!$A$5:$A$173</c:f>
              <c:strCache>
                <c:ptCount val="168"/>
                <c:pt idx="0">
                  <c:v>1/06/2012</c:v>
                </c:pt>
                <c:pt idx="1">
                  <c:v>8/06/2012</c:v>
                </c:pt>
                <c:pt idx="2">
                  <c:v>15/06/2012</c:v>
                </c:pt>
                <c:pt idx="3">
                  <c:v>22/06/2012</c:v>
                </c:pt>
                <c:pt idx="4">
                  <c:v>29/06/2012</c:v>
                </c:pt>
                <c:pt idx="5">
                  <c:v>6/07/2012</c:v>
                </c:pt>
                <c:pt idx="6">
                  <c:v>13/07/2012</c:v>
                </c:pt>
                <c:pt idx="7">
                  <c:v>20/07/2012</c:v>
                </c:pt>
                <c:pt idx="8">
                  <c:v>27/07/2012</c:v>
                </c:pt>
                <c:pt idx="9">
                  <c:v>3/08/2012</c:v>
                </c:pt>
                <c:pt idx="10">
                  <c:v>10/08/2012</c:v>
                </c:pt>
                <c:pt idx="11">
                  <c:v>17/08/2012</c:v>
                </c:pt>
                <c:pt idx="12">
                  <c:v>24/08/2012</c:v>
                </c:pt>
                <c:pt idx="13">
                  <c:v>31/08/2012</c:v>
                </c:pt>
                <c:pt idx="14">
                  <c:v>7/09/2012</c:v>
                </c:pt>
                <c:pt idx="15">
                  <c:v>14/09/2012</c:v>
                </c:pt>
                <c:pt idx="16">
                  <c:v>21/09/2012</c:v>
                </c:pt>
                <c:pt idx="17">
                  <c:v>28/09/2012</c:v>
                </c:pt>
                <c:pt idx="18">
                  <c:v>5/10/2012</c:v>
                </c:pt>
                <c:pt idx="19">
                  <c:v>12/10/2012</c:v>
                </c:pt>
                <c:pt idx="20">
                  <c:v>19/10/2012</c:v>
                </c:pt>
                <c:pt idx="21">
                  <c:v>26/10/2012</c:v>
                </c:pt>
                <c:pt idx="22">
                  <c:v>2/11/2012</c:v>
                </c:pt>
                <c:pt idx="23">
                  <c:v>9/11/2012</c:v>
                </c:pt>
                <c:pt idx="24">
                  <c:v>16/11/2012</c:v>
                </c:pt>
                <c:pt idx="25">
                  <c:v>23/11/2012</c:v>
                </c:pt>
                <c:pt idx="26">
                  <c:v>30/11/2012</c:v>
                </c:pt>
                <c:pt idx="27">
                  <c:v>7/12/2012</c:v>
                </c:pt>
                <c:pt idx="28">
                  <c:v>14/12/2012</c:v>
                </c:pt>
                <c:pt idx="29">
                  <c:v>21/12/2012</c:v>
                </c:pt>
                <c:pt idx="30">
                  <c:v>28/12/2012</c:v>
                </c:pt>
                <c:pt idx="31">
                  <c:v>4/01/2013</c:v>
                </c:pt>
                <c:pt idx="32">
                  <c:v>11/01/2013</c:v>
                </c:pt>
                <c:pt idx="33">
                  <c:v>18/01/2013</c:v>
                </c:pt>
                <c:pt idx="34">
                  <c:v>25/01/2013</c:v>
                </c:pt>
                <c:pt idx="35">
                  <c:v>1/02/2013</c:v>
                </c:pt>
                <c:pt idx="36">
                  <c:v>8/02/2013</c:v>
                </c:pt>
                <c:pt idx="37">
                  <c:v>15/02/2013</c:v>
                </c:pt>
                <c:pt idx="38">
                  <c:v>22/02/2013</c:v>
                </c:pt>
                <c:pt idx="39">
                  <c:v>1/03/2013</c:v>
                </c:pt>
                <c:pt idx="40">
                  <c:v>8/03/2013</c:v>
                </c:pt>
                <c:pt idx="41">
                  <c:v>15/03/2013</c:v>
                </c:pt>
                <c:pt idx="42">
                  <c:v>22/03/2013</c:v>
                </c:pt>
                <c:pt idx="43">
                  <c:v>29/03/2013</c:v>
                </c:pt>
                <c:pt idx="44">
                  <c:v>5/04/2013</c:v>
                </c:pt>
                <c:pt idx="45">
                  <c:v>12/04/2013</c:v>
                </c:pt>
                <c:pt idx="46">
                  <c:v>19/04/2013</c:v>
                </c:pt>
                <c:pt idx="47">
                  <c:v>26/04/2013</c:v>
                </c:pt>
                <c:pt idx="48">
                  <c:v>3/05/2013</c:v>
                </c:pt>
                <c:pt idx="49">
                  <c:v>10/05/2013</c:v>
                </c:pt>
                <c:pt idx="50">
                  <c:v>17/05/2013</c:v>
                </c:pt>
                <c:pt idx="51">
                  <c:v>24/05/2013</c:v>
                </c:pt>
                <c:pt idx="52">
                  <c:v>31/05/2013</c:v>
                </c:pt>
                <c:pt idx="53">
                  <c:v>7/06/2013</c:v>
                </c:pt>
                <c:pt idx="54">
                  <c:v>14/06/2013</c:v>
                </c:pt>
                <c:pt idx="55">
                  <c:v>21/06/2013</c:v>
                </c:pt>
                <c:pt idx="56">
                  <c:v>28/06/2013</c:v>
                </c:pt>
                <c:pt idx="57">
                  <c:v>5/07/2013</c:v>
                </c:pt>
                <c:pt idx="58">
                  <c:v>12/07/2013</c:v>
                </c:pt>
                <c:pt idx="59">
                  <c:v>19/07/2013</c:v>
                </c:pt>
                <c:pt idx="60">
                  <c:v>26/07/2013</c:v>
                </c:pt>
                <c:pt idx="61">
                  <c:v>2/08/2013</c:v>
                </c:pt>
                <c:pt idx="62">
                  <c:v>9/08/2013</c:v>
                </c:pt>
                <c:pt idx="63">
                  <c:v>16/08/2013</c:v>
                </c:pt>
                <c:pt idx="64">
                  <c:v>23/08/2013</c:v>
                </c:pt>
                <c:pt idx="65">
                  <c:v>30/08/2013</c:v>
                </c:pt>
                <c:pt idx="66">
                  <c:v>6/09/2013</c:v>
                </c:pt>
                <c:pt idx="67">
                  <c:v>13/09/2013</c:v>
                </c:pt>
                <c:pt idx="68">
                  <c:v>20/09/2013</c:v>
                </c:pt>
                <c:pt idx="69">
                  <c:v>27/09/2013</c:v>
                </c:pt>
                <c:pt idx="70">
                  <c:v>4/10/2013</c:v>
                </c:pt>
                <c:pt idx="71">
                  <c:v>11/10/2013</c:v>
                </c:pt>
                <c:pt idx="72">
                  <c:v>18/10/2013</c:v>
                </c:pt>
                <c:pt idx="73">
                  <c:v>25/10/2013</c:v>
                </c:pt>
                <c:pt idx="74">
                  <c:v>1/11/2013</c:v>
                </c:pt>
                <c:pt idx="75">
                  <c:v>8/11/2013</c:v>
                </c:pt>
                <c:pt idx="76">
                  <c:v>15/11/2013</c:v>
                </c:pt>
                <c:pt idx="77">
                  <c:v>22/11/2013</c:v>
                </c:pt>
                <c:pt idx="78">
                  <c:v>29/11/2013</c:v>
                </c:pt>
                <c:pt idx="79">
                  <c:v>6/12/2013</c:v>
                </c:pt>
                <c:pt idx="80">
                  <c:v>13/12/2013</c:v>
                </c:pt>
                <c:pt idx="81">
                  <c:v>20/12/2013</c:v>
                </c:pt>
                <c:pt idx="82">
                  <c:v>27/12/2013</c:v>
                </c:pt>
                <c:pt idx="83">
                  <c:v>3/01/2014</c:v>
                </c:pt>
                <c:pt idx="84">
                  <c:v>10/01/2014</c:v>
                </c:pt>
                <c:pt idx="85">
                  <c:v>17/01/2014</c:v>
                </c:pt>
                <c:pt idx="86">
                  <c:v>24/01/2014</c:v>
                </c:pt>
                <c:pt idx="87">
                  <c:v>31/01/2014</c:v>
                </c:pt>
                <c:pt idx="88">
                  <c:v>7/02/2014</c:v>
                </c:pt>
                <c:pt idx="89">
                  <c:v>14/02/2014</c:v>
                </c:pt>
                <c:pt idx="90">
                  <c:v>21/02/2014</c:v>
                </c:pt>
                <c:pt idx="91">
                  <c:v>28/02/2014</c:v>
                </c:pt>
                <c:pt idx="92">
                  <c:v>7/03/2014</c:v>
                </c:pt>
                <c:pt idx="93">
                  <c:v>14/03/2014</c:v>
                </c:pt>
                <c:pt idx="94">
                  <c:v>21/03/2014</c:v>
                </c:pt>
                <c:pt idx="95">
                  <c:v>28/03/2014</c:v>
                </c:pt>
                <c:pt idx="96">
                  <c:v>4/04/2014</c:v>
                </c:pt>
                <c:pt idx="97">
                  <c:v>11/04/2014</c:v>
                </c:pt>
                <c:pt idx="98">
                  <c:v>18/04/2014</c:v>
                </c:pt>
                <c:pt idx="99">
                  <c:v>25/04/2014</c:v>
                </c:pt>
                <c:pt idx="100">
                  <c:v>2/05/2014</c:v>
                </c:pt>
                <c:pt idx="101">
                  <c:v>9/05/2014</c:v>
                </c:pt>
                <c:pt idx="102">
                  <c:v>16/05/2014</c:v>
                </c:pt>
                <c:pt idx="103">
                  <c:v>23/05/2014</c:v>
                </c:pt>
                <c:pt idx="104">
                  <c:v>30/05/2014</c:v>
                </c:pt>
                <c:pt idx="105">
                  <c:v>6/06/2014</c:v>
                </c:pt>
                <c:pt idx="106">
                  <c:v>13/06/2014</c:v>
                </c:pt>
                <c:pt idx="107">
                  <c:v>20/06/2014</c:v>
                </c:pt>
                <c:pt idx="108">
                  <c:v>27/06/2014</c:v>
                </c:pt>
                <c:pt idx="109">
                  <c:v>4/07/2014</c:v>
                </c:pt>
                <c:pt idx="110">
                  <c:v>11/07/2014</c:v>
                </c:pt>
                <c:pt idx="111">
                  <c:v>18/07/2014</c:v>
                </c:pt>
                <c:pt idx="112">
                  <c:v>25/07/2014</c:v>
                </c:pt>
                <c:pt idx="113">
                  <c:v>1/08/2014</c:v>
                </c:pt>
                <c:pt idx="114">
                  <c:v>8/08/2014</c:v>
                </c:pt>
                <c:pt idx="115">
                  <c:v>15/08/2014</c:v>
                </c:pt>
                <c:pt idx="116">
                  <c:v>22/08/2014</c:v>
                </c:pt>
                <c:pt idx="117">
                  <c:v>29/08/2014</c:v>
                </c:pt>
                <c:pt idx="118">
                  <c:v>5/09/2014</c:v>
                </c:pt>
                <c:pt idx="119">
                  <c:v>12/09/2014</c:v>
                </c:pt>
                <c:pt idx="120">
                  <c:v>19/09/2014</c:v>
                </c:pt>
                <c:pt idx="121">
                  <c:v>26/09/2014</c:v>
                </c:pt>
                <c:pt idx="122">
                  <c:v>3/10/2014</c:v>
                </c:pt>
                <c:pt idx="123">
                  <c:v>10/10/2014</c:v>
                </c:pt>
                <c:pt idx="124">
                  <c:v>17/10/2014</c:v>
                </c:pt>
                <c:pt idx="125">
                  <c:v>24/10/2014</c:v>
                </c:pt>
                <c:pt idx="126">
                  <c:v>31/10/2014</c:v>
                </c:pt>
                <c:pt idx="127">
                  <c:v>7/11/2014</c:v>
                </c:pt>
                <c:pt idx="128">
                  <c:v>14/11/2014</c:v>
                </c:pt>
                <c:pt idx="129">
                  <c:v>21/11/2014</c:v>
                </c:pt>
                <c:pt idx="130">
                  <c:v>28/11/2014</c:v>
                </c:pt>
                <c:pt idx="131">
                  <c:v>5/12/2014</c:v>
                </c:pt>
                <c:pt idx="132">
                  <c:v>12/12/2014</c:v>
                </c:pt>
                <c:pt idx="133">
                  <c:v>19/12/2014</c:v>
                </c:pt>
                <c:pt idx="134">
                  <c:v>26/12/2014</c:v>
                </c:pt>
                <c:pt idx="135">
                  <c:v>2/01/2015</c:v>
                </c:pt>
                <c:pt idx="136">
                  <c:v>9/01/2015</c:v>
                </c:pt>
                <c:pt idx="137">
                  <c:v>16/01/2015</c:v>
                </c:pt>
                <c:pt idx="138">
                  <c:v>23/01/2015</c:v>
                </c:pt>
                <c:pt idx="139">
                  <c:v>30/01/2015</c:v>
                </c:pt>
                <c:pt idx="140">
                  <c:v>6/02/2015</c:v>
                </c:pt>
                <c:pt idx="141">
                  <c:v>13/02/2015</c:v>
                </c:pt>
                <c:pt idx="142">
                  <c:v>20/02/2015</c:v>
                </c:pt>
                <c:pt idx="143">
                  <c:v>27/02/2015</c:v>
                </c:pt>
                <c:pt idx="144">
                  <c:v>6/03/2015</c:v>
                </c:pt>
                <c:pt idx="145">
                  <c:v>13/03/2015</c:v>
                </c:pt>
                <c:pt idx="146">
                  <c:v>20/03/2015</c:v>
                </c:pt>
                <c:pt idx="147">
                  <c:v>27/03/2015</c:v>
                </c:pt>
                <c:pt idx="148">
                  <c:v>3/04/2015</c:v>
                </c:pt>
                <c:pt idx="149">
                  <c:v>10/04/2015</c:v>
                </c:pt>
                <c:pt idx="150">
                  <c:v>17/04/2015</c:v>
                </c:pt>
                <c:pt idx="151">
                  <c:v>24/04/2015</c:v>
                </c:pt>
                <c:pt idx="152">
                  <c:v>1/05/2015</c:v>
                </c:pt>
                <c:pt idx="153">
                  <c:v>8/05/2015</c:v>
                </c:pt>
                <c:pt idx="154">
                  <c:v>15/05/2015</c:v>
                </c:pt>
                <c:pt idx="155">
                  <c:v>22/05/2015</c:v>
                </c:pt>
                <c:pt idx="156">
                  <c:v>29/05/2015</c:v>
                </c:pt>
                <c:pt idx="157">
                  <c:v>5/06/2015</c:v>
                </c:pt>
                <c:pt idx="158">
                  <c:v>12/06/2015</c:v>
                </c:pt>
                <c:pt idx="159">
                  <c:v>19/06/2015</c:v>
                </c:pt>
                <c:pt idx="160">
                  <c:v>26/06/2015</c:v>
                </c:pt>
                <c:pt idx="161">
                  <c:v>3/07/2015</c:v>
                </c:pt>
                <c:pt idx="162">
                  <c:v>10/07/2015</c:v>
                </c:pt>
                <c:pt idx="163">
                  <c:v>17/07/2015</c:v>
                </c:pt>
                <c:pt idx="164">
                  <c:v>24/07/2015</c:v>
                </c:pt>
                <c:pt idx="165">
                  <c:v>31/07/2015</c:v>
                </c:pt>
                <c:pt idx="166">
                  <c:v>7/08/2015</c:v>
                </c:pt>
                <c:pt idx="167">
                  <c:v>14/08/2015</c:v>
                </c:pt>
              </c:strCache>
            </c:strRef>
          </c:cat>
          <c:val>
            <c:numRef>
              <c:f>'Sheet1 (13)'!$E$5:$E$173</c:f>
              <c:numCache>
                <c:formatCode>General</c:formatCode>
                <c:ptCount val="168"/>
                <c:pt idx="0">
                  <c:v>259</c:v>
                </c:pt>
                <c:pt idx="1">
                  <c:v>261</c:v>
                </c:pt>
                <c:pt idx="2">
                  <c:v>260</c:v>
                </c:pt>
                <c:pt idx="3">
                  <c:v>260</c:v>
                </c:pt>
                <c:pt idx="4">
                  <c:v>260</c:v>
                </c:pt>
                <c:pt idx="5">
                  <c:v>264</c:v>
                </c:pt>
                <c:pt idx="6">
                  <c:v>263</c:v>
                </c:pt>
                <c:pt idx="7">
                  <c:v>263</c:v>
                </c:pt>
                <c:pt idx="8">
                  <c:v>266</c:v>
                </c:pt>
                <c:pt idx="9">
                  <c:v>269</c:v>
                </c:pt>
                <c:pt idx="10">
                  <c:v>263</c:v>
                </c:pt>
                <c:pt idx="11">
                  <c:v>266</c:v>
                </c:pt>
                <c:pt idx="12">
                  <c:v>273</c:v>
                </c:pt>
                <c:pt idx="13">
                  <c:v>270</c:v>
                </c:pt>
                <c:pt idx="14">
                  <c:v>274</c:v>
                </c:pt>
                <c:pt idx="15">
                  <c:v>275</c:v>
                </c:pt>
                <c:pt idx="16">
                  <c:v>275</c:v>
                </c:pt>
                <c:pt idx="17">
                  <c:v>275</c:v>
                </c:pt>
                <c:pt idx="18">
                  <c:v>277</c:v>
                </c:pt>
                <c:pt idx="19">
                  <c:v>283</c:v>
                </c:pt>
                <c:pt idx="20">
                  <c:v>286</c:v>
                </c:pt>
                <c:pt idx="21">
                  <c:v>291</c:v>
                </c:pt>
                <c:pt idx="22">
                  <c:v>289</c:v>
                </c:pt>
                <c:pt idx="23">
                  <c:v>283</c:v>
                </c:pt>
                <c:pt idx="24">
                  <c:v>285</c:v>
                </c:pt>
                <c:pt idx="25">
                  <c:v>282</c:v>
                </c:pt>
                <c:pt idx="26">
                  <c:v>292</c:v>
                </c:pt>
                <c:pt idx="27">
                  <c:v>295</c:v>
                </c:pt>
                <c:pt idx="28">
                  <c:v>298</c:v>
                </c:pt>
                <c:pt idx="29">
                  <c:v>300</c:v>
                </c:pt>
                <c:pt idx="30">
                  <c:v>302</c:v>
                </c:pt>
                <c:pt idx="31">
                  <c:v>298</c:v>
                </c:pt>
                <c:pt idx="32">
                  <c:v>298</c:v>
                </c:pt>
                <c:pt idx="33">
                  <c:v>302</c:v>
                </c:pt>
                <c:pt idx="34">
                  <c:v>306</c:v>
                </c:pt>
                <c:pt idx="35">
                  <c:v>305</c:v>
                </c:pt>
                <c:pt idx="36">
                  <c:v>303</c:v>
                </c:pt>
                <c:pt idx="37">
                  <c:v>307</c:v>
                </c:pt>
                <c:pt idx="38">
                  <c:v>306</c:v>
                </c:pt>
                <c:pt idx="39">
                  <c:v>301</c:v>
                </c:pt>
                <c:pt idx="40">
                  <c:v>301</c:v>
                </c:pt>
                <c:pt idx="41">
                  <c:v>304</c:v>
                </c:pt>
                <c:pt idx="42">
                  <c:v>305</c:v>
                </c:pt>
                <c:pt idx="43">
                  <c:v>306</c:v>
                </c:pt>
                <c:pt idx="44">
                  <c:v>305</c:v>
                </c:pt>
                <c:pt idx="45">
                  <c:v>305</c:v>
                </c:pt>
                <c:pt idx="46">
                  <c:v>305</c:v>
                </c:pt>
                <c:pt idx="47">
                  <c:v>301</c:v>
                </c:pt>
                <c:pt idx="48">
                  <c:v>304</c:v>
                </c:pt>
                <c:pt idx="49">
                  <c:v>306</c:v>
                </c:pt>
                <c:pt idx="50">
                  <c:v>307</c:v>
                </c:pt>
                <c:pt idx="51">
                  <c:v>314</c:v>
                </c:pt>
                <c:pt idx="52">
                  <c:v>324</c:v>
                </c:pt>
                <c:pt idx="53">
                  <c:v>323</c:v>
                </c:pt>
                <c:pt idx="54">
                  <c:v>324</c:v>
                </c:pt>
                <c:pt idx="55">
                  <c:v>325</c:v>
                </c:pt>
                <c:pt idx="56">
                  <c:v>329</c:v>
                </c:pt>
                <c:pt idx="57">
                  <c:v>325</c:v>
                </c:pt>
                <c:pt idx="58">
                  <c:v>326</c:v>
                </c:pt>
                <c:pt idx="59">
                  <c:v>325</c:v>
                </c:pt>
                <c:pt idx="60">
                  <c:v>326</c:v>
                </c:pt>
                <c:pt idx="61">
                  <c:v>323</c:v>
                </c:pt>
                <c:pt idx="62">
                  <c:v>323</c:v>
                </c:pt>
                <c:pt idx="63">
                  <c:v>321</c:v>
                </c:pt>
                <c:pt idx="64">
                  <c:v>326</c:v>
                </c:pt>
                <c:pt idx="65">
                  <c:v>324</c:v>
                </c:pt>
                <c:pt idx="66">
                  <c:v>331</c:v>
                </c:pt>
                <c:pt idx="67">
                  <c:v>332</c:v>
                </c:pt>
                <c:pt idx="68">
                  <c:v>331</c:v>
                </c:pt>
                <c:pt idx="69">
                  <c:v>334</c:v>
                </c:pt>
                <c:pt idx="70">
                  <c:v>342</c:v>
                </c:pt>
                <c:pt idx="71">
                  <c:v>345</c:v>
                </c:pt>
                <c:pt idx="72">
                  <c:v>339</c:v>
                </c:pt>
                <c:pt idx="73">
                  <c:v>342</c:v>
                </c:pt>
                <c:pt idx="74">
                  <c:v>346</c:v>
                </c:pt>
                <c:pt idx="75">
                  <c:v>348</c:v>
                </c:pt>
                <c:pt idx="76">
                  <c:v>346</c:v>
                </c:pt>
                <c:pt idx="77">
                  <c:v>348</c:v>
                </c:pt>
                <c:pt idx="78">
                  <c:v>351</c:v>
                </c:pt>
                <c:pt idx="79">
                  <c:v>346</c:v>
                </c:pt>
                <c:pt idx="80">
                  <c:v>346</c:v>
                </c:pt>
                <c:pt idx="81">
                  <c:v>350</c:v>
                </c:pt>
                <c:pt idx="82">
                  <c:v>348</c:v>
                </c:pt>
                <c:pt idx="83">
                  <c:v>351</c:v>
                </c:pt>
                <c:pt idx="84">
                  <c:v>356</c:v>
                </c:pt>
                <c:pt idx="85">
                  <c:v>355</c:v>
                </c:pt>
                <c:pt idx="86">
                  <c:v>358</c:v>
                </c:pt>
                <c:pt idx="87">
                  <c:v>360</c:v>
                </c:pt>
                <c:pt idx="88">
                  <c:v>362</c:v>
                </c:pt>
                <c:pt idx="89">
                  <c:v>361</c:v>
                </c:pt>
                <c:pt idx="90">
                  <c:v>362</c:v>
                </c:pt>
                <c:pt idx="91">
                  <c:v>367</c:v>
                </c:pt>
                <c:pt idx="92">
                  <c:v>367</c:v>
                </c:pt>
                <c:pt idx="93">
                  <c:v>369</c:v>
                </c:pt>
                <c:pt idx="94">
                  <c:v>371</c:v>
                </c:pt>
                <c:pt idx="95">
                  <c:v>372</c:v>
                </c:pt>
                <c:pt idx="96">
                  <c:v>377</c:v>
                </c:pt>
                <c:pt idx="97">
                  <c:v>376</c:v>
                </c:pt>
                <c:pt idx="98">
                  <c:v>371</c:v>
                </c:pt>
                <c:pt idx="99">
                  <c:v>367</c:v>
                </c:pt>
                <c:pt idx="100">
                  <c:v>372</c:v>
                </c:pt>
                <c:pt idx="101">
                  <c:v>371</c:v>
                </c:pt>
                <c:pt idx="102">
                  <c:v>377</c:v>
                </c:pt>
                <c:pt idx="103">
                  <c:v>377</c:v>
                </c:pt>
                <c:pt idx="104">
                  <c:v>378</c:v>
                </c:pt>
                <c:pt idx="105">
                  <c:v>377</c:v>
                </c:pt>
                <c:pt idx="106">
                  <c:v>380</c:v>
                </c:pt>
                <c:pt idx="107">
                  <c:v>387</c:v>
                </c:pt>
                <c:pt idx="108">
                  <c:v>388</c:v>
                </c:pt>
                <c:pt idx="109">
                  <c:v>389</c:v>
                </c:pt>
                <c:pt idx="110">
                  <c:v>384</c:v>
                </c:pt>
                <c:pt idx="111">
                  <c:v>387</c:v>
                </c:pt>
                <c:pt idx="112">
                  <c:v>381</c:v>
                </c:pt>
                <c:pt idx="113">
                  <c:v>382</c:v>
                </c:pt>
                <c:pt idx="114">
                  <c:v>387</c:v>
                </c:pt>
                <c:pt idx="115">
                  <c:v>386</c:v>
                </c:pt>
                <c:pt idx="116">
                  <c:v>393</c:v>
                </c:pt>
                <c:pt idx="117">
                  <c:v>396</c:v>
                </c:pt>
                <c:pt idx="118">
                  <c:v>398</c:v>
                </c:pt>
                <c:pt idx="119">
                  <c:v>398</c:v>
                </c:pt>
                <c:pt idx="120">
                  <c:v>396</c:v>
                </c:pt>
                <c:pt idx="121">
                  <c:v>394</c:v>
                </c:pt>
                <c:pt idx="122">
                  <c:v>396</c:v>
                </c:pt>
                <c:pt idx="123">
                  <c:v>392</c:v>
                </c:pt>
                <c:pt idx="124">
                  <c:v>393</c:v>
                </c:pt>
                <c:pt idx="125">
                  <c:v>390</c:v>
                </c:pt>
                <c:pt idx="126">
                  <c:v>390</c:v>
                </c:pt>
                <c:pt idx="127">
                  <c:v>392</c:v>
                </c:pt>
                <c:pt idx="128">
                  <c:v>394</c:v>
                </c:pt>
                <c:pt idx="129">
                  <c:v>399</c:v>
                </c:pt>
                <c:pt idx="130">
                  <c:v>396</c:v>
                </c:pt>
                <c:pt idx="131">
                  <c:v>397</c:v>
                </c:pt>
                <c:pt idx="132">
                  <c:v>398</c:v>
                </c:pt>
                <c:pt idx="133">
                  <c:v>402</c:v>
                </c:pt>
                <c:pt idx="134">
                  <c:v>399</c:v>
                </c:pt>
                <c:pt idx="135">
                  <c:v>397</c:v>
                </c:pt>
                <c:pt idx="136">
                  <c:v>402</c:v>
                </c:pt>
                <c:pt idx="137">
                  <c:v>406</c:v>
                </c:pt>
                <c:pt idx="138">
                  <c:v>407</c:v>
                </c:pt>
                <c:pt idx="139">
                  <c:v>409</c:v>
                </c:pt>
                <c:pt idx="140">
                  <c:v>411</c:v>
                </c:pt>
                <c:pt idx="141">
                  <c:v>412</c:v>
                </c:pt>
                <c:pt idx="142">
                  <c:v>413</c:v>
                </c:pt>
                <c:pt idx="143">
                  <c:v>408</c:v>
                </c:pt>
                <c:pt idx="144">
                  <c:v>404</c:v>
                </c:pt>
                <c:pt idx="145">
                  <c:v>406</c:v>
                </c:pt>
                <c:pt idx="146">
                  <c:v>409</c:v>
                </c:pt>
                <c:pt idx="147">
                  <c:v>399</c:v>
                </c:pt>
                <c:pt idx="148">
                  <c:v>400</c:v>
                </c:pt>
                <c:pt idx="149">
                  <c:v>402</c:v>
                </c:pt>
                <c:pt idx="150">
                  <c:v>399</c:v>
                </c:pt>
                <c:pt idx="151">
                  <c:v>398</c:v>
                </c:pt>
                <c:pt idx="152">
                  <c:v>396</c:v>
                </c:pt>
                <c:pt idx="153">
                  <c:v>394</c:v>
                </c:pt>
                <c:pt idx="154">
                  <c:v>395</c:v>
                </c:pt>
                <c:pt idx="155">
                  <c:v>394</c:v>
                </c:pt>
                <c:pt idx="156">
                  <c:v>397</c:v>
                </c:pt>
                <c:pt idx="157">
                  <c:v>394</c:v>
                </c:pt>
                <c:pt idx="158">
                  <c:v>397</c:v>
                </c:pt>
                <c:pt idx="159">
                  <c:v>400</c:v>
                </c:pt>
                <c:pt idx="160">
                  <c:v>398</c:v>
                </c:pt>
                <c:pt idx="161">
                  <c:v>399</c:v>
                </c:pt>
                <c:pt idx="162">
                  <c:v>400</c:v>
                </c:pt>
                <c:pt idx="163">
                  <c:v>403</c:v>
                </c:pt>
                <c:pt idx="164">
                  <c:v>406</c:v>
                </c:pt>
                <c:pt idx="165">
                  <c:v>409</c:v>
                </c:pt>
                <c:pt idx="166">
                  <c:v>405</c:v>
                </c:pt>
                <c:pt idx="167">
                  <c:v>405</c:v>
                </c:pt>
              </c:numCache>
            </c:numRef>
          </c:val>
          <c:smooth val="0"/>
        </c:ser>
        <c:ser>
          <c:idx val="4"/>
          <c:order val="4"/>
          <c:tx>
            <c:strRef>
              <c:f>'Sheet1 (13)'!$F$3:$F$4</c:f>
              <c:strCache>
                <c:ptCount val="1"/>
                <c:pt idx="0">
                  <c:v>GOLIMUMAB</c:v>
                </c:pt>
              </c:strCache>
            </c:strRef>
          </c:tx>
          <c:marker>
            <c:symbol val="none"/>
          </c:marker>
          <c:cat>
            <c:strRef>
              <c:f>'Sheet1 (13)'!$A$5:$A$173</c:f>
              <c:strCache>
                <c:ptCount val="168"/>
                <c:pt idx="0">
                  <c:v>1/06/2012</c:v>
                </c:pt>
                <c:pt idx="1">
                  <c:v>8/06/2012</c:v>
                </c:pt>
                <c:pt idx="2">
                  <c:v>15/06/2012</c:v>
                </c:pt>
                <c:pt idx="3">
                  <c:v>22/06/2012</c:v>
                </c:pt>
                <c:pt idx="4">
                  <c:v>29/06/2012</c:v>
                </c:pt>
                <c:pt idx="5">
                  <c:v>6/07/2012</c:v>
                </c:pt>
                <c:pt idx="6">
                  <c:v>13/07/2012</c:v>
                </c:pt>
                <c:pt idx="7">
                  <c:v>20/07/2012</c:v>
                </c:pt>
                <c:pt idx="8">
                  <c:v>27/07/2012</c:v>
                </c:pt>
                <c:pt idx="9">
                  <c:v>3/08/2012</c:v>
                </c:pt>
                <c:pt idx="10">
                  <c:v>10/08/2012</c:v>
                </c:pt>
                <c:pt idx="11">
                  <c:v>17/08/2012</c:v>
                </c:pt>
                <c:pt idx="12">
                  <c:v>24/08/2012</c:v>
                </c:pt>
                <c:pt idx="13">
                  <c:v>31/08/2012</c:v>
                </c:pt>
                <c:pt idx="14">
                  <c:v>7/09/2012</c:v>
                </c:pt>
                <c:pt idx="15">
                  <c:v>14/09/2012</c:v>
                </c:pt>
                <c:pt idx="16">
                  <c:v>21/09/2012</c:v>
                </c:pt>
                <c:pt idx="17">
                  <c:v>28/09/2012</c:v>
                </c:pt>
                <c:pt idx="18">
                  <c:v>5/10/2012</c:v>
                </c:pt>
                <c:pt idx="19">
                  <c:v>12/10/2012</c:v>
                </c:pt>
                <c:pt idx="20">
                  <c:v>19/10/2012</c:v>
                </c:pt>
                <c:pt idx="21">
                  <c:v>26/10/2012</c:v>
                </c:pt>
                <c:pt idx="22">
                  <c:v>2/11/2012</c:v>
                </c:pt>
                <c:pt idx="23">
                  <c:v>9/11/2012</c:v>
                </c:pt>
                <c:pt idx="24">
                  <c:v>16/11/2012</c:v>
                </c:pt>
                <c:pt idx="25">
                  <c:v>23/11/2012</c:v>
                </c:pt>
                <c:pt idx="26">
                  <c:v>30/11/2012</c:v>
                </c:pt>
                <c:pt idx="27">
                  <c:v>7/12/2012</c:v>
                </c:pt>
                <c:pt idx="28">
                  <c:v>14/12/2012</c:v>
                </c:pt>
                <c:pt idx="29">
                  <c:v>21/12/2012</c:v>
                </c:pt>
                <c:pt idx="30">
                  <c:v>28/12/2012</c:v>
                </c:pt>
                <c:pt idx="31">
                  <c:v>4/01/2013</c:v>
                </c:pt>
                <c:pt idx="32">
                  <c:v>11/01/2013</c:v>
                </c:pt>
                <c:pt idx="33">
                  <c:v>18/01/2013</c:v>
                </c:pt>
                <c:pt idx="34">
                  <c:v>25/01/2013</c:v>
                </c:pt>
                <c:pt idx="35">
                  <c:v>1/02/2013</c:v>
                </c:pt>
                <c:pt idx="36">
                  <c:v>8/02/2013</c:v>
                </c:pt>
                <c:pt idx="37">
                  <c:v>15/02/2013</c:v>
                </c:pt>
                <c:pt idx="38">
                  <c:v>22/02/2013</c:v>
                </c:pt>
                <c:pt idx="39">
                  <c:v>1/03/2013</c:v>
                </c:pt>
                <c:pt idx="40">
                  <c:v>8/03/2013</c:v>
                </c:pt>
                <c:pt idx="41">
                  <c:v>15/03/2013</c:v>
                </c:pt>
                <c:pt idx="42">
                  <c:v>22/03/2013</c:v>
                </c:pt>
                <c:pt idx="43">
                  <c:v>29/03/2013</c:v>
                </c:pt>
                <c:pt idx="44">
                  <c:v>5/04/2013</c:v>
                </c:pt>
                <c:pt idx="45">
                  <c:v>12/04/2013</c:v>
                </c:pt>
                <c:pt idx="46">
                  <c:v>19/04/2013</c:v>
                </c:pt>
                <c:pt idx="47">
                  <c:v>26/04/2013</c:v>
                </c:pt>
                <c:pt idx="48">
                  <c:v>3/05/2013</c:v>
                </c:pt>
                <c:pt idx="49">
                  <c:v>10/05/2013</c:v>
                </c:pt>
                <c:pt idx="50">
                  <c:v>17/05/2013</c:v>
                </c:pt>
                <c:pt idx="51">
                  <c:v>24/05/2013</c:v>
                </c:pt>
                <c:pt idx="52">
                  <c:v>31/05/2013</c:v>
                </c:pt>
                <c:pt idx="53">
                  <c:v>7/06/2013</c:v>
                </c:pt>
                <c:pt idx="54">
                  <c:v>14/06/2013</c:v>
                </c:pt>
                <c:pt idx="55">
                  <c:v>21/06/2013</c:v>
                </c:pt>
                <c:pt idx="56">
                  <c:v>28/06/2013</c:v>
                </c:pt>
                <c:pt idx="57">
                  <c:v>5/07/2013</c:v>
                </c:pt>
                <c:pt idx="58">
                  <c:v>12/07/2013</c:v>
                </c:pt>
                <c:pt idx="59">
                  <c:v>19/07/2013</c:v>
                </c:pt>
                <c:pt idx="60">
                  <c:v>26/07/2013</c:v>
                </c:pt>
                <c:pt idx="61">
                  <c:v>2/08/2013</c:v>
                </c:pt>
                <c:pt idx="62">
                  <c:v>9/08/2013</c:v>
                </c:pt>
                <c:pt idx="63">
                  <c:v>16/08/2013</c:v>
                </c:pt>
                <c:pt idx="64">
                  <c:v>23/08/2013</c:v>
                </c:pt>
                <c:pt idx="65">
                  <c:v>30/08/2013</c:v>
                </c:pt>
                <c:pt idx="66">
                  <c:v>6/09/2013</c:v>
                </c:pt>
                <c:pt idx="67">
                  <c:v>13/09/2013</c:v>
                </c:pt>
                <c:pt idx="68">
                  <c:v>20/09/2013</c:v>
                </c:pt>
                <c:pt idx="69">
                  <c:v>27/09/2013</c:v>
                </c:pt>
                <c:pt idx="70">
                  <c:v>4/10/2013</c:v>
                </c:pt>
                <c:pt idx="71">
                  <c:v>11/10/2013</c:v>
                </c:pt>
                <c:pt idx="72">
                  <c:v>18/10/2013</c:v>
                </c:pt>
                <c:pt idx="73">
                  <c:v>25/10/2013</c:v>
                </c:pt>
                <c:pt idx="74">
                  <c:v>1/11/2013</c:v>
                </c:pt>
                <c:pt idx="75">
                  <c:v>8/11/2013</c:v>
                </c:pt>
                <c:pt idx="76">
                  <c:v>15/11/2013</c:v>
                </c:pt>
                <c:pt idx="77">
                  <c:v>22/11/2013</c:v>
                </c:pt>
                <c:pt idx="78">
                  <c:v>29/11/2013</c:v>
                </c:pt>
                <c:pt idx="79">
                  <c:v>6/12/2013</c:v>
                </c:pt>
                <c:pt idx="80">
                  <c:v>13/12/2013</c:v>
                </c:pt>
                <c:pt idx="81">
                  <c:v>20/12/2013</c:v>
                </c:pt>
                <c:pt idx="82">
                  <c:v>27/12/2013</c:v>
                </c:pt>
                <c:pt idx="83">
                  <c:v>3/01/2014</c:v>
                </c:pt>
                <c:pt idx="84">
                  <c:v>10/01/2014</c:v>
                </c:pt>
                <c:pt idx="85">
                  <c:v>17/01/2014</c:v>
                </c:pt>
                <c:pt idx="86">
                  <c:v>24/01/2014</c:v>
                </c:pt>
                <c:pt idx="87">
                  <c:v>31/01/2014</c:v>
                </c:pt>
                <c:pt idx="88">
                  <c:v>7/02/2014</c:v>
                </c:pt>
                <c:pt idx="89">
                  <c:v>14/02/2014</c:v>
                </c:pt>
                <c:pt idx="90">
                  <c:v>21/02/2014</c:v>
                </c:pt>
                <c:pt idx="91">
                  <c:v>28/02/2014</c:v>
                </c:pt>
                <c:pt idx="92">
                  <c:v>7/03/2014</c:v>
                </c:pt>
                <c:pt idx="93">
                  <c:v>14/03/2014</c:v>
                </c:pt>
                <c:pt idx="94">
                  <c:v>21/03/2014</c:v>
                </c:pt>
                <c:pt idx="95">
                  <c:v>28/03/2014</c:v>
                </c:pt>
                <c:pt idx="96">
                  <c:v>4/04/2014</c:v>
                </c:pt>
                <c:pt idx="97">
                  <c:v>11/04/2014</c:v>
                </c:pt>
                <c:pt idx="98">
                  <c:v>18/04/2014</c:v>
                </c:pt>
                <c:pt idx="99">
                  <c:v>25/04/2014</c:v>
                </c:pt>
                <c:pt idx="100">
                  <c:v>2/05/2014</c:v>
                </c:pt>
                <c:pt idx="101">
                  <c:v>9/05/2014</c:v>
                </c:pt>
                <c:pt idx="102">
                  <c:v>16/05/2014</c:v>
                </c:pt>
                <c:pt idx="103">
                  <c:v>23/05/2014</c:v>
                </c:pt>
                <c:pt idx="104">
                  <c:v>30/05/2014</c:v>
                </c:pt>
                <c:pt idx="105">
                  <c:v>6/06/2014</c:v>
                </c:pt>
                <c:pt idx="106">
                  <c:v>13/06/2014</c:v>
                </c:pt>
                <c:pt idx="107">
                  <c:v>20/06/2014</c:v>
                </c:pt>
                <c:pt idx="108">
                  <c:v>27/06/2014</c:v>
                </c:pt>
                <c:pt idx="109">
                  <c:v>4/07/2014</c:v>
                </c:pt>
                <c:pt idx="110">
                  <c:v>11/07/2014</c:v>
                </c:pt>
                <c:pt idx="111">
                  <c:v>18/07/2014</c:v>
                </c:pt>
                <c:pt idx="112">
                  <c:v>25/07/2014</c:v>
                </c:pt>
                <c:pt idx="113">
                  <c:v>1/08/2014</c:v>
                </c:pt>
                <c:pt idx="114">
                  <c:v>8/08/2014</c:v>
                </c:pt>
                <c:pt idx="115">
                  <c:v>15/08/2014</c:v>
                </c:pt>
                <c:pt idx="116">
                  <c:v>22/08/2014</c:v>
                </c:pt>
                <c:pt idx="117">
                  <c:v>29/08/2014</c:v>
                </c:pt>
                <c:pt idx="118">
                  <c:v>5/09/2014</c:v>
                </c:pt>
                <c:pt idx="119">
                  <c:v>12/09/2014</c:v>
                </c:pt>
                <c:pt idx="120">
                  <c:v>19/09/2014</c:v>
                </c:pt>
                <c:pt idx="121">
                  <c:v>26/09/2014</c:v>
                </c:pt>
                <c:pt idx="122">
                  <c:v>3/10/2014</c:v>
                </c:pt>
                <c:pt idx="123">
                  <c:v>10/10/2014</c:v>
                </c:pt>
                <c:pt idx="124">
                  <c:v>17/10/2014</c:v>
                </c:pt>
                <c:pt idx="125">
                  <c:v>24/10/2014</c:v>
                </c:pt>
                <c:pt idx="126">
                  <c:v>31/10/2014</c:v>
                </c:pt>
                <c:pt idx="127">
                  <c:v>7/11/2014</c:v>
                </c:pt>
                <c:pt idx="128">
                  <c:v>14/11/2014</c:v>
                </c:pt>
                <c:pt idx="129">
                  <c:v>21/11/2014</c:v>
                </c:pt>
                <c:pt idx="130">
                  <c:v>28/11/2014</c:v>
                </c:pt>
                <c:pt idx="131">
                  <c:v>5/12/2014</c:v>
                </c:pt>
                <c:pt idx="132">
                  <c:v>12/12/2014</c:v>
                </c:pt>
                <c:pt idx="133">
                  <c:v>19/12/2014</c:v>
                </c:pt>
                <c:pt idx="134">
                  <c:v>26/12/2014</c:v>
                </c:pt>
                <c:pt idx="135">
                  <c:v>2/01/2015</c:v>
                </c:pt>
                <c:pt idx="136">
                  <c:v>9/01/2015</c:v>
                </c:pt>
                <c:pt idx="137">
                  <c:v>16/01/2015</c:v>
                </c:pt>
                <c:pt idx="138">
                  <c:v>23/01/2015</c:v>
                </c:pt>
                <c:pt idx="139">
                  <c:v>30/01/2015</c:v>
                </c:pt>
                <c:pt idx="140">
                  <c:v>6/02/2015</c:v>
                </c:pt>
                <c:pt idx="141">
                  <c:v>13/02/2015</c:v>
                </c:pt>
                <c:pt idx="142">
                  <c:v>20/02/2015</c:v>
                </c:pt>
                <c:pt idx="143">
                  <c:v>27/02/2015</c:v>
                </c:pt>
                <c:pt idx="144">
                  <c:v>6/03/2015</c:v>
                </c:pt>
                <c:pt idx="145">
                  <c:v>13/03/2015</c:v>
                </c:pt>
                <c:pt idx="146">
                  <c:v>20/03/2015</c:v>
                </c:pt>
                <c:pt idx="147">
                  <c:v>27/03/2015</c:v>
                </c:pt>
                <c:pt idx="148">
                  <c:v>3/04/2015</c:v>
                </c:pt>
                <c:pt idx="149">
                  <c:v>10/04/2015</c:v>
                </c:pt>
                <c:pt idx="150">
                  <c:v>17/04/2015</c:v>
                </c:pt>
                <c:pt idx="151">
                  <c:v>24/04/2015</c:v>
                </c:pt>
                <c:pt idx="152">
                  <c:v>1/05/2015</c:v>
                </c:pt>
                <c:pt idx="153">
                  <c:v>8/05/2015</c:v>
                </c:pt>
                <c:pt idx="154">
                  <c:v>15/05/2015</c:v>
                </c:pt>
                <c:pt idx="155">
                  <c:v>22/05/2015</c:v>
                </c:pt>
                <c:pt idx="156">
                  <c:v>29/05/2015</c:v>
                </c:pt>
                <c:pt idx="157">
                  <c:v>5/06/2015</c:v>
                </c:pt>
                <c:pt idx="158">
                  <c:v>12/06/2015</c:v>
                </c:pt>
                <c:pt idx="159">
                  <c:v>19/06/2015</c:v>
                </c:pt>
                <c:pt idx="160">
                  <c:v>26/06/2015</c:v>
                </c:pt>
                <c:pt idx="161">
                  <c:v>3/07/2015</c:v>
                </c:pt>
                <c:pt idx="162">
                  <c:v>10/07/2015</c:v>
                </c:pt>
                <c:pt idx="163">
                  <c:v>17/07/2015</c:v>
                </c:pt>
                <c:pt idx="164">
                  <c:v>24/07/2015</c:v>
                </c:pt>
                <c:pt idx="165">
                  <c:v>31/07/2015</c:v>
                </c:pt>
                <c:pt idx="166">
                  <c:v>7/08/2015</c:v>
                </c:pt>
                <c:pt idx="167">
                  <c:v>14/08/2015</c:v>
                </c:pt>
              </c:strCache>
            </c:strRef>
          </c:cat>
          <c:val>
            <c:numRef>
              <c:f>'Sheet1 (13)'!$F$5:$F$173</c:f>
              <c:numCache>
                <c:formatCode>General</c:formatCode>
                <c:ptCount val="168"/>
                <c:pt idx="0">
                  <c:v>180</c:v>
                </c:pt>
                <c:pt idx="1">
                  <c:v>185</c:v>
                </c:pt>
                <c:pt idx="2">
                  <c:v>186</c:v>
                </c:pt>
                <c:pt idx="3">
                  <c:v>187</c:v>
                </c:pt>
                <c:pt idx="4">
                  <c:v>188</c:v>
                </c:pt>
                <c:pt idx="5">
                  <c:v>188</c:v>
                </c:pt>
                <c:pt idx="6">
                  <c:v>187</c:v>
                </c:pt>
                <c:pt idx="7">
                  <c:v>191</c:v>
                </c:pt>
                <c:pt idx="8">
                  <c:v>193</c:v>
                </c:pt>
                <c:pt idx="9">
                  <c:v>194</c:v>
                </c:pt>
                <c:pt idx="10">
                  <c:v>195</c:v>
                </c:pt>
                <c:pt idx="11">
                  <c:v>199</c:v>
                </c:pt>
                <c:pt idx="12">
                  <c:v>200</c:v>
                </c:pt>
                <c:pt idx="13">
                  <c:v>204</c:v>
                </c:pt>
                <c:pt idx="14">
                  <c:v>205</c:v>
                </c:pt>
                <c:pt idx="15">
                  <c:v>202</c:v>
                </c:pt>
                <c:pt idx="16">
                  <c:v>201</c:v>
                </c:pt>
                <c:pt idx="17">
                  <c:v>202</c:v>
                </c:pt>
                <c:pt idx="18">
                  <c:v>207</c:v>
                </c:pt>
                <c:pt idx="19">
                  <c:v>206</c:v>
                </c:pt>
                <c:pt idx="20">
                  <c:v>206</c:v>
                </c:pt>
                <c:pt idx="21">
                  <c:v>206</c:v>
                </c:pt>
                <c:pt idx="22">
                  <c:v>211</c:v>
                </c:pt>
                <c:pt idx="23">
                  <c:v>212</c:v>
                </c:pt>
                <c:pt idx="24">
                  <c:v>214</c:v>
                </c:pt>
                <c:pt idx="25">
                  <c:v>213</c:v>
                </c:pt>
                <c:pt idx="26">
                  <c:v>215</c:v>
                </c:pt>
                <c:pt idx="27">
                  <c:v>223</c:v>
                </c:pt>
                <c:pt idx="28">
                  <c:v>227</c:v>
                </c:pt>
                <c:pt idx="29">
                  <c:v>229</c:v>
                </c:pt>
                <c:pt idx="30">
                  <c:v>226</c:v>
                </c:pt>
                <c:pt idx="31">
                  <c:v>227</c:v>
                </c:pt>
                <c:pt idx="32">
                  <c:v>232</c:v>
                </c:pt>
                <c:pt idx="33">
                  <c:v>238</c:v>
                </c:pt>
                <c:pt idx="34">
                  <c:v>239</c:v>
                </c:pt>
                <c:pt idx="35">
                  <c:v>243</c:v>
                </c:pt>
                <c:pt idx="36">
                  <c:v>245</c:v>
                </c:pt>
                <c:pt idx="37">
                  <c:v>240</c:v>
                </c:pt>
                <c:pt idx="38">
                  <c:v>246</c:v>
                </c:pt>
                <c:pt idx="39">
                  <c:v>247</c:v>
                </c:pt>
                <c:pt idx="40">
                  <c:v>245</c:v>
                </c:pt>
                <c:pt idx="41">
                  <c:v>247</c:v>
                </c:pt>
                <c:pt idx="42">
                  <c:v>249</c:v>
                </c:pt>
                <c:pt idx="43">
                  <c:v>246</c:v>
                </c:pt>
                <c:pt idx="44">
                  <c:v>246</c:v>
                </c:pt>
                <c:pt idx="45">
                  <c:v>250</c:v>
                </c:pt>
                <c:pt idx="46">
                  <c:v>252</c:v>
                </c:pt>
                <c:pt idx="47">
                  <c:v>254</c:v>
                </c:pt>
                <c:pt idx="48">
                  <c:v>256</c:v>
                </c:pt>
                <c:pt idx="49">
                  <c:v>258</c:v>
                </c:pt>
                <c:pt idx="50">
                  <c:v>260</c:v>
                </c:pt>
                <c:pt idx="51">
                  <c:v>263</c:v>
                </c:pt>
                <c:pt idx="52">
                  <c:v>264</c:v>
                </c:pt>
                <c:pt idx="53">
                  <c:v>269</c:v>
                </c:pt>
                <c:pt idx="54">
                  <c:v>270</c:v>
                </c:pt>
                <c:pt idx="55">
                  <c:v>270</c:v>
                </c:pt>
                <c:pt idx="56">
                  <c:v>272</c:v>
                </c:pt>
                <c:pt idx="57">
                  <c:v>272</c:v>
                </c:pt>
                <c:pt idx="58">
                  <c:v>273</c:v>
                </c:pt>
                <c:pt idx="59">
                  <c:v>275</c:v>
                </c:pt>
                <c:pt idx="60">
                  <c:v>277</c:v>
                </c:pt>
                <c:pt idx="61">
                  <c:v>279</c:v>
                </c:pt>
                <c:pt idx="62">
                  <c:v>272</c:v>
                </c:pt>
                <c:pt idx="63">
                  <c:v>271</c:v>
                </c:pt>
                <c:pt idx="64">
                  <c:v>271</c:v>
                </c:pt>
                <c:pt idx="65">
                  <c:v>275</c:v>
                </c:pt>
                <c:pt idx="66">
                  <c:v>272</c:v>
                </c:pt>
                <c:pt idx="67">
                  <c:v>276</c:v>
                </c:pt>
                <c:pt idx="68">
                  <c:v>279</c:v>
                </c:pt>
                <c:pt idx="69">
                  <c:v>285</c:v>
                </c:pt>
                <c:pt idx="70">
                  <c:v>288</c:v>
                </c:pt>
                <c:pt idx="71">
                  <c:v>288</c:v>
                </c:pt>
                <c:pt idx="72">
                  <c:v>288</c:v>
                </c:pt>
                <c:pt idx="73">
                  <c:v>292</c:v>
                </c:pt>
                <c:pt idx="74">
                  <c:v>293</c:v>
                </c:pt>
                <c:pt idx="75">
                  <c:v>291</c:v>
                </c:pt>
                <c:pt idx="76">
                  <c:v>295</c:v>
                </c:pt>
                <c:pt idx="77">
                  <c:v>295</c:v>
                </c:pt>
                <c:pt idx="78">
                  <c:v>297</c:v>
                </c:pt>
                <c:pt idx="79">
                  <c:v>299</c:v>
                </c:pt>
                <c:pt idx="80">
                  <c:v>300</c:v>
                </c:pt>
                <c:pt idx="81">
                  <c:v>298</c:v>
                </c:pt>
                <c:pt idx="82">
                  <c:v>296</c:v>
                </c:pt>
                <c:pt idx="83">
                  <c:v>299</c:v>
                </c:pt>
                <c:pt idx="84">
                  <c:v>298</c:v>
                </c:pt>
                <c:pt idx="85">
                  <c:v>298</c:v>
                </c:pt>
                <c:pt idx="86">
                  <c:v>301</c:v>
                </c:pt>
                <c:pt idx="87">
                  <c:v>300</c:v>
                </c:pt>
                <c:pt idx="88">
                  <c:v>302</c:v>
                </c:pt>
                <c:pt idx="89">
                  <c:v>307</c:v>
                </c:pt>
                <c:pt idx="90">
                  <c:v>300</c:v>
                </c:pt>
                <c:pt idx="91">
                  <c:v>296</c:v>
                </c:pt>
                <c:pt idx="92">
                  <c:v>298</c:v>
                </c:pt>
                <c:pt idx="93">
                  <c:v>299</c:v>
                </c:pt>
                <c:pt idx="94">
                  <c:v>298</c:v>
                </c:pt>
                <c:pt idx="95">
                  <c:v>298</c:v>
                </c:pt>
                <c:pt idx="96">
                  <c:v>295</c:v>
                </c:pt>
                <c:pt idx="97">
                  <c:v>291</c:v>
                </c:pt>
                <c:pt idx="98">
                  <c:v>297</c:v>
                </c:pt>
                <c:pt idx="99">
                  <c:v>297</c:v>
                </c:pt>
                <c:pt idx="100">
                  <c:v>298</c:v>
                </c:pt>
                <c:pt idx="101">
                  <c:v>302</c:v>
                </c:pt>
                <c:pt idx="102">
                  <c:v>304</c:v>
                </c:pt>
                <c:pt idx="103">
                  <c:v>306</c:v>
                </c:pt>
                <c:pt idx="104">
                  <c:v>305</c:v>
                </c:pt>
                <c:pt idx="105">
                  <c:v>306</c:v>
                </c:pt>
                <c:pt idx="106">
                  <c:v>302</c:v>
                </c:pt>
                <c:pt idx="107">
                  <c:v>305</c:v>
                </c:pt>
                <c:pt idx="108">
                  <c:v>310</c:v>
                </c:pt>
                <c:pt idx="109">
                  <c:v>313</c:v>
                </c:pt>
                <c:pt idx="110">
                  <c:v>318</c:v>
                </c:pt>
                <c:pt idx="111">
                  <c:v>322</c:v>
                </c:pt>
                <c:pt idx="112">
                  <c:v>323</c:v>
                </c:pt>
                <c:pt idx="113">
                  <c:v>323</c:v>
                </c:pt>
                <c:pt idx="114">
                  <c:v>322</c:v>
                </c:pt>
                <c:pt idx="115">
                  <c:v>329</c:v>
                </c:pt>
                <c:pt idx="116">
                  <c:v>328</c:v>
                </c:pt>
                <c:pt idx="117">
                  <c:v>335</c:v>
                </c:pt>
                <c:pt idx="118">
                  <c:v>333</c:v>
                </c:pt>
                <c:pt idx="119">
                  <c:v>334</c:v>
                </c:pt>
                <c:pt idx="120">
                  <c:v>335</c:v>
                </c:pt>
                <c:pt idx="121">
                  <c:v>339</c:v>
                </c:pt>
                <c:pt idx="122">
                  <c:v>343</c:v>
                </c:pt>
                <c:pt idx="123">
                  <c:v>340</c:v>
                </c:pt>
                <c:pt idx="124">
                  <c:v>341</c:v>
                </c:pt>
                <c:pt idx="125">
                  <c:v>342</c:v>
                </c:pt>
                <c:pt idx="126">
                  <c:v>346</c:v>
                </c:pt>
                <c:pt idx="127">
                  <c:v>347</c:v>
                </c:pt>
                <c:pt idx="128">
                  <c:v>352</c:v>
                </c:pt>
                <c:pt idx="129">
                  <c:v>349</c:v>
                </c:pt>
                <c:pt idx="130">
                  <c:v>350</c:v>
                </c:pt>
                <c:pt idx="131">
                  <c:v>349</c:v>
                </c:pt>
                <c:pt idx="132">
                  <c:v>352</c:v>
                </c:pt>
                <c:pt idx="133">
                  <c:v>357</c:v>
                </c:pt>
                <c:pt idx="134">
                  <c:v>360</c:v>
                </c:pt>
                <c:pt idx="135">
                  <c:v>362</c:v>
                </c:pt>
                <c:pt idx="136">
                  <c:v>366</c:v>
                </c:pt>
                <c:pt idx="137">
                  <c:v>363</c:v>
                </c:pt>
                <c:pt idx="138">
                  <c:v>368</c:v>
                </c:pt>
                <c:pt idx="139">
                  <c:v>372</c:v>
                </c:pt>
                <c:pt idx="140">
                  <c:v>373</c:v>
                </c:pt>
                <c:pt idx="141">
                  <c:v>373</c:v>
                </c:pt>
                <c:pt idx="142">
                  <c:v>381</c:v>
                </c:pt>
                <c:pt idx="143">
                  <c:v>377</c:v>
                </c:pt>
                <c:pt idx="144">
                  <c:v>378</c:v>
                </c:pt>
                <c:pt idx="145">
                  <c:v>383</c:v>
                </c:pt>
                <c:pt idx="146">
                  <c:v>381</c:v>
                </c:pt>
                <c:pt idx="147">
                  <c:v>384</c:v>
                </c:pt>
                <c:pt idx="148">
                  <c:v>392</c:v>
                </c:pt>
                <c:pt idx="149">
                  <c:v>395</c:v>
                </c:pt>
                <c:pt idx="150">
                  <c:v>398</c:v>
                </c:pt>
                <c:pt idx="151">
                  <c:v>404</c:v>
                </c:pt>
                <c:pt idx="152">
                  <c:v>409</c:v>
                </c:pt>
                <c:pt idx="153">
                  <c:v>411</c:v>
                </c:pt>
                <c:pt idx="154">
                  <c:v>421</c:v>
                </c:pt>
                <c:pt idx="155">
                  <c:v>426</c:v>
                </c:pt>
                <c:pt idx="156">
                  <c:v>426</c:v>
                </c:pt>
                <c:pt idx="157">
                  <c:v>423</c:v>
                </c:pt>
                <c:pt idx="158">
                  <c:v>425</c:v>
                </c:pt>
                <c:pt idx="159">
                  <c:v>423</c:v>
                </c:pt>
                <c:pt idx="160">
                  <c:v>426</c:v>
                </c:pt>
                <c:pt idx="161">
                  <c:v>431</c:v>
                </c:pt>
                <c:pt idx="162">
                  <c:v>432</c:v>
                </c:pt>
                <c:pt idx="163">
                  <c:v>428</c:v>
                </c:pt>
                <c:pt idx="164">
                  <c:v>427</c:v>
                </c:pt>
                <c:pt idx="165">
                  <c:v>427</c:v>
                </c:pt>
                <c:pt idx="166">
                  <c:v>427</c:v>
                </c:pt>
                <c:pt idx="167">
                  <c:v>425</c:v>
                </c:pt>
              </c:numCache>
            </c:numRef>
          </c:val>
          <c:smooth val="0"/>
        </c:ser>
        <c:ser>
          <c:idx val="5"/>
          <c:order val="5"/>
          <c:tx>
            <c:strRef>
              <c:f>'Sheet1 (13)'!$G$3:$G$4</c:f>
              <c:strCache>
                <c:ptCount val="1"/>
                <c:pt idx="0">
                  <c:v>GOLIMUMAB+METHOTREXATE</c:v>
                </c:pt>
              </c:strCache>
            </c:strRef>
          </c:tx>
          <c:marker>
            <c:symbol val="none"/>
          </c:marker>
          <c:cat>
            <c:strRef>
              <c:f>'Sheet1 (13)'!$A$5:$A$173</c:f>
              <c:strCache>
                <c:ptCount val="168"/>
                <c:pt idx="0">
                  <c:v>1/06/2012</c:v>
                </c:pt>
                <c:pt idx="1">
                  <c:v>8/06/2012</c:v>
                </c:pt>
                <c:pt idx="2">
                  <c:v>15/06/2012</c:v>
                </c:pt>
                <c:pt idx="3">
                  <c:v>22/06/2012</c:v>
                </c:pt>
                <c:pt idx="4">
                  <c:v>29/06/2012</c:v>
                </c:pt>
                <c:pt idx="5">
                  <c:v>6/07/2012</c:v>
                </c:pt>
                <c:pt idx="6">
                  <c:v>13/07/2012</c:v>
                </c:pt>
                <c:pt idx="7">
                  <c:v>20/07/2012</c:v>
                </c:pt>
                <c:pt idx="8">
                  <c:v>27/07/2012</c:v>
                </c:pt>
                <c:pt idx="9">
                  <c:v>3/08/2012</c:v>
                </c:pt>
                <c:pt idx="10">
                  <c:v>10/08/2012</c:v>
                </c:pt>
                <c:pt idx="11">
                  <c:v>17/08/2012</c:v>
                </c:pt>
                <c:pt idx="12">
                  <c:v>24/08/2012</c:v>
                </c:pt>
                <c:pt idx="13">
                  <c:v>31/08/2012</c:v>
                </c:pt>
                <c:pt idx="14">
                  <c:v>7/09/2012</c:v>
                </c:pt>
                <c:pt idx="15">
                  <c:v>14/09/2012</c:v>
                </c:pt>
                <c:pt idx="16">
                  <c:v>21/09/2012</c:v>
                </c:pt>
                <c:pt idx="17">
                  <c:v>28/09/2012</c:v>
                </c:pt>
                <c:pt idx="18">
                  <c:v>5/10/2012</c:v>
                </c:pt>
                <c:pt idx="19">
                  <c:v>12/10/2012</c:v>
                </c:pt>
                <c:pt idx="20">
                  <c:v>19/10/2012</c:v>
                </c:pt>
                <c:pt idx="21">
                  <c:v>26/10/2012</c:v>
                </c:pt>
                <c:pt idx="22">
                  <c:v>2/11/2012</c:v>
                </c:pt>
                <c:pt idx="23">
                  <c:v>9/11/2012</c:v>
                </c:pt>
                <c:pt idx="24">
                  <c:v>16/11/2012</c:v>
                </c:pt>
                <c:pt idx="25">
                  <c:v>23/11/2012</c:v>
                </c:pt>
                <c:pt idx="26">
                  <c:v>30/11/2012</c:v>
                </c:pt>
                <c:pt idx="27">
                  <c:v>7/12/2012</c:v>
                </c:pt>
                <c:pt idx="28">
                  <c:v>14/12/2012</c:v>
                </c:pt>
                <c:pt idx="29">
                  <c:v>21/12/2012</c:v>
                </c:pt>
                <c:pt idx="30">
                  <c:v>28/12/2012</c:v>
                </c:pt>
                <c:pt idx="31">
                  <c:v>4/01/2013</c:v>
                </c:pt>
                <c:pt idx="32">
                  <c:v>11/01/2013</c:v>
                </c:pt>
                <c:pt idx="33">
                  <c:v>18/01/2013</c:v>
                </c:pt>
                <c:pt idx="34">
                  <c:v>25/01/2013</c:v>
                </c:pt>
                <c:pt idx="35">
                  <c:v>1/02/2013</c:v>
                </c:pt>
                <c:pt idx="36">
                  <c:v>8/02/2013</c:v>
                </c:pt>
                <c:pt idx="37">
                  <c:v>15/02/2013</c:v>
                </c:pt>
                <c:pt idx="38">
                  <c:v>22/02/2013</c:v>
                </c:pt>
                <c:pt idx="39">
                  <c:v>1/03/2013</c:v>
                </c:pt>
                <c:pt idx="40">
                  <c:v>8/03/2013</c:v>
                </c:pt>
                <c:pt idx="41">
                  <c:v>15/03/2013</c:v>
                </c:pt>
                <c:pt idx="42">
                  <c:v>22/03/2013</c:v>
                </c:pt>
                <c:pt idx="43">
                  <c:v>29/03/2013</c:v>
                </c:pt>
                <c:pt idx="44">
                  <c:v>5/04/2013</c:v>
                </c:pt>
                <c:pt idx="45">
                  <c:v>12/04/2013</c:v>
                </c:pt>
                <c:pt idx="46">
                  <c:v>19/04/2013</c:v>
                </c:pt>
                <c:pt idx="47">
                  <c:v>26/04/2013</c:v>
                </c:pt>
                <c:pt idx="48">
                  <c:v>3/05/2013</c:v>
                </c:pt>
                <c:pt idx="49">
                  <c:v>10/05/2013</c:v>
                </c:pt>
                <c:pt idx="50">
                  <c:v>17/05/2013</c:v>
                </c:pt>
                <c:pt idx="51">
                  <c:v>24/05/2013</c:v>
                </c:pt>
                <c:pt idx="52">
                  <c:v>31/05/2013</c:v>
                </c:pt>
                <c:pt idx="53">
                  <c:v>7/06/2013</c:v>
                </c:pt>
                <c:pt idx="54">
                  <c:v>14/06/2013</c:v>
                </c:pt>
                <c:pt idx="55">
                  <c:v>21/06/2013</c:v>
                </c:pt>
                <c:pt idx="56">
                  <c:v>28/06/2013</c:v>
                </c:pt>
                <c:pt idx="57">
                  <c:v>5/07/2013</c:v>
                </c:pt>
                <c:pt idx="58">
                  <c:v>12/07/2013</c:v>
                </c:pt>
                <c:pt idx="59">
                  <c:v>19/07/2013</c:v>
                </c:pt>
                <c:pt idx="60">
                  <c:v>26/07/2013</c:v>
                </c:pt>
                <c:pt idx="61">
                  <c:v>2/08/2013</c:v>
                </c:pt>
                <c:pt idx="62">
                  <c:v>9/08/2013</c:v>
                </c:pt>
                <c:pt idx="63">
                  <c:v>16/08/2013</c:v>
                </c:pt>
                <c:pt idx="64">
                  <c:v>23/08/2013</c:v>
                </c:pt>
                <c:pt idx="65">
                  <c:v>30/08/2013</c:v>
                </c:pt>
                <c:pt idx="66">
                  <c:v>6/09/2013</c:v>
                </c:pt>
                <c:pt idx="67">
                  <c:v>13/09/2013</c:v>
                </c:pt>
                <c:pt idx="68">
                  <c:v>20/09/2013</c:v>
                </c:pt>
                <c:pt idx="69">
                  <c:v>27/09/2013</c:v>
                </c:pt>
                <c:pt idx="70">
                  <c:v>4/10/2013</c:v>
                </c:pt>
                <c:pt idx="71">
                  <c:v>11/10/2013</c:v>
                </c:pt>
                <c:pt idx="72">
                  <c:v>18/10/2013</c:v>
                </c:pt>
                <c:pt idx="73">
                  <c:v>25/10/2013</c:v>
                </c:pt>
                <c:pt idx="74">
                  <c:v>1/11/2013</c:v>
                </c:pt>
                <c:pt idx="75">
                  <c:v>8/11/2013</c:v>
                </c:pt>
                <c:pt idx="76">
                  <c:v>15/11/2013</c:v>
                </c:pt>
                <c:pt idx="77">
                  <c:v>22/11/2013</c:v>
                </c:pt>
                <c:pt idx="78">
                  <c:v>29/11/2013</c:v>
                </c:pt>
                <c:pt idx="79">
                  <c:v>6/12/2013</c:v>
                </c:pt>
                <c:pt idx="80">
                  <c:v>13/12/2013</c:v>
                </c:pt>
                <c:pt idx="81">
                  <c:v>20/12/2013</c:v>
                </c:pt>
                <c:pt idx="82">
                  <c:v>27/12/2013</c:v>
                </c:pt>
                <c:pt idx="83">
                  <c:v>3/01/2014</c:v>
                </c:pt>
                <c:pt idx="84">
                  <c:v>10/01/2014</c:v>
                </c:pt>
                <c:pt idx="85">
                  <c:v>17/01/2014</c:v>
                </c:pt>
                <c:pt idx="86">
                  <c:v>24/01/2014</c:v>
                </c:pt>
                <c:pt idx="87">
                  <c:v>31/01/2014</c:v>
                </c:pt>
                <c:pt idx="88">
                  <c:v>7/02/2014</c:v>
                </c:pt>
                <c:pt idx="89">
                  <c:v>14/02/2014</c:v>
                </c:pt>
                <c:pt idx="90">
                  <c:v>21/02/2014</c:v>
                </c:pt>
                <c:pt idx="91">
                  <c:v>28/02/2014</c:v>
                </c:pt>
                <c:pt idx="92">
                  <c:v>7/03/2014</c:v>
                </c:pt>
                <c:pt idx="93">
                  <c:v>14/03/2014</c:v>
                </c:pt>
                <c:pt idx="94">
                  <c:v>21/03/2014</c:v>
                </c:pt>
                <c:pt idx="95">
                  <c:v>28/03/2014</c:v>
                </c:pt>
                <c:pt idx="96">
                  <c:v>4/04/2014</c:v>
                </c:pt>
                <c:pt idx="97">
                  <c:v>11/04/2014</c:v>
                </c:pt>
                <c:pt idx="98">
                  <c:v>18/04/2014</c:v>
                </c:pt>
                <c:pt idx="99">
                  <c:v>25/04/2014</c:v>
                </c:pt>
                <c:pt idx="100">
                  <c:v>2/05/2014</c:v>
                </c:pt>
                <c:pt idx="101">
                  <c:v>9/05/2014</c:v>
                </c:pt>
                <c:pt idx="102">
                  <c:v>16/05/2014</c:v>
                </c:pt>
                <c:pt idx="103">
                  <c:v>23/05/2014</c:v>
                </c:pt>
                <c:pt idx="104">
                  <c:v>30/05/2014</c:v>
                </c:pt>
                <c:pt idx="105">
                  <c:v>6/06/2014</c:v>
                </c:pt>
                <c:pt idx="106">
                  <c:v>13/06/2014</c:v>
                </c:pt>
                <c:pt idx="107">
                  <c:v>20/06/2014</c:v>
                </c:pt>
                <c:pt idx="108">
                  <c:v>27/06/2014</c:v>
                </c:pt>
                <c:pt idx="109">
                  <c:v>4/07/2014</c:v>
                </c:pt>
                <c:pt idx="110">
                  <c:v>11/07/2014</c:v>
                </c:pt>
                <c:pt idx="111">
                  <c:v>18/07/2014</c:v>
                </c:pt>
                <c:pt idx="112">
                  <c:v>25/07/2014</c:v>
                </c:pt>
                <c:pt idx="113">
                  <c:v>1/08/2014</c:v>
                </c:pt>
                <c:pt idx="114">
                  <c:v>8/08/2014</c:v>
                </c:pt>
                <c:pt idx="115">
                  <c:v>15/08/2014</c:v>
                </c:pt>
                <c:pt idx="116">
                  <c:v>22/08/2014</c:v>
                </c:pt>
                <c:pt idx="117">
                  <c:v>29/08/2014</c:v>
                </c:pt>
                <c:pt idx="118">
                  <c:v>5/09/2014</c:v>
                </c:pt>
                <c:pt idx="119">
                  <c:v>12/09/2014</c:v>
                </c:pt>
                <c:pt idx="120">
                  <c:v>19/09/2014</c:v>
                </c:pt>
                <c:pt idx="121">
                  <c:v>26/09/2014</c:v>
                </c:pt>
                <c:pt idx="122">
                  <c:v>3/10/2014</c:v>
                </c:pt>
                <c:pt idx="123">
                  <c:v>10/10/2014</c:v>
                </c:pt>
                <c:pt idx="124">
                  <c:v>17/10/2014</c:v>
                </c:pt>
                <c:pt idx="125">
                  <c:v>24/10/2014</c:v>
                </c:pt>
                <c:pt idx="126">
                  <c:v>31/10/2014</c:v>
                </c:pt>
                <c:pt idx="127">
                  <c:v>7/11/2014</c:v>
                </c:pt>
                <c:pt idx="128">
                  <c:v>14/11/2014</c:v>
                </c:pt>
                <c:pt idx="129">
                  <c:v>21/11/2014</c:v>
                </c:pt>
                <c:pt idx="130">
                  <c:v>28/11/2014</c:v>
                </c:pt>
                <c:pt idx="131">
                  <c:v>5/12/2014</c:v>
                </c:pt>
                <c:pt idx="132">
                  <c:v>12/12/2014</c:v>
                </c:pt>
                <c:pt idx="133">
                  <c:v>19/12/2014</c:v>
                </c:pt>
                <c:pt idx="134">
                  <c:v>26/12/2014</c:v>
                </c:pt>
                <c:pt idx="135">
                  <c:v>2/01/2015</c:v>
                </c:pt>
                <c:pt idx="136">
                  <c:v>9/01/2015</c:v>
                </c:pt>
                <c:pt idx="137">
                  <c:v>16/01/2015</c:v>
                </c:pt>
                <c:pt idx="138">
                  <c:v>23/01/2015</c:v>
                </c:pt>
                <c:pt idx="139">
                  <c:v>30/01/2015</c:v>
                </c:pt>
                <c:pt idx="140">
                  <c:v>6/02/2015</c:v>
                </c:pt>
                <c:pt idx="141">
                  <c:v>13/02/2015</c:v>
                </c:pt>
                <c:pt idx="142">
                  <c:v>20/02/2015</c:v>
                </c:pt>
                <c:pt idx="143">
                  <c:v>27/02/2015</c:v>
                </c:pt>
                <c:pt idx="144">
                  <c:v>6/03/2015</c:v>
                </c:pt>
                <c:pt idx="145">
                  <c:v>13/03/2015</c:v>
                </c:pt>
                <c:pt idx="146">
                  <c:v>20/03/2015</c:v>
                </c:pt>
                <c:pt idx="147">
                  <c:v>27/03/2015</c:v>
                </c:pt>
                <c:pt idx="148">
                  <c:v>3/04/2015</c:v>
                </c:pt>
                <c:pt idx="149">
                  <c:v>10/04/2015</c:v>
                </c:pt>
                <c:pt idx="150">
                  <c:v>17/04/2015</c:v>
                </c:pt>
                <c:pt idx="151">
                  <c:v>24/04/2015</c:v>
                </c:pt>
                <c:pt idx="152">
                  <c:v>1/05/2015</c:v>
                </c:pt>
                <c:pt idx="153">
                  <c:v>8/05/2015</c:v>
                </c:pt>
                <c:pt idx="154">
                  <c:v>15/05/2015</c:v>
                </c:pt>
                <c:pt idx="155">
                  <c:v>22/05/2015</c:v>
                </c:pt>
                <c:pt idx="156">
                  <c:v>29/05/2015</c:v>
                </c:pt>
                <c:pt idx="157">
                  <c:v>5/06/2015</c:v>
                </c:pt>
                <c:pt idx="158">
                  <c:v>12/06/2015</c:v>
                </c:pt>
                <c:pt idx="159">
                  <c:v>19/06/2015</c:v>
                </c:pt>
                <c:pt idx="160">
                  <c:v>26/06/2015</c:v>
                </c:pt>
                <c:pt idx="161">
                  <c:v>3/07/2015</c:v>
                </c:pt>
                <c:pt idx="162">
                  <c:v>10/07/2015</c:v>
                </c:pt>
                <c:pt idx="163">
                  <c:v>17/07/2015</c:v>
                </c:pt>
                <c:pt idx="164">
                  <c:v>24/07/2015</c:v>
                </c:pt>
                <c:pt idx="165">
                  <c:v>31/07/2015</c:v>
                </c:pt>
                <c:pt idx="166">
                  <c:v>7/08/2015</c:v>
                </c:pt>
                <c:pt idx="167">
                  <c:v>14/08/2015</c:v>
                </c:pt>
              </c:strCache>
            </c:strRef>
          </c:cat>
          <c:val>
            <c:numRef>
              <c:f>'Sheet1 (13)'!$G$5:$G$173</c:f>
              <c:numCache>
                <c:formatCode>General</c:formatCode>
                <c:ptCount val="168"/>
                <c:pt idx="0">
                  <c:v>133</c:v>
                </c:pt>
                <c:pt idx="1">
                  <c:v>134</c:v>
                </c:pt>
                <c:pt idx="2">
                  <c:v>133</c:v>
                </c:pt>
                <c:pt idx="3">
                  <c:v>133</c:v>
                </c:pt>
                <c:pt idx="4">
                  <c:v>136</c:v>
                </c:pt>
                <c:pt idx="5">
                  <c:v>139</c:v>
                </c:pt>
                <c:pt idx="6">
                  <c:v>141</c:v>
                </c:pt>
                <c:pt idx="7">
                  <c:v>141</c:v>
                </c:pt>
                <c:pt idx="8">
                  <c:v>141</c:v>
                </c:pt>
                <c:pt idx="9">
                  <c:v>143</c:v>
                </c:pt>
                <c:pt idx="10">
                  <c:v>143</c:v>
                </c:pt>
                <c:pt idx="11">
                  <c:v>146</c:v>
                </c:pt>
                <c:pt idx="12">
                  <c:v>145</c:v>
                </c:pt>
                <c:pt idx="13">
                  <c:v>148</c:v>
                </c:pt>
                <c:pt idx="14">
                  <c:v>150</c:v>
                </c:pt>
                <c:pt idx="15">
                  <c:v>152</c:v>
                </c:pt>
                <c:pt idx="16">
                  <c:v>153</c:v>
                </c:pt>
                <c:pt idx="17">
                  <c:v>152</c:v>
                </c:pt>
                <c:pt idx="18">
                  <c:v>149</c:v>
                </c:pt>
                <c:pt idx="19">
                  <c:v>147</c:v>
                </c:pt>
                <c:pt idx="20">
                  <c:v>150</c:v>
                </c:pt>
                <c:pt idx="21">
                  <c:v>148</c:v>
                </c:pt>
                <c:pt idx="22">
                  <c:v>143</c:v>
                </c:pt>
                <c:pt idx="23">
                  <c:v>146</c:v>
                </c:pt>
                <c:pt idx="24">
                  <c:v>146</c:v>
                </c:pt>
                <c:pt idx="25">
                  <c:v>144</c:v>
                </c:pt>
                <c:pt idx="26">
                  <c:v>148</c:v>
                </c:pt>
                <c:pt idx="27">
                  <c:v>146</c:v>
                </c:pt>
                <c:pt idx="28">
                  <c:v>148</c:v>
                </c:pt>
                <c:pt idx="29">
                  <c:v>151</c:v>
                </c:pt>
                <c:pt idx="30">
                  <c:v>154</c:v>
                </c:pt>
                <c:pt idx="31">
                  <c:v>155</c:v>
                </c:pt>
                <c:pt idx="32">
                  <c:v>155</c:v>
                </c:pt>
                <c:pt idx="33">
                  <c:v>153</c:v>
                </c:pt>
                <c:pt idx="34">
                  <c:v>152</c:v>
                </c:pt>
                <c:pt idx="35">
                  <c:v>152</c:v>
                </c:pt>
                <c:pt idx="36">
                  <c:v>152</c:v>
                </c:pt>
                <c:pt idx="37">
                  <c:v>157</c:v>
                </c:pt>
                <c:pt idx="38">
                  <c:v>156</c:v>
                </c:pt>
                <c:pt idx="39">
                  <c:v>154</c:v>
                </c:pt>
                <c:pt idx="40">
                  <c:v>153</c:v>
                </c:pt>
                <c:pt idx="41">
                  <c:v>155</c:v>
                </c:pt>
                <c:pt idx="42">
                  <c:v>155</c:v>
                </c:pt>
                <c:pt idx="43">
                  <c:v>157</c:v>
                </c:pt>
                <c:pt idx="44">
                  <c:v>162</c:v>
                </c:pt>
                <c:pt idx="45">
                  <c:v>162</c:v>
                </c:pt>
                <c:pt idx="46">
                  <c:v>162</c:v>
                </c:pt>
                <c:pt idx="47">
                  <c:v>161</c:v>
                </c:pt>
                <c:pt idx="48">
                  <c:v>168</c:v>
                </c:pt>
                <c:pt idx="49">
                  <c:v>170</c:v>
                </c:pt>
                <c:pt idx="50">
                  <c:v>170</c:v>
                </c:pt>
                <c:pt idx="51">
                  <c:v>170</c:v>
                </c:pt>
                <c:pt idx="52">
                  <c:v>172</c:v>
                </c:pt>
                <c:pt idx="53">
                  <c:v>171</c:v>
                </c:pt>
                <c:pt idx="54">
                  <c:v>175</c:v>
                </c:pt>
                <c:pt idx="55">
                  <c:v>172</c:v>
                </c:pt>
                <c:pt idx="56">
                  <c:v>172</c:v>
                </c:pt>
                <c:pt idx="57">
                  <c:v>172</c:v>
                </c:pt>
                <c:pt idx="58">
                  <c:v>175</c:v>
                </c:pt>
                <c:pt idx="59">
                  <c:v>175</c:v>
                </c:pt>
                <c:pt idx="60">
                  <c:v>174</c:v>
                </c:pt>
                <c:pt idx="61">
                  <c:v>174</c:v>
                </c:pt>
                <c:pt idx="62">
                  <c:v>179</c:v>
                </c:pt>
                <c:pt idx="63">
                  <c:v>183</c:v>
                </c:pt>
                <c:pt idx="64">
                  <c:v>187</c:v>
                </c:pt>
                <c:pt idx="65">
                  <c:v>192</c:v>
                </c:pt>
                <c:pt idx="66">
                  <c:v>195</c:v>
                </c:pt>
                <c:pt idx="67">
                  <c:v>195</c:v>
                </c:pt>
                <c:pt idx="68">
                  <c:v>192</c:v>
                </c:pt>
                <c:pt idx="69">
                  <c:v>190</c:v>
                </c:pt>
                <c:pt idx="70">
                  <c:v>192</c:v>
                </c:pt>
                <c:pt idx="71">
                  <c:v>189</c:v>
                </c:pt>
                <c:pt idx="72">
                  <c:v>193</c:v>
                </c:pt>
                <c:pt idx="73">
                  <c:v>198</c:v>
                </c:pt>
                <c:pt idx="74">
                  <c:v>200</c:v>
                </c:pt>
                <c:pt idx="75">
                  <c:v>202</c:v>
                </c:pt>
                <c:pt idx="76">
                  <c:v>203</c:v>
                </c:pt>
                <c:pt idx="77">
                  <c:v>202</c:v>
                </c:pt>
                <c:pt idx="78">
                  <c:v>200</c:v>
                </c:pt>
                <c:pt idx="79">
                  <c:v>201</c:v>
                </c:pt>
                <c:pt idx="80">
                  <c:v>205</c:v>
                </c:pt>
                <c:pt idx="81">
                  <c:v>205</c:v>
                </c:pt>
                <c:pt idx="82">
                  <c:v>203</c:v>
                </c:pt>
                <c:pt idx="83">
                  <c:v>205</c:v>
                </c:pt>
                <c:pt idx="84">
                  <c:v>210</c:v>
                </c:pt>
                <c:pt idx="85">
                  <c:v>211</c:v>
                </c:pt>
                <c:pt idx="86">
                  <c:v>208</c:v>
                </c:pt>
                <c:pt idx="87">
                  <c:v>211</c:v>
                </c:pt>
                <c:pt idx="88">
                  <c:v>211</c:v>
                </c:pt>
                <c:pt idx="89">
                  <c:v>212</c:v>
                </c:pt>
                <c:pt idx="90">
                  <c:v>216</c:v>
                </c:pt>
                <c:pt idx="91">
                  <c:v>221</c:v>
                </c:pt>
                <c:pt idx="92">
                  <c:v>221</c:v>
                </c:pt>
                <c:pt idx="93">
                  <c:v>223</c:v>
                </c:pt>
                <c:pt idx="94">
                  <c:v>227</c:v>
                </c:pt>
                <c:pt idx="95">
                  <c:v>228</c:v>
                </c:pt>
                <c:pt idx="96">
                  <c:v>225</c:v>
                </c:pt>
                <c:pt idx="97">
                  <c:v>234</c:v>
                </c:pt>
                <c:pt idx="98">
                  <c:v>238</c:v>
                </c:pt>
                <c:pt idx="99">
                  <c:v>237</c:v>
                </c:pt>
                <c:pt idx="100">
                  <c:v>238</c:v>
                </c:pt>
                <c:pt idx="101">
                  <c:v>238</c:v>
                </c:pt>
                <c:pt idx="102">
                  <c:v>238</c:v>
                </c:pt>
                <c:pt idx="103">
                  <c:v>240</c:v>
                </c:pt>
                <c:pt idx="104">
                  <c:v>239</c:v>
                </c:pt>
                <c:pt idx="105">
                  <c:v>237</c:v>
                </c:pt>
                <c:pt idx="106">
                  <c:v>238</c:v>
                </c:pt>
                <c:pt idx="107">
                  <c:v>238</c:v>
                </c:pt>
                <c:pt idx="108">
                  <c:v>241</c:v>
                </c:pt>
                <c:pt idx="109">
                  <c:v>242</c:v>
                </c:pt>
                <c:pt idx="110">
                  <c:v>240</c:v>
                </c:pt>
                <c:pt idx="111">
                  <c:v>240</c:v>
                </c:pt>
                <c:pt idx="112">
                  <c:v>241</c:v>
                </c:pt>
                <c:pt idx="113">
                  <c:v>242</c:v>
                </c:pt>
                <c:pt idx="114">
                  <c:v>246</c:v>
                </c:pt>
                <c:pt idx="115">
                  <c:v>244</c:v>
                </c:pt>
                <c:pt idx="116">
                  <c:v>243</c:v>
                </c:pt>
                <c:pt idx="117">
                  <c:v>242</c:v>
                </c:pt>
                <c:pt idx="118">
                  <c:v>241</c:v>
                </c:pt>
                <c:pt idx="119">
                  <c:v>246</c:v>
                </c:pt>
                <c:pt idx="120">
                  <c:v>248</c:v>
                </c:pt>
                <c:pt idx="121">
                  <c:v>250</c:v>
                </c:pt>
                <c:pt idx="122">
                  <c:v>253</c:v>
                </c:pt>
                <c:pt idx="123">
                  <c:v>261</c:v>
                </c:pt>
                <c:pt idx="124">
                  <c:v>267</c:v>
                </c:pt>
                <c:pt idx="125">
                  <c:v>267</c:v>
                </c:pt>
                <c:pt idx="126">
                  <c:v>264</c:v>
                </c:pt>
                <c:pt idx="127">
                  <c:v>266</c:v>
                </c:pt>
                <c:pt idx="128">
                  <c:v>264</c:v>
                </c:pt>
                <c:pt idx="129">
                  <c:v>268</c:v>
                </c:pt>
                <c:pt idx="130">
                  <c:v>274</c:v>
                </c:pt>
                <c:pt idx="131">
                  <c:v>276</c:v>
                </c:pt>
                <c:pt idx="132">
                  <c:v>273</c:v>
                </c:pt>
                <c:pt idx="133">
                  <c:v>273</c:v>
                </c:pt>
                <c:pt idx="134">
                  <c:v>276</c:v>
                </c:pt>
                <c:pt idx="135">
                  <c:v>280</c:v>
                </c:pt>
                <c:pt idx="136">
                  <c:v>287</c:v>
                </c:pt>
                <c:pt idx="137">
                  <c:v>286</c:v>
                </c:pt>
                <c:pt idx="138">
                  <c:v>288</c:v>
                </c:pt>
                <c:pt idx="139">
                  <c:v>287</c:v>
                </c:pt>
                <c:pt idx="140">
                  <c:v>291</c:v>
                </c:pt>
                <c:pt idx="141">
                  <c:v>280</c:v>
                </c:pt>
                <c:pt idx="142">
                  <c:v>280</c:v>
                </c:pt>
                <c:pt idx="143">
                  <c:v>288</c:v>
                </c:pt>
                <c:pt idx="144">
                  <c:v>290</c:v>
                </c:pt>
                <c:pt idx="145">
                  <c:v>289</c:v>
                </c:pt>
                <c:pt idx="146">
                  <c:v>297</c:v>
                </c:pt>
                <c:pt idx="147">
                  <c:v>303</c:v>
                </c:pt>
                <c:pt idx="148">
                  <c:v>302</c:v>
                </c:pt>
                <c:pt idx="149">
                  <c:v>305</c:v>
                </c:pt>
                <c:pt idx="150">
                  <c:v>300</c:v>
                </c:pt>
                <c:pt idx="151">
                  <c:v>302</c:v>
                </c:pt>
                <c:pt idx="152">
                  <c:v>299</c:v>
                </c:pt>
                <c:pt idx="153">
                  <c:v>301</c:v>
                </c:pt>
                <c:pt idx="154">
                  <c:v>300</c:v>
                </c:pt>
                <c:pt idx="155">
                  <c:v>305</c:v>
                </c:pt>
                <c:pt idx="156">
                  <c:v>306</c:v>
                </c:pt>
                <c:pt idx="157">
                  <c:v>308</c:v>
                </c:pt>
                <c:pt idx="158">
                  <c:v>308</c:v>
                </c:pt>
                <c:pt idx="159">
                  <c:v>312</c:v>
                </c:pt>
                <c:pt idx="160">
                  <c:v>317</c:v>
                </c:pt>
                <c:pt idx="161">
                  <c:v>318</c:v>
                </c:pt>
                <c:pt idx="162">
                  <c:v>320</c:v>
                </c:pt>
                <c:pt idx="163">
                  <c:v>320</c:v>
                </c:pt>
                <c:pt idx="164">
                  <c:v>323</c:v>
                </c:pt>
                <c:pt idx="165">
                  <c:v>328</c:v>
                </c:pt>
                <c:pt idx="166">
                  <c:v>333</c:v>
                </c:pt>
                <c:pt idx="167">
                  <c:v>338</c:v>
                </c:pt>
              </c:numCache>
            </c:numRef>
          </c:val>
          <c:smooth val="0"/>
        </c:ser>
        <c:ser>
          <c:idx val="6"/>
          <c:order val="6"/>
          <c:tx>
            <c:strRef>
              <c:f>'Sheet1 (13)'!$H$3:$H$4</c:f>
              <c:strCache>
                <c:ptCount val="1"/>
                <c:pt idx="0">
                  <c:v>INFLIXIMAB+METHOTREXATE</c:v>
                </c:pt>
              </c:strCache>
            </c:strRef>
          </c:tx>
          <c:marker>
            <c:symbol val="none"/>
          </c:marker>
          <c:cat>
            <c:strRef>
              <c:f>'Sheet1 (13)'!$A$5:$A$173</c:f>
              <c:strCache>
                <c:ptCount val="168"/>
                <c:pt idx="0">
                  <c:v>1/06/2012</c:v>
                </c:pt>
                <c:pt idx="1">
                  <c:v>8/06/2012</c:v>
                </c:pt>
                <c:pt idx="2">
                  <c:v>15/06/2012</c:v>
                </c:pt>
                <c:pt idx="3">
                  <c:v>22/06/2012</c:v>
                </c:pt>
                <c:pt idx="4">
                  <c:v>29/06/2012</c:v>
                </c:pt>
                <c:pt idx="5">
                  <c:v>6/07/2012</c:v>
                </c:pt>
                <c:pt idx="6">
                  <c:v>13/07/2012</c:v>
                </c:pt>
                <c:pt idx="7">
                  <c:v>20/07/2012</c:v>
                </c:pt>
                <c:pt idx="8">
                  <c:v>27/07/2012</c:v>
                </c:pt>
                <c:pt idx="9">
                  <c:v>3/08/2012</c:v>
                </c:pt>
                <c:pt idx="10">
                  <c:v>10/08/2012</c:v>
                </c:pt>
                <c:pt idx="11">
                  <c:v>17/08/2012</c:v>
                </c:pt>
                <c:pt idx="12">
                  <c:v>24/08/2012</c:v>
                </c:pt>
                <c:pt idx="13">
                  <c:v>31/08/2012</c:v>
                </c:pt>
                <c:pt idx="14">
                  <c:v>7/09/2012</c:v>
                </c:pt>
                <c:pt idx="15">
                  <c:v>14/09/2012</c:v>
                </c:pt>
                <c:pt idx="16">
                  <c:v>21/09/2012</c:v>
                </c:pt>
                <c:pt idx="17">
                  <c:v>28/09/2012</c:v>
                </c:pt>
                <c:pt idx="18">
                  <c:v>5/10/2012</c:v>
                </c:pt>
                <c:pt idx="19">
                  <c:v>12/10/2012</c:v>
                </c:pt>
                <c:pt idx="20">
                  <c:v>19/10/2012</c:v>
                </c:pt>
                <c:pt idx="21">
                  <c:v>26/10/2012</c:v>
                </c:pt>
                <c:pt idx="22">
                  <c:v>2/11/2012</c:v>
                </c:pt>
                <c:pt idx="23">
                  <c:v>9/11/2012</c:v>
                </c:pt>
                <c:pt idx="24">
                  <c:v>16/11/2012</c:v>
                </c:pt>
                <c:pt idx="25">
                  <c:v>23/11/2012</c:v>
                </c:pt>
                <c:pt idx="26">
                  <c:v>30/11/2012</c:v>
                </c:pt>
                <c:pt idx="27">
                  <c:v>7/12/2012</c:v>
                </c:pt>
                <c:pt idx="28">
                  <c:v>14/12/2012</c:v>
                </c:pt>
                <c:pt idx="29">
                  <c:v>21/12/2012</c:v>
                </c:pt>
                <c:pt idx="30">
                  <c:v>28/12/2012</c:v>
                </c:pt>
                <c:pt idx="31">
                  <c:v>4/01/2013</c:v>
                </c:pt>
                <c:pt idx="32">
                  <c:v>11/01/2013</c:v>
                </c:pt>
                <c:pt idx="33">
                  <c:v>18/01/2013</c:v>
                </c:pt>
                <c:pt idx="34">
                  <c:v>25/01/2013</c:v>
                </c:pt>
                <c:pt idx="35">
                  <c:v>1/02/2013</c:v>
                </c:pt>
                <c:pt idx="36">
                  <c:v>8/02/2013</c:v>
                </c:pt>
                <c:pt idx="37">
                  <c:v>15/02/2013</c:v>
                </c:pt>
                <c:pt idx="38">
                  <c:v>22/02/2013</c:v>
                </c:pt>
                <c:pt idx="39">
                  <c:v>1/03/2013</c:v>
                </c:pt>
                <c:pt idx="40">
                  <c:v>8/03/2013</c:v>
                </c:pt>
                <c:pt idx="41">
                  <c:v>15/03/2013</c:v>
                </c:pt>
                <c:pt idx="42">
                  <c:v>22/03/2013</c:v>
                </c:pt>
                <c:pt idx="43">
                  <c:v>29/03/2013</c:v>
                </c:pt>
                <c:pt idx="44">
                  <c:v>5/04/2013</c:v>
                </c:pt>
                <c:pt idx="45">
                  <c:v>12/04/2013</c:v>
                </c:pt>
                <c:pt idx="46">
                  <c:v>19/04/2013</c:v>
                </c:pt>
                <c:pt idx="47">
                  <c:v>26/04/2013</c:v>
                </c:pt>
                <c:pt idx="48">
                  <c:v>3/05/2013</c:v>
                </c:pt>
                <c:pt idx="49">
                  <c:v>10/05/2013</c:v>
                </c:pt>
                <c:pt idx="50">
                  <c:v>17/05/2013</c:v>
                </c:pt>
                <c:pt idx="51">
                  <c:v>24/05/2013</c:v>
                </c:pt>
                <c:pt idx="52">
                  <c:v>31/05/2013</c:v>
                </c:pt>
                <c:pt idx="53">
                  <c:v>7/06/2013</c:v>
                </c:pt>
                <c:pt idx="54">
                  <c:v>14/06/2013</c:v>
                </c:pt>
                <c:pt idx="55">
                  <c:v>21/06/2013</c:v>
                </c:pt>
                <c:pt idx="56">
                  <c:v>28/06/2013</c:v>
                </c:pt>
                <c:pt idx="57">
                  <c:v>5/07/2013</c:v>
                </c:pt>
                <c:pt idx="58">
                  <c:v>12/07/2013</c:v>
                </c:pt>
                <c:pt idx="59">
                  <c:v>19/07/2013</c:v>
                </c:pt>
                <c:pt idx="60">
                  <c:v>26/07/2013</c:v>
                </c:pt>
                <c:pt idx="61">
                  <c:v>2/08/2013</c:v>
                </c:pt>
                <c:pt idx="62">
                  <c:v>9/08/2013</c:v>
                </c:pt>
                <c:pt idx="63">
                  <c:v>16/08/2013</c:v>
                </c:pt>
                <c:pt idx="64">
                  <c:v>23/08/2013</c:v>
                </c:pt>
                <c:pt idx="65">
                  <c:v>30/08/2013</c:v>
                </c:pt>
                <c:pt idx="66">
                  <c:v>6/09/2013</c:v>
                </c:pt>
                <c:pt idx="67">
                  <c:v>13/09/2013</c:v>
                </c:pt>
                <c:pt idx="68">
                  <c:v>20/09/2013</c:v>
                </c:pt>
                <c:pt idx="69">
                  <c:v>27/09/2013</c:v>
                </c:pt>
                <c:pt idx="70">
                  <c:v>4/10/2013</c:v>
                </c:pt>
                <c:pt idx="71">
                  <c:v>11/10/2013</c:v>
                </c:pt>
                <c:pt idx="72">
                  <c:v>18/10/2013</c:v>
                </c:pt>
                <c:pt idx="73">
                  <c:v>25/10/2013</c:v>
                </c:pt>
                <c:pt idx="74">
                  <c:v>1/11/2013</c:v>
                </c:pt>
                <c:pt idx="75">
                  <c:v>8/11/2013</c:v>
                </c:pt>
                <c:pt idx="76">
                  <c:v>15/11/2013</c:v>
                </c:pt>
                <c:pt idx="77">
                  <c:v>22/11/2013</c:v>
                </c:pt>
                <c:pt idx="78">
                  <c:v>29/11/2013</c:v>
                </c:pt>
                <c:pt idx="79">
                  <c:v>6/12/2013</c:v>
                </c:pt>
                <c:pt idx="80">
                  <c:v>13/12/2013</c:v>
                </c:pt>
                <c:pt idx="81">
                  <c:v>20/12/2013</c:v>
                </c:pt>
                <c:pt idx="82">
                  <c:v>27/12/2013</c:v>
                </c:pt>
                <c:pt idx="83">
                  <c:v>3/01/2014</c:v>
                </c:pt>
                <c:pt idx="84">
                  <c:v>10/01/2014</c:v>
                </c:pt>
                <c:pt idx="85">
                  <c:v>17/01/2014</c:v>
                </c:pt>
                <c:pt idx="86">
                  <c:v>24/01/2014</c:v>
                </c:pt>
                <c:pt idx="87">
                  <c:v>31/01/2014</c:v>
                </c:pt>
                <c:pt idx="88">
                  <c:v>7/02/2014</c:v>
                </c:pt>
                <c:pt idx="89">
                  <c:v>14/02/2014</c:v>
                </c:pt>
                <c:pt idx="90">
                  <c:v>21/02/2014</c:v>
                </c:pt>
                <c:pt idx="91">
                  <c:v>28/02/2014</c:v>
                </c:pt>
                <c:pt idx="92">
                  <c:v>7/03/2014</c:v>
                </c:pt>
                <c:pt idx="93">
                  <c:v>14/03/2014</c:v>
                </c:pt>
                <c:pt idx="94">
                  <c:v>21/03/2014</c:v>
                </c:pt>
                <c:pt idx="95">
                  <c:v>28/03/2014</c:v>
                </c:pt>
                <c:pt idx="96">
                  <c:v>4/04/2014</c:v>
                </c:pt>
                <c:pt idx="97">
                  <c:v>11/04/2014</c:v>
                </c:pt>
                <c:pt idx="98">
                  <c:v>18/04/2014</c:v>
                </c:pt>
                <c:pt idx="99">
                  <c:v>25/04/2014</c:v>
                </c:pt>
                <c:pt idx="100">
                  <c:v>2/05/2014</c:v>
                </c:pt>
                <c:pt idx="101">
                  <c:v>9/05/2014</c:v>
                </c:pt>
                <c:pt idx="102">
                  <c:v>16/05/2014</c:v>
                </c:pt>
                <c:pt idx="103">
                  <c:v>23/05/2014</c:v>
                </c:pt>
                <c:pt idx="104">
                  <c:v>30/05/2014</c:v>
                </c:pt>
                <c:pt idx="105">
                  <c:v>6/06/2014</c:v>
                </c:pt>
                <c:pt idx="106">
                  <c:v>13/06/2014</c:v>
                </c:pt>
                <c:pt idx="107">
                  <c:v>20/06/2014</c:v>
                </c:pt>
                <c:pt idx="108">
                  <c:v>27/06/2014</c:v>
                </c:pt>
                <c:pt idx="109">
                  <c:v>4/07/2014</c:v>
                </c:pt>
                <c:pt idx="110">
                  <c:v>11/07/2014</c:v>
                </c:pt>
                <c:pt idx="111">
                  <c:v>18/07/2014</c:v>
                </c:pt>
                <c:pt idx="112">
                  <c:v>25/07/2014</c:v>
                </c:pt>
                <c:pt idx="113">
                  <c:v>1/08/2014</c:v>
                </c:pt>
                <c:pt idx="114">
                  <c:v>8/08/2014</c:v>
                </c:pt>
                <c:pt idx="115">
                  <c:v>15/08/2014</c:v>
                </c:pt>
                <c:pt idx="116">
                  <c:v>22/08/2014</c:v>
                </c:pt>
                <c:pt idx="117">
                  <c:v>29/08/2014</c:v>
                </c:pt>
                <c:pt idx="118">
                  <c:v>5/09/2014</c:v>
                </c:pt>
                <c:pt idx="119">
                  <c:v>12/09/2014</c:v>
                </c:pt>
                <c:pt idx="120">
                  <c:v>19/09/2014</c:v>
                </c:pt>
                <c:pt idx="121">
                  <c:v>26/09/2014</c:v>
                </c:pt>
                <c:pt idx="122">
                  <c:v>3/10/2014</c:v>
                </c:pt>
                <c:pt idx="123">
                  <c:v>10/10/2014</c:v>
                </c:pt>
                <c:pt idx="124">
                  <c:v>17/10/2014</c:v>
                </c:pt>
                <c:pt idx="125">
                  <c:v>24/10/2014</c:v>
                </c:pt>
                <c:pt idx="126">
                  <c:v>31/10/2014</c:v>
                </c:pt>
                <c:pt idx="127">
                  <c:v>7/11/2014</c:v>
                </c:pt>
                <c:pt idx="128">
                  <c:v>14/11/2014</c:v>
                </c:pt>
                <c:pt idx="129">
                  <c:v>21/11/2014</c:v>
                </c:pt>
                <c:pt idx="130">
                  <c:v>28/11/2014</c:v>
                </c:pt>
                <c:pt idx="131">
                  <c:v>5/12/2014</c:v>
                </c:pt>
                <c:pt idx="132">
                  <c:v>12/12/2014</c:v>
                </c:pt>
                <c:pt idx="133">
                  <c:v>19/12/2014</c:v>
                </c:pt>
                <c:pt idx="134">
                  <c:v>26/12/2014</c:v>
                </c:pt>
                <c:pt idx="135">
                  <c:v>2/01/2015</c:v>
                </c:pt>
                <c:pt idx="136">
                  <c:v>9/01/2015</c:v>
                </c:pt>
                <c:pt idx="137">
                  <c:v>16/01/2015</c:v>
                </c:pt>
                <c:pt idx="138">
                  <c:v>23/01/2015</c:v>
                </c:pt>
                <c:pt idx="139">
                  <c:v>30/01/2015</c:v>
                </c:pt>
                <c:pt idx="140">
                  <c:v>6/02/2015</c:v>
                </c:pt>
                <c:pt idx="141">
                  <c:v>13/02/2015</c:v>
                </c:pt>
                <c:pt idx="142">
                  <c:v>20/02/2015</c:v>
                </c:pt>
                <c:pt idx="143">
                  <c:v>27/02/2015</c:v>
                </c:pt>
                <c:pt idx="144">
                  <c:v>6/03/2015</c:v>
                </c:pt>
                <c:pt idx="145">
                  <c:v>13/03/2015</c:v>
                </c:pt>
                <c:pt idx="146">
                  <c:v>20/03/2015</c:v>
                </c:pt>
                <c:pt idx="147">
                  <c:v>27/03/2015</c:v>
                </c:pt>
                <c:pt idx="148">
                  <c:v>3/04/2015</c:v>
                </c:pt>
                <c:pt idx="149">
                  <c:v>10/04/2015</c:v>
                </c:pt>
                <c:pt idx="150">
                  <c:v>17/04/2015</c:v>
                </c:pt>
                <c:pt idx="151">
                  <c:v>24/04/2015</c:v>
                </c:pt>
                <c:pt idx="152">
                  <c:v>1/05/2015</c:v>
                </c:pt>
                <c:pt idx="153">
                  <c:v>8/05/2015</c:v>
                </c:pt>
                <c:pt idx="154">
                  <c:v>15/05/2015</c:v>
                </c:pt>
                <c:pt idx="155">
                  <c:v>22/05/2015</c:v>
                </c:pt>
                <c:pt idx="156">
                  <c:v>29/05/2015</c:v>
                </c:pt>
                <c:pt idx="157">
                  <c:v>5/06/2015</c:v>
                </c:pt>
                <c:pt idx="158">
                  <c:v>12/06/2015</c:v>
                </c:pt>
                <c:pt idx="159">
                  <c:v>19/06/2015</c:v>
                </c:pt>
                <c:pt idx="160">
                  <c:v>26/06/2015</c:v>
                </c:pt>
                <c:pt idx="161">
                  <c:v>3/07/2015</c:v>
                </c:pt>
                <c:pt idx="162">
                  <c:v>10/07/2015</c:v>
                </c:pt>
                <c:pt idx="163">
                  <c:v>17/07/2015</c:v>
                </c:pt>
                <c:pt idx="164">
                  <c:v>24/07/2015</c:v>
                </c:pt>
                <c:pt idx="165">
                  <c:v>31/07/2015</c:v>
                </c:pt>
                <c:pt idx="166">
                  <c:v>7/08/2015</c:v>
                </c:pt>
                <c:pt idx="167">
                  <c:v>14/08/2015</c:v>
                </c:pt>
              </c:strCache>
            </c:strRef>
          </c:cat>
          <c:val>
            <c:numRef>
              <c:f>'Sheet1 (13)'!$H$5:$H$173</c:f>
              <c:numCache>
                <c:formatCode>General</c:formatCode>
                <c:ptCount val="168"/>
                <c:pt idx="0">
                  <c:v>74</c:v>
                </c:pt>
                <c:pt idx="1">
                  <c:v>74</c:v>
                </c:pt>
                <c:pt idx="2">
                  <c:v>74</c:v>
                </c:pt>
                <c:pt idx="3">
                  <c:v>75</c:v>
                </c:pt>
                <c:pt idx="4">
                  <c:v>73</c:v>
                </c:pt>
                <c:pt idx="5">
                  <c:v>74</c:v>
                </c:pt>
                <c:pt idx="6">
                  <c:v>72</c:v>
                </c:pt>
                <c:pt idx="7">
                  <c:v>72</c:v>
                </c:pt>
                <c:pt idx="8">
                  <c:v>72</c:v>
                </c:pt>
                <c:pt idx="9">
                  <c:v>74</c:v>
                </c:pt>
                <c:pt idx="10">
                  <c:v>75</c:v>
                </c:pt>
                <c:pt idx="11">
                  <c:v>75</c:v>
                </c:pt>
                <c:pt idx="12">
                  <c:v>75</c:v>
                </c:pt>
                <c:pt idx="13">
                  <c:v>75</c:v>
                </c:pt>
                <c:pt idx="14">
                  <c:v>77</c:v>
                </c:pt>
                <c:pt idx="15">
                  <c:v>79</c:v>
                </c:pt>
                <c:pt idx="16">
                  <c:v>79</c:v>
                </c:pt>
                <c:pt idx="17">
                  <c:v>80</c:v>
                </c:pt>
                <c:pt idx="18">
                  <c:v>79</c:v>
                </c:pt>
                <c:pt idx="19">
                  <c:v>83</c:v>
                </c:pt>
                <c:pt idx="20">
                  <c:v>84</c:v>
                </c:pt>
                <c:pt idx="21">
                  <c:v>81</c:v>
                </c:pt>
                <c:pt idx="22">
                  <c:v>84</c:v>
                </c:pt>
                <c:pt idx="23">
                  <c:v>84</c:v>
                </c:pt>
                <c:pt idx="24">
                  <c:v>86</c:v>
                </c:pt>
                <c:pt idx="25">
                  <c:v>86</c:v>
                </c:pt>
                <c:pt idx="26">
                  <c:v>86</c:v>
                </c:pt>
                <c:pt idx="27">
                  <c:v>86</c:v>
                </c:pt>
                <c:pt idx="28">
                  <c:v>87</c:v>
                </c:pt>
                <c:pt idx="29">
                  <c:v>88</c:v>
                </c:pt>
                <c:pt idx="30">
                  <c:v>89</c:v>
                </c:pt>
                <c:pt idx="31">
                  <c:v>88</c:v>
                </c:pt>
                <c:pt idx="32">
                  <c:v>89</c:v>
                </c:pt>
                <c:pt idx="33">
                  <c:v>88</c:v>
                </c:pt>
                <c:pt idx="34">
                  <c:v>88</c:v>
                </c:pt>
                <c:pt idx="35">
                  <c:v>89</c:v>
                </c:pt>
                <c:pt idx="36">
                  <c:v>90</c:v>
                </c:pt>
                <c:pt idx="37">
                  <c:v>90</c:v>
                </c:pt>
                <c:pt idx="38">
                  <c:v>91</c:v>
                </c:pt>
                <c:pt idx="39">
                  <c:v>94</c:v>
                </c:pt>
                <c:pt idx="40">
                  <c:v>101</c:v>
                </c:pt>
                <c:pt idx="41">
                  <c:v>102</c:v>
                </c:pt>
                <c:pt idx="42">
                  <c:v>105</c:v>
                </c:pt>
                <c:pt idx="43">
                  <c:v>105</c:v>
                </c:pt>
                <c:pt idx="44">
                  <c:v>105</c:v>
                </c:pt>
                <c:pt idx="45">
                  <c:v>106</c:v>
                </c:pt>
                <c:pt idx="46">
                  <c:v>107</c:v>
                </c:pt>
                <c:pt idx="47">
                  <c:v>107</c:v>
                </c:pt>
                <c:pt idx="48">
                  <c:v>107</c:v>
                </c:pt>
                <c:pt idx="49">
                  <c:v>110</c:v>
                </c:pt>
                <c:pt idx="50">
                  <c:v>112</c:v>
                </c:pt>
                <c:pt idx="51">
                  <c:v>112</c:v>
                </c:pt>
                <c:pt idx="52">
                  <c:v>113</c:v>
                </c:pt>
                <c:pt idx="53">
                  <c:v>113</c:v>
                </c:pt>
                <c:pt idx="54">
                  <c:v>112</c:v>
                </c:pt>
                <c:pt idx="55">
                  <c:v>111</c:v>
                </c:pt>
                <c:pt idx="56">
                  <c:v>112</c:v>
                </c:pt>
                <c:pt idx="57">
                  <c:v>112</c:v>
                </c:pt>
                <c:pt idx="58">
                  <c:v>113</c:v>
                </c:pt>
                <c:pt idx="59">
                  <c:v>111</c:v>
                </c:pt>
                <c:pt idx="60">
                  <c:v>109</c:v>
                </c:pt>
                <c:pt idx="61">
                  <c:v>109</c:v>
                </c:pt>
                <c:pt idx="62">
                  <c:v>110</c:v>
                </c:pt>
                <c:pt idx="63">
                  <c:v>110</c:v>
                </c:pt>
                <c:pt idx="64">
                  <c:v>108</c:v>
                </c:pt>
                <c:pt idx="65">
                  <c:v>109</c:v>
                </c:pt>
                <c:pt idx="66">
                  <c:v>106</c:v>
                </c:pt>
                <c:pt idx="67">
                  <c:v>106</c:v>
                </c:pt>
                <c:pt idx="68">
                  <c:v>108</c:v>
                </c:pt>
                <c:pt idx="69">
                  <c:v>112</c:v>
                </c:pt>
                <c:pt idx="70">
                  <c:v>112</c:v>
                </c:pt>
                <c:pt idx="71">
                  <c:v>110</c:v>
                </c:pt>
                <c:pt idx="72">
                  <c:v>111</c:v>
                </c:pt>
                <c:pt idx="73">
                  <c:v>113</c:v>
                </c:pt>
                <c:pt idx="74">
                  <c:v>113</c:v>
                </c:pt>
                <c:pt idx="75">
                  <c:v>109</c:v>
                </c:pt>
                <c:pt idx="76">
                  <c:v>109</c:v>
                </c:pt>
                <c:pt idx="77">
                  <c:v>110</c:v>
                </c:pt>
                <c:pt idx="78">
                  <c:v>111</c:v>
                </c:pt>
                <c:pt idx="79">
                  <c:v>112</c:v>
                </c:pt>
                <c:pt idx="80">
                  <c:v>113</c:v>
                </c:pt>
                <c:pt idx="81">
                  <c:v>110</c:v>
                </c:pt>
                <c:pt idx="82">
                  <c:v>108</c:v>
                </c:pt>
                <c:pt idx="83">
                  <c:v>108</c:v>
                </c:pt>
                <c:pt idx="84">
                  <c:v>112</c:v>
                </c:pt>
                <c:pt idx="85">
                  <c:v>113</c:v>
                </c:pt>
                <c:pt idx="86">
                  <c:v>113</c:v>
                </c:pt>
                <c:pt idx="87">
                  <c:v>116</c:v>
                </c:pt>
                <c:pt idx="88">
                  <c:v>115</c:v>
                </c:pt>
                <c:pt idx="89">
                  <c:v>112</c:v>
                </c:pt>
                <c:pt idx="90">
                  <c:v>113</c:v>
                </c:pt>
                <c:pt idx="91">
                  <c:v>111</c:v>
                </c:pt>
                <c:pt idx="92">
                  <c:v>110</c:v>
                </c:pt>
                <c:pt idx="93">
                  <c:v>110</c:v>
                </c:pt>
                <c:pt idx="94">
                  <c:v>108</c:v>
                </c:pt>
                <c:pt idx="95">
                  <c:v>110</c:v>
                </c:pt>
                <c:pt idx="96">
                  <c:v>112</c:v>
                </c:pt>
                <c:pt idx="97">
                  <c:v>111</c:v>
                </c:pt>
                <c:pt idx="98">
                  <c:v>111</c:v>
                </c:pt>
                <c:pt idx="99">
                  <c:v>111</c:v>
                </c:pt>
                <c:pt idx="100">
                  <c:v>112</c:v>
                </c:pt>
                <c:pt idx="101">
                  <c:v>113</c:v>
                </c:pt>
                <c:pt idx="102">
                  <c:v>114</c:v>
                </c:pt>
                <c:pt idx="103">
                  <c:v>115</c:v>
                </c:pt>
                <c:pt idx="104">
                  <c:v>114</c:v>
                </c:pt>
                <c:pt idx="105">
                  <c:v>116</c:v>
                </c:pt>
                <c:pt idx="106">
                  <c:v>117</c:v>
                </c:pt>
                <c:pt idx="107">
                  <c:v>117</c:v>
                </c:pt>
                <c:pt idx="108">
                  <c:v>119</c:v>
                </c:pt>
                <c:pt idx="109">
                  <c:v>119</c:v>
                </c:pt>
                <c:pt idx="110">
                  <c:v>115</c:v>
                </c:pt>
                <c:pt idx="111">
                  <c:v>114</c:v>
                </c:pt>
                <c:pt idx="112">
                  <c:v>113</c:v>
                </c:pt>
                <c:pt idx="113">
                  <c:v>114</c:v>
                </c:pt>
                <c:pt idx="114">
                  <c:v>114</c:v>
                </c:pt>
                <c:pt idx="115">
                  <c:v>114</c:v>
                </c:pt>
                <c:pt idx="116">
                  <c:v>110</c:v>
                </c:pt>
                <c:pt idx="117">
                  <c:v>110</c:v>
                </c:pt>
                <c:pt idx="118">
                  <c:v>112</c:v>
                </c:pt>
                <c:pt idx="119">
                  <c:v>114</c:v>
                </c:pt>
                <c:pt idx="120">
                  <c:v>113</c:v>
                </c:pt>
                <c:pt idx="121">
                  <c:v>114</c:v>
                </c:pt>
                <c:pt idx="122">
                  <c:v>116</c:v>
                </c:pt>
                <c:pt idx="123">
                  <c:v>116</c:v>
                </c:pt>
                <c:pt idx="124">
                  <c:v>118</c:v>
                </c:pt>
                <c:pt idx="125">
                  <c:v>117</c:v>
                </c:pt>
                <c:pt idx="126">
                  <c:v>117</c:v>
                </c:pt>
                <c:pt idx="127">
                  <c:v>117</c:v>
                </c:pt>
                <c:pt idx="128">
                  <c:v>118</c:v>
                </c:pt>
                <c:pt idx="129">
                  <c:v>118</c:v>
                </c:pt>
                <c:pt idx="130">
                  <c:v>118</c:v>
                </c:pt>
                <c:pt idx="131">
                  <c:v>117</c:v>
                </c:pt>
                <c:pt idx="132">
                  <c:v>115</c:v>
                </c:pt>
                <c:pt idx="133">
                  <c:v>115</c:v>
                </c:pt>
                <c:pt idx="134">
                  <c:v>115</c:v>
                </c:pt>
                <c:pt idx="135">
                  <c:v>119</c:v>
                </c:pt>
                <c:pt idx="136">
                  <c:v>119</c:v>
                </c:pt>
                <c:pt idx="137">
                  <c:v>119</c:v>
                </c:pt>
                <c:pt idx="138">
                  <c:v>118</c:v>
                </c:pt>
                <c:pt idx="139">
                  <c:v>121</c:v>
                </c:pt>
                <c:pt idx="140">
                  <c:v>122</c:v>
                </c:pt>
                <c:pt idx="141">
                  <c:v>120</c:v>
                </c:pt>
                <c:pt idx="142">
                  <c:v>118</c:v>
                </c:pt>
                <c:pt idx="143">
                  <c:v>116</c:v>
                </c:pt>
                <c:pt idx="144">
                  <c:v>116</c:v>
                </c:pt>
                <c:pt idx="145">
                  <c:v>115</c:v>
                </c:pt>
                <c:pt idx="146">
                  <c:v>116</c:v>
                </c:pt>
                <c:pt idx="147">
                  <c:v>120</c:v>
                </c:pt>
                <c:pt idx="148">
                  <c:v>120</c:v>
                </c:pt>
                <c:pt idx="149">
                  <c:v>124</c:v>
                </c:pt>
                <c:pt idx="150">
                  <c:v>126</c:v>
                </c:pt>
                <c:pt idx="151">
                  <c:v>126</c:v>
                </c:pt>
                <c:pt idx="152">
                  <c:v>125</c:v>
                </c:pt>
                <c:pt idx="153">
                  <c:v>130</c:v>
                </c:pt>
                <c:pt idx="154">
                  <c:v>129</c:v>
                </c:pt>
                <c:pt idx="155">
                  <c:v>130</c:v>
                </c:pt>
                <c:pt idx="156">
                  <c:v>130</c:v>
                </c:pt>
                <c:pt idx="157">
                  <c:v>129</c:v>
                </c:pt>
                <c:pt idx="158">
                  <c:v>128</c:v>
                </c:pt>
                <c:pt idx="159">
                  <c:v>127</c:v>
                </c:pt>
                <c:pt idx="160">
                  <c:v>127</c:v>
                </c:pt>
                <c:pt idx="161">
                  <c:v>128</c:v>
                </c:pt>
                <c:pt idx="162">
                  <c:v>126</c:v>
                </c:pt>
                <c:pt idx="163">
                  <c:v>127</c:v>
                </c:pt>
                <c:pt idx="164">
                  <c:v>128</c:v>
                </c:pt>
                <c:pt idx="165">
                  <c:v>127</c:v>
                </c:pt>
                <c:pt idx="166">
                  <c:v>127</c:v>
                </c:pt>
                <c:pt idx="167">
                  <c:v>125</c:v>
                </c:pt>
              </c:numCache>
            </c:numRef>
          </c:val>
          <c:smooth val="0"/>
        </c:ser>
        <c:ser>
          <c:idx val="7"/>
          <c:order val="7"/>
          <c:tx>
            <c:strRef>
              <c:f>'Sheet1 (13)'!$I$3:$I$4</c:f>
              <c:strCache>
                <c:ptCount val="1"/>
                <c:pt idx="0">
                  <c:v>INFLIXIMAB</c:v>
                </c:pt>
              </c:strCache>
            </c:strRef>
          </c:tx>
          <c:marker>
            <c:symbol val="none"/>
          </c:marker>
          <c:cat>
            <c:strRef>
              <c:f>'Sheet1 (13)'!$A$5:$A$173</c:f>
              <c:strCache>
                <c:ptCount val="168"/>
                <c:pt idx="0">
                  <c:v>1/06/2012</c:v>
                </c:pt>
                <c:pt idx="1">
                  <c:v>8/06/2012</c:v>
                </c:pt>
                <c:pt idx="2">
                  <c:v>15/06/2012</c:v>
                </c:pt>
                <c:pt idx="3">
                  <c:v>22/06/2012</c:v>
                </c:pt>
                <c:pt idx="4">
                  <c:v>29/06/2012</c:v>
                </c:pt>
                <c:pt idx="5">
                  <c:v>6/07/2012</c:v>
                </c:pt>
                <c:pt idx="6">
                  <c:v>13/07/2012</c:v>
                </c:pt>
                <c:pt idx="7">
                  <c:v>20/07/2012</c:v>
                </c:pt>
                <c:pt idx="8">
                  <c:v>27/07/2012</c:v>
                </c:pt>
                <c:pt idx="9">
                  <c:v>3/08/2012</c:v>
                </c:pt>
                <c:pt idx="10">
                  <c:v>10/08/2012</c:v>
                </c:pt>
                <c:pt idx="11">
                  <c:v>17/08/2012</c:v>
                </c:pt>
                <c:pt idx="12">
                  <c:v>24/08/2012</c:v>
                </c:pt>
                <c:pt idx="13">
                  <c:v>31/08/2012</c:v>
                </c:pt>
                <c:pt idx="14">
                  <c:v>7/09/2012</c:v>
                </c:pt>
                <c:pt idx="15">
                  <c:v>14/09/2012</c:v>
                </c:pt>
                <c:pt idx="16">
                  <c:v>21/09/2012</c:v>
                </c:pt>
                <c:pt idx="17">
                  <c:v>28/09/2012</c:v>
                </c:pt>
                <c:pt idx="18">
                  <c:v>5/10/2012</c:v>
                </c:pt>
                <c:pt idx="19">
                  <c:v>12/10/2012</c:v>
                </c:pt>
                <c:pt idx="20">
                  <c:v>19/10/2012</c:v>
                </c:pt>
                <c:pt idx="21">
                  <c:v>26/10/2012</c:v>
                </c:pt>
                <c:pt idx="22">
                  <c:v>2/11/2012</c:v>
                </c:pt>
                <c:pt idx="23">
                  <c:v>9/11/2012</c:v>
                </c:pt>
                <c:pt idx="24">
                  <c:v>16/11/2012</c:v>
                </c:pt>
                <c:pt idx="25">
                  <c:v>23/11/2012</c:v>
                </c:pt>
                <c:pt idx="26">
                  <c:v>30/11/2012</c:v>
                </c:pt>
                <c:pt idx="27">
                  <c:v>7/12/2012</c:v>
                </c:pt>
                <c:pt idx="28">
                  <c:v>14/12/2012</c:v>
                </c:pt>
                <c:pt idx="29">
                  <c:v>21/12/2012</c:v>
                </c:pt>
                <c:pt idx="30">
                  <c:v>28/12/2012</c:v>
                </c:pt>
                <c:pt idx="31">
                  <c:v>4/01/2013</c:v>
                </c:pt>
                <c:pt idx="32">
                  <c:v>11/01/2013</c:v>
                </c:pt>
                <c:pt idx="33">
                  <c:v>18/01/2013</c:v>
                </c:pt>
                <c:pt idx="34">
                  <c:v>25/01/2013</c:v>
                </c:pt>
                <c:pt idx="35">
                  <c:v>1/02/2013</c:v>
                </c:pt>
                <c:pt idx="36">
                  <c:v>8/02/2013</c:v>
                </c:pt>
                <c:pt idx="37">
                  <c:v>15/02/2013</c:v>
                </c:pt>
                <c:pt idx="38">
                  <c:v>22/02/2013</c:v>
                </c:pt>
                <c:pt idx="39">
                  <c:v>1/03/2013</c:v>
                </c:pt>
                <c:pt idx="40">
                  <c:v>8/03/2013</c:v>
                </c:pt>
                <c:pt idx="41">
                  <c:v>15/03/2013</c:v>
                </c:pt>
                <c:pt idx="42">
                  <c:v>22/03/2013</c:v>
                </c:pt>
                <c:pt idx="43">
                  <c:v>29/03/2013</c:v>
                </c:pt>
                <c:pt idx="44">
                  <c:v>5/04/2013</c:v>
                </c:pt>
                <c:pt idx="45">
                  <c:v>12/04/2013</c:v>
                </c:pt>
                <c:pt idx="46">
                  <c:v>19/04/2013</c:v>
                </c:pt>
                <c:pt idx="47">
                  <c:v>26/04/2013</c:v>
                </c:pt>
                <c:pt idx="48">
                  <c:v>3/05/2013</c:v>
                </c:pt>
                <c:pt idx="49">
                  <c:v>10/05/2013</c:v>
                </c:pt>
                <c:pt idx="50">
                  <c:v>17/05/2013</c:v>
                </c:pt>
                <c:pt idx="51">
                  <c:v>24/05/2013</c:v>
                </c:pt>
                <c:pt idx="52">
                  <c:v>31/05/2013</c:v>
                </c:pt>
                <c:pt idx="53">
                  <c:v>7/06/2013</c:v>
                </c:pt>
                <c:pt idx="54">
                  <c:v>14/06/2013</c:v>
                </c:pt>
                <c:pt idx="55">
                  <c:v>21/06/2013</c:v>
                </c:pt>
                <c:pt idx="56">
                  <c:v>28/06/2013</c:v>
                </c:pt>
                <c:pt idx="57">
                  <c:v>5/07/2013</c:v>
                </c:pt>
                <c:pt idx="58">
                  <c:v>12/07/2013</c:v>
                </c:pt>
                <c:pt idx="59">
                  <c:v>19/07/2013</c:v>
                </c:pt>
                <c:pt idx="60">
                  <c:v>26/07/2013</c:v>
                </c:pt>
                <c:pt idx="61">
                  <c:v>2/08/2013</c:v>
                </c:pt>
                <c:pt idx="62">
                  <c:v>9/08/2013</c:v>
                </c:pt>
                <c:pt idx="63">
                  <c:v>16/08/2013</c:v>
                </c:pt>
                <c:pt idx="64">
                  <c:v>23/08/2013</c:v>
                </c:pt>
                <c:pt idx="65">
                  <c:v>30/08/2013</c:v>
                </c:pt>
                <c:pt idx="66">
                  <c:v>6/09/2013</c:v>
                </c:pt>
                <c:pt idx="67">
                  <c:v>13/09/2013</c:v>
                </c:pt>
                <c:pt idx="68">
                  <c:v>20/09/2013</c:v>
                </c:pt>
                <c:pt idx="69">
                  <c:v>27/09/2013</c:v>
                </c:pt>
                <c:pt idx="70">
                  <c:v>4/10/2013</c:v>
                </c:pt>
                <c:pt idx="71">
                  <c:v>11/10/2013</c:v>
                </c:pt>
                <c:pt idx="72">
                  <c:v>18/10/2013</c:v>
                </c:pt>
                <c:pt idx="73">
                  <c:v>25/10/2013</c:v>
                </c:pt>
                <c:pt idx="74">
                  <c:v>1/11/2013</c:v>
                </c:pt>
                <c:pt idx="75">
                  <c:v>8/11/2013</c:v>
                </c:pt>
                <c:pt idx="76">
                  <c:v>15/11/2013</c:v>
                </c:pt>
                <c:pt idx="77">
                  <c:v>22/11/2013</c:v>
                </c:pt>
                <c:pt idx="78">
                  <c:v>29/11/2013</c:v>
                </c:pt>
                <c:pt idx="79">
                  <c:v>6/12/2013</c:v>
                </c:pt>
                <c:pt idx="80">
                  <c:v>13/12/2013</c:v>
                </c:pt>
                <c:pt idx="81">
                  <c:v>20/12/2013</c:v>
                </c:pt>
                <c:pt idx="82">
                  <c:v>27/12/2013</c:v>
                </c:pt>
                <c:pt idx="83">
                  <c:v>3/01/2014</c:v>
                </c:pt>
                <c:pt idx="84">
                  <c:v>10/01/2014</c:v>
                </c:pt>
                <c:pt idx="85">
                  <c:v>17/01/2014</c:v>
                </c:pt>
                <c:pt idx="86">
                  <c:v>24/01/2014</c:v>
                </c:pt>
                <c:pt idx="87">
                  <c:v>31/01/2014</c:v>
                </c:pt>
                <c:pt idx="88">
                  <c:v>7/02/2014</c:v>
                </c:pt>
                <c:pt idx="89">
                  <c:v>14/02/2014</c:v>
                </c:pt>
                <c:pt idx="90">
                  <c:v>21/02/2014</c:v>
                </c:pt>
                <c:pt idx="91">
                  <c:v>28/02/2014</c:v>
                </c:pt>
                <c:pt idx="92">
                  <c:v>7/03/2014</c:v>
                </c:pt>
                <c:pt idx="93">
                  <c:v>14/03/2014</c:v>
                </c:pt>
                <c:pt idx="94">
                  <c:v>21/03/2014</c:v>
                </c:pt>
                <c:pt idx="95">
                  <c:v>28/03/2014</c:v>
                </c:pt>
                <c:pt idx="96">
                  <c:v>4/04/2014</c:v>
                </c:pt>
                <c:pt idx="97">
                  <c:v>11/04/2014</c:v>
                </c:pt>
                <c:pt idx="98">
                  <c:v>18/04/2014</c:v>
                </c:pt>
                <c:pt idx="99">
                  <c:v>25/04/2014</c:v>
                </c:pt>
                <c:pt idx="100">
                  <c:v>2/05/2014</c:v>
                </c:pt>
                <c:pt idx="101">
                  <c:v>9/05/2014</c:v>
                </c:pt>
                <c:pt idx="102">
                  <c:v>16/05/2014</c:v>
                </c:pt>
                <c:pt idx="103">
                  <c:v>23/05/2014</c:v>
                </c:pt>
                <c:pt idx="104">
                  <c:v>30/05/2014</c:v>
                </c:pt>
                <c:pt idx="105">
                  <c:v>6/06/2014</c:v>
                </c:pt>
                <c:pt idx="106">
                  <c:v>13/06/2014</c:v>
                </c:pt>
                <c:pt idx="107">
                  <c:v>20/06/2014</c:v>
                </c:pt>
                <c:pt idx="108">
                  <c:v>27/06/2014</c:v>
                </c:pt>
                <c:pt idx="109">
                  <c:v>4/07/2014</c:v>
                </c:pt>
                <c:pt idx="110">
                  <c:v>11/07/2014</c:v>
                </c:pt>
                <c:pt idx="111">
                  <c:v>18/07/2014</c:v>
                </c:pt>
                <c:pt idx="112">
                  <c:v>25/07/2014</c:v>
                </c:pt>
                <c:pt idx="113">
                  <c:v>1/08/2014</c:v>
                </c:pt>
                <c:pt idx="114">
                  <c:v>8/08/2014</c:v>
                </c:pt>
                <c:pt idx="115">
                  <c:v>15/08/2014</c:v>
                </c:pt>
                <c:pt idx="116">
                  <c:v>22/08/2014</c:v>
                </c:pt>
                <c:pt idx="117">
                  <c:v>29/08/2014</c:v>
                </c:pt>
                <c:pt idx="118">
                  <c:v>5/09/2014</c:v>
                </c:pt>
                <c:pt idx="119">
                  <c:v>12/09/2014</c:v>
                </c:pt>
                <c:pt idx="120">
                  <c:v>19/09/2014</c:v>
                </c:pt>
                <c:pt idx="121">
                  <c:v>26/09/2014</c:v>
                </c:pt>
                <c:pt idx="122">
                  <c:v>3/10/2014</c:v>
                </c:pt>
                <c:pt idx="123">
                  <c:v>10/10/2014</c:v>
                </c:pt>
                <c:pt idx="124">
                  <c:v>17/10/2014</c:v>
                </c:pt>
                <c:pt idx="125">
                  <c:v>24/10/2014</c:v>
                </c:pt>
                <c:pt idx="126">
                  <c:v>31/10/2014</c:v>
                </c:pt>
                <c:pt idx="127">
                  <c:v>7/11/2014</c:v>
                </c:pt>
                <c:pt idx="128">
                  <c:v>14/11/2014</c:v>
                </c:pt>
                <c:pt idx="129">
                  <c:v>21/11/2014</c:v>
                </c:pt>
                <c:pt idx="130">
                  <c:v>28/11/2014</c:v>
                </c:pt>
                <c:pt idx="131">
                  <c:v>5/12/2014</c:v>
                </c:pt>
                <c:pt idx="132">
                  <c:v>12/12/2014</c:v>
                </c:pt>
                <c:pt idx="133">
                  <c:v>19/12/2014</c:v>
                </c:pt>
                <c:pt idx="134">
                  <c:v>26/12/2014</c:v>
                </c:pt>
                <c:pt idx="135">
                  <c:v>2/01/2015</c:v>
                </c:pt>
                <c:pt idx="136">
                  <c:v>9/01/2015</c:v>
                </c:pt>
                <c:pt idx="137">
                  <c:v>16/01/2015</c:v>
                </c:pt>
                <c:pt idx="138">
                  <c:v>23/01/2015</c:v>
                </c:pt>
                <c:pt idx="139">
                  <c:v>30/01/2015</c:v>
                </c:pt>
                <c:pt idx="140">
                  <c:v>6/02/2015</c:v>
                </c:pt>
                <c:pt idx="141">
                  <c:v>13/02/2015</c:v>
                </c:pt>
                <c:pt idx="142">
                  <c:v>20/02/2015</c:v>
                </c:pt>
                <c:pt idx="143">
                  <c:v>27/02/2015</c:v>
                </c:pt>
                <c:pt idx="144">
                  <c:v>6/03/2015</c:v>
                </c:pt>
                <c:pt idx="145">
                  <c:v>13/03/2015</c:v>
                </c:pt>
                <c:pt idx="146">
                  <c:v>20/03/2015</c:v>
                </c:pt>
                <c:pt idx="147">
                  <c:v>27/03/2015</c:v>
                </c:pt>
                <c:pt idx="148">
                  <c:v>3/04/2015</c:v>
                </c:pt>
                <c:pt idx="149">
                  <c:v>10/04/2015</c:v>
                </c:pt>
                <c:pt idx="150">
                  <c:v>17/04/2015</c:v>
                </c:pt>
                <c:pt idx="151">
                  <c:v>24/04/2015</c:v>
                </c:pt>
                <c:pt idx="152">
                  <c:v>1/05/2015</c:v>
                </c:pt>
                <c:pt idx="153">
                  <c:v>8/05/2015</c:v>
                </c:pt>
                <c:pt idx="154">
                  <c:v>15/05/2015</c:v>
                </c:pt>
                <c:pt idx="155">
                  <c:v>22/05/2015</c:v>
                </c:pt>
                <c:pt idx="156">
                  <c:v>29/05/2015</c:v>
                </c:pt>
                <c:pt idx="157">
                  <c:v>5/06/2015</c:v>
                </c:pt>
                <c:pt idx="158">
                  <c:v>12/06/2015</c:v>
                </c:pt>
                <c:pt idx="159">
                  <c:v>19/06/2015</c:v>
                </c:pt>
                <c:pt idx="160">
                  <c:v>26/06/2015</c:v>
                </c:pt>
                <c:pt idx="161">
                  <c:v>3/07/2015</c:v>
                </c:pt>
                <c:pt idx="162">
                  <c:v>10/07/2015</c:v>
                </c:pt>
                <c:pt idx="163">
                  <c:v>17/07/2015</c:v>
                </c:pt>
                <c:pt idx="164">
                  <c:v>24/07/2015</c:v>
                </c:pt>
                <c:pt idx="165">
                  <c:v>31/07/2015</c:v>
                </c:pt>
                <c:pt idx="166">
                  <c:v>7/08/2015</c:v>
                </c:pt>
                <c:pt idx="167">
                  <c:v>14/08/2015</c:v>
                </c:pt>
              </c:strCache>
            </c:strRef>
          </c:cat>
          <c:val>
            <c:numRef>
              <c:f>'Sheet1 (13)'!$I$5:$I$173</c:f>
              <c:numCache>
                <c:formatCode>General</c:formatCode>
                <c:ptCount val="168"/>
                <c:pt idx="0">
                  <c:v>85</c:v>
                </c:pt>
                <c:pt idx="1">
                  <c:v>87</c:v>
                </c:pt>
                <c:pt idx="2">
                  <c:v>85</c:v>
                </c:pt>
                <c:pt idx="3">
                  <c:v>85</c:v>
                </c:pt>
                <c:pt idx="4">
                  <c:v>83</c:v>
                </c:pt>
                <c:pt idx="5">
                  <c:v>83</c:v>
                </c:pt>
                <c:pt idx="6">
                  <c:v>85</c:v>
                </c:pt>
                <c:pt idx="7">
                  <c:v>86</c:v>
                </c:pt>
                <c:pt idx="8">
                  <c:v>87</c:v>
                </c:pt>
                <c:pt idx="9">
                  <c:v>87</c:v>
                </c:pt>
                <c:pt idx="10">
                  <c:v>85</c:v>
                </c:pt>
                <c:pt idx="11">
                  <c:v>84</c:v>
                </c:pt>
                <c:pt idx="12">
                  <c:v>84</c:v>
                </c:pt>
                <c:pt idx="13">
                  <c:v>87</c:v>
                </c:pt>
                <c:pt idx="14">
                  <c:v>87</c:v>
                </c:pt>
                <c:pt idx="15">
                  <c:v>87</c:v>
                </c:pt>
                <c:pt idx="16">
                  <c:v>87</c:v>
                </c:pt>
                <c:pt idx="17">
                  <c:v>86</c:v>
                </c:pt>
                <c:pt idx="18">
                  <c:v>85</c:v>
                </c:pt>
                <c:pt idx="19">
                  <c:v>88</c:v>
                </c:pt>
                <c:pt idx="20">
                  <c:v>88</c:v>
                </c:pt>
                <c:pt idx="21">
                  <c:v>89</c:v>
                </c:pt>
                <c:pt idx="22">
                  <c:v>88</c:v>
                </c:pt>
                <c:pt idx="23">
                  <c:v>88</c:v>
                </c:pt>
                <c:pt idx="24">
                  <c:v>88</c:v>
                </c:pt>
                <c:pt idx="25">
                  <c:v>89</c:v>
                </c:pt>
                <c:pt idx="26">
                  <c:v>91</c:v>
                </c:pt>
                <c:pt idx="27">
                  <c:v>90</c:v>
                </c:pt>
                <c:pt idx="28">
                  <c:v>91</c:v>
                </c:pt>
                <c:pt idx="29">
                  <c:v>94</c:v>
                </c:pt>
                <c:pt idx="30">
                  <c:v>94</c:v>
                </c:pt>
                <c:pt idx="31">
                  <c:v>95</c:v>
                </c:pt>
                <c:pt idx="32">
                  <c:v>94</c:v>
                </c:pt>
                <c:pt idx="33">
                  <c:v>93</c:v>
                </c:pt>
                <c:pt idx="34">
                  <c:v>93</c:v>
                </c:pt>
                <c:pt idx="35">
                  <c:v>93</c:v>
                </c:pt>
                <c:pt idx="36">
                  <c:v>92</c:v>
                </c:pt>
                <c:pt idx="37">
                  <c:v>92</c:v>
                </c:pt>
                <c:pt idx="38">
                  <c:v>91</c:v>
                </c:pt>
                <c:pt idx="39">
                  <c:v>90</c:v>
                </c:pt>
                <c:pt idx="40">
                  <c:v>89</c:v>
                </c:pt>
                <c:pt idx="41">
                  <c:v>94</c:v>
                </c:pt>
                <c:pt idx="42">
                  <c:v>93</c:v>
                </c:pt>
                <c:pt idx="43">
                  <c:v>96</c:v>
                </c:pt>
                <c:pt idx="44">
                  <c:v>97</c:v>
                </c:pt>
                <c:pt idx="45">
                  <c:v>96</c:v>
                </c:pt>
                <c:pt idx="46">
                  <c:v>95</c:v>
                </c:pt>
                <c:pt idx="47">
                  <c:v>95</c:v>
                </c:pt>
                <c:pt idx="48">
                  <c:v>95</c:v>
                </c:pt>
                <c:pt idx="49">
                  <c:v>95</c:v>
                </c:pt>
                <c:pt idx="50">
                  <c:v>93</c:v>
                </c:pt>
                <c:pt idx="51">
                  <c:v>93</c:v>
                </c:pt>
                <c:pt idx="52">
                  <c:v>91</c:v>
                </c:pt>
                <c:pt idx="53">
                  <c:v>91</c:v>
                </c:pt>
                <c:pt idx="54">
                  <c:v>92</c:v>
                </c:pt>
                <c:pt idx="55">
                  <c:v>92</c:v>
                </c:pt>
                <c:pt idx="56">
                  <c:v>90</c:v>
                </c:pt>
                <c:pt idx="57">
                  <c:v>90</c:v>
                </c:pt>
                <c:pt idx="58">
                  <c:v>89</c:v>
                </c:pt>
                <c:pt idx="59">
                  <c:v>91</c:v>
                </c:pt>
                <c:pt idx="60">
                  <c:v>91</c:v>
                </c:pt>
                <c:pt idx="61">
                  <c:v>93</c:v>
                </c:pt>
                <c:pt idx="62">
                  <c:v>93</c:v>
                </c:pt>
                <c:pt idx="63">
                  <c:v>92</c:v>
                </c:pt>
                <c:pt idx="64">
                  <c:v>90</c:v>
                </c:pt>
                <c:pt idx="65">
                  <c:v>89</c:v>
                </c:pt>
                <c:pt idx="66">
                  <c:v>93</c:v>
                </c:pt>
                <c:pt idx="67">
                  <c:v>92</c:v>
                </c:pt>
                <c:pt idx="68">
                  <c:v>90</c:v>
                </c:pt>
                <c:pt idx="69">
                  <c:v>89</c:v>
                </c:pt>
                <c:pt idx="70">
                  <c:v>90</c:v>
                </c:pt>
                <c:pt idx="71">
                  <c:v>93</c:v>
                </c:pt>
                <c:pt idx="72">
                  <c:v>93</c:v>
                </c:pt>
                <c:pt idx="73">
                  <c:v>94</c:v>
                </c:pt>
                <c:pt idx="74">
                  <c:v>94</c:v>
                </c:pt>
                <c:pt idx="75">
                  <c:v>97</c:v>
                </c:pt>
                <c:pt idx="76">
                  <c:v>98</c:v>
                </c:pt>
                <c:pt idx="77">
                  <c:v>97</c:v>
                </c:pt>
                <c:pt idx="78">
                  <c:v>96</c:v>
                </c:pt>
                <c:pt idx="79">
                  <c:v>95</c:v>
                </c:pt>
                <c:pt idx="80">
                  <c:v>98</c:v>
                </c:pt>
                <c:pt idx="81">
                  <c:v>100</c:v>
                </c:pt>
                <c:pt idx="82">
                  <c:v>100</c:v>
                </c:pt>
                <c:pt idx="83">
                  <c:v>99</c:v>
                </c:pt>
                <c:pt idx="84">
                  <c:v>99</c:v>
                </c:pt>
                <c:pt idx="85">
                  <c:v>101</c:v>
                </c:pt>
                <c:pt idx="86">
                  <c:v>101</c:v>
                </c:pt>
                <c:pt idx="87">
                  <c:v>100</c:v>
                </c:pt>
                <c:pt idx="88">
                  <c:v>103</c:v>
                </c:pt>
                <c:pt idx="89">
                  <c:v>105</c:v>
                </c:pt>
                <c:pt idx="90">
                  <c:v>103</c:v>
                </c:pt>
                <c:pt idx="91">
                  <c:v>102</c:v>
                </c:pt>
                <c:pt idx="92">
                  <c:v>102</c:v>
                </c:pt>
                <c:pt idx="93">
                  <c:v>103</c:v>
                </c:pt>
                <c:pt idx="94">
                  <c:v>102</c:v>
                </c:pt>
                <c:pt idx="95">
                  <c:v>103</c:v>
                </c:pt>
                <c:pt idx="96">
                  <c:v>102</c:v>
                </c:pt>
                <c:pt idx="97">
                  <c:v>103</c:v>
                </c:pt>
                <c:pt idx="98">
                  <c:v>103</c:v>
                </c:pt>
                <c:pt idx="99">
                  <c:v>104</c:v>
                </c:pt>
                <c:pt idx="100">
                  <c:v>105</c:v>
                </c:pt>
                <c:pt idx="101">
                  <c:v>107</c:v>
                </c:pt>
                <c:pt idx="102">
                  <c:v>106</c:v>
                </c:pt>
                <c:pt idx="103">
                  <c:v>106</c:v>
                </c:pt>
                <c:pt idx="104">
                  <c:v>106</c:v>
                </c:pt>
                <c:pt idx="105">
                  <c:v>104</c:v>
                </c:pt>
                <c:pt idx="106">
                  <c:v>103</c:v>
                </c:pt>
                <c:pt idx="107">
                  <c:v>102</c:v>
                </c:pt>
                <c:pt idx="108">
                  <c:v>100</c:v>
                </c:pt>
                <c:pt idx="109">
                  <c:v>102</c:v>
                </c:pt>
                <c:pt idx="110">
                  <c:v>106</c:v>
                </c:pt>
                <c:pt idx="111">
                  <c:v>107</c:v>
                </c:pt>
                <c:pt idx="112">
                  <c:v>109</c:v>
                </c:pt>
                <c:pt idx="113">
                  <c:v>110</c:v>
                </c:pt>
                <c:pt idx="114">
                  <c:v>112</c:v>
                </c:pt>
                <c:pt idx="115">
                  <c:v>113</c:v>
                </c:pt>
                <c:pt idx="116">
                  <c:v>114</c:v>
                </c:pt>
                <c:pt idx="117">
                  <c:v>113</c:v>
                </c:pt>
                <c:pt idx="118">
                  <c:v>116</c:v>
                </c:pt>
                <c:pt idx="119">
                  <c:v>115</c:v>
                </c:pt>
                <c:pt idx="120">
                  <c:v>116</c:v>
                </c:pt>
                <c:pt idx="121">
                  <c:v>115</c:v>
                </c:pt>
                <c:pt idx="122">
                  <c:v>115</c:v>
                </c:pt>
                <c:pt idx="123">
                  <c:v>116</c:v>
                </c:pt>
                <c:pt idx="124">
                  <c:v>118</c:v>
                </c:pt>
                <c:pt idx="125">
                  <c:v>117</c:v>
                </c:pt>
                <c:pt idx="126">
                  <c:v>119</c:v>
                </c:pt>
                <c:pt idx="127">
                  <c:v>121</c:v>
                </c:pt>
                <c:pt idx="128">
                  <c:v>123</c:v>
                </c:pt>
                <c:pt idx="129">
                  <c:v>121</c:v>
                </c:pt>
                <c:pt idx="130">
                  <c:v>125</c:v>
                </c:pt>
                <c:pt idx="131">
                  <c:v>126</c:v>
                </c:pt>
                <c:pt idx="132">
                  <c:v>128</c:v>
                </c:pt>
                <c:pt idx="133">
                  <c:v>131</c:v>
                </c:pt>
                <c:pt idx="134">
                  <c:v>132</c:v>
                </c:pt>
                <c:pt idx="135">
                  <c:v>128</c:v>
                </c:pt>
                <c:pt idx="136">
                  <c:v>128</c:v>
                </c:pt>
                <c:pt idx="137">
                  <c:v>128</c:v>
                </c:pt>
                <c:pt idx="138">
                  <c:v>127</c:v>
                </c:pt>
                <c:pt idx="139">
                  <c:v>128</c:v>
                </c:pt>
                <c:pt idx="140">
                  <c:v>130</c:v>
                </c:pt>
                <c:pt idx="141">
                  <c:v>131</c:v>
                </c:pt>
                <c:pt idx="142">
                  <c:v>134</c:v>
                </c:pt>
                <c:pt idx="143">
                  <c:v>137</c:v>
                </c:pt>
                <c:pt idx="144">
                  <c:v>137</c:v>
                </c:pt>
                <c:pt idx="145">
                  <c:v>141</c:v>
                </c:pt>
                <c:pt idx="146">
                  <c:v>140</c:v>
                </c:pt>
                <c:pt idx="147">
                  <c:v>139</c:v>
                </c:pt>
                <c:pt idx="148">
                  <c:v>140</c:v>
                </c:pt>
                <c:pt idx="149">
                  <c:v>139</c:v>
                </c:pt>
                <c:pt idx="150">
                  <c:v>138</c:v>
                </c:pt>
                <c:pt idx="151">
                  <c:v>137</c:v>
                </c:pt>
                <c:pt idx="152">
                  <c:v>139</c:v>
                </c:pt>
                <c:pt idx="153">
                  <c:v>137</c:v>
                </c:pt>
                <c:pt idx="154">
                  <c:v>136</c:v>
                </c:pt>
                <c:pt idx="155">
                  <c:v>135</c:v>
                </c:pt>
                <c:pt idx="156">
                  <c:v>138</c:v>
                </c:pt>
                <c:pt idx="157">
                  <c:v>137</c:v>
                </c:pt>
                <c:pt idx="158">
                  <c:v>136</c:v>
                </c:pt>
                <c:pt idx="159">
                  <c:v>136</c:v>
                </c:pt>
                <c:pt idx="160">
                  <c:v>135</c:v>
                </c:pt>
                <c:pt idx="161">
                  <c:v>133</c:v>
                </c:pt>
                <c:pt idx="162">
                  <c:v>134</c:v>
                </c:pt>
                <c:pt idx="163">
                  <c:v>133</c:v>
                </c:pt>
                <c:pt idx="164">
                  <c:v>137</c:v>
                </c:pt>
                <c:pt idx="165">
                  <c:v>141</c:v>
                </c:pt>
                <c:pt idx="166">
                  <c:v>142</c:v>
                </c:pt>
                <c:pt idx="167">
                  <c:v>141</c:v>
                </c:pt>
              </c:numCache>
            </c:numRef>
          </c:val>
          <c:smooth val="0"/>
        </c:ser>
        <c:ser>
          <c:idx val="8"/>
          <c:order val="8"/>
          <c:tx>
            <c:strRef>
              <c:f>'Sheet1 (13)'!$J$3:$J$4</c:f>
              <c:strCache>
                <c:ptCount val="1"/>
                <c:pt idx="0">
                  <c:v>ADALIMUMAB+LEFLUNOMIDE</c:v>
                </c:pt>
              </c:strCache>
            </c:strRef>
          </c:tx>
          <c:marker>
            <c:symbol val="none"/>
          </c:marker>
          <c:cat>
            <c:strRef>
              <c:f>'Sheet1 (13)'!$A$5:$A$173</c:f>
              <c:strCache>
                <c:ptCount val="168"/>
                <c:pt idx="0">
                  <c:v>1/06/2012</c:v>
                </c:pt>
                <c:pt idx="1">
                  <c:v>8/06/2012</c:v>
                </c:pt>
                <c:pt idx="2">
                  <c:v>15/06/2012</c:v>
                </c:pt>
                <c:pt idx="3">
                  <c:v>22/06/2012</c:v>
                </c:pt>
                <c:pt idx="4">
                  <c:v>29/06/2012</c:v>
                </c:pt>
                <c:pt idx="5">
                  <c:v>6/07/2012</c:v>
                </c:pt>
                <c:pt idx="6">
                  <c:v>13/07/2012</c:v>
                </c:pt>
                <c:pt idx="7">
                  <c:v>20/07/2012</c:v>
                </c:pt>
                <c:pt idx="8">
                  <c:v>27/07/2012</c:v>
                </c:pt>
                <c:pt idx="9">
                  <c:v>3/08/2012</c:v>
                </c:pt>
                <c:pt idx="10">
                  <c:v>10/08/2012</c:v>
                </c:pt>
                <c:pt idx="11">
                  <c:v>17/08/2012</c:v>
                </c:pt>
                <c:pt idx="12">
                  <c:v>24/08/2012</c:v>
                </c:pt>
                <c:pt idx="13">
                  <c:v>31/08/2012</c:v>
                </c:pt>
                <c:pt idx="14">
                  <c:v>7/09/2012</c:v>
                </c:pt>
                <c:pt idx="15">
                  <c:v>14/09/2012</c:v>
                </c:pt>
                <c:pt idx="16">
                  <c:v>21/09/2012</c:v>
                </c:pt>
                <c:pt idx="17">
                  <c:v>28/09/2012</c:v>
                </c:pt>
                <c:pt idx="18">
                  <c:v>5/10/2012</c:v>
                </c:pt>
                <c:pt idx="19">
                  <c:v>12/10/2012</c:v>
                </c:pt>
                <c:pt idx="20">
                  <c:v>19/10/2012</c:v>
                </c:pt>
                <c:pt idx="21">
                  <c:v>26/10/2012</c:v>
                </c:pt>
                <c:pt idx="22">
                  <c:v>2/11/2012</c:v>
                </c:pt>
                <c:pt idx="23">
                  <c:v>9/11/2012</c:v>
                </c:pt>
                <c:pt idx="24">
                  <c:v>16/11/2012</c:v>
                </c:pt>
                <c:pt idx="25">
                  <c:v>23/11/2012</c:v>
                </c:pt>
                <c:pt idx="26">
                  <c:v>30/11/2012</c:v>
                </c:pt>
                <c:pt idx="27">
                  <c:v>7/12/2012</c:v>
                </c:pt>
                <c:pt idx="28">
                  <c:v>14/12/2012</c:v>
                </c:pt>
                <c:pt idx="29">
                  <c:v>21/12/2012</c:v>
                </c:pt>
                <c:pt idx="30">
                  <c:v>28/12/2012</c:v>
                </c:pt>
                <c:pt idx="31">
                  <c:v>4/01/2013</c:v>
                </c:pt>
                <c:pt idx="32">
                  <c:v>11/01/2013</c:v>
                </c:pt>
                <c:pt idx="33">
                  <c:v>18/01/2013</c:v>
                </c:pt>
                <c:pt idx="34">
                  <c:v>25/01/2013</c:v>
                </c:pt>
                <c:pt idx="35">
                  <c:v>1/02/2013</c:v>
                </c:pt>
                <c:pt idx="36">
                  <c:v>8/02/2013</c:v>
                </c:pt>
                <c:pt idx="37">
                  <c:v>15/02/2013</c:v>
                </c:pt>
                <c:pt idx="38">
                  <c:v>22/02/2013</c:v>
                </c:pt>
                <c:pt idx="39">
                  <c:v>1/03/2013</c:v>
                </c:pt>
                <c:pt idx="40">
                  <c:v>8/03/2013</c:v>
                </c:pt>
                <c:pt idx="41">
                  <c:v>15/03/2013</c:v>
                </c:pt>
                <c:pt idx="42">
                  <c:v>22/03/2013</c:v>
                </c:pt>
                <c:pt idx="43">
                  <c:v>29/03/2013</c:v>
                </c:pt>
                <c:pt idx="44">
                  <c:v>5/04/2013</c:v>
                </c:pt>
                <c:pt idx="45">
                  <c:v>12/04/2013</c:v>
                </c:pt>
                <c:pt idx="46">
                  <c:v>19/04/2013</c:v>
                </c:pt>
                <c:pt idx="47">
                  <c:v>26/04/2013</c:v>
                </c:pt>
                <c:pt idx="48">
                  <c:v>3/05/2013</c:v>
                </c:pt>
                <c:pt idx="49">
                  <c:v>10/05/2013</c:v>
                </c:pt>
                <c:pt idx="50">
                  <c:v>17/05/2013</c:v>
                </c:pt>
                <c:pt idx="51">
                  <c:v>24/05/2013</c:v>
                </c:pt>
                <c:pt idx="52">
                  <c:v>31/05/2013</c:v>
                </c:pt>
                <c:pt idx="53">
                  <c:v>7/06/2013</c:v>
                </c:pt>
                <c:pt idx="54">
                  <c:v>14/06/2013</c:v>
                </c:pt>
                <c:pt idx="55">
                  <c:v>21/06/2013</c:v>
                </c:pt>
                <c:pt idx="56">
                  <c:v>28/06/2013</c:v>
                </c:pt>
                <c:pt idx="57">
                  <c:v>5/07/2013</c:v>
                </c:pt>
                <c:pt idx="58">
                  <c:v>12/07/2013</c:v>
                </c:pt>
                <c:pt idx="59">
                  <c:v>19/07/2013</c:v>
                </c:pt>
                <c:pt idx="60">
                  <c:v>26/07/2013</c:v>
                </c:pt>
                <c:pt idx="61">
                  <c:v>2/08/2013</c:v>
                </c:pt>
                <c:pt idx="62">
                  <c:v>9/08/2013</c:v>
                </c:pt>
                <c:pt idx="63">
                  <c:v>16/08/2013</c:v>
                </c:pt>
                <c:pt idx="64">
                  <c:v>23/08/2013</c:v>
                </c:pt>
                <c:pt idx="65">
                  <c:v>30/08/2013</c:v>
                </c:pt>
                <c:pt idx="66">
                  <c:v>6/09/2013</c:v>
                </c:pt>
                <c:pt idx="67">
                  <c:v>13/09/2013</c:v>
                </c:pt>
                <c:pt idx="68">
                  <c:v>20/09/2013</c:v>
                </c:pt>
                <c:pt idx="69">
                  <c:v>27/09/2013</c:v>
                </c:pt>
                <c:pt idx="70">
                  <c:v>4/10/2013</c:v>
                </c:pt>
                <c:pt idx="71">
                  <c:v>11/10/2013</c:v>
                </c:pt>
                <c:pt idx="72">
                  <c:v>18/10/2013</c:v>
                </c:pt>
                <c:pt idx="73">
                  <c:v>25/10/2013</c:v>
                </c:pt>
                <c:pt idx="74">
                  <c:v>1/11/2013</c:v>
                </c:pt>
                <c:pt idx="75">
                  <c:v>8/11/2013</c:v>
                </c:pt>
                <c:pt idx="76">
                  <c:v>15/11/2013</c:v>
                </c:pt>
                <c:pt idx="77">
                  <c:v>22/11/2013</c:v>
                </c:pt>
                <c:pt idx="78">
                  <c:v>29/11/2013</c:v>
                </c:pt>
                <c:pt idx="79">
                  <c:v>6/12/2013</c:v>
                </c:pt>
                <c:pt idx="80">
                  <c:v>13/12/2013</c:v>
                </c:pt>
                <c:pt idx="81">
                  <c:v>20/12/2013</c:v>
                </c:pt>
                <c:pt idx="82">
                  <c:v>27/12/2013</c:v>
                </c:pt>
                <c:pt idx="83">
                  <c:v>3/01/2014</c:v>
                </c:pt>
                <c:pt idx="84">
                  <c:v>10/01/2014</c:v>
                </c:pt>
                <c:pt idx="85">
                  <c:v>17/01/2014</c:v>
                </c:pt>
                <c:pt idx="86">
                  <c:v>24/01/2014</c:v>
                </c:pt>
                <c:pt idx="87">
                  <c:v>31/01/2014</c:v>
                </c:pt>
                <c:pt idx="88">
                  <c:v>7/02/2014</c:v>
                </c:pt>
                <c:pt idx="89">
                  <c:v>14/02/2014</c:v>
                </c:pt>
                <c:pt idx="90">
                  <c:v>21/02/2014</c:v>
                </c:pt>
                <c:pt idx="91">
                  <c:v>28/02/2014</c:v>
                </c:pt>
                <c:pt idx="92">
                  <c:v>7/03/2014</c:v>
                </c:pt>
                <c:pt idx="93">
                  <c:v>14/03/2014</c:v>
                </c:pt>
                <c:pt idx="94">
                  <c:v>21/03/2014</c:v>
                </c:pt>
                <c:pt idx="95">
                  <c:v>28/03/2014</c:v>
                </c:pt>
                <c:pt idx="96">
                  <c:v>4/04/2014</c:v>
                </c:pt>
                <c:pt idx="97">
                  <c:v>11/04/2014</c:v>
                </c:pt>
                <c:pt idx="98">
                  <c:v>18/04/2014</c:v>
                </c:pt>
                <c:pt idx="99">
                  <c:v>25/04/2014</c:v>
                </c:pt>
                <c:pt idx="100">
                  <c:v>2/05/2014</c:v>
                </c:pt>
                <c:pt idx="101">
                  <c:v>9/05/2014</c:v>
                </c:pt>
                <c:pt idx="102">
                  <c:v>16/05/2014</c:v>
                </c:pt>
                <c:pt idx="103">
                  <c:v>23/05/2014</c:v>
                </c:pt>
                <c:pt idx="104">
                  <c:v>30/05/2014</c:v>
                </c:pt>
                <c:pt idx="105">
                  <c:v>6/06/2014</c:v>
                </c:pt>
                <c:pt idx="106">
                  <c:v>13/06/2014</c:v>
                </c:pt>
                <c:pt idx="107">
                  <c:v>20/06/2014</c:v>
                </c:pt>
                <c:pt idx="108">
                  <c:v>27/06/2014</c:v>
                </c:pt>
                <c:pt idx="109">
                  <c:v>4/07/2014</c:v>
                </c:pt>
                <c:pt idx="110">
                  <c:v>11/07/2014</c:v>
                </c:pt>
                <c:pt idx="111">
                  <c:v>18/07/2014</c:v>
                </c:pt>
                <c:pt idx="112">
                  <c:v>25/07/2014</c:v>
                </c:pt>
                <c:pt idx="113">
                  <c:v>1/08/2014</c:v>
                </c:pt>
                <c:pt idx="114">
                  <c:v>8/08/2014</c:v>
                </c:pt>
                <c:pt idx="115">
                  <c:v>15/08/2014</c:v>
                </c:pt>
                <c:pt idx="116">
                  <c:v>22/08/2014</c:v>
                </c:pt>
                <c:pt idx="117">
                  <c:v>29/08/2014</c:v>
                </c:pt>
                <c:pt idx="118">
                  <c:v>5/09/2014</c:v>
                </c:pt>
                <c:pt idx="119">
                  <c:v>12/09/2014</c:v>
                </c:pt>
                <c:pt idx="120">
                  <c:v>19/09/2014</c:v>
                </c:pt>
                <c:pt idx="121">
                  <c:v>26/09/2014</c:v>
                </c:pt>
                <c:pt idx="122">
                  <c:v>3/10/2014</c:v>
                </c:pt>
                <c:pt idx="123">
                  <c:v>10/10/2014</c:v>
                </c:pt>
                <c:pt idx="124">
                  <c:v>17/10/2014</c:v>
                </c:pt>
                <c:pt idx="125">
                  <c:v>24/10/2014</c:v>
                </c:pt>
                <c:pt idx="126">
                  <c:v>31/10/2014</c:v>
                </c:pt>
                <c:pt idx="127">
                  <c:v>7/11/2014</c:v>
                </c:pt>
                <c:pt idx="128">
                  <c:v>14/11/2014</c:v>
                </c:pt>
                <c:pt idx="129">
                  <c:v>21/11/2014</c:v>
                </c:pt>
                <c:pt idx="130">
                  <c:v>28/11/2014</c:v>
                </c:pt>
                <c:pt idx="131">
                  <c:v>5/12/2014</c:v>
                </c:pt>
                <c:pt idx="132">
                  <c:v>12/12/2014</c:v>
                </c:pt>
                <c:pt idx="133">
                  <c:v>19/12/2014</c:v>
                </c:pt>
                <c:pt idx="134">
                  <c:v>26/12/2014</c:v>
                </c:pt>
                <c:pt idx="135">
                  <c:v>2/01/2015</c:v>
                </c:pt>
                <c:pt idx="136">
                  <c:v>9/01/2015</c:v>
                </c:pt>
                <c:pt idx="137">
                  <c:v>16/01/2015</c:v>
                </c:pt>
                <c:pt idx="138">
                  <c:v>23/01/2015</c:v>
                </c:pt>
                <c:pt idx="139">
                  <c:v>30/01/2015</c:v>
                </c:pt>
                <c:pt idx="140">
                  <c:v>6/02/2015</c:v>
                </c:pt>
                <c:pt idx="141">
                  <c:v>13/02/2015</c:v>
                </c:pt>
                <c:pt idx="142">
                  <c:v>20/02/2015</c:v>
                </c:pt>
                <c:pt idx="143">
                  <c:v>27/02/2015</c:v>
                </c:pt>
                <c:pt idx="144">
                  <c:v>6/03/2015</c:v>
                </c:pt>
                <c:pt idx="145">
                  <c:v>13/03/2015</c:v>
                </c:pt>
                <c:pt idx="146">
                  <c:v>20/03/2015</c:v>
                </c:pt>
                <c:pt idx="147">
                  <c:v>27/03/2015</c:v>
                </c:pt>
                <c:pt idx="148">
                  <c:v>3/04/2015</c:v>
                </c:pt>
                <c:pt idx="149">
                  <c:v>10/04/2015</c:v>
                </c:pt>
                <c:pt idx="150">
                  <c:v>17/04/2015</c:v>
                </c:pt>
                <c:pt idx="151">
                  <c:v>24/04/2015</c:v>
                </c:pt>
                <c:pt idx="152">
                  <c:v>1/05/2015</c:v>
                </c:pt>
                <c:pt idx="153">
                  <c:v>8/05/2015</c:v>
                </c:pt>
                <c:pt idx="154">
                  <c:v>15/05/2015</c:v>
                </c:pt>
                <c:pt idx="155">
                  <c:v>22/05/2015</c:v>
                </c:pt>
                <c:pt idx="156">
                  <c:v>29/05/2015</c:v>
                </c:pt>
                <c:pt idx="157">
                  <c:v>5/06/2015</c:v>
                </c:pt>
                <c:pt idx="158">
                  <c:v>12/06/2015</c:v>
                </c:pt>
                <c:pt idx="159">
                  <c:v>19/06/2015</c:v>
                </c:pt>
                <c:pt idx="160">
                  <c:v>26/06/2015</c:v>
                </c:pt>
                <c:pt idx="161">
                  <c:v>3/07/2015</c:v>
                </c:pt>
                <c:pt idx="162">
                  <c:v>10/07/2015</c:v>
                </c:pt>
                <c:pt idx="163">
                  <c:v>17/07/2015</c:v>
                </c:pt>
                <c:pt idx="164">
                  <c:v>24/07/2015</c:v>
                </c:pt>
                <c:pt idx="165">
                  <c:v>31/07/2015</c:v>
                </c:pt>
                <c:pt idx="166">
                  <c:v>7/08/2015</c:v>
                </c:pt>
                <c:pt idx="167">
                  <c:v>14/08/2015</c:v>
                </c:pt>
              </c:strCache>
            </c:strRef>
          </c:cat>
          <c:val>
            <c:numRef>
              <c:f>'Sheet1 (13)'!$J$5:$J$173</c:f>
              <c:numCache>
                <c:formatCode>General</c:formatCode>
                <c:ptCount val="168"/>
                <c:pt idx="0">
                  <c:v>67</c:v>
                </c:pt>
                <c:pt idx="1">
                  <c:v>70</c:v>
                </c:pt>
                <c:pt idx="2">
                  <c:v>67</c:v>
                </c:pt>
                <c:pt idx="3">
                  <c:v>69</c:v>
                </c:pt>
                <c:pt idx="4">
                  <c:v>69</c:v>
                </c:pt>
                <c:pt idx="5">
                  <c:v>70</c:v>
                </c:pt>
                <c:pt idx="6">
                  <c:v>68</c:v>
                </c:pt>
                <c:pt idx="7">
                  <c:v>66</c:v>
                </c:pt>
                <c:pt idx="8">
                  <c:v>68</c:v>
                </c:pt>
                <c:pt idx="9">
                  <c:v>68</c:v>
                </c:pt>
                <c:pt idx="10">
                  <c:v>70</c:v>
                </c:pt>
                <c:pt idx="11">
                  <c:v>67</c:v>
                </c:pt>
                <c:pt idx="12">
                  <c:v>68</c:v>
                </c:pt>
                <c:pt idx="13">
                  <c:v>65</c:v>
                </c:pt>
                <c:pt idx="14">
                  <c:v>63</c:v>
                </c:pt>
                <c:pt idx="15">
                  <c:v>63</c:v>
                </c:pt>
                <c:pt idx="16">
                  <c:v>62</c:v>
                </c:pt>
                <c:pt idx="17">
                  <c:v>64</c:v>
                </c:pt>
                <c:pt idx="18">
                  <c:v>65</c:v>
                </c:pt>
                <c:pt idx="19">
                  <c:v>65</c:v>
                </c:pt>
                <c:pt idx="20">
                  <c:v>67</c:v>
                </c:pt>
                <c:pt idx="21">
                  <c:v>64</c:v>
                </c:pt>
                <c:pt idx="22">
                  <c:v>66</c:v>
                </c:pt>
                <c:pt idx="23">
                  <c:v>65</c:v>
                </c:pt>
                <c:pt idx="24">
                  <c:v>67</c:v>
                </c:pt>
                <c:pt idx="25">
                  <c:v>67</c:v>
                </c:pt>
                <c:pt idx="26">
                  <c:v>66</c:v>
                </c:pt>
                <c:pt idx="27">
                  <c:v>68</c:v>
                </c:pt>
                <c:pt idx="28">
                  <c:v>67</c:v>
                </c:pt>
                <c:pt idx="29">
                  <c:v>68</c:v>
                </c:pt>
                <c:pt idx="30">
                  <c:v>64</c:v>
                </c:pt>
                <c:pt idx="31">
                  <c:v>70</c:v>
                </c:pt>
                <c:pt idx="32">
                  <c:v>69</c:v>
                </c:pt>
                <c:pt idx="33">
                  <c:v>70</c:v>
                </c:pt>
                <c:pt idx="34">
                  <c:v>70</c:v>
                </c:pt>
                <c:pt idx="35">
                  <c:v>70</c:v>
                </c:pt>
                <c:pt idx="36">
                  <c:v>68</c:v>
                </c:pt>
                <c:pt idx="37">
                  <c:v>68</c:v>
                </c:pt>
                <c:pt idx="38">
                  <c:v>71</c:v>
                </c:pt>
                <c:pt idx="39">
                  <c:v>69</c:v>
                </c:pt>
                <c:pt idx="40">
                  <c:v>69</c:v>
                </c:pt>
                <c:pt idx="41">
                  <c:v>72</c:v>
                </c:pt>
                <c:pt idx="42">
                  <c:v>75</c:v>
                </c:pt>
                <c:pt idx="43">
                  <c:v>76</c:v>
                </c:pt>
                <c:pt idx="44">
                  <c:v>77</c:v>
                </c:pt>
                <c:pt idx="45">
                  <c:v>75</c:v>
                </c:pt>
                <c:pt idx="46">
                  <c:v>74</c:v>
                </c:pt>
                <c:pt idx="47">
                  <c:v>72</c:v>
                </c:pt>
                <c:pt idx="48">
                  <c:v>68</c:v>
                </c:pt>
                <c:pt idx="49">
                  <c:v>67</c:v>
                </c:pt>
                <c:pt idx="50">
                  <c:v>65</c:v>
                </c:pt>
                <c:pt idx="51">
                  <c:v>65</c:v>
                </c:pt>
                <c:pt idx="52">
                  <c:v>64</c:v>
                </c:pt>
                <c:pt idx="53">
                  <c:v>64</c:v>
                </c:pt>
                <c:pt idx="54">
                  <c:v>67</c:v>
                </c:pt>
                <c:pt idx="55">
                  <c:v>67</c:v>
                </c:pt>
                <c:pt idx="56">
                  <c:v>67</c:v>
                </c:pt>
                <c:pt idx="57">
                  <c:v>66</c:v>
                </c:pt>
                <c:pt idx="58">
                  <c:v>68</c:v>
                </c:pt>
                <c:pt idx="59">
                  <c:v>67</c:v>
                </c:pt>
                <c:pt idx="60">
                  <c:v>68</c:v>
                </c:pt>
                <c:pt idx="61">
                  <c:v>69</c:v>
                </c:pt>
                <c:pt idx="62">
                  <c:v>71</c:v>
                </c:pt>
                <c:pt idx="63">
                  <c:v>72</c:v>
                </c:pt>
                <c:pt idx="64">
                  <c:v>73</c:v>
                </c:pt>
                <c:pt idx="65">
                  <c:v>74</c:v>
                </c:pt>
                <c:pt idx="66">
                  <c:v>75</c:v>
                </c:pt>
                <c:pt idx="67">
                  <c:v>75</c:v>
                </c:pt>
                <c:pt idx="68">
                  <c:v>77</c:v>
                </c:pt>
                <c:pt idx="69">
                  <c:v>77</c:v>
                </c:pt>
                <c:pt idx="70">
                  <c:v>74</c:v>
                </c:pt>
                <c:pt idx="71">
                  <c:v>72</c:v>
                </c:pt>
                <c:pt idx="72">
                  <c:v>73</c:v>
                </c:pt>
                <c:pt idx="73">
                  <c:v>71</c:v>
                </c:pt>
                <c:pt idx="74">
                  <c:v>69</c:v>
                </c:pt>
                <c:pt idx="75">
                  <c:v>70</c:v>
                </c:pt>
                <c:pt idx="76">
                  <c:v>71</c:v>
                </c:pt>
                <c:pt idx="77">
                  <c:v>72</c:v>
                </c:pt>
                <c:pt idx="78">
                  <c:v>73</c:v>
                </c:pt>
                <c:pt idx="79">
                  <c:v>77</c:v>
                </c:pt>
                <c:pt idx="80">
                  <c:v>81</c:v>
                </c:pt>
                <c:pt idx="81">
                  <c:v>80</c:v>
                </c:pt>
                <c:pt idx="82">
                  <c:v>78</c:v>
                </c:pt>
                <c:pt idx="83">
                  <c:v>78</c:v>
                </c:pt>
                <c:pt idx="84">
                  <c:v>79</c:v>
                </c:pt>
                <c:pt idx="85">
                  <c:v>80</c:v>
                </c:pt>
                <c:pt idx="86">
                  <c:v>83</c:v>
                </c:pt>
                <c:pt idx="87">
                  <c:v>83</c:v>
                </c:pt>
                <c:pt idx="88">
                  <c:v>83</c:v>
                </c:pt>
                <c:pt idx="89">
                  <c:v>83</c:v>
                </c:pt>
                <c:pt idx="90">
                  <c:v>83</c:v>
                </c:pt>
                <c:pt idx="91">
                  <c:v>84</c:v>
                </c:pt>
                <c:pt idx="92">
                  <c:v>84</c:v>
                </c:pt>
                <c:pt idx="93">
                  <c:v>83</c:v>
                </c:pt>
                <c:pt idx="94">
                  <c:v>84</c:v>
                </c:pt>
                <c:pt idx="95">
                  <c:v>83</c:v>
                </c:pt>
                <c:pt idx="96">
                  <c:v>86</c:v>
                </c:pt>
                <c:pt idx="97">
                  <c:v>83</c:v>
                </c:pt>
                <c:pt idx="98">
                  <c:v>83</c:v>
                </c:pt>
                <c:pt idx="99">
                  <c:v>80</c:v>
                </c:pt>
                <c:pt idx="100">
                  <c:v>81</c:v>
                </c:pt>
                <c:pt idx="101">
                  <c:v>80</c:v>
                </c:pt>
                <c:pt idx="102">
                  <c:v>78</c:v>
                </c:pt>
                <c:pt idx="103">
                  <c:v>76</c:v>
                </c:pt>
                <c:pt idx="104">
                  <c:v>79</c:v>
                </c:pt>
                <c:pt idx="105">
                  <c:v>78</c:v>
                </c:pt>
                <c:pt idx="106">
                  <c:v>80</c:v>
                </c:pt>
                <c:pt idx="107">
                  <c:v>82</c:v>
                </c:pt>
                <c:pt idx="108">
                  <c:v>83</c:v>
                </c:pt>
                <c:pt idx="109">
                  <c:v>85</c:v>
                </c:pt>
                <c:pt idx="110">
                  <c:v>90</c:v>
                </c:pt>
                <c:pt idx="111">
                  <c:v>89</c:v>
                </c:pt>
                <c:pt idx="112">
                  <c:v>93</c:v>
                </c:pt>
                <c:pt idx="113">
                  <c:v>94</c:v>
                </c:pt>
                <c:pt idx="114">
                  <c:v>94</c:v>
                </c:pt>
                <c:pt idx="115">
                  <c:v>92</c:v>
                </c:pt>
                <c:pt idx="116">
                  <c:v>93</c:v>
                </c:pt>
                <c:pt idx="117">
                  <c:v>94</c:v>
                </c:pt>
                <c:pt idx="118">
                  <c:v>91</c:v>
                </c:pt>
                <c:pt idx="119">
                  <c:v>91</c:v>
                </c:pt>
                <c:pt idx="120">
                  <c:v>94</c:v>
                </c:pt>
                <c:pt idx="121">
                  <c:v>95</c:v>
                </c:pt>
                <c:pt idx="122">
                  <c:v>94</c:v>
                </c:pt>
                <c:pt idx="123">
                  <c:v>94</c:v>
                </c:pt>
                <c:pt idx="124">
                  <c:v>93</c:v>
                </c:pt>
                <c:pt idx="125">
                  <c:v>95</c:v>
                </c:pt>
                <c:pt idx="126">
                  <c:v>97</c:v>
                </c:pt>
                <c:pt idx="127">
                  <c:v>93</c:v>
                </c:pt>
                <c:pt idx="128">
                  <c:v>95</c:v>
                </c:pt>
                <c:pt idx="129">
                  <c:v>99</c:v>
                </c:pt>
                <c:pt idx="130">
                  <c:v>98</c:v>
                </c:pt>
                <c:pt idx="131">
                  <c:v>100</c:v>
                </c:pt>
                <c:pt idx="132">
                  <c:v>101</c:v>
                </c:pt>
                <c:pt idx="133">
                  <c:v>98</c:v>
                </c:pt>
                <c:pt idx="134">
                  <c:v>94</c:v>
                </c:pt>
                <c:pt idx="135">
                  <c:v>95</c:v>
                </c:pt>
                <c:pt idx="136">
                  <c:v>95</c:v>
                </c:pt>
                <c:pt idx="137">
                  <c:v>99</c:v>
                </c:pt>
                <c:pt idx="138">
                  <c:v>99</c:v>
                </c:pt>
                <c:pt idx="139">
                  <c:v>98</c:v>
                </c:pt>
                <c:pt idx="140">
                  <c:v>97</c:v>
                </c:pt>
                <c:pt idx="141">
                  <c:v>96</c:v>
                </c:pt>
                <c:pt idx="142">
                  <c:v>97</c:v>
                </c:pt>
                <c:pt idx="143">
                  <c:v>97</c:v>
                </c:pt>
                <c:pt idx="144">
                  <c:v>97</c:v>
                </c:pt>
                <c:pt idx="145">
                  <c:v>99</c:v>
                </c:pt>
                <c:pt idx="146">
                  <c:v>99</c:v>
                </c:pt>
                <c:pt idx="147">
                  <c:v>98</c:v>
                </c:pt>
                <c:pt idx="148">
                  <c:v>96</c:v>
                </c:pt>
                <c:pt idx="149">
                  <c:v>97</c:v>
                </c:pt>
                <c:pt idx="150">
                  <c:v>99</c:v>
                </c:pt>
                <c:pt idx="151">
                  <c:v>96</c:v>
                </c:pt>
                <c:pt idx="152">
                  <c:v>94</c:v>
                </c:pt>
                <c:pt idx="153">
                  <c:v>96</c:v>
                </c:pt>
                <c:pt idx="154">
                  <c:v>95</c:v>
                </c:pt>
                <c:pt idx="155">
                  <c:v>92</c:v>
                </c:pt>
                <c:pt idx="156">
                  <c:v>90</c:v>
                </c:pt>
                <c:pt idx="157">
                  <c:v>93</c:v>
                </c:pt>
                <c:pt idx="158">
                  <c:v>92</c:v>
                </c:pt>
                <c:pt idx="159">
                  <c:v>90</c:v>
                </c:pt>
                <c:pt idx="160">
                  <c:v>92</c:v>
                </c:pt>
                <c:pt idx="161">
                  <c:v>94</c:v>
                </c:pt>
                <c:pt idx="162">
                  <c:v>94</c:v>
                </c:pt>
                <c:pt idx="163">
                  <c:v>94</c:v>
                </c:pt>
                <c:pt idx="164">
                  <c:v>91</c:v>
                </c:pt>
                <c:pt idx="165">
                  <c:v>92</c:v>
                </c:pt>
                <c:pt idx="166">
                  <c:v>93</c:v>
                </c:pt>
                <c:pt idx="167">
                  <c:v>92</c:v>
                </c:pt>
              </c:numCache>
            </c:numRef>
          </c:val>
          <c:smooth val="0"/>
        </c:ser>
        <c:ser>
          <c:idx val="9"/>
          <c:order val="9"/>
          <c:tx>
            <c:strRef>
              <c:f>'Sheet1 (13)'!$K$3:$K$4</c:f>
              <c:strCache>
                <c:ptCount val="1"/>
                <c:pt idx="0">
                  <c:v>ADALIMUMAB+METHOTREXATE+SULFASALAZINE</c:v>
                </c:pt>
              </c:strCache>
            </c:strRef>
          </c:tx>
          <c:marker>
            <c:symbol val="none"/>
          </c:marker>
          <c:cat>
            <c:strRef>
              <c:f>'Sheet1 (13)'!$A$5:$A$173</c:f>
              <c:strCache>
                <c:ptCount val="168"/>
                <c:pt idx="0">
                  <c:v>1/06/2012</c:v>
                </c:pt>
                <c:pt idx="1">
                  <c:v>8/06/2012</c:v>
                </c:pt>
                <c:pt idx="2">
                  <c:v>15/06/2012</c:v>
                </c:pt>
                <c:pt idx="3">
                  <c:v>22/06/2012</c:v>
                </c:pt>
                <c:pt idx="4">
                  <c:v>29/06/2012</c:v>
                </c:pt>
                <c:pt idx="5">
                  <c:v>6/07/2012</c:v>
                </c:pt>
                <c:pt idx="6">
                  <c:v>13/07/2012</c:v>
                </c:pt>
                <c:pt idx="7">
                  <c:v>20/07/2012</c:v>
                </c:pt>
                <c:pt idx="8">
                  <c:v>27/07/2012</c:v>
                </c:pt>
                <c:pt idx="9">
                  <c:v>3/08/2012</c:v>
                </c:pt>
                <c:pt idx="10">
                  <c:v>10/08/2012</c:v>
                </c:pt>
                <c:pt idx="11">
                  <c:v>17/08/2012</c:v>
                </c:pt>
                <c:pt idx="12">
                  <c:v>24/08/2012</c:v>
                </c:pt>
                <c:pt idx="13">
                  <c:v>31/08/2012</c:v>
                </c:pt>
                <c:pt idx="14">
                  <c:v>7/09/2012</c:v>
                </c:pt>
                <c:pt idx="15">
                  <c:v>14/09/2012</c:v>
                </c:pt>
                <c:pt idx="16">
                  <c:v>21/09/2012</c:v>
                </c:pt>
                <c:pt idx="17">
                  <c:v>28/09/2012</c:v>
                </c:pt>
                <c:pt idx="18">
                  <c:v>5/10/2012</c:v>
                </c:pt>
                <c:pt idx="19">
                  <c:v>12/10/2012</c:v>
                </c:pt>
                <c:pt idx="20">
                  <c:v>19/10/2012</c:v>
                </c:pt>
                <c:pt idx="21">
                  <c:v>26/10/2012</c:v>
                </c:pt>
                <c:pt idx="22">
                  <c:v>2/11/2012</c:v>
                </c:pt>
                <c:pt idx="23">
                  <c:v>9/11/2012</c:v>
                </c:pt>
                <c:pt idx="24">
                  <c:v>16/11/2012</c:v>
                </c:pt>
                <c:pt idx="25">
                  <c:v>23/11/2012</c:v>
                </c:pt>
                <c:pt idx="26">
                  <c:v>30/11/2012</c:v>
                </c:pt>
                <c:pt idx="27">
                  <c:v>7/12/2012</c:v>
                </c:pt>
                <c:pt idx="28">
                  <c:v>14/12/2012</c:v>
                </c:pt>
                <c:pt idx="29">
                  <c:v>21/12/2012</c:v>
                </c:pt>
                <c:pt idx="30">
                  <c:v>28/12/2012</c:v>
                </c:pt>
                <c:pt idx="31">
                  <c:v>4/01/2013</c:v>
                </c:pt>
                <c:pt idx="32">
                  <c:v>11/01/2013</c:v>
                </c:pt>
                <c:pt idx="33">
                  <c:v>18/01/2013</c:v>
                </c:pt>
                <c:pt idx="34">
                  <c:v>25/01/2013</c:v>
                </c:pt>
                <c:pt idx="35">
                  <c:v>1/02/2013</c:v>
                </c:pt>
                <c:pt idx="36">
                  <c:v>8/02/2013</c:v>
                </c:pt>
                <c:pt idx="37">
                  <c:v>15/02/2013</c:v>
                </c:pt>
                <c:pt idx="38">
                  <c:v>22/02/2013</c:v>
                </c:pt>
                <c:pt idx="39">
                  <c:v>1/03/2013</c:v>
                </c:pt>
                <c:pt idx="40">
                  <c:v>8/03/2013</c:v>
                </c:pt>
                <c:pt idx="41">
                  <c:v>15/03/2013</c:v>
                </c:pt>
                <c:pt idx="42">
                  <c:v>22/03/2013</c:v>
                </c:pt>
                <c:pt idx="43">
                  <c:v>29/03/2013</c:v>
                </c:pt>
                <c:pt idx="44">
                  <c:v>5/04/2013</c:v>
                </c:pt>
                <c:pt idx="45">
                  <c:v>12/04/2013</c:v>
                </c:pt>
                <c:pt idx="46">
                  <c:v>19/04/2013</c:v>
                </c:pt>
                <c:pt idx="47">
                  <c:v>26/04/2013</c:v>
                </c:pt>
                <c:pt idx="48">
                  <c:v>3/05/2013</c:v>
                </c:pt>
                <c:pt idx="49">
                  <c:v>10/05/2013</c:v>
                </c:pt>
                <c:pt idx="50">
                  <c:v>17/05/2013</c:v>
                </c:pt>
                <c:pt idx="51">
                  <c:v>24/05/2013</c:v>
                </c:pt>
                <c:pt idx="52">
                  <c:v>31/05/2013</c:v>
                </c:pt>
                <c:pt idx="53">
                  <c:v>7/06/2013</c:v>
                </c:pt>
                <c:pt idx="54">
                  <c:v>14/06/2013</c:v>
                </c:pt>
                <c:pt idx="55">
                  <c:v>21/06/2013</c:v>
                </c:pt>
                <c:pt idx="56">
                  <c:v>28/06/2013</c:v>
                </c:pt>
                <c:pt idx="57">
                  <c:v>5/07/2013</c:v>
                </c:pt>
                <c:pt idx="58">
                  <c:v>12/07/2013</c:v>
                </c:pt>
                <c:pt idx="59">
                  <c:v>19/07/2013</c:v>
                </c:pt>
                <c:pt idx="60">
                  <c:v>26/07/2013</c:v>
                </c:pt>
                <c:pt idx="61">
                  <c:v>2/08/2013</c:v>
                </c:pt>
                <c:pt idx="62">
                  <c:v>9/08/2013</c:v>
                </c:pt>
                <c:pt idx="63">
                  <c:v>16/08/2013</c:v>
                </c:pt>
                <c:pt idx="64">
                  <c:v>23/08/2013</c:v>
                </c:pt>
                <c:pt idx="65">
                  <c:v>30/08/2013</c:v>
                </c:pt>
                <c:pt idx="66">
                  <c:v>6/09/2013</c:v>
                </c:pt>
                <c:pt idx="67">
                  <c:v>13/09/2013</c:v>
                </c:pt>
                <c:pt idx="68">
                  <c:v>20/09/2013</c:v>
                </c:pt>
                <c:pt idx="69">
                  <c:v>27/09/2013</c:v>
                </c:pt>
                <c:pt idx="70">
                  <c:v>4/10/2013</c:v>
                </c:pt>
                <c:pt idx="71">
                  <c:v>11/10/2013</c:v>
                </c:pt>
                <c:pt idx="72">
                  <c:v>18/10/2013</c:v>
                </c:pt>
                <c:pt idx="73">
                  <c:v>25/10/2013</c:v>
                </c:pt>
                <c:pt idx="74">
                  <c:v>1/11/2013</c:v>
                </c:pt>
                <c:pt idx="75">
                  <c:v>8/11/2013</c:v>
                </c:pt>
                <c:pt idx="76">
                  <c:v>15/11/2013</c:v>
                </c:pt>
                <c:pt idx="77">
                  <c:v>22/11/2013</c:v>
                </c:pt>
                <c:pt idx="78">
                  <c:v>29/11/2013</c:v>
                </c:pt>
                <c:pt idx="79">
                  <c:v>6/12/2013</c:v>
                </c:pt>
                <c:pt idx="80">
                  <c:v>13/12/2013</c:v>
                </c:pt>
                <c:pt idx="81">
                  <c:v>20/12/2013</c:v>
                </c:pt>
                <c:pt idx="82">
                  <c:v>27/12/2013</c:v>
                </c:pt>
                <c:pt idx="83">
                  <c:v>3/01/2014</c:v>
                </c:pt>
                <c:pt idx="84">
                  <c:v>10/01/2014</c:v>
                </c:pt>
                <c:pt idx="85">
                  <c:v>17/01/2014</c:v>
                </c:pt>
                <c:pt idx="86">
                  <c:v>24/01/2014</c:v>
                </c:pt>
                <c:pt idx="87">
                  <c:v>31/01/2014</c:v>
                </c:pt>
                <c:pt idx="88">
                  <c:v>7/02/2014</c:v>
                </c:pt>
                <c:pt idx="89">
                  <c:v>14/02/2014</c:v>
                </c:pt>
                <c:pt idx="90">
                  <c:v>21/02/2014</c:v>
                </c:pt>
                <c:pt idx="91">
                  <c:v>28/02/2014</c:v>
                </c:pt>
                <c:pt idx="92">
                  <c:v>7/03/2014</c:v>
                </c:pt>
                <c:pt idx="93">
                  <c:v>14/03/2014</c:v>
                </c:pt>
                <c:pt idx="94">
                  <c:v>21/03/2014</c:v>
                </c:pt>
                <c:pt idx="95">
                  <c:v>28/03/2014</c:v>
                </c:pt>
                <c:pt idx="96">
                  <c:v>4/04/2014</c:v>
                </c:pt>
                <c:pt idx="97">
                  <c:v>11/04/2014</c:v>
                </c:pt>
                <c:pt idx="98">
                  <c:v>18/04/2014</c:v>
                </c:pt>
                <c:pt idx="99">
                  <c:v>25/04/2014</c:v>
                </c:pt>
                <c:pt idx="100">
                  <c:v>2/05/2014</c:v>
                </c:pt>
                <c:pt idx="101">
                  <c:v>9/05/2014</c:v>
                </c:pt>
                <c:pt idx="102">
                  <c:v>16/05/2014</c:v>
                </c:pt>
                <c:pt idx="103">
                  <c:v>23/05/2014</c:v>
                </c:pt>
                <c:pt idx="104">
                  <c:v>30/05/2014</c:v>
                </c:pt>
                <c:pt idx="105">
                  <c:v>6/06/2014</c:v>
                </c:pt>
                <c:pt idx="106">
                  <c:v>13/06/2014</c:v>
                </c:pt>
                <c:pt idx="107">
                  <c:v>20/06/2014</c:v>
                </c:pt>
                <c:pt idx="108">
                  <c:v>27/06/2014</c:v>
                </c:pt>
                <c:pt idx="109">
                  <c:v>4/07/2014</c:v>
                </c:pt>
                <c:pt idx="110">
                  <c:v>11/07/2014</c:v>
                </c:pt>
                <c:pt idx="111">
                  <c:v>18/07/2014</c:v>
                </c:pt>
                <c:pt idx="112">
                  <c:v>25/07/2014</c:v>
                </c:pt>
                <c:pt idx="113">
                  <c:v>1/08/2014</c:v>
                </c:pt>
                <c:pt idx="114">
                  <c:v>8/08/2014</c:v>
                </c:pt>
                <c:pt idx="115">
                  <c:v>15/08/2014</c:v>
                </c:pt>
                <c:pt idx="116">
                  <c:v>22/08/2014</c:v>
                </c:pt>
                <c:pt idx="117">
                  <c:v>29/08/2014</c:v>
                </c:pt>
                <c:pt idx="118">
                  <c:v>5/09/2014</c:v>
                </c:pt>
                <c:pt idx="119">
                  <c:v>12/09/2014</c:v>
                </c:pt>
                <c:pt idx="120">
                  <c:v>19/09/2014</c:v>
                </c:pt>
                <c:pt idx="121">
                  <c:v>26/09/2014</c:v>
                </c:pt>
                <c:pt idx="122">
                  <c:v>3/10/2014</c:v>
                </c:pt>
                <c:pt idx="123">
                  <c:v>10/10/2014</c:v>
                </c:pt>
                <c:pt idx="124">
                  <c:v>17/10/2014</c:v>
                </c:pt>
                <c:pt idx="125">
                  <c:v>24/10/2014</c:v>
                </c:pt>
                <c:pt idx="126">
                  <c:v>31/10/2014</c:v>
                </c:pt>
                <c:pt idx="127">
                  <c:v>7/11/2014</c:v>
                </c:pt>
                <c:pt idx="128">
                  <c:v>14/11/2014</c:v>
                </c:pt>
                <c:pt idx="129">
                  <c:v>21/11/2014</c:v>
                </c:pt>
                <c:pt idx="130">
                  <c:v>28/11/2014</c:v>
                </c:pt>
                <c:pt idx="131">
                  <c:v>5/12/2014</c:v>
                </c:pt>
                <c:pt idx="132">
                  <c:v>12/12/2014</c:v>
                </c:pt>
                <c:pt idx="133">
                  <c:v>19/12/2014</c:v>
                </c:pt>
                <c:pt idx="134">
                  <c:v>26/12/2014</c:v>
                </c:pt>
                <c:pt idx="135">
                  <c:v>2/01/2015</c:v>
                </c:pt>
                <c:pt idx="136">
                  <c:v>9/01/2015</c:v>
                </c:pt>
                <c:pt idx="137">
                  <c:v>16/01/2015</c:v>
                </c:pt>
                <c:pt idx="138">
                  <c:v>23/01/2015</c:v>
                </c:pt>
                <c:pt idx="139">
                  <c:v>30/01/2015</c:v>
                </c:pt>
                <c:pt idx="140">
                  <c:v>6/02/2015</c:v>
                </c:pt>
                <c:pt idx="141">
                  <c:v>13/02/2015</c:v>
                </c:pt>
                <c:pt idx="142">
                  <c:v>20/02/2015</c:v>
                </c:pt>
                <c:pt idx="143">
                  <c:v>27/02/2015</c:v>
                </c:pt>
                <c:pt idx="144">
                  <c:v>6/03/2015</c:v>
                </c:pt>
                <c:pt idx="145">
                  <c:v>13/03/2015</c:v>
                </c:pt>
                <c:pt idx="146">
                  <c:v>20/03/2015</c:v>
                </c:pt>
                <c:pt idx="147">
                  <c:v>27/03/2015</c:v>
                </c:pt>
                <c:pt idx="148">
                  <c:v>3/04/2015</c:v>
                </c:pt>
                <c:pt idx="149">
                  <c:v>10/04/2015</c:v>
                </c:pt>
                <c:pt idx="150">
                  <c:v>17/04/2015</c:v>
                </c:pt>
                <c:pt idx="151">
                  <c:v>24/04/2015</c:v>
                </c:pt>
                <c:pt idx="152">
                  <c:v>1/05/2015</c:v>
                </c:pt>
                <c:pt idx="153">
                  <c:v>8/05/2015</c:v>
                </c:pt>
                <c:pt idx="154">
                  <c:v>15/05/2015</c:v>
                </c:pt>
                <c:pt idx="155">
                  <c:v>22/05/2015</c:v>
                </c:pt>
                <c:pt idx="156">
                  <c:v>29/05/2015</c:v>
                </c:pt>
                <c:pt idx="157">
                  <c:v>5/06/2015</c:v>
                </c:pt>
                <c:pt idx="158">
                  <c:v>12/06/2015</c:v>
                </c:pt>
                <c:pt idx="159">
                  <c:v>19/06/2015</c:v>
                </c:pt>
                <c:pt idx="160">
                  <c:v>26/06/2015</c:v>
                </c:pt>
                <c:pt idx="161">
                  <c:v>3/07/2015</c:v>
                </c:pt>
                <c:pt idx="162">
                  <c:v>10/07/2015</c:v>
                </c:pt>
                <c:pt idx="163">
                  <c:v>17/07/2015</c:v>
                </c:pt>
                <c:pt idx="164">
                  <c:v>24/07/2015</c:v>
                </c:pt>
                <c:pt idx="165">
                  <c:v>31/07/2015</c:v>
                </c:pt>
                <c:pt idx="166">
                  <c:v>7/08/2015</c:v>
                </c:pt>
                <c:pt idx="167">
                  <c:v>14/08/2015</c:v>
                </c:pt>
              </c:strCache>
            </c:strRef>
          </c:cat>
          <c:val>
            <c:numRef>
              <c:f>'Sheet1 (13)'!$K$5:$K$173</c:f>
              <c:numCache>
                <c:formatCode>General</c:formatCode>
                <c:ptCount val="168"/>
                <c:pt idx="0">
                  <c:v>48</c:v>
                </c:pt>
                <c:pt idx="1">
                  <c:v>48</c:v>
                </c:pt>
                <c:pt idx="2">
                  <c:v>47</c:v>
                </c:pt>
                <c:pt idx="3">
                  <c:v>48</c:v>
                </c:pt>
                <c:pt idx="4">
                  <c:v>48</c:v>
                </c:pt>
                <c:pt idx="5">
                  <c:v>48</c:v>
                </c:pt>
                <c:pt idx="6">
                  <c:v>46</c:v>
                </c:pt>
                <c:pt idx="7">
                  <c:v>46</c:v>
                </c:pt>
                <c:pt idx="8">
                  <c:v>49</c:v>
                </c:pt>
                <c:pt idx="9">
                  <c:v>48</c:v>
                </c:pt>
                <c:pt idx="10">
                  <c:v>45</c:v>
                </c:pt>
                <c:pt idx="11">
                  <c:v>44</c:v>
                </c:pt>
                <c:pt idx="12">
                  <c:v>44</c:v>
                </c:pt>
                <c:pt idx="13">
                  <c:v>49</c:v>
                </c:pt>
                <c:pt idx="14">
                  <c:v>48</c:v>
                </c:pt>
                <c:pt idx="15">
                  <c:v>45</c:v>
                </c:pt>
                <c:pt idx="16">
                  <c:v>48</c:v>
                </c:pt>
                <c:pt idx="17">
                  <c:v>48</c:v>
                </c:pt>
                <c:pt idx="18">
                  <c:v>48</c:v>
                </c:pt>
                <c:pt idx="19">
                  <c:v>48</c:v>
                </c:pt>
                <c:pt idx="20">
                  <c:v>48</c:v>
                </c:pt>
                <c:pt idx="21">
                  <c:v>51</c:v>
                </c:pt>
                <c:pt idx="22">
                  <c:v>52</c:v>
                </c:pt>
                <c:pt idx="23">
                  <c:v>56</c:v>
                </c:pt>
                <c:pt idx="24">
                  <c:v>57</c:v>
                </c:pt>
                <c:pt idx="25">
                  <c:v>57</c:v>
                </c:pt>
                <c:pt idx="26">
                  <c:v>60</c:v>
                </c:pt>
                <c:pt idx="27">
                  <c:v>59</c:v>
                </c:pt>
                <c:pt idx="28">
                  <c:v>64</c:v>
                </c:pt>
                <c:pt idx="29">
                  <c:v>63</c:v>
                </c:pt>
                <c:pt idx="30">
                  <c:v>62</c:v>
                </c:pt>
                <c:pt idx="31">
                  <c:v>60</c:v>
                </c:pt>
                <c:pt idx="32">
                  <c:v>57</c:v>
                </c:pt>
                <c:pt idx="33">
                  <c:v>57</c:v>
                </c:pt>
                <c:pt idx="34">
                  <c:v>51</c:v>
                </c:pt>
                <c:pt idx="35">
                  <c:v>51</c:v>
                </c:pt>
                <c:pt idx="36">
                  <c:v>53</c:v>
                </c:pt>
                <c:pt idx="37">
                  <c:v>54</c:v>
                </c:pt>
                <c:pt idx="38">
                  <c:v>54</c:v>
                </c:pt>
                <c:pt idx="39">
                  <c:v>52</c:v>
                </c:pt>
                <c:pt idx="40">
                  <c:v>53</c:v>
                </c:pt>
                <c:pt idx="41">
                  <c:v>57</c:v>
                </c:pt>
                <c:pt idx="42">
                  <c:v>61</c:v>
                </c:pt>
                <c:pt idx="43">
                  <c:v>61</c:v>
                </c:pt>
                <c:pt idx="44">
                  <c:v>59</c:v>
                </c:pt>
                <c:pt idx="45">
                  <c:v>59</c:v>
                </c:pt>
                <c:pt idx="46">
                  <c:v>56</c:v>
                </c:pt>
                <c:pt idx="47">
                  <c:v>57</c:v>
                </c:pt>
                <c:pt idx="48">
                  <c:v>60</c:v>
                </c:pt>
                <c:pt idx="49">
                  <c:v>61</c:v>
                </c:pt>
                <c:pt idx="50">
                  <c:v>61</c:v>
                </c:pt>
                <c:pt idx="51">
                  <c:v>58</c:v>
                </c:pt>
                <c:pt idx="52">
                  <c:v>62</c:v>
                </c:pt>
                <c:pt idx="53">
                  <c:v>63</c:v>
                </c:pt>
                <c:pt idx="54">
                  <c:v>64</c:v>
                </c:pt>
                <c:pt idx="55">
                  <c:v>66</c:v>
                </c:pt>
                <c:pt idx="56">
                  <c:v>65</c:v>
                </c:pt>
                <c:pt idx="57">
                  <c:v>65</c:v>
                </c:pt>
                <c:pt idx="58">
                  <c:v>63</c:v>
                </c:pt>
                <c:pt idx="59">
                  <c:v>63</c:v>
                </c:pt>
                <c:pt idx="60">
                  <c:v>65</c:v>
                </c:pt>
                <c:pt idx="61">
                  <c:v>69</c:v>
                </c:pt>
                <c:pt idx="62">
                  <c:v>67</c:v>
                </c:pt>
                <c:pt idx="63">
                  <c:v>64</c:v>
                </c:pt>
                <c:pt idx="64">
                  <c:v>61</c:v>
                </c:pt>
                <c:pt idx="65">
                  <c:v>60</c:v>
                </c:pt>
                <c:pt idx="66">
                  <c:v>60</c:v>
                </c:pt>
                <c:pt idx="67">
                  <c:v>62</c:v>
                </c:pt>
                <c:pt idx="68">
                  <c:v>63</c:v>
                </c:pt>
                <c:pt idx="69">
                  <c:v>63</c:v>
                </c:pt>
                <c:pt idx="70">
                  <c:v>65</c:v>
                </c:pt>
                <c:pt idx="71">
                  <c:v>64</c:v>
                </c:pt>
                <c:pt idx="72">
                  <c:v>66</c:v>
                </c:pt>
                <c:pt idx="73">
                  <c:v>64</c:v>
                </c:pt>
                <c:pt idx="74">
                  <c:v>65</c:v>
                </c:pt>
                <c:pt idx="75">
                  <c:v>62</c:v>
                </c:pt>
                <c:pt idx="76">
                  <c:v>61</c:v>
                </c:pt>
                <c:pt idx="77">
                  <c:v>62</c:v>
                </c:pt>
                <c:pt idx="78">
                  <c:v>62</c:v>
                </c:pt>
                <c:pt idx="79">
                  <c:v>58</c:v>
                </c:pt>
                <c:pt idx="80">
                  <c:v>62</c:v>
                </c:pt>
                <c:pt idx="81">
                  <c:v>65</c:v>
                </c:pt>
                <c:pt idx="82">
                  <c:v>62</c:v>
                </c:pt>
                <c:pt idx="83">
                  <c:v>68</c:v>
                </c:pt>
                <c:pt idx="84">
                  <c:v>70</c:v>
                </c:pt>
                <c:pt idx="85">
                  <c:v>70</c:v>
                </c:pt>
                <c:pt idx="86">
                  <c:v>69</c:v>
                </c:pt>
                <c:pt idx="87">
                  <c:v>68</c:v>
                </c:pt>
                <c:pt idx="88">
                  <c:v>72</c:v>
                </c:pt>
                <c:pt idx="89">
                  <c:v>73</c:v>
                </c:pt>
                <c:pt idx="90">
                  <c:v>71</c:v>
                </c:pt>
                <c:pt idx="91">
                  <c:v>71</c:v>
                </c:pt>
                <c:pt idx="92">
                  <c:v>67</c:v>
                </c:pt>
                <c:pt idx="93">
                  <c:v>64</c:v>
                </c:pt>
                <c:pt idx="94">
                  <c:v>65</c:v>
                </c:pt>
                <c:pt idx="95">
                  <c:v>66</c:v>
                </c:pt>
                <c:pt idx="96">
                  <c:v>62</c:v>
                </c:pt>
                <c:pt idx="97">
                  <c:v>65</c:v>
                </c:pt>
                <c:pt idx="98">
                  <c:v>65</c:v>
                </c:pt>
                <c:pt idx="99">
                  <c:v>65</c:v>
                </c:pt>
                <c:pt idx="100">
                  <c:v>66</c:v>
                </c:pt>
                <c:pt idx="101">
                  <c:v>68</c:v>
                </c:pt>
                <c:pt idx="102">
                  <c:v>72</c:v>
                </c:pt>
                <c:pt idx="103">
                  <c:v>71</c:v>
                </c:pt>
                <c:pt idx="104">
                  <c:v>73</c:v>
                </c:pt>
                <c:pt idx="105">
                  <c:v>73</c:v>
                </c:pt>
                <c:pt idx="106">
                  <c:v>72</c:v>
                </c:pt>
                <c:pt idx="107">
                  <c:v>79</c:v>
                </c:pt>
                <c:pt idx="108">
                  <c:v>83</c:v>
                </c:pt>
                <c:pt idx="109">
                  <c:v>87</c:v>
                </c:pt>
                <c:pt idx="110">
                  <c:v>90</c:v>
                </c:pt>
                <c:pt idx="111">
                  <c:v>89</c:v>
                </c:pt>
                <c:pt idx="112">
                  <c:v>88</c:v>
                </c:pt>
                <c:pt idx="113">
                  <c:v>86</c:v>
                </c:pt>
                <c:pt idx="114">
                  <c:v>89</c:v>
                </c:pt>
                <c:pt idx="115">
                  <c:v>88</c:v>
                </c:pt>
                <c:pt idx="116">
                  <c:v>85</c:v>
                </c:pt>
                <c:pt idx="117">
                  <c:v>89</c:v>
                </c:pt>
                <c:pt idx="118">
                  <c:v>88</c:v>
                </c:pt>
                <c:pt idx="119">
                  <c:v>83</c:v>
                </c:pt>
                <c:pt idx="120">
                  <c:v>81</c:v>
                </c:pt>
                <c:pt idx="121">
                  <c:v>86</c:v>
                </c:pt>
                <c:pt idx="122">
                  <c:v>82</c:v>
                </c:pt>
                <c:pt idx="123">
                  <c:v>83</c:v>
                </c:pt>
                <c:pt idx="124">
                  <c:v>83</c:v>
                </c:pt>
                <c:pt idx="125">
                  <c:v>87</c:v>
                </c:pt>
                <c:pt idx="126">
                  <c:v>86</c:v>
                </c:pt>
                <c:pt idx="127">
                  <c:v>87</c:v>
                </c:pt>
                <c:pt idx="128">
                  <c:v>84</c:v>
                </c:pt>
                <c:pt idx="129">
                  <c:v>79</c:v>
                </c:pt>
                <c:pt idx="130">
                  <c:v>81</c:v>
                </c:pt>
                <c:pt idx="131">
                  <c:v>80</c:v>
                </c:pt>
                <c:pt idx="132">
                  <c:v>80</c:v>
                </c:pt>
                <c:pt idx="133">
                  <c:v>85</c:v>
                </c:pt>
                <c:pt idx="134">
                  <c:v>84</c:v>
                </c:pt>
                <c:pt idx="135">
                  <c:v>84</c:v>
                </c:pt>
                <c:pt idx="136">
                  <c:v>84</c:v>
                </c:pt>
                <c:pt idx="137">
                  <c:v>80</c:v>
                </c:pt>
                <c:pt idx="138">
                  <c:v>80</c:v>
                </c:pt>
                <c:pt idx="139">
                  <c:v>80</c:v>
                </c:pt>
                <c:pt idx="140">
                  <c:v>78</c:v>
                </c:pt>
                <c:pt idx="141">
                  <c:v>76</c:v>
                </c:pt>
                <c:pt idx="142">
                  <c:v>79</c:v>
                </c:pt>
                <c:pt idx="143">
                  <c:v>80</c:v>
                </c:pt>
                <c:pt idx="144">
                  <c:v>82</c:v>
                </c:pt>
                <c:pt idx="145">
                  <c:v>83</c:v>
                </c:pt>
                <c:pt idx="146">
                  <c:v>84</c:v>
                </c:pt>
                <c:pt idx="147">
                  <c:v>76</c:v>
                </c:pt>
                <c:pt idx="148">
                  <c:v>76</c:v>
                </c:pt>
                <c:pt idx="149">
                  <c:v>77</c:v>
                </c:pt>
                <c:pt idx="150">
                  <c:v>74</c:v>
                </c:pt>
                <c:pt idx="151">
                  <c:v>76</c:v>
                </c:pt>
                <c:pt idx="152">
                  <c:v>74</c:v>
                </c:pt>
                <c:pt idx="153">
                  <c:v>73</c:v>
                </c:pt>
                <c:pt idx="154">
                  <c:v>72</c:v>
                </c:pt>
                <c:pt idx="155">
                  <c:v>70</c:v>
                </c:pt>
                <c:pt idx="156">
                  <c:v>72</c:v>
                </c:pt>
                <c:pt idx="157">
                  <c:v>77</c:v>
                </c:pt>
                <c:pt idx="158">
                  <c:v>77</c:v>
                </c:pt>
                <c:pt idx="159">
                  <c:v>81</c:v>
                </c:pt>
                <c:pt idx="160">
                  <c:v>84</c:v>
                </c:pt>
                <c:pt idx="161">
                  <c:v>86</c:v>
                </c:pt>
                <c:pt idx="162">
                  <c:v>91</c:v>
                </c:pt>
                <c:pt idx="163">
                  <c:v>97</c:v>
                </c:pt>
                <c:pt idx="164">
                  <c:v>95</c:v>
                </c:pt>
                <c:pt idx="165">
                  <c:v>91</c:v>
                </c:pt>
                <c:pt idx="166">
                  <c:v>92</c:v>
                </c:pt>
                <c:pt idx="167">
                  <c:v>93</c:v>
                </c:pt>
              </c:numCache>
            </c:numRef>
          </c:val>
          <c:smooth val="0"/>
        </c:ser>
        <c:ser>
          <c:idx val="10"/>
          <c:order val="10"/>
          <c:tx>
            <c:strRef>
              <c:f>'Sheet1 (13)'!$L$3:$L$4</c:f>
              <c:strCache>
                <c:ptCount val="1"/>
                <c:pt idx="0">
                  <c:v>ADALIMUMAB+LEFLUNOMIDE+METHOTREXATE</c:v>
                </c:pt>
              </c:strCache>
            </c:strRef>
          </c:tx>
          <c:marker>
            <c:symbol val="none"/>
          </c:marker>
          <c:cat>
            <c:strRef>
              <c:f>'Sheet1 (13)'!$A$5:$A$173</c:f>
              <c:strCache>
                <c:ptCount val="168"/>
                <c:pt idx="0">
                  <c:v>1/06/2012</c:v>
                </c:pt>
                <c:pt idx="1">
                  <c:v>8/06/2012</c:v>
                </c:pt>
                <c:pt idx="2">
                  <c:v>15/06/2012</c:v>
                </c:pt>
                <c:pt idx="3">
                  <c:v>22/06/2012</c:v>
                </c:pt>
                <c:pt idx="4">
                  <c:v>29/06/2012</c:v>
                </c:pt>
                <c:pt idx="5">
                  <c:v>6/07/2012</c:v>
                </c:pt>
                <c:pt idx="6">
                  <c:v>13/07/2012</c:v>
                </c:pt>
                <c:pt idx="7">
                  <c:v>20/07/2012</c:v>
                </c:pt>
                <c:pt idx="8">
                  <c:v>27/07/2012</c:v>
                </c:pt>
                <c:pt idx="9">
                  <c:v>3/08/2012</c:v>
                </c:pt>
                <c:pt idx="10">
                  <c:v>10/08/2012</c:v>
                </c:pt>
                <c:pt idx="11">
                  <c:v>17/08/2012</c:v>
                </c:pt>
                <c:pt idx="12">
                  <c:v>24/08/2012</c:v>
                </c:pt>
                <c:pt idx="13">
                  <c:v>31/08/2012</c:v>
                </c:pt>
                <c:pt idx="14">
                  <c:v>7/09/2012</c:v>
                </c:pt>
                <c:pt idx="15">
                  <c:v>14/09/2012</c:v>
                </c:pt>
                <c:pt idx="16">
                  <c:v>21/09/2012</c:v>
                </c:pt>
                <c:pt idx="17">
                  <c:v>28/09/2012</c:v>
                </c:pt>
                <c:pt idx="18">
                  <c:v>5/10/2012</c:v>
                </c:pt>
                <c:pt idx="19">
                  <c:v>12/10/2012</c:v>
                </c:pt>
                <c:pt idx="20">
                  <c:v>19/10/2012</c:v>
                </c:pt>
                <c:pt idx="21">
                  <c:v>26/10/2012</c:v>
                </c:pt>
                <c:pt idx="22">
                  <c:v>2/11/2012</c:v>
                </c:pt>
                <c:pt idx="23">
                  <c:v>9/11/2012</c:v>
                </c:pt>
                <c:pt idx="24">
                  <c:v>16/11/2012</c:v>
                </c:pt>
                <c:pt idx="25">
                  <c:v>23/11/2012</c:v>
                </c:pt>
                <c:pt idx="26">
                  <c:v>30/11/2012</c:v>
                </c:pt>
                <c:pt idx="27">
                  <c:v>7/12/2012</c:v>
                </c:pt>
                <c:pt idx="28">
                  <c:v>14/12/2012</c:v>
                </c:pt>
                <c:pt idx="29">
                  <c:v>21/12/2012</c:v>
                </c:pt>
                <c:pt idx="30">
                  <c:v>28/12/2012</c:v>
                </c:pt>
                <c:pt idx="31">
                  <c:v>4/01/2013</c:v>
                </c:pt>
                <c:pt idx="32">
                  <c:v>11/01/2013</c:v>
                </c:pt>
                <c:pt idx="33">
                  <c:v>18/01/2013</c:v>
                </c:pt>
                <c:pt idx="34">
                  <c:v>25/01/2013</c:v>
                </c:pt>
                <c:pt idx="35">
                  <c:v>1/02/2013</c:v>
                </c:pt>
                <c:pt idx="36">
                  <c:v>8/02/2013</c:v>
                </c:pt>
                <c:pt idx="37">
                  <c:v>15/02/2013</c:v>
                </c:pt>
                <c:pt idx="38">
                  <c:v>22/02/2013</c:v>
                </c:pt>
                <c:pt idx="39">
                  <c:v>1/03/2013</c:v>
                </c:pt>
                <c:pt idx="40">
                  <c:v>8/03/2013</c:v>
                </c:pt>
                <c:pt idx="41">
                  <c:v>15/03/2013</c:v>
                </c:pt>
                <c:pt idx="42">
                  <c:v>22/03/2013</c:v>
                </c:pt>
                <c:pt idx="43">
                  <c:v>29/03/2013</c:v>
                </c:pt>
                <c:pt idx="44">
                  <c:v>5/04/2013</c:v>
                </c:pt>
                <c:pt idx="45">
                  <c:v>12/04/2013</c:v>
                </c:pt>
                <c:pt idx="46">
                  <c:v>19/04/2013</c:v>
                </c:pt>
                <c:pt idx="47">
                  <c:v>26/04/2013</c:v>
                </c:pt>
                <c:pt idx="48">
                  <c:v>3/05/2013</c:v>
                </c:pt>
                <c:pt idx="49">
                  <c:v>10/05/2013</c:v>
                </c:pt>
                <c:pt idx="50">
                  <c:v>17/05/2013</c:v>
                </c:pt>
                <c:pt idx="51">
                  <c:v>24/05/2013</c:v>
                </c:pt>
                <c:pt idx="52">
                  <c:v>31/05/2013</c:v>
                </c:pt>
                <c:pt idx="53">
                  <c:v>7/06/2013</c:v>
                </c:pt>
                <c:pt idx="54">
                  <c:v>14/06/2013</c:v>
                </c:pt>
                <c:pt idx="55">
                  <c:v>21/06/2013</c:v>
                </c:pt>
                <c:pt idx="56">
                  <c:v>28/06/2013</c:v>
                </c:pt>
                <c:pt idx="57">
                  <c:v>5/07/2013</c:v>
                </c:pt>
                <c:pt idx="58">
                  <c:v>12/07/2013</c:v>
                </c:pt>
                <c:pt idx="59">
                  <c:v>19/07/2013</c:v>
                </c:pt>
                <c:pt idx="60">
                  <c:v>26/07/2013</c:v>
                </c:pt>
                <c:pt idx="61">
                  <c:v>2/08/2013</c:v>
                </c:pt>
                <c:pt idx="62">
                  <c:v>9/08/2013</c:v>
                </c:pt>
                <c:pt idx="63">
                  <c:v>16/08/2013</c:v>
                </c:pt>
                <c:pt idx="64">
                  <c:v>23/08/2013</c:v>
                </c:pt>
                <c:pt idx="65">
                  <c:v>30/08/2013</c:v>
                </c:pt>
                <c:pt idx="66">
                  <c:v>6/09/2013</c:v>
                </c:pt>
                <c:pt idx="67">
                  <c:v>13/09/2013</c:v>
                </c:pt>
                <c:pt idx="68">
                  <c:v>20/09/2013</c:v>
                </c:pt>
                <c:pt idx="69">
                  <c:v>27/09/2013</c:v>
                </c:pt>
                <c:pt idx="70">
                  <c:v>4/10/2013</c:v>
                </c:pt>
                <c:pt idx="71">
                  <c:v>11/10/2013</c:v>
                </c:pt>
                <c:pt idx="72">
                  <c:v>18/10/2013</c:v>
                </c:pt>
                <c:pt idx="73">
                  <c:v>25/10/2013</c:v>
                </c:pt>
                <c:pt idx="74">
                  <c:v>1/11/2013</c:v>
                </c:pt>
                <c:pt idx="75">
                  <c:v>8/11/2013</c:v>
                </c:pt>
                <c:pt idx="76">
                  <c:v>15/11/2013</c:v>
                </c:pt>
                <c:pt idx="77">
                  <c:v>22/11/2013</c:v>
                </c:pt>
                <c:pt idx="78">
                  <c:v>29/11/2013</c:v>
                </c:pt>
                <c:pt idx="79">
                  <c:v>6/12/2013</c:v>
                </c:pt>
                <c:pt idx="80">
                  <c:v>13/12/2013</c:v>
                </c:pt>
                <c:pt idx="81">
                  <c:v>20/12/2013</c:v>
                </c:pt>
                <c:pt idx="82">
                  <c:v>27/12/2013</c:v>
                </c:pt>
                <c:pt idx="83">
                  <c:v>3/01/2014</c:v>
                </c:pt>
                <c:pt idx="84">
                  <c:v>10/01/2014</c:v>
                </c:pt>
                <c:pt idx="85">
                  <c:v>17/01/2014</c:v>
                </c:pt>
                <c:pt idx="86">
                  <c:v>24/01/2014</c:v>
                </c:pt>
                <c:pt idx="87">
                  <c:v>31/01/2014</c:v>
                </c:pt>
                <c:pt idx="88">
                  <c:v>7/02/2014</c:v>
                </c:pt>
                <c:pt idx="89">
                  <c:v>14/02/2014</c:v>
                </c:pt>
                <c:pt idx="90">
                  <c:v>21/02/2014</c:v>
                </c:pt>
                <c:pt idx="91">
                  <c:v>28/02/2014</c:v>
                </c:pt>
                <c:pt idx="92">
                  <c:v>7/03/2014</c:v>
                </c:pt>
                <c:pt idx="93">
                  <c:v>14/03/2014</c:v>
                </c:pt>
                <c:pt idx="94">
                  <c:v>21/03/2014</c:v>
                </c:pt>
                <c:pt idx="95">
                  <c:v>28/03/2014</c:v>
                </c:pt>
                <c:pt idx="96">
                  <c:v>4/04/2014</c:v>
                </c:pt>
                <c:pt idx="97">
                  <c:v>11/04/2014</c:v>
                </c:pt>
                <c:pt idx="98">
                  <c:v>18/04/2014</c:v>
                </c:pt>
                <c:pt idx="99">
                  <c:v>25/04/2014</c:v>
                </c:pt>
                <c:pt idx="100">
                  <c:v>2/05/2014</c:v>
                </c:pt>
                <c:pt idx="101">
                  <c:v>9/05/2014</c:v>
                </c:pt>
                <c:pt idx="102">
                  <c:v>16/05/2014</c:v>
                </c:pt>
                <c:pt idx="103">
                  <c:v>23/05/2014</c:v>
                </c:pt>
                <c:pt idx="104">
                  <c:v>30/05/2014</c:v>
                </c:pt>
                <c:pt idx="105">
                  <c:v>6/06/2014</c:v>
                </c:pt>
                <c:pt idx="106">
                  <c:v>13/06/2014</c:v>
                </c:pt>
                <c:pt idx="107">
                  <c:v>20/06/2014</c:v>
                </c:pt>
                <c:pt idx="108">
                  <c:v>27/06/2014</c:v>
                </c:pt>
                <c:pt idx="109">
                  <c:v>4/07/2014</c:v>
                </c:pt>
                <c:pt idx="110">
                  <c:v>11/07/2014</c:v>
                </c:pt>
                <c:pt idx="111">
                  <c:v>18/07/2014</c:v>
                </c:pt>
                <c:pt idx="112">
                  <c:v>25/07/2014</c:v>
                </c:pt>
                <c:pt idx="113">
                  <c:v>1/08/2014</c:v>
                </c:pt>
                <c:pt idx="114">
                  <c:v>8/08/2014</c:v>
                </c:pt>
                <c:pt idx="115">
                  <c:v>15/08/2014</c:v>
                </c:pt>
                <c:pt idx="116">
                  <c:v>22/08/2014</c:v>
                </c:pt>
                <c:pt idx="117">
                  <c:v>29/08/2014</c:v>
                </c:pt>
                <c:pt idx="118">
                  <c:v>5/09/2014</c:v>
                </c:pt>
                <c:pt idx="119">
                  <c:v>12/09/2014</c:v>
                </c:pt>
                <c:pt idx="120">
                  <c:v>19/09/2014</c:v>
                </c:pt>
                <c:pt idx="121">
                  <c:v>26/09/2014</c:v>
                </c:pt>
                <c:pt idx="122">
                  <c:v>3/10/2014</c:v>
                </c:pt>
                <c:pt idx="123">
                  <c:v>10/10/2014</c:v>
                </c:pt>
                <c:pt idx="124">
                  <c:v>17/10/2014</c:v>
                </c:pt>
                <c:pt idx="125">
                  <c:v>24/10/2014</c:v>
                </c:pt>
                <c:pt idx="126">
                  <c:v>31/10/2014</c:v>
                </c:pt>
                <c:pt idx="127">
                  <c:v>7/11/2014</c:v>
                </c:pt>
                <c:pt idx="128">
                  <c:v>14/11/2014</c:v>
                </c:pt>
                <c:pt idx="129">
                  <c:v>21/11/2014</c:v>
                </c:pt>
                <c:pt idx="130">
                  <c:v>28/11/2014</c:v>
                </c:pt>
                <c:pt idx="131">
                  <c:v>5/12/2014</c:v>
                </c:pt>
                <c:pt idx="132">
                  <c:v>12/12/2014</c:v>
                </c:pt>
                <c:pt idx="133">
                  <c:v>19/12/2014</c:v>
                </c:pt>
                <c:pt idx="134">
                  <c:v>26/12/2014</c:v>
                </c:pt>
                <c:pt idx="135">
                  <c:v>2/01/2015</c:v>
                </c:pt>
                <c:pt idx="136">
                  <c:v>9/01/2015</c:v>
                </c:pt>
                <c:pt idx="137">
                  <c:v>16/01/2015</c:v>
                </c:pt>
                <c:pt idx="138">
                  <c:v>23/01/2015</c:v>
                </c:pt>
                <c:pt idx="139">
                  <c:v>30/01/2015</c:v>
                </c:pt>
                <c:pt idx="140">
                  <c:v>6/02/2015</c:v>
                </c:pt>
                <c:pt idx="141">
                  <c:v>13/02/2015</c:v>
                </c:pt>
                <c:pt idx="142">
                  <c:v>20/02/2015</c:v>
                </c:pt>
                <c:pt idx="143">
                  <c:v>27/02/2015</c:v>
                </c:pt>
                <c:pt idx="144">
                  <c:v>6/03/2015</c:v>
                </c:pt>
                <c:pt idx="145">
                  <c:v>13/03/2015</c:v>
                </c:pt>
                <c:pt idx="146">
                  <c:v>20/03/2015</c:v>
                </c:pt>
                <c:pt idx="147">
                  <c:v>27/03/2015</c:v>
                </c:pt>
                <c:pt idx="148">
                  <c:v>3/04/2015</c:v>
                </c:pt>
                <c:pt idx="149">
                  <c:v>10/04/2015</c:v>
                </c:pt>
                <c:pt idx="150">
                  <c:v>17/04/2015</c:v>
                </c:pt>
                <c:pt idx="151">
                  <c:v>24/04/2015</c:v>
                </c:pt>
                <c:pt idx="152">
                  <c:v>1/05/2015</c:v>
                </c:pt>
                <c:pt idx="153">
                  <c:v>8/05/2015</c:v>
                </c:pt>
                <c:pt idx="154">
                  <c:v>15/05/2015</c:v>
                </c:pt>
                <c:pt idx="155">
                  <c:v>22/05/2015</c:v>
                </c:pt>
                <c:pt idx="156">
                  <c:v>29/05/2015</c:v>
                </c:pt>
                <c:pt idx="157">
                  <c:v>5/06/2015</c:v>
                </c:pt>
                <c:pt idx="158">
                  <c:v>12/06/2015</c:v>
                </c:pt>
                <c:pt idx="159">
                  <c:v>19/06/2015</c:v>
                </c:pt>
                <c:pt idx="160">
                  <c:v>26/06/2015</c:v>
                </c:pt>
                <c:pt idx="161">
                  <c:v>3/07/2015</c:v>
                </c:pt>
                <c:pt idx="162">
                  <c:v>10/07/2015</c:v>
                </c:pt>
                <c:pt idx="163">
                  <c:v>17/07/2015</c:v>
                </c:pt>
                <c:pt idx="164">
                  <c:v>24/07/2015</c:v>
                </c:pt>
                <c:pt idx="165">
                  <c:v>31/07/2015</c:v>
                </c:pt>
                <c:pt idx="166">
                  <c:v>7/08/2015</c:v>
                </c:pt>
                <c:pt idx="167">
                  <c:v>14/08/2015</c:v>
                </c:pt>
              </c:strCache>
            </c:strRef>
          </c:cat>
          <c:val>
            <c:numRef>
              <c:f>'Sheet1 (13)'!$L$5:$L$173</c:f>
              <c:numCache>
                <c:formatCode>General</c:formatCode>
                <c:ptCount val="168"/>
                <c:pt idx="0">
                  <c:v>46</c:v>
                </c:pt>
                <c:pt idx="1">
                  <c:v>50</c:v>
                </c:pt>
                <c:pt idx="2">
                  <c:v>51</c:v>
                </c:pt>
                <c:pt idx="3">
                  <c:v>52</c:v>
                </c:pt>
                <c:pt idx="4">
                  <c:v>51</c:v>
                </c:pt>
                <c:pt idx="5">
                  <c:v>51</c:v>
                </c:pt>
                <c:pt idx="6">
                  <c:v>50</c:v>
                </c:pt>
                <c:pt idx="7">
                  <c:v>49</c:v>
                </c:pt>
                <c:pt idx="8">
                  <c:v>51</c:v>
                </c:pt>
                <c:pt idx="9">
                  <c:v>48</c:v>
                </c:pt>
                <c:pt idx="10">
                  <c:v>47</c:v>
                </c:pt>
                <c:pt idx="11">
                  <c:v>46</c:v>
                </c:pt>
                <c:pt idx="12">
                  <c:v>45</c:v>
                </c:pt>
                <c:pt idx="13">
                  <c:v>45</c:v>
                </c:pt>
                <c:pt idx="14">
                  <c:v>47</c:v>
                </c:pt>
                <c:pt idx="15">
                  <c:v>46</c:v>
                </c:pt>
                <c:pt idx="16">
                  <c:v>48</c:v>
                </c:pt>
                <c:pt idx="17">
                  <c:v>45</c:v>
                </c:pt>
                <c:pt idx="18">
                  <c:v>48</c:v>
                </c:pt>
                <c:pt idx="19">
                  <c:v>50</c:v>
                </c:pt>
                <c:pt idx="20">
                  <c:v>52</c:v>
                </c:pt>
                <c:pt idx="21">
                  <c:v>53</c:v>
                </c:pt>
                <c:pt idx="22">
                  <c:v>55</c:v>
                </c:pt>
                <c:pt idx="23">
                  <c:v>55</c:v>
                </c:pt>
                <c:pt idx="24">
                  <c:v>54</c:v>
                </c:pt>
                <c:pt idx="25">
                  <c:v>54</c:v>
                </c:pt>
                <c:pt idx="26">
                  <c:v>56</c:v>
                </c:pt>
                <c:pt idx="27">
                  <c:v>59</c:v>
                </c:pt>
                <c:pt idx="28">
                  <c:v>61</c:v>
                </c:pt>
                <c:pt idx="29">
                  <c:v>60</c:v>
                </c:pt>
                <c:pt idx="30">
                  <c:v>60</c:v>
                </c:pt>
                <c:pt idx="31">
                  <c:v>57</c:v>
                </c:pt>
                <c:pt idx="32">
                  <c:v>54</c:v>
                </c:pt>
                <c:pt idx="33">
                  <c:v>51</c:v>
                </c:pt>
                <c:pt idx="34">
                  <c:v>52</c:v>
                </c:pt>
                <c:pt idx="35">
                  <c:v>53</c:v>
                </c:pt>
                <c:pt idx="36">
                  <c:v>55</c:v>
                </c:pt>
                <c:pt idx="37">
                  <c:v>58</c:v>
                </c:pt>
                <c:pt idx="38">
                  <c:v>57</c:v>
                </c:pt>
                <c:pt idx="39">
                  <c:v>57</c:v>
                </c:pt>
                <c:pt idx="40">
                  <c:v>57</c:v>
                </c:pt>
                <c:pt idx="41">
                  <c:v>54</c:v>
                </c:pt>
                <c:pt idx="42">
                  <c:v>54</c:v>
                </c:pt>
                <c:pt idx="43">
                  <c:v>53</c:v>
                </c:pt>
                <c:pt idx="44">
                  <c:v>51</c:v>
                </c:pt>
                <c:pt idx="45">
                  <c:v>51</c:v>
                </c:pt>
                <c:pt idx="46">
                  <c:v>47</c:v>
                </c:pt>
                <c:pt idx="47">
                  <c:v>48</c:v>
                </c:pt>
                <c:pt idx="48">
                  <c:v>48</c:v>
                </c:pt>
                <c:pt idx="49">
                  <c:v>48</c:v>
                </c:pt>
                <c:pt idx="50">
                  <c:v>47</c:v>
                </c:pt>
                <c:pt idx="51">
                  <c:v>51</c:v>
                </c:pt>
                <c:pt idx="52">
                  <c:v>52</c:v>
                </c:pt>
                <c:pt idx="53">
                  <c:v>53</c:v>
                </c:pt>
                <c:pt idx="54">
                  <c:v>55</c:v>
                </c:pt>
                <c:pt idx="55">
                  <c:v>55</c:v>
                </c:pt>
                <c:pt idx="56">
                  <c:v>56</c:v>
                </c:pt>
                <c:pt idx="57">
                  <c:v>58</c:v>
                </c:pt>
                <c:pt idx="58">
                  <c:v>57</c:v>
                </c:pt>
                <c:pt idx="59">
                  <c:v>57</c:v>
                </c:pt>
                <c:pt idx="60">
                  <c:v>58</c:v>
                </c:pt>
                <c:pt idx="61">
                  <c:v>59</c:v>
                </c:pt>
                <c:pt idx="62">
                  <c:v>56</c:v>
                </c:pt>
                <c:pt idx="63">
                  <c:v>56</c:v>
                </c:pt>
                <c:pt idx="64">
                  <c:v>57</c:v>
                </c:pt>
                <c:pt idx="65">
                  <c:v>58</c:v>
                </c:pt>
                <c:pt idx="66">
                  <c:v>57</c:v>
                </c:pt>
                <c:pt idx="67">
                  <c:v>60</c:v>
                </c:pt>
                <c:pt idx="68">
                  <c:v>58</c:v>
                </c:pt>
                <c:pt idx="69">
                  <c:v>60</c:v>
                </c:pt>
                <c:pt idx="70">
                  <c:v>61</c:v>
                </c:pt>
                <c:pt idx="71">
                  <c:v>64</c:v>
                </c:pt>
                <c:pt idx="72">
                  <c:v>67</c:v>
                </c:pt>
                <c:pt idx="73">
                  <c:v>69</c:v>
                </c:pt>
                <c:pt idx="74">
                  <c:v>66</c:v>
                </c:pt>
                <c:pt idx="75">
                  <c:v>67</c:v>
                </c:pt>
                <c:pt idx="76">
                  <c:v>66</c:v>
                </c:pt>
                <c:pt idx="77">
                  <c:v>66</c:v>
                </c:pt>
                <c:pt idx="78">
                  <c:v>66</c:v>
                </c:pt>
                <c:pt idx="79">
                  <c:v>64</c:v>
                </c:pt>
                <c:pt idx="80">
                  <c:v>66</c:v>
                </c:pt>
                <c:pt idx="81">
                  <c:v>66</c:v>
                </c:pt>
                <c:pt idx="82">
                  <c:v>65</c:v>
                </c:pt>
                <c:pt idx="83">
                  <c:v>64</c:v>
                </c:pt>
                <c:pt idx="84">
                  <c:v>61</c:v>
                </c:pt>
                <c:pt idx="85">
                  <c:v>58</c:v>
                </c:pt>
                <c:pt idx="86">
                  <c:v>56</c:v>
                </c:pt>
                <c:pt idx="87">
                  <c:v>56</c:v>
                </c:pt>
                <c:pt idx="88">
                  <c:v>62</c:v>
                </c:pt>
                <c:pt idx="89">
                  <c:v>62</c:v>
                </c:pt>
                <c:pt idx="90">
                  <c:v>59</c:v>
                </c:pt>
                <c:pt idx="91">
                  <c:v>59</c:v>
                </c:pt>
                <c:pt idx="92">
                  <c:v>61</c:v>
                </c:pt>
                <c:pt idx="93">
                  <c:v>64</c:v>
                </c:pt>
                <c:pt idx="94">
                  <c:v>64</c:v>
                </c:pt>
                <c:pt idx="95">
                  <c:v>67</c:v>
                </c:pt>
                <c:pt idx="96">
                  <c:v>67</c:v>
                </c:pt>
                <c:pt idx="97">
                  <c:v>70</c:v>
                </c:pt>
                <c:pt idx="98">
                  <c:v>69</c:v>
                </c:pt>
                <c:pt idx="99">
                  <c:v>71</c:v>
                </c:pt>
                <c:pt idx="100">
                  <c:v>76</c:v>
                </c:pt>
                <c:pt idx="101">
                  <c:v>77</c:v>
                </c:pt>
                <c:pt idx="102">
                  <c:v>79</c:v>
                </c:pt>
                <c:pt idx="103">
                  <c:v>80</c:v>
                </c:pt>
                <c:pt idx="104">
                  <c:v>81</c:v>
                </c:pt>
                <c:pt idx="105">
                  <c:v>75</c:v>
                </c:pt>
                <c:pt idx="106">
                  <c:v>73</c:v>
                </c:pt>
                <c:pt idx="107">
                  <c:v>71</c:v>
                </c:pt>
                <c:pt idx="108">
                  <c:v>68</c:v>
                </c:pt>
                <c:pt idx="109">
                  <c:v>67</c:v>
                </c:pt>
                <c:pt idx="110">
                  <c:v>71</c:v>
                </c:pt>
                <c:pt idx="111">
                  <c:v>70</c:v>
                </c:pt>
                <c:pt idx="112">
                  <c:v>65</c:v>
                </c:pt>
                <c:pt idx="113">
                  <c:v>64</c:v>
                </c:pt>
                <c:pt idx="114">
                  <c:v>63</c:v>
                </c:pt>
                <c:pt idx="115">
                  <c:v>66</c:v>
                </c:pt>
                <c:pt idx="116">
                  <c:v>73</c:v>
                </c:pt>
                <c:pt idx="117">
                  <c:v>76</c:v>
                </c:pt>
                <c:pt idx="118">
                  <c:v>74</c:v>
                </c:pt>
                <c:pt idx="119">
                  <c:v>72</c:v>
                </c:pt>
                <c:pt idx="120">
                  <c:v>74</c:v>
                </c:pt>
                <c:pt idx="121">
                  <c:v>80</c:v>
                </c:pt>
                <c:pt idx="122">
                  <c:v>78</c:v>
                </c:pt>
                <c:pt idx="123">
                  <c:v>79</c:v>
                </c:pt>
                <c:pt idx="124">
                  <c:v>80</c:v>
                </c:pt>
                <c:pt idx="125">
                  <c:v>80</c:v>
                </c:pt>
                <c:pt idx="126">
                  <c:v>78</c:v>
                </c:pt>
                <c:pt idx="127">
                  <c:v>76</c:v>
                </c:pt>
                <c:pt idx="128">
                  <c:v>77</c:v>
                </c:pt>
                <c:pt idx="129">
                  <c:v>75</c:v>
                </c:pt>
                <c:pt idx="130">
                  <c:v>74</c:v>
                </c:pt>
                <c:pt idx="131">
                  <c:v>75</c:v>
                </c:pt>
                <c:pt idx="132">
                  <c:v>71</c:v>
                </c:pt>
                <c:pt idx="133">
                  <c:v>70</c:v>
                </c:pt>
                <c:pt idx="134">
                  <c:v>70</c:v>
                </c:pt>
                <c:pt idx="135">
                  <c:v>70</c:v>
                </c:pt>
                <c:pt idx="136">
                  <c:v>69</c:v>
                </c:pt>
                <c:pt idx="137">
                  <c:v>66</c:v>
                </c:pt>
                <c:pt idx="138">
                  <c:v>67</c:v>
                </c:pt>
                <c:pt idx="139">
                  <c:v>70</c:v>
                </c:pt>
                <c:pt idx="140">
                  <c:v>67</c:v>
                </c:pt>
                <c:pt idx="141">
                  <c:v>72</c:v>
                </c:pt>
                <c:pt idx="142">
                  <c:v>73</c:v>
                </c:pt>
                <c:pt idx="143">
                  <c:v>72</c:v>
                </c:pt>
                <c:pt idx="144">
                  <c:v>76</c:v>
                </c:pt>
                <c:pt idx="145">
                  <c:v>77</c:v>
                </c:pt>
                <c:pt idx="146">
                  <c:v>77</c:v>
                </c:pt>
                <c:pt idx="147">
                  <c:v>72</c:v>
                </c:pt>
                <c:pt idx="148">
                  <c:v>73</c:v>
                </c:pt>
                <c:pt idx="149">
                  <c:v>71</c:v>
                </c:pt>
                <c:pt idx="150">
                  <c:v>69</c:v>
                </c:pt>
                <c:pt idx="151">
                  <c:v>69</c:v>
                </c:pt>
                <c:pt idx="152">
                  <c:v>73</c:v>
                </c:pt>
                <c:pt idx="153">
                  <c:v>73</c:v>
                </c:pt>
                <c:pt idx="154">
                  <c:v>71</c:v>
                </c:pt>
                <c:pt idx="155">
                  <c:v>74</c:v>
                </c:pt>
                <c:pt idx="156">
                  <c:v>78</c:v>
                </c:pt>
                <c:pt idx="157">
                  <c:v>76</c:v>
                </c:pt>
                <c:pt idx="158">
                  <c:v>78</c:v>
                </c:pt>
                <c:pt idx="159">
                  <c:v>76</c:v>
                </c:pt>
                <c:pt idx="160">
                  <c:v>75</c:v>
                </c:pt>
                <c:pt idx="161">
                  <c:v>76</c:v>
                </c:pt>
                <c:pt idx="162">
                  <c:v>80</c:v>
                </c:pt>
                <c:pt idx="163">
                  <c:v>82</c:v>
                </c:pt>
                <c:pt idx="164">
                  <c:v>86</c:v>
                </c:pt>
                <c:pt idx="165">
                  <c:v>89</c:v>
                </c:pt>
                <c:pt idx="166">
                  <c:v>89</c:v>
                </c:pt>
                <c:pt idx="167">
                  <c:v>84</c:v>
                </c:pt>
              </c:numCache>
            </c:numRef>
          </c:val>
          <c:smooth val="0"/>
        </c:ser>
        <c:ser>
          <c:idx val="11"/>
          <c:order val="11"/>
          <c:tx>
            <c:strRef>
              <c:f>'Sheet1 (13)'!$M$3:$M$4</c:f>
              <c:strCache>
                <c:ptCount val="1"/>
                <c:pt idx="0">
                  <c:v>ETANERCEPT+LEFLUNOMIDE</c:v>
                </c:pt>
              </c:strCache>
            </c:strRef>
          </c:tx>
          <c:marker>
            <c:symbol val="none"/>
          </c:marker>
          <c:cat>
            <c:strRef>
              <c:f>'Sheet1 (13)'!$A$5:$A$173</c:f>
              <c:strCache>
                <c:ptCount val="168"/>
                <c:pt idx="0">
                  <c:v>1/06/2012</c:v>
                </c:pt>
                <c:pt idx="1">
                  <c:v>8/06/2012</c:v>
                </c:pt>
                <c:pt idx="2">
                  <c:v>15/06/2012</c:v>
                </c:pt>
                <c:pt idx="3">
                  <c:v>22/06/2012</c:v>
                </c:pt>
                <c:pt idx="4">
                  <c:v>29/06/2012</c:v>
                </c:pt>
                <c:pt idx="5">
                  <c:v>6/07/2012</c:v>
                </c:pt>
                <c:pt idx="6">
                  <c:v>13/07/2012</c:v>
                </c:pt>
                <c:pt idx="7">
                  <c:v>20/07/2012</c:v>
                </c:pt>
                <c:pt idx="8">
                  <c:v>27/07/2012</c:v>
                </c:pt>
                <c:pt idx="9">
                  <c:v>3/08/2012</c:v>
                </c:pt>
                <c:pt idx="10">
                  <c:v>10/08/2012</c:v>
                </c:pt>
                <c:pt idx="11">
                  <c:v>17/08/2012</c:v>
                </c:pt>
                <c:pt idx="12">
                  <c:v>24/08/2012</c:v>
                </c:pt>
                <c:pt idx="13">
                  <c:v>31/08/2012</c:v>
                </c:pt>
                <c:pt idx="14">
                  <c:v>7/09/2012</c:v>
                </c:pt>
                <c:pt idx="15">
                  <c:v>14/09/2012</c:v>
                </c:pt>
                <c:pt idx="16">
                  <c:v>21/09/2012</c:v>
                </c:pt>
                <c:pt idx="17">
                  <c:v>28/09/2012</c:v>
                </c:pt>
                <c:pt idx="18">
                  <c:v>5/10/2012</c:v>
                </c:pt>
                <c:pt idx="19">
                  <c:v>12/10/2012</c:v>
                </c:pt>
                <c:pt idx="20">
                  <c:v>19/10/2012</c:v>
                </c:pt>
                <c:pt idx="21">
                  <c:v>26/10/2012</c:v>
                </c:pt>
                <c:pt idx="22">
                  <c:v>2/11/2012</c:v>
                </c:pt>
                <c:pt idx="23">
                  <c:v>9/11/2012</c:v>
                </c:pt>
                <c:pt idx="24">
                  <c:v>16/11/2012</c:v>
                </c:pt>
                <c:pt idx="25">
                  <c:v>23/11/2012</c:v>
                </c:pt>
                <c:pt idx="26">
                  <c:v>30/11/2012</c:v>
                </c:pt>
                <c:pt idx="27">
                  <c:v>7/12/2012</c:v>
                </c:pt>
                <c:pt idx="28">
                  <c:v>14/12/2012</c:v>
                </c:pt>
                <c:pt idx="29">
                  <c:v>21/12/2012</c:v>
                </c:pt>
                <c:pt idx="30">
                  <c:v>28/12/2012</c:v>
                </c:pt>
                <c:pt idx="31">
                  <c:v>4/01/2013</c:v>
                </c:pt>
                <c:pt idx="32">
                  <c:v>11/01/2013</c:v>
                </c:pt>
                <c:pt idx="33">
                  <c:v>18/01/2013</c:v>
                </c:pt>
                <c:pt idx="34">
                  <c:v>25/01/2013</c:v>
                </c:pt>
                <c:pt idx="35">
                  <c:v>1/02/2013</c:v>
                </c:pt>
                <c:pt idx="36">
                  <c:v>8/02/2013</c:v>
                </c:pt>
                <c:pt idx="37">
                  <c:v>15/02/2013</c:v>
                </c:pt>
                <c:pt idx="38">
                  <c:v>22/02/2013</c:v>
                </c:pt>
                <c:pt idx="39">
                  <c:v>1/03/2013</c:v>
                </c:pt>
                <c:pt idx="40">
                  <c:v>8/03/2013</c:v>
                </c:pt>
                <c:pt idx="41">
                  <c:v>15/03/2013</c:v>
                </c:pt>
                <c:pt idx="42">
                  <c:v>22/03/2013</c:v>
                </c:pt>
                <c:pt idx="43">
                  <c:v>29/03/2013</c:v>
                </c:pt>
                <c:pt idx="44">
                  <c:v>5/04/2013</c:v>
                </c:pt>
                <c:pt idx="45">
                  <c:v>12/04/2013</c:v>
                </c:pt>
                <c:pt idx="46">
                  <c:v>19/04/2013</c:v>
                </c:pt>
                <c:pt idx="47">
                  <c:v>26/04/2013</c:v>
                </c:pt>
                <c:pt idx="48">
                  <c:v>3/05/2013</c:v>
                </c:pt>
                <c:pt idx="49">
                  <c:v>10/05/2013</c:v>
                </c:pt>
                <c:pt idx="50">
                  <c:v>17/05/2013</c:v>
                </c:pt>
                <c:pt idx="51">
                  <c:v>24/05/2013</c:v>
                </c:pt>
                <c:pt idx="52">
                  <c:v>31/05/2013</c:v>
                </c:pt>
                <c:pt idx="53">
                  <c:v>7/06/2013</c:v>
                </c:pt>
                <c:pt idx="54">
                  <c:v>14/06/2013</c:v>
                </c:pt>
                <c:pt idx="55">
                  <c:v>21/06/2013</c:v>
                </c:pt>
                <c:pt idx="56">
                  <c:v>28/06/2013</c:v>
                </c:pt>
                <c:pt idx="57">
                  <c:v>5/07/2013</c:v>
                </c:pt>
                <c:pt idx="58">
                  <c:v>12/07/2013</c:v>
                </c:pt>
                <c:pt idx="59">
                  <c:v>19/07/2013</c:v>
                </c:pt>
                <c:pt idx="60">
                  <c:v>26/07/2013</c:v>
                </c:pt>
                <c:pt idx="61">
                  <c:v>2/08/2013</c:v>
                </c:pt>
                <c:pt idx="62">
                  <c:v>9/08/2013</c:v>
                </c:pt>
                <c:pt idx="63">
                  <c:v>16/08/2013</c:v>
                </c:pt>
                <c:pt idx="64">
                  <c:v>23/08/2013</c:v>
                </c:pt>
                <c:pt idx="65">
                  <c:v>30/08/2013</c:v>
                </c:pt>
                <c:pt idx="66">
                  <c:v>6/09/2013</c:v>
                </c:pt>
                <c:pt idx="67">
                  <c:v>13/09/2013</c:v>
                </c:pt>
                <c:pt idx="68">
                  <c:v>20/09/2013</c:v>
                </c:pt>
                <c:pt idx="69">
                  <c:v>27/09/2013</c:v>
                </c:pt>
                <c:pt idx="70">
                  <c:v>4/10/2013</c:v>
                </c:pt>
                <c:pt idx="71">
                  <c:v>11/10/2013</c:v>
                </c:pt>
                <c:pt idx="72">
                  <c:v>18/10/2013</c:v>
                </c:pt>
                <c:pt idx="73">
                  <c:v>25/10/2013</c:v>
                </c:pt>
                <c:pt idx="74">
                  <c:v>1/11/2013</c:v>
                </c:pt>
                <c:pt idx="75">
                  <c:v>8/11/2013</c:v>
                </c:pt>
                <c:pt idx="76">
                  <c:v>15/11/2013</c:v>
                </c:pt>
                <c:pt idx="77">
                  <c:v>22/11/2013</c:v>
                </c:pt>
                <c:pt idx="78">
                  <c:v>29/11/2013</c:v>
                </c:pt>
                <c:pt idx="79">
                  <c:v>6/12/2013</c:v>
                </c:pt>
                <c:pt idx="80">
                  <c:v>13/12/2013</c:v>
                </c:pt>
                <c:pt idx="81">
                  <c:v>20/12/2013</c:v>
                </c:pt>
                <c:pt idx="82">
                  <c:v>27/12/2013</c:v>
                </c:pt>
                <c:pt idx="83">
                  <c:v>3/01/2014</c:v>
                </c:pt>
                <c:pt idx="84">
                  <c:v>10/01/2014</c:v>
                </c:pt>
                <c:pt idx="85">
                  <c:v>17/01/2014</c:v>
                </c:pt>
                <c:pt idx="86">
                  <c:v>24/01/2014</c:v>
                </c:pt>
                <c:pt idx="87">
                  <c:v>31/01/2014</c:v>
                </c:pt>
                <c:pt idx="88">
                  <c:v>7/02/2014</c:v>
                </c:pt>
                <c:pt idx="89">
                  <c:v>14/02/2014</c:v>
                </c:pt>
                <c:pt idx="90">
                  <c:v>21/02/2014</c:v>
                </c:pt>
                <c:pt idx="91">
                  <c:v>28/02/2014</c:v>
                </c:pt>
                <c:pt idx="92">
                  <c:v>7/03/2014</c:v>
                </c:pt>
                <c:pt idx="93">
                  <c:v>14/03/2014</c:v>
                </c:pt>
                <c:pt idx="94">
                  <c:v>21/03/2014</c:v>
                </c:pt>
                <c:pt idx="95">
                  <c:v>28/03/2014</c:v>
                </c:pt>
                <c:pt idx="96">
                  <c:v>4/04/2014</c:v>
                </c:pt>
                <c:pt idx="97">
                  <c:v>11/04/2014</c:v>
                </c:pt>
                <c:pt idx="98">
                  <c:v>18/04/2014</c:v>
                </c:pt>
                <c:pt idx="99">
                  <c:v>25/04/2014</c:v>
                </c:pt>
                <c:pt idx="100">
                  <c:v>2/05/2014</c:v>
                </c:pt>
                <c:pt idx="101">
                  <c:v>9/05/2014</c:v>
                </c:pt>
                <c:pt idx="102">
                  <c:v>16/05/2014</c:v>
                </c:pt>
                <c:pt idx="103">
                  <c:v>23/05/2014</c:v>
                </c:pt>
                <c:pt idx="104">
                  <c:v>30/05/2014</c:v>
                </c:pt>
                <c:pt idx="105">
                  <c:v>6/06/2014</c:v>
                </c:pt>
                <c:pt idx="106">
                  <c:v>13/06/2014</c:v>
                </c:pt>
                <c:pt idx="107">
                  <c:v>20/06/2014</c:v>
                </c:pt>
                <c:pt idx="108">
                  <c:v>27/06/2014</c:v>
                </c:pt>
                <c:pt idx="109">
                  <c:v>4/07/2014</c:v>
                </c:pt>
                <c:pt idx="110">
                  <c:v>11/07/2014</c:v>
                </c:pt>
                <c:pt idx="111">
                  <c:v>18/07/2014</c:v>
                </c:pt>
                <c:pt idx="112">
                  <c:v>25/07/2014</c:v>
                </c:pt>
                <c:pt idx="113">
                  <c:v>1/08/2014</c:v>
                </c:pt>
                <c:pt idx="114">
                  <c:v>8/08/2014</c:v>
                </c:pt>
                <c:pt idx="115">
                  <c:v>15/08/2014</c:v>
                </c:pt>
                <c:pt idx="116">
                  <c:v>22/08/2014</c:v>
                </c:pt>
                <c:pt idx="117">
                  <c:v>29/08/2014</c:v>
                </c:pt>
                <c:pt idx="118">
                  <c:v>5/09/2014</c:v>
                </c:pt>
                <c:pt idx="119">
                  <c:v>12/09/2014</c:v>
                </c:pt>
                <c:pt idx="120">
                  <c:v>19/09/2014</c:v>
                </c:pt>
                <c:pt idx="121">
                  <c:v>26/09/2014</c:v>
                </c:pt>
                <c:pt idx="122">
                  <c:v>3/10/2014</c:v>
                </c:pt>
                <c:pt idx="123">
                  <c:v>10/10/2014</c:v>
                </c:pt>
                <c:pt idx="124">
                  <c:v>17/10/2014</c:v>
                </c:pt>
                <c:pt idx="125">
                  <c:v>24/10/2014</c:v>
                </c:pt>
                <c:pt idx="126">
                  <c:v>31/10/2014</c:v>
                </c:pt>
                <c:pt idx="127">
                  <c:v>7/11/2014</c:v>
                </c:pt>
                <c:pt idx="128">
                  <c:v>14/11/2014</c:v>
                </c:pt>
                <c:pt idx="129">
                  <c:v>21/11/2014</c:v>
                </c:pt>
                <c:pt idx="130">
                  <c:v>28/11/2014</c:v>
                </c:pt>
                <c:pt idx="131">
                  <c:v>5/12/2014</c:v>
                </c:pt>
                <c:pt idx="132">
                  <c:v>12/12/2014</c:v>
                </c:pt>
                <c:pt idx="133">
                  <c:v>19/12/2014</c:v>
                </c:pt>
                <c:pt idx="134">
                  <c:v>26/12/2014</c:v>
                </c:pt>
                <c:pt idx="135">
                  <c:v>2/01/2015</c:v>
                </c:pt>
                <c:pt idx="136">
                  <c:v>9/01/2015</c:v>
                </c:pt>
                <c:pt idx="137">
                  <c:v>16/01/2015</c:v>
                </c:pt>
                <c:pt idx="138">
                  <c:v>23/01/2015</c:v>
                </c:pt>
                <c:pt idx="139">
                  <c:v>30/01/2015</c:v>
                </c:pt>
                <c:pt idx="140">
                  <c:v>6/02/2015</c:v>
                </c:pt>
                <c:pt idx="141">
                  <c:v>13/02/2015</c:v>
                </c:pt>
                <c:pt idx="142">
                  <c:v>20/02/2015</c:v>
                </c:pt>
                <c:pt idx="143">
                  <c:v>27/02/2015</c:v>
                </c:pt>
                <c:pt idx="144">
                  <c:v>6/03/2015</c:v>
                </c:pt>
                <c:pt idx="145">
                  <c:v>13/03/2015</c:v>
                </c:pt>
                <c:pt idx="146">
                  <c:v>20/03/2015</c:v>
                </c:pt>
                <c:pt idx="147">
                  <c:v>27/03/2015</c:v>
                </c:pt>
                <c:pt idx="148">
                  <c:v>3/04/2015</c:v>
                </c:pt>
                <c:pt idx="149">
                  <c:v>10/04/2015</c:v>
                </c:pt>
                <c:pt idx="150">
                  <c:v>17/04/2015</c:v>
                </c:pt>
                <c:pt idx="151">
                  <c:v>24/04/2015</c:v>
                </c:pt>
                <c:pt idx="152">
                  <c:v>1/05/2015</c:v>
                </c:pt>
                <c:pt idx="153">
                  <c:v>8/05/2015</c:v>
                </c:pt>
                <c:pt idx="154">
                  <c:v>15/05/2015</c:v>
                </c:pt>
                <c:pt idx="155">
                  <c:v>22/05/2015</c:v>
                </c:pt>
                <c:pt idx="156">
                  <c:v>29/05/2015</c:v>
                </c:pt>
                <c:pt idx="157">
                  <c:v>5/06/2015</c:v>
                </c:pt>
                <c:pt idx="158">
                  <c:v>12/06/2015</c:v>
                </c:pt>
                <c:pt idx="159">
                  <c:v>19/06/2015</c:v>
                </c:pt>
                <c:pt idx="160">
                  <c:v>26/06/2015</c:v>
                </c:pt>
                <c:pt idx="161">
                  <c:v>3/07/2015</c:v>
                </c:pt>
                <c:pt idx="162">
                  <c:v>10/07/2015</c:v>
                </c:pt>
                <c:pt idx="163">
                  <c:v>17/07/2015</c:v>
                </c:pt>
                <c:pt idx="164">
                  <c:v>24/07/2015</c:v>
                </c:pt>
                <c:pt idx="165">
                  <c:v>31/07/2015</c:v>
                </c:pt>
                <c:pt idx="166">
                  <c:v>7/08/2015</c:v>
                </c:pt>
                <c:pt idx="167">
                  <c:v>14/08/2015</c:v>
                </c:pt>
              </c:strCache>
            </c:strRef>
          </c:cat>
          <c:val>
            <c:numRef>
              <c:f>'Sheet1 (13)'!$M$5:$M$173</c:f>
              <c:numCache>
                <c:formatCode>General</c:formatCode>
                <c:ptCount val="168"/>
                <c:pt idx="0">
                  <c:v>38</c:v>
                </c:pt>
                <c:pt idx="1">
                  <c:v>37</c:v>
                </c:pt>
                <c:pt idx="2">
                  <c:v>36</c:v>
                </c:pt>
                <c:pt idx="3">
                  <c:v>38</c:v>
                </c:pt>
                <c:pt idx="4">
                  <c:v>39</c:v>
                </c:pt>
                <c:pt idx="5">
                  <c:v>38</c:v>
                </c:pt>
                <c:pt idx="6">
                  <c:v>38</c:v>
                </c:pt>
                <c:pt idx="7">
                  <c:v>40</c:v>
                </c:pt>
                <c:pt idx="8">
                  <c:v>42</c:v>
                </c:pt>
                <c:pt idx="9">
                  <c:v>42</c:v>
                </c:pt>
                <c:pt idx="10">
                  <c:v>44</c:v>
                </c:pt>
                <c:pt idx="11">
                  <c:v>45</c:v>
                </c:pt>
                <c:pt idx="12">
                  <c:v>45</c:v>
                </c:pt>
                <c:pt idx="13">
                  <c:v>43</c:v>
                </c:pt>
                <c:pt idx="14">
                  <c:v>44</c:v>
                </c:pt>
                <c:pt idx="15">
                  <c:v>44</c:v>
                </c:pt>
                <c:pt idx="16">
                  <c:v>40</c:v>
                </c:pt>
                <c:pt idx="17">
                  <c:v>40</c:v>
                </c:pt>
                <c:pt idx="18">
                  <c:v>42</c:v>
                </c:pt>
                <c:pt idx="19">
                  <c:v>43</c:v>
                </c:pt>
                <c:pt idx="20">
                  <c:v>40</c:v>
                </c:pt>
                <c:pt idx="21">
                  <c:v>39</c:v>
                </c:pt>
                <c:pt idx="22">
                  <c:v>41</c:v>
                </c:pt>
                <c:pt idx="23">
                  <c:v>42</c:v>
                </c:pt>
                <c:pt idx="24">
                  <c:v>40</c:v>
                </c:pt>
                <c:pt idx="25">
                  <c:v>42</c:v>
                </c:pt>
                <c:pt idx="26">
                  <c:v>43</c:v>
                </c:pt>
                <c:pt idx="27">
                  <c:v>41</c:v>
                </c:pt>
                <c:pt idx="28">
                  <c:v>42</c:v>
                </c:pt>
                <c:pt idx="29">
                  <c:v>42</c:v>
                </c:pt>
                <c:pt idx="30">
                  <c:v>45</c:v>
                </c:pt>
                <c:pt idx="31">
                  <c:v>45</c:v>
                </c:pt>
                <c:pt idx="32">
                  <c:v>45</c:v>
                </c:pt>
                <c:pt idx="33">
                  <c:v>45</c:v>
                </c:pt>
                <c:pt idx="34">
                  <c:v>44</c:v>
                </c:pt>
                <c:pt idx="35">
                  <c:v>41</c:v>
                </c:pt>
                <c:pt idx="36">
                  <c:v>40</c:v>
                </c:pt>
                <c:pt idx="37">
                  <c:v>41</c:v>
                </c:pt>
                <c:pt idx="38">
                  <c:v>41</c:v>
                </c:pt>
                <c:pt idx="39">
                  <c:v>43</c:v>
                </c:pt>
                <c:pt idx="40">
                  <c:v>46</c:v>
                </c:pt>
                <c:pt idx="41">
                  <c:v>47</c:v>
                </c:pt>
                <c:pt idx="42">
                  <c:v>48</c:v>
                </c:pt>
                <c:pt idx="43">
                  <c:v>49</c:v>
                </c:pt>
                <c:pt idx="44">
                  <c:v>46</c:v>
                </c:pt>
                <c:pt idx="45">
                  <c:v>46</c:v>
                </c:pt>
                <c:pt idx="46">
                  <c:v>45</c:v>
                </c:pt>
                <c:pt idx="47">
                  <c:v>45</c:v>
                </c:pt>
                <c:pt idx="48">
                  <c:v>47</c:v>
                </c:pt>
                <c:pt idx="49">
                  <c:v>49</c:v>
                </c:pt>
                <c:pt idx="50">
                  <c:v>47</c:v>
                </c:pt>
                <c:pt idx="51">
                  <c:v>46</c:v>
                </c:pt>
                <c:pt idx="52">
                  <c:v>46</c:v>
                </c:pt>
                <c:pt idx="53">
                  <c:v>47</c:v>
                </c:pt>
                <c:pt idx="54">
                  <c:v>46</c:v>
                </c:pt>
                <c:pt idx="55">
                  <c:v>49</c:v>
                </c:pt>
                <c:pt idx="56">
                  <c:v>51</c:v>
                </c:pt>
                <c:pt idx="57">
                  <c:v>49</c:v>
                </c:pt>
                <c:pt idx="58">
                  <c:v>49</c:v>
                </c:pt>
                <c:pt idx="59">
                  <c:v>49</c:v>
                </c:pt>
                <c:pt idx="60">
                  <c:v>50</c:v>
                </c:pt>
                <c:pt idx="61">
                  <c:v>50</c:v>
                </c:pt>
                <c:pt idx="62">
                  <c:v>50</c:v>
                </c:pt>
                <c:pt idx="63">
                  <c:v>50</c:v>
                </c:pt>
                <c:pt idx="64">
                  <c:v>48</c:v>
                </c:pt>
                <c:pt idx="65">
                  <c:v>50</c:v>
                </c:pt>
                <c:pt idx="66">
                  <c:v>50</c:v>
                </c:pt>
                <c:pt idx="67">
                  <c:v>51</c:v>
                </c:pt>
                <c:pt idx="68">
                  <c:v>53</c:v>
                </c:pt>
                <c:pt idx="69">
                  <c:v>53</c:v>
                </c:pt>
                <c:pt idx="70">
                  <c:v>55</c:v>
                </c:pt>
                <c:pt idx="71">
                  <c:v>56</c:v>
                </c:pt>
                <c:pt idx="72">
                  <c:v>57</c:v>
                </c:pt>
                <c:pt idx="73">
                  <c:v>57</c:v>
                </c:pt>
                <c:pt idx="74">
                  <c:v>56</c:v>
                </c:pt>
                <c:pt idx="75">
                  <c:v>55</c:v>
                </c:pt>
                <c:pt idx="76">
                  <c:v>56</c:v>
                </c:pt>
                <c:pt idx="77">
                  <c:v>55</c:v>
                </c:pt>
                <c:pt idx="78">
                  <c:v>57</c:v>
                </c:pt>
                <c:pt idx="79">
                  <c:v>56</c:v>
                </c:pt>
                <c:pt idx="80">
                  <c:v>57</c:v>
                </c:pt>
                <c:pt idx="81">
                  <c:v>56</c:v>
                </c:pt>
                <c:pt idx="82">
                  <c:v>55</c:v>
                </c:pt>
                <c:pt idx="83">
                  <c:v>55</c:v>
                </c:pt>
                <c:pt idx="84">
                  <c:v>56</c:v>
                </c:pt>
                <c:pt idx="85">
                  <c:v>55</c:v>
                </c:pt>
                <c:pt idx="86">
                  <c:v>58</c:v>
                </c:pt>
                <c:pt idx="87">
                  <c:v>61</c:v>
                </c:pt>
                <c:pt idx="88">
                  <c:v>62</c:v>
                </c:pt>
                <c:pt idx="89">
                  <c:v>63</c:v>
                </c:pt>
                <c:pt idx="90">
                  <c:v>63</c:v>
                </c:pt>
                <c:pt idx="91">
                  <c:v>64</c:v>
                </c:pt>
                <c:pt idx="92">
                  <c:v>65</c:v>
                </c:pt>
                <c:pt idx="93">
                  <c:v>68</c:v>
                </c:pt>
                <c:pt idx="94">
                  <c:v>66</c:v>
                </c:pt>
                <c:pt idx="95">
                  <c:v>62</c:v>
                </c:pt>
                <c:pt idx="96">
                  <c:v>61</c:v>
                </c:pt>
                <c:pt idx="97">
                  <c:v>62</c:v>
                </c:pt>
                <c:pt idx="98">
                  <c:v>62</c:v>
                </c:pt>
                <c:pt idx="99">
                  <c:v>63</c:v>
                </c:pt>
                <c:pt idx="100">
                  <c:v>59</c:v>
                </c:pt>
                <c:pt idx="101">
                  <c:v>61</c:v>
                </c:pt>
                <c:pt idx="102">
                  <c:v>58</c:v>
                </c:pt>
                <c:pt idx="103">
                  <c:v>60</c:v>
                </c:pt>
                <c:pt idx="104">
                  <c:v>60</c:v>
                </c:pt>
                <c:pt idx="105">
                  <c:v>57</c:v>
                </c:pt>
                <c:pt idx="106">
                  <c:v>54</c:v>
                </c:pt>
                <c:pt idx="107">
                  <c:v>53</c:v>
                </c:pt>
                <c:pt idx="108">
                  <c:v>55</c:v>
                </c:pt>
                <c:pt idx="109">
                  <c:v>53</c:v>
                </c:pt>
                <c:pt idx="110">
                  <c:v>55</c:v>
                </c:pt>
                <c:pt idx="111">
                  <c:v>54</c:v>
                </c:pt>
                <c:pt idx="112">
                  <c:v>52</c:v>
                </c:pt>
                <c:pt idx="113">
                  <c:v>51</c:v>
                </c:pt>
                <c:pt idx="114">
                  <c:v>51</c:v>
                </c:pt>
                <c:pt idx="115">
                  <c:v>51</c:v>
                </c:pt>
                <c:pt idx="116">
                  <c:v>49</c:v>
                </c:pt>
                <c:pt idx="117">
                  <c:v>49</c:v>
                </c:pt>
                <c:pt idx="118">
                  <c:v>52</c:v>
                </c:pt>
                <c:pt idx="119">
                  <c:v>53</c:v>
                </c:pt>
                <c:pt idx="120">
                  <c:v>53</c:v>
                </c:pt>
                <c:pt idx="121">
                  <c:v>52</c:v>
                </c:pt>
                <c:pt idx="122">
                  <c:v>52</c:v>
                </c:pt>
                <c:pt idx="123">
                  <c:v>52</c:v>
                </c:pt>
                <c:pt idx="124">
                  <c:v>52</c:v>
                </c:pt>
                <c:pt idx="125">
                  <c:v>56</c:v>
                </c:pt>
                <c:pt idx="126">
                  <c:v>57</c:v>
                </c:pt>
                <c:pt idx="127">
                  <c:v>54</c:v>
                </c:pt>
                <c:pt idx="128">
                  <c:v>51</c:v>
                </c:pt>
                <c:pt idx="129">
                  <c:v>50</c:v>
                </c:pt>
                <c:pt idx="130">
                  <c:v>51</c:v>
                </c:pt>
                <c:pt idx="131">
                  <c:v>52</c:v>
                </c:pt>
                <c:pt idx="132">
                  <c:v>53</c:v>
                </c:pt>
                <c:pt idx="133">
                  <c:v>54</c:v>
                </c:pt>
                <c:pt idx="134">
                  <c:v>52</c:v>
                </c:pt>
                <c:pt idx="135">
                  <c:v>53</c:v>
                </c:pt>
                <c:pt idx="136">
                  <c:v>51</c:v>
                </c:pt>
                <c:pt idx="137">
                  <c:v>48</c:v>
                </c:pt>
                <c:pt idx="138">
                  <c:v>51</c:v>
                </c:pt>
                <c:pt idx="139">
                  <c:v>54</c:v>
                </c:pt>
                <c:pt idx="140">
                  <c:v>53</c:v>
                </c:pt>
                <c:pt idx="141">
                  <c:v>54</c:v>
                </c:pt>
                <c:pt idx="142">
                  <c:v>54</c:v>
                </c:pt>
                <c:pt idx="143">
                  <c:v>53</c:v>
                </c:pt>
                <c:pt idx="144">
                  <c:v>53</c:v>
                </c:pt>
                <c:pt idx="145">
                  <c:v>54</c:v>
                </c:pt>
                <c:pt idx="146">
                  <c:v>55</c:v>
                </c:pt>
                <c:pt idx="147">
                  <c:v>57</c:v>
                </c:pt>
                <c:pt idx="148">
                  <c:v>60</c:v>
                </c:pt>
                <c:pt idx="149">
                  <c:v>61</c:v>
                </c:pt>
                <c:pt idx="150">
                  <c:v>58</c:v>
                </c:pt>
                <c:pt idx="151">
                  <c:v>58</c:v>
                </c:pt>
                <c:pt idx="152">
                  <c:v>59</c:v>
                </c:pt>
                <c:pt idx="153">
                  <c:v>60</c:v>
                </c:pt>
                <c:pt idx="154">
                  <c:v>60</c:v>
                </c:pt>
                <c:pt idx="155">
                  <c:v>59</c:v>
                </c:pt>
                <c:pt idx="156">
                  <c:v>58</c:v>
                </c:pt>
                <c:pt idx="157">
                  <c:v>56</c:v>
                </c:pt>
                <c:pt idx="158">
                  <c:v>56</c:v>
                </c:pt>
                <c:pt idx="159">
                  <c:v>58</c:v>
                </c:pt>
                <c:pt idx="160">
                  <c:v>55</c:v>
                </c:pt>
                <c:pt idx="161">
                  <c:v>55</c:v>
                </c:pt>
                <c:pt idx="162">
                  <c:v>55</c:v>
                </c:pt>
                <c:pt idx="163">
                  <c:v>56</c:v>
                </c:pt>
                <c:pt idx="164">
                  <c:v>56</c:v>
                </c:pt>
                <c:pt idx="165">
                  <c:v>57</c:v>
                </c:pt>
                <c:pt idx="166">
                  <c:v>56</c:v>
                </c:pt>
                <c:pt idx="167">
                  <c:v>53</c:v>
                </c:pt>
              </c:numCache>
            </c:numRef>
          </c:val>
          <c:smooth val="0"/>
        </c:ser>
        <c:ser>
          <c:idx val="12"/>
          <c:order val="12"/>
          <c:tx>
            <c:strRef>
              <c:f>'Sheet1 (13)'!$N$3:$N$4</c:f>
              <c:strCache>
                <c:ptCount val="1"/>
                <c:pt idx="0">
                  <c:v>ADALIMUMAB+SULFASALAZINE</c:v>
                </c:pt>
              </c:strCache>
            </c:strRef>
          </c:tx>
          <c:marker>
            <c:symbol val="none"/>
          </c:marker>
          <c:cat>
            <c:strRef>
              <c:f>'Sheet1 (13)'!$A$5:$A$173</c:f>
              <c:strCache>
                <c:ptCount val="168"/>
                <c:pt idx="0">
                  <c:v>1/06/2012</c:v>
                </c:pt>
                <c:pt idx="1">
                  <c:v>8/06/2012</c:v>
                </c:pt>
                <c:pt idx="2">
                  <c:v>15/06/2012</c:v>
                </c:pt>
                <c:pt idx="3">
                  <c:v>22/06/2012</c:v>
                </c:pt>
                <c:pt idx="4">
                  <c:v>29/06/2012</c:v>
                </c:pt>
                <c:pt idx="5">
                  <c:v>6/07/2012</c:v>
                </c:pt>
                <c:pt idx="6">
                  <c:v>13/07/2012</c:v>
                </c:pt>
                <c:pt idx="7">
                  <c:v>20/07/2012</c:v>
                </c:pt>
                <c:pt idx="8">
                  <c:v>27/07/2012</c:v>
                </c:pt>
                <c:pt idx="9">
                  <c:v>3/08/2012</c:v>
                </c:pt>
                <c:pt idx="10">
                  <c:v>10/08/2012</c:v>
                </c:pt>
                <c:pt idx="11">
                  <c:v>17/08/2012</c:v>
                </c:pt>
                <c:pt idx="12">
                  <c:v>24/08/2012</c:v>
                </c:pt>
                <c:pt idx="13">
                  <c:v>31/08/2012</c:v>
                </c:pt>
                <c:pt idx="14">
                  <c:v>7/09/2012</c:v>
                </c:pt>
                <c:pt idx="15">
                  <c:v>14/09/2012</c:v>
                </c:pt>
                <c:pt idx="16">
                  <c:v>21/09/2012</c:v>
                </c:pt>
                <c:pt idx="17">
                  <c:v>28/09/2012</c:v>
                </c:pt>
                <c:pt idx="18">
                  <c:v>5/10/2012</c:v>
                </c:pt>
                <c:pt idx="19">
                  <c:v>12/10/2012</c:v>
                </c:pt>
                <c:pt idx="20">
                  <c:v>19/10/2012</c:v>
                </c:pt>
                <c:pt idx="21">
                  <c:v>26/10/2012</c:v>
                </c:pt>
                <c:pt idx="22">
                  <c:v>2/11/2012</c:v>
                </c:pt>
                <c:pt idx="23">
                  <c:v>9/11/2012</c:v>
                </c:pt>
                <c:pt idx="24">
                  <c:v>16/11/2012</c:v>
                </c:pt>
                <c:pt idx="25">
                  <c:v>23/11/2012</c:v>
                </c:pt>
                <c:pt idx="26">
                  <c:v>30/11/2012</c:v>
                </c:pt>
                <c:pt idx="27">
                  <c:v>7/12/2012</c:v>
                </c:pt>
                <c:pt idx="28">
                  <c:v>14/12/2012</c:v>
                </c:pt>
                <c:pt idx="29">
                  <c:v>21/12/2012</c:v>
                </c:pt>
                <c:pt idx="30">
                  <c:v>28/12/2012</c:v>
                </c:pt>
                <c:pt idx="31">
                  <c:v>4/01/2013</c:v>
                </c:pt>
                <c:pt idx="32">
                  <c:v>11/01/2013</c:v>
                </c:pt>
                <c:pt idx="33">
                  <c:v>18/01/2013</c:v>
                </c:pt>
                <c:pt idx="34">
                  <c:v>25/01/2013</c:v>
                </c:pt>
                <c:pt idx="35">
                  <c:v>1/02/2013</c:v>
                </c:pt>
                <c:pt idx="36">
                  <c:v>8/02/2013</c:v>
                </c:pt>
                <c:pt idx="37">
                  <c:v>15/02/2013</c:v>
                </c:pt>
                <c:pt idx="38">
                  <c:v>22/02/2013</c:v>
                </c:pt>
                <c:pt idx="39">
                  <c:v>1/03/2013</c:v>
                </c:pt>
                <c:pt idx="40">
                  <c:v>8/03/2013</c:v>
                </c:pt>
                <c:pt idx="41">
                  <c:v>15/03/2013</c:v>
                </c:pt>
                <c:pt idx="42">
                  <c:v>22/03/2013</c:v>
                </c:pt>
                <c:pt idx="43">
                  <c:v>29/03/2013</c:v>
                </c:pt>
                <c:pt idx="44">
                  <c:v>5/04/2013</c:v>
                </c:pt>
                <c:pt idx="45">
                  <c:v>12/04/2013</c:v>
                </c:pt>
                <c:pt idx="46">
                  <c:v>19/04/2013</c:v>
                </c:pt>
                <c:pt idx="47">
                  <c:v>26/04/2013</c:v>
                </c:pt>
                <c:pt idx="48">
                  <c:v>3/05/2013</c:v>
                </c:pt>
                <c:pt idx="49">
                  <c:v>10/05/2013</c:v>
                </c:pt>
                <c:pt idx="50">
                  <c:v>17/05/2013</c:v>
                </c:pt>
                <c:pt idx="51">
                  <c:v>24/05/2013</c:v>
                </c:pt>
                <c:pt idx="52">
                  <c:v>31/05/2013</c:v>
                </c:pt>
                <c:pt idx="53">
                  <c:v>7/06/2013</c:v>
                </c:pt>
                <c:pt idx="54">
                  <c:v>14/06/2013</c:v>
                </c:pt>
                <c:pt idx="55">
                  <c:v>21/06/2013</c:v>
                </c:pt>
                <c:pt idx="56">
                  <c:v>28/06/2013</c:v>
                </c:pt>
                <c:pt idx="57">
                  <c:v>5/07/2013</c:v>
                </c:pt>
                <c:pt idx="58">
                  <c:v>12/07/2013</c:v>
                </c:pt>
                <c:pt idx="59">
                  <c:v>19/07/2013</c:v>
                </c:pt>
                <c:pt idx="60">
                  <c:v>26/07/2013</c:v>
                </c:pt>
                <c:pt idx="61">
                  <c:v>2/08/2013</c:v>
                </c:pt>
                <c:pt idx="62">
                  <c:v>9/08/2013</c:v>
                </c:pt>
                <c:pt idx="63">
                  <c:v>16/08/2013</c:v>
                </c:pt>
                <c:pt idx="64">
                  <c:v>23/08/2013</c:v>
                </c:pt>
                <c:pt idx="65">
                  <c:v>30/08/2013</c:v>
                </c:pt>
                <c:pt idx="66">
                  <c:v>6/09/2013</c:v>
                </c:pt>
                <c:pt idx="67">
                  <c:v>13/09/2013</c:v>
                </c:pt>
                <c:pt idx="68">
                  <c:v>20/09/2013</c:v>
                </c:pt>
                <c:pt idx="69">
                  <c:v>27/09/2013</c:v>
                </c:pt>
                <c:pt idx="70">
                  <c:v>4/10/2013</c:v>
                </c:pt>
                <c:pt idx="71">
                  <c:v>11/10/2013</c:v>
                </c:pt>
                <c:pt idx="72">
                  <c:v>18/10/2013</c:v>
                </c:pt>
                <c:pt idx="73">
                  <c:v>25/10/2013</c:v>
                </c:pt>
                <c:pt idx="74">
                  <c:v>1/11/2013</c:v>
                </c:pt>
                <c:pt idx="75">
                  <c:v>8/11/2013</c:v>
                </c:pt>
                <c:pt idx="76">
                  <c:v>15/11/2013</c:v>
                </c:pt>
                <c:pt idx="77">
                  <c:v>22/11/2013</c:v>
                </c:pt>
                <c:pt idx="78">
                  <c:v>29/11/2013</c:v>
                </c:pt>
                <c:pt idx="79">
                  <c:v>6/12/2013</c:v>
                </c:pt>
                <c:pt idx="80">
                  <c:v>13/12/2013</c:v>
                </c:pt>
                <c:pt idx="81">
                  <c:v>20/12/2013</c:v>
                </c:pt>
                <c:pt idx="82">
                  <c:v>27/12/2013</c:v>
                </c:pt>
                <c:pt idx="83">
                  <c:v>3/01/2014</c:v>
                </c:pt>
                <c:pt idx="84">
                  <c:v>10/01/2014</c:v>
                </c:pt>
                <c:pt idx="85">
                  <c:v>17/01/2014</c:v>
                </c:pt>
                <c:pt idx="86">
                  <c:v>24/01/2014</c:v>
                </c:pt>
                <c:pt idx="87">
                  <c:v>31/01/2014</c:v>
                </c:pt>
                <c:pt idx="88">
                  <c:v>7/02/2014</c:v>
                </c:pt>
                <c:pt idx="89">
                  <c:v>14/02/2014</c:v>
                </c:pt>
                <c:pt idx="90">
                  <c:v>21/02/2014</c:v>
                </c:pt>
                <c:pt idx="91">
                  <c:v>28/02/2014</c:v>
                </c:pt>
                <c:pt idx="92">
                  <c:v>7/03/2014</c:v>
                </c:pt>
                <c:pt idx="93">
                  <c:v>14/03/2014</c:v>
                </c:pt>
                <c:pt idx="94">
                  <c:v>21/03/2014</c:v>
                </c:pt>
                <c:pt idx="95">
                  <c:v>28/03/2014</c:v>
                </c:pt>
                <c:pt idx="96">
                  <c:v>4/04/2014</c:v>
                </c:pt>
                <c:pt idx="97">
                  <c:v>11/04/2014</c:v>
                </c:pt>
                <c:pt idx="98">
                  <c:v>18/04/2014</c:v>
                </c:pt>
                <c:pt idx="99">
                  <c:v>25/04/2014</c:v>
                </c:pt>
                <c:pt idx="100">
                  <c:v>2/05/2014</c:v>
                </c:pt>
                <c:pt idx="101">
                  <c:v>9/05/2014</c:v>
                </c:pt>
                <c:pt idx="102">
                  <c:v>16/05/2014</c:v>
                </c:pt>
                <c:pt idx="103">
                  <c:v>23/05/2014</c:v>
                </c:pt>
                <c:pt idx="104">
                  <c:v>30/05/2014</c:v>
                </c:pt>
                <c:pt idx="105">
                  <c:v>6/06/2014</c:v>
                </c:pt>
                <c:pt idx="106">
                  <c:v>13/06/2014</c:v>
                </c:pt>
                <c:pt idx="107">
                  <c:v>20/06/2014</c:v>
                </c:pt>
                <c:pt idx="108">
                  <c:v>27/06/2014</c:v>
                </c:pt>
                <c:pt idx="109">
                  <c:v>4/07/2014</c:v>
                </c:pt>
                <c:pt idx="110">
                  <c:v>11/07/2014</c:v>
                </c:pt>
                <c:pt idx="111">
                  <c:v>18/07/2014</c:v>
                </c:pt>
                <c:pt idx="112">
                  <c:v>25/07/2014</c:v>
                </c:pt>
                <c:pt idx="113">
                  <c:v>1/08/2014</c:v>
                </c:pt>
                <c:pt idx="114">
                  <c:v>8/08/2014</c:v>
                </c:pt>
                <c:pt idx="115">
                  <c:v>15/08/2014</c:v>
                </c:pt>
                <c:pt idx="116">
                  <c:v>22/08/2014</c:v>
                </c:pt>
                <c:pt idx="117">
                  <c:v>29/08/2014</c:v>
                </c:pt>
                <c:pt idx="118">
                  <c:v>5/09/2014</c:v>
                </c:pt>
                <c:pt idx="119">
                  <c:v>12/09/2014</c:v>
                </c:pt>
                <c:pt idx="120">
                  <c:v>19/09/2014</c:v>
                </c:pt>
                <c:pt idx="121">
                  <c:v>26/09/2014</c:v>
                </c:pt>
                <c:pt idx="122">
                  <c:v>3/10/2014</c:v>
                </c:pt>
                <c:pt idx="123">
                  <c:v>10/10/2014</c:v>
                </c:pt>
                <c:pt idx="124">
                  <c:v>17/10/2014</c:v>
                </c:pt>
                <c:pt idx="125">
                  <c:v>24/10/2014</c:v>
                </c:pt>
                <c:pt idx="126">
                  <c:v>31/10/2014</c:v>
                </c:pt>
                <c:pt idx="127">
                  <c:v>7/11/2014</c:v>
                </c:pt>
                <c:pt idx="128">
                  <c:v>14/11/2014</c:v>
                </c:pt>
                <c:pt idx="129">
                  <c:v>21/11/2014</c:v>
                </c:pt>
                <c:pt idx="130">
                  <c:v>28/11/2014</c:v>
                </c:pt>
                <c:pt idx="131">
                  <c:v>5/12/2014</c:v>
                </c:pt>
                <c:pt idx="132">
                  <c:v>12/12/2014</c:v>
                </c:pt>
                <c:pt idx="133">
                  <c:v>19/12/2014</c:v>
                </c:pt>
                <c:pt idx="134">
                  <c:v>26/12/2014</c:v>
                </c:pt>
                <c:pt idx="135">
                  <c:v>2/01/2015</c:v>
                </c:pt>
                <c:pt idx="136">
                  <c:v>9/01/2015</c:v>
                </c:pt>
                <c:pt idx="137">
                  <c:v>16/01/2015</c:v>
                </c:pt>
                <c:pt idx="138">
                  <c:v>23/01/2015</c:v>
                </c:pt>
                <c:pt idx="139">
                  <c:v>30/01/2015</c:v>
                </c:pt>
                <c:pt idx="140">
                  <c:v>6/02/2015</c:v>
                </c:pt>
                <c:pt idx="141">
                  <c:v>13/02/2015</c:v>
                </c:pt>
                <c:pt idx="142">
                  <c:v>20/02/2015</c:v>
                </c:pt>
                <c:pt idx="143">
                  <c:v>27/02/2015</c:v>
                </c:pt>
                <c:pt idx="144">
                  <c:v>6/03/2015</c:v>
                </c:pt>
                <c:pt idx="145">
                  <c:v>13/03/2015</c:v>
                </c:pt>
                <c:pt idx="146">
                  <c:v>20/03/2015</c:v>
                </c:pt>
                <c:pt idx="147">
                  <c:v>27/03/2015</c:v>
                </c:pt>
                <c:pt idx="148">
                  <c:v>3/04/2015</c:v>
                </c:pt>
                <c:pt idx="149">
                  <c:v>10/04/2015</c:v>
                </c:pt>
                <c:pt idx="150">
                  <c:v>17/04/2015</c:v>
                </c:pt>
                <c:pt idx="151">
                  <c:v>24/04/2015</c:v>
                </c:pt>
                <c:pt idx="152">
                  <c:v>1/05/2015</c:v>
                </c:pt>
                <c:pt idx="153">
                  <c:v>8/05/2015</c:v>
                </c:pt>
                <c:pt idx="154">
                  <c:v>15/05/2015</c:v>
                </c:pt>
                <c:pt idx="155">
                  <c:v>22/05/2015</c:v>
                </c:pt>
                <c:pt idx="156">
                  <c:v>29/05/2015</c:v>
                </c:pt>
                <c:pt idx="157">
                  <c:v>5/06/2015</c:v>
                </c:pt>
                <c:pt idx="158">
                  <c:v>12/06/2015</c:v>
                </c:pt>
                <c:pt idx="159">
                  <c:v>19/06/2015</c:v>
                </c:pt>
                <c:pt idx="160">
                  <c:v>26/06/2015</c:v>
                </c:pt>
                <c:pt idx="161">
                  <c:v>3/07/2015</c:v>
                </c:pt>
                <c:pt idx="162">
                  <c:v>10/07/2015</c:v>
                </c:pt>
                <c:pt idx="163">
                  <c:v>17/07/2015</c:v>
                </c:pt>
                <c:pt idx="164">
                  <c:v>24/07/2015</c:v>
                </c:pt>
                <c:pt idx="165">
                  <c:v>31/07/2015</c:v>
                </c:pt>
                <c:pt idx="166">
                  <c:v>7/08/2015</c:v>
                </c:pt>
                <c:pt idx="167">
                  <c:v>14/08/2015</c:v>
                </c:pt>
              </c:strCache>
            </c:strRef>
          </c:cat>
          <c:val>
            <c:numRef>
              <c:f>'Sheet1 (13)'!$N$5:$N$173</c:f>
              <c:numCache>
                <c:formatCode>General</c:formatCode>
                <c:ptCount val="168"/>
                <c:pt idx="0">
                  <c:v>21</c:v>
                </c:pt>
                <c:pt idx="1">
                  <c:v>20</c:v>
                </c:pt>
                <c:pt idx="2">
                  <c:v>19</c:v>
                </c:pt>
                <c:pt idx="3">
                  <c:v>19</c:v>
                </c:pt>
                <c:pt idx="4">
                  <c:v>20</c:v>
                </c:pt>
                <c:pt idx="5">
                  <c:v>19</c:v>
                </c:pt>
                <c:pt idx="6">
                  <c:v>20</c:v>
                </c:pt>
                <c:pt idx="7">
                  <c:v>23</c:v>
                </c:pt>
                <c:pt idx="8">
                  <c:v>24</c:v>
                </c:pt>
                <c:pt idx="9">
                  <c:v>24</c:v>
                </c:pt>
                <c:pt idx="10">
                  <c:v>23</c:v>
                </c:pt>
                <c:pt idx="11">
                  <c:v>27</c:v>
                </c:pt>
                <c:pt idx="12">
                  <c:v>28</c:v>
                </c:pt>
                <c:pt idx="13">
                  <c:v>28</c:v>
                </c:pt>
                <c:pt idx="14">
                  <c:v>30</c:v>
                </c:pt>
                <c:pt idx="15">
                  <c:v>31</c:v>
                </c:pt>
                <c:pt idx="16">
                  <c:v>31</c:v>
                </c:pt>
                <c:pt idx="17">
                  <c:v>30</c:v>
                </c:pt>
                <c:pt idx="18">
                  <c:v>32</c:v>
                </c:pt>
                <c:pt idx="19">
                  <c:v>33</c:v>
                </c:pt>
                <c:pt idx="20">
                  <c:v>35</c:v>
                </c:pt>
                <c:pt idx="21">
                  <c:v>36</c:v>
                </c:pt>
                <c:pt idx="22">
                  <c:v>35</c:v>
                </c:pt>
                <c:pt idx="23">
                  <c:v>34</c:v>
                </c:pt>
                <c:pt idx="24">
                  <c:v>34</c:v>
                </c:pt>
                <c:pt idx="25">
                  <c:v>34</c:v>
                </c:pt>
                <c:pt idx="26">
                  <c:v>31</c:v>
                </c:pt>
                <c:pt idx="27">
                  <c:v>28</c:v>
                </c:pt>
                <c:pt idx="28">
                  <c:v>28</c:v>
                </c:pt>
                <c:pt idx="29">
                  <c:v>29</c:v>
                </c:pt>
                <c:pt idx="30">
                  <c:v>30</c:v>
                </c:pt>
                <c:pt idx="31">
                  <c:v>31</c:v>
                </c:pt>
                <c:pt idx="32">
                  <c:v>29</c:v>
                </c:pt>
                <c:pt idx="33">
                  <c:v>31</c:v>
                </c:pt>
                <c:pt idx="34">
                  <c:v>34</c:v>
                </c:pt>
                <c:pt idx="35">
                  <c:v>35</c:v>
                </c:pt>
                <c:pt idx="36">
                  <c:v>36</c:v>
                </c:pt>
                <c:pt idx="37">
                  <c:v>35</c:v>
                </c:pt>
                <c:pt idx="38">
                  <c:v>36</c:v>
                </c:pt>
                <c:pt idx="39">
                  <c:v>37</c:v>
                </c:pt>
                <c:pt idx="40">
                  <c:v>36</c:v>
                </c:pt>
                <c:pt idx="41">
                  <c:v>37</c:v>
                </c:pt>
                <c:pt idx="42">
                  <c:v>38</c:v>
                </c:pt>
                <c:pt idx="43">
                  <c:v>36</c:v>
                </c:pt>
                <c:pt idx="44">
                  <c:v>34</c:v>
                </c:pt>
                <c:pt idx="45">
                  <c:v>33</c:v>
                </c:pt>
                <c:pt idx="46">
                  <c:v>36</c:v>
                </c:pt>
                <c:pt idx="47">
                  <c:v>37</c:v>
                </c:pt>
                <c:pt idx="48">
                  <c:v>37</c:v>
                </c:pt>
                <c:pt idx="49">
                  <c:v>37</c:v>
                </c:pt>
                <c:pt idx="50">
                  <c:v>35</c:v>
                </c:pt>
                <c:pt idx="51">
                  <c:v>39</c:v>
                </c:pt>
                <c:pt idx="52">
                  <c:v>37</c:v>
                </c:pt>
                <c:pt idx="53">
                  <c:v>37</c:v>
                </c:pt>
                <c:pt idx="54">
                  <c:v>35</c:v>
                </c:pt>
                <c:pt idx="55">
                  <c:v>34</c:v>
                </c:pt>
                <c:pt idx="56">
                  <c:v>35</c:v>
                </c:pt>
                <c:pt idx="57">
                  <c:v>37</c:v>
                </c:pt>
                <c:pt idx="58">
                  <c:v>38</c:v>
                </c:pt>
                <c:pt idx="59">
                  <c:v>38</c:v>
                </c:pt>
                <c:pt idx="60">
                  <c:v>39</c:v>
                </c:pt>
                <c:pt idx="61">
                  <c:v>38</c:v>
                </c:pt>
                <c:pt idx="62">
                  <c:v>38</c:v>
                </c:pt>
                <c:pt idx="63">
                  <c:v>38</c:v>
                </c:pt>
                <c:pt idx="64">
                  <c:v>40</c:v>
                </c:pt>
                <c:pt idx="65">
                  <c:v>40</c:v>
                </c:pt>
                <c:pt idx="66">
                  <c:v>39</c:v>
                </c:pt>
                <c:pt idx="67">
                  <c:v>38</c:v>
                </c:pt>
                <c:pt idx="68">
                  <c:v>39</c:v>
                </c:pt>
                <c:pt idx="69">
                  <c:v>39</c:v>
                </c:pt>
                <c:pt idx="70">
                  <c:v>38</c:v>
                </c:pt>
                <c:pt idx="71">
                  <c:v>41</c:v>
                </c:pt>
                <c:pt idx="72">
                  <c:v>39</c:v>
                </c:pt>
                <c:pt idx="73">
                  <c:v>40</c:v>
                </c:pt>
                <c:pt idx="74">
                  <c:v>39</c:v>
                </c:pt>
                <c:pt idx="75">
                  <c:v>41</c:v>
                </c:pt>
                <c:pt idx="76">
                  <c:v>41</c:v>
                </c:pt>
                <c:pt idx="77">
                  <c:v>40</c:v>
                </c:pt>
                <c:pt idx="78">
                  <c:v>39</c:v>
                </c:pt>
                <c:pt idx="79">
                  <c:v>39</c:v>
                </c:pt>
                <c:pt idx="80">
                  <c:v>40</c:v>
                </c:pt>
                <c:pt idx="81">
                  <c:v>41</c:v>
                </c:pt>
                <c:pt idx="82">
                  <c:v>40</c:v>
                </c:pt>
                <c:pt idx="83">
                  <c:v>39</c:v>
                </c:pt>
                <c:pt idx="84">
                  <c:v>38</c:v>
                </c:pt>
                <c:pt idx="85">
                  <c:v>37</c:v>
                </c:pt>
                <c:pt idx="86">
                  <c:v>37</c:v>
                </c:pt>
                <c:pt idx="87">
                  <c:v>37</c:v>
                </c:pt>
                <c:pt idx="88">
                  <c:v>38</c:v>
                </c:pt>
                <c:pt idx="89">
                  <c:v>37</c:v>
                </c:pt>
                <c:pt idx="90">
                  <c:v>40</c:v>
                </c:pt>
                <c:pt idx="91">
                  <c:v>41</c:v>
                </c:pt>
                <c:pt idx="92">
                  <c:v>39</c:v>
                </c:pt>
                <c:pt idx="93">
                  <c:v>41</c:v>
                </c:pt>
                <c:pt idx="94">
                  <c:v>43</c:v>
                </c:pt>
                <c:pt idx="95">
                  <c:v>44</c:v>
                </c:pt>
                <c:pt idx="96">
                  <c:v>43</c:v>
                </c:pt>
                <c:pt idx="97">
                  <c:v>44</c:v>
                </c:pt>
                <c:pt idx="98">
                  <c:v>44</c:v>
                </c:pt>
                <c:pt idx="99">
                  <c:v>45</c:v>
                </c:pt>
                <c:pt idx="100">
                  <c:v>47</c:v>
                </c:pt>
                <c:pt idx="101">
                  <c:v>44</c:v>
                </c:pt>
                <c:pt idx="102">
                  <c:v>47</c:v>
                </c:pt>
                <c:pt idx="103">
                  <c:v>46</c:v>
                </c:pt>
                <c:pt idx="104">
                  <c:v>44</c:v>
                </c:pt>
                <c:pt idx="105">
                  <c:v>46</c:v>
                </c:pt>
                <c:pt idx="106">
                  <c:v>47</c:v>
                </c:pt>
                <c:pt idx="107">
                  <c:v>45</c:v>
                </c:pt>
                <c:pt idx="108">
                  <c:v>44</c:v>
                </c:pt>
                <c:pt idx="109">
                  <c:v>43</c:v>
                </c:pt>
                <c:pt idx="110">
                  <c:v>44</c:v>
                </c:pt>
                <c:pt idx="111">
                  <c:v>44</c:v>
                </c:pt>
                <c:pt idx="112">
                  <c:v>42</c:v>
                </c:pt>
                <c:pt idx="113">
                  <c:v>43</c:v>
                </c:pt>
                <c:pt idx="114">
                  <c:v>44</c:v>
                </c:pt>
                <c:pt idx="115">
                  <c:v>42</c:v>
                </c:pt>
                <c:pt idx="116">
                  <c:v>43</c:v>
                </c:pt>
                <c:pt idx="117">
                  <c:v>41</c:v>
                </c:pt>
                <c:pt idx="118">
                  <c:v>42</c:v>
                </c:pt>
                <c:pt idx="119">
                  <c:v>43</c:v>
                </c:pt>
                <c:pt idx="120">
                  <c:v>42</c:v>
                </c:pt>
                <c:pt idx="121">
                  <c:v>43</c:v>
                </c:pt>
                <c:pt idx="122">
                  <c:v>40</c:v>
                </c:pt>
                <c:pt idx="123">
                  <c:v>42</c:v>
                </c:pt>
                <c:pt idx="124">
                  <c:v>43</c:v>
                </c:pt>
                <c:pt idx="125">
                  <c:v>39</c:v>
                </c:pt>
                <c:pt idx="126">
                  <c:v>41</c:v>
                </c:pt>
                <c:pt idx="127">
                  <c:v>43</c:v>
                </c:pt>
                <c:pt idx="128">
                  <c:v>43</c:v>
                </c:pt>
                <c:pt idx="129">
                  <c:v>43</c:v>
                </c:pt>
                <c:pt idx="130">
                  <c:v>44</c:v>
                </c:pt>
                <c:pt idx="131">
                  <c:v>42</c:v>
                </c:pt>
                <c:pt idx="132">
                  <c:v>44</c:v>
                </c:pt>
                <c:pt idx="133">
                  <c:v>44</c:v>
                </c:pt>
                <c:pt idx="134">
                  <c:v>43</c:v>
                </c:pt>
                <c:pt idx="135">
                  <c:v>44</c:v>
                </c:pt>
                <c:pt idx="136">
                  <c:v>46</c:v>
                </c:pt>
                <c:pt idx="137">
                  <c:v>46</c:v>
                </c:pt>
                <c:pt idx="138">
                  <c:v>45</c:v>
                </c:pt>
                <c:pt idx="139">
                  <c:v>46</c:v>
                </c:pt>
                <c:pt idx="140">
                  <c:v>44</c:v>
                </c:pt>
                <c:pt idx="141">
                  <c:v>44</c:v>
                </c:pt>
                <c:pt idx="142">
                  <c:v>43</c:v>
                </c:pt>
                <c:pt idx="143">
                  <c:v>44</c:v>
                </c:pt>
                <c:pt idx="144">
                  <c:v>43</c:v>
                </c:pt>
                <c:pt idx="145">
                  <c:v>43</c:v>
                </c:pt>
                <c:pt idx="146">
                  <c:v>44</c:v>
                </c:pt>
                <c:pt idx="147">
                  <c:v>45</c:v>
                </c:pt>
                <c:pt idx="148">
                  <c:v>42</c:v>
                </c:pt>
                <c:pt idx="149">
                  <c:v>42</c:v>
                </c:pt>
                <c:pt idx="150">
                  <c:v>40</c:v>
                </c:pt>
                <c:pt idx="151">
                  <c:v>39</c:v>
                </c:pt>
                <c:pt idx="152">
                  <c:v>38</c:v>
                </c:pt>
                <c:pt idx="153">
                  <c:v>40</c:v>
                </c:pt>
                <c:pt idx="154">
                  <c:v>40</c:v>
                </c:pt>
                <c:pt idx="155">
                  <c:v>44</c:v>
                </c:pt>
                <c:pt idx="156">
                  <c:v>47</c:v>
                </c:pt>
                <c:pt idx="157">
                  <c:v>46</c:v>
                </c:pt>
                <c:pt idx="158">
                  <c:v>47</c:v>
                </c:pt>
                <c:pt idx="159">
                  <c:v>47</c:v>
                </c:pt>
                <c:pt idx="160">
                  <c:v>44</c:v>
                </c:pt>
                <c:pt idx="161">
                  <c:v>44</c:v>
                </c:pt>
                <c:pt idx="162">
                  <c:v>44</c:v>
                </c:pt>
                <c:pt idx="163">
                  <c:v>44</c:v>
                </c:pt>
                <c:pt idx="164">
                  <c:v>45</c:v>
                </c:pt>
                <c:pt idx="165">
                  <c:v>44</c:v>
                </c:pt>
                <c:pt idx="166">
                  <c:v>44</c:v>
                </c:pt>
                <c:pt idx="167">
                  <c:v>43</c:v>
                </c:pt>
              </c:numCache>
            </c:numRef>
          </c:val>
          <c:smooth val="0"/>
        </c:ser>
        <c:ser>
          <c:idx val="13"/>
          <c:order val="13"/>
          <c:tx>
            <c:strRef>
              <c:f>'Sheet1 (13)'!$O$3:$O$4</c:f>
              <c:strCache>
                <c:ptCount val="1"/>
                <c:pt idx="0">
                  <c:v>ETANERCEPT+METHOTREXATE+SULFASALAZINE</c:v>
                </c:pt>
              </c:strCache>
            </c:strRef>
          </c:tx>
          <c:marker>
            <c:symbol val="none"/>
          </c:marker>
          <c:cat>
            <c:strRef>
              <c:f>'Sheet1 (13)'!$A$5:$A$173</c:f>
              <c:strCache>
                <c:ptCount val="168"/>
                <c:pt idx="0">
                  <c:v>1/06/2012</c:v>
                </c:pt>
                <c:pt idx="1">
                  <c:v>8/06/2012</c:v>
                </c:pt>
                <c:pt idx="2">
                  <c:v>15/06/2012</c:v>
                </c:pt>
                <c:pt idx="3">
                  <c:v>22/06/2012</c:v>
                </c:pt>
                <c:pt idx="4">
                  <c:v>29/06/2012</c:v>
                </c:pt>
                <c:pt idx="5">
                  <c:v>6/07/2012</c:v>
                </c:pt>
                <c:pt idx="6">
                  <c:v>13/07/2012</c:v>
                </c:pt>
                <c:pt idx="7">
                  <c:v>20/07/2012</c:v>
                </c:pt>
                <c:pt idx="8">
                  <c:v>27/07/2012</c:v>
                </c:pt>
                <c:pt idx="9">
                  <c:v>3/08/2012</c:v>
                </c:pt>
                <c:pt idx="10">
                  <c:v>10/08/2012</c:v>
                </c:pt>
                <c:pt idx="11">
                  <c:v>17/08/2012</c:v>
                </c:pt>
                <c:pt idx="12">
                  <c:v>24/08/2012</c:v>
                </c:pt>
                <c:pt idx="13">
                  <c:v>31/08/2012</c:v>
                </c:pt>
                <c:pt idx="14">
                  <c:v>7/09/2012</c:v>
                </c:pt>
                <c:pt idx="15">
                  <c:v>14/09/2012</c:v>
                </c:pt>
                <c:pt idx="16">
                  <c:v>21/09/2012</c:v>
                </c:pt>
                <c:pt idx="17">
                  <c:v>28/09/2012</c:v>
                </c:pt>
                <c:pt idx="18">
                  <c:v>5/10/2012</c:v>
                </c:pt>
                <c:pt idx="19">
                  <c:v>12/10/2012</c:v>
                </c:pt>
                <c:pt idx="20">
                  <c:v>19/10/2012</c:v>
                </c:pt>
                <c:pt idx="21">
                  <c:v>26/10/2012</c:v>
                </c:pt>
                <c:pt idx="22">
                  <c:v>2/11/2012</c:v>
                </c:pt>
                <c:pt idx="23">
                  <c:v>9/11/2012</c:v>
                </c:pt>
                <c:pt idx="24">
                  <c:v>16/11/2012</c:v>
                </c:pt>
                <c:pt idx="25">
                  <c:v>23/11/2012</c:v>
                </c:pt>
                <c:pt idx="26">
                  <c:v>30/11/2012</c:v>
                </c:pt>
                <c:pt idx="27">
                  <c:v>7/12/2012</c:v>
                </c:pt>
                <c:pt idx="28">
                  <c:v>14/12/2012</c:v>
                </c:pt>
                <c:pt idx="29">
                  <c:v>21/12/2012</c:v>
                </c:pt>
                <c:pt idx="30">
                  <c:v>28/12/2012</c:v>
                </c:pt>
                <c:pt idx="31">
                  <c:v>4/01/2013</c:v>
                </c:pt>
                <c:pt idx="32">
                  <c:v>11/01/2013</c:v>
                </c:pt>
                <c:pt idx="33">
                  <c:v>18/01/2013</c:v>
                </c:pt>
                <c:pt idx="34">
                  <c:v>25/01/2013</c:v>
                </c:pt>
                <c:pt idx="35">
                  <c:v>1/02/2013</c:v>
                </c:pt>
                <c:pt idx="36">
                  <c:v>8/02/2013</c:v>
                </c:pt>
                <c:pt idx="37">
                  <c:v>15/02/2013</c:v>
                </c:pt>
                <c:pt idx="38">
                  <c:v>22/02/2013</c:v>
                </c:pt>
                <c:pt idx="39">
                  <c:v>1/03/2013</c:v>
                </c:pt>
                <c:pt idx="40">
                  <c:v>8/03/2013</c:v>
                </c:pt>
                <c:pt idx="41">
                  <c:v>15/03/2013</c:v>
                </c:pt>
                <c:pt idx="42">
                  <c:v>22/03/2013</c:v>
                </c:pt>
                <c:pt idx="43">
                  <c:v>29/03/2013</c:v>
                </c:pt>
                <c:pt idx="44">
                  <c:v>5/04/2013</c:v>
                </c:pt>
                <c:pt idx="45">
                  <c:v>12/04/2013</c:v>
                </c:pt>
                <c:pt idx="46">
                  <c:v>19/04/2013</c:v>
                </c:pt>
                <c:pt idx="47">
                  <c:v>26/04/2013</c:v>
                </c:pt>
                <c:pt idx="48">
                  <c:v>3/05/2013</c:v>
                </c:pt>
                <c:pt idx="49">
                  <c:v>10/05/2013</c:v>
                </c:pt>
                <c:pt idx="50">
                  <c:v>17/05/2013</c:v>
                </c:pt>
                <c:pt idx="51">
                  <c:v>24/05/2013</c:v>
                </c:pt>
                <c:pt idx="52">
                  <c:v>31/05/2013</c:v>
                </c:pt>
                <c:pt idx="53">
                  <c:v>7/06/2013</c:v>
                </c:pt>
                <c:pt idx="54">
                  <c:v>14/06/2013</c:v>
                </c:pt>
                <c:pt idx="55">
                  <c:v>21/06/2013</c:v>
                </c:pt>
                <c:pt idx="56">
                  <c:v>28/06/2013</c:v>
                </c:pt>
                <c:pt idx="57">
                  <c:v>5/07/2013</c:v>
                </c:pt>
                <c:pt idx="58">
                  <c:v>12/07/2013</c:v>
                </c:pt>
                <c:pt idx="59">
                  <c:v>19/07/2013</c:v>
                </c:pt>
                <c:pt idx="60">
                  <c:v>26/07/2013</c:v>
                </c:pt>
                <c:pt idx="61">
                  <c:v>2/08/2013</c:v>
                </c:pt>
                <c:pt idx="62">
                  <c:v>9/08/2013</c:v>
                </c:pt>
                <c:pt idx="63">
                  <c:v>16/08/2013</c:v>
                </c:pt>
                <c:pt idx="64">
                  <c:v>23/08/2013</c:v>
                </c:pt>
                <c:pt idx="65">
                  <c:v>30/08/2013</c:v>
                </c:pt>
                <c:pt idx="66">
                  <c:v>6/09/2013</c:v>
                </c:pt>
                <c:pt idx="67">
                  <c:v>13/09/2013</c:v>
                </c:pt>
                <c:pt idx="68">
                  <c:v>20/09/2013</c:v>
                </c:pt>
                <c:pt idx="69">
                  <c:v>27/09/2013</c:v>
                </c:pt>
                <c:pt idx="70">
                  <c:v>4/10/2013</c:v>
                </c:pt>
                <c:pt idx="71">
                  <c:v>11/10/2013</c:v>
                </c:pt>
                <c:pt idx="72">
                  <c:v>18/10/2013</c:v>
                </c:pt>
                <c:pt idx="73">
                  <c:v>25/10/2013</c:v>
                </c:pt>
                <c:pt idx="74">
                  <c:v>1/11/2013</c:v>
                </c:pt>
                <c:pt idx="75">
                  <c:v>8/11/2013</c:v>
                </c:pt>
                <c:pt idx="76">
                  <c:v>15/11/2013</c:v>
                </c:pt>
                <c:pt idx="77">
                  <c:v>22/11/2013</c:v>
                </c:pt>
                <c:pt idx="78">
                  <c:v>29/11/2013</c:v>
                </c:pt>
                <c:pt idx="79">
                  <c:v>6/12/2013</c:v>
                </c:pt>
                <c:pt idx="80">
                  <c:v>13/12/2013</c:v>
                </c:pt>
                <c:pt idx="81">
                  <c:v>20/12/2013</c:v>
                </c:pt>
                <c:pt idx="82">
                  <c:v>27/12/2013</c:v>
                </c:pt>
                <c:pt idx="83">
                  <c:v>3/01/2014</c:v>
                </c:pt>
                <c:pt idx="84">
                  <c:v>10/01/2014</c:v>
                </c:pt>
                <c:pt idx="85">
                  <c:v>17/01/2014</c:v>
                </c:pt>
                <c:pt idx="86">
                  <c:v>24/01/2014</c:v>
                </c:pt>
                <c:pt idx="87">
                  <c:v>31/01/2014</c:v>
                </c:pt>
                <c:pt idx="88">
                  <c:v>7/02/2014</c:v>
                </c:pt>
                <c:pt idx="89">
                  <c:v>14/02/2014</c:v>
                </c:pt>
                <c:pt idx="90">
                  <c:v>21/02/2014</c:v>
                </c:pt>
                <c:pt idx="91">
                  <c:v>28/02/2014</c:v>
                </c:pt>
                <c:pt idx="92">
                  <c:v>7/03/2014</c:v>
                </c:pt>
                <c:pt idx="93">
                  <c:v>14/03/2014</c:v>
                </c:pt>
                <c:pt idx="94">
                  <c:v>21/03/2014</c:v>
                </c:pt>
                <c:pt idx="95">
                  <c:v>28/03/2014</c:v>
                </c:pt>
                <c:pt idx="96">
                  <c:v>4/04/2014</c:v>
                </c:pt>
                <c:pt idx="97">
                  <c:v>11/04/2014</c:v>
                </c:pt>
                <c:pt idx="98">
                  <c:v>18/04/2014</c:v>
                </c:pt>
                <c:pt idx="99">
                  <c:v>25/04/2014</c:v>
                </c:pt>
                <c:pt idx="100">
                  <c:v>2/05/2014</c:v>
                </c:pt>
                <c:pt idx="101">
                  <c:v>9/05/2014</c:v>
                </c:pt>
                <c:pt idx="102">
                  <c:v>16/05/2014</c:v>
                </c:pt>
                <c:pt idx="103">
                  <c:v>23/05/2014</c:v>
                </c:pt>
                <c:pt idx="104">
                  <c:v>30/05/2014</c:v>
                </c:pt>
                <c:pt idx="105">
                  <c:v>6/06/2014</c:v>
                </c:pt>
                <c:pt idx="106">
                  <c:v>13/06/2014</c:v>
                </c:pt>
                <c:pt idx="107">
                  <c:v>20/06/2014</c:v>
                </c:pt>
                <c:pt idx="108">
                  <c:v>27/06/2014</c:v>
                </c:pt>
                <c:pt idx="109">
                  <c:v>4/07/2014</c:v>
                </c:pt>
                <c:pt idx="110">
                  <c:v>11/07/2014</c:v>
                </c:pt>
                <c:pt idx="111">
                  <c:v>18/07/2014</c:v>
                </c:pt>
                <c:pt idx="112">
                  <c:v>25/07/2014</c:v>
                </c:pt>
                <c:pt idx="113">
                  <c:v>1/08/2014</c:v>
                </c:pt>
                <c:pt idx="114">
                  <c:v>8/08/2014</c:v>
                </c:pt>
                <c:pt idx="115">
                  <c:v>15/08/2014</c:v>
                </c:pt>
                <c:pt idx="116">
                  <c:v>22/08/2014</c:v>
                </c:pt>
                <c:pt idx="117">
                  <c:v>29/08/2014</c:v>
                </c:pt>
                <c:pt idx="118">
                  <c:v>5/09/2014</c:v>
                </c:pt>
                <c:pt idx="119">
                  <c:v>12/09/2014</c:v>
                </c:pt>
                <c:pt idx="120">
                  <c:v>19/09/2014</c:v>
                </c:pt>
                <c:pt idx="121">
                  <c:v>26/09/2014</c:v>
                </c:pt>
                <c:pt idx="122">
                  <c:v>3/10/2014</c:v>
                </c:pt>
                <c:pt idx="123">
                  <c:v>10/10/2014</c:v>
                </c:pt>
                <c:pt idx="124">
                  <c:v>17/10/2014</c:v>
                </c:pt>
                <c:pt idx="125">
                  <c:v>24/10/2014</c:v>
                </c:pt>
                <c:pt idx="126">
                  <c:v>31/10/2014</c:v>
                </c:pt>
                <c:pt idx="127">
                  <c:v>7/11/2014</c:v>
                </c:pt>
                <c:pt idx="128">
                  <c:v>14/11/2014</c:v>
                </c:pt>
                <c:pt idx="129">
                  <c:v>21/11/2014</c:v>
                </c:pt>
                <c:pt idx="130">
                  <c:v>28/11/2014</c:v>
                </c:pt>
                <c:pt idx="131">
                  <c:v>5/12/2014</c:v>
                </c:pt>
                <c:pt idx="132">
                  <c:v>12/12/2014</c:v>
                </c:pt>
                <c:pt idx="133">
                  <c:v>19/12/2014</c:v>
                </c:pt>
                <c:pt idx="134">
                  <c:v>26/12/2014</c:v>
                </c:pt>
                <c:pt idx="135">
                  <c:v>2/01/2015</c:v>
                </c:pt>
                <c:pt idx="136">
                  <c:v>9/01/2015</c:v>
                </c:pt>
                <c:pt idx="137">
                  <c:v>16/01/2015</c:v>
                </c:pt>
                <c:pt idx="138">
                  <c:v>23/01/2015</c:v>
                </c:pt>
                <c:pt idx="139">
                  <c:v>30/01/2015</c:v>
                </c:pt>
                <c:pt idx="140">
                  <c:v>6/02/2015</c:v>
                </c:pt>
                <c:pt idx="141">
                  <c:v>13/02/2015</c:v>
                </c:pt>
                <c:pt idx="142">
                  <c:v>20/02/2015</c:v>
                </c:pt>
                <c:pt idx="143">
                  <c:v>27/02/2015</c:v>
                </c:pt>
                <c:pt idx="144">
                  <c:v>6/03/2015</c:v>
                </c:pt>
                <c:pt idx="145">
                  <c:v>13/03/2015</c:v>
                </c:pt>
                <c:pt idx="146">
                  <c:v>20/03/2015</c:v>
                </c:pt>
                <c:pt idx="147">
                  <c:v>27/03/2015</c:v>
                </c:pt>
                <c:pt idx="148">
                  <c:v>3/04/2015</c:v>
                </c:pt>
                <c:pt idx="149">
                  <c:v>10/04/2015</c:v>
                </c:pt>
                <c:pt idx="150">
                  <c:v>17/04/2015</c:v>
                </c:pt>
                <c:pt idx="151">
                  <c:v>24/04/2015</c:v>
                </c:pt>
                <c:pt idx="152">
                  <c:v>1/05/2015</c:v>
                </c:pt>
                <c:pt idx="153">
                  <c:v>8/05/2015</c:v>
                </c:pt>
                <c:pt idx="154">
                  <c:v>15/05/2015</c:v>
                </c:pt>
                <c:pt idx="155">
                  <c:v>22/05/2015</c:v>
                </c:pt>
                <c:pt idx="156">
                  <c:v>29/05/2015</c:v>
                </c:pt>
                <c:pt idx="157">
                  <c:v>5/06/2015</c:v>
                </c:pt>
                <c:pt idx="158">
                  <c:v>12/06/2015</c:v>
                </c:pt>
                <c:pt idx="159">
                  <c:v>19/06/2015</c:v>
                </c:pt>
                <c:pt idx="160">
                  <c:v>26/06/2015</c:v>
                </c:pt>
                <c:pt idx="161">
                  <c:v>3/07/2015</c:v>
                </c:pt>
                <c:pt idx="162">
                  <c:v>10/07/2015</c:v>
                </c:pt>
                <c:pt idx="163">
                  <c:v>17/07/2015</c:v>
                </c:pt>
                <c:pt idx="164">
                  <c:v>24/07/2015</c:v>
                </c:pt>
                <c:pt idx="165">
                  <c:v>31/07/2015</c:v>
                </c:pt>
                <c:pt idx="166">
                  <c:v>7/08/2015</c:v>
                </c:pt>
                <c:pt idx="167">
                  <c:v>14/08/2015</c:v>
                </c:pt>
              </c:strCache>
            </c:strRef>
          </c:cat>
          <c:val>
            <c:numRef>
              <c:f>'Sheet1 (13)'!$O$5:$O$173</c:f>
              <c:numCache>
                <c:formatCode>General</c:formatCode>
                <c:ptCount val="168"/>
                <c:pt idx="0">
                  <c:v>30</c:v>
                </c:pt>
                <c:pt idx="1">
                  <c:v>29</c:v>
                </c:pt>
                <c:pt idx="2">
                  <c:v>30</c:v>
                </c:pt>
                <c:pt idx="3">
                  <c:v>29</c:v>
                </c:pt>
                <c:pt idx="4">
                  <c:v>32</c:v>
                </c:pt>
                <c:pt idx="5">
                  <c:v>31</c:v>
                </c:pt>
                <c:pt idx="6">
                  <c:v>30</c:v>
                </c:pt>
                <c:pt idx="7">
                  <c:v>32</c:v>
                </c:pt>
                <c:pt idx="8">
                  <c:v>34</c:v>
                </c:pt>
                <c:pt idx="9">
                  <c:v>33</c:v>
                </c:pt>
                <c:pt idx="10">
                  <c:v>34</c:v>
                </c:pt>
                <c:pt idx="11">
                  <c:v>35</c:v>
                </c:pt>
                <c:pt idx="12">
                  <c:v>35</c:v>
                </c:pt>
                <c:pt idx="13">
                  <c:v>35</c:v>
                </c:pt>
                <c:pt idx="14">
                  <c:v>35</c:v>
                </c:pt>
                <c:pt idx="15">
                  <c:v>34</c:v>
                </c:pt>
                <c:pt idx="16">
                  <c:v>33</c:v>
                </c:pt>
                <c:pt idx="17">
                  <c:v>33</c:v>
                </c:pt>
                <c:pt idx="18">
                  <c:v>33</c:v>
                </c:pt>
                <c:pt idx="19">
                  <c:v>28</c:v>
                </c:pt>
                <c:pt idx="20">
                  <c:v>26</c:v>
                </c:pt>
                <c:pt idx="21">
                  <c:v>25</c:v>
                </c:pt>
                <c:pt idx="22">
                  <c:v>25</c:v>
                </c:pt>
                <c:pt idx="23">
                  <c:v>26</c:v>
                </c:pt>
                <c:pt idx="24">
                  <c:v>26</c:v>
                </c:pt>
                <c:pt idx="25">
                  <c:v>26</c:v>
                </c:pt>
                <c:pt idx="26">
                  <c:v>27</c:v>
                </c:pt>
                <c:pt idx="27">
                  <c:v>28</c:v>
                </c:pt>
                <c:pt idx="28">
                  <c:v>29</c:v>
                </c:pt>
                <c:pt idx="29">
                  <c:v>28</c:v>
                </c:pt>
                <c:pt idx="30">
                  <c:v>29</c:v>
                </c:pt>
                <c:pt idx="31">
                  <c:v>31</c:v>
                </c:pt>
                <c:pt idx="32">
                  <c:v>31</c:v>
                </c:pt>
                <c:pt idx="33">
                  <c:v>29</c:v>
                </c:pt>
                <c:pt idx="34">
                  <c:v>29</c:v>
                </c:pt>
                <c:pt idx="35">
                  <c:v>30</c:v>
                </c:pt>
                <c:pt idx="36">
                  <c:v>32</c:v>
                </c:pt>
                <c:pt idx="37">
                  <c:v>32</c:v>
                </c:pt>
                <c:pt idx="38">
                  <c:v>33</c:v>
                </c:pt>
                <c:pt idx="39">
                  <c:v>32</c:v>
                </c:pt>
                <c:pt idx="40">
                  <c:v>33</c:v>
                </c:pt>
                <c:pt idx="41">
                  <c:v>33</c:v>
                </c:pt>
                <c:pt idx="42">
                  <c:v>32</c:v>
                </c:pt>
                <c:pt idx="43">
                  <c:v>32</c:v>
                </c:pt>
                <c:pt idx="44">
                  <c:v>33</c:v>
                </c:pt>
                <c:pt idx="45">
                  <c:v>33</c:v>
                </c:pt>
                <c:pt idx="46">
                  <c:v>33</c:v>
                </c:pt>
                <c:pt idx="47">
                  <c:v>30</c:v>
                </c:pt>
                <c:pt idx="48">
                  <c:v>29</c:v>
                </c:pt>
                <c:pt idx="49">
                  <c:v>29</c:v>
                </c:pt>
                <c:pt idx="50">
                  <c:v>31</c:v>
                </c:pt>
                <c:pt idx="51">
                  <c:v>29</c:v>
                </c:pt>
                <c:pt idx="52">
                  <c:v>27</c:v>
                </c:pt>
                <c:pt idx="53">
                  <c:v>27</c:v>
                </c:pt>
                <c:pt idx="54">
                  <c:v>26</c:v>
                </c:pt>
                <c:pt idx="55">
                  <c:v>26</c:v>
                </c:pt>
                <c:pt idx="56">
                  <c:v>27</c:v>
                </c:pt>
                <c:pt idx="57">
                  <c:v>29</c:v>
                </c:pt>
                <c:pt idx="58">
                  <c:v>31</c:v>
                </c:pt>
                <c:pt idx="59">
                  <c:v>32</c:v>
                </c:pt>
                <c:pt idx="60">
                  <c:v>34</c:v>
                </c:pt>
                <c:pt idx="61">
                  <c:v>35</c:v>
                </c:pt>
                <c:pt idx="62">
                  <c:v>36</c:v>
                </c:pt>
                <c:pt idx="63">
                  <c:v>36</c:v>
                </c:pt>
                <c:pt idx="64">
                  <c:v>37</c:v>
                </c:pt>
                <c:pt idx="65">
                  <c:v>40</c:v>
                </c:pt>
                <c:pt idx="66">
                  <c:v>40</c:v>
                </c:pt>
                <c:pt idx="67">
                  <c:v>42</c:v>
                </c:pt>
                <c:pt idx="68">
                  <c:v>42</c:v>
                </c:pt>
                <c:pt idx="69">
                  <c:v>43</c:v>
                </c:pt>
                <c:pt idx="70">
                  <c:v>40</c:v>
                </c:pt>
                <c:pt idx="71">
                  <c:v>40</c:v>
                </c:pt>
                <c:pt idx="72">
                  <c:v>40</c:v>
                </c:pt>
                <c:pt idx="73">
                  <c:v>40</c:v>
                </c:pt>
                <c:pt idx="74">
                  <c:v>40</c:v>
                </c:pt>
                <c:pt idx="75">
                  <c:v>41</c:v>
                </c:pt>
                <c:pt idx="76">
                  <c:v>42</c:v>
                </c:pt>
                <c:pt idx="77">
                  <c:v>41</c:v>
                </c:pt>
                <c:pt idx="78">
                  <c:v>41</c:v>
                </c:pt>
                <c:pt idx="79">
                  <c:v>41</c:v>
                </c:pt>
                <c:pt idx="80">
                  <c:v>41</c:v>
                </c:pt>
                <c:pt idx="81">
                  <c:v>42</c:v>
                </c:pt>
                <c:pt idx="82">
                  <c:v>42</c:v>
                </c:pt>
                <c:pt idx="83">
                  <c:v>40</c:v>
                </c:pt>
                <c:pt idx="84">
                  <c:v>40</c:v>
                </c:pt>
                <c:pt idx="85">
                  <c:v>42</c:v>
                </c:pt>
                <c:pt idx="86">
                  <c:v>43</c:v>
                </c:pt>
                <c:pt idx="87">
                  <c:v>45</c:v>
                </c:pt>
                <c:pt idx="88">
                  <c:v>44</c:v>
                </c:pt>
                <c:pt idx="89">
                  <c:v>43</c:v>
                </c:pt>
                <c:pt idx="90">
                  <c:v>41</c:v>
                </c:pt>
                <c:pt idx="91">
                  <c:v>40</c:v>
                </c:pt>
                <c:pt idx="92">
                  <c:v>41</c:v>
                </c:pt>
                <c:pt idx="93">
                  <c:v>41</c:v>
                </c:pt>
                <c:pt idx="94">
                  <c:v>42</c:v>
                </c:pt>
                <c:pt idx="95">
                  <c:v>45</c:v>
                </c:pt>
                <c:pt idx="96">
                  <c:v>43</c:v>
                </c:pt>
                <c:pt idx="97">
                  <c:v>42</c:v>
                </c:pt>
                <c:pt idx="98">
                  <c:v>44</c:v>
                </c:pt>
                <c:pt idx="99">
                  <c:v>45</c:v>
                </c:pt>
                <c:pt idx="100">
                  <c:v>46</c:v>
                </c:pt>
                <c:pt idx="101">
                  <c:v>51</c:v>
                </c:pt>
                <c:pt idx="102">
                  <c:v>50</c:v>
                </c:pt>
                <c:pt idx="103">
                  <c:v>50</c:v>
                </c:pt>
                <c:pt idx="104">
                  <c:v>50</c:v>
                </c:pt>
                <c:pt idx="105">
                  <c:v>52</c:v>
                </c:pt>
                <c:pt idx="106">
                  <c:v>50</c:v>
                </c:pt>
                <c:pt idx="107">
                  <c:v>52</c:v>
                </c:pt>
                <c:pt idx="108">
                  <c:v>51</c:v>
                </c:pt>
                <c:pt idx="109">
                  <c:v>48</c:v>
                </c:pt>
                <c:pt idx="110">
                  <c:v>47</c:v>
                </c:pt>
                <c:pt idx="111">
                  <c:v>50</c:v>
                </c:pt>
                <c:pt idx="112">
                  <c:v>51</c:v>
                </c:pt>
                <c:pt idx="113">
                  <c:v>52</c:v>
                </c:pt>
                <c:pt idx="114">
                  <c:v>53</c:v>
                </c:pt>
                <c:pt idx="115">
                  <c:v>53</c:v>
                </c:pt>
                <c:pt idx="116">
                  <c:v>53</c:v>
                </c:pt>
                <c:pt idx="117">
                  <c:v>48</c:v>
                </c:pt>
                <c:pt idx="118">
                  <c:v>48</c:v>
                </c:pt>
                <c:pt idx="119">
                  <c:v>48</c:v>
                </c:pt>
                <c:pt idx="120">
                  <c:v>48</c:v>
                </c:pt>
                <c:pt idx="121">
                  <c:v>49</c:v>
                </c:pt>
                <c:pt idx="122">
                  <c:v>48</c:v>
                </c:pt>
                <c:pt idx="123">
                  <c:v>50</c:v>
                </c:pt>
                <c:pt idx="124">
                  <c:v>45</c:v>
                </c:pt>
                <c:pt idx="125">
                  <c:v>46</c:v>
                </c:pt>
                <c:pt idx="126">
                  <c:v>46</c:v>
                </c:pt>
                <c:pt idx="127">
                  <c:v>48</c:v>
                </c:pt>
                <c:pt idx="128">
                  <c:v>48</c:v>
                </c:pt>
                <c:pt idx="129">
                  <c:v>47</c:v>
                </c:pt>
                <c:pt idx="130">
                  <c:v>45</c:v>
                </c:pt>
                <c:pt idx="131">
                  <c:v>39</c:v>
                </c:pt>
                <c:pt idx="132">
                  <c:v>39</c:v>
                </c:pt>
                <c:pt idx="133">
                  <c:v>39</c:v>
                </c:pt>
                <c:pt idx="134">
                  <c:v>39</c:v>
                </c:pt>
                <c:pt idx="135">
                  <c:v>36</c:v>
                </c:pt>
                <c:pt idx="136">
                  <c:v>36</c:v>
                </c:pt>
                <c:pt idx="137">
                  <c:v>34</c:v>
                </c:pt>
                <c:pt idx="138">
                  <c:v>34</c:v>
                </c:pt>
                <c:pt idx="139">
                  <c:v>36</c:v>
                </c:pt>
                <c:pt idx="140">
                  <c:v>34</c:v>
                </c:pt>
                <c:pt idx="141">
                  <c:v>33</c:v>
                </c:pt>
                <c:pt idx="142">
                  <c:v>34</c:v>
                </c:pt>
                <c:pt idx="143">
                  <c:v>34</c:v>
                </c:pt>
                <c:pt idx="144">
                  <c:v>34</c:v>
                </c:pt>
                <c:pt idx="145">
                  <c:v>33</c:v>
                </c:pt>
                <c:pt idx="146">
                  <c:v>35</c:v>
                </c:pt>
                <c:pt idx="147">
                  <c:v>35</c:v>
                </c:pt>
                <c:pt idx="148">
                  <c:v>34</c:v>
                </c:pt>
                <c:pt idx="149">
                  <c:v>32</c:v>
                </c:pt>
                <c:pt idx="150">
                  <c:v>36</c:v>
                </c:pt>
                <c:pt idx="151">
                  <c:v>37</c:v>
                </c:pt>
                <c:pt idx="152">
                  <c:v>35</c:v>
                </c:pt>
                <c:pt idx="153">
                  <c:v>33</c:v>
                </c:pt>
                <c:pt idx="154">
                  <c:v>33</c:v>
                </c:pt>
                <c:pt idx="155">
                  <c:v>32</c:v>
                </c:pt>
                <c:pt idx="156">
                  <c:v>32</c:v>
                </c:pt>
                <c:pt idx="157">
                  <c:v>32</c:v>
                </c:pt>
                <c:pt idx="158">
                  <c:v>30</c:v>
                </c:pt>
                <c:pt idx="159">
                  <c:v>29</c:v>
                </c:pt>
                <c:pt idx="160">
                  <c:v>32</c:v>
                </c:pt>
                <c:pt idx="161">
                  <c:v>32</c:v>
                </c:pt>
                <c:pt idx="162">
                  <c:v>32</c:v>
                </c:pt>
                <c:pt idx="163">
                  <c:v>33</c:v>
                </c:pt>
                <c:pt idx="164">
                  <c:v>32</c:v>
                </c:pt>
                <c:pt idx="165">
                  <c:v>30</c:v>
                </c:pt>
                <c:pt idx="166">
                  <c:v>32</c:v>
                </c:pt>
                <c:pt idx="167">
                  <c:v>31</c:v>
                </c:pt>
              </c:numCache>
            </c:numRef>
          </c:val>
          <c:smooth val="0"/>
        </c:ser>
        <c:ser>
          <c:idx val="14"/>
          <c:order val="14"/>
          <c:tx>
            <c:strRef>
              <c:f>'Sheet1 (13)'!$P$3:$P$4</c:f>
              <c:strCache>
                <c:ptCount val="1"/>
                <c:pt idx="0">
                  <c:v>ETANERCEPT+SULFASALAZINE</c:v>
                </c:pt>
              </c:strCache>
            </c:strRef>
          </c:tx>
          <c:marker>
            <c:symbol val="none"/>
          </c:marker>
          <c:cat>
            <c:strRef>
              <c:f>'Sheet1 (13)'!$A$5:$A$173</c:f>
              <c:strCache>
                <c:ptCount val="168"/>
                <c:pt idx="0">
                  <c:v>1/06/2012</c:v>
                </c:pt>
                <c:pt idx="1">
                  <c:v>8/06/2012</c:v>
                </c:pt>
                <c:pt idx="2">
                  <c:v>15/06/2012</c:v>
                </c:pt>
                <c:pt idx="3">
                  <c:v>22/06/2012</c:v>
                </c:pt>
                <c:pt idx="4">
                  <c:v>29/06/2012</c:v>
                </c:pt>
                <c:pt idx="5">
                  <c:v>6/07/2012</c:v>
                </c:pt>
                <c:pt idx="6">
                  <c:v>13/07/2012</c:v>
                </c:pt>
                <c:pt idx="7">
                  <c:v>20/07/2012</c:v>
                </c:pt>
                <c:pt idx="8">
                  <c:v>27/07/2012</c:v>
                </c:pt>
                <c:pt idx="9">
                  <c:v>3/08/2012</c:v>
                </c:pt>
                <c:pt idx="10">
                  <c:v>10/08/2012</c:v>
                </c:pt>
                <c:pt idx="11">
                  <c:v>17/08/2012</c:v>
                </c:pt>
                <c:pt idx="12">
                  <c:v>24/08/2012</c:v>
                </c:pt>
                <c:pt idx="13">
                  <c:v>31/08/2012</c:v>
                </c:pt>
                <c:pt idx="14">
                  <c:v>7/09/2012</c:v>
                </c:pt>
                <c:pt idx="15">
                  <c:v>14/09/2012</c:v>
                </c:pt>
                <c:pt idx="16">
                  <c:v>21/09/2012</c:v>
                </c:pt>
                <c:pt idx="17">
                  <c:v>28/09/2012</c:v>
                </c:pt>
                <c:pt idx="18">
                  <c:v>5/10/2012</c:v>
                </c:pt>
                <c:pt idx="19">
                  <c:v>12/10/2012</c:v>
                </c:pt>
                <c:pt idx="20">
                  <c:v>19/10/2012</c:v>
                </c:pt>
                <c:pt idx="21">
                  <c:v>26/10/2012</c:v>
                </c:pt>
                <c:pt idx="22">
                  <c:v>2/11/2012</c:v>
                </c:pt>
                <c:pt idx="23">
                  <c:v>9/11/2012</c:v>
                </c:pt>
                <c:pt idx="24">
                  <c:v>16/11/2012</c:v>
                </c:pt>
                <c:pt idx="25">
                  <c:v>23/11/2012</c:v>
                </c:pt>
                <c:pt idx="26">
                  <c:v>30/11/2012</c:v>
                </c:pt>
                <c:pt idx="27">
                  <c:v>7/12/2012</c:v>
                </c:pt>
                <c:pt idx="28">
                  <c:v>14/12/2012</c:v>
                </c:pt>
                <c:pt idx="29">
                  <c:v>21/12/2012</c:v>
                </c:pt>
                <c:pt idx="30">
                  <c:v>28/12/2012</c:v>
                </c:pt>
                <c:pt idx="31">
                  <c:v>4/01/2013</c:v>
                </c:pt>
                <c:pt idx="32">
                  <c:v>11/01/2013</c:v>
                </c:pt>
                <c:pt idx="33">
                  <c:v>18/01/2013</c:v>
                </c:pt>
                <c:pt idx="34">
                  <c:v>25/01/2013</c:v>
                </c:pt>
                <c:pt idx="35">
                  <c:v>1/02/2013</c:v>
                </c:pt>
                <c:pt idx="36">
                  <c:v>8/02/2013</c:v>
                </c:pt>
                <c:pt idx="37">
                  <c:v>15/02/2013</c:v>
                </c:pt>
                <c:pt idx="38">
                  <c:v>22/02/2013</c:v>
                </c:pt>
                <c:pt idx="39">
                  <c:v>1/03/2013</c:v>
                </c:pt>
                <c:pt idx="40">
                  <c:v>8/03/2013</c:v>
                </c:pt>
                <c:pt idx="41">
                  <c:v>15/03/2013</c:v>
                </c:pt>
                <c:pt idx="42">
                  <c:v>22/03/2013</c:v>
                </c:pt>
                <c:pt idx="43">
                  <c:v>29/03/2013</c:v>
                </c:pt>
                <c:pt idx="44">
                  <c:v>5/04/2013</c:v>
                </c:pt>
                <c:pt idx="45">
                  <c:v>12/04/2013</c:v>
                </c:pt>
                <c:pt idx="46">
                  <c:v>19/04/2013</c:v>
                </c:pt>
                <c:pt idx="47">
                  <c:v>26/04/2013</c:v>
                </c:pt>
                <c:pt idx="48">
                  <c:v>3/05/2013</c:v>
                </c:pt>
                <c:pt idx="49">
                  <c:v>10/05/2013</c:v>
                </c:pt>
                <c:pt idx="50">
                  <c:v>17/05/2013</c:v>
                </c:pt>
                <c:pt idx="51">
                  <c:v>24/05/2013</c:v>
                </c:pt>
                <c:pt idx="52">
                  <c:v>31/05/2013</c:v>
                </c:pt>
                <c:pt idx="53">
                  <c:v>7/06/2013</c:v>
                </c:pt>
                <c:pt idx="54">
                  <c:v>14/06/2013</c:v>
                </c:pt>
                <c:pt idx="55">
                  <c:v>21/06/2013</c:v>
                </c:pt>
                <c:pt idx="56">
                  <c:v>28/06/2013</c:v>
                </c:pt>
                <c:pt idx="57">
                  <c:v>5/07/2013</c:v>
                </c:pt>
                <c:pt idx="58">
                  <c:v>12/07/2013</c:v>
                </c:pt>
                <c:pt idx="59">
                  <c:v>19/07/2013</c:v>
                </c:pt>
                <c:pt idx="60">
                  <c:v>26/07/2013</c:v>
                </c:pt>
                <c:pt idx="61">
                  <c:v>2/08/2013</c:v>
                </c:pt>
                <c:pt idx="62">
                  <c:v>9/08/2013</c:v>
                </c:pt>
                <c:pt idx="63">
                  <c:v>16/08/2013</c:v>
                </c:pt>
                <c:pt idx="64">
                  <c:v>23/08/2013</c:v>
                </c:pt>
                <c:pt idx="65">
                  <c:v>30/08/2013</c:v>
                </c:pt>
                <c:pt idx="66">
                  <c:v>6/09/2013</c:v>
                </c:pt>
                <c:pt idx="67">
                  <c:v>13/09/2013</c:v>
                </c:pt>
                <c:pt idx="68">
                  <c:v>20/09/2013</c:v>
                </c:pt>
                <c:pt idx="69">
                  <c:v>27/09/2013</c:v>
                </c:pt>
                <c:pt idx="70">
                  <c:v>4/10/2013</c:v>
                </c:pt>
                <c:pt idx="71">
                  <c:v>11/10/2013</c:v>
                </c:pt>
                <c:pt idx="72">
                  <c:v>18/10/2013</c:v>
                </c:pt>
                <c:pt idx="73">
                  <c:v>25/10/2013</c:v>
                </c:pt>
                <c:pt idx="74">
                  <c:v>1/11/2013</c:v>
                </c:pt>
                <c:pt idx="75">
                  <c:v>8/11/2013</c:v>
                </c:pt>
                <c:pt idx="76">
                  <c:v>15/11/2013</c:v>
                </c:pt>
                <c:pt idx="77">
                  <c:v>22/11/2013</c:v>
                </c:pt>
                <c:pt idx="78">
                  <c:v>29/11/2013</c:v>
                </c:pt>
                <c:pt idx="79">
                  <c:v>6/12/2013</c:v>
                </c:pt>
                <c:pt idx="80">
                  <c:v>13/12/2013</c:v>
                </c:pt>
                <c:pt idx="81">
                  <c:v>20/12/2013</c:v>
                </c:pt>
                <c:pt idx="82">
                  <c:v>27/12/2013</c:v>
                </c:pt>
                <c:pt idx="83">
                  <c:v>3/01/2014</c:v>
                </c:pt>
                <c:pt idx="84">
                  <c:v>10/01/2014</c:v>
                </c:pt>
                <c:pt idx="85">
                  <c:v>17/01/2014</c:v>
                </c:pt>
                <c:pt idx="86">
                  <c:v>24/01/2014</c:v>
                </c:pt>
                <c:pt idx="87">
                  <c:v>31/01/2014</c:v>
                </c:pt>
                <c:pt idx="88">
                  <c:v>7/02/2014</c:v>
                </c:pt>
                <c:pt idx="89">
                  <c:v>14/02/2014</c:v>
                </c:pt>
                <c:pt idx="90">
                  <c:v>21/02/2014</c:v>
                </c:pt>
                <c:pt idx="91">
                  <c:v>28/02/2014</c:v>
                </c:pt>
                <c:pt idx="92">
                  <c:v>7/03/2014</c:v>
                </c:pt>
                <c:pt idx="93">
                  <c:v>14/03/2014</c:v>
                </c:pt>
                <c:pt idx="94">
                  <c:v>21/03/2014</c:v>
                </c:pt>
                <c:pt idx="95">
                  <c:v>28/03/2014</c:v>
                </c:pt>
                <c:pt idx="96">
                  <c:v>4/04/2014</c:v>
                </c:pt>
                <c:pt idx="97">
                  <c:v>11/04/2014</c:v>
                </c:pt>
                <c:pt idx="98">
                  <c:v>18/04/2014</c:v>
                </c:pt>
                <c:pt idx="99">
                  <c:v>25/04/2014</c:v>
                </c:pt>
                <c:pt idx="100">
                  <c:v>2/05/2014</c:v>
                </c:pt>
                <c:pt idx="101">
                  <c:v>9/05/2014</c:v>
                </c:pt>
                <c:pt idx="102">
                  <c:v>16/05/2014</c:v>
                </c:pt>
                <c:pt idx="103">
                  <c:v>23/05/2014</c:v>
                </c:pt>
                <c:pt idx="104">
                  <c:v>30/05/2014</c:v>
                </c:pt>
                <c:pt idx="105">
                  <c:v>6/06/2014</c:v>
                </c:pt>
                <c:pt idx="106">
                  <c:v>13/06/2014</c:v>
                </c:pt>
                <c:pt idx="107">
                  <c:v>20/06/2014</c:v>
                </c:pt>
                <c:pt idx="108">
                  <c:v>27/06/2014</c:v>
                </c:pt>
                <c:pt idx="109">
                  <c:v>4/07/2014</c:v>
                </c:pt>
                <c:pt idx="110">
                  <c:v>11/07/2014</c:v>
                </c:pt>
                <c:pt idx="111">
                  <c:v>18/07/2014</c:v>
                </c:pt>
                <c:pt idx="112">
                  <c:v>25/07/2014</c:v>
                </c:pt>
                <c:pt idx="113">
                  <c:v>1/08/2014</c:v>
                </c:pt>
                <c:pt idx="114">
                  <c:v>8/08/2014</c:v>
                </c:pt>
                <c:pt idx="115">
                  <c:v>15/08/2014</c:v>
                </c:pt>
                <c:pt idx="116">
                  <c:v>22/08/2014</c:v>
                </c:pt>
                <c:pt idx="117">
                  <c:v>29/08/2014</c:v>
                </c:pt>
                <c:pt idx="118">
                  <c:v>5/09/2014</c:v>
                </c:pt>
                <c:pt idx="119">
                  <c:v>12/09/2014</c:v>
                </c:pt>
                <c:pt idx="120">
                  <c:v>19/09/2014</c:v>
                </c:pt>
                <c:pt idx="121">
                  <c:v>26/09/2014</c:v>
                </c:pt>
                <c:pt idx="122">
                  <c:v>3/10/2014</c:v>
                </c:pt>
                <c:pt idx="123">
                  <c:v>10/10/2014</c:v>
                </c:pt>
                <c:pt idx="124">
                  <c:v>17/10/2014</c:v>
                </c:pt>
                <c:pt idx="125">
                  <c:v>24/10/2014</c:v>
                </c:pt>
                <c:pt idx="126">
                  <c:v>31/10/2014</c:v>
                </c:pt>
                <c:pt idx="127">
                  <c:v>7/11/2014</c:v>
                </c:pt>
                <c:pt idx="128">
                  <c:v>14/11/2014</c:v>
                </c:pt>
                <c:pt idx="129">
                  <c:v>21/11/2014</c:v>
                </c:pt>
                <c:pt idx="130">
                  <c:v>28/11/2014</c:v>
                </c:pt>
                <c:pt idx="131">
                  <c:v>5/12/2014</c:v>
                </c:pt>
                <c:pt idx="132">
                  <c:v>12/12/2014</c:v>
                </c:pt>
                <c:pt idx="133">
                  <c:v>19/12/2014</c:v>
                </c:pt>
                <c:pt idx="134">
                  <c:v>26/12/2014</c:v>
                </c:pt>
                <c:pt idx="135">
                  <c:v>2/01/2015</c:v>
                </c:pt>
                <c:pt idx="136">
                  <c:v>9/01/2015</c:v>
                </c:pt>
                <c:pt idx="137">
                  <c:v>16/01/2015</c:v>
                </c:pt>
                <c:pt idx="138">
                  <c:v>23/01/2015</c:v>
                </c:pt>
                <c:pt idx="139">
                  <c:v>30/01/2015</c:v>
                </c:pt>
                <c:pt idx="140">
                  <c:v>6/02/2015</c:v>
                </c:pt>
                <c:pt idx="141">
                  <c:v>13/02/2015</c:v>
                </c:pt>
                <c:pt idx="142">
                  <c:v>20/02/2015</c:v>
                </c:pt>
                <c:pt idx="143">
                  <c:v>27/02/2015</c:v>
                </c:pt>
                <c:pt idx="144">
                  <c:v>6/03/2015</c:v>
                </c:pt>
                <c:pt idx="145">
                  <c:v>13/03/2015</c:v>
                </c:pt>
                <c:pt idx="146">
                  <c:v>20/03/2015</c:v>
                </c:pt>
                <c:pt idx="147">
                  <c:v>27/03/2015</c:v>
                </c:pt>
                <c:pt idx="148">
                  <c:v>3/04/2015</c:v>
                </c:pt>
                <c:pt idx="149">
                  <c:v>10/04/2015</c:v>
                </c:pt>
                <c:pt idx="150">
                  <c:v>17/04/2015</c:v>
                </c:pt>
                <c:pt idx="151">
                  <c:v>24/04/2015</c:v>
                </c:pt>
                <c:pt idx="152">
                  <c:v>1/05/2015</c:v>
                </c:pt>
                <c:pt idx="153">
                  <c:v>8/05/2015</c:v>
                </c:pt>
                <c:pt idx="154">
                  <c:v>15/05/2015</c:v>
                </c:pt>
                <c:pt idx="155">
                  <c:v>22/05/2015</c:v>
                </c:pt>
                <c:pt idx="156">
                  <c:v>29/05/2015</c:v>
                </c:pt>
                <c:pt idx="157">
                  <c:v>5/06/2015</c:v>
                </c:pt>
                <c:pt idx="158">
                  <c:v>12/06/2015</c:v>
                </c:pt>
                <c:pt idx="159">
                  <c:v>19/06/2015</c:v>
                </c:pt>
                <c:pt idx="160">
                  <c:v>26/06/2015</c:v>
                </c:pt>
                <c:pt idx="161">
                  <c:v>3/07/2015</c:v>
                </c:pt>
                <c:pt idx="162">
                  <c:v>10/07/2015</c:v>
                </c:pt>
                <c:pt idx="163">
                  <c:v>17/07/2015</c:v>
                </c:pt>
                <c:pt idx="164">
                  <c:v>24/07/2015</c:v>
                </c:pt>
                <c:pt idx="165">
                  <c:v>31/07/2015</c:v>
                </c:pt>
                <c:pt idx="166">
                  <c:v>7/08/2015</c:v>
                </c:pt>
                <c:pt idx="167">
                  <c:v>14/08/2015</c:v>
                </c:pt>
              </c:strCache>
            </c:strRef>
          </c:cat>
          <c:val>
            <c:numRef>
              <c:f>'Sheet1 (13)'!$P$5:$P$173</c:f>
              <c:numCache>
                <c:formatCode>General</c:formatCode>
                <c:ptCount val="168"/>
                <c:pt idx="0">
                  <c:v>22</c:v>
                </c:pt>
                <c:pt idx="1">
                  <c:v>24</c:v>
                </c:pt>
                <c:pt idx="2">
                  <c:v>27</c:v>
                </c:pt>
                <c:pt idx="3">
                  <c:v>27</c:v>
                </c:pt>
                <c:pt idx="4">
                  <c:v>27</c:v>
                </c:pt>
                <c:pt idx="5">
                  <c:v>27</c:v>
                </c:pt>
                <c:pt idx="6">
                  <c:v>27</c:v>
                </c:pt>
                <c:pt idx="7">
                  <c:v>28</c:v>
                </c:pt>
                <c:pt idx="8">
                  <c:v>26</c:v>
                </c:pt>
                <c:pt idx="9">
                  <c:v>28</c:v>
                </c:pt>
                <c:pt idx="10">
                  <c:v>28</c:v>
                </c:pt>
                <c:pt idx="11">
                  <c:v>26</c:v>
                </c:pt>
                <c:pt idx="12">
                  <c:v>26</c:v>
                </c:pt>
                <c:pt idx="13">
                  <c:v>28</c:v>
                </c:pt>
                <c:pt idx="14">
                  <c:v>27</c:v>
                </c:pt>
                <c:pt idx="15">
                  <c:v>27</c:v>
                </c:pt>
                <c:pt idx="16">
                  <c:v>27</c:v>
                </c:pt>
                <c:pt idx="17">
                  <c:v>25</c:v>
                </c:pt>
                <c:pt idx="18">
                  <c:v>25</c:v>
                </c:pt>
                <c:pt idx="19">
                  <c:v>27</c:v>
                </c:pt>
                <c:pt idx="20">
                  <c:v>28</c:v>
                </c:pt>
                <c:pt idx="21">
                  <c:v>25</c:v>
                </c:pt>
                <c:pt idx="22">
                  <c:v>25</c:v>
                </c:pt>
                <c:pt idx="23">
                  <c:v>26</c:v>
                </c:pt>
                <c:pt idx="24">
                  <c:v>26</c:v>
                </c:pt>
                <c:pt idx="25">
                  <c:v>26</c:v>
                </c:pt>
                <c:pt idx="26">
                  <c:v>26</c:v>
                </c:pt>
                <c:pt idx="27">
                  <c:v>25</c:v>
                </c:pt>
                <c:pt idx="28">
                  <c:v>25</c:v>
                </c:pt>
                <c:pt idx="29">
                  <c:v>25</c:v>
                </c:pt>
                <c:pt idx="30">
                  <c:v>22</c:v>
                </c:pt>
                <c:pt idx="31">
                  <c:v>21</c:v>
                </c:pt>
                <c:pt idx="32">
                  <c:v>21</c:v>
                </c:pt>
                <c:pt idx="33">
                  <c:v>20</c:v>
                </c:pt>
                <c:pt idx="34">
                  <c:v>21</c:v>
                </c:pt>
                <c:pt idx="35">
                  <c:v>22</c:v>
                </c:pt>
                <c:pt idx="36">
                  <c:v>22</c:v>
                </c:pt>
                <c:pt idx="37">
                  <c:v>22</c:v>
                </c:pt>
                <c:pt idx="38">
                  <c:v>22</c:v>
                </c:pt>
                <c:pt idx="39">
                  <c:v>22</c:v>
                </c:pt>
                <c:pt idx="40">
                  <c:v>22</c:v>
                </c:pt>
                <c:pt idx="41">
                  <c:v>23</c:v>
                </c:pt>
                <c:pt idx="42">
                  <c:v>25</c:v>
                </c:pt>
                <c:pt idx="43">
                  <c:v>25</c:v>
                </c:pt>
                <c:pt idx="44">
                  <c:v>27</c:v>
                </c:pt>
                <c:pt idx="45">
                  <c:v>27</c:v>
                </c:pt>
                <c:pt idx="46">
                  <c:v>27</c:v>
                </c:pt>
                <c:pt idx="47">
                  <c:v>28</c:v>
                </c:pt>
                <c:pt idx="48">
                  <c:v>29</c:v>
                </c:pt>
                <c:pt idx="49">
                  <c:v>29</c:v>
                </c:pt>
                <c:pt idx="50">
                  <c:v>27</c:v>
                </c:pt>
                <c:pt idx="51">
                  <c:v>27</c:v>
                </c:pt>
                <c:pt idx="52">
                  <c:v>27</c:v>
                </c:pt>
                <c:pt idx="53">
                  <c:v>27</c:v>
                </c:pt>
                <c:pt idx="54">
                  <c:v>26</c:v>
                </c:pt>
                <c:pt idx="55">
                  <c:v>26</c:v>
                </c:pt>
                <c:pt idx="56">
                  <c:v>25</c:v>
                </c:pt>
                <c:pt idx="57">
                  <c:v>26</c:v>
                </c:pt>
                <c:pt idx="58">
                  <c:v>27</c:v>
                </c:pt>
                <c:pt idx="59">
                  <c:v>26</c:v>
                </c:pt>
                <c:pt idx="60">
                  <c:v>27</c:v>
                </c:pt>
                <c:pt idx="61">
                  <c:v>27</c:v>
                </c:pt>
                <c:pt idx="62">
                  <c:v>28</c:v>
                </c:pt>
                <c:pt idx="63">
                  <c:v>27</c:v>
                </c:pt>
                <c:pt idx="64">
                  <c:v>27</c:v>
                </c:pt>
                <c:pt idx="65">
                  <c:v>26</c:v>
                </c:pt>
                <c:pt idx="66">
                  <c:v>29</c:v>
                </c:pt>
                <c:pt idx="67">
                  <c:v>28</c:v>
                </c:pt>
                <c:pt idx="68">
                  <c:v>29</c:v>
                </c:pt>
                <c:pt idx="69">
                  <c:v>29</c:v>
                </c:pt>
                <c:pt idx="70">
                  <c:v>29</c:v>
                </c:pt>
                <c:pt idx="71">
                  <c:v>31</c:v>
                </c:pt>
                <c:pt idx="72">
                  <c:v>32</c:v>
                </c:pt>
                <c:pt idx="73">
                  <c:v>31</c:v>
                </c:pt>
                <c:pt idx="74">
                  <c:v>30</c:v>
                </c:pt>
                <c:pt idx="75">
                  <c:v>31</c:v>
                </c:pt>
                <c:pt idx="76">
                  <c:v>32</c:v>
                </c:pt>
                <c:pt idx="77">
                  <c:v>34</c:v>
                </c:pt>
                <c:pt idx="78">
                  <c:v>34</c:v>
                </c:pt>
                <c:pt idx="79">
                  <c:v>34</c:v>
                </c:pt>
                <c:pt idx="80">
                  <c:v>34</c:v>
                </c:pt>
                <c:pt idx="81">
                  <c:v>33</c:v>
                </c:pt>
                <c:pt idx="82">
                  <c:v>32</c:v>
                </c:pt>
                <c:pt idx="83">
                  <c:v>32</c:v>
                </c:pt>
                <c:pt idx="84">
                  <c:v>32</c:v>
                </c:pt>
                <c:pt idx="85">
                  <c:v>32</c:v>
                </c:pt>
                <c:pt idx="86">
                  <c:v>31</c:v>
                </c:pt>
                <c:pt idx="87">
                  <c:v>31</c:v>
                </c:pt>
                <c:pt idx="88">
                  <c:v>31</c:v>
                </c:pt>
                <c:pt idx="89">
                  <c:v>32</c:v>
                </c:pt>
                <c:pt idx="90">
                  <c:v>30</c:v>
                </c:pt>
                <c:pt idx="91">
                  <c:v>29</c:v>
                </c:pt>
                <c:pt idx="92">
                  <c:v>29</c:v>
                </c:pt>
                <c:pt idx="93">
                  <c:v>29</c:v>
                </c:pt>
                <c:pt idx="94">
                  <c:v>28</c:v>
                </c:pt>
                <c:pt idx="95">
                  <c:v>30</c:v>
                </c:pt>
                <c:pt idx="96">
                  <c:v>33</c:v>
                </c:pt>
                <c:pt idx="97">
                  <c:v>33</c:v>
                </c:pt>
                <c:pt idx="98">
                  <c:v>32</c:v>
                </c:pt>
                <c:pt idx="99">
                  <c:v>33</c:v>
                </c:pt>
                <c:pt idx="100">
                  <c:v>34</c:v>
                </c:pt>
                <c:pt idx="101">
                  <c:v>35</c:v>
                </c:pt>
                <c:pt idx="102">
                  <c:v>36</c:v>
                </c:pt>
                <c:pt idx="103">
                  <c:v>35</c:v>
                </c:pt>
                <c:pt idx="104">
                  <c:v>35</c:v>
                </c:pt>
                <c:pt idx="105">
                  <c:v>35</c:v>
                </c:pt>
                <c:pt idx="106">
                  <c:v>33</c:v>
                </c:pt>
                <c:pt idx="107">
                  <c:v>34</c:v>
                </c:pt>
                <c:pt idx="108">
                  <c:v>34</c:v>
                </c:pt>
                <c:pt idx="109">
                  <c:v>32</c:v>
                </c:pt>
                <c:pt idx="110">
                  <c:v>34</c:v>
                </c:pt>
                <c:pt idx="111">
                  <c:v>35</c:v>
                </c:pt>
                <c:pt idx="112">
                  <c:v>36</c:v>
                </c:pt>
                <c:pt idx="113">
                  <c:v>37</c:v>
                </c:pt>
                <c:pt idx="114">
                  <c:v>36</c:v>
                </c:pt>
                <c:pt idx="115">
                  <c:v>35</c:v>
                </c:pt>
                <c:pt idx="116">
                  <c:v>36</c:v>
                </c:pt>
                <c:pt idx="117">
                  <c:v>38</c:v>
                </c:pt>
                <c:pt idx="118">
                  <c:v>38</c:v>
                </c:pt>
                <c:pt idx="119">
                  <c:v>36</c:v>
                </c:pt>
                <c:pt idx="120">
                  <c:v>37</c:v>
                </c:pt>
                <c:pt idx="121">
                  <c:v>36</c:v>
                </c:pt>
                <c:pt idx="122">
                  <c:v>33</c:v>
                </c:pt>
                <c:pt idx="123">
                  <c:v>34</c:v>
                </c:pt>
                <c:pt idx="124">
                  <c:v>36</c:v>
                </c:pt>
                <c:pt idx="125">
                  <c:v>35</c:v>
                </c:pt>
                <c:pt idx="126">
                  <c:v>37</c:v>
                </c:pt>
                <c:pt idx="127">
                  <c:v>38</c:v>
                </c:pt>
                <c:pt idx="128">
                  <c:v>40</c:v>
                </c:pt>
                <c:pt idx="129">
                  <c:v>41</c:v>
                </c:pt>
                <c:pt idx="130">
                  <c:v>40</c:v>
                </c:pt>
                <c:pt idx="131">
                  <c:v>41</c:v>
                </c:pt>
                <c:pt idx="132">
                  <c:v>42</c:v>
                </c:pt>
                <c:pt idx="133">
                  <c:v>45</c:v>
                </c:pt>
                <c:pt idx="134">
                  <c:v>44</c:v>
                </c:pt>
                <c:pt idx="135">
                  <c:v>46</c:v>
                </c:pt>
                <c:pt idx="136">
                  <c:v>45</c:v>
                </c:pt>
                <c:pt idx="137">
                  <c:v>44</c:v>
                </c:pt>
                <c:pt idx="138">
                  <c:v>44</c:v>
                </c:pt>
                <c:pt idx="139">
                  <c:v>44</c:v>
                </c:pt>
                <c:pt idx="140">
                  <c:v>43</c:v>
                </c:pt>
                <c:pt idx="141">
                  <c:v>42</c:v>
                </c:pt>
                <c:pt idx="142">
                  <c:v>44</c:v>
                </c:pt>
                <c:pt idx="143">
                  <c:v>41</c:v>
                </c:pt>
                <c:pt idx="144">
                  <c:v>42</c:v>
                </c:pt>
                <c:pt idx="145">
                  <c:v>43</c:v>
                </c:pt>
                <c:pt idx="146">
                  <c:v>42</c:v>
                </c:pt>
                <c:pt idx="147">
                  <c:v>39</c:v>
                </c:pt>
                <c:pt idx="148">
                  <c:v>40</c:v>
                </c:pt>
                <c:pt idx="149">
                  <c:v>41</c:v>
                </c:pt>
                <c:pt idx="150">
                  <c:v>41</c:v>
                </c:pt>
                <c:pt idx="151">
                  <c:v>41</c:v>
                </c:pt>
                <c:pt idx="152">
                  <c:v>40</c:v>
                </c:pt>
                <c:pt idx="153">
                  <c:v>42</c:v>
                </c:pt>
                <c:pt idx="154">
                  <c:v>42</c:v>
                </c:pt>
                <c:pt idx="155">
                  <c:v>43</c:v>
                </c:pt>
                <c:pt idx="156">
                  <c:v>42</c:v>
                </c:pt>
                <c:pt idx="157">
                  <c:v>44</c:v>
                </c:pt>
                <c:pt idx="158">
                  <c:v>46</c:v>
                </c:pt>
                <c:pt idx="159">
                  <c:v>46</c:v>
                </c:pt>
                <c:pt idx="160">
                  <c:v>46</c:v>
                </c:pt>
                <c:pt idx="161">
                  <c:v>46</c:v>
                </c:pt>
                <c:pt idx="162">
                  <c:v>45</c:v>
                </c:pt>
                <c:pt idx="163">
                  <c:v>46</c:v>
                </c:pt>
                <c:pt idx="164">
                  <c:v>47</c:v>
                </c:pt>
                <c:pt idx="165">
                  <c:v>46</c:v>
                </c:pt>
                <c:pt idx="166">
                  <c:v>43</c:v>
                </c:pt>
                <c:pt idx="167">
                  <c:v>42</c:v>
                </c:pt>
              </c:numCache>
            </c:numRef>
          </c:val>
          <c:smooth val="0"/>
        </c:ser>
        <c:dLbls>
          <c:showLegendKey val="0"/>
          <c:showVal val="0"/>
          <c:showCatName val="0"/>
          <c:showSerName val="0"/>
          <c:showPercent val="0"/>
          <c:showBubbleSize val="0"/>
        </c:dLbls>
        <c:marker val="1"/>
        <c:smooth val="0"/>
        <c:axId val="392722304"/>
        <c:axId val="392723840"/>
      </c:lineChart>
      <c:catAx>
        <c:axId val="392722304"/>
        <c:scaling>
          <c:orientation val="minMax"/>
        </c:scaling>
        <c:delete val="0"/>
        <c:axPos val="b"/>
        <c:majorTickMark val="none"/>
        <c:minorTickMark val="none"/>
        <c:tickLblPos val="nextTo"/>
        <c:txPr>
          <a:bodyPr/>
          <a:lstStyle/>
          <a:p>
            <a:pPr>
              <a:defRPr sz="900"/>
            </a:pPr>
            <a:endParaRPr lang="en-US"/>
          </a:p>
        </c:txPr>
        <c:crossAx val="392723840"/>
        <c:crosses val="autoZero"/>
        <c:auto val="1"/>
        <c:lblAlgn val="ctr"/>
        <c:lblOffset val="100"/>
        <c:noMultiLvlLbl val="0"/>
      </c:catAx>
      <c:valAx>
        <c:axId val="392723840"/>
        <c:scaling>
          <c:orientation val="minMax"/>
        </c:scaling>
        <c:delete val="0"/>
        <c:axPos val="l"/>
        <c:majorGridlines/>
        <c:title>
          <c:tx>
            <c:rich>
              <a:bodyPr/>
              <a:lstStyle/>
              <a:p>
                <a:pPr>
                  <a:defRPr b="0"/>
                </a:pPr>
                <a:r>
                  <a:rPr lang="en-AU" b="0"/>
                  <a:t>Patients</a:t>
                </a:r>
              </a:p>
            </c:rich>
          </c:tx>
          <c:layout>
            <c:manualLayout>
              <c:xMode val="edge"/>
              <c:yMode val="edge"/>
              <c:x val="1.1166945840312675E-2"/>
              <c:y val="0.34789487601363261"/>
            </c:manualLayout>
          </c:layout>
          <c:overlay val="0"/>
        </c:title>
        <c:numFmt formatCode="#,##0" sourceLinked="0"/>
        <c:majorTickMark val="none"/>
        <c:minorTickMark val="none"/>
        <c:tickLblPos val="nextTo"/>
        <c:crossAx val="392722304"/>
        <c:crosses val="autoZero"/>
        <c:crossBetween val="between"/>
      </c:valAx>
    </c:plotArea>
    <c:legend>
      <c:legendPos val="r"/>
      <c:layout/>
      <c:overlay val="0"/>
      <c:txPr>
        <a:bodyPr/>
        <a:lstStyle/>
        <a:p>
          <a:pPr>
            <a:defRPr sz="600"/>
          </a:pPr>
          <a:endParaRPr lang="en-US"/>
        </a:p>
      </c:txPr>
    </c:legend>
    <c:plotVisOnly val="1"/>
    <c:dispBlanksAs val="gap"/>
    <c:showDLblsOverMax val="0"/>
  </c:chart>
  <c:txPr>
    <a:bodyPr/>
    <a:lstStyle/>
    <a:p>
      <a:pPr>
        <a:defRPr sz="900"/>
      </a:pPr>
      <a:endParaRPr lang="en-US"/>
    </a:p>
  </c:txPr>
  <c:externalData r:id="rId1">
    <c:autoUpdate val="0"/>
  </c:externalData>
  <c:userShapes r:id="rId2"/>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drawings/drawing1.xml><?xml version="1.0" encoding="utf-8"?>
<c:userShapes xmlns:c="http://schemas.openxmlformats.org/drawingml/2006/chart">
  <cdr:relSizeAnchor xmlns:cdr="http://schemas.openxmlformats.org/drawingml/2006/chartDrawing">
    <cdr:from>
      <cdr:x>0.14806</cdr:x>
      <cdr:y>0.00484</cdr:y>
    </cdr:from>
    <cdr:to>
      <cdr:x>0.27474</cdr:x>
      <cdr:y>0.04958</cdr:y>
    </cdr:to>
    <cdr:sp macro="" textlink="">
      <cdr:nvSpPr>
        <cdr:cNvPr id="2"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fld id="{9F76C2F6-5DC6-49AF-B419-D5FA5487B82F}" type="TxLink">
            <a:rPr lang="en-AU" sz="1200"/>
            <a:pPr/>
            <a:t> </a:t>
          </a:fld>
          <a:endParaRPr lang="en-AU" sz="1200"/>
        </a:p>
      </cdr:txBody>
    </cdr:sp>
  </cdr:relSizeAnchor>
  <cdr:relSizeAnchor xmlns:cdr="http://schemas.openxmlformats.org/drawingml/2006/chartDrawing">
    <cdr:from>
      <cdr:x>0.14806</cdr:x>
      <cdr:y>0.00484</cdr:y>
    </cdr:from>
    <cdr:to>
      <cdr:x>0.27474</cdr:x>
      <cdr:y>0.04958</cdr:y>
    </cdr:to>
    <cdr:sp macro="" textlink="">
      <cdr:nvSpPr>
        <cdr:cNvPr id="4"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0.14806</cdr:x>
      <cdr:y>0.00484</cdr:y>
    </cdr:from>
    <cdr:to>
      <cdr:x>0.27474</cdr:x>
      <cdr:y>0.04958</cdr:y>
    </cdr:to>
    <cdr:sp macro="" textlink="">
      <cdr:nvSpPr>
        <cdr:cNvPr id="3"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fld id="{9F76C2F6-5DC6-49AF-B419-D5FA5487B82F}" type="TxLink">
            <a:rPr lang="en-AU" sz="1200"/>
            <a:pPr/>
            <a:t> </a:t>
          </a:fld>
          <a:endParaRPr lang="en-AU" sz="1200"/>
        </a:p>
      </cdr:txBody>
    </cdr:sp>
  </cdr:relSizeAnchor>
  <cdr:relSizeAnchor xmlns:cdr="http://schemas.openxmlformats.org/drawingml/2006/chartDrawing">
    <cdr:from>
      <cdr:x>0.14806</cdr:x>
      <cdr:y>0.00484</cdr:y>
    </cdr:from>
    <cdr:to>
      <cdr:x>0.27474</cdr:x>
      <cdr:y>0.04958</cdr:y>
    </cdr:to>
    <cdr:sp macro="" textlink="">
      <cdr:nvSpPr>
        <cdr:cNvPr id="5"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0.22863</cdr:x>
      <cdr:y>0.00723</cdr:y>
    </cdr:from>
    <cdr:to>
      <cdr:x>0.47098</cdr:x>
      <cdr:y>0.0497</cdr:y>
    </cdr:to>
    <cdr:sp macro="" textlink="">
      <cdr:nvSpPr>
        <cdr:cNvPr id="6" name="TextBox 5"/>
        <cdr:cNvSpPr txBox="1"/>
      </cdr:nvSpPr>
      <cdr:spPr>
        <a:xfrm xmlns:a="http://schemas.openxmlformats.org/drawingml/2006/main">
          <a:off x="2311105" y="43775"/>
          <a:ext cx="2449713" cy="25714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fld id="{98848897-422E-4B2A-803D-C79E71D3533F}" type="TxLink">
            <a:rPr lang="en-AU" sz="900" b="0" i="0" u="none" strike="noStrike">
              <a:solidFill>
                <a:srgbClr val="000000"/>
              </a:solidFill>
              <a:latin typeface="MS Sans Serif"/>
            </a:rPr>
            <a:pPr/>
            <a:t> </a:t>
          </a:fld>
          <a:endParaRPr lang="en-AU" sz="900"/>
        </a:p>
      </cdr:txBody>
    </cdr:sp>
  </cdr:relSizeAnchor>
  <cdr:relSizeAnchor xmlns:cdr="http://schemas.openxmlformats.org/drawingml/2006/chartDrawing">
    <cdr:from>
      <cdr:x>0.63251</cdr:x>
      <cdr:y>0.5155</cdr:y>
    </cdr:from>
    <cdr:to>
      <cdr:x>0.96991</cdr:x>
      <cdr:y>0.51554</cdr:y>
    </cdr:to>
    <cdr:cxnSp macro="">
      <cdr:nvCxnSpPr>
        <cdr:cNvPr id="8" name="Straight Connector 7" title="."/>
        <cdr:cNvCxnSpPr/>
      </cdr:nvCxnSpPr>
      <cdr:spPr>
        <a:xfrm xmlns:a="http://schemas.openxmlformats.org/drawingml/2006/main" flipV="1">
          <a:off x="3849756" y="1890392"/>
          <a:ext cx="2053573" cy="158"/>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0.14806</cdr:x>
      <cdr:y>0.00484</cdr:y>
    </cdr:from>
    <cdr:to>
      <cdr:x>0.27474</cdr:x>
      <cdr:y>0.04958</cdr:y>
    </cdr:to>
    <cdr:sp macro="" textlink="">
      <cdr:nvSpPr>
        <cdr:cNvPr id="2"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fld id="{9F76C2F6-5DC6-49AF-B419-D5FA5487B82F}" type="TxLink">
            <a:rPr lang="en-AU" sz="1200"/>
            <a:pPr/>
            <a:t> </a:t>
          </a:fld>
          <a:endParaRPr lang="en-AU" sz="1200"/>
        </a:p>
      </cdr:txBody>
    </cdr:sp>
  </cdr:relSizeAnchor>
  <cdr:relSizeAnchor xmlns:cdr="http://schemas.openxmlformats.org/drawingml/2006/chartDrawing">
    <cdr:from>
      <cdr:x>0.14806</cdr:x>
      <cdr:y>0.00484</cdr:y>
    </cdr:from>
    <cdr:to>
      <cdr:x>0.27474</cdr:x>
      <cdr:y>0.04958</cdr:y>
    </cdr:to>
    <cdr:sp macro="" textlink="">
      <cdr:nvSpPr>
        <cdr:cNvPr id="4"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0.14806</cdr:x>
      <cdr:y>0.00484</cdr:y>
    </cdr:from>
    <cdr:to>
      <cdr:x>0.27474</cdr:x>
      <cdr:y>0.04958</cdr:y>
    </cdr:to>
    <cdr:sp macro="" textlink="">
      <cdr:nvSpPr>
        <cdr:cNvPr id="3"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fld id="{9F76C2F6-5DC6-49AF-B419-D5FA5487B82F}" type="TxLink">
            <a:rPr lang="en-AU" sz="1200"/>
            <a:pPr/>
            <a:t> </a:t>
          </a:fld>
          <a:endParaRPr lang="en-AU" sz="1200"/>
        </a:p>
      </cdr:txBody>
    </cdr:sp>
  </cdr:relSizeAnchor>
  <cdr:relSizeAnchor xmlns:cdr="http://schemas.openxmlformats.org/drawingml/2006/chartDrawing">
    <cdr:from>
      <cdr:x>0.14806</cdr:x>
      <cdr:y>0.00484</cdr:y>
    </cdr:from>
    <cdr:to>
      <cdr:x>0.27474</cdr:x>
      <cdr:y>0.04958</cdr:y>
    </cdr:to>
    <cdr:sp macro="" textlink="">
      <cdr:nvSpPr>
        <cdr:cNvPr id="5"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60070-CE46-4609-AA27-EB8D037E9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6118</Words>
  <Characters>34877</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2016-06-23T04:28:00Z</dcterms:created>
  <dcterms:modified xsi:type="dcterms:W3CDTF">2016-06-23T04:30:00Z</dcterms:modified>
</cp:coreProperties>
</file>