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39F7E764" w:rsidR="00832324" w:rsidRDefault="002370CE" w:rsidP="00823D44">
      <w:pPr>
        <w:pStyle w:val="Title"/>
        <w:spacing w:before="480" w:after="0"/>
      </w:pPr>
      <w:r>
        <w:t>Multiple sclerosis</w:t>
      </w:r>
      <w:r w:rsidR="001C4016">
        <w:t xml:space="preserve">: </w:t>
      </w:r>
      <w:r w:rsidR="00280A9E">
        <w:t xml:space="preserve">predicted versus actual </w:t>
      </w:r>
      <w:r w:rsidR="001C4016">
        <w:t>a</w:t>
      </w:r>
      <w:r w:rsidR="00280A9E">
        <w:t>nalysis</w:t>
      </w:r>
    </w:p>
    <w:p w14:paraId="68F00614" w14:textId="799F8740" w:rsidR="00736041" w:rsidRDefault="009053D3" w:rsidP="00823D44">
      <w:pPr>
        <w:pStyle w:val="Heading1"/>
      </w:pPr>
      <w:bookmarkStart w:id="0" w:name="_GoBack"/>
      <w:bookmarkEnd w:id="0"/>
      <w:r>
        <w:t>D</w:t>
      </w:r>
      <w:r w:rsidR="00832324" w:rsidRPr="0063631C">
        <w:t xml:space="preserve">rug utilisation sub-committee </w:t>
      </w:r>
      <w:r w:rsidR="00832324">
        <w:t>(DUSC)</w:t>
      </w:r>
    </w:p>
    <w:p w14:paraId="78148839" w14:textId="42F2A874" w:rsidR="009053D3" w:rsidRPr="000C46BB" w:rsidRDefault="002370CE" w:rsidP="00823D44">
      <w:pPr>
        <w:pStyle w:val="Heading2"/>
      </w:pPr>
      <w:r>
        <w:t>October</w:t>
      </w:r>
      <w:r w:rsidR="00280A9E">
        <w:t xml:space="preserve"> 2015</w:t>
      </w:r>
    </w:p>
    <w:p w14:paraId="1494B8AD" w14:textId="77777777" w:rsidR="005C6661" w:rsidRDefault="005C6661" w:rsidP="00823D44">
      <w:pPr>
        <w:pStyle w:val="Heading4"/>
      </w:pPr>
      <w:r>
        <w:t>Abstract</w:t>
      </w:r>
    </w:p>
    <w:p w14:paraId="287D7939" w14:textId="77777777" w:rsidR="005C6661" w:rsidRDefault="005C6661" w:rsidP="00DC54B2">
      <w:pPr>
        <w:pStyle w:val="Heading4"/>
      </w:pPr>
      <w:r>
        <w:t>Purpose</w:t>
      </w:r>
    </w:p>
    <w:p w14:paraId="60540F27" w14:textId="75850BAE" w:rsidR="009A5F9C" w:rsidRDefault="0092292F" w:rsidP="0092292F">
      <w:pPr>
        <w:pStyle w:val="NoSpacing"/>
        <w:rPr>
          <w:rFonts w:cstheme="minorHAnsi"/>
        </w:rPr>
      </w:pPr>
      <w:r>
        <w:rPr>
          <w:rFonts w:cstheme="minorHAnsi"/>
        </w:rPr>
        <w:t>To review the utilisation of PBS listed medicines for relapsing-remitting multiple sclerosis (RRMS)</w:t>
      </w:r>
      <w:r w:rsidR="003C616A">
        <w:rPr>
          <w:rFonts w:cstheme="minorHAnsi"/>
        </w:rPr>
        <w:t>,</w:t>
      </w:r>
      <w:r>
        <w:rPr>
          <w:rFonts w:cstheme="minorHAnsi"/>
        </w:rPr>
        <w:t xml:space="preserve"> including an assessment of the predicted versus actual use of the</w:t>
      </w:r>
      <w:r w:rsidR="009A5F9C">
        <w:rPr>
          <w:rFonts w:cstheme="minorHAnsi"/>
        </w:rPr>
        <w:t xml:space="preserve"> </w:t>
      </w:r>
      <w:r>
        <w:rPr>
          <w:rFonts w:cstheme="minorHAnsi"/>
        </w:rPr>
        <w:t>oral therapies</w:t>
      </w:r>
      <w:r w:rsidR="003C616A">
        <w:rPr>
          <w:rFonts w:cstheme="minorHAnsi"/>
        </w:rPr>
        <w:t>, dimethyl fumarate, teriflunomide and fingolimod.</w:t>
      </w:r>
      <w:r>
        <w:rPr>
          <w:rFonts w:cstheme="minorHAnsi"/>
        </w:rPr>
        <w:t xml:space="preserve"> </w:t>
      </w:r>
    </w:p>
    <w:p w14:paraId="1CBEB17A" w14:textId="77777777" w:rsidR="00DC54B2" w:rsidRDefault="00DC54B2" w:rsidP="005C6661">
      <w:pPr>
        <w:pStyle w:val="NoSpacing"/>
        <w:rPr>
          <w:rFonts w:cstheme="minorHAnsi"/>
        </w:rPr>
      </w:pPr>
    </w:p>
    <w:p w14:paraId="79CC57FE" w14:textId="4DC0788A" w:rsidR="00DC54B2" w:rsidRPr="00366EEC" w:rsidRDefault="00DC54B2" w:rsidP="00DC54B2">
      <w:pPr>
        <w:pStyle w:val="Heading4"/>
        <w:keepNext/>
        <w:keepLines/>
        <w:spacing w:before="0" w:after="0"/>
        <w:rPr>
          <w:rFonts w:eastAsiaTheme="majorEastAsia" w:cstheme="majorBidi"/>
          <w:bCs/>
          <w:sz w:val="28"/>
          <w:szCs w:val="28"/>
        </w:rPr>
      </w:pPr>
      <w:r w:rsidRPr="00366EEC">
        <w:rPr>
          <w:rFonts w:eastAsiaTheme="majorEastAsia" w:cstheme="majorBidi"/>
          <w:bCs/>
          <w:sz w:val="28"/>
          <w:szCs w:val="28"/>
        </w:rPr>
        <w:t xml:space="preserve">Date of </w:t>
      </w:r>
      <w:r w:rsidR="009A5F9C">
        <w:rPr>
          <w:rFonts w:eastAsiaTheme="majorEastAsia" w:cstheme="majorBidi"/>
          <w:bCs/>
          <w:sz w:val="28"/>
          <w:szCs w:val="28"/>
        </w:rPr>
        <w:t xml:space="preserve">PBS </w:t>
      </w:r>
      <w:r w:rsidRPr="00366EEC">
        <w:rPr>
          <w:rFonts w:eastAsiaTheme="majorEastAsia" w:cstheme="majorBidi"/>
          <w:bCs/>
          <w:sz w:val="28"/>
          <w:szCs w:val="28"/>
        </w:rPr>
        <w:t xml:space="preserve">listing </w:t>
      </w:r>
      <w:r w:rsidR="009A5F9C">
        <w:rPr>
          <w:rFonts w:eastAsiaTheme="majorEastAsia" w:cstheme="majorBidi"/>
          <w:bCs/>
          <w:sz w:val="28"/>
          <w:szCs w:val="28"/>
        </w:rPr>
        <w:t>of oral therapies</w:t>
      </w:r>
    </w:p>
    <w:p w14:paraId="2F589A52" w14:textId="2228A7A5" w:rsidR="00DC54B2" w:rsidRPr="00816C31" w:rsidRDefault="00DC54B2" w:rsidP="00DC54B2">
      <w:pPr>
        <w:pStyle w:val="ListParagraph"/>
        <w:numPr>
          <w:ilvl w:val="0"/>
          <w:numId w:val="19"/>
        </w:numPr>
        <w:spacing w:after="0"/>
      </w:pPr>
      <w:r>
        <w:t>Fingolimod – 1 September</w:t>
      </w:r>
      <w:r w:rsidRPr="00816C31">
        <w:t xml:space="preserve"> 2011.</w:t>
      </w:r>
    </w:p>
    <w:p w14:paraId="7524F69B" w14:textId="65BC3D68" w:rsidR="00DC54B2" w:rsidRDefault="00DC54B2" w:rsidP="00DC54B2">
      <w:pPr>
        <w:pStyle w:val="ListParagraph"/>
        <w:numPr>
          <w:ilvl w:val="0"/>
          <w:numId w:val="19"/>
        </w:numPr>
        <w:spacing w:after="0"/>
      </w:pPr>
      <w:r>
        <w:t>Dimethyl fumarate – 1 December 2013.</w:t>
      </w:r>
    </w:p>
    <w:p w14:paraId="018CB03A" w14:textId="6A871EE3" w:rsidR="00DC54B2" w:rsidRPr="00816C31" w:rsidRDefault="00DC54B2" w:rsidP="00DC54B2">
      <w:pPr>
        <w:pStyle w:val="ListParagraph"/>
        <w:numPr>
          <w:ilvl w:val="0"/>
          <w:numId w:val="19"/>
        </w:numPr>
        <w:spacing w:after="0"/>
      </w:pPr>
      <w:r>
        <w:t>Teriflunomide – 1 December 2013.</w:t>
      </w:r>
    </w:p>
    <w:p w14:paraId="5AAB5442" w14:textId="77777777" w:rsidR="00DC54B2" w:rsidRDefault="00DC54B2" w:rsidP="005C6661">
      <w:pPr>
        <w:pStyle w:val="NoSpacing"/>
        <w:rPr>
          <w:rFonts w:cstheme="minorHAnsi"/>
        </w:rPr>
      </w:pPr>
    </w:p>
    <w:p w14:paraId="526743BB" w14:textId="77777777" w:rsidR="005C6661" w:rsidRPr="003B65E8" w:rsidRDefault="005C6661" w:rsidP="003B65E8">
      <w:pPr>
        <w:pStyle w:val="Heading4"/>
        <w:keepNext/>
        <w:keepLines/>
        <w:spacing w:before="0" w:after="0"/>
        <w:rPr>
          <w:rFonts w:eastAsiaTheme="majorEastAsia" w:cstheme="majorBidi"/>
          <w:bCs/>
          <w:sz w:val="28"/>
          <w:szCs w:val="28"/>
        </w:rPr>
      </w:pPr>
      <w:r w:rsidRPr="003B65E8">
        <w:rPr>
          <w:rFonts w:eastAsiaTheme="majorEastAsia" w:cstheme="majorBidi"/>
          <w:bCs/>
          <w:sz w:val="28"/>
          <w:szCs w:val="28"/>
        </w:rPr>
        <w:t>Data Source / methodology</w:t>
      </w:r>
    </w:p>
    <w:p w14:paraId="2FCC2EBD" w14:textId="39D778DC" w:rsidR="003134C0" w:rsidRDefault="006D2C1C" w:rsidP="003134C0">
      <w:pPr>
        <w:pStyle w:val="Heading2"/>
        <w:rPr>
          <w:b w:val="0"/>
          <w:i w:val="0"/>
        </w:rPr>
      </w:pPr>
      <w:r>
        <w:rPr>
          <w:b w:val="0"/>
          <w:i w:val="0"/>
        </w:rPr>
        <w:t>P</w:t>
      </w:r>
      <w:r w:rsidR="00587CDD" w:rsidRPr="00587CDD">
        <w:rPr>
          <w:b w:val="0"/>
          <w:i w:val="0"/>
        </w:rPr>
        <w:t>rescription data from the Department of Human Services</w:t>
      </w:r>
      <w:r w:rsidR="00C20E37">
        <w:rPr>
          <w:b w:val="0"/>
          <w:i w:val="0"/>
        </w:rPr>
        <w:t xml:space="preserve"> (DHS</w:t>
      </w:r>
      <w:r w:rsidR="0018129D">
        <w:rPr>
          <w:b w:val="0"/>
          <w:i w:val="0"/>
        </w:rPr>
        <w:t xml:space="preserve">). </w:t>
      </w:r>
      <w:r w:rsidR="002E61A2">
        <w:rPr>
          <w:b w:val="0"/>
          <w:i w:val="0"/>
        </w:rPr>
        <w:t>D</w:t>
      </w:r>
      <w:r w:rsidR="00B3427C">
        <w:rPr>
          <w:b w:val="0"/>
          <w:i w:val="0"/>
        </w:rPr>
        <w:t xml:space="preserve">ata was extracted from </w:t>
      </w:r>
      <w:r w:rsidR="00C70533">
        <w:rPr>
          <w:b w:val="0"/>
          <w:i w:val="0"/>
        </w:rPr>
        <w:t>January 200</w:t>
      </w:r>
      <w:r w:rsidR="00B238E0">
        <w:rPr>
          <w:b w:val="0"/>
          <w:i w:val="0"/>
        </w:rPr>
        <w:t>2</w:t>
      </w:r>
      <w:r w:rsidR="002E61A2">
        <w:rPr>
          <w:b w:val="0"/>
          <w:i w:val="0"/>
        </w:rPr>
        <w:t xml:space="preserve"> to the</w:t>
      </w:r>
      <w:r w:rsidR="00E9666D">
        <w:rPr>
          <w:b w:val="0"/>
          <w:i w:val="0"/>
        </w:rPr>
        <w:t xml:space="preserve"> most current</w:t>
      </w:r>
      <w:r w:rsidR="00A54521">
        <w:rPr>
          <w:b w:val="0"/>
          <w:i w:val="0"/>
        </w:rPr>
        <w:t>ly</w:t>
      </w:r>
      <w:r w:rsidR="00C70533">
        <w:rPr>
          <w:b w:val="0"/>
          <w:i w:val="0"/>
        </w:rPr>
        <w:t xml:space="preserve"> available data (March 2015</w:t>
      </w:r>
      <w:r w:rsidR="00E9666D">
        <w:rPr>
          <w:b w:val="0"/>
          <w:i w:val="0"/>
        </w:rPr>
        <w:t>).</w:t>
      </w:r>
      <w:r w:rsidR="00587CDD" w:rsidRPr="00587CDD">
        <w:rPr>
          <w:b w:val="0"/>
          <w:i w:val="0"/>
        </w:rPr>
        <w:t xml:space="preserve"> </w:t>
      </w:r>
      <w:r w:rsidR="00017523">
        <w:rPr>
          <w:b w:val="0"/>
          <w:i w:val="0"/>
        </w:rPr>
        <w:t>Prescription data was based on the date of supply.</w:t>
      </w:r>
    </w:p>
    <w:p w14:paraId="538A34B5" w14:textId="1A445E99" w:rsidR="003C616A" w:rsidRPr="003C616A" w:rsidRDefault="003C616A" w:rsidP="00D14F74">
      <w:r>
        <w:rPr>
          <w:rFonts w:cstheme="minorHAnsi"/>
        </w:rPr>
        <w:t xml:space="preserve">The medicines included in the analysis </w:t>
      </w:r>
      <w:r w:rsidR="0019399D">
        <w:rPr>
          <w:rFonts w:cstheme="minorHAnsi"/>
        </w:rPr>
        <w:t>we</w:t>
      </w:r>
      <w:r>
        <w:rPr>
          <w:rFonts w:cstheme="minorHAnsi"/>
        </w:rPr>
        <w:t>re interferon beta-1a, interferon beta-1b, glatiramer acetate, natalizumab, fingolimod, dimethyl fumarate and teriflunomide.</w:t>
      </w:r>
    </w:p>
    <w:p w14:paraId="7599E7C1" w14:textId="74F7A3F2" w:rsidR="005C6661" w:rsidRPr="003B65E8" w:rsidRDefault="005C6661" w:rsidP="003B65E8">
      <w:pPr>
        <w:pStyle w:val="Heading4"/>
        <w:keepNext/>
        <w:keepLines/>
        <w:spacing w:before="0" w:after="0"/>
        <w:rPr>
          <w:rFonts w:eastAsiaTheme="majorEastAsia" w:cstheme="majorBidi"/>
          <w:bCs/>
          <w:sz w:val="28"/>
          <w:szCs w:val="28"/>
        </w:rPr>
      </w:pPr>
      <w:r w:rsidRPr="003B65E8">
        <w:rPr>
          <w:rFonts w:eastAsiaTheme="majorEastAsia" w:cstheme="majorBidi"/>
          <w:bCs/>
          <w:sz w:val="28"/>
          <w:szCs w:val="28"/>
        </w:rPr>
        <w:t>Key Findings</w:t>
      </w:r>
      <w:r w:rsidR="008E5A3A">
        <w:rPr>
          <w:rFonts w:eastAsiaTheme="majorEastAsia" w:cstheme="majorBidi"/>
          <w:bCs/>
          <w:sz w:val="28"/>
          <w:szCs w:val="28"/>
        </w:rPr>
        <w:t xml:space="preserve">  </w:t>
      </w:r>
    </w:p>
    <w:p w14:paraId="050E5BD1" w14:textId="121A943B" w:rsidR="00613EE0" w:rsidRDefault="00B238E0" w:rsidP="003E55F3">
      <w:pPr>
        <w:pStyle w:val="NoSpacing"/>
        <w:numPr>
          <w:ilvl w:val="0"/>
          <w:numId w:val="3"/>
        </w:numPr>
      </w:pPr>
      <w:r>
        <w:t>13,648</w:t>
      </w:r>
      <w:r w:rsidR="003C616A">
        <w:t xml:space="preserve"> patients were treated with a PBS medicine for RRMS in 2014. Both the number of people starti</w:t>
      </w:r>
      <w:r w:rsidR="006F14DA">
        <w:t>ng treatment for the first time</w:t>
      </w:r>
      <w:r w:rsidR="003C616A">
        <w:t xml:space="preserve"> and the total number of people receiving treatment with PBS </w:t>
      </w:r>
      <w:r w:rsidR="00C74711">
        <w:t xml:space="preserve">RRMS </w:t>
      </w:r>
      <w:r w:rsidR="003C616A">
        <w:t>medicines has increased.</w:t>
      </w:r>
    </w:p>
    <w:p w14:paraId="5C3A2EB7" w14:textId="20B545B2" w:rsidR="003C616A" w:rsidRDefault="00613EE0" w:rsidP="003E55F3">
      <w:pPr>
        <w:pStyle w:val="NoSpacing"/>
        <w:numPr>
          <w:ilvl w:val="0"/>
          <w:numId w:val="3"/>
        </w:numPr>
      </w:pPr>
      <w:r w:rsidRPr="004C5D65">
        <w:t>There has been a significant rise in the number of prevalent patients since the introduction of oral RRMS therapy</w:t>
      </w:r>
      <w:r w:rsidR="0019399D">
        <w:t xml:space="preserve">. </w:t>
      </w:r>
      <w:r w:rsidR="003F6C6F">
        <w:t>The entry of dimethyl fumarate and teriflunomide appears to have grown the market</w:t>
      </w:r>
      <w:r w:rsidR="006F14DA">
        <w:t>,</w:t>
      </w:r>
      <w:r w:rsidR="003F6C6F">
        <w:t xml:space="preserve"> as the rate of growth of existing </w:t>
      </w:r>
      <w:r w:rsidR="005F7364">
        <w:t xml:space="preserve">RRMS </w:t>
      </w:r>
      <w:r w:rsidR="003F6C6F">
        <w:t xml:space="preserve">therapy has declined while the overall RRMS market has </w:t>
      </w:r>
      <w:r w:rsidR="001A4147">
        <w:t xml:space="preserve">increased its rate of </w:t>
      </w:r>
      <w:r w:rsidR="001A4147" w:rsidRPr="00AD4B28">
        <w:t>growth</w:t>
      </w:r>
      <w:r w:rsidR="005F7364" w:rsidRPr="00AD4B28">
        <w:t xml:space="preserve"> above that observed prior to the listing of these new oral therapies</w:t>
      </w:r>
      <w:r w:rsidR="003F6C6F" w:rsidRPr="00AD4B28">
        <w:t>.</w:t>
      </w:r>
      <w:r w:rsidR="003F6C6F">
        <w:t xml:space="preserve"> </w:t>
      </w:r>
    </w:p>
    <w:p w14:paraId="4ADF7A56" w14:textId="4937DFC2" w:rsidR="005555A8" w:rsidRDefault="005555A8" w:rsidP="003E55F3">
      <w:pPr>
        <w:pStyle w:val="NoSpacing"/>
        <w:numPr>
          <w:ilvl w:val="0"/>
          <w:numId w:val="3"/>
        </w:numPr>
      </w:pPr>
      <w:r>
        <w:t xml:space="preserve">Fingolimod is the most widely used drug when taking account of all patients on treatment. </w:t>
      </w:r>
      <w:r w:rsidR="00DF23B7">
        <w:t xml:space="preserve">Dimethyl fumarate is the most frequently prescribed drug for patients new </w:t>
      </w:r>
      <w:r w:rsidR="00DF23B7">
        <w:lastRenderedPageBreak/>
        <w:t>to RRMS therapy and in patients switching from prior RRMS therapy or returning to therapy after a treatment break</w:t>
      </w:r>
      <w:r>
        <w:t>.</w:t>
      </w:r>
    </w:p>
    <w:p w14:paraId="4316DDD3" w14:textId="7434A1AF" w:rsidR="00884ECD" w:rsidRDefault="00275226" w:rsidP="003E55F3">
      <w:pPr>
        <w:pStyle w:val="NoSpacing"/>
        <w:numPr>
          <w:ilvl w:val="0"/>
          <w:numId w:val="3"/>
        </w:numPr>
      </w:pPr>
      <w:r>
        <w:t xml:space="preserve">Patients appear to persist longer on oral compared to injectable therapy based on a length of treatment analysis of fingolimod. However, a median time </w:t>
      </w:r>
      <w:r w:rsidR="001A37ED">
        <w:t xml:space="preserve">on </w:t>
      </w:r>
      <w:r>
        <w:t xml:space="preserve">treatment had not been reached for fingolimod and a longer period of data is required to confirm this. </w:t>
      </w:r>
    </w:p>
    <w:p w14:paraId="1F751CF0" w14:textId="653F8239" w:rsidR="002835E7" w:rsidRDefault="00275226" w:rsidP="003E55F3">
      <w:pPr>
        <w:pStyle w:val="NoSpacing"/>
        <w:numPr>
          <w:ilvl w:val="0"/>
          <w:numId w:val="3"/>
        </w:numPr>
      </w:pPr>
      <w:r>
        <w:t>In their first year of listing t</w:t>
      </w:r>
      <w:r w:rsidR="00E13CB9">
        <w:t>he utilisation of dimethyl fumarate has been higher than predicted</w:t>
      </w:r>
      <w:r>
        <w:t xml:space="preserve"> while the usage of teriflunomide was substantially lower than expected</w:t>
      </w:r>
      <w:r w:rsidR="006F14DA">
        <w:t>.</w:t>
      </w:r>
    </w:p>
    <w:p w14:paraId="4622021D" w14:textId="175E9B27" w:rsidR="00F33A98" w:rsidRDefault="0071760B" w:rsidP="003E55F3">
      <w:pPr>
        <w:pStyle w:val="NoSpacing"/>
        <w:numPr>
          <w:ilvl w:val="0"/>
          <w:numId w:val="3"/>
        </w:numPr>
      </w:pPr>
      <w:r>
        <w:t xml:space="preserve">Instances of </w:t>
      </w:r>
      <w:r w:rsidR="000420D4">
        <w:t xml:space="preserve">potential </w:t>
      </w:r>
      <w:r>
        <w:t>co</w:t>
      </w:r>
      <w:r w:rsidR="00AF4A40">
        <w:t>-</w:t>
      </w:r>
      <w:r w:rsidR="006D7FCA">
        <w:t xml:space="preserve">administered </w:t>
      </w:r>
      <w:r>
        <w:t>RRMS therap</w:t>
      </w:r>
      <w:r w:rsidR="00E61BCE">
        <w:t>ies</w:t>
      </w:r>
      <w:r>
        <w:t xml:space="preserve"> were found to be negligible (&lt;1%)</w:t>
      </w:r>
      <w:r w:rsidR="00F33A98">
        <w:t>.</w:t>
      </w:r>
    </w:p>
    <w:p w14:paraId="307686D3" w14:textId="4232E2C7" w:rsidR="008B52B2" w:rsidRDefault="007C160B" w:rsidP="003E55F3">
      <w:pPr>
        <w:pStyle w:val="NoSpacing"/>
        <w:numPr>
          <w:ilvl w:val="0"/>
          <w:numId w:val="3"/>
        </w:numPr>
      </w:pPr>
      <w:r>
        <w:t>Expenditure on RRMS medicines</w:t>
      </w:r>
      <w:r w:rsidR="00B238E0">
        <w:t xml:space="preserve"> </w:t>
      </w:r>
      <w:r w:rsidR="002B5FD4">
        <w:t xml:space="preserve">has </w:t>
      </w:r>
      <w:r w:rsidR="00F33A98">
        <w:t>continued</w:t>
      </w:r>
      <w:r>
        <w:t xml:space="preserve"> to grow</w:t>
      </w:r>
      <w:r w:rsidR="00F33A98">
        <w:t>. This was</w:t>
      </w:r>
      <w:r>
        <w:t xml:space="preserve"> mainly driven by an increasing utilisation of </w:t>
      </w:r>
      <w:r w:rsidR="00275226">
        <w:t xml:space="preserve">the oral therapies </w:t>
      </w:r>
      <w:r>
        <w:t>fingolimod</w:t>
      </w:r>
      <w:r w:rsidR="00F33A98">
        <w:t xml:space="preserve"> </w:t>
      </w:r>
      <w:r w:rsidR="00275226">
        <w:t xml:space="preserve">and dimethyl fumarate </w:t>
      </w:r>
      <w:r w:rsidR="00F33A98">
        <w:t xml:space="preserve">with a decline in the use of </w:t>
      </w:r>
      <w:r w:rsidR="00275226">
        <w:t xml:space="preserve">injectable </w:t>
      </w:r>
      <w:r w:rsidR="00F33A98">
        <w:t>therapy</w:t>
      </w:r>
      <w:r w:rsidR="005F7364">
        <w:t>.</w:t>
      </w:r>
    </w:p>
    <w:p w14:paraId="48E436B0" w14:textId="77777777" w:rsidR="00B0188D" w:rsidRPr="00EA0227" w:rsidRDefault="003E55F3" w:rsidP="00B0188D">
      <w:pPr>
        <w:pStyle w:val="Heading2"/>
        <w:spacing w:after="0"/>
        <w:rPr>
          <w:i w:val="0"/>
          <w:sz w:val="32"/>
          <w:szCs w:val="32"/>
        </w:rPr>
      </w:pPr>
      <w:r>
        <w:rPr>
          <w:i w:val="0"/>
          <w:sz w:val="32"/>
          <w:szCs w:val="32"/>
        </w:rPr>
        <w:br w:type="page"/>
      </w:r>
      <w:r w:rsidR="00B0188D" w:rsidRPr="00EA0227">
        <w:rPr>
          <w:i w:val="0"/>
          <w:sz w:val="32"/>
          <w:szCs w:val="32"/>
        </w:rPr>
        <w:lastRenderedPageBreak/>
        <w:t>Purpose of analysis</w:t>
      </w:r>
    </w:p>
    <w:p w14:paraId="6280F624" w14:textId="77777777" w:rsidR="00516127" w:rsidRPr="006A4853" w:rsidRDefault="00516127" w:rsidP="006F3A42">
      <w:pPr>
        <w:pStyle w:val="NoSpacing"/>
        <w:rPr>
          <w:b/>
          <w:sz w:val="22"/>
          <w:szCs w:val="22"/>
        </w:rPr>
      </w:pPr>
    </w:p>
    <w:p w14:paraId="15F7E6EA" w14:textId="65BAACD0" w:rsidR="00B82816" w:rsidRDefault="00E40DB1" w:rsidP="006F3A42">
      <w:pPr>
        <w:pStyle w:val="NoSpacing"/>
        <w:rPr>
          <w:rFonts w:cstheme="minorHAnsi"/>
        </w:rPr>
      </w:pPr>
      <w:r w:rsidRPr="00E40DB1">
        <w:rPr>
          <w:rFonts w:cstheme="minorHAnsi"/>
        </w:rPr>
        <w:t xml:space="preserve">To </w:t>
      </w:r>
      <w:r w:rsidR="00884ECD">
        <w:rPr>
          <w:rFonts w:cstheme="minorHAnsi"/>
        </w:rPr>
        <w:t xml:space="preserve">examine the </w:t>
      </w:r>
      <w:r w:rsidRPr="00E40DB1">
        <w:rPr>
          <w:rFonts w:cstheme="minorHAnsi"/>
        </w:rPr>
        <w:t>utilisation of PBS listed medicines for relapsing-remitting multiple sclerosis (RRMS)</w:t>
      </w:r>
      <w:r w:rsidR="00884ECD">
        <w:rPr>
          <w:rFonts w:cstheme="minorHAnsi"/>
        </w:rPr>
        <w:t>,</w:t>
      </w:r>
      <w:r w:rsidRPr="00E40DB1">
        <w:rPr>
          <w:rFonts w:cstheme="minorHAnsi"/>
        </w:rPr>
        <w:t xml:space="preserve"> including an assessment of the predicted versus actual use of the oral therapies</w:t>
      </w:r>
      <w:r w:rsidR="00884ECD">
        <w:rPr>
          <w:rFonts w:cstheme="minorHAnsi"/>
        </w:rPr>
        <w:t>, dimethyl fumarate, teriflunomide and fingolimod.</w:t>
      </w:r>
      <w:r w:rsidRPr="00E40DB1">
        <w:rPr>
          <w:rFonts w:cstheme="minorHAnsi"/>
        </w:rPr>
        <w:t xml:space="preserve"> </w:t>
      </w:r>
    </w:p>
    <w:p w14:paraId="6FD83E2A" w14:textId="77777777" w:rsidR="00B82816" w:rsidRPr="007247B9" w:rsidRDefault="00B82816" w:rsidP="00B82816">
      <w:pPr>
        <w:pStyle w:val="Heading3"/>
      </w:pPr>
      <w:r w:rsidRPr="007247B9">
        <w:t>Clinical situation</w:t>
      </w:r>
    </w:p>
    <w:p w14:paraId="55D5D79A" w14:textId="331A1CB4" w:rsidR="00B82816" w:rsidRDefault="00B82816" w:rsidP="00B82816">
      <w:pPr>
        <w:spacing w:after="0"/>
        <w:jc w:val="both"/>
      </w:pPr>
      <w:r w:rsidRPr="00653AC2">
        <w:t>Multiple sclerosis is a progressive, chronic disease of the central nervous system</w:t>
      </w:r>
      <w:r>
        <w:t xml:space="preserve">. The disease damages </w:t>
      </w:r>
      <w:r w:rsidRPr="00653AC2">
        <w:t xml:space="preserve">the myelin sheath </w:t>
      </w:r>
      <w:r>
        <w:t>which protects nerve</w:t>
      </w:r>
      <w:r w:rsidRPr="00653AC2">
        <w:t xml:space="preserve"> axons</w:t>
      </w:r>
      <w:r>
        <w:t xml:space="preserve"> causing changes to </w:t>
      </w:r>
      <w:r w:rsidRPr="00653AC2">
        <w:t>nerve pathways</w:t>
      </w:r>
      <w:r>
        <w:t xml:space="preserve"> and signals</w:t>
      </w:r>
      <w:r w:rsidRPr="00653AC2">
        <w:t xml:space="preserve">. </w:t>
      </w:r>
      <w:r>
        <w:t>R</w:t>
      </w:r>
      <w:r w:rsidRPr="00653AC2">
        <w:t xml:space="preserve">elapsing-remitting multiple sclerosis </w:t>
      </w:r>
      <w:r>
        <w:t>is the most common form of disease</w:t>
      </w:r>
      <w:r w:rsidRPr="00653AC2">
        <w:t xml:space="preserve">, characterised by acute clinical attacks (relapses) followed by variable recovery and periods of clinical stability. </w:t>
      </w:r>
      <w:r>
        <w:t>Symptoms of m</w:t>
      </w:r>
      <w:r w:rsidRPr="00653AC2">
        <w:t xml:space="preserve">ultiple sclerosis </w:t>
      </w:r>
      <w:r>
        <w:t>include impaired mobility and coordination, cognitive impairment, pain, fatigue and visual disturbance.</w:t>
      </w:r>
    </w:p>
    <w:p w14:paraId="1CA8E751" w14:textId="77777777" w:rsidR="00884ECD" w:rsidRPr="006F619C" w:rsidRDefault="00884ECD" w:rsidP="00884ECD">
      <w:pPr>
        <w:pStyle w:val="Heading2"/>
        <w:rPr>
          <w:i w:val="0"/>
          <w:sz w:val="32"/>
          <w:szCs w:val="32"/>
        </w:rPr>
      </w:pPr>
      <w:r w:rsidRPr="00EA0227">
        <w:rPr>
          <w:i w:val="0"/>
          <w:sz w:val="32"/>
          <w:szCs w:val="32"/>
        </w:rPr>
        <w:t>Background</w:t>
      </w:r>
    </w:p>
    <w:p w14:paraId="48D52D80" w14:textId="5073A643" w:rsidR="006F3A42" w:rsidRDefault="003E55F3" w:rsidP="006F3A42">
      <w:pPr>
        <w:pStyle w:val="NoSpacing"/>
        <w:rPr>
          <w:rFonts w:cstheme="minorHAnsi"/>
        </w:rPr>
      </w:pPr>
      <w:r>
        <w:rPr>
          <w:rFonts w:cstheme="minorHAnsi"/>
        </w:rPr>
        <w:t xml:space="preserve">The PBAC requested a 12 month </w:t>
      </w:r>
      <w:r w:rsidR="00633A80">
        <w:rPr>
          <w:rFonts w:cstheme="minorHAnsi"/>
        </w:rPr>
        <w:t>review of the utilisation of di</w:t>
      </w:r>
      <w:r>
        <w:rPr>
          <w:rFonts w:cstheme="minorHAnsi"/>
        </w:rPr>
        <w:t>methyl fumarate and teriflunomide</w:t>
      </w:r>
      <w:r w:rsidR="006F14DA">
        <w:rPr>
          <w:rFonts w:cstheme="minorHAnsi"/>
        </w:rPr>
        <w:t>,</w:t>
      </w:r>
      <w:r>
        <w:rPr>
          <w:rFonts w:cstheme="minorHAnsi"/>
        </w:rPr>
        <w:t xml:space="preserve"> which were recommended for listing in July 2013. </w:t>
      </w:r>
      <w:r w:rsidR="006F3A42" w:rsidRPr="008B6442">
        <w:rPr>
          <w:rFonts w:cstheme="minorHAnsi"/>
        </w:rPr>
        <w:t>This review</w:t>
      </w:r>
      <w:r w:rsidR="00FA638D">
        <w:rPr>
          <w:rFonts w:cstheme="minorHAnsi"/>
        </w:rPr>
        <w:t xml:space="preserve"> examine</w:t>
      </w:r>
      <w:r w:rsidR="00EC55B9">
        <w:rPr>
          <w:rFonts w:cstheme="minorHAnsi"/>
        </w:rPr>
        <w:t>s</w:t>
      </w:r>
      <w:r w:rsidR="006F3A42">
        <w:rPr>
          <w:rFonts w:cstheme="minorHAnsi"/>
        </w:rPr>
        <w:t xml:space="preserve"> the </w:t>
      </w:r>
      <w:r w:rsidR="00884ECD">
        <w:rPr>
          <w:rFonts w:cstheme="minorHAnsi"/>
        </w:rPr>
        <w:t xml:space="preserve">predicted versus actual </w:t>
      </w:r>
      <w:r w:rsidR="006F3A42">
        <w:rPr>
          <w:rFonts w:cstheme="minorHAnsi"/>
        </w:rPr>
        <w:t xml:space="preserve">utilisation of dimethyl fumarate and teriflunomide for their first year of listing (1 December 2013 to 30 November 2014). </w:t>
      </w:r>
    </w:p>
    <w:p w14:paraId="6A6F3238" w14:textId="77777777" w:rsidR="003E55F3" w:rsidRDefault="003E55F3" w:rsidP="003E55F3">
      <w:pPr>
        <w:pStyle w:val="NoSpacing"/>
        <w:rPr>
          <w:rFonts w:cstheme="minorHAnsi"/>
        </w:rPr>
      </w:pPr>
    </w:p>
    <w:p w14:paraId="397E4EA1" w14:textId="6A3E0390" w:rsidR="00811AE9" w:rsidRDefault="00E40DB1" w:rsidP="003E55F3">
      <w:pPr>
        <w:pStyle w:val="NoSpacing"/>
        <w:rPr>
          <w:rFonts w:cstheme="minorHAnsi"/>
        </w:rPr>
      </w:pPr>
      <w:r>
        <w:rPr>
          <w:rFonts w:cstheme="minorHAnsi"/>
        </w:rPr>
        <w:t xml:space="preserve">The DUSC, when considering the 12 month predicted versus actual </w:t>
      </w:r>
      <w:r w:rsidR="00776CCD">
        <w:rPr>
          <w:rFonts w:cstheme="minorHAnsi"/>
        </w:rPr>
        <w:t>analysis</w:t>
      </w:r>
      <w:r>
        <w:rPr>
          <w:rFonts w:cstheme="minorHAnsi"/>
        </w:rPr>
        <w:t xml:space="preserve"> of fingolimod (June 2013</w:t>
      </w:r>
      <w:r w:rsidR="00CF4ED6">
        <w:rPr>
          <w:rFonts w:cstheme="minorHAnsi"/>
        </w:rPr>
        <w:t>)</w:t>
      </w:r>
      <w:r w:rsidR="001357A0">
        <w:rPr>
          <w:rFonts w:cstheme="minorHAnsi"/>
        </w:rPr>
        <w:t>,</w:t>
      </w:r>
      <w:r>
        <w:rPr>
          <w:rFonts w:cstheme="minorHAnsi"/>
        </w:rPr>
        <w:t xml:space="preserve"> recommended another </w:t>
      </w:r>
      <w:r w:rsidR="00776CCD">
        <w:rPr>
          <w:rFonts w:cstheme="minorHAnsi"/>
        </w:rPr>
        <w:t>utilisation</w:t>
      </w:r>
      <w:r>
        <w:rPr>
          <w:rFonts w:cstheme="minorHAnsi"/>
        </w:rPr>
        <w:t xml:space="preserve"> analysis of fingolimod when a further 12 months of data </w:t>
      </w:r>
      <w:r w:rsidR="00F147FB">
        <w:rPr>
          <w:rFonts w:cstheme="minorHAnsi"/>
        </w:rPr>
        <w:t>was</w:t>
      </w:r>
      <w:r>
        <w:rPr>
          <w:rFonts w:cstheme="minorHAnsi"/>
        </w:rPr>
        <w:t xml:space="preserve"> </w:t>
      </w:r>
      <w:r w:rsidR="00CF4ED6">
        <w:rPr>
          <w:rFonts w:cstheme="minorHAnsi"/>
        </w:rPr>
        <w:t>available</w:t>
      </w:r>
      <w:r>
        <w:rPr>
          <w:rFonts w:cstheme="minorHAnsi"/>
        </w:rPr>
        <w:t xml:space="preserve">. </w:t>
      </w:r>
      <w:r w:rsidR="004B3015">
        <w:rPr>
          <w:rFonts w:cstheme="minorHAnsi"/>
        </w:rPr>
        <w:t>Noting th</w:t>
      </w:r>
      <w:r w:rsidR="00507EFD">
        <w:rPr>
          <w:rFonts w:cstheme="minorHAnsi"/>
        </w:rPr>
        <w:t xml:space="preserve">at </w:t>
      </w:r>
      <w:r w:rsidR="004B3015">
        <w:rPr>
          <w:rFonts w:cstheme="minorHAnsi"/>
        </w:rPr>
        <w:t xml:space="preserve">dimethyl fumarate and teriflunomide </w:t>
      </w:r>
      <w:r w:rsidR="00507EFD">
        <w:rPr>
          <w:rFonts w:cstheme="minorHAnsi"/>
        </w:rPr>
        <w:t>were expected to substitute</w:t>
      </w:r>
      <w:r w:rsidR="00EC55B9">
        <w:rPr>
          <w:rFonts w:cstheme="minorHAnsi"/>
        </w:rPr>
        <w:t xml:space="preserve"> for other RRMS therapies including fingolimod, </w:t>
      </w:r>
      <w:r w:rsidR="00507EFD">
        <w:rPr>
          <w:rFonts w:cstheme="minorHAnsi"/>
        </w:rPr>
        <w:t>this</w:t>
      </w:r>
      <w:r w:rsidR="00CF4ED6">
        <w:rPr>
          <w:rFonts w:cstheme="minorHAnsi"/>
        </w:rPr>
        <w:t xml:space="preserve"> </w:t>
      </w:r>
      <w:r w:rsidR="004B3015">
        <w:rPr>
          <w:rFonts w:cstheme="minorHAnsi"/>
        </w:rPr>
        <w:t xml:space="preserve">subsequent review was deferred </w:t>
      </w:r>
      <w:r w:rsidR="00884ECD">
        <w:rPr>
          <w:rFonts w:cstheme="minorHAnsi"/>
        </w:rPr>
        <w:t xml:space="preserve">until </w:t>
      </w:r>
      <w:r w:rsidR="00EC55B9">
        <w:rPr>
          <w:rFonts w:cstheme="minorHAnsi"/>
        </w:rPr>
        <w:t>12 months of data for dimethyl fumarate and teriflunomide were available to assess the</w:t>
      </w:r>
      <w:r w:rsidR="00507EFD">
        <w:rPr>
          <w:rFonts w:cstheme="minorHAnsi"/>
        </w:rPr>
        <w:t xml:space="preserve"> i</w:t>
      </w:r>
      <w:r w:rsidR="00EC55B9">
        <w:rPr>
          <w:rFonts w:cstheme="minorHAnsi"/>
        </w:rPr>
        <w:t>m</w:t>
      </w:r>
      <w:r w:rsidR="00507EFD">
        <w:rPr>
          <w:rFonts w:cstheme="minorHAnsi"/>
        </w:rPr>
        <w:t xml:space="preserve">pact of </w:t>
      </w:r>
      <w:r w:rsidR="004B3015">
        <w:rPr>
          <w:rFonts w:cstheme="minorHAnsi"/>
        </w:rPr>
        <w:t>the</w:t>
      </w:r>
      <w:r w:rsidR="00EC55B9">
        <w:rPr>
          <w:rFonts w:cstheme="minorHAnsi"/>
        </w:rPr>
        <w:t xml:space="preserve"> three</w:t>
      </w:r>
      <w:r w:rsidR="004B3015">
        <w:rPr>
          <w:rFonts w:cstheme="minorHAnsi"/>
        </w:rPr>
        <w:t xml:space="preserve"> oral medicines </w:t>
      </w:r>
      <w:r w:rsidR="00507EFD" w:rsidRPr="00507EFD">
        <w:rPr>
          <w:rFonts w:cstheme="minorHAnsi"/>
        </w:rPr>
        <w:t>on the overall RRMS market</w:t>
      </w:r>
      <w:r w:rsidR="00507EFD">
        <w:rPr>
          <w:rFonts w:cstheme="minorHAnsi"/>
        </w:rPr>
        <w:t xml:space="preserve">. </w:t>
      </w:r>
    </w:p>
    <w:p w14:paraId="46AFE728" w14:textId="156D1A08" w:rsidR="007D2F14" w:rsidRDefault="00E96ABF" w:rsidP="00FE645A">
      <w:pPr>
        <w:pStyle w:val="Heading3"/>
        <w:rPr>
          <w:rFonts w:cstheme="minorHAnsi"/>
          <w:b w:val="0"/>
          <w:sz w:val="24"/>
          <w:szCs w:val="24"/>
        </w:rPr>
      </w:pPr>
      <w:r>
        <w:rPr>
          <w:rFonts w:cstheme="minorHAnsi"/>
          <w:b w:val="0"/>
          <w:sz w:val="24"/>
          <w:szCs w:val="24"/>
        </w:rPr>
        <w:t>As at August</w:t>
      </w:r>
      <w:r w:rsidR="00AF1322">
        <w:rPr>
          <w:rFonts w:cstheme="minorHAnsi"/>
          <w:b w:val="0"/>
          <w:sz w:val="24"/>
          <w:szCs w:val="24"/>
        </w:rPr>
        <w:t xml:space="preserve"> 20</w:t>
      </w:r>
      <w:r w:rsidR="006F14DA">
        <w:rPr>
          <w:rFonts w:cstheme="minorHAnsi"/>
          <w:b w:val="0"/>
          <w:sz w:val="24"/>
          <w:szCs w:val="24"/>
        </w:rPr>
        <w:t>15, there were nine drugs which we</w:t>
      </w:r>
      <w:r w:rsidR="00751747">
        <w:rPr>
          <w:rFonts w:cstheme="minorHAnsi"/>
          <w:b w:val="0"/>
          <w:sz w:val="24"/>
          <w:szCs w:val="24"/>
        </w:rPr>
        <w:t>re PBS listed</w:t>
      </w:r>
      <w:r w:rsidR="00AB531A">
        <w:rPr>
          <w:rFonts w:cstheme="minorHAnsi"/>
          <w:b w:val="0"/>
          <w:sz w:val="24"/>
          <w:szCs w:val="24"/>
        </w:rPr>
        <w:t xml:space="preserve"> for </w:t>
      </w:r>
      <w:r w:rsidR="009F2EF3">
        <w:rPr>
          <w:rFonts w:cstheme="minorHAnsi"/>
          <w:b w:val="0"/>
          <w:sz w:val="24"/>
          <w:szCs w:val="24"/>
        </w:rPr>
        <w:t>RRMS</w:t>
      </w:r>
      <w:r w:rsidR="009D6DAF">
        <w:rPr>
          <w:rFonts w:cstheme="minorHAnsi"/>
          <w:b w:val="0"/>
          <w:sz w:val="24"/>
          <w:szCs w:val="24"/>
        </w:rPr>
        <w:t xml:space="preserve"> (Table </w:t>
      </w:r>
      <w:r w:rsidR="003C00E7">
        <w:rPr>
          <w:rFonts w:cstheme="minorHAnsi"/>
          <w:b w:val="0"/>
          <w:sz w:val="24"/>
          <w:szCs w:val="24"/>
        </w:rPr>
        <w:t>1</w:t>
      </w:r>
      <w:r w:rsidR="009D6DAF">
        <w:rPr>
          <w:rFonts w:cstheme="minorHAnsi"/>
          <w:b w:val="0"/>
          <w:sz w:val="24"/>
          <w:szCs w:val="24"/>
        </w:rPr>
        <w:t>)</w:t>
      </w:r>
      <w:r w:rsidR="00AB531A">
        <w:rPr>
          <w:rFonts w:cstheme="minorHAnsi"/>
          <w:b w:val="0"/>
          <w:sz w:val="24"/>
          <w:szCs w:val="24"/>
        </w:rPr>
        <w:t xml:space="preserve">. </w:t>
      </w:r>
    </w:p>
    <w:p w14:paraId="681BADB0" w14:textId="77777777" w:rsidR="00F147FB" w:rsidRDefault="00F147FB" w:rsidP="00F147FB"/>
    <w:p w14:paraId="08E314E1" w14:textId="77777777" w:rsidR="00F147FB" w:rsidRDefault="00F147FB" w:rsidP="00F147FB"/>
    <w:p w14:paraId="0AA4AA59" w14:textId="77777777" w:rsidR="00F147FB" w:rsidRDefault="00F147FB" w:rsidP="00F147FB"/>
    <w:p w14:paraId="6A27CB0E" w14:textId="77777777" w:rsidR="00F147FB" w:rsidRDefault="00F147FB" w:rsidP="00F147FB"/>
    <w:p w14:paraId="13A5D72B" w14:textId="77777777" w:rsidR="00F147FB" w:rsidRDefault="00F147FB" w:rsidP="00F147FB"/>
    <w:p w14:paraId="5C3C427E" w14:textId="77777777" w:rsidR="00F147FB" w:rsidRDefault="00F147FB" w:rsidP="00F147FB"/>
    <w:p w14:paraId="0ECFCC9E" w14:textId="77777777" w:rsidR="00F147FB" w:rsidRDefault="00F147FB" w:rsidP="00F147FB"/>
    <w:p w14:paraId="54E99201" w14:textId="77777777" w:rsidR="00F147FB" w:rsidRDefault="00F147FB" w:rsidP="00F147FB"/>
    <w:p w14:paraId="1F930A94" w14:textId="77777777" w:rsidR="00F147FB" w:rsidRPr="00F147FB" w:rsidRDefault="00F147FB" w:rsidP="00F147FB"/>
    <w:p w14:paraId="6566AA0A" w14:textId="48E658E6" w:rsidR="003F212A" w:rsidRPr="008241AC" w:rsidRDefault="003F212A" w:rsidP="003F212A">
      <w:pPr>
        <w:rPr>
          <w:rFonts w:cstheme="minorHAnsi"/>
          <w:b/>
        </w:rPr>
      </w:pPr>
      <w:r w:rsidRPr="008241AC">
        <w:rPr>
          <w:rFonts w:cstheme="minorHAnsi"/>
          <w:b/>
        </w:rPr>
        <w:lastRenderedPageBreak/>
        <w:t xml:space="preserve">Table </w:t>
      </w:r>
      <w:r w:rsidR="003C00E7" w:rsidRPr="008241AC">
        <w:rPr>
          <w:rFonts w:cstheme="minorHAnsi"/>
          <w:b/>
        </w:rPr>
        <w:t>1</w:t>
      </w:r>
      <w:r w:rsidR="00884382" w:rsidRPr="008241AC">
        <w:rPr>
          <w:rFonts w:cstheme="minorHAnsi"/>
          <w:b/>
        </w:rPr>
        <w:t>.</w:t>
      </w:r>
      <w:r w:rsidRPr="008241AC">
        <w:rPr>
          <w:rFonts w:cstheme="minorHAnsi"/>
          <w:b/>
        </w:rPr>
        <w:t xml:space="preserve"> PBS-listed RRMS </w:t>
      </w:r>
      <w:r w:rsidR="006A3CF2" w:rsidRPr="008241AC">
        <w:rPr>
          <w:rFonts w:cstheme="minorHAnsi"/>
          <w:b/>
        </w:rPr>
        <w:t xml:space="preserve">drugs </w:t>
      </w:r>
      <w:r w:rsidRPr="008241AC">
        <w:rPr>
          <w:rFonts w:cstheme="minorHAnsi"/>
          <w:b/>
        </w:rPr>
        <w:t xml:space="preserve">as at 1 </w:t>
      </w:r>
      <w:r w:rsidR="00AF1322" w:rsidRPr="008241AC">
        <w:rPr>
          <w:rFonts w:cstheme="minorHAnsi"/>
          <w:b/>
        </w:rPr>
        <w:t>August 2015</w:t>
      </w:r>
    </w:p>
    <w:tbl>
      <w:tblPr>
        <w:tblStyle w:val="TableGrid"/>
        <w:tblW w:w="5000" w:type="pct"/>
        <w:tblLayout w:type="fixed"/>
        <w:tblLook w:val="04A0" w:firstRow="1" w:lastRow="0" w:firstColumn="1" w:lastColumn="0" w:noHBand="0" w:noVBand="1"/>
      </w:tblPr>
      <w:tblGrid>
        <w:gridCol w:w="2789"/>
        <w:gridCol w:w="13"/>
        <w:gridCol w:w="884"/>
        <w:gridCol w:w="1607"/>
        <w:gridCol w:w="1967"/>
        <w:gridCol w:w="1913"/>
      </w:tblGrid>
      <w:tr w:rsidR="003F212A" w:rsidRPr="0017242C" w14:paraId="3996BC5D" w14:textId="77777777" w:rsidTr="00F8060F">
        <w:trPr>
          <w:tblHeader/>
        </w:trPr>
        <w:tc>
          <w:tcPr>
            <w:tcW w:w="1520" w:type="pct"/>
            <w:shd w:val="clear" w:color="auto" w:fill="BFBFBF" w:themeFill="background1" w:themeFillShade="BF"/>
            <w:hideMark/>
          </w:tcPr>
          <w:p w14:paraId="2E9630D4" w14:textId="77777777" w:rsidR="003F212A" w:rsidRPr="0017242C" w:rsidRDefault="003F212A" w:rsidP="00F8060F">
            <w:pPr>
              <w:spacing w:before="100" w:beforeAutospacing="1" w:after="100" w:afterAutospacing="1"/>
              <w:jc w:val="center"/>
              <w:rPr>
                <w:rFonts w:cstheme="minorHAnsi"/>
                <w:b/>
                <w:sz w:val="22"/>
                <w:szCs w:val="22"/>
              </w:rPr>
            </w:pPr>
            <w:r w:rsidRPr="0017242C">
              <w:rPr>
                <w:rFonts w:cstheme="minorHAnsi"/>
                <w:b/>
                <w:sz w:val="22"/>
                <w:szCs w:val="22"/>
              </w:rPr>
              <w:t>Drug</w:t>
            </w:r>
          </w:p>
        </w:tc>
        <w:tc>
          <w:tcPr>
            <w:tcW w:w="489" w:type="pct"/>
            <w:gridSpan w:val="2"/>
            <w:shd w:val="clear" w:color="auto" w:fill="BFBFBF" w:themeFill="background1" w:themeFillShade="BF"/>
            <w:hideMark/>
          </w:tcPr>
          <w:p w14:paraId="52DBFDC5" w14:textId="77777777" w:rsidR="003F212A" w:rsidRPr="0017242C" w:rsidRDefault="003F212A" w:rsidP="00F8060F">
            <w:pPr>
              <w:spacing w:before="100" w:beforeAutospacing="1" w:after="100" w:afterAutospacing="1"/>
              <w:jc w:val="center"/>
              <w:rPr>
                <w:rFonts w:cstheme="minorHAnsi"/>
                <w:b/>
                <w:sz w:val="22"/>
                <w:szCs w:val="22"/>
              </w:rPr>
            </w:pPr>
            <w:r w:rsidRPr="0017242C">
              <w:rPr>
                <w:rFonts w:cstheme="minorHAnsi"/>
                <w:b/>
                <w:sz w:val="22"/>
                <w:szCs w:val="22"/>
              </w:rPr>
              <w:t>Route</w:t>
            </w:r>
          </w:p>
        </w:tc>
        <w:tc>
          <w:tcPr>
            <w:tcW w:w="876" w:type="pct"/>
            <w:shd w:val="clear" w:color="auto" w:fill="BFBFBF" w:themeFill="background1" w:themeFillShade="BF"/>
            <w:hideMark/>
          </w:tcPr>
          <w:p w14:paraId="5CA356B7" w14:textId="77777777" w:rsidR="003F212A" w:rsidRPr="0017242C" w:rsidRDefault="003F212A" w:rsidP="00F8060F">
            <w:pPr>
              <w:spacing w:before="100" w:beforeAutospacing="1" w:after="100" w:afterAutospacing="1"/>
              <w:jc w:val="center"/>
              <w:rPr>
                <w:rFonts w:cstheme="minorHAnsi"/>
                <w:b/>
                <w:sz w:val="22"/>
                <w:szCs w:val="22"/>
              </w:rPr>
            </w:pPr>
            <w:r w:rsidRPr="0017242C">
              <w:rPr>
                <w:rFonts w:cstheme="minorHAnsi"/>
                <w:b/>
                <w:sz w:val="22"/>
                <w:szCs w:val="22"/>
              </w:rPr>
              <w:t>Dosage</w:t>
            </w:r>
          </w:p>
        </w:tc>
        <w:tc>
          <w:tcPr>
            <w:tcW w:w="1072" w:type="pct"/>
            <w:shd w:val="clear" w:color="auto" w:fill="BFBFBF" w:themeFill="background1" w:themeFillShade="BF"/>
            <w:hideMark/>
          </w:tcPr>
          <w:p w14:paraId="014296C2" w14:textId="77777777" w:rsidR="003F212A" w:rsidRPr="0017242C" w:rsidRDefault="003F212A" w:rsidP="00F8060F">
            <w:pPr>
              <w:spacing w:before="100" w:beforeAutospacing="1" w:after="100" w:afterAutospacing="1"/>
              <w:jc w:val="center"/>
              <w:rPr>
                <w:rFonts w:cstheme="minorHAnsi"/>
                <w:b/>
                <w:sz w:val="22"/>
                <w:szCs w:val="22"/>
              </w:rPr>
            </w:pPr>
            <w:r w:rsidRPr="0017242C">
              <w:rPr>
                <w:rFonts w:cstheme="minorHAnsi"/>
                <w:b/>
                <w:sz w:val="22"/>
                <w:szCs w:val="22"/>
              </w:rPr>
              <w:t>Frequency</w:t>
            </w:r>
          </w:p>
        </w:tc>
        <w:tc>
          <w:tcPr>
            <w:tcW w:w="1043" w:type="pct"/>
            <w:shd w:val="clear" w:color="auto" w:fill="BFBFBF" w:themeFill="background1" w:themeFillShade="BF"/>
          </w:tcPr>
          <w:p w14:paraId="729E2FA5" w14:textId="77777777" w:rsidR="003F212A" w:rsidRPr="00144A2D" w:rsidRDefault="003F212A" w:rsidP="00F8060F">
            <w:pPr>
              <w:spacing w:before="100" w:beforeAutospacing="1" w:after="100" w:afterAutospacing="1"/>
              <w:jc w:val="center"/>
              <w:rPr>
                <w:rFonts w:cstheme="minorHAnsi"/>
                <w:b/>
                <w:sz w:val="22"/>
                <w:szCs w:val="22"/>
                <w:highlight w:val="yellow"/>
              </w:rPr>
            </w:pPr>
            <w:r w:rsidRPr="00B03B3C">
              <w:rPr>
                <w:rFonts w:cstheme="minorHAnsi"/>
                <w:b/>
                <w:sz w:val="22"/>
                <w:szCs w:val="22"/>
              </w:rPr>
              <w:t>PBS listing date</w:t>
            </w:r>
          </w:p>
        </w:tc>
      </w:tr>
      <w:tr w:rsidR="003F212A" w:rsidRPr="0017242C" w14:paraId="1D32412D" w14:textId="77777777" w:rsidTr="0059234C">
        <w:tc>
          <w:tcPr>
            <w:tcW w:w="3957" w:type="pct"/>
            <w:gridSpan w:val="5"/>
            <w:shd w:val="clear" w:color="auto" w:fill="BFBFBF" w:themeFill="background1" w:themeFillShade="BF"/>
            <w:hideMark/>
          </w:tcPr>
          <w:p w14:paraId="66C4FE8B" w14:textId="77777777" w:rsidR="003F212A" w:rsidRPr="0059234C" w:rsidRDefault="003F212A" w:rsidP="001D6639">
            <w:pPr>
              <w:spacing w:before="100" w:beforeAutospacing="1" w:after="100" w:afterAutospacing="1"/>
              <w:rPr>
                <w:rFonts w:cstheme="minorHAnsi"/>
                <w:b/>
                <w:sz w:val="22"/>
                <w:szCs w:val="22"/>
              </w:rPr>
            </w:pPr>
            <w:r w:rsidRPr="0059234C">
              <w:rPr>
                <w:rFonts w:cstheme="minorHAnsi"/>
                <w:b/>
                <w:sz w:val="22"/>
                <w:szCs w:val="22"/>
              </w:rPr>
              <w:t>Immunomodulators (ABCR therapy)</w:t>
            </w:r>
          </w:p>
        </w:tc>
        <w:tc>
          <w:tcPr>
            <w:tcW w:w="1043" w:type="pct"/>
            <w:shd w:val="clear" w:color="auto" w:fill="BFBFBF" w:themeFill="background1" w:themeFillShade="BF"/>
          </w:tcPr>
          <w:p w14:paraId="2E6614A1" w14:textId="77777777" w:rsidR="003F212A" w:rsidRPr="00144A2D" w:rsidRDefault="003F212A" w:rsidP="001D6639">
            <w:pPr>
              <w:spacing w:before="100" w:beforeAutospacing="1" w:after="100" w:afterAutospacing="1"/>
              <w:rPr>
                <w:rFonts w:cstheme="minorHAnsi"/>
                <w:sz w:val="22"/>
                <w:szCs w:val="22"/>
                <w:highlight w:val="yellow"/>
              </w:rPr>
            </w:pPr>
          </w:p>
        </w:tc>
      </w:tr>
      <w:tr w:rsidR="003F212A" w:rsidRPr="0017242C" w14:paraId="6F1AC443" w14:textId="77777777" w:rsidTr="0059234C">
        <w:tc>
          <w:tcPr>
            <w:tcW w:w="1527" w:type="pct"/>
            <w:gridSpan w:val="2"/>
            <w:hideMark/>
          </w:tcPr>
          <w:p w14:paraId="2BFB2946"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interferon beta-1b (Betaferon</w:t>
            </w:r>
            <w:r>
              <w:rPr>
                <w:rFonts w:cstheme="minorHAnsi"/>
                <w:sz w:val="22"/>
                <w:szCs w:val="22"/>
              </w:rPr>
              <w:t>®</w:t>
            </w:r>
            <w:r w:rsidRPr="0017242C">
              <w:rPr>
                <w:rFonts w:cstheme="minorHAnsi"/>
                <w:sz w:val="22"/>
                <w:szCs w:val="22"/>
              </w:rPr>
              <w:t>)</w:t>
            </w:r>
          </w:p>
        </w:tc>
        <w:tc>
          <w:tcPr>
            <w:tcW w:w="482" w:type="pct"/>
            <w:hideMark/>
          </w:tcPr>
          <w:p w14:paraId="5D6B38AC"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SC</w:t>
            </w:r>
          </w:p>
        </w:tc>
        <w:tc>
          <w:tcPr>
            <w:tcW w:w="876" w:type="pct"/>
            <w:hideMark/>
          </w:tcPr>
          <w:p w14:paraId="7569FAF1"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8 million IU</w:t>
            </w:r>
          </w:p>
        </w:tc>
        <w:tc>
          <w:tcPr>
            <w:tcW w:w="1072" w:type="pct"/>
            <w:hideMark/>
          </w:tcPr>
          <w:p w14:paraId="7DCCF54B"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on alternate days</w:t>
            </w:r>
          </w:p>
        </w:tc>
        <w:tc>
          <w:tcPr>
            <w:tcW w:w="1043" w:type="pct"/>
            <w:shd w:val="clear" w:color="auto" w:fill="auto"/>
          </w:tcPr>
          <w:p w14:paraId="3AEB474A" w14:textId="77777777" w:rsidR="003F212A" w:rsidRPr="00144A2D" w:rsidRDefault="003F212A" w:rsidP="001D6639">
            <w:pPr>
              <w:spacing w:before="100" w:beforeAutospacing="1" w:after="100" w:afterAutospacing="1"/>
              <w:rPr>
                <w:rFonts w:cstheme="minorHAnsi"/>
                <w:sz w:val="22"/>
                <w:szCs w:val="22"/>
                <w:highlight w:val="yellow"/>
              </w:rPr>
            </w:pPr>
            <w:r w:rsidRPr="00B03B3C">
              <w:rPr>
                <w:rFonts w:cstheme="minorHAnsi"/>
                <w:sz w:val="22"/>
                <w:szCs w:val="22"/>
              </w:rPr>
              <w:t>November 1996</w:t>
            </w:r>
          </w:p>
        </w:tc>
      </w:tr>
      <w:tr w:rsidR="003F212A" w:rsidRPr="0017242C" w14:paraId="039C8F20" w14:textId="77777777" w:rsidTr="0059234C">
        <w:tc>
          <w:tcPr>
            <w:tcW w:w="1527" w:type="pct"/>
            <w:gridSpan w:val="2"/>
            <w:hideMark/>
          </w:tcPr>
          <w:p w14:paraId="70E82B22"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interferon beta-1a (Avonex</w:t>
            </w:r>
            <w:r>
              <w:rPr>
                <w:rFonts w:cstheme="minorHAnsi"/>
                <w:sz w:val="22"/>
                <w:szCs w:val="22"/>
              </w:rPr>
              <w:t>®</w:t>
            </w:r>
            <w:r w:rsidRPr="0017242C">
              <w:rPr>
                <w:rFonts w:cstheme="minorHAnsi"/>
                <w:sz w:val="22"/>
                <w:szCs w:val="22"/>
              </w:rPr>
              <w:t>)</w:t>
            </w:r>
          </w:p>
        </w:tc>
        <w:tc>
          <w:tcPr>
            <w:tcW w:w="482" w:type="pct"/>
            <w:hideMark/>
          </w:tcPr>
          <w:p w14:paraId="15CBADAB"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IM</w:t>
            </w:r>
          </w:p>
        </w:tc>
        <w:tc>
          <w:tcPr>
            <w:tcW w:w="876" w:type="pct"/>
            <w:hideMark/>
          </w:tcPr>
          <w:p w14:paraId="41D22567"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6 million IU</w:t>
            </w:r>
          </w:p>
        </w:tc>
        <w:tc>
          <w:tcPr>
            <w:tcW w:w="1072" w:type="pct"/>
            <w:hideMark/>
          </w:tcPr>
          <w:p w14:paraId="35F1C7AC"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weekly</w:t>
            </w:r>
          </w:p>
        </w:tc>
        <w:tc>
          <w:tcPr>
            <w:tcW w:w="1043" w:type="pct"/>
          </w:tcPr>
          <w:p w14:paraId="1785D080" w14:textId="77777777" w:rsidR="003F212A" w:rsidRPr="00144A2D" w:rsidRDefault="003F212A" w:rsidP="001D6639">
            <w:pPr>
              <w:spacing w:before="100" w:beforeAutospacing="1" w:after="100" w:afterAutospacing="1"/>
              <w:rPr>
                <w:rFonts w:cstheme="minorHAnsi"/>
                <w:sz w:val="22"/>
                <w:szCs w:val="22"/>
                <w:highlight w:val="yellow"/>
              </w:rPr>
            </w:pPr>
            <w:r w:rsidRPr="00B03B3C">
              <w:rPr>
                <w:rFonts w:cstheme="minorHAnsi"/>
                <w:sz w:val="22"/>
                <w:szCs w:val="22"/>
              </w:rPr>
              <w:t>February 1999</w:t>
            </w:r>
          </w:p>
        </w:tc>
      </w:tr>
      <w:tr w:rsidR="003F212A" w:rsidRPr="0017242C" w14:paraId="181F45BF" w14:textId="77777777" w:rsidTr="0059234C">
        <w:tc>
          <w:tcPr>
            <w:tcW w:w="1527" w:type="pct"/>
            <w:gridSpan w:val="2"/>
            <w:hideMark/>
          </w:tcPr>
          <w:p w14:paraId="282B8330"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interferon beta-1a (Rebif</w:t>
            </w:r>
            <w:r>
              <w:rPr>
                <w:rFonts w:cstheme="minorHAnsi"/>
                <w:sz w:val="22"/>
                <w:szCs w:val="22"/>
              </w:rPr>
              <w:t>®</w:t>
            </w:r>
            <w:r w:rsidRPr="0017242C">
              <w:rPr>
                <w:rFonts w:cstheme="minorHAnsi"/>
                <w:sz w:val="22"/>
                <w:szCs w:val="22"/>
              </w:rPr>
              <w:t>)</w:t>
            </w:r>
          </w:p>
        </w:tc>
        <w:tc>
          <w:tcPr>
            <w:tcW w:w="482" w:type="pct"/>
            <w:hideMark/>
          </w:tcPr>
          <w:p w14:paraId="285483A2"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SC</w:t>
            </w:r>
          </w:p>
        </w:tc>
        <w:tc>
          <w:tcPr>
            <w:tcW w:w="876" w:type="pct"/>
            <w:hideMark/>
          </w:tcPr>
          <w:p w14:paraId="4D4AA45C"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12 million IU</w:t>
            </w:r>
          </w:p>
        </w:tc>
        <w:tc>
          <w:tcPr>
            <w:tcW w:w="1072" w:type="pct"/>
            <w:hideMark/>
          </w:tcPr>
          <w:p w14:paraId="43903457"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3 times weekly</w:t>
            </w:r>
          </w:p>
        </w:tc>
        <w:tc>
          <w:tcPr>
            <w:tcW w:w="1043" w:type="pct"/>
          </w:tcPr>
          <w:p w14:paraId="0E34BC0F" w14:textId="77777777" w:rsidR="003F212A" w:rsidRPr="00144A2D" w:rsidRDefault="003F212A" w:rsidP="001D6639">
            <w:pPr>
              <w:spacing w:before="100" w:beforeAutospacing="1" w:after="100" w:afterAutospacing="1"/>
              <w:rPr>
                <w:rFonts w:cstheme="minorHAnsi"/>
                <w:sz w:val="22"/>
                <w:szCs w:val="22"/>
                <w:highlight w:val="yellow"/>
              </w:rPr>
            </w:pPr>
            <w:r w:rsidRPr="00B03B3C">
              <w:rPr>
                <w:rFonts w:cstheme="minorHAnsi"/>
                <w:sz w:val="22"/>
                <w:szCs w:val="22"/>
              </w:rPr>
              <w:t>May 2000</w:t>
            </w:r>
          </w:p>
        </w:tc>
      </w:tr>
      <w:tr w:rsidR="003F212A" w:rsidRPr="0017242C" w14:paraId="75F307E0" w14:textId="77777777" w:rsidTr="0059234C">
        <w:tc>
          <w:tcPr>
            <w:tcW w:w="1527" w:type="pct"/>
            <w:gridSpan w:val="2"/>
            <w:hideMark/>
          </w:tcPr>
          <w:p w14:paraId="02C37001"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glatiramer acetate (Copaxone</w:t>
            </w:r>
            <w:r>
              <w:rPr>
                <w:rFonts w:cstheme="minorHAnsi"/>
                <w:sz w:val="22"/>
                <w:szCs w:val="22"/>
              </w:rPr>
              <w:t>®</w:t>
            </w:r>
            <w:r w:rsidRPr="0017242C">
              <w:rPr>
                <w:rFonts w:cstheme="minorHAnsi"/>
                <w:sz w:val="22"/>
                <w:szCs w:val="22"/>
              </w:rPr>
              <w:t>)</w:t>
            </w:r>
          </w:p>
        </w:tc>
        <w:tc>
          <w:tcPr>
            <w:tcW w:w="482" w:type="pct"/>
            <w:hideMark/>
          </w:tcPr>
          <w:p w14:paraId="1EAC9202"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SC</w:t>
            </w:r>
          </w:p>
        </w:tc>
        <w:tc>
          <w:tcPr>
            <w:tcW w:w="876" w:type="pct"/>
            <w:hideMark/>
          </w:tcPr>
          <w:p w14:paraId="5D6A20AF"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20 mg</w:t>
            </w:r>
          </w:p>
        </w:tc>
        <w:tc>
          <w:tcPr>
            <w:tcW w:w="1072" w:type="pct"/>
            <w:hideMark/>
          </w:tcPr>
          <w:p w14:paraId="4B74AEC4"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daily</w:t>
            </w:r>
          </w:p>
        </w:tc>
        <w:tc>
          <w:tcPr>
            <w:tcW w:w="1043" w:type="pct"/>
          </w:tcPr>
          <w:p w14:paraId="56618332" w14:textId="77777777" w:rsidR="003F212A" w:rsidRPr="00144A2D" w:rsidRDefault="003F212A" w:rsidP="001D6639">
            <w:pPr>
              <w:spacing w:before="100" w:beforeAutospacing="1" w:after="100" w:afterAutospacing="1"/>
              <w:rPr>
                <w:rFonts w:cstheme="minorHAnsi"/>
                <w:sz w:val="22"/>
                <w:szCs w:val="22"/>
                <w:highlight w:val="yellow"/>
              </w:rPr>
            </w:pPr>
            <w:r w:rsidRPr="00B03B3C">
              <w:rPr>
                <w:rFonts w:cstheme="minorHAnsi"/>
                <w:sz w:val="22"/>
                <w:szCs w:val="22"/>
              </w:rPr>
              <w:t>May 2004</w:t>
            </w:r>
          </w:p>
        </w:tc>
      </w:tr>
      <w:tr w:rsidR="003F212A" w:rsidRPr="0017242C" w14:paraId="3F6FB1F0" w14:textId="77777777" w:rsidTr="0059234C">
        <w:tc>
          <w:tcPr>
            <w:tcW w:w="3957" w:type="pct"/>
            <w:gridSpan w:val="5"/>
            <w:shd w:val="clear" w:color="auto" w:fill="BFBFBF" w:themeFill="background1" w:themeFillShade="BF"/>
            <w:hideMark/>
          </w:tcPr>
          <w:p w14:paraId="0782201A" w14:textId="3AD5C841" w:rsidR="003F212A" w:rsidRPr="00CC4B44" w:rsidRDefault="003F212A" w:rsidP="001D6639">
            <w:pPr>
              <w:spacing w:before="100" w:beforeAutospacing="1" w:after="100" w:afterAutospacing="1"/>
              <w:rPr>
                <w:rFonts w:cstheme="minorHAnsi"/>
                <w:b/>
                <w:sz w:val="22"/>
                <w:szCs w:val="22"/>
              </w:rPr>
            </w:pPr>
            <w:r w:rsidRPr="00CC4B44">
              <w:rPr>
                <w:rFonts w:cstheme="minorHAnsi"/>
                <w:b/>
                <w:iCs/>
                <w:sz w:val="22"/>
                <w:szCs w:val="22"/>
              </w:rPr>
              <w:t>Newer therapies</w:t>
            </w:r>
            <w:r w:rsidRPr="00CC4B44">
              <w:rPr>
                <w:rFonts w:cstheme="minorHAnsi"/>
                <w:b/>
                <w:sz w:val="22"/>
                <w:szCs w:val="22"/>
              </w:rPr>
              <w:t xml:space="preserve"> </w:t>
            </w:r>
          </w:p>
        </w:tc>
        <w:tc>
          <w:tcPr>
            <w:tcW w:w="1043" w:type="pct"/>
            <w:shd w:val="clear" w:color="auto" w:fill="BFBFBF" w:themeFill="background1" w:themeFillShade="BF"/>
          </w:tcPr>
          <w:p w14:paraId="2616455C" w14:textId="77777777" w:rsidR="003F212A" w:rsidRPr="0017242C" w:rsidRDefault="003F212A" w:rsidP="001D6639">
            <w:pPr>
              <w:spacing w:before="100" w:beforeAutospacing="1" w:after="100" w:afterAutospacing="1"/>
              <w:rPr>
                <w:rFonts w:cstheme="minorHAnsi"/>
                <w:iCs/>
                <w:sz w:val="22"/>
                <w:szCs w:val="22"/>
              </w:rPr>
            </w:pPr>
          </w:p>
        </w:tc>
      </w:tr>
      <w:tr w:rsidR="003F212A" w:rsidRPr="0017242C" w14:paraId="437DCE00" w14:textId="77777777" w:rsidTr="0059234C">
        <w:tc>
          <w:tcPr>
            <w:tcW w:w="1527" w:type="pct"/>
            <w:gridSpan w:val="2"/>
            <w:hideMark/>
          </w:tcPr>
          <w:p w14:paraId="3B0A2405"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natalizumab (Tysabri</w:t>
            </w:r>
            <w:r>
              <w:rPr>
                <w:rFonts w:cstheme="minorHAnsi"/>
                <w:sz w:val="22"/>
                <w:szCs w:val="22"/>
              </w:rPr>
              <w:t>®</w:t>
            </w:r>
            <w:r w:rsidRPr="0017242C">
              <w:rPr>
                <w:rFonts w:cstheme="minorHAnsi"/>
                <w:sz w:val="22"/>
                <w:szCs w:val="22"/>
              </w:rPr>
              <w:t>)</w:t>
            </w:r>
          </w:p>
        </w:tc>
        <w:tc>
          <w:tcPr>
            <w:tcW w:w="482" w:type="pct"/>
            <w:hideMark/>
          </w:tcPr>
          <w:p w14:paraId="0F14B9DF"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IV</w:t>
            </w:r>
          </w:p>
        </w:tc>
        <w:tc>
          <w:tcPr>
            <w:tcW w:w="876" w:type="pct"/>
            <w:hideMark/>
          </w:tcPr>
          <w:p w14:paraId="292B62A0"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300 mg over 1 hour</w:t>
            </w:r>
          </w:p>
        </w:tc>
        <w:tc>
          <w:tcPr>
            <w:tcW w:w="1072" w:type="pct"/>
            <w:hideMark/>
          </w:tcPr>
          <w:p w14:paraId="007359F6"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every 4 weeks</w:t>
            </w:r>
          </w:p>
        </w:tc>
        <w:tc>
          <w:tcPr>
            <w:tcW w:w="1043" w:type="pct"/>
          </w:tcPr>
          <w:p w14:paraId="644EF0EE"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July 2008</w:t>
            </w:r>
          </w:p>
        </w:tc>
      </w:tr>
      <w:tr w:rsidR="003F212A" w:rsidRPr="0017242C" w14:paraId="1B84A56F" w14:textId="77777777" w:rsidTr="0059234C">
        <w:tc>
          <w:tcPr>
            <w:tcW w:w="1527" w:type="pct"/>
            <w:gridSpan w:val="2"/>
            <w:hideMark/>
          </w:tcPr>
          <w:p w14:paraId="4C54BEC0"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 xml:space="preserve">fingolimod </w:t>
            </w:r>
            <w:r>
              <w:rPr>
                <w:rFonts w:cstheme="minorHAnsi"/>
                <w:sz w:val="22"/>
                <w:szCs w:val="22"/>
              </w:rPr>
              <w:t>(G</w:t>
            </w:r>
            <w:r w:rsidRPr="0017242C">
              <w:rPr>
                <w:rFonts w:cstheme="minorHAnsi"/>
                <w:sz w:val="22"/>
                <w:szCs w:val="22"/>
              </w:rPr>
              <w:t>i</w:t>
            </w:r>
            <w:r>
              <w:rPr>
                <w:rFonts w:cstheme="minorHAnsi"/>
                <w:sz w:val="22"/>
                <w:szCs w:val="22"/>
              </w:rPr>
              <w:t>l</w:t>
            </w:r>
            <w:r w:rsidRPr="0017242C">
              <w:rPr>
                <w:rFonts w:cstheme="minorHAnsi"/>
                <w:sz w:val="22"/>
                <w:szCs w:val="22"/>
              </w:rPr>
              <w:t>enya</w:t>
            </w:r>
            <w:r>
              <w:rPr>
                <w:rFonts w:cstheme="minorHAnsi"/>
                <w:sz w:val="22"/>
                <w:szCs w:val="22"/>
              </w:rPr>
              <w:t>®</w:t>
            </w:r>
            <w:r w:rsidRPr="0017242C">
              <w:rPr>
                <w:rFonts w:cstheme="minorHAnsi"/>
                <w:sz w:val="22"/>
                <w:szCs w:val="22"/>
              </w:rPr>
              <w:t>)</w:t>
            </w:r>
          </w:p>
        </w:tc>
        <w:tc>
          <w:tcPr>
            <w:tcW w:w="482" w:type="pct"/>
            <w:hideMark/>
          </w:tcPr>
          <w:p w14:paraId="6A26A30A"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oral</w:t>
            </w:r>
          </w:p>
        </w:tc>
        <w:tc>
          <w:tcPr>
            <w:tcW w:w="876" w:type="pct"/>
            <w:hideMark/>
          </w:tcPr>
          <w:p w14:paraId="6749A7EC"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0.5 mg</w:t>
            </w:r>
          </w:p>
        </w:tc>
        <w:tc>
          <w:tcPr>
            <w:tcW w:w="1072" w:type="pct"/>
            <w:hideMark/>
          </w:tcPr>
          <w:p w14:paraId="0FBBFB27"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daily</w:t>
            </w:r>
          </w:p>
        </w:tc>
        <w:tc>
          <w:tcPr>
            <w:tcW w:w="1043" w:type="pct"/>
          </w:tcPr>
          <w:p w14:paraId="399EC8A8" w14:textId="77777777" w:rsidR="003F212A" w:rsidRPr="0017242C" w:rsidRDefault="003F212A" w:rsidP="001D6639">
            <w:pPr>
              <w:spacing w:before="100" w:beforeAutospacing="1" w:after="100" w:afterAutospacing="1"/>
              <w:rPr>
                <w:rFonts w:cstheme="minorHAnsi"/>
                <w:sz w:val="22"/>
                <w:szCs w:val="22"/>
              </w:rPr>
            </w:pPr>
            <w:r w:rsidRPr="0017242C">
              <w:rPr>
                <w:rFonts w:cstheme="minorHAnsi"/>
                <w:sz w:val="22"/>
                <w:szCs w:val="22"/>
              </w:rPr>
              <w:t>September 2011</w:t>
            </w:r>
          </w:p>
        </w:tc>
      </w:tr>
      <w:tr w:rsidR="0059234C" w:rsidRPr="0017242C" w14:paraId="50CB512D" w14:textId="77777777" w:rsidTr="0059234C">
        <w:tc>
          <w:tcPr>
            <w:tcW w:w="1527" w:type="pct"/>
            <w:gridSpan w:val="2"/>
          </w:tcPr>
          <w:p w14:paraId="7369DABD" w14:textId="7E0A3FD9" w:rsidR="0059234C" w:rsidRPr="0017242C" w:rsidRDefault="0059234C" w:rsidP="001D6639">
            <w:pPr>
              <w:spacing w:before="100" w:beforeAutospacing="1" w:after="100" w:afterAutospacing="1"/>
              <w:rPr>
                <w:rFonts w:cstheme="minorHAnsi"/>
                <w:sz w:val="22"/>
                <w:szCs w:val="22"/>
              </w:rPr>
            </w:pPr>
            <w:r>
              <w:rPr>
                <w:rFonts w:cstheme="minorHAnsi"/>
                <w:sz w:val="22"/>
                <w:szCs w:val="22"/>
              </w:rPr>
              <w:t>Dimethyl fumarate (Tecfidera</w:t>
            </w:r>
            <w:r w:rsidR="009141D6">
              <w:rPr>
                <w:rFonts w:cstheme="minorHAnsi"/>
                <w:sz w:val="22"/>
                <w:szCs w:val="22"/>
              </w:rPr>
              <w:t>®</w:t>
            </w:r>
            <w:r>
              <w:rPr>
                <w:rFonts w:cstheme="minorHAnsi"/>
                <w:sz w:val="22"/>
                <w:szCs w:val="22"/>
              </w:rPr>
              <w:t>)</w:t>
            </w:r>
          </w:p>
        </w:tc>
        <w:tc>
          <w:tcPr>
            <w:tcW w:w="482" w:type="pct"/>
          </w:tcPr>
          <w:p w14:paraId="3EF970EF" w14:textId="12A06812" w:rsidR="0059234C" w:rsidRPr="0017242C" w:rsidRDefault="003A49BD" w:rsidP="001D6639">
            <w:pPr>
              <w:spacing w:before="100" w:beforeAutospacing="1" w:after="100" w:afterAutospacing="1"/>
              <w:rPr>
                <w:rFonts w:cstheme="minorHAnsi"/>
                <w:sz w:val="22"/>
                <w:szCs w:val="22"/>
              </w:rPr>
            </w:pPr>
            <w:r>
              <w:rPr>
                <w:rFonts w:cstheme="minorHAnsi"/>
                <w:sz w:val="22"/>
                <w:szCs w:val="22"/>
              </w:rPr>
              <w:t>oral</w:t>
            </w:r>
          </w:p>
        </w:tc>
        <w:tc>
          <w:tcPr>
            <w:tcW w:w="876" w:type="pct"/>
          </w:tcPr>
          <w:p w14:paraId="174F28CE" w14:textId="5929476A" w:rsidR="00C23ADE" w:rsidRDefault="00C23ADE" w:rsidP="001D6639">
            <w:pPr>
              <w:spacing w:before="100" w:beforeAutospacing="1" w:after="100" w:afterAutospacing="1"/>
              <w:rPr>
                <w:rFonts w:cstheme="minorHAnsi"/>
                <w:sz w:val="22"/>
                <w:szCs w:val="22"/>
              </w:rPr>
            </w:pPr>
            <w:r>
              <w:rPr>
                <w:rFonts w:cstheme="minorHAnsi"/>
                <w:sz w:val="22"/>
                <w:szCs w:val="22"/>
              </w:rPr>
              <w:t>120 mg starting dose for first 7 days.</w:t>
            </w:r>
          </w:p>
          <w:p w14:paraId="026E4670" w14:textId="37B295CA" w:rsidR="0059234C" w:rsidRPr="0017242C" w:rsidRDefault="00A80008" w:rsidP="001D6639">
            <w:pPr>
              <w:spacing w:before="100" w:beforeAutospacing="1" w:after="100" w:afterAutospacing="1"/>
              <w:rPr>
                <w:rFonts w:cstheme="minorHAnsi"/>
                <w:sz w:val="22"/>
                <w:szCs w:val="22"/>
              </w:rPr>
            </w:pPr>
            <w:r>
              <w:rPr>
                <w:rFonts w:cstheme="minorHAnsi"/>
                <w:sz w:val="22"/>
                <w:szCs w:val="22"/>
              </w:rPr>
              <w:t>240 mg</w:t>
            </w:r>
            <w:r w:rsidR="00C23ADE">
              <w:rPr>
                <w:rFonts w:cstheme="minorHAnsi"/>
                <w:sz w:val="22"/>
                <w:szCs w:val="22"/>
              </w:rPr>
              <w:t xml:space="preserve"> maintenance dose.</w:t>
            </w:r>
          </w:p>
        </w:tc>
        <w:tc>
          <w:tcPr>
            <w:tcW w:w="1072" w:type="pct"/>
          </w:tcPr>
          <w:p w14:paraId="5B90E059" w14:textId="323211EA" w:rsidR="0059234C" w:rsidRPr="0017242C" w:rsidRDefault="00A80008" w:rsidP="001D6639">
            <w:pPr>
              <w:spacing w:before="100" w:beforeAutospacing="1" w:after="100" w:afterAutospacing="1"/>
              <w:rPr>
                <w:rFonts w:cstheme="minorHAnsi"/>
                <w:sz w:val="22"/>
                <w:szCs w:val="22"/>
              </w:rPr>
            </w:pPr>
            <w:r w:rsidRPr="001A55F8">
              <w:rPr>
                <w:rFonts w:cs="ArialMT"/>
                <w:sz w:val="22"/>
                <w:szCs w:val="22"/>
              </w:rPr>
              <w:t>twice a day</w:t>
            </w:r>
          </w:p>
        </w:tc>
        <w:tc>
          <w:tcPr>
            <w:tcW w:w="1043" w:type="pct"/>
          </w:tcPr>
          <w:p w14:paraId="5FFB8FDF" w14:textId="71E84BCE" w:rsidR="0059234C" w:rsidRPr="0017242C" w:rsidRDefault="0059234C" w:rsidP="001D6639">
            <w:pPr>
              <w:spacing w:before="100" w:beforeAutospacing="1" w:after="100" w:afterAutospacing="1"/>
              <w:rPr>
                <w:rFonts w:cstheme="minorHAnsi"/>
                <w:sz w:val="22"/>
                <w:szCs w:val="22"/>
              </w:rPr>
            </w:pPr>
            <w:r>
              <w:rPr>
                <w:rFonts w:cstheme="minorHAnsi"/>
                <w:sz w:val="22"/>
                <w:szCs w:val="22"/>
              </w:rPr>
              <w:t>December 2013</w:t>
            </w:r>
          </w:p>
        </w:tc>
      </w:tr>
      <w:tr w:rsidR="0059234C" w:rsidRPr="0017242C" w14:paraId="5C9F512B" w14:textId="77777777" w:rsidTr="0059234C">
        <w:tc>
          <w:tcPr>
            <w:tcW w:w="1527" w:type="pct"/>
            <w:gridSpan w:val="2"/>
          </w:tcPr>
          <w:p w14:paraId="6AB450BD" w14:textId="52DD3476" w:rsidR="0059234C" w:rsidRPr="0017242C" w:rsidRDefault="00100B50" w:rsidP="001D6639">
            <w:pPr>
              <w:spacing w:before="100" w:beforeAutospacing="1" w:after="100" w:afterAutospacing="1"/>
              <w:rPr>
                <w:rFonts w:cstheme="minorHAnsi"/>
                <w:sz w:val="22"/>
                <w:szCs w:val="22"/>
              </w:rPr>
            </w:pPr>
            <w:r>
              <w:rPr>
                <w:rFonts w:cstheme="minorHAnsi"/>
                <w:sz w:val="22"/>
                <w:szCs w:val="22"/>
              </w:rPr>
              <w:t>t</w:t>
            </w:r>
            <w:r w:rsidR="0059234C">
              <w:rPr>
                <w:rFonts w:cstheme="minorHAnsi"/>
                <w:sz w:val="22"/>
                <w:szCs w:val="22"/>
              </w:rPr>
              <w:t>eriflunomide (Aubagio</w:t>
            </w:r>
            <w:r w:rsidR="009141D6">
              <w:rPr>
                <w:rFonts w:cstheme="minorHAnsi"/>
                <w:sz w:val="22"/>
                <w:szCs w:val="22"/>
              </w:rPr>
              <w:t>®</w:t>
            </w:r>
            <w:r w:rsidR="0059234C">
              <w:rPr>
                <w:rFonts w:cstheme="minorHAnsi"/>
                <w:sz w:val="22"/>
                <w:szCs w:val="22"/>
              </w:rPr>
              <w:t>)</w:t>
            </w:r>
          </w:p>
        </w:tc>
        <w:tc>
          <w:tcPr>
            <w:tcW w:w="482" w:type="pct"/>
          </w:tcPr>
          <w:p w14:paraId="228A584D" w14:textId="2EC52793" w:rsidR="0059234C" w:rsidRPr="0017242C" w:rsidRDefault="003A49BD" w:rsidP="001D6639">
            <w:pPr>
              <w:spacing w:before="100" w:beforeAutospacing="1" w:after="100" w:afterAutospacing="1"/>
              <w:rPr>
                <w:rFonts w:cstheme="minorHAnsi"/>
                <w:sz w:val="22"/>
                <w:szCs w:val="22"/>
              </w:rPr>
            </w:pPr>
            <w:r>
              <w:rPr>
                <w:rFonts w:cstheme="minorHAnsi"/>
                <w:sz w:val="22"/>
                <w:szCs w:val="22"/>
              </w:rPr>
              <w:t>oral</w:t>
            </w:r>
          </w:p>
        </w:tc>
        <w:tc>
          <w:tcPr>
            <w:tcW w:w="876" w:type="pct"/>
          </w:tcPr>
          <w:p w14:paraId="306A3C31" w14:textId="0C4593BE" w:rsidR="0059234C" w:rsidRPr="0017242C" w:rsidRDefault="003E1E56" w:rsidP="001D6639">
            <w:pPr>
              <w:spacing w:before="100" w:beforeAutospacing="1" w:after="100" w:afterAutospacing="1"/>
              <w:rPr>
                <w:rFonts w:cstheme="minorHAnsi"/>
                <w:sz w:val="22"/>
                <w:szCs w:val="22"/>
              </w:rPr>
            </w:pPr>
            <w:r>
              <w:rPr>
                <w:rFonts w:cstheme="minorHAnsi"/>
                <w:sz w:val="22"/>
                <w:szCs w:val="22"/>
              </w:rPr>
              <w:t>14 mg</w:t>
            </w:r>
          </w:p>
        </w:tc>
        <w:tc>
          <w:tcPr>
            <w:tcW w:w="1072" w:type="pct"/>
          </w:tcPr>
          <w:p w14:paraId="769402CF" w14:textId="6441A7E1" w:rsidR="0059234C" w:rsidRPr="0017242C" w:rsidRDefault="003E1E56" w:rsidP="001D6639">
            <w:pPr>
              <w:spacing w:before="100" w:beforeAutospacing="1" w:after="100" w:afterAutospacing="1"/>
              <w:rPr>
                <w:rFonts w:cstheme="minorHAnsi"/>
                <w:sz w:val="22"/>
                <w:szCs w:val="22"/>
              </w:rPr>
            </w:pPr>
            <w:r>
              <w:rPr>
                <w:rFonts w:cstheme="minorHAnsi"/>
                <w:sz w:val="22"/>
                <w:szCs w:val="22"/>
              </w:rPr>
              <w:t>daily</w:t>
            </w:r>
          </w:p>
        </w:tc>
        <w:tc>
          <w:tcPr>
            <w:tcW w:w="1043" w:type="pct"/>
          </w:tcPr>
          <w:p w14:paraId="273CA554" w14:textId="6110D4D9" w:rsidR="0059234C" w:rsidRPr="0017242C" w:rsidRDefault="0059234C" w:rsidP="001D6639">
            <w:pPr>
              <w:spacing w:before="100" w:beforeAutospacing="1" w:after="100" w:afterAutospacing="1"/>
              <w:rPr>
                <w:rFonts w:cstheme="minorHAnsi"/>
                <w:sz w:val="22"/>
                <w:szCs w:val="22"/>
              </w:rPr>
            </w:pPr>
            <w:r>
              <w:rPr>
                <w:rFonts w:cstheme="minorHAnsi"/>
                <w:sz w:val="22"/>
                <w:szCs w:val="22"/>
              </w:rPr>
              <w:t>December 2013</w:t>
            </w:r>
          </w:p>
        </w:tc>
      </w:tr>
      <w:tr w:rsidR="0059234C" w:rsidRPr="0017242C" w14:paraId="58FB59F9" w14:textId="77777777" w:rsidTr="0059234C">
        <w:tc>
          <w:tcPr>
            <w:tcW w:w="1527" w:type="pct"/>
            <w:gridSpan w:val="2"/>
          </w:tcPr>
          <w:p w14:paraId="754258C4" w14:textId="41B92BE7" w:rsidR="0059234C" w:rsidRPr="0017242C" w:rsidRDefault="00100B50" w:rsidP="001D6639">
            <w:pPr>
              <w:spacing w:before="100" w:beforeAutospacing="1" w:after="100" w:afterAutospacing="1"/>
              <w:rPr>
                <w:rFonts w:cstheme="minorHAnsi"/>
                <w:sz w:val="22"/>
                <w:szCs w:val="22"/>
              </w:rPr>
            </w:pPr>
            <w:r>
              <w:rPr>
                <w:rFonts w:cstheme="minorHAnsi"/>
                <w:sz w:val="22"/>
                <w:szCs w:val="22"/>
              </w:rPr>
              <w:t>p</w:t>
            </w:r>
            <w:r w:rsidR="003A49BD">
              <w:rPr>
                <w:rFonts w:cstheme="minorHAnsi"/>
                <w:sz w:val="22"/>
                <w:szCs w:val="22"/>
              </w:rPr>
              <w:t>eginterferon beta-1a</w:t>
            </w:r>
            <w:r>
              <w:rPr>
                <w:rFonts w:cstheme="minorHAnsi"/>
                <w:sz w:val="22"/>
                <w:szCs w:val="22"/>
              </w:rPr>
              <w:t xml:space="preserve"> (Plegridy</w:t>
            </w:r>
            <w:r w:rsidR="009141D6">
              <w:rPr>
                <w:rFonts w:cstheme="minorHAnsi"/>
                <w:sz w:val="22"/>
                <w:szCs w:val="22"/>
              </w:rPr>
              <w:t>®</w:t>
            </w:r>
            <w:r>
              <w:rPr>
                <w:rFonts w:cstheme="minorHAnsi"/>
                <w:sz w:val="22"/>
                <w:szCs w:val="22"/>
              </w:rPr>
              <w:t>)</w:t>
            </w:r>
          </w:p>
        </w:tc>
        <w:tc>
          <w:tcPr>
            <w:tcW w:w="482" w:type="pct"/>
          </w:tcPr>
          <w:p w14:paraId="0D54577C" w14:textId="7C1A0B25" w:rsidR="0059234C" w:rsidRPr="0017242C" w:rsidRDefault="007C79EF" w:rsidP="001D6639">
            <w:pPr>
              <w:spacing w:before="100" w:beforeAutospacing="1" w:after="100" w:afterAutospacing="1"/>
              <w:rPr>
                <w:rFonts w:cstheme="minorHAnsi"/>
                <w:sz w:val="22"/>
                <w:szCs w:val="22"/>
              </w:rPr>
            </w:pPr>
            <w:r>
              <w:rPr>
                <w:rFonts w:cstheme="minorHAnsi"/>
                <w:sz w:val="22"/>
                <w:szCs w:val="22"/>
              </w:rPr>
              <w:t>SC</w:t>
            </w:r>
          </w:p>
        </w:tc>
        <w:tc>
          <w:tcPr>
            <w:tcW w:w="876" w:type="pct"/>
          </w:tcPr>
          <w:p w14:paraId="77ACE252" w14:textId="69F0D26F" w:rsidR="0059234C" w:rsidRPr="0017242C" w:rsidRDefault="007C79EF" w:rsidP="001D6639">
            <w:pPr>
              <w:spacing w:before="100" w:beforeAutospacing="1" w:after="100" w:afterAutospacing="1"/>
              <w:rPr>
                <w:rFonts w:cstheme="minorHAnsi"/>
                <w:sz w:val="22"/>
                <w:szCs w:val="22"/>
              </w:rPr>
            </w:pPr>
            <w:r>
              <w:rPr>
                <w:rFonts w:cstheme="minorHAnsi"/>
                <w:sz w:val="22"/>
                <w:szCs w:val="22"/>
              </w:rPr>
              <w:t>125 µg</w:t>
            </w:r>
          </w:p>
        </w:tc>
        <w:tc>
          <w:tcPr>
            <w:tcW w:w="1072" w:type="pct"/>
          </w:tcPr>
          <w:p w14:paraId="3E735F6C" w14:textId="5A7011C8" w:rsidR="0059234C" w:rsidRPr="0017242C" w:rsidRDefault="007C79EF" w:rsidP="001D6639">
            <w:pPr>
              <w:spacing w:before="100" w:beforeAutospacing="1" w:after="100" w:afterAutospacing="1"/>
              <w:rPr>
                <w:rFonts w:cstheme="minorHAnsi"/>
                <w:sz w:val="22"/>
                <w:szCs w:val="22"/>
              </w:rPr>
            </w:pPr>
            <w:r>
              <w:rPr>
                <w:rFonts w:cstheme="minorHAnsi"/>
                <w:sz w:val="22"/>
                <w:szCs w:val="22"/>
              </w:rPr>
              <w:t>Every 2 weeks</w:t>
            </w:r>
          </w:p>
        </w:tc>
        <w:tc>
          <w:tcPr>
            <w:tcW w:w="1043" w:type="pct"/>
          </w:tcPr>
          <w:p w14:paraId="6B2080D5" w14:textId="3B271630" w:rsidR="0059234C" w:rsidRPr="0017242C" w:rsidRDefault="008D48DB" w:rsidP="001D6639">
            <w:pPr>
              <w:spacing w:before="100" w:beforeAutospacing="1" w:after="100" w:afterAutospacing="1"/>
              <w:rPr>
                <w:rFonts w:cstheme="minorHAnsi"/>
                <w:sz w:val="22"/>
                <w:szCs w:val="22"/>
              </w:rPr>
            </w:pPr>
            <w:r>
              <w:rPr>
                <w:rFonts w:cstheme="minorHAnsi"/>
                <w:sz w:val="22"/>
                <w:szCs w:val="22"/>
              </w:rPr>
              <w:t>March 2015</w:t>
            </w:r>
          </w:p>
        </w:tc>
      </w:tr>
      <w:tr w:rsidR="0059234C" w:rsidRPr="0017242C" w14:paraId="3A49B954" w14:textId="77777777" w:rsidTr="0059234C">
        <w:tc>
          <w:tcPr>
            <w:tcW w:w="1527" w:type="pct"/>
            <w:gridSpan w:val="2"/>
          </w:tcPr>
          <w:p w14:paraId="48263580" w14:textId="6A405992" w:rsidR="0059234C" w:rsidRPr="0017242C" w:rsidRDefault="00100B50" w:rsidP="001D6639">
            <w:pPr>
              <w:spacing w:before="100" w:beforeAutospacing="1" w:after="100" w:afterAutospacing="1"/>
              <w:rPr>
                <w:rFonts w:cstheme="minorHAnsi"/>
                <w:sz w:val="22"/>
                <w:szCs w:val="22"/>
              </w:rPr>
            </w:pPr>
            <w:r>
              <w:rPr>
                <w:rFonts w:cstheme="minorHAnsi"/>
                <w:sz w:val="22"/>
                <w:szCs w:val="22"/>
              </w:rPr>
              <w:t>alemtuzumab (Lemtrada</w:t>
            </w:r>
            <w:r w:rsidR="009141D6">
              <w:rPr>
                <w:rFonts w:cstheme="minorHAnsi"/>
                <w:sz w:val="22"/>
                <w:szCs w:val="22"/>
              </w:rPr>
              <w:t>®</w:t>
            </w:r>
            <w:r>
              <w:rPr>
                <w:rFonts w:cstheme="minorHAnsi"/>
                <w:sz w:val="22"/>
                <w:szCs w:val="22"/>
              </w:rPr>
              <w:t>)</w:t>
            </w:r>
          </w:p>
        </w:tc>
        <w:tc>
          <w:tcPr>
            <w:tcW w:w="482" w:type="pct"/>
          </w:tcPr>
          <w:p w14:paraId="7CDF3EB2" w14:textId="22E53C96" w:rsidR="0059234C" w:rsidRPr="0017242C" w:rsidRDefault="00CC4B44" w:rsidP="001D6639">
            <w:pPr>
              <w:spacing w:before="100" w:beforeAutospacing="1" w:after="100" w:afterAutospacing="1"/>
              <w:rPr>
                <w:rFonts w:cstheme="minorHAnsi"/>
                <w:sz w:val="22"/>
                <w:szCs w:val="22"/>
              </w:rPr>
            </w:pPr>
            <w:r>
              <w:rPr>
                <w:rFonts w:cstheme="minorHAnsi"/>
                <w:sz w:val="22"/>
                <w:szCs w:val="22"/>
              </w:rPr>
              <w:t>IV</w:t>
            </w:r>
          </w:p>
        </w:tc>
        <w:tc>
          <w:tcPr>
            <w:tcW w:w="876" w:type="pct"/>
          </w:tcPr>
          <w:p w14:paraId="1B7532A5" w14:textId="4F520DAC" w:rsidR="0059234C" w:rsidRPr="0017242C" w:rsidRDefault="00CC4B44" w:rsidP="001D6639">
            <w:pPr>
              <w:spacing w:before="100" w:beforeAutospacing="1" w:after="100" w:afterAutospacing="1"/>
              <w:rPr>
                <w:rFonts w:cstheme="minorHAnsi"/>
                <w:sz w:val="22"/>
                <w:szCs w:val="22"/>
              </w:rPr>
            </w:pPr>
            <w:r>
              <w:rPr>
                <w:rFonts w:cstheme="minorHAnsi"/>
                <w:sz w:val="22"/>
                <w:szCs w:val="22"/>
              </w:rPr>
              <w:t>12 mg per day</w:t>
            </w:r>
          </w:p>
        </w:tc>
        <w:tc>
          <w:tcPr>
            <w:tcW w:w="1072" w:type="pct"/>
          </w:tcPr>
          <w:p w14:paraId="7A24A0B4" w14:textId="34212200" w:rsidR="0059234C" w:rsidRPr="0017242C" w:rsidRDefault="00CC4B44" w:rsidP="001D6639">
            <w:pPr>
              <w:spacing w:before="100" w:beforeAutospacing="1" w:after="100" w:afterAutospacing="1"/>
              <w:rPr>
                <w:rFonts w:cstheme="minorHAnsi"/>
                <w:sz w:val="22"/>
                <w:szCs w:val="22"/>
              </w:rPr>
            </w:pPr>
            <w:r>
              <w:rPr>
                <w:rFonts w:cstheme="minorHAnsi"/>
                <w:sz w:val="22"/>
                <w:szCs w:val="22"/>
              </w:rPr>
              <w:t xml:space="preserve">Two treatment courses. </w:t>
            </w:r>
            <w:r w:rsidR="00F96AD1">
              <w:rPr>
                <w:rFonts w:cstheme="minorHAnsi"/>
                <w:sz w:val="22"/>
                <w:szCs w:val="22"/>
              </w:rPr>
              <w:t xml:space="preserve"> Over 5 days for initial treatment and over 3 days 12 months after initial treatment.</w:t>
            </w:r>
          </w:p>
        </w:tc>
        <w:tc>
          <w:tcPr>
            <w:tcW w:w="1043" w:type="pct"/>
          </w:tcPr>
          <w:p w14:paraId="6A362581" w14:textId="762236AF" w:rsidR="0059234C" w:rsidRPr="0017242C" w:rsidRDefault="00F96AD1" w:rsidP="001D6639">
            <w:pPr>
              <w:spacing w:before="100" w:beforeAutospacing="1" w:after="100" w:afterAutospacing="1"/>
              <w:rPr>
                <w:rFonts w:cstheme="minorHAnsi"/>
                <w:sz w:val="22"/>
                <w:szCs w:val="22"/>
              </w:rPr>
            </w:pPr>
            <w:r>
              <w:rPr>
                <w:rFonts w:cstheme="minorHAnsi"/>
                <w:sz w:val="22"/>
                <w:szCs w:val="22"/>
              </w:rPr>
              <w:t>April 2015</w:t>
            </w:r>
          </w:p>
        </w:tc>
      </w:tr>
    </w:tbl>
    <w:p w14:paraId="0BD45AE2" w14:textId="15357DA4" w:rsidR="00100B50" w:rsidRPr="008241AC" w:rsidRDefault="00CC4B44" w:rsidP="003F212A">
      <w:pPr>
        <w:rPr>
          <w:rFonts w:cstheme="minorHAnsi"/>
          <w:sz w:val="20"/>
          <w:szCs w:val="20"/>
        </w:rPr>
      </w:pPr>
      <w:r w:rsidRPr="008241AC">
        <w:rPr>
          <w:rFonts w:cstheme="minorHAnsi"/>
          <w:sz w:val="20"/>
          <w:szCs w:val="20"/>
        </w:rPr>
        <w:t>Source: Administration, dosage and frequency information was sourced from the respective drug’s Product Information</w:t>
      </w:r>
      <w:r w:rsidR="00756413" w:rsidRPr="008241AC">
        <w:rPr>
          <w:rFonts w:cstheme="minorHAnsi"/>
          <w:sz w:val="20"/>
          <w:szCs w:val="20"/>
        </w:rPr>
        <w:t xml:space="preserve"> from the Therapeutic Goods Administration website at https://www.ebs.tga.gov.au/</w:t>
      </w:r>
      <w:r w:rsidRPr="008241AC">
        <w:rPr>
          <w:rFonts w:cstheme="minorHAnsi"/>
          <w:sz w:val="20"/>
          <w:szCs w:val="20"/>
        </w:rPr>
        <w:t>.</w:t>
      </w:r>
    </w:p>
    <w:p w14:paraId="7EA06467" w14:textId="6E43984D" w:rsidR="003F212A" w:rsidRPr="008A625D" w:rsidRDefault="003F212A" w:rsidP="003F212A">
      <w:pPr>
        <w:rPr>
          <w:rFonts w:cstheme="minorHAnsi"/>
        </w:rPr>
      </w:pPr>
      <w:r w:rsidRPr="008A625D">
        <w:rPr>
          <w:rFonts w:cstheme="minorHAnsi"/>
        </w:rPr>
        <w:t>The immunomodulators</w:t>
      </w:r>
      <w:r w:rsidR="005D76EA">
        <w:rPr>
          <w:rFonts w:cstheme="minorHAnsi"/>
        </w:rPr>
        <w:t xml:space="preserve"> </w:t>
      </w:r>
      <w:r w:rsidRPr="008A625D">
        <w:rPr>
          <w:rFonts w:cstheme="minorHAnsi"/>
        </w:rPr>
        <w:t>are often termed ‘ABCR therapy’, which refers to the first initials of the trade names of these products (Avonex</w:t>
      </w:r>
      <w:r w:rsidR="009A40D7">
        <w:rPr>
          <w:rFonts w:cstheme="minorHAnsi"/>
        </w:rPr>
        <w:t>,</w:t>
      </w:r>
      <w:r w:rsidRPr="008A625D">
        <w:rPr>
          <w:rFonts w:cstheme="minorHAnsi"/>
        </w:rPr>
        <w:t xml:space="preserve"> Betaferon</w:t>
      </w:r>
      <w:r w:rsidR="009A40D7">
        <w:rPr>
          <w:rFonts w:cstheme="minorHAnsi"/>
        </w:rPr>
        <w:t>,</w:t>
      </w:r>
      <w:r w:rsidRPr="008A625D">
        <w:rPr>
          <w:rFonts w:cstheme="minorHAnsi"/>
        </w:rPr>
        <w:t xml:space="preserve"> Copaxone</w:t>
      </w:r>
      <w:r w:rsidR="009A40D7">
        <w:rPr>
          <w:rFonts w:cstheme="minorHAnsi"/>
        </w:rPr>
        <w:t xml:space="preserve"> and</w:t>
      </w:r>
      <w:r w:rsidRPr="008A625D">
        <w:rPr>
          <w:rFonts w:cstheme="minorHAnsi"/>
        </w:rPr>
        <w:t xml:space="preserve"> Rebif). </w:t>
      </w:r>
    </w:p>
    <w:p w14:paraId="0CFCCF3A" w14:textId="121AFA62" w:rsidR="008245C6" w:rsidRDefault="00AB531A" w:rsidP="00FE645A">
      <w:pPr>
        <w:pStyle w:val="Heading3"/>
        <w:rPr>
          <w:rFonts w:cstheme="minorHAnsi"/>
          <w:b w:val="0"/>
          <w:sz w:val="24"/>
          <w:szCs w:val="24"/>
        </w:rPr>
      </w:pPr>
      <w:r>
        <w:rPr>
          <w:rFonts w:cstheme="minorHAnsi"/>
          <w:b w:val="0"/>
          <w:sz w:val="24"/>
          <w:szCs w:val="24"/>
        </w:rPr>
        <w:t>The current listin</w:t>
      </w:r>
      <w:r w:rsidR="004B2CA7">
        <w:rPr>
          <w:rFonts w:cstheme="minorHAnsi"/>
          <w:b w:val="0"/>
          <w:sz w:val="24"/>
          <w:szCs w:val="24"/>
        </w:rPr>
        <w:t xml:space="preserve">gs are summarised in Appendix </w:t>
      </w:r>
      <w:r w:rsidR="00AC4095">
        <w:rPr>
          <w:rFonts w:cstheme="minorHAnsi"/>
          <w:b w:val="0"/>
          <w:sz w:val="24"/>
          <w:szCs w:val="24"/>
        </w:rPr>
        <w:t>A</w:t>
      </w:r>
      <w:r>
        <w:rPr>
          <w:rFonts w:cstheme="minorHAnsi"/>
          <w:b w:val="0"/>
          <w:sz w:val="24"/>
          <w:szCs w:val="24"/>
        </w:rPr>
        <w:t>.</w:t>
      </w:r>
      <w:r w:rsidR="008019FD">
        <w:rPr>
          <w:rFonts w:cstheme="minorHAnsi"/>
          <w:b w:val="0"/>
          <w:sz w:val="24"/>
          <w:szCs w:val="24"/>
        </w:rPr>
        <w:t xml:space="preserve"> A chronology of PBS listings is provided in Appendix</w:t>
      </w:r>
      <w:r w:rsidR="009D6DAF">
        <w:rPr>
          <w:rFonts w:cstheme="minorHAnsi"/>
          <w:b w:val="0"/>
          <w:sz w:val="24"/>
          <w:szCs w:val="24"/>
        </w:rPr>
        <w:t> </w:t>
      </w:r>
      <w:r w:rsidR="00AC4095">
        <w:rPr>
          <w:rFonts w:cstheme="minorHAnsi"/>
          <w:b w:val="0"/>
          <w:sz w:val="24"/>
          <w:szCs w:val="24"/>
        </w:rPr>
        <w:t>B</w:t>
      </w:r>
      <w:r w:rsidR="008019FD">
        <w:rPr>
          <w:rFonts w:cstheme="minorHAnsi"/>
          <w:b w:val="0"/>
          <w:sz w:val="24"/>
          <w:szCs w:val="24"/>
        </w:rPr>
        <w:t>.</w:t>
      </w:r>
      <w:r w:rsidR="00931751">
        <w:rPr>
          <w:rFonts w:cstheme="minorHAnsi"/>
          <w:b w:val="0"/>
          <w:sz w:val="24"/>
          <w:szCs w:val="24"/>
        </w:rPr>
        <w:t xml:space="preserve"> The approved indications for each RRMS</w:t>
      </w:r>
      <w:r w:rsidR="008E4CE1">
        <w:rPr>
          <w:rFonts w:cstheme="minorHAnsi"/>
          <w:b w:val="0"/>
          <w:sz w:val="24"/>
          <w:szCs w:val="24"/>
        </w:rPr>
        <w:t xml:space="preserve"> medicine</w:t>
      </w:r>
      <w:r w:rsidR="00931751">
        <w:rPr>
          <w:rFonts w:cstheme="minorHAnsi"/>
          <w:b w:val="0"/>
          <w:sz w:val="24"/>
          <w:szCs w:val="24"/>
        </w:rPr>
        <w:t xml:space="preserve"> are listed in Appendix </w:t>
      </w:r>
      <w:r w:rsidR="00AC4095">
        <w:rPr>
          <w:rFonts w:cstheme="minorHAnsi"/>
          <w:b w:val="0"/>
          <w:sz w:val="24"/>
          <w:szCs w:val="24"/>
        </w:rPr>
        <w:t>C</w:t>
      </w:r>
      <w:r w:rsidR="00931751">
        <w:rPr>
          <w:rFonts w:cstheme="minorHAnsi"/>
          <w:b w:val="0"/>
          <w:sz w:val="24"/>
          <w:szCs w:val="24"/>
        </w:rPr>
        <w:t>.</w:t>
      </w:r>
    </w:p>
    <w:p w14:paraId="621B2725" w14:textId="2B4CFF42" w:rsidR="00A4146E" w:rsidRDefault="006D53E4" w:rsidP="00A4146E">
      <w:r>
        <w:t xml:space="preserve">At the time of this report, </w:t>
      </w:r>
      <w:r w:rsidR="00765DCD">
        <w:t xml:space="preserve">peginterferon beta-1a  and </w:t>
      </w:r>
      <w:r>
        <w:t>al</w:t>
      </w:r>
      <w:r w:rsidR="00765DCD">
        <w:t>emtuzumab</w:t>
      </w:r>
      <w:r w:rsidR="00E3110C">
        <w:t xml:space="preserve"> were</w:t>
      </w:r>
      <w:r>
        <w:t xml:space="preserve"> recent listing</w:t>
      </w:r>
      <w:r w:rsidR="00E3110C">
        <w:t>s</w:t>
      </w:r>
      <w:r w:rsidR="00DD63DC">
        <w:t xml:space="preserve"> </w:t>
      </w:r>
      <w:r w:rsidR="00E3110C">
        <w:t>(</w:t>
      </w:r>
      <w:r w:rsidR="00DD63DC">
        <w:t xml:space="preserve">from </w:t>
      </w:r>
      <w:r w:rsidR="00E3110C">
        <w:t xml:space="preserve">1 March 2015 and </w:t>
      </w:r>
      <w:r w:rsidR="00DD63DC">
        <w:t>1 April 2015</w:t>
      </w:r>
      <w:r w:rsidR="00E3110C">
        <w:t>, respectively)</w:t>
      </w:r>
      <w:r>
        <w:t xml:space="preserve"> for </w:t>
      </w:r>
      <w:r w:rsidR="009F2EF3">
        <w:t>RRMS</w:t>
      </w:r>
      <w:r w:rsidR="008E4CE1">
        <w:t>.</w:t>
      </w:r>
      <w:r w:rsidR="003D6664">
        <w:rPr>
          <w:rStyle w:val="FootnoteReference"/>
        </w:rPr>
        <w:footnoteReference w:id="1"/>
      </w:r>
      <w:r w:rsidR="00C33804" w:rsidRPr="0090195D">
        <w:rPr>
          <w:vertAlign w:val="superscript"/>
        </w:rPr>
        <w:t>,</w:t>
      </w:r>
      <w:r w:rsidR="00C33804">
        <w:rPr>
          <w:rStyle w:val="FootnoteReference"/>
        </w:rPr>
        <w:footnoteReference w:id="2"/>
      </w:r>
      <w:r w:rsidR="00C33804">
        <w:t xml:space="preserve"> </w:t>
      </w:r>
      <w:r>
        <w:t xml:space="preserve"> As such </w:t>
      </w:r>
      <w:r w:rsidR="005566F1">
        <w:t>these listings have</w:t>
      </w:r>
      <w:r>
        <w:t xml:space="preserve"> not been included as par</w:t>
      </w:r>
      <w:r w:rsidR="00484D22">
        <w:t xml:space="preserve">t of analyses of the overall </w:t>
      </w:r>
      <w:r w:rsidR="000420D4">
        <w:t>RRMS</w:t>
      </w:r>
      <w:r w:rsidR="00484D22">
        <w:t xml:space="preserve"> market</w:t>
      </w:r>
      <w:r>
        <w:t>.</w:t>
      </w:r>
    </w:p>
    <w:p w14:paraId="51A0A4BC" w14:textId="77777777" w:rsidR="006F619C" w:rsidRDefault="006F619C" w:rsidP="006F619C">
      <w:pPr>
        <w:pStyle w:val="Heading3"/>
      </w:pPr>
      <w:r>
        <w:lastRenderedPageBreak/>
        <w:t>Previous reviews by DUSC</w:t>
      </w:r>
    </w:p>
    <w:p w14:paraId="1ADCA7ED" w14:textId="77777777" w:rsidR="006F619C" w:rsidRDefault="006F619C" w:rsidP="006F619C">
      <w:r>
        <w:t>This is the first review of dimethyl fumarate and teriflunomide.</w:t>
      </w:r>
    </w:p>
    <w:p w14:paraId="771E37C8" w14:textId="7B73219E" w:rsidR="005730F2" w:rsidRDefault="006F619C" w:rsidP="005730F2">
      <w:r>
        <w:t xml:space="preserve">The utilisation of drugs to treatment RRMS was reviewed by DUSC at its June 2013 meeting. </w:t>
      </w:r>
      <w:r w:rsidR="005730F2">
        <w:t>DUSC noted that the number of people supplied with a disease modifying treatment for relapsing-remi</w:t>
      </w:r>
      <w:r w:rsidR="00E76EAD">
        <w:t>tting multiple sclerosis appeared</w:t>
      </w:r>
      <w:r w:rsidR="005730F2">
        <w:t xml:space="preserve"> to have increased with the introduction of the oral agent fingolimod. DUSC considered that revisions to the diagnostic criteria and the ava</w:t>
      </w:r>
      <w:r w:rsidR="00E76EAD">
        <w:t>ilability of oral treatment would</w:t>
      </w:r>
      <w:r w:rsidR="005730F2">
        <w:t xml:space="preserve"> potentially increase the number of people with multiple sclerosis treated with a disease modifying treatment. </w:t>
      </w:r>
    </w:p>
    <w:p w14:paraId="64D2E736" w14:textId="36EF9775" w:rsidR="005730F2" w:rsidRDefault="005730F2" w:rsidP="005730F2">
      <w:r>
        <w:t>DUSC commented that the natural history of multiple sclerosis can result in patients having long periods of stability between attacks. It was noted that lifestyle is important in managing multiple sclerosis and that patients may choose to have a treatment break for various reasons, including pregnancy or adverse events. DUSC considered that a better understanding of the patient experience would assist in understanding how disease modifying treatments are used in practice. Patient experience is likely to inform use in practice including uptake rates and duration of treatment.</w:t>
      </w:r>
    </w:p>
    <w:p w14:paraId="22DE9FAE" w14:textId="52FC1948" w:rsidR="006F619C" w:rsidRDefault="006F619C" w:rsidP="00A4146E">
      <w:r>
        <w:t>A 12 month predicted vs. actual review of fingolimod was also considered by DUSC in June 2013.</w:t>
      </w:r>
      <w:r w:rsidR="005730F2" w:rsidRPr="005730F2">
        <w:t xml:space="preserve"> Utilisation of fingolimod was slightly higher than expected in the first year of PBS listing. DUSC considered that the rapid uptake of fingolimod observed in the first few months of PBS listing was likely due to patients moving from a compassionate use program to PBS supply.  </w:t>
      </w:r>
    </w:p>
    <w:p w14:paraId="5AD08663" w14:textId="051E7617" w:rsidR="0000789A" w:rsidRDefault="004B3015" w:rsidP="00FE645A">
      <w:pPr>
        <w:pStyle w:val="Heading3"/>
        <w:rPr>
          <w:b w:val="0"/>
          <w:sz w:val="24"/>
          <w:szCs w:val="24"/>
        </w:rPr>
      </w:pPr>
      <w:r w:rsidRPr="00DA4708">
        <w:rPr>
          <w:b w:val="0"/>
          <w:sz w:val="24"/>
          <w:szCs w:val="24"/>
        </w:rPr>
        <w:t xml:space="preserve">The 12 month review of fingolimod, considered by DUSC in June 2013, was not able to derive the median length of time on this drug due to insufficient data. The preliminary data from this </w:t>
      </w:r>
      <w:r w:rsidR="00E76EAD">
        <w:rPr>
          <w:b w:val="0"/>
          <w:sz w:val="24"/>
          <w:szCs w:val="24"/>
        </w:rPr>
        <w:t xml:space="preserve">2013 </w:t>
      </w:r>
      <w:r w:rsidRPr="00DA4708">
        <w:rPr>
          <w:b w:val="0"/>
          <w:sz w:val="24"/>
          <w:szCs w:val="24"/>
        </w:rPr>
        <w:t xml:space="preserve">review indicated that the submission’s assumption that fingolimod would have the same discontinuation rates as other ABCR therapies (intramuscular interferon beta-1a, subcutaneous interferon beta-1a, interferon beta-1b and glatiramer acetate) may not </w:t>
      </w:r>
      <w:r w:rsidR="00267ED6">
        <w:rPr>
          <w:b w:val="0"/>
          <w:sz w:val="24"/>
          <w:szCs w:val="24"/>
        </w:rPr>
        <w:t xml:space="preserve">be </w:t>
      </w:r>
      <w:r w:rsidRPr="00DA4708">
        <w:rPr>
          <w:b w:val="0"/>
          <w:sz w:val="24"/>
          <w:szCs w:val="24"/>
        </w:rPr>
        <w:t>reasonable.  The median lengt</w:t>
      </w:r>
      <w:r w:rsidR="00E76EAD">
        <w:rPr>
          <w:b w:val="0"/>
          <w:sz w:val="24"/>
          <w:szCs w:val="24"/>
        </w:rPr>
        <w:t>h of treatment was examined in this report</w:t>
      </w:r>
      <w:r w:rsidRPr="00DA4708">
        <w:rPr>
          <w:b w:val="0"/>
          <w:sz w:val="24"/>
          <w:szCs w:val="24"/>
        </w:rPr>
        <w:t xml:space="preserve"> for ABCR therapy and fingolimod. A concern was also raised in the 2013 DUSC review about the potential coadministration of fingolimod with other RRMS therapies</w:t>
      </w:r>
      <w:r w:rsidR="008D568A" w:rsidRPr="00DA4708">
        <w:rPr>
          <w:b w:val="0"/>
          <w:sz w:val="24"/>
          <w:szCs w:val="24"/>
        </w:rPr>
        <w:t xml:space="preserve">. Coadministration among RRMS therapies was </w:t>
      </w:r>
      <w:r w:rsidRPr="00DA4708">
        <w:rPr>
          <w:b w:val="0"/>
          <w:sz w:val="24"/>
          <w:szCs w:val="24"/>
        </w:rPr>
        <w:t>examined as part of this report</w:t>
      </w:r>
      <w:r w:rsidR="0058087B">
        <w:rPr>
          <w:b w:val="0"/>
          <w:sz w:val="24"/>
          <w:szCs w:val="24"/>
        </w:rPr>
        <w:t>.</w:t>
      </w:r>
    </w:p>
    <w:p w14:paraId="46E2BB42" w14:textId="0CC07988" w:rsidR="00DF0B13" w:rsidRPr="0000789A" w:rsidRDefault="00DF0B13" w:rsidP="00FE645A">
      <w:pPr>
        <w:pStyle w:val="Heading3"/>
      </w:pPr>
      <w:r w:rsidRPr="0000789A">
        <w:t>PBS listing details</w:t>
      </w:r>
    </w:p>
    <w:p w14:paraId="04513243" w14:textId="40404120" w:rsidR="000F06A6" w:rsidRPr="00B7238C" w:rsidRDefault="00702322" w:rsidP="003A745D">
      <w:r>
        <w:t xml:space="preserve">A summary of </w:t>
      </w:r>
      <w:r w:rsidR="00541B17">
        <w:t xml:space="preserve">all </w:t>
      </w:r>
      <w:r>
        <w:t xml:space="preserve">current PBS listings for </w:t>
      </w:r>
      <w:r w:rsidR="0051312B">
        <w:t xml:space="preserve">relapsing remitting </w:t>
      </w:r>
      <w:r>
        <w:t xml:space="preserve">multiple sclerosis is provided at Appendix </w:t>
      </w:r>
      <w:r w:rsidR="00AC4095">
        <w:t>A</w:t>
      </w:r>
      <w:r>
        <w:t>. A chronology of listings</w:t>
      </w:r>
      <w:r w:rsidR="00541B17">
        <w:t xml:space="preserve"> for multiple sclerosis</w:t>
      </w:r>
      <w:r w:rsidR="00267ED6">
        <w:t xml:space="preserve"> is summarised in Appendix </w:t>
      </w:r>
      <w:r w:rsidR="00AC4095">
        <w:t>B</w:t>
      </w:r>
      <w:r w:rsidR="0051312B">
        <w:t>. The PBS maximum quantities for all of the medicines provide sufficient therapy for 28 days</w:t>
      </w:r>
      <w:r w:rsidR="00216927">
        <w:t>, except interferon beta-1b which provides for 30 days, and the 120mg strength</w:t>
      </w:r>
      <w:r w:rsidR="0058087B">
        <w:t xml:space="preserve"> of teriflunomide</w:t>
      </w:r>
      <w:r w:rsidR="00216927">
        <w:t xml:space="preserve"> which provides 7 days of treatment as a starting dose.</w:t>
      </w:r>
    </w:p>
    <w:p w14:paraId="59DBD2EE" w14:textId="7612EA95" w:rsidR="002640CA" w:rsidRDefault="00754F67" w:rsidP="00B0188D">
      <w:pPr>
        <w:pStyle w:val="Heading2"/>
        <w:spacing w:before="0"/>
      </w:pPr>
      <w:r>
        <w:t xml:space="preserve">Abridged </w:t>
      </w:r>
      <w:r w:rsidR="004C3186">
        <w:t>Restriction</w:t>
      </w:r>
      <w:r w:rsidR="003A745D">
        <w:t>s</w:t>
      </w:r>
      <w:r w:rsidR="00786354">
        <w:t xml:space="preserve"> for </w:t>
      </w:r>
      <w:r w:rsidR="00404483">
        <w:t>RRMS medicines</w:t>
      </w:r>
    </w:p>
    <w:p w14:paraId="6E81C47C" w14:textId="23065652" w:rsidR="00141D40" w:rsidRPr="00141D40" w:rsidRDefault="00C10074" w:rsidP="00246C6F">
      <w:pPr>
        <w:spacing w:after="0"/>
        <w:rPr>
          <w:rFonts w:cstheme="minorHAnsi"/>
        </w:rPr>
      </w:pPr>
      <w:r>
        <w:rPr>
          <w:rFonts w:cstheme="minorHAnsi"/>
        </w:rPr>
        <w:t>Natalizumab is listed as a</w:t>
      </w:r>
      <w:r w:rsidRPr="008A625D">
        <w:rPr>
          <w:rFonts w:cstheme="minorHAnsi"/>
        </w:rPr>
        <w:t xml:space="preserve"> Section 100</w:t>
      </w:r>
      <w:r>
        <w:rPr>
          <w:rFonts w:cstheme="minorHAnsi"/>
        </w:rPr>
        <w:t xml:space="preserve"> Highly Specialised Drug (HSD), as Authority Required for private hospital prescriptions and as Authority Required (STREAMLINED) for public </w:t>
      </w:r>
      <w:r>
        <w:rPr>
          <w:rFonts w:cstheme="minorHAnsi"/>
        </w:rPr>
        <w:lastRenderedPageBreak/>
        <w:t>hospital prescriptions</w:t>
      </w:r>
      <w:r>
        <w:t xml:space="preserve">. The other RRMS drugs are </w:t>
      </w:r>
      <w:r w:rsidR="00AB70E6">
        <w:rPr>
          <w:rFonts w:cstheme="minorHAnsi"/>
        </w:rPr>
        <w:t xml:space="preserve">Section 85 </w:t>
      </w:r>
      <w:r w:rsidR="00AB70E6" w:rsidRPr="008A625D">
        <w:rPr>
          <w:rFonts w:cstheme="minorHAnsi"/>
        </w:rPr>
        <w:t>Authority Required</w:t>
      </w:r>
      <w:r w:rsidR="00AB70E6">
        <w:rPr>
          <w:rFonts w:cstheme="minorHAnsi"/>
        </w:rPr>
        <w:t xml:space="preserve"> listings</w:t>
      </w:r>
      <w:r w:rsidR="00141D40">
        <w:rPr>
          <w:rFonts w:cstheme="minorHAnsi"/>
        </w:rPr>
        <w:t xml:space="preserve"> with separate authority codes for initial and continuing therapy.</w:t>
      </w:r>
      <w:r w:rsidR="00964DE3">
        <w:rPr>
          <w:rFonts w:cstheme="minorHAnsi"/>
        </w:rPr>
        <w:t xml:space="preserve"> </w:t>
      </w:r>
    </w:p>
    <w:p w14:paraId="765C8DD2" w14:textId="77777777" w:rsidR="00C10074" w:rsidRDefault="00C10074" w:rsidP="00246C6F">
      <w:pPr>
        <w:spacing w:after="0"/>
      </w:pPr>
    </w:p>
    <w:p w14:paraId="07F96816" w14:textId="77777777" w:rsidR="00451F5E" w:rsidRPr="008A625D" w:rsidRDefault="00451F5E" w:rsidP="0058087B">
      <w:pPr>
        <w:spacing w:after="0"/>
        <w:rPr>
          <w:rFonts w:cstheme="minorHAnsi"/>
        </w:rPr>
      </w:pPr>
      <w:r w:rsidRPr="008A625D">
        <w:rPr>
          <w:rFonts w:cstheme="minorHAnsi"/>
        </w:rPr>
        <w:t>All</w:t>
      </w:r>
      <w:r>
        <w:rPr>
          <w:rFonts w:cstheme="minorHAnsi"/>
        </w:rPr>
        <w:t xml:space="preserve"> current PBS </w:t>
      </w:r>
      <w:r w:rsidRPr="008A625D">
        <w:rPr>
          <w:rFonts w:cstheme="minorHAnsi"/>
        </w:rPr>
        <w:t>listings</w:t>
      </w:r>
      <w:r>
        <w:rPr>
          <w:rFonts w:cstheme="minorHAnsi"/>
        </w:rPr>
        <w:t xml:space="preserve"> for RRMS DMTs</w:t>
      </w:r>
      <w:r w:rsidRPr="008A625D">
        <w:rPr>
          <w:rFonts w:cstheme="minorHAnsi"/>
        </w:rPr>
        <w:t xml:space="preserve"> require:</w:t>
      </w:r>
    </w:p>
    <w:p w14:paraId="4E7CA015" w14:textId="22B80735" w:rsidR="00451F5E" w:rsidRDefault="00451F5E" w:rsidP="0058087B">
      <w:pPr>
        <w:pStyle w:val="ListParagraph"/>
        <w:numPr>
          <w:ilvl w:val="0"/>
          <w:numId w:val="27"/>
        </w:numPr>
        <w:spacing w:after="0"/>
        <w:rPr>
          <w:rFonts w:cstheme="minorHAnsi"/>
        </w:rPr>
      </w:pPr>
      <w:r>
        <w:rPr>
          <w:rFonts w:cstheme="minorHAnsi"/>
        </w:rPr>
        <w:t>at least two documented attacks of neurological dysfunction, believed to be due to the multiple sclerosis, in the preceding two years;</w:t>
      </w:r>
    </w:p>
    <w:p w14:paraId="24EFC1AC" w14:textId="5B9A5FBE" w:rsidR="00451F5E" w:rsidRDefault="00451F5E" w:rsidP="00451F5E">
      <w:pPr>
        <w:pStyle w:val="ListParagraph"/>
        <w:numPr>
          <w:ilvl w:val="0"/>
          <w:numId w:val="27"/>
        </w:numPr>
        <w:spacing w:after="0"/>
        <w:rPr>
          <w:rFonts w:cstheme="minorHAnsi"/>
        </w:rPr>
      </w:pPr>
      <w:r>
        <w:rPr>
          <w:rFonts w:cstheme="minorHAnsi"/>
        </w:rPr>
        <w:t xml:space="preserve">diagnosis confirmed by magnetic resonance imaging (MRI) of the brain and/or spinal cord and the date of the scan included in the authority application, unless the authority application is accompanied by written certification provided by a radiologist that an MRI scan is contraindicated because of the risk of physical (not psychological) injury to the patient; </w:t>
      </w:r>
    </w:p>
    <w:p w14:paraId="1E161BA6" w14:textId="6F28618F" w:rsidR="00451F5E" w:rsidRPr="003C449A" w:rsidRDefault="00451F5E" w:rsidP="009301BB">
      <w:pPr>
        <w:pStyle w:val="ListParagraph"/>
        <w:numPr>
          <w:ilvl w:val="0"/>
          <w:numId w:val="27"/>
        </w:numPr>
        <w:spacing w:after="0"/>
        <w:rPr>
          <w:rFonts w:cstheme="minorHAnsi"/>
        </w:rPr>
      </w:pPr>
      <w:r>
        <w:rPr>
          <w:rFonts w:cstheme="minorHAnsi"/>
        </w:rPr>
        <w:t>patients to be ambulatory, without assistance or support;</w:t>
      </w:r>
      <w:r w:rsidR="00836564">
        <w:rPr>
          <w:rFonts w:cstheme="minorHAnsi"/>
        </w:rPr>
        <w:t xml:space="preserve"> </w:t>
      </w:r>
      <w:r w:rsidRPr="009301BB">
        <w:rPr>
          <w:rFonts w:cstheme="minorHAnsi"/>
        </w:rPr>
        <w:t>and</w:t>
      </w:r>
    </w:p>
    <w:p w14:paraId="512F76DC" w14:textId="33ABAD2F" w:rsidR="00451F5E" w:rsidRDefault="00854489" w:rsidP="00451F5E">
      <w:pPr>
        <w:pStyle w:val="ListParagraph"/>
        <w:numPr>
          <w:ilvl w:val="0"/>
          <w:numId w:val="27"/>
        </w:numPr>
        <w:spacing w:after="0"/>
        <w:rPr>
          <w:rFonts w:cstheme="minorHAnsi"/>
        </w:rPr>
      </w:pPr>
      <w:r>
        <w:rPr>
          <w:rFonts w:cstheme="minorHAnsi"/>
        </w:rPr>
        <w:t xml:space="preserve">access to continuing treatment requires </w:t>
      </w:r>
      <w:r w:rsidR="00451F5E">
        <w:rPr>
          <w:rFonts w:cstheme="minorHAnsi"/>
        </w:rPr>
        <w:t>t</w:t>
      </w:r>
      <w:r w:rsidR="00451F5E" w:rsidRPr="008A625D">
        <w:rPr>
          <w:rFonts w:cstheme="minorHAnsi"/>
        </w:rPr>
        <w:t xml:space="preserve">hat the patient does not show continuing progression of disability while on treatment and has demonstrated compliance with, and an ability to tolerate, the therapy. </w:t>
      </w:r>
    </w:p>
    <w:p w14:paraId="299AF623" w14:textId="77777777" w:rsidR="00451F5E" w:rsidRDefault="00451F5E" w:rsidP="00246C6F">
      <w:pPr>
        <w:spacing w:after="0"/>
      </w:pPr>
    </w:p>
    <w:p w14:paraId="22DF578B" w14:textId="5C1FB898" w:rsidR="00271C18" w:rsidRDefault="00D0036A" w:rsidP="00246C6F">
      <w:pPr>
        <w:spacing w:after="0"/>
      </w:pPr>
      <w:r>
        <w:t>Unlike the other RRMS listings, t</w:t>
      </w:r>
      <w:r w:rsidR="002C5F4F">
        <w:t xml:space="preserve">he </w:t>
      </w:r>
      <w:r w:rsidR="001C180B">
        <w:t>S100 public and private restrictions for natalizumab</w:t>
      </w:r>
      <w:r w:rsidR="00271C18">
        <w:t>:</w:t>
      </w:r>
    </w:p>
    <w:p w14:paraId="19B9C4C0" w14:textId="5675318B" w:rsidR="00271C18" w:rsidRDefault="00D0036A" w:rsidP="00271C18">
      <w:pPr>
        <w:pStyle w:val="ListParagraph"/>
        <w:numPr>
          <w:ilvl w:val="0"/>
          <w:numId w:val="28"/>
        </w:numPr>
        <w:spacing w:after="0"/>
      </w:pPr>
      <w:r>
        <w:t>stipulate that it must be prescribed by a neurologist</w:t>
      </w:r>
      <w:r w:rsidR="00271C18">
        <w:t>;</w:t>
      </w:r>
      <w:r>
        <w:t xml:space="preserve"> </w:t>
      </w:r>
    </w:p>
    <w:p w14:paraId="4BA1F64C" w14:textId="6BFE680D" w:rsidR="00271C18" w:rsidRDefault="00271C18" w:rsidP="00271C18">
      <w:pPr>
        <w:pStyle w:val="ListParagraph"/>
        <w:numPr>
          <w:ilvl w:val="0"/>
          <w:numId w:val="28"/>
        </w:numPr>
        <w:spacing w:after="0"/>
      </w:pPr>
      <w:r>
        <w:t xml:space="preserve">state </w:t>
      </w:r>
      <w:r w:rsidR="00D0036A">
        <w:t>that patients must be 18 years of age or older</w:t>
      </w:r>
      <w:r>
        <w:t>; and</w:t>
      </w:r>
    </w:p>
    <w:p w14:paraId="38E17402" w14:textId="6556F4BA" w:rsidR="00451F5E" w:rsidRDefault="00271C18" w:rsidP="00271C18">
      <w:pPr>
        <w:pStyle w:val="ListParagraph"/>
        <w:numPr>
          <w:ilvl w:val="0"/>
          <w:numId w:val="28"/>
        </w:numPr>
        <w:spacing w:after="0"/>
      </w:pPr>
      <w:r>
        <w:t xml:space="preserve">do not include a statement that </w:t>
      </w:r>
      <w:r w:rsidRPr="00271C18">
        <w:rPr>
          <w:rFonts w:cstheme="minorHAnsi"/>
        </w:rPr>
        <w:t>authorities will be limited to the maximum quantity and number of repeats indicated in the schedule which is included in all other RRMS listings</w:t>
      </w:r>
      <w:r w:rsidR="00F305C4">
        <w:rPr>
          <w:rFonts w:cstheme="minorHAnsi"/>
        </w:rPr>
        <w:t>.</w:t>
      </w:r>
    </w:p>
    <w:p w14:paraId="5882C888" w14:textId="77777777" w:rsidR="00617990" w:rsidRDefault="00617990" w:rsidP="00724EB6">
      <w:pPr>
        <w:autoSpaceDE w:val="0"/>
        <w:autoSpaceDN w:val="0"/>
        <w:adjustRightInd w:val="0"/>
        <w:spacing w:after="0"/>
      </w:pPr>
    </w:p>
    <w:p w14:paraId="2AE838C8" w14:textId="77777777" w:rsidR="00AB14FC" w:rsidRDefault="00263A6A" w:rsidP="00724EB6">
      <w:pPr>
        <w:autoSpaceDE w:val="0"/>
        <w:autoSpaceDN w:val="0"/>
        <w:adjustRightInd w:val="0"/>
        <w:spacing w:after="0"/>
      </w:pPr>
      <w:r w:rsidRPr="00263A6A">
        <w:t>The full version of the restriction</w:t>
      </w:r>
      <w:r w:rsidR="00860B2E">
        <w:t>s</w:t>
      </w:r>
      <w:r w:rsidRPr="00263A6A">
        <w:t xml:space="preserve"> </w:t>
      </w:r>
      <w:r>
        <w:t xml:space="preserve">for </w:t>
      </w:r>
      <w:r w:rsidR="00617990">
        <w:t>RRMS medicines</w:t>
      </w:r>
      <w:r w:rsidR="00860B2E">
        <w:t xml:space="preserve"> are available </w:t>
      </w:r>
      <w:r w:rsidRPr="00263A6A">
        <w:t>from the PBS website at</w:t>
      </w:r>
      <w:r w:rsidR="00AB14FC">
        <w:t xml:space="preserve"> the following addresses:</w:t>
      </w:r>
    </w:p>
    <w:p w14:paraId="14300B1E" w14:textId="3FA98524" w:rsidR="00AB14FC" w:rsidRDefault="00AB14FC" w:rsidP="00724EB6">
      <w:pPr>
        <w:autoSpaceDE w:val="0"/>
        <w:autoSpaceDN w:val="0"/>
        <w:adjustRightInd w:val="0"/>
        <w:spacing w:after="0"/>
      </w:pPr>
      <w:r w:rsidRPr="00B0188D">
        <w:rPr>
          <w:u w:val="single"/>
        </w:rPr>
        <w:t>Alemtuzumab</w:t>
      </w:r>
      <w:r w:rsidR="00273BB1">
        <w:t xml:space="preserve"> - </w:t>
      </w:r>
      <w:r w:rsidR="000465B0">
        <w:t xml:space="preserve"> </w:t>
      </w:r>
      <w:r w:rsidR="000465B0" w:rsidRPr="000465B0">
        <w:t>http://www.pbs.gov.au/medicine/item/10228H-10232M-10243D-10246G</w:t>
      </w:r>
    </w:p>
    <w:p w14:paraId="12272BD5" w14:textId="65658F9E" w:rsidR="00AB14FC" w:rsidRDefault="00AB14FC" w:rsidP="00724EB6">
      <w:pPr>
        <w:autoSpaceDE w:val="0"/>
        <w:autoSpaceDN w:val="0"/>
        <w:adjustRightInd w:val="0"/>
        <w:spacing w:after="0"/>
      </w:pPr>
      <w:r w:rsidRPr="00B0188D">
        <w:rPr>
          <w:u w:val="single"/>
        </w:rPr>
        <w:t>Dimethyl fumarate</w:t>
      </w:r>
      <w:r w:rsidR="00273BB1">
        <w:t xml:space="preserve"> - </w:t>
      </w:r>
      <w:r w:rsidR="000465B0">
        <w:t xml:space="preserve"> </w:t>
      </w:r>
      <w:r w:rsidR="000465B0" w:rsidRPr="000465B0">
        <w:t>http://www.pbs.gov.au/medicine/item/2896K-2943X-2966D</w:t>
      </w:r>
    </w:p>
    <w:p w14:paraId="276E1CB9" w14:textId="04437C90" w:rsidR="00AB14FC" w:rsidRDefault="00AB14FC" w:rsidP="00724EB6">
      <w:pPr>
        <w:autoSpaceDE w:val="0"/>
        <w:autoSpaceDN w:val="0"/>
        <w:adjustRightInd w:val="0"/>
        <w:spacing w:after="0"/>
      </w:pPr>
      <w:r w:rsidRPr="00B0188D">
        <w:rPr>
          <w:u w:val="single"/>
        </w:rPr>
        <w:t>Fingolimod</w:t>
      </w:r>
      <w:r w:rsidR="00273BB1">
        <w:t xml:space="preserve"> - </w:t>
      </w:r>
      <w:r w:rsidR="000465B0">
        <w:t xml:space="preserve"> </w:t>
      </w:r>
      <w:r w:rsidR="000465B0" w:rsidRPr="000465B0">
        <w:t>http://www.pbs.gov.au/medicine/item/5262Y</w:t>
      </w:r>
    </w:p>
    <w:p w14:paraId="7597D3CD" w14:textId="2C0E63D3" w:rsidR="00AB14FC" w:rsidRDefault="00AB14FC" w:rsidP="00724EB6">
      <w:pPr>
        <w:autoSpaceDE w:val="0"/>
        <w:autoSpaceDN w:val="0"/>
        <w:adjustRightInd w:val="0"/>
        <w:spacing w:after="0"/>
      </w:pPr>
      <w:r w:rsidRPr="00B0188D">
        <w:rPr>
          <w:u w:val="single"/>
        </w:rPr>
        <w:t>Glatiramer acetate</w:t>
      </w:r>
      <w:r w:rsidR="00273BB1">
        <w:t xml:space="preserve"> - </w:t>
      </w:r>
      <w:r w:rsidR="000465B0">
        <w:t xml:space="preserve"> </w:t>
      </w:r>
      <w:r w:rsidR="000465B0" w:rsidRPr="000465B0">
        <w:t>http://www.pbs.gov.au/medicine/item/10416F-8726G</w:t>
      </w:r>
    </w:p>
    <w:p w14:paraId="27883A56" w14:textId="3F186261" w:rsidR="00AB14FC" w:rsidRDefault="00AB14FC" w:rsidP="00724EB6">
      <w:pPr>
        <w:autoSpaceDE w:val="0"/>
        <w:autoSpaceDN w:val="0"/>
        <w:adjustRightInd w:val="0"/>
        <w:spacing w:after="0"/>
      </w:pPr>
      <w:r w:rsidRPr="00B0188D">
        <w:rPr>
          <w:u w:val="single"/>
        </w:rPr>
        <w:t>Interferon beta-1a</w:t>
      </w:r>
      <w:r w:rsidR="00273BB1">
        <w:t xml:space="preserve"> - </w:t>
      </w:r>
      <w:r w:rsidR="000465B0">
        <w:t xml:space="preserve"> </w:t>
      </w:r>
      <w:r w:rsidR="000465B0" w:rsidRPr="000465B0">
        <w:t>http://www.pbs.gov.au/medicine/item/8289G-8403G-8805K-8968B-9332E</w:t>
      </w:r>
    </w:p>
    <w:p w14:paraId="26BE12A3" w14:textId="2582FD14" w:rsidR="00AB14FC" w:rsidRDefault="00AB14FC" w:rsidP="00724EB6">
      <w:pPr>
        <w:autoSpaceDE w:val="0"/>
        <w:autoSpaceDN w:val="0"/>
        <w:adjustRightInd w:val="0"/>
        <w:spacing w:after="0"/>
      </w:pPr>
      <w:r w:rsidRPr="00B0188D">
        <w:rPr>
          <w:u w:val="single"/>
        </w:rPr>
        <w:t>Interferion beta-1b</w:t>
      </w:r>
      <w:r w:rsidR="00273BB1">
        <w:t xml:space="preserve"> - </w:t>
      </w:r>
      <w:r w:rsidR="000465B0">
        <w:t xml:space="preserve"> </w:t>
      </w:r>
      <w:r w:rsidR="000465B0" w:rsidRPr="000465B0">
        <w:t>http://www.pbs.gov.au/medicine/item/8101J</w:t>
      </w:r>
    </w:p>
    <w:p w14:paraId="6F1A5843" w14:textId="4EBE3E81" w:rsidR="00AB14FC" w:rsidRDefault="00AB14FC" w:rsidP="00724EB6">
      <w:pPr>
        <w:autoSpaceDE w:val="0"/>
        <w:autoSpaceDN w:val="0"/>
        <w:adjustRightInd w:val="0"/>
        <w:spacing w:after="0"/>
      </w:pPr>
      <w:r w:rsidRPr="00B0188D">
        <w:rPr>
          <w:u w:val="single"/>
        </w:rPr>
        <w:t>Natalizumab</w:t>
      </w:r>
      <w:r w:rsidR="000465B0">
        <w:t xml:space="preserve"> </w:t>
      </w:r>
      <w:r w:rsidR="00B0188D">
        <w:t xml:space="preserve">- </w:t>
      </w:r>
      <w:r w:rsidR="000465B0" w:rsidRPr="000465B0">
        <w:t>http://www.pbs.gov.au/medicine/item/9505G-9624M</w:t>
      </w:r>
    </w:p>
    <w:p w14:paraId="686FBF42" w14:textId="498C4CAF" w:rsidR="00AB14FC" w:rsidRDefault="00AB14FC" w:rsidP="00724EB6">
      <w:pPr>
        <w:autoSpaceDE w:val="0"/>
        <w:autoSpaceDN w:val="0"/>
        <w:adjustRightInd w:val="0"/>
        <w:spacing w:after="0"/>
      </w:pPr>
      <w:r w:rsidRPr="00B0188D">
        <w:rPr>
          <w:u w:val="single"/>
        </w:rPr>
        <w:t>Peginterferon beta-1a</w:t>
      </w:r>
      <w:r w:rsidR="00515A22">
        <w:t xml:space="preserve"> - </w:t>
      </w:r>
      <w:r w:rsidR="00515A22" w:rsidRPr="00515A22">
        <w:t>http://www.pbs.gov.au/medicine/item/10212L-10218T-10220X</w:t>
      </w:r>
    </w:p>
    <w:p w14:paraId="5073ACC2" w14:textId="5AF740C3" w:rsidR="00AB14FC" w:rsidRDefault="00AB14FC" w:rsidP="00724EB6">
      <w:pPr>
        <w:autoSpaceDE w:val="0"/>
        <w:autoSpaceDN w:val="0"/>
        <w:adjustRightInd w:val="0"/>
        <w:spacing w:after="0"/>
      </w:pPr>
      <w:r w:rsidRPr="00B0188D">
        <w:rPr>
          <w:u w:val="single"/>
        </w:rPr>
        <w:t>Teriflunomide</w:t>
      </w:r>
      <w:r w:rsidR="00515A22">
        <w:t xml:space="preserve"> - </w:t>
      </w:r>
      <w:r w:rsidR="00515A22" w:rsidRPr="00515A22">
        <w:t>http://www.pbs.gov.au/medicine/item/2898M</w:t>
      </w:r>
    </w:p>
    <w:p w14:paraId="7CE42067" w14:textId="77777777" w:rsidR="00BB224C" w:rsidRDefault="00BB224C" w:rsidP="00724EB6">
      <w:pPr>
        <w:autoSpaceDE w:val="0"/>
        <w:autoSpaceDN w:val="0"/>
        <w:adjustRightInd w:val="0"/>
        <w:spacing w:after="0"/>
      </w:pPr>
    </w:p>
    <w:p w14:paraId="787ED857" w14:textId="360DC8F0" w:rsidR="00E0586A" w:rsidRPr="00F305C4" w:rsidRDefault="00CD1AFA" w:rsidP="00860B2E">
      <w:pPr>
        <w:spacing w:after="0"/>
        <w:rPr>
          <w:rFonts w:cstheme="minorHAnsi"/>
          <w:color w:val="000000" w:themeColor="text1"/>
        </w:rPr>
      </w:pPr>
      <w:r>
        <w:rPr>
          <w:rFonts w:cstheme="minorHAnsi"/>
        </w:rPr>
        <w:t>The RRMS items have been included in a post-market review of Authority Required PBS listings which is being conducted by the Department of Health.</w:t>
      </w:r>
      <w:r w:rsidR="00F305C4">
        <w:rPr>
          <w:rFonts w:cstheme="minorHAnsi"/>
        </w:rPr>
        <w:t xml:space="preserve"> Further details about this review are available on the PBS website at the following address: </w:t>
      </w:r>
      <w:hyperlink r:id="rId9" w:history="1">
        <w:r w:rsidR="00F305C4" w:rsidRPr="00F305C4">
          <w:rPr>
            <w:rStyle w:val="Hyperlink"/>
            <w:rFonts w:cstheme="minorHAnsi"/>
            <w:color w:val="000000" w:themeColor="text1"/>
          </w:rPr>
          <w:t>http://www.pbs.gov.au/info/reviews/authority-required-listings</w:t>
        </w:r>
      </w:hyperlink>
    </w:p>
    <w:p w14:paraId="04973EAF" w14:textId="77777777" w:rsidR="00CD1AFA" w:rsidRDefault="00CD1AFA" w:rsidP="00860B2E">
      <w:pPr>
        <w:spacing w:after="0"/>
      </w:pPr>
    </w:p>
    <w:p w14:paraId="4C4EAA88" w14:textId="77777777" w:rsidR="00482342" w:rsidRDefault="00482342" w:rsidP="00860B2E">
      <w:pPr>
        <w:pStyle w:val="Heading3"/>
        <w:spacing w:before="0" w:after="0"/>
      </w:pPr>
    </w:p>
    <w:p w14:paraId="00F0FCA6" w14:textId="77777777" w:rsidR="00482342" w:rsidRDefault="00482342" w:rsidP="00860B2E">
      <w:pPr>
        <w:pStyle w:val="Heading3"/>
        <w:spacing w:before="0" w:after="0"/>
      </w:pPr>
    </w:p>
    <w:p w14:paraId="38192C98" w14:textId="77777777" w:rsidR="00482342" w:rsidRDefault="00482342" w:rsidP="00860B2E">
      <w:pPr>
        <w:pStyle w:val="Heading3"/>
        <w:spacing w:before="0" w:after="0"/>
      </w:pPr>
    </w:p>
    <w:p w14:paraId="38D09737" w14:textId="77777777" w:rsidR="00482342" w:rsidRDefault="00482342" w:rsidP="00860B2E">
      <w:pPr>
        <w:pStyle w:val="Heading3"/>
        <w:spacing w:before="0" w:after="0"/>
      </w:pPr>
    </w:p>
    <w:p w14:paraId="383E312E" w14:textId="3B96106B" w:rsidR="00736041" w:rsidRPr="005E22C2" w:rsidRDefault="00C41246" w:rsidP="00860B2E">
      <w:pPr>
        <w:pStyle w:val="Heading3"/>
        <w:spacing w:before="0" w:after="0"/>
      </w:pPr>
      <w:r w:rsidRPr="005E22C2">
        <w:lastRenderedPageBreak/>
        <w:t xml:space="preserve">Relevant aspects of </w:t>
      </w:r>
      <w:r w:rsidR="00736041" w:rsidRPr="005E22C2">
        <w:t>PBAC consideration</w:t>
      </w:r>
      <w:r w:rsidR="00212D97">
        <w:t xml:space="preserve"> of oral RRMS therapy</w:t>
      </w:r>
    </w:p>
    <w:p w14:paraId="15402D5C" w14:textId="77777777" w:rsidR="00471A7D" w:rsidRDefault="00471A7D" w:rsidP="00860B2E">
      <w:pPr>
        <w:pStyle w:val="Heading2"/>
        <w:spacing w:before="0" w:after="0"/>
      </w:pPr>
    </w:p>
    <w:p w14:paraId="552AB9FF" w14:textId="3AD760B6" w:rsidR="003E0414" w:rsidRDefault="00C63A8C" w:rsidP="003E0414">
      <w:pPr>
        <w:pStyle w:val="Heading2"/>
        <w:spacing w:before="0"/>
      </w:pPr>
      <w:r>
        <w:t>D</w:t>
      </w:r>
      <w:r w:rsidR="00C35766">
        <w:t>imethyl fum</w:t>
      </w:r>
      <w:r w:rsidR="00CF5621">
        <w:t>a</w:t>
      </w:r>
      <w:r>
        <w:t>rate</w:t>
      </w:r>
    </w:p>
    <w:p w14:paraId="24377023" w14:textId="54760CE7" w:rsidR="003304B1" w:rsidRPr="00482342" w:rsidRDefault="00F83CF8" w:rsidP="00482342">
      <w:pPr>
        <w:spacing w:line="300" w:lineRule="atLeast"/>
        <w:rPr>
          <w:rFonts w:ascii="Arial" w:eastAsia="Times New Roman" w:hAnsi="Arial" w:cs="Arial"/>
          <w:color w:val="222222"/>
          <w:sz w:val="20"/>
          <w:szCs w:val="20"/>
        </w:rPr>
      </w:pPr>
      <w:r w:rsidRPr="00F83CF8">
        <w:rPr>
          <w:rFonts w:eastAsia="Calibri" w:cs="Arial"/>
          <w:szCs w:val="20"/>
        </w:rPr>
        <w:t xml:space="preserve">The PBAC </w:t>
      </w:r>
      <w:r w:rsidRPr="0020522B">
        <w:rPr>
          <w:rFonts w:eastAsia="Calibri" w:cs="Arial"/>
          <w:szCs w:val="20"/>
        </w:rPr>
        <w:t xml:space="preserve">(July 2013) </w:t>
      </w:r>
      <w:r w:rsidR="0051318F">
        <w:rPr>
          <w:rFonts w:eastAsia="Calibri" w:cs="Arial"/>
          <w:szCs w:val="20"/>
        </w:rPr>
        <w:t>recommended the listing of dimethyl fumarate on a cost-minimisation basis to ABCR therapies</w:t>
      </w:r>
      <w:r w:rsidR="00F2474F">
        <w:rPr>
          <w:rFonts w:eastAsia="Calibri" w:cs="Arial"/>
          <w:szCs w:val="20"/>
        </w:rPr>
        <w:t>.</w:t>
      </w:r>
      <w:r w:rsidR="00836564">
        <w:rPr>
          <w:rStyle w:val="FootnoteReference"/>
          <w:rFonts w:eastAsia="Calibri" w:cs="Arial"/>
          <w:szCs w:val="20"/>
        </w:rPr>
        <w:footnoteReference w:id="3"/>
      </w:r>
      <w:r w:rsidR="00482342">
        <w:rPr>
          <w:rFonts w:eastAsia="Calibri" w:cs="Arial"/>
          <w:szCs w:val="20"/>
        </w:rPr>
        <w:t xml:space="preserve"> </w:t>
      </w:r>
      <w:r w:rsidR="006B17D1">
        <w:rPr>
          <w:rFonts w:eastAsia="Calibri" w:cs="Arial"/>
          <w:szCs w:val="20"/>
        </w:rPr>
        <w:t xml:space="preserve">The PBAC considered that the submission had underestimated the utilisation of dimethyl fumarate and noted that a re-estimation of the prescriptions and costs should be based on the revised growth rates for fingolimod </w:t>
      </w:r>
      <w:r w:rsidR="00D373FE">
        <w:rPr>
          <w:rFonts w:eastAsia="Calibri" w:cs="Arial"/>
          <w:szCs w:val="20"/>
        </w:rPr>
        <w:t>as recommended in the evaluation</w:t>
      </w:r>
      <w:r w:rsidR="00F2474F">
        <w:rPr>
          <w:rFonts w:eastAsia="Calibri" w:cs="Arial"/>
          <w:szCs w:val="20"/>
        </w:rPr>
        <w:t>.</w:t>
      </w:r>
      <w:r w:rsidR="00E90885" w:rsidRPr="00E90885">
        <w:rPr>
          <w:rFonts w:eastAsia="Calibri" w:cs="Arial"/>
          <w:szCs w:val="20"/>
          <w:vertAlign w:val="superscript"/>
        </w:rPr>
        <w:t>3</w:t>
      </w:r>
      <w:r w:rsidR="00D373FE">
        <w:rPr>
          <w:rFonts w:eastAsia="Calibri" w:cs="Arial"/>
          <w:szCs w:val="20"/>
        </w:rPr>
        <w:t xml:space="preserve"> </w:t>
      </w:r>
      <w:r w:rsidR="006B17D1">
        <w:rPr>
          <w:rFonts w:eastAsia="Calibri" w:cs="Arial"/>
          <w:szCs w:val="20"/>
        </w:rPr>
        <w:t xml:space="preserve"> </w:t>
      </w:r>
      <w:r w:rsidR="00B8532D">
        <w:rPr>
          <w:rFonts w:eastAsia="Calibri" w:cs="Arial"/>
          <w:szCs w:val="20"/>
        </w:rPr>
        <w:t>The PBAC considered that as fingolimod is more expensive than ABCR therapy, the extent of substitution of fingolimod could have substantia</w:t>
      </w:r>
      <w:r w:rsidR="00044D53">
        <w:rPr>
          <w:rFonts w:eastAsia="Calibri" w:cs="Arial"/>
          <w:szCs w:val="20"/>
        </w:rPr>
        <w:t>l cost implications for the PBS</w:t>
      </w:r>
      <w:r w:rsidR="00B8532D">
        <w:rPr>
          <w:rFonts w:eastAsia="Calibri" w:cs="Arial"/>
          <w:szCs w:val="20"/>
        </w:rPr>
        <w:t>. The PBAC noted the submission’s estimates for the substitu</w:t>
      </w:r>
      <w:r w:rsidR="00C219AF">
        <w:rPr>
          <w:rFonts w:eastAsia="Calibri" w:cs="Arial"/>
          <w:szCs w:val="20"/>
        </w:rPr>
        <w:t xml:space="preserve">tion of existing listings of </w:t>
      </w:r>
      <w:r w:rsidR="00C219AF" w:rsidRPr="00C219AF">
        <w:rPr>
          <w:rFonts w:eastAsia="Calibri" w:cs="Arial"/>
          <w:szCs w:val="20"/>
          <w:highlight w:val="black"/>
        </w:rPr>
        <w:t>XXX</w:t>
      </w:r>
      <w:r w:rsidR="00B8532D">
        <w:rPr>
          <w:rFonts w:eastAsia="Calibri" w:cs="Arial"/>
          <w:szCs w:val="20"/>
        </w:rPr>
        <w:t xml:space="preserve"> of ABCR </w:t>
      </w:r>
      <w:r w:rsidR="00044D53">
        <w:rPr>
          <w:rFonts w:eastAsia="Calibri" w:cs="Arial"/>
          <w:szCs w:val="20"/>
        </w:rPr>
        <w:t xml:space="preserve">therapy </w:t>
      </w:r>
      <w:r w:rsidR="00C219AF">
        <w:rPr>
          <w:rFonts w:eastAsia="Calibri" w:cs="Arial"/>
          <w:szCs w:val="20"/>
        </w:rPr>
        <w:t xml:space="preserve">and </w:t>
      </w:r>
      <w:r w:rsidR="00C219AF" w:rsidRPr="00C219AF">
        <w:rPr>
          <w:rFonts w:eastAsia="Calibri" w:cs="Arial"/>
          <w:szCs w:val="20"/>
          <w:highlight w:val="black"/>
        </w:rPr>
        <w:t>XXX</w:t>
      </w:r>
      <w:r w:rsidR="00B8532D">
        <w:rPr>
          <w:rFonts w:eastAsia="Calibri" w:cs="Arial"/>
          <w:szCs w:val="20"/>
        </w:rPr>
        <w:t xml:space="preserve"> of fingolimod</w:t>
      </w:r>
      <w:r w:rsidR="00F2474F">
        <w:rPr>
          <w:rFonts w:eastAsia="Calibri" w:cs="Arial"/>
          <w:szCs w:val="20"/>
        </w:rPr>
        <w:t>.</w:t>
      </w:r>
      <w:r w:rsidR="00836564" w:rsidRPr="00836564">
        <w:rPr>
          <w:rFonts w:eastAsia="Calibri" w:cs="Arial"/>
          <w:szCs w:val="20"/>
          <w:vertAlign w:val="superscript"/>
        </w:rPr>
        <w:t>3</w:t>
      </w:r>
    </w:p>
    <w:p w14:paraId="7814F60D" w14:textId="3B3F7895" w:rsidR="005A3ED9" w:rsidRDefault="00471A7D" w:rsidP="005A3ED9">
      <w:pPr>
        <w:pStyle w:val="Heading2"/>
        <w:spacing w:before="0"/>
      </w:pPr>
      <w:r>
        <w:t>Teriflunomide</w:t>
      </w:r>
    </w:p>
    <w:p w14:paraId="48C1CA82" w14:textId="020F5EA0" w:rsidR="006E2241" w:rsidRPr="006E2241" w:rsidRDefault="006E2241" w:rsidP="004458F8">
      <w:pPr>
        <w:spacing w:line="300" w:lineRule="atLeast"/>
        <w:rPr>
          <w:rFonts w:cstheme="minorHAnsi"/>
        </w:rPr>
      </w:pPr>
      <w:r w:rsidRPr="006E2241">
        <w:rPr>
          <w:rFonts w:cstheme="minorHAnsi"/>
        </w:rPr>
        <w:t xml:space="preserve">The </w:t>
      </w:r>
      <w:r>
        <w:rPr>
          <w:rFonts w:cstheme="minorHAnsi"/>
        </w:rPr>
        <w:t xml:space="preserve">PBAC (November 2012) rejected the initial </w:t>
      </w:r>
      <w:r w:rsidRPr="006E2241">
        <w:rPr>
          <w:rFonts w:cstheme="minorHAnsi"/>
        </w:rPr>
        <w:t xml:space="preserve">submission </w:t>
      </w:r>
      <w:r>
        <w:rPr>
          <w:rFonts w:cstheme="minorHAnsi"/>
        </w:rPr>
        <w:t>for teriflunomide seeking</w:t>
      </w:r>
      <w:r w:rsidRPr="006E2241">
        <w:rPr>
          <w:rFonts w:cstheme="minorHAnsi"/>
        </w:rPr>
        <w:t xml:space="preserve"> an Authority Required listing for the initial and continuing treatment of clinically definite relapsing-remitting multiple sclerosis </w:t>
      </w:r>
      <w:r w:rsidR="00461AB5" w:rsidRPr="004458F8">
        <w:rPr>
          <w:rFonts w:cstheme="minorHAnsi"/>
        </w:rPr>
        <w:t xml:space="preserve">(RRMS) </w:t>
      </w:r>
      <w:r w:rsidRPr="006E2241">
        <w:rPr>
          <w:rFonts w:cstheme="minorHAnsi"/>
        </w:rPr>
        <w:t>in ambulatory patients</w:t>
      </w:r>
      <w:r>
        <w:rPr>
          <w:rFonts w:cstheme="minorHAnsi"/>
        </w:rPr>
        <w:t xml:space="preserve">. </w:t>
      </w:r>
      <w:r w:rsidR="00B34553">
        <w:rPr>
          <w:rFonts w:cstheme="minorHAnsi"/>
        </w:rPr>
        <w:t xml:space="preserve"> In its recommendation, the PBAC </w:t>
      </w:r>
      <w:r w:rsidR="001E4096">
        <w:rPr>
          <w:rFonts w:cstheme="minorHAnsi"/>
        </w:rPr>
        <w:t xml:space="preserve">raised the following </w:t>
      </w:r>
      <w:r w:rsidR="000F3A51">
        <w:rPr>
          <w:rFonts w:cstheme="minorHAnsi"/>
        </w:rPr>
        <w:t xml:space="preserve">main </w:t>
      </w:r>
      <w:r w:rsidR="001E4096">
        <w:rPr>
          <w:rFonts w:cstheme="minorHAnsi"/>
        </w:rPr>
        <w:t xml:space="preserve">concerns with the submission’s approach to estimating the utilisation of teriflunomide: </w:t>
      </w:r>
      <w:r w:rsidR="0021145D">
        <w:rPr>
          <w:rFonts w:cstheme="minorHAnsi"/>
        </w:rPr>
        <w:t xml:space="preserve">the exclusion of fingolimod and glatiramer from the uptake assumptions; </w:t>
      </w:r>
      <w:r w:rsidR="000F3A51">
        <w:rPr>
          <w:rFonts w:cstheme="minorHAnsi"/>
        </w:rPr>
        <w:t>and the assumption of</w:t>
      </w:r>
      <w:r w:rsidR="0021145D">
        <w:rPr>
          <w:rFonts w:cstheme="minorHAnsi"/>
        </w:rPr>
        <w:t xml:space="preserve"> full compliance when interferon </w:t>
      </w:r>
      <w:r w:rsidR="00F62D58">
        <w:rPr>
          <w:rFonts w:cstheme="minorHAnsi"/>
        </w:rPr>
        <w:t>therapy is associated with a substantial number of discontinuations</w:t>
      </w:r>
      <w:r w:rsidR="000F1EC8">
        <w:rPr>
          <w:rFonts w:cstheme="minorHAnsi"/>
        </w:rPr>
        <w:t>.</w:t>
      </w:r>
      <w:r w:rsidR="000F1EC8">
        <w:rPr>
          <w:rStyle w:val="FootnoteReference"/>
          <w:rFonts w:cstheme="minorHAnsi"/>
        </w:rPr>
        <w:footnoteReference w:id="4"/>
      </w:r>
    </w:p>
    <w:p w14:paraId="0D25FD05" w14:textId="043A241E" w:rsidR="00E91558" w:rsidRPr="00631DA3" w:rsidRDefault="004458F8" w:rsidP="009F44B2">
      <w:pPr>
        <w:spacing w:line="300" w:lineRule="atLeast"/>
        <w:rPr>
          <w:rFonts w:ascii="Arial" w:hAnsi="Arial" w:cs="Arial"/>
          <w:color w:val="222222"/>
          <w:sz w:val="20"/>
          <w:szCs w:val="20"/>
        </w:rPr>
      </w:pPr>
      <w:r w:rsidRPr="004458F8">
        <w:rPr>
          <w:rFonts w:cstheme="minorHAnsi"/>
        </w:rPr>
        <w:t xml:space="preserve">The PBAC (July 2013) recommended teriflunomide </w:t>
      </w:r>
      <w:r w:rsidR="005C3759">
        <w:rPr>
          <w:rFonts w:cstheme="minorHAnsi"/>
        </w:rPr>
        <w:t>as an Authority R</w:t>
      </w:r>
      <w:r w:rsidRPr="004458F8">
        <w:rPr>
          <w:rFonts w:cstheme="minorHAnsi"/>
        </w:rPr>
        <w:t xml:space="preserve">equired listing for the initial and continuing treatment of </w:t>
      </w:r>
      <w:r w:rsidR="00F65F6E">
        <w:rPr>
          <w:rFonts w:cstheme="minorHAnsi"/>
        </w:rPr>
        <w:t>RRMS</w:t>
      </w:r>
      <w:r w:rsidRPr="004458F8">
        <w:rPr>
          <w:rFonts w:cstheme="minorHAnsi"/>
        </w:rPr>
        <w:t xml:space="preserve"> in ambulatory patients who meet certain criteria on a cost minimisation basis to interferon β-1a and interferon β-1b</w:t>
      </w:r>
      <w:r w:rsidR="00CA3425">
        <w:rPr>
          <w:rFonts w:cstheme="minorHAnsi"/>
        </w:rPr>
        <w:t>.</w:t>
      </w:r>
      <w:r w:rsidR="00CA3425">
        <w:rPr>
          <w:rFonts w:cstheme="minorHAnsi"/>
          <w:vertAlign w:val="superscript"/>
        </w:rPr>
        <w:t>5</w:t>
      </w:r>
      <w:r w:rsidRPr="004458F8">
        <w:rPr>
          <w:rFonts w:cstheme="minorHAnsi"/>
        </w:rPr>
        <w:t xml:space="preserve"> </w:t>
      </w:r>
      <w:r w:rsidR="00621535">
        <w:rPr>
          <w:rFonts w:cstheme="minorHAnsi"/>
        </w:rPr>
        <w:t xml:space="preserve">The PBAC </w:t>
      </w:r>
      <w:r w:rsidR="008F350B">
        <w:rPr>
          <w:rFonts w:cstheme="minorHAnsi"/>
        </w:rPr>
        <w:t>noted</w:t>
      </w:r>
      <w:r w:rsidR="00621535">
        <w:rPr>
          <w:rFonts w:cstheme="minorHAnsi"/>
        </w:rPr>
        <w:t xml:space="preserve"> that there was the potential for teriflunomide to be cost saving if it substituted for fingolimod or natalizimab which were more expensive than the submission’s proposed price for teriflunomide.</w:t>
      </w:r>
      <w:r w:rsidR="003747BA">
        <w:rPr>
          <w:rFonts w:cstheme="minorHAnsi"/>
        </w:rPr>
        <w:t xml:space="preserve"> However,</w:t>
      </w:r>
      <w:r w:rsidR="00621535">
        <w:rPr>
          <w:rFonts w:cstheme="minorHAnsi"/>
        </w:rPr>
        <w:t xml:space="preserve"> </w:t>
      </w:r>
      <w:r w:rsidR="003747BA">
        <w:rPr>
          <w:rFonts w:cstheme="minorHAnsi"/>
        </w:rPr>
        <w:t>t</w:t>
      </w:r>
      <w:r w:rsidR="008F350B">
        <w:rPr>
          <w:rFonts w:cstheme="minorHAnsi"/>
        </w:rPr>
        <w:t xml:space="preserve">he PBAC considered </w:t>
      </w:r>
      <w:r w:rsidR="003637FB" w:rsidRPr="003637FB">
        <w:rPr>
          <w:rFonts w:cstheme="minorHAnsi"/>
        </w:rPr>
        <w:t>that the submission’s claimed cost-savings from substitution of RRMS medication were not clearly substantiated</w:t>
      </w:r>
      <w:r w:rsidR="007E4D7A">
        <w:rPr>
          <w:rFonts w:cstheme="minorHAnsi"/>
        </w:rPr>
        <w:t>.</w:t>
      </w:r>
      <w:r w:rsidR="007E4D7A">
        <w:rPr>
          <w:rStyle w:val="FootnoteReference"/>
          <w:rFonts w:cstheme="minorHAnsi"/>
        </w:rPr>
        <w:footnoteReference w:id="5"/>
      </w:r>
    </w:p>
    <w:p w14:paraId="4039E081" w14:textId="295612AE" w:rsidR="00E142A6" w:rsidRDefault="00E142A6" w:rsidP="00E142A6">
      <w:pPr>
        <w:pStyle w:val="Heading2"/>
        <w:spacing w:before="0"/>
      </w:pPr>
      <w:r>
        <w:t>Fingolimod</w:t>
      </w:r>
    </w:p>
    <w:p w14:paraId="07CEF5D5" w14:textId="66AD0497" w:rsidR="00E142A6" w:rsidRDefault="00B51621" w:rsidP="00E142A6">
      <w:pPr>
        <w:rPr>
          <w:rFonts w:cstheme="minorHAnsi"/>
        </w:rPr>
      </w:pPr>
      <w:r w:rsidRPr="00B51621">
        <w:rPr>
          <w:rFonts w:cstheme="minorHAnsi"/>
        </w:rPr>
        <w:t xml:space="preserve">The PBAC </w:t>
      </w:r>
      <w:r>
        <w:rPr>
          <w:rFonts w:cstheme="minorHAnsi"/>
        </w:rPr>
        <w:t>(March 2011) r</w:t>
      </w:r>
      <w:r w:rsidRPr="00B51621">
        <w:rPr>
          <w:rFonts w:cstheme="minorHAnsi"/>
        </w:rPr>
        <w:t>ecommended listing fingolimod on the PBS as an Authority Required benefit for the initial and continuing treatment of clinically relapsing-rem</w:t>
      </w:r>
      <w:r>
        <w:rPr>
          <w:rFonts w:cstheme="minorHAnsi"/>
        </w:rPr>
        <w:t>itting multiple sclerosis</w:t>
      </w:r>
      <w:r w:rsidR="00A13610">
        <w:rPr>
          <w:rFonts w:cstheme="minorHAnsi"/>
        </w:rPr>
        <w:t>.</w:t>
      </w:r>
      <w:r w:rsidR="00A13610">
        <w:rPr>
          <w:rStyle w:val="FootnoteReference"/>
          <w:rFonts w:cstheme="minorHAnsi"/>
        </w:rPr>
        <w:footnoteReference w:id="6"/>
      </w:r>
    </w:p>
    <w:p w14:paraId="7D05C621" w14:textId="4FAE9CCC" w:rsidR="00A17A79" w:rsidRPr="0016340A" w:rsidRDefault="00B33CF3" w:rsidP="0016340A">
      <w:pPr>
        <w:rPr>
          <w:rFonts w:cstheme="minorHAnsi"/>
          <w:i/>
        </w:rPr>
      </w:pPr>
      <w:r>
        <w:rPr>
          <w:rFonts w:cstheme="minorHAnsi"/>
        </w:rPr>
        <w:t xml:space="preserve">The preliminary data from the 12 month review of fingolimod conducted in 2013 indicated that the submission’s assumption that fingolimod would have the same discontinuation </w:t>
      </w:r>
      <w:r>
        <w:rPr>
          <w:rFonts w:cstheme="minorHAnsi"/>
        </w:rPr>
        <w:lastRenderedPageBreak/>
        <w:t xml:space="preserve">rates as other </w:t>
      </w:r>
      <w:r w:rsidRPr="00242049">
        <w:rPr>
          <w:rFonts w:cs="Arial"/>
        </w:rPr>
        <w:t xml:space="preserve">ABCR therapies (intramuscular interferon beta-1a, subcutaneous interferon beta-1a, interferon </w:t>
      </w:r>
      <w:r>
        <w:rPr>
          <w:rFonts w:cs="Arial"/>
        </w:rPr>
        <w:t xml:space="preserve">beta-1b and glatiramer acetate) </w:t>
      </w:r>
      <w:r w:rsidR="005D73FC">
        <w:rPr>
          <w:rFonts w:cs="Arial"/>
        </w:rPr>
        <w:t>may</w:t>
      </w:r>
      <w:r>
        <w:rPr>
          <w:rFonts w:cs="Arial"/>
        </w:rPr>
        <w:t xml:space="preserve"> not </w:t>
      </w:r>
      <w:r w:rsidR="005D73FC">
        <w:rPr>
          <w:rFonts w:cs="Arial"/>
        </w:rPr>
        <w:t xml:space="preserve">be </w:t>
      </w:r>
      <w:r>
        <w:rPr>
          <w:rFonts w:cs="Arial"/>
        </w:rPr>
        <w:t xml:space="preserve">reasonable. </w:t>
      </w:r>
    </w:p>
    <w:p w14:paraId="0E65E25B" w14:textId="415DE934" w:rsidR="009A7A19" w:rsidRDefault="009A7A19" w:rsidP="009A7A19">
      <w:pPr>
        <w:pStyle w:val="Heading3"/>
      </w:pPr>
      <w:r>
        <w:t>Approach taken to estimate utilisation</w:t>
      </w:r>
      <w:r w:rsidR="001177B2">
        <w:t xml:space="preserve"> for dimethyl fumarate and teriflunomide</w:t>
      </w:r>
    </w:p>
    <w:p w14:paraId="4E836138" w14:textId="5CBC83F4" w:rsidR="008B63A4" w:rsidRPr="00341042" w:rsidRDefault="00341042" w:rsidP="009A7A19">
      <w:pPr>
        <w:pStyle w:val="Heading3"/>
        <w:rPr>
          <w:b w:val="0"/>
          <w:sz w:val="22"/>
          <w:szCs w:val="22"/>
        </w:rPr>
      </w:pPr>
      <w:r>
        <w:rPr>
          <w:i/>
          <w:sz w:val="22"/>
          <w:szCs w:val="22"/>
        </w:rPr>
        <w:t>Dimethyl fumarate</w:t>
      </w:r>
    </w:p>
    <w:p w14:paraId="1CB444D0" w14:textId="77777777" w:rsidR="00BC7167" w:rsidRDefault="00AF5EAE" w:rsidP="00BC7167">
      <w:r w:rsidRPr="00BC7167">
        <w:t>A market share approach</w:t>
      </w:r>
      <w:r w:rsidR="00341042" w:rsidRPr="00BC7167">
        <w:t xml:space="preserve"> </w:t>
      </w:r>
      <w:r w:rsidR="00032CB4" w:rsidRPr="00BC7167">
        <w:t xml:space="preserve">was used </w:t>
      </w:r>
      <w:r w:rsidR="00AA6FC0" w:rsidRPr="00BC7167">
        <w:t>to model the financial impact of listing dimethyl fumarate.</w:t>
      </w:r>
      <w:r w:rsidR="00AA6FC0">
        <w:rPr>
          <w:b/>
          <w:sz w:val="22"/>
          <w:szCs w:val="22"/>
        </w:rPr>
        <w:t xml:space="preserve"> </w:t>
      </w:r>
      <w:r w:rsidR="00BC7167">
        <w:t xml:space="preserve">The historical number of scripts for fingolimod for the period September 2011 to August 2012 was used for the base year (18,701). </w:t>
      </w:r>
    </w:p>
    <w:p w14:paraId="17EDF4D9" w14:textId="3684CCD7" w:rsidR="00032CB4" w:rsidRDefault="00032CB4" w:rsidP="00032CB4">
      <w:r>
        <w:t xml:space="preserve">The RRMS </w:t>
      </w:r>
      <w:r w:rsidRPr="00BE7DD3">
        <w:t>market growth assumptions</w:t>
      </w:r>
      <w:r>
        <w:t xml:space="preserve"> were derived from the growth in </w:t>
      </w:r>
      <w:r w:rsidR="0045468A">
        <w:t xml:space="preserve">supplies for </w:t>
      </w:r>
      <w:r>
        <w:t xml:space="preserve">interferon-1a, interferon-1b and glatiramer acetate </w:t>
      </w:r>
      <w:r w:rsidR="0045468A">
        <w:t>over the first four years of th</w:t>
      </w:r>
      <w:r w:rsidR="007B7777">
        <w:t xml:space="preserve">eir listing, as shown in Table </w:t>
      </w:r>
      <w:r w:rsidR="00D360BE">
        <w:t>2</w:t>
      </w:r>
      <w:r w:rsidR="0045468A">
        <w:t>.</w:t>
      </w:r>
      <w:r w:rsidR="0017193F">
        <w:t xml:space="preserve"> These growth rate assumptions were applied to the base year script volume for fingolimod to project </w:t>
      </w:r>
      <w:r w:rsidR="00FD142D">
        <w:t xml:space="preserve">the number of fingolimod supplies </w:t>
      </w:r>
      <w:r w:rsidR="0017193F">
        <w:t>over a five year forward estimates period</w:t>
      </w:r>
      <w:r w:rsidR="007B7777">
        <w:t xml:space="preserve"> (Table </w:t>
      </w:r>
      <w:r w:rsidR="00D360BE">
        <w:t>2</w:t>
      </w:r>
      <w:r w:rsidR="00FD142D">
        <w:t>)</w:t>
      </w:r>
      <w:r w:rsidR="0017193F">
        <w:t>.</w:t>
      </w:r>
      <w:r w:rsidR="00171C19">
        <w:t xml:space="preserve"> </w:t>
      </w:r>
    </w:p>
    <w:p w14:paraId="4A8D16C9" w14:textId="6FCE5072" w:rsidR="0045468A" w:rsidRPr="00FD142D" w:rsidRDefault="007B7777" w:rsidP="00032CB4">
      <w:pPr>
        <w:rPr>
          <w:b/>
        </w:rPr>
      </w:pPr>
      <w:r>
        <w:rPr>
          <w:b/>
        </w:rPr>
        <w:t xml:space="preserve">Table </w:t>
      </w:r>
      <w:r w:rsidR="00D360BE">
        <w:rPr>
          <w:b/>
        </w:rPr>
        <w:t>2</w:t>
      </w:r>
      <w:r w:rsidR="0045468A" w:rsidRPr="0045468A">
        <w:rPr>
          <w:b/>
        </w:rPr>
        <w:t xml:space="preserve">. </w:t>
      </w:r>
      <w:r w:rsidR="00FD142D">
        <w:rPr>
          <w:b/>
        </w:rPr>
        <w:t xml:space="preserve">Projected estimates for fingolimod </w:t>
      </w:r>
      <w:r w:rsidR="003E4903">
        <w:rPr>
          <w:b/>
        </w:rPr>
        <w:t xml:space="preserve">used to derive </w:t>
      </w:r>
      <w:r w:rsidR="0042104F">
        <w:rPr>
          <w:b/>
        </w:rPr>
        <w:t xml:space="preserve">dimethyl fumarate </w:t>
      </w:r>
      <w:r w:rsidR="00FD142D">
        <w:rPr>
          <w:b/>
        </w:rPr>
        <w:t>use</w:t>
      </w:r>
    </w:p>
    <w:tbl>
      <w:tblPr>
        <w:tblW w:w="8095" w:type="dxa"/>
        <w:tblInd w:w="93" w:type="dxa"/>
        <w:tblLayout w:type="fixed"/>
        <w:tblLook w:val="04A0" w:firstRow="1" w:lastRow="0" w:firstColumn="1" w:lastColumn="0" w:noHBand="0" w:noVBand="1"/>
      </w:tblPr>
      <w:tblGrid>
        <w:gridCol w:w="2283"/>
        <w:gridCol w:w="1134"/>
        <w:gridCol w:w="1134"/>
        <w:gridCol w:w="1134"/>
        <w:gridCol w:w="1276"/>
        <w:gridCol w:w="1134"/>
      </w:tblGrid>
      <w:tr w:rsidR="00B4320A" w:rsidRPr="00F8060F" w14:paraId="4FF1745C" w14:textId="77777777" w:rsidTr="00F8060F">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DE9D92" w14:textId="77777777" w:rsidR="00B4320A" w:rsidRPr="00F8060F" w:rsidRDefault="00B4320A" w:rsidP="00F8060F">
            <w:pPr>
              <w:spacing w:after="0"/>
              <w:jc w:val="center"/>
              <w:rPr>
                <w:rFonts w:eastAsia="Times New Roman" w:cs="Arial"/>
                <w:b/>
                <w:sz w:val="20"/>
              </w:rPr>
            </w:pPr>
            <w:r w:rsidRPr="00F8060F">
              <w:rPr>
                <w:rFonts w:eastAsia="Times New Roman" w:cs="Arial"/>
                <w:b/>
                <w:sz w:val="20"/>
              </w:rPr>
              <w:t>Year</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hideMark/>
          </w:tcPr>
          <w:p w14:paraId="1E4FD544" w14:textId="77777777" w:rsidR="00B4320A" w:rsidRPr="00F8060F" w:rsidRDefault="00B4320A" w:rsidP="00F8060F">
            <w:pPr>
              <w:spacing w:after="0"/>
              <w:jc w:val="center"/>
              <w:rPr>
                <w:rFonts w:eastAsia="Times New Roman" w:cs="Arial"/>
                <w:b/>
                <w:sz w:val="20"/>
              </w:rPr>
            </w:pPr>
            <w:r w:rsidRPr="00F8060F">
              <w:rPr>
                <w:rFonts w:eastAsia="Times New Roman" w:cs="Arial"/>
                <w:b/>
                <w:sz w:val="20"/>
              </w:rPr>
              <w:t>Year 1</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hideMark/>
          </w:tcPr>
          <w:p w14:paraId="77B54267" w14:textId="77777777" w:rsidR="00B4320A" w:rsidRPr="00F8060F" w:rsidRDefault="00B4320A" w:rsidP="00F8060F">
            <w:pPr>
              <w:spacing w:after="0"/>
              <w:jc w:val="center"/>
              <w:rPr>
                <w:rFonts w:eastAsia="Times New Roman" w:cs="Arial"/>
                <w:b/>
                <w:sz w:val="20"/>
              </w:rPr>
            </w:pPr>
            <w:r w:rsidRPr="00F8060F">
              <w:rPr>
                <w:rFonts w:eastAsia="Times New Roman" w:cs="Arial"/>
                <w:b/>
                <w:sz w:val="20"/>
              </w:rPr>
              <w:t>Year 2</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hideMark/>
          </w:tcPr>
          <w:p w14:paraId="7FC16C2A" w14:textId="77777777" w:rsidR="00B4320A" w:rsidRPr="00F8060F" w:rsidRDefault="00B4320A" w:rsidP="00F8060F">
            <w:pPr>
              <w:spacing w:after="0"/>
              <w:jc w:val="center"/>
              <w:rPr>
                <w:rFonts w:eastAsia="Times New Roman" w:cs="Arial"/>
                <w:b/>
                <w:sz w:val="20"/>
              </w:rPr>
            </w:pPr>
            <w:r w:rsidRPr="00F8060F">
              <w:rPr>
                <w:rFonts w:eastAsia="Times New Roman" w:cs="Arial"/>
                <w:b/>
                <w:sz w:val="20"/>
              </w:rPr>
              <w:t>Year 3</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hideMark/>
          </w:tcPr>
          <w:p w14:paraId="3A5F861D" w14:textId="77777777" w:rsidR="00B4320A" w:rsidRPr="00F8060F" w:rsidRDefault="00B4320A" w:rsidP="00F8060F">
            <w:pPr>
              <w:spacing w:after="0"/>
              <w:jc w:val="center"/>
              <w:rPr>
                <w:rFonts w:eastAsia="Times New Roman" w:cs="Arial"/>
                <w:b/>
                <w:sz w:val="20"/>
              </w:rPr>
            </w:pPr>
            <w:r w:rsidRPr="00F8060F">
              <w:rPr>
                <w:rFonts w:eastAsia="Times New Roman" w:cs="Arial"/>
                <w:b/>
                <w:sz w:val="20"/>
              </w:rPr>
              <w:t>Year 4</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hideMark/>
          </w:tcPr>
          <w:p w14:paraId="7DA8CDF0" w14:textId="77777777" w:rsidR="00B4320A" w:rsidRPr="00F8060F" w:rsidRDefault="00B4320A" w:rsidP="00F8060F">
            <w:pPr>
              <w:spacing w:after="0"/>
              <w:jc w:val="center"/>
              <w:rPr>
                <w:rFonts w:eastAsia="Times New Roman" w:cs="Arial"/>
                <w:b/>
                <w:sz w:val="20"/>
              </w:rPr>
            </w:pPr>
            <w:r w:rsidRPr="00F8060F">
              <w:rPr>
                <w:rFonts w:eastAsia="Times New Roman" w:cs="Arial"/>
                <w:b/>
                <w:sz w:val="20"/>
              </w:rPr>
              <w:t>Year 5</w:t>
            </w:r>
          </w:p>
        </w:tc>
      </w:tr>
      <w:tr w:rsidR="00B4320A" w:rsidRPr="00F8060F" w14:paraId="2DF85ED0" w14:textId="77777777" w:rsidTr="004228A5">
        <w:trPr>
          <w:trHeight w:val="300"/>
        </w:trPr>
        <w:tc>
          <w:tcPr>
            <w:tcW w:w="2283" w:type="dxa"/>
            <w:tcBorders>
              <w:top w:val="nil"/>
              <w:left w:val="single" w:sz="4" w:space="0" w:color="auto"/>
              <w:bottom w:val="single" w:sz="4" w:space="0" w:color="auto"/>
              <w:right w:val="single" w:sz="4" w:space="0" w:color="auto"/>
            </w:tcBorders>
            <w:shd w:val="clear" w:color="auto" w:fill="auto"/>
            <w:hideMark/>
          </w:tcPr>
          <w:p w14:paraId="7D09D724" w14:textId="77777777" w:rsidR="00B4320A" w:rsidRPr="00F8060F" w:rsidRDefault="00B4320A" w:rsidP="00B4320A">
            <w:pPr>
              <w:spacing w:after="0"/>
              <w:rPr>
                <w:rFonts w:eastAsia="Times New Roman" w:cs="Arial"/>
                <w:sz w:val="20"/>
              </w:rPr>
            </w:pPr>
            <w:r w:rsidRPr="00F8060F">
              <w:rPr>
                <w:rFonts w:eastAsia="Times New Roman" w:cs="Arial"/>
                <w:sz w:val="20"/>
              </w:rPr>
              <w:t>Annual growth rate</w:t>
            </w:r>
          </w:p>
        </w:tc>
        <w:tc>
          <w:tcPr>
            <w:tcW w:w="1134" w:type="dxa"/>
            <w:tcBorders>
              <w:top w:val="nil"/>
              <w:left w:val="nil"/>
              <w:bottom w:val="single" w:sz="4" w:space="0" w:color="auto"/>
              <w:right w:val="single" w:sz="4" w:space="0" w:color="auto"/>
            </w:tcBorders>
            <w:shd w:val="clear" w:color="auto" w:fill="D9D9D9" w:themeFill="background1" w:themeFillShade="D9"/>
            <w:hideMark/>
          </w:tcPr>
          <w:p w14:paraId="7D8F8B97" w14:textId="77777777" w:rsidR="00B4320A" w:rsidRPr="00850918" w:rsidRDefault="00B4320A" w:rsidP="00B4320A">
            <w:pPr>
              <w:spacing w:after="0"/>
              <w:rPr>
                <w:rFonts w:eastAsia="Times New Roman" w:cs="Arial"/>
                <w:sz w:val="20"/>
                <w:highlight w:val="black"/>
              </w:rPr>
            </w:pPr>
            <w:r w:rsidRPr="00850918">
              <w:rPr>
                <w:rFonts w:eastAsia="Times New Roman" w:cs="Arial"/>
                <w:sz w:val="20"/>
                <w:highlight w:val="black"/>
              </w:rPr>
              <w:t> </w:t>
            </w:r>
          </w:p>
        </w:tc>
        <w:tc>
          <w:tcPr>
            <w:tcW w:w="1134" w:type="dxa"/>
            <w:tcBorders>
              <w:top w:val="nil"/>
              <w:left w:val="nil"/>
              <w:bottom w:val="single" w:sz="4" w:space="0" w:color="auto"/>
              <w:right w:val="single" w:sz="4" w:space="0" w:color="auto"/>
            </w:tcBorders>
            <w:shd w:val="clear" w:color="auto" w:fill="auto"/>
            <w:hideMark/>
          </w:tcPr>
          <w:p w14:paraId="06EB284E" w14:textId="7C9D05B2"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XXX</w:t>
            </w:r>
          </w:p>
        </w:tc>
        <w:tc>
          <w:tcPr>
            <w:tcW w:w="1134" w:type="dxa"/>
            <w:tcBorders>
              <w:top w:val="nil"/>
              <w:left w:val="nil"/>
              <w:bottom w:val="single" w:sz="4" w:space="0" w:color="auto"/>
              <w:right w:val="single" w:sz="4" w:space="0" w:color="auto"/>
            </w:tcBorders>
            <w:shd w:val="clear" w:color="auto" w:fill="auto"/>
            <w:hideMark/>
          </w:tcPr>
          <w:p w14:paraId="0675E2F9" w14:textId="69A0CF9E"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XXX</w:t>
            </w:r>
          </w:p>
        </w:tc>
        <w:tc>
          <w:tcPr>
            <w:tcW w:w="1276" w:type="dxa"/>
            <w:tcBorders>
              <w:top w:val="nil"/>
              <w:left w:val="nil"/>
              <w:bottom w:val="single" w:sz="4" w:space="0" w:color="auto"/>
              <w:right w:val="single" w:sz="4" w:space="0" w:color="auto"/>
            </w:tcBorders>
            <w:shd w:val="clear" w:color="auto" w:fill="auto"/>
            <w:hideMark/>
          </w:tcPr>
          <w:p w14:paraId="73912B7E" w14:textId="67033C97"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XXX</w:t>
            </w:r>
          </w:p>
        </w:tc>
        <w:tc>
          <w:tcPr>
            <w:tcW w:w="1134" w:type="dxa"/>
            <w:tcBorders>
              <w:top w:val="nil"/>
              <w:left w:val="nil"/>
              <w:bottom w:val="single" w:sz="4" w:space="0" w:color="auto"/>
              <w:right w:val="single" w:sz="4" w:space="0" w:color="auto"/>
            </w:tcBorders>
            <w:shd w:val="clear" w:color="auto" w:fill="auto"/>
            <w:hideMark/>
          </w:tcPr>
          <w:p w14:paraId="233E7417" w14:textId="24B42763"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XXX</w:t>
            </w:r>
          </w:p>
        </w:tc>
      </w:tr>
      <w:tr w:rsidR="00B4320A" w:rsidRPr="00F8060F" w14:paraId="5EBC1959" w14:textId="77777777" w:rsidTr="004228A5">
        <w:trPr>
          <w:trHeight w:val="300"/>
        </w:trPr>
        <w:tc>
          <w:tcPr>
            <w:tcW w:w="2283" w:type="dxa"/>
            <w:tcBorders>
              <w:top w:val="nil"/>
              <w:left w:val="single" w:sz="4" w:space="0" w:color="auto"/>
              <w:bottom w:val="single" w:sz="4" w:space="0" w:color="auto"/>
              <w:right w:val="single" w:sz="4" w:space="0" w:color="auto"/>
            </w:tcBorders>
            <w:shd w:val="clear" w:color="auto" w:fill="auto"/>
            <w:hideMark/>
          </w:tcPr>
          <w:p w14:paraId="2C5A1DD7" w14:textId="77777777" w:rsidR="00B4320A" w:rsidRPr="00F8060F" w:rsidRDefault="00B4320A" w:rsidP="00B4320A">
            <w:pPr>
              <w:spacing w:after="0"/>
              <w:rPr>
                <w:rFonts w:eastAsia="Times New Roman" w:cs="Arial"/>
                <w:sz w:val="20"/>
              </w:rPr>
            </w:pPr>
            <w:r w:rsidRPr="00F8060F">
              <w:rPr>
                <w:rFonts w:eastAsia="Times New Roman" w:cs="Arial"/>
                <w:sz w:val="20"/>
              </w:rPr>
              <w:t>Fingolimod scripts</w:t>
            </w:r>
          </w:p>
        </w:tc>
        <w:tc>
          <w:tcPr>
            <w:tcW w:w="1134" w:type="dxa"/>
            <w:tcBorders>
              <w:top w:val="nil"/>
              <w:left w:val="nil"/>
              <w:bottom w:val="single" w:sz="4" w:space="0" w:color="auto"/>
              <w:right w:val="single" w:sz="4" w:space="0" w:color="auto"/>
            </w:tcBorders>
            <w:shd w:val="clear" w:color="auto" w:fill="auto"/>
            <w:hideMark/>
          </w:tcPr>
          <w:p w14:paraId="18379780" w14:textId="2A4C339B"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1XXXXXX</w:t>
            </w:r>
            <w:r w:rsidR="00B4320A" w:rsidRPr="00850918">
              <w:rPr>
                <w:rFonts w:eastAsia="Times New Roman" w:cs="Arial"/>
                <w:sz w:val="20"/>
                <w:highlight w:val="black"/>
              </w:rPr>
              <w:t xml:space="preserve"> </w:t>
            </w:r>
          </w:p>
        </w:tc>
        <w:tc>
          <w:tcPr>
            <w:tcW w:w="1134" w:type="dxa"/>
            <w:tcBorders>
              <w:top w:val="nil"/>
              <w:left w:val="nil"/>
              <w:bottom w:val="single" w:sz="4" w:space="0" w:color="auto"/>
              <w:right w:val="single" w:sz="4" w:space="0" w:color="auto"/>
            </w:tcBorders>
            <w:shd w:val="clear" w:color="auto" w:fill="auto"/>
            <w:hideMark/>
          </w:tcPr>
          <w:p w14:paraId="27BBCD89" w14:textId="193E359B"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XXXXXX</w:t>
            </w:r>
            <w:r w:rsidR="00B4320A" w:rsidRPr="00850918">
              <w:rPr>
                <w:rFonts w:eastAsia="Times New Roman" w:cs="Arial"/>
                <w:sz w:val="20"/>
                <w:highlight w:val="black"/>
              </w:rPr>
              <w:t xml:space="preserve"> </w:t>
            </w:r>
          </w:p>
        </w:tc>
        <w:tc>
          <w:tcPr>
            <w:tcW w:w="1134" w:type="dxa"/>
            <w:tcBorders>
              <w:top w:val="nil"/>
              <w:left w:val="nil"/>
              <w:bottom w:val="single" w:sz="4" w:space="0" w:color="auto"/>
              <w:right w:val="single" w:sz="4" w:space="0" w:color="auto"/>
            </w:tcBorders>
            <w:shd w:val="clear" w:color="auto" w:fill="auto"/>
            <w:hideMark/>
          </w:tcPr>
          <w:p w14:paraId="6AC8D7E9" w14:textId="2676C55A"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XXXXXX</w:t>
            </w:r>
            <w:r w:rsidR="00B4320A" w:rsidRPr="00850918">
              <w:rPr>
                <w:rFonts w:eastAsia="Times New Roman" w:cs="Arial"/>
                <w:sz w:val="20"/>
                <w:highlight w:val="black"/>
              </w:rPr>
              <w:t xml:space="preserve"> </w:t>
            </w:r>
          </w:p>
        </w:tc>
        <w:tc>
          <w:tcPr>
            <w:tcW w:w="1276" w:type="dxa"/>
            <w:tcBorders>
              <w:top w:val="nil"/>
              <w:left w:val="nil"/>
              <w:bottom w:val="single" w:sz="4" w:space="0" w:color="auto"/>
              <w:right w:val="single" w:sz="4" w:space="0" w:color="auto"/>
            </w:tcBorders>
            <w:shd w:val="clear" w:color="auto" w:fill="auto"/>
            <w:hideMark/>
          </w:tcPr>
          <w:p w14:paraId="360FE900" w14:textId="2047D92F"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XXXXXX</w:t>
            </w:r>
            <w:r w:rsidR="00B4320A" w:rsidRPr="00850918">
              <w:rPr>
                <w:rFonts w:eastAsia="Times New Roman" w:cs="Arial"/>
                <w:sz w:val="20"/>
                <w:highlight w:val="black"/>
              </w:rPr>
              <w:t xml:space="preserve"> </w:t>
            </w:r>
          </w:p>
        </w:tc>
        <w:tc>
          <w:tcPr>
            <w:tcW w:w="1134" w:type="dxa"/>
            <w:tcBorders>
              <w:top w:val="nil"/>
              <w:left w:val="nil"/>
              <w:bottom w:val="single" w:sz="4" w:space="0" w:color="auto"/>
              <w:right w:val="single" w:sz="4" w:space="0" w:color="auto"/>
            </w:tcBorders>
            <w:shd w:val="clear" w:color="auto" w:fill="auto"/>
            <w:hideMark/>
          </w:tcPr>
          <w:p w14:paraId="1B6A794C" w14:textId="3751DFC6"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XXXXXX</w:t>
            </w:r>
            <w:r w:rsidR="00B4320A" w:rsidRPr="00850918">
              <w:rPr>
                <w:rFonts w:eastAsia="Times New Roman" w:cs="Arial"/>
                <w:sz w:val="20"/>
                <w:highlight w:val="black"/>
              </w:rPr>
              <w:t xml:space="preserve"> </w:t>
            </w:r>
          </w:p>
        </w:tc>
      </w:tr>
      <w:tr w:rsidR="00B4320A" w:rsidRPr="00F8060F" w14:paraId="1DEE849A" w14:textId="77777777" w:rsidTr="004228A5">
        <w:trPr>
          <w:trHeight w:val="510"/>
        </w:trPr>
        <w:tc>
          <w:tcPr>
            <w:tcW w:w="2283" w:type="dxa"/>
            <w:tcBorders>
              <w:top w:val="nil"/>
              <w:left w:val="single" w:sz="4" w:space="0" w:color="auto"/>
              <w:bottom w:val="single" w:sz="4" w:space="0" w:color="auto"/>
              <w:right w:val="single" w:sz="4" w:space="0" w:color="auto"/>
            </w:tcBorders>
            <w:shd w:val="clear" w:color="auto" w:fill="auto"/>
            <w:hideMark/>
          </w:tcPr>
          <w:p w14:paraId="712542C5" w14:textId="0E0F056F" w:rsidR="00B4320A" w:rsidRPr="00F8060F" w:rsidRDefault="00FD142D" w:rsidP="00FD142D">
            <w:pPr>
              <w:spacing w:after="0"/>
              <w:rPr>
                <w:rFonts w:eastAsia="Times New Roman" w:cs="Arial"/>
                <w:sz w:val="20"/>
              </w:rPr>
            </w:pPr>
            <w:r w:rsidRPr="00F8060F">
              <w:rPr>
                <w:rFonts w:eastAsia="Times New Roman" w:cs="Arial"/>
                <w:sz w:val="20"/>
              </w:rPr>
              <w:t>Number of patients</w:t>
            </w:r>
          </w:p>
        </w:tc>
        <w:tc>
          <w:tcPr>
            <w:tcW w:w="1134" w:type="dxa"/>
            <w:tcBorders>
              <w:top w:val="nil"/>
              <w:left w:val="nil"/>
              <w:bottom w:val="single" w:sz="4" w:space="0" w:color="auto"/>
              <w:right w:val="single" w:sz="4" w:space="0" w:color="auto"/>
            </w:tcBorders>
            <w:shd w:val="clear" w:color="auto" w:fill="auto"/>
            <w:hideMark/>
          </w:tcPr>
          <w:p w14:paraId="3D7F7ECC" w14:textId="795CFE8D"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XXXXX</w:t>
            </w:r>
            <w:r w:rsidR="00B4320A" w:rsidRPr="00850918">
              <w:rPr>
                <w:rFonts w:eastAsia="Times New Roman" w:cs="Arial"/>
                <w:sz w:val="20"/>
                <w:highlight w:val="black"/>
              </w:rPr>
              <w:t xml:space="preserve"> </w:t>
            </w:r>
          </w:p>
        </w:tc>
        <w:tc>
          <w:tcPr>
            <w:tcW w:w="1134" w:type="dxa"/>
            <w:tcBorders>
              <w:top w:val="nil"/>
              <w:left w:val="nil"/>
              <w:bottom w:val="single" w:sz="4" w:space="0" w:color="auto"/>
              <w:right w:val="single" w:sz="4" w:space="0" w:color="auto"/>
            </w:tcBorders>
            <w:shd w:val="clear" w:color="auto" w:fill="auto"/>
            <w:hideMark/>
          </w:tcPr>
          <w:p w14:paraId="5F301BEB" w14:textId="2C37E32D"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XXXXX</w:t>
            </w:r>
            <w:r w:rsidR="00B4320A" w:rsidRPr="00850918">
              <w:rPr>
                <w:rFonts w:eastAsia="Times New Roman" w:cs="Arial"/>
                <w:sz w:val="20"/>
                <w:highlight w:val="black"/>
              </w:rPr>
              <w:t xml:space="preserve"> </w:t>
            </w:r>
          </w:p>
        </w:tc>
        <w:tc>
          <w:tcPr>
            <w:tcW w:w="1134" w:type="dxa"/>
            <w:tcBorders>
              <w:top w:val="nil"/>
              <w:left w:val="nil"/>
              <w:bottom w:val="single" w:sz="4" w:space="0" w:color="auto"/>
              <w:right w:val="single" w:sz="4" w:space="0" w:color="auto"/>
            </w:tcBorders>
            <w:shd w:val="clear" w:color="auto" w:fill="auto"/>
            <w:hideMark/>
          </w:tcPr>
          <w:p w14:paraId="53ABEEF8" w14:textId="34C13FF2"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XXXXX</w:t>
            </w:r>
          </w:p>
        </w:tc>
        <w:tc>
          <w:tcPr>
            <w:tcW w:w="1276" w:type="dxa"/>
            <w:tcBorders>
              <w:top w:val="nil"/>
              <w:left w:val="nil"/>
              <w:bottom w:val="single" w:sz="4" w:space="0" w:color="auto"/>
              <w:right w:val="single" w:sz="4" w:space="0" w:color="auto"/>
            </w:tcBorders>
            <w:shd w:val="clear" w:color="auto" w:fill="auto"/>
            <w:hideMark/>
          </w:tcPr>
          <w:p w14:paraId="05FB8FD1" w14:textId="3294CDA4"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XXXXX</w:t>
            </w:r>
            <w:r w:rsidR="00B4320A" w:rsidRPr="00850918">
              <w:rPr>
                <w:rFonts w:eastAsia="Times New Roman" w:cs="Arial"/>
                <w:sz w:val="20"/>
                <w:highlight w:val="black"/>
              </w:rPr>
              <w:t xml:space="preserve"> </w:t>
            </w:r>
          </w:p>
        </w:tc>
        <w:tc>
          <w:tcPr>
            <w:tcW w:w="1134" w:type="dxa"/>
            <w:tcBorders>
              <w:top w:val="nil"/>
              <w:left w:val="nil"/>
              <w:bottom w:val="single" w:sz="4" w:space="0" w:color="auto"/>
              <w:right w:val="single" w:sz="4" w:space="0" w:color="auto"/>
            </w:tcBorders>
            <w:shd w:val="clear" w:color="auto" w:fill="auto"/>
            <w:hideMark/>
          </w:tcPr>
          <w:p w14:paraId="1EC8F1BC" w14:textId="0745DBE5" w:rsidR="00B4320A" w:rsidRPr="00850918" w:rsidRDefault="00850918" w:rsidP="00B4320A">
            <w:pPr>
              <w:spacing w:after="0"/>
              <w:jc w:val="right"/>
              <w:rPr>
                <w:rFonts w:eastAsia="Times New Roman" w:cs="Arial"/>
                <w:sz w:val="20"/>
                <w:highlight w:val="black"/>
              </w:rPr>
            </w:pPr>
            <w:r w:rsidRPr="00850918">
              <w:rPr>
                <w:rFonts w:eastAsia="Times New Roman" w:cs="Arial"/>
                <w:sz w:val="20"/>
                <w:highlight w:val="black"/>
              </w:rPr>
              <w:t>XXXXX</w:t>
            </w:r>
            <w:r w:rsidR="00B4320A" w:rsidRPr="00850918">
              <w:rPr>
                <w:rFonts w:eastAsia="Times New Roman" w:cs="Arial"/>
                <w:sz w:val="20"/>
                <w:highlight w:val="black"/>
              </w:rPr>
              <w:t xml:space="preserve"> </w:t>
            </w:r>
          </w:p>
        </w:tc>
      </w:tr>
    </w:tbl>
    <w:p w14:paraId="554EDC3F" w14:textId="77777777" w:rsidR="0075345F" w:rsidRDefault="0075345F" w:rsidP="0075345F">
      <w:pPr>
        <w:spacing w:after="0"/>
      </w:pPr>
    </w:p>
    <w:p w14:paraId="11F4FBD3" w14:textId="674B9CB5" w:rsidR="007B4999" w:rsidRDefault="002E5151" w:rsidP="0075345F">
      <w:pPr>
        <w:spacing w:after="0"/>
      </w:pPr>
      <w:r>
        <w:t>To estimate the number of patients treated with dimethyl fumarate, a</w:t>
      </w:r>
      <w:r w:rsidR="003F5446">
        <w:t xml:space="preserve"> flat assumption </w:t>
      </w:r>
      <w:r w:rsidR="00B167F6">
        <w:t>(</w:t>
      </w:r>
      <w:r w:rsidR="00B167F6" w:rsidRPr="00B167F6">
        <w:rPr>
          <w:highlight w:val="black"/>
        </w:rPr>
        <w:t>XXX</w:t>
      </w:r>
      <w:r w:rsidR="003F5446" w:rsidRPr="00171C19">
        <w:t>) was used for the uptake of dimethyl fumarate relative to fingolimod</w:t>
      </w:r>
      <w:r w:rsidR="003F5446">
        <w:t xml:space="preserve"> for each listing year. </w:t>
      </w:r>
      <w:r w:rsidR="0050299C">
        <w:t xml:space="preserve"> DUSC (June 2013) considered that the uptake of dimethyl fumarate could be higher due to the expansion of the McDonald criteria </w:t>
      </w:r>
      <w:r w:rsidR="00B372FF">
        <w:t xml:space="preserve">in 2010 </w:t>
      </w:r>
      <w:r w:rsidR="00293B5D">
        <w:t xml:space="preserve">for </w:t>
      </w:r>
      <w:r w:rsidR="00CB430D">
        <w:t>the</w:t>
      </w:r>
      <w:r w:rsidR="00293B5D">
        <w:t xml:space="preserve"> diagnosis</w:t>
      </w:r>
      <w:r w:rsidR="00CB430D">
        <w:t xml:space="preserve"> of multiple sclerosis (MS)</w:t>
      </w:r>
      <w:r w:rsidR="00293B5D">
        <w:t xml:space="preserve"> </w:t>
      </w:r>
      <w:r w:rsidR="0050299C">
        <w:t xml:space="preserve">which may increase </w:t>
      </w:r>
      <w:r w:rsidR="00293B5D">
        <w:t>the incidence of MS</w:t>
      </w:r>
      <w:r w:rsidR="0050299C">
        <w:t xml:space="preserve">. Further, DUSC noted that concerns raised over the cardiac side effects associated with fingolimod may lead to clinicians </w:t>
      </w:r>
      <w:r w:rsidR="00B372FF">
        <w:t>switch</w:t>
      </w:r>
      <w:r w:rsidR="004544B4">
        <w:t>ing</w:t>
      </w:r>
      <w:r w:rsidR="00B372FF">
        <w:t xml:space="preserve"> patients to</w:t>
      </w:r>
      <w:r w:rsidR="0050299C">
        <w:t xml:space="preserve"> an alternative oral therapy.</w:t>
      </w:r>
    </w:p>
    <w:p w14:paraId="3FAD8D72" w14:textId="77777777" w:rsidR="003256E1" w:rsidRDefault="003256E1" w:rsidP="003256E1">
      <w:pPr>
        <w:spacing w:after="0"/>
      </w:pPr>
    </w:p>
    <w:p w14:paraId="4DC52670" w14:textId="33F43CC2" w:rsidR="0004133D" w:rsidRDefault="003F77BB" w:rsidP="00032CB4">
      <w:r>
        <w:t xml:space="preserve">The starting dose for dimethyl fumarate is 120 mg over 7 days with an ongoing maintenance dose of 240 mg. </w:t>
      </w:r>
      <w:r w:rsidR="00CA04F4">
        <w:t>The projected number of supplies for the 120 mg and 240 mg strengths was then derived by multiplying the respective patient number estimate by the annual number of packs (</w:t>
      </w:r>
      <w:r w:rsidR="00CC566C">
        <w:t>1</w:t>
      </w:r>
      <w:r w:rsidR="00CA04F4">
        <w:t xml:space="preserve"> for 120 mg and </w:t>
      </w:r>
      <w:r w:rsidR="0097658A">
        <w:t xml:space="preserve">13.04 </w:t>
      </w:r>
      <w:r w:rsidR="00531263">
        <w:t xml:space="preserve">for 240 mg), as shown in Table </w:t>
      </w:r>
      <w:r w:rsidR="00D360BE">
        <w:t>3</w:t>
      </w:r>
      <w:r w:rsidR="0097658A">
        <w:t>.</w:t>
      </w:r>
    </w:p>
    <w:p w14:paraId="223E79CE" w14:textId="77777777" w:rsidR="00764DCA" w:rsidRDefault="00764DCA" w:rsidP="00032CB4"/>
    <w:p w14:paraId="51D3A6EF" w14:textId="77777777" w:rsidR="00764DCA" w:rsidRDefault="00764DCA" w:rsidP="00032CB4"/>
    <w:p w14:paraId="3FB7FA2A" w14:textId="77777777" w:rsidR="00764DCA" w:rsidRDefault="00764DCA" w:rsidP="00032CB4"/>
    <w:p w14:paraId="1004E0D9" w14:textId="77777777" w:rsidR="00764DCA" w:rsidRDefault="00764DCA" w:rsidP="00032CB4"/>
    <w:p w14:paraId="2632922A" w14:textId="77777777" w:rsidR="00764DCA" w:rsidRDefault="00764DCA" w:rsidP="00032CB4"/>
    <w:p w14:paraId="59459007" w14:textId="0D9C58F1" w:rsidR="00730F76" w:rsidRPr="00730F76" w:rsidRDefault="00531263" w:rsidP="00032CB4">
      <w:pPr>
        <w:rPr>
          <w:b/>
        </w:rPr>
      </w:pPr>
      <w:r>
        <w:rPr>
          <w:b/>
        </w:rPr>
        <w:lastRenderedPageBreak/>
        <w:t xml:space="preserve">Table </w:t>
      </w:r>
      <w:r w:rsidR="00D360BE">
        <w:rPr>
          <w:b/>
        </w:rPr>
        <w:t>3</w:t>
      </w:r>
      <w:r w:rsidR="00730F76" w:rsidRPr="0045468A">
        <w:rPr>
          <w:b/>
        </w:rPr>
        <w:t xml:space="preserve">. </w:t>
      </w:r>
      <w:r w:rsidR="00730F76">
        <w:rPr>
          <w:b/>
        </w:rPr>
        <w:t xml:space="preserve">Projected </w:t>
      </w:r>
      <w:r w:rsidR="00CF19B1">
        <w:rPr>
          <w:b/>
        </w:rPr>
        <w:t>utilisation for dimethyl fumarate</w:t>
      </w:r>
    </w:p>
    <w:tbl>
      <w:tblPr>
        <w:tblW w:w="9087" w:type="dxa"/>
        <w:tblInd w:w="93" w:type="dxa"/>
        <w:tblLook w:val="04A0" w:firstRow="1" w:lastRow="0" w:firstColumn="1" w:lastColumn="0" w:noHBand="0" w:noVBand="1"/>
      </w:tblPr>
      <w:tblGrid>
        <w:gridCol w:w="2709"/>
        <w:gridCol w:w="1275"/>
        <w:gridCol w:w="1276"/>
        <w:gridCol w:w="1276"/>
        <w:gridCol w:w="1276"/>
        <w:gridCol w:w="1275"/>
      </w:tblGrid>
      <w:tr w:rsidR="00730F76" w:rsidRPr="00F8060F" w14:paraId="04A0024F" w14:textId="77777777" w:rsidTr="00F8060F">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3DFE1D" w14:textId="77777777" w:rsidR="00730F76" w:rsidRPr="00F8060F" w:rsidRDefault="00730F76" w:rsidP="00F8060F">
            <w:pPr>
              <w:spacing w:after="0"/>
              <w:jc w:val="center"/>
              <w:rPr>
                <w:rFonts w:eastAsia="Times New Roman" w:cs="Arial"/>
                <w:b/>
                <w:bCs/>
                <w:sz w:val="20"/>
                <w:szCs w:val="20"/>
              </w:rPr>
            </w:pPr>
            <w:r w:rsidRPr="00F8060F">
              <w:rPr>
                <w:rFonts w:eastAsia="Times New Roman" w:cs="Arial"/>
                <w:b/>
                <w:bCs/>
                <w:sz w:val="20"/>
                <w:szCs w:val="20"/>
              </w:rPr>
              <w:t>Listing year</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hideMark/>
          </w:tcPr>
          <w:p w14:paraId="434A8DF4" w14:textId="77777777" w:rsidR="00730F76" w:rsidRPr="00F8060F" w:rsidRDefault="00730F76" w:rsidP="00F8060F">
            <w:pPr>
              <w:spacing w:after="0"/>
              <w:jc w:val="center"/>
              <w:rPr>
                <w:rFonts w:eastAsia="Times New Roman" w:cs="Arial"/>
                <w:b/>
                <w:bCs/>
                <w:sz w:val="20"/>
                <w:szCs w:val="20"/>
              </w:rPr>
            </w:pPr>
            <w:r w:rsidRPr="00F8060F">
              <w:rPr>
                <w:rFonts w:eastAsia="Times New Roman" w:cs="Arial"/>
                <w:b/>
                <w:bCs/>
                <w:sz w:val="20"/>
                <w:szCs w:val="20"/>
              </w:rPr>
              <w:t>Year 1</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hideMark/>
          </w:tcPr>
          <w:p w14:paraId="1E34A761" w14:textId="77777777" w:rsidR="00730F76" w:rsidRPr="00F8060F" w:rsidRDefault="00730F76" w:rsidP="00F8060F">
            <w:pPr>
              <w:spacing w:after="0"/>
              <w:jc w:val="center"/>
              <w:rPr>
                <w:rFonts w:eastAsia="Times New Roman" w:cs="Arial"/>
                <w:b/>
                <w:bCs/>
                <w:sz w:val="20"/>
                <w:szCs w:val="20"/>
              </w:rPr>
            </w:pPr>
            <w:r w:rsidRPr="00F8060F">
              <w:rPr>
                <w:rFonts w:eastAsia="Times New Roman" w:cs="Arial"/>
                <w:b/>
                <w:bCs/>
                <w:sz w:val="20"/>
                <w:szCs w:val="20"/>
              </w:rPr>
              <w:t>Year 2</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hideMark/>
          </w:tcPr>
          <w:p w14:paraId="6505F0A1" w14:textId="77777777" w:rsidR="00730F76" w:rsidRPr="00F8060F" w:rsidRDefault="00730F76" w:rsidP="00F8060F">
            <w:pPr>
              <w:spacing w:after="0"/>
              <w:jc w:val="center"/>
              <w:rPr>
                <w:rFonts w:eastAsia="Times New Roman" w:cs="Arial"/>
                <w:b/>
                <w:bCs/>
                <w:sz w:val="20"/>
                <w:szCs w:val="20"/>
              </w:rPr>
            </w:pPr>
            <w:r w:rsidRPr="00F8060F">
              <w:rPr>
                <w:rFonts w:eastAsia="Times New Roman" w:cs="Arial"/>
                <w:b/>
                <w:bCs/>
                <w:sz w:val="20"/>
                <w:szCs w:val="20"/>
              </w:rPr>
              <w:t>Year 3</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hideMark/>
          </w:tcPr>
          <w:p w14:paraId="2FED39C4" w14:textId="77777777" w:rsidR="00730F76" w:rsidRPr="00F8060F" w:rsidRDefault="00730F76" w:rsidP="00F8060F">
            <w:pPr>
              <w:spacing w:after="0"/>
              <w:jc w:val="center"/>
              <w:rPr>
                <w:rFonts w:eastAsia="Times New Roman" w:cs="Arial"/>
                <w:b/>
                <w:bCs/>
                <w:sz w:val="20"/>
                <w:szCs w:val="20"/>
              </w:rPr>
            </w:pPr>
            <w:r w:rsidRPr="00F8060F">
              <w:rPr>
                <w:rFonts w:eastAsia="Times New Roman" w:cs="Arial"/>
                <w:b/>
                <w:bCs/>
                <w:sz w:val="20"/>
                <w:szCs w:val="20"/>
              </w:rPr>
              <w:t>Year 4</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hideMark/>
          </w:tcPr>
          <w:p w14:paraId="3ACDCF8C" w14:textId="77777777" w:rsidR="00730F76" w:rsidRPr="00F8060F" w:rsidRDefault="00730F76" w:rsidP="00F8060F">
            <w:pPr>
              <w:spacing w:after="0"/>
              <w:jc w:val="center"/>
              <w:rPr>
                <w:rFonts w:eastAsia="Times New Roman" w:cs="Arial"/>
                <w:b/>
                <w:bCs/>
                <w:sz w:val="20"/>
                <w:szCs w:val="20"/>
              </w:rPr>
            </w:pPr>
            <w:r w:rsidRPr="00F8060F">
              <w:rPr>
                <w:rFonts w:eastAsia="Times New Roman" w:cs="Arial"/>
                <w:b/>
                <w:bCs/>
                <w:sz w:val="20"/>
                <w:szCs w:val="20"/>
              </w:rPr>
              <w:t>Year 5</w:t>
            </w:r>
          </w:p>
        </w:tc>
      </w:tr>
      <w:tr w:rsidR="00730F76" w:rsidRPr="00F8060F" w14:paraId="058869B4" w14:textId="77777777" w:rsidTr="00F8060F">
        <w:trPr>
          <w:trHeight w:val="369"/>
        </w:trPr>
        <w:tc>
          <w:tcPr>
            <w:tcW w:w="2709" w:type="dxa"/>
            <w:tcBorders>
              <w:top w:val="nil"/>
              <w:left w:val="single" w:sz="4" w:space="0" w:color="auto"/>
              <w:bottom w:val="single" w:sz="4" w:space="0" w:color="auto"/>
              <w:right w:val="single" w:sz="4" w:space="0" w:color="auto"/>
            </w:tcBorders>
            <w:shd w:val="clear" w:color="auto" w:fill="auto"/>
            <w:hideMark/>
          </w:tcPr>
          <w:p w14:paraId="09853904" w14:textId="611D7102" w:rsidR="00730F76" w:rsidRPr="00F8060F" w:rsidRDefault="00866516" w:rsidP="00866516">
            <w:pPr>
              <w:spacing w:after="0"/>
              <w:rPr>
                <w:rFonts w:eastAsia="Times New Roman" w:cs="Arial"/>
                <w:sz w:val="20"/>
                <w:szCs w:val="20"/>
              </w:rPr>
            </w:pPr>
            <w:r w:rsidRPr="00F8060F">
              <w:rPr>
                <w:rFonts w:eastAsia="Times New Roman" w:cs="Arial"/>
                <w:sz w:val="20"/>
                <w:szCs w:val="20"/>
              </w:rPr>
              <w:t>Projected patients treated with fingolimod</w:t>
            </w:r>
          </w:p>
        </w:tc>
        <w:tc>
          <w:tcPr>
            <w:tcW w:w="1275" w:type="dxa"/>
            <w:tcBorders>
              <w:top w:val="nil"/>
              <w:left w:val="nil"/>
              <w:bottom w:val="single" w:sz="4" w:space="0" w:color="auto"/>
              <w:right w:val="single" w:sz="4" w:space="0" w:color="auto"/>
            </w:tcBorders>
            <w:shd w:val="clear" w:color="auto" w:fill="auto"/>
            <w:vAlign w:val="center"/>
            <w:hideMark/>
          </w:tcPr>
          <w:p w14:paraId="56E8F74A" w14:textId="3A6D00AE" w:rsidR="00730F76"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XXXXX</w:t>
            </w:r>
            <w:r w:rsidR="00730F76" w:rsidRPr="00934A0A">
              <w:rPr>
                <w:rFonts w:eastAsia="Times New Roman" w:cs="Arial"/>
                <w:sz w:val="20"/>
                <w:szCs w:val="20"/>
                <w:highlight w:val="black"/>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263AB7F" w14:textId="4CE41C5C" w:rsidR="00730F76" w:rsidRPr="00934A0A" w:rsidRDefault="002848F7" w:rsidP="002848F7">
            <w:pPr>
              <w:spacing w:after="0"/>
              <w:jc w:val="right"/>
              <w:rPr>
                <w:rFonts w:eastAsia="Times New Roman" w:cs="Arial"/>
                <w:sz w:val="20"/>
                <w:szCs w:val="20"/>
                <w:highlight w:val="black"/>
              </w:rPr>
            </w:pPr>
            <w:r w:rsidRPr="00934A0A">
              <w:rPr>
                <w:rFonts w:eastAsia="Times New Roman" w:cs="Arial"/>
                <w:sz w:val="20"/>
                <w:szCs w:val="20"/>
                <w:highlight w:val="black"/>
              </w:rPr>
              <w:t>XXXXX</w:t>
            </w:r>
            <w:r w:rsidR="00730F76" w:rsidRPr="00934A0A">
              <w:rPr>
                <w:rFonts w:eastAsia="Times New Roman" w:cs="Arial"/>
                <w:sz w:val="20"/>
                <w:szCs w:val="20"/>
                <w:highlight w:val="black"/>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4B70A45" w14:textId="3A3A8D3E" w:rsidR="00730F76"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XXXXX</w:t>
            </w:r>
            <w:r w:rsidR="00730F76" w:rsidRPr="00934A0A">
              <w:rPr>
                <w:rFonts w:eastAsia="Times New Roman" w:cs="Arial"/>
                <w:sz w:val="20"/>
                <w:szCs w:val="20"/>
                <w:highlight w:val="black"/>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7D11B874" w14:textId="7BBCF8E3" w:rsidR="00730F76"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XXXXX</w:t>
            </w:r>
            <w:r w:rsidR="00730F76" w:rsidRPr="00934A0A">
              <w:rPr>
                <w:rFonts w:eastAsia="Times New Roman" w:cs="Arial"/>
                <w:sz w:val="20"/>
                <w:szCs w:val="20"/>
                <w:highlight w:val="black"/>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BDE2D9B" w14:textId="060B6034" w:rsidR="00730F76"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XXXXX</w:t>
            </w:r>
            <w:r w:rsidR="00730F76" w:rsidRPr="00934A0A">
              <w:rPr>
                <w:rFonts w:eastAsia="Times New Roman" w:cs="Arial"/>
                <w:sz w:val="20"/>
                <w:szCs w:val="20"/>
                <w:highlight w:val="black"/>
              </w:rPr>
              <w:t xml:space="preserve"> </w:t>
            </w:r>
          </w:p>
        </w:tc>
      </w:tr>
      <w:tr w:rsidR="00E10F96" w:rsidRPr="00F8060F" w14:paraId="13FEC911" w14:textId="77777777" w:rsidTr="00F8060F">
        <w:trPr>
          <w:trHeight w:val="539"/>
        </w:trPr>
        <w:tc>
          <w:tcPr>
            <w:tcW w:w="2709" w:type="dxa"/>
            <w:tcBorders>
              <w:top w:val="nil"/>
              <w:left w:val="single" w:sz="4" w:space="0" w:color="auto"/>
              <w:bottom w:val="single" w:sz="4" w:space="0" w:color="auto"/>
              <w:right w:val="single" w:sz="4" w:space="0" w:color="auto"/>
            </w:tcBorders>
            <w:shd w:val="clear" w:color="auto" w:fill="auto"/>
            <w:hideMark/>
          </w:tcPr>
          <w:p w14:paraId="5D4BE26D" w14:textId="7F9A7D51" w:rsidR="00E10F96" w:rsidRPr="00F8060F" w:rsidRDefault="00E10F96" w:rsidP="00730F76">
            <w:pPr>
              <w:spacing w:after="0"/>
              <w:rPr>
                <w:rFonts w:eastAsia="Times New Roman" w:cs="Arial"/>
                <w:sz w:val="20"/>
                <w:szCs w:val="20"/>
              </w:rPr>
            </w:pPr>
            <w:r w:rsidRPr="00F8060F">
              <w:rPr>
                <w:rFonts w:eastAsia="Times New Roman" w:cs="Arial"/>
                <w:sz w:val="20"/>
                <w:szCs w:val="20"/>
              </w:rPr>
              <w:t>Relative uptake from the fingolimod patient population</w:t>
            </w:r>
          </w:p>
        </w:tc>
        <w:tc>
          <w:tcPr>
            <w:tcW w:w="6378" w:type="dxa"/>
            <w:gridSpan w:val="5"/>
            <w:tcBorders>
              <w:top w:val="nil"/>
              <w:left w:val="nil"/>
              <w:bottom w:val="single" w:sz="4" w:space="0" w:color="auto"/>
              <w:right w:val="single" w:sz="4" w:space="0" w:color="auto"/>
            </w:tcBorders>
            <w:shd w:val="clear" w:color="auto" w:fill="auto"/>
            <w:vAlign w:val="center"/>
            <w:hideMark/>
          </w:tcPr>
          <w:p w14:paraId="6DD809D9" w14:textId="493D4472" w:rsidR="00E10F96" w:rsidRPr="00F8060F" w:rsidRDefault="002848F7" w:rsidP="00792FCA">
            <w:pPr>
              <w:spacing w:after="0"/>
              <w:jc w:val="center"/>
              <w:rPr>
                <w:rFonts w:eastAsia="Times New Roman" w:cs="Arial"/>
                <w:sz w:val="20"/>
                <w:szCs w:val="20"/>
              </w:rPr>
            </w:pPr>
            <w:r w:rsidRPr="00934A0A">
              <w:rPr>
                <w:rFonts w:eastAsia="Times New Roman" w:cs="Arial"/>
                <w:sz w:val="20"/>
                <w:szCs w:val="20"/>
                <w:highlight w:val="black"/>
              </w:rPr>
              <w:t>XXX</w:t>
            </w:r>
          </w:p>
        </w:tc>
      </w:tr>
      <w:tr w:rsidR="00730F76" w:rsidRPr="00F8060F" w14:paraId="76555987" w14:textId="77777777" w:rsidTr="00F8060F">
        <w:trPr>
          <w:trHeight w:val="285"/>
        </w:trPr>
        <w:tc>
          <w:tcPr>
            <w:tcW w:w="908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0743D03" w14:textId="77777777" w:rsidR="00730F76" w:rsidRPr="00F8060F" w:rsidRDefault="00730F76" w:rsidP="00F8060F">
            <w:pPr>
              <w:spacing w:after="0"/>
              <w:rPr>
                <w:rFonts w:eastAsia="Times New Roman" w:cs="Arial"/>
                <w:b/>
                <w:bCs/>
                <w:sz w:val="20"/>
                <w:szCs w:val="20"/>
              </w:rPr>
            </w:pPr>
            <w:r w:rsidRPr="00F8060F">
              <w:rPr>
                <w:rFonts w:eastAsia="Times New Roman" w:cs="Arial"/>
                <w:b/>
                <w:bCs/>
                <w:sz w:val="20"/>
                <w:szCs w:val="20"/>
              </w:rPr>
              <w:t>Treated patient population</w:t>
            </w:r>
          </w:p>
        </w:tc>
      </w:tr>
      <w:tr w:rsidR="00730F76" w:rsidRPr="00F8060F" w14:paraId="1EDFB83D" w14:textId="77777777" w:rsidTr="00F8060F">
        <w:trPr>
          <w:trHeight w:val="300"/>
        </w:trPr>
        <w:tc>
          <w:tcPr>
            <w:tcW w:w="2709" w:type="dxa"/>
            <w:tcBorders>
              <w:top w:val="nil"/>
              <w:left w:val="single" w:sz="4" w:space="0" w:color="auto"/>
              <w:bottom w:val="single" w:sz="4" w:space="0" w:color="auto"/>
              <w:right w:val="single" w:sz="4" w:space="0" w:color="auto"/>
            </w:tcBorders>
            <w:shd w:val="clear" w:color="auto" w:fill="auto"/>
            <w:hideMark/>
          </w:tcPr>
          <w:p w14:paraId="1E566E5B" w14:textId="77777777" w:rsidR="00730F76" w:rsidRPr="00F8060F" w:rsidRDefault="00730F76" w:rsidP="00730F76">
            <w:pPr>
              <w:spacing w:after="0"/>
              <w:rPr>
                <w:rFonts w:eastAsia="Times New Roman" w:cs="Arial"/>
                <w:sz w:val="20"/>
                <w:szCs w:val="20"/>
              </w:rPr>
            </w:pPr>
            <w:r w:rsidRPr="00F8060F">
              <w:rPr>
                <w:rFonts w:eastAsia="Times New Roman" w:cs="Arial"/>
                <w:sz w:val="20"/>
                <w:szCs w:val="20"/>
              </w:rPr>
              <w:t xml:space="preserve">   Total</w:t>
            </w:r>
          </w:p>
        </w:tc>
        <w:tc>
          <w:tcPr>
            <w:tcW w:w="1275" w:type="dxa"/>
            <w:tcBorders>
              <w:top w:val="nil"/>
              <w:left w:val="nil"/>
              <w:bottom w:val="single" w:sz="4" w:space="0" w:color="auto"/>
              <w:right w:val="single" w:sz="4" w:space="0" w:color="auto"/>
            </w:tcBorders>
            <w:shd w:val="clear" w:color="auto" w:fill="auto"/>
            <w:vAlign w:val="center"/>
            <w:hideMark/>
          </w:tcPr>
          <w:p w14:paraId="74D467BB" w14:textId="7A186DDE" w:rsidR="00730F76"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XXXXX</w:t>
            </w:r>
            <w:r w:rsidR="00730F76" w:rsidRPr="00934A0A">
              <w:rPr>
                <w:rFonts w:eastAsia="Times New Roman" w:cs="Arial"/>
                <w:sz w:val="20"/>
                <w:szCs w:val="20"/>
                <w:highlight w:val="black"/>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139C7423" w14:textId="21216884" w:rsidR="00730F76"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XXXXX</w:t>
            </w:r>
          </w:p>
        </w:tc>
        <w:tc>
          <w:tcPr>
            <w:tcW w:w="1276" w:type="dxa"/>
            <w:tcBorders>
              <w:top w:val="nil"/>
              <w:left w:val="nil"/>
              <w:bottom w:val="single" w:sz="4" w:space="0" w:color="auto"/>
              <w:right w:val="single" w:sz="4" w:space="0" w:color="auto"/>
            </w:tcBorders>
            <w:shd w:val="clear" w:color="auto" w:fill="auto"/>
            <w:vAlign w:val="center"/>
            <w:hideMark/>
          </w:tcPr>
          <w:p w14:paraId="74201849" w14:textId="5DD7A749" w:rsidR="00730F76"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XXXXX</w:t>
            </w:r>
            <w:r w:rsidR="00730F76" w:rsidRPr="00934A0A">
              <w:rPr>
                <w:rFonts w:eastAsia="Times New Roman" w:cs="Arial"/>
                <w:sz w:val="20"/>
                <w:szCs w:val="20"/>
                <w:highlight w:val="black"/>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E50A3DB" w14:textId="2AC858F5" w:rsidR="00730F76" w:rsidRPr="00934A0A" w:rsidRDefault="00730F76" w:rsidP="002848F7">
            <w:pPr>
              <w:spacing w:after="0"/>
              <w:jc w:val="right"/>
              <w:rPr>
                <w:rFonts w:eastAsia="Times New Roman" w:cs="Arial"/>
                <w:sz w:val="20"/>
                <w:szCs w:val="20"/>
                <w:highlight w:val="black"/>
              </w:rPr>
            </w:pPr>
            <w:r w:rsidRPr="00934A0A">
              <w:rPr>
                <w:rFonts w:eastAsia="Times New Roman" w:cs="Arial"/>
                <w:sz w:val="20"/>
                <w:szCs w:val="20"/>
                <w:highlight w:val="black"/>
              </w:rPr>
              <w:t xml:space="preserve"> </w:t>
            </w:r>
            <w:r w:rsidR="002848F7" w:rsidRPr="00934A0A">
              <w:rPr>
                <w:rFonts w:eastAsia="Times New Roman" w:cs="Arial"/>
                <w:sz w:val="20"/>
                <w:szCs w:val="20"/>
                <w:highlight w:val="black"/>
              </w:rPr>
              <w:t>XXXXX</w:t>
            </w:r>
          </w:p>
        </w:tc>
        <w:tc>
          <w:tcPr>
            <w:tcW w:w="1275" w:type="dxa"/>
            <w:tcBorders>
              <w:top w:val="nil"/>
              <w:left w:val="nil"/>
              <w:bottom w:val="single" w:sz="4" w:space="0" w:color="auto"/>
              <w:right w:val="single" w:sz="4" w:space="0" w:color="auto"/>
            </w:tcBorders>
            <w:shd w:val="clear" w:color="auto" w:fill="auto"/>
            <w:vAlign w:val="center"/>
            <w:hideMark/>
          </w:tcPr>
          <w:p w14:paraId="46AABB49" w14:textId="0336C7EF" w:rsidR="00730F76"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XXXXX</w:t>
            </w:r>
            <w:r w:rsidR="00730F76" w:rsidRPr="00934A0A">
              <w:rPr>
                <w:rFonts w:eastAsia="Times New Roman" w:cs="Arial"/>
                <w:sz w:val="20"/>
                <w:szCs w:val="20"/>
                <w:highlight w:val="black"/>
              </w:rPr>
              <w:t xml:space="preserve"> </w:t>
            </w:r>
          </w:p>
        </w:tc>
      </w:tr>
      <w:tr w:rsidR="00730F76" w:rsidRPr="00F8060F" w14:paraId="60D9CDBF" w14:textId="77777777" w:rsidTr="00F8060F">
        <w:trPr>
          <w:trHeight w:val="270"/>
        </w:trPr>
        <w:tc>
          <w:tcPr>
            <w:tcW w:w="908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7ABB20A" w14:textId="77777777" w:rsidR="00730F76" w:rsidRPr="00F8060F" w:rsidRDefault="00730F76" w:rsidP="00F8060F">
            <w:pPr>
              <w:spacing w:after="0"/>
              <w:rPr>
                <w:rFonts w:eastAsia="Times New Roman" w:cs="Arial"/>
                <w:b/>
                <w:bCs/>
                <w:sz w:val="20"/>
                <w:szCs w:val="20"/>
              </w:rPr>
            </w:pPr>
            <w:r w:rsidRPr="00F8060F">
              <w:rPr>
                <w:rFonts w:eastAsia="Times New Roman" w:cs="Arial"/>
                <w:b/>
                <w:bCs/>
                <w:sz w:val="20"/>
                <w:szCs w:val="20"/>
              </w:rPr>
              <w:t>Number of prescriptions</w:t>
            </w:r>
          </w:p>
        </w:tc>
      </w:tr>
      <w:tr w:rsidR="002848F7" w:rsidRPr="00F8060F" w14:paraId="78C9CBBE" w14:textId="77777777" w:rsidTr="00F8060F">
        <w:trPr>
          <w:trHeight w:val="334"/>
        </w:trPr>
        <w:tc>
          <w:tcPr>
            <w:tcW w:w="2709" w:type="dxa"/>
            <w:tcBorders>
              <w:top w:val="nil"/>
              <w:left w:val="single" w:sz="4" w:space="0" w:color="auto"/>
              <w:bottom w:val="single" w:sz="4" w:space="0" w:color="auto"/>
              <w:right w:val="single" w:sz="4" w:space="0" w:color="auto"/>
            </w:tcBorders>
            <w:shd w:val="clear" w:color="auto" w:fill="auto"/>
            <w:hideMark/>
          </w:tcPr>
          <w:p w14:paraId="1EB7075C" w14:textId="48E468CB" w:rsidR="002848F7" w:rsidRPr="00F8060F" w:rsidRDefault="002848F7" w:rsidP="00730F76">
            <w:pPr>
              <w:spacing w:after="0"/>
              <w:rPr>
                <w:rFonts w:eastAsia="Times New Roman" w:cs="Arial"/>
                <w:sz w:val="20"/>
                <w:szCs w:val="20"/>
              </w:rPr>
            </w:pPr>
            <w:r w:rsidRPr="00F8060F">
              <w:rPr>
                <w:rFonts w:eastAsia="Times New Roman" w:cs="Arial"/>
                <w:sz w:val="20"/>
                <w:szCs w:val="20"/>
              </w:rPr>
              <w:t xml:space="preserve">   120 mg pack</w:t>
            </w:r>
          </w:p>
        </w:tc>
        <w:tc>
          <w:tcPr>
            <w:tcW w:w="1275" w:type="dxa"/>
            <w:tcBorders>
              <w:top w:val="nil"/>
              <w:left w:val="nil"/>
              <w:bottom w:val="single" w:sz="4" w:space="0" w:color="auto"/>
              <w:right w:val="single" w:sz="4" w:space="0" w:color="auto"/>
            </w:tcBorders>
            <w:shd w:val="clear" w:color="auto" w:fill="auto"/>
            <w:vAlign w:val="center"/>
            <w:hideMark/>
          </w:tcPr>
          <w:p w14:paraId="6EA20845" w14:textId="519E84BE"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 xml:space="preserve">XXX </w:t>
            </w:r>
          </w:p>
        </w:tc>
        <w:tc>
          <w:tcPr>
            <w:tcW w:w="1276" w:type="dxa"/>
            <w:tcBorders>
              <w:top w:val="nil"/>
              <w:left w:val="nil"/>
              <w:bottom w:val="single" w:sz="4" w:space="0" w:color="auto"/>
              <w:right w:val="single" w:sz="4" w:space="0" w:color="auto"/>
            </w:tcBorders>
            <w:shd w:val="clear" w:color="auto" w:fill="auto"/>
            <w:vAlign w:val="center"/>
            <w:hideMark/>
          </w:tcPr>
          <w:p w14:paraId="59243394" w14:textId="0DE4C5F8"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 xml:space="preserve">XXX </w:t>
            </w:r>
          </w:p>
        </w:tc>
        <w:tc>
          <w:tcPr>
            <w:tcW w:w="1276" w:type="dxa"/>
            <w:tcBorders>
              <w:top w:val="nil"/>
              <w:left w:val="nil"/>
              <w:bottom w:val="single" w:sz="4" w:space="0" w:color="auto"/>
              <w:right w:val="single" w:sz="4" w:space="0" w:color="auto"/>
            </w:tcBorders>
            <w:shd w:val="clear" w:color="auto" w:fill="auto"/>
            <w:vAlign w:val="center"/>
            <w:hideMark/>
          </w:tcPr>
          <w:p w14:paraId="5CDB9FFD" w14:textId="12609BD4"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 xml:space="preserve">XXX </w:t>
            </w:r>
          </w:p>
        </w:tc>
        <w:tc>
          <w:tcPr>
            <w:tcW w:w="1276" w:type="dxa"/>
            <w:tcBorders>
              <w:top w:val="nil"/>
              <w:left w:val="nil"/>
              <w:bottom w:val="single" w:sz="4" w:space="0" w:color="auto"/>
              <w:right w:val="single" w:sz="4" w:space="0" w:color="auto"/>
            </w:tcBorders>
            <w:shd w:val="clear" w:color="auto" w:fill="auto"/>
            <w:vAlign w:val="center"/>
            <w:hideMark/>
          </w:tcPr>
          <w:p w14:paraId="709583F9" w14:textId="50C79554"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 xml:space="preserve">XXX </w:t>
            </w:r>
          </w:p>
        </w:tc>
        <w:tc>
          <w:tcPr>
            <w:tcW w:w="1275" w:type="dxa"/>
            <w:tcBorders>
              <w:top w:val="nil"/>
              <w:left w:val="nil"/>
              <w:bottom w:val="single" w:sz="4" w:space="0" w:color="auto"/>
              <w:right w:val="single" w:sz="4" w:space="0" w:color="auto"/>
            </w:tcBorders>
            <w:shd w:val="clear" w:color="auto" w:fill="auto"/>
            <w:vAlign w:val="center"/>
            <w:hideMark/>
          </w:tcPr>
          <w:p w14:paraId="32F4EA35" w14:textId="471A11DB"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 xml:space="preserve">XXX </w:t>
            </w:r>
          </w:p>
        </w:tc>
      </w:tr>
      <w:tr w:rsidR="002848F7" w:rsidRPr="00F8060F" w14:paraId="2C4F1721" w14:textId="77777777" w:rsidTr="00F8060F">
        <w:trPr>
          <w:trHeight w:val="269"/>
        </w:trPr>
        <w:tc>
          <w:tcPr>
            <w:tcW w:w="2709" w:type="dxa"/>
            <w:tcBorders>
              <w:top w:val="nil"/>
              <w:left w:val="single" w:sz="4" w:space="0" w:color="auto"/>
              <w:bottom w:val="single" w:sz="4" w:space="0" w:color="auto"/>
              <w:right w:val="single" w:sz="4" w:space="0" w:color="auto"/>
            </w:tcBorders>
            <w:shd w:val="clear" w:color="auto" w:fill="auto"/>
            <w:hideMark/>
          </w:tcPr>
          <w:p w14:paraId="709A25B7" w14:textId="7D95074A" w:rsidR="002848F7" w:rsidRPr="00F8060F" w:rsidRDefault="002848F7" w:rsidP="00730F76">
            <w:pPr>
              <w:spacing w:after="0"/>
              <w:rPr>
                <w:rFonts w:eastAsia="Times New Roman" w:cs="Arial"/>
                <w:sz w:val="20"/>
                <w:szCs w:val="20"/>
              </w:rPr>
            </w:pPr>
            <w:r w:rsidRPr="00F8060F">
              <w:rPr>
                <w:rFonts w:eastAsia="Times New Roman" w:cs="Arial"/>
                <w:sz w:val="20"/>
                <w:szCs w:val="20"/>
              </w:rPr>
              <w:t xml:space="preserve">   240 mg pack</w:t>
            </w:r>
          </w:p>
        </w:tc>
        <w:tc>
          <w:tcPr>
            <w:tcW w:w="1275" w:type="dxa"/>
            <w:tcBorders>
              <w:top w:val="nil"/>
              <w:left w:val="nil"/>
              <w:bottom w:val="single" w:sz="4" w:space="0" w:color="auto"/>
              <w:right w:val="single" w:sz="4" w:space="0" w:color="auto"/>
            </w:tcBorders>
            <w:shd w:val="clear" w:color="auto" w:fill="auto"/>
            <w:vAlign w:val="center"/>
            <w:hideMark/>
          </w:tcPr>
          <w:p w14:paraId="64A5DAAF" w14:textId="722F3456"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 xml:space="preserve">XXXXXX </w:t>
            </w:r>
          </w:p>
        </w:tc>
        <w:tc>
          <w:tcPr>
            <w:tcW w:w="1276" w:type="dxa"/>
            <w:tcBorders>
              <w:top w:val="nil"/>
              <w:left w:val="nil"/>
              <w:bottom w:val="single" w:sz="4" w:space="0" w:color="auto"/>
              <w:right w:val="single" w:sz="4" w:space="0" w:color="auto"/>
            </w:tcBorders>
            <w:shd w:val="clear" w:color="auto" w:fill="auto"/>
            <w:vAlign w:val="center"/>
            <w:hideMark/>
          </w:tcPr>
          <w:p w14:paraId="49C3597E" w14:textId="1C8B7C0F"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 xml:space="preserve">XXXXXX </w:t>
            </w:r>
          </w:p>
        </w:tc>
        <w:tc>
          <w:tcPr>
            <w:tcW w:w="1276" w:type="dxa"/>
            <w:tcBorders>
              <w:top w:val="nil"/>
              <w:left w:val="nil"/>
              <w:bottom w:val="single" w:sz="4" w:space="0" w:color="auto"/>
              <w:right w:val="single" w:sz="4" w:space="0" w:color="auto"/>
            </w:tcBorders>
            <w:shd w:val="clear" w:color="auto" w:fill="auto"/>
            <w:vAlign w:val="center"/>
            <w:hideMark/>
          </w:tcPr>
          <w:p w14:paraId="664D2285" w14:textId="1F46D8F4"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 xml:space="preserve">XXXXXX </w:t>
            </w:r>
          </w:p>
        </w:tc>
        <w:tc>
          <w:tcPr>
            <w:tcW w:w="1276" w:type="dxa"/>
            <w:tcBorders>
              <w:top w:val="nil"/>
              <w:left w:val="nil"/>
              <w:bottom w:val="single" w:sz="4" w:space="0" w:color="auto"/>
              <w:right w:val="single" w:sz="4" w:space="0" w:color="auto"/>
            </w:tcBorders>
            <w:shd w:val="clear" w:color="auto" w:fill="auto"/>
            <w:vAlign w:val="center"/>
            <w:hideMark/>
          </w:tcPr>
          <w:p w14:paraId="383229CD" w14:textId="13B8904F"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 xml:space="preserve">XXXXXX </w:t>
            </w:r>
          </w:p>
        </w:tc>
        <w:tc>
          <w:tcPr>
            <w:tcW w:w="1275" w:type="dxa"/>
            <w:tcBorders>
              <w:top w:val="nil"/>
              <w:left w:val="nil"/>
              <w:bottom w:val="single" w:sz="4" w:space="0" w:color="auto"/>
              <w:right w:val="single" w:sz="4" w:space="0" w:color="auto"/>
            </w:tcBorders>
            <w:shd w:val="clear" w:color="auto" w:fill="auto"/>
            <w:vAlign w:val="center"/>
            <w:hideMark/>
          </w:tcPr>
          <w:p w14:paraId="777A5D02" w14:textId="4E2BC78A"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 xml:space="preserve">XXXXXX </w:t>
            </w:r>
          </w:p>
        </w:tc>
      </w:tr>
      <w:tr w:rsidR="002848F7" w:rsidRPr="00F8060F" w14:paraId="2540FADB" w14:textId="77777777" w:rsidTr="00F8060F">
        <w:trPr>
          <w:trHeight w:val="300"/>
        </w:trPr>
        <w:tc>
          <w:tcPr>
            <w:tcW w:w="2709" w:type="dxa"/>
            <w:tcBorders>
              <w:top w:val="nil"/>
              <w:left w:val="single" w:sz="4" w:space="0" w:color="auto"/>
              <w:bottom w:val="single" w:sz="4" w:space="0" w:color="auto"/>
              <w:right w:val="single" w:sz="4" w:space="0" w:color="auto"/>
            </w:tcBorders>
            <w:shd w:val="clear" w:color="auto" w:fill="auto"/>
            <w:hideMark/>
          </w:tcPr>
          <w:p w14:paraId="71371B23" w14:textId="77777777" w:rsidR="002848F7" w:rsidRPr="00F8060F" w:rsidRDefault="002848F7" w:rsidP="00730F76">
            <w:pPr>
              <w:spacing w:after="0"/>
              <w:rPr>
                <w:rFonts w:eastAsia="Times New Roman" w:cs="Arial"/>
                <w:sz w:val="20"/>
                <w:szCs w:val="20"/>
              </w:rPr>
            </w:pPr>
            <w:r w:rsidRPr="00F8060F">
              <w:rPr>
                <w:rFonts w:eastAsia="Times New Roman" w:cs="Arial"/>
                <w:sz w:val="20"/>
                <w:szCs w:val="20"/>
              </w:rPr>
              <w:t xml:space="preserve">   Total</w:t>
            </w:r>
          </w:p>
        </w:tc>
        <w:tc>
          <w:tcPr>
            <w:tcW w:w="1275" w:type="dxa"/>
            <w:tcBorders>
              <w:top w:val="nil"/>
              <w:left w:val="nil"/>
              <w:bottom w:val="single" w:sz="4" w:space="0" w:color="auto"/>
              <w:right w:val="single" w:sz="4" w:space="0" w:color="auto"/>
            </w:tcBorders>
            <w:shd w:val="clear" w:color="auto" w:fill="auto"/>
            <w:vAlign w:val="center"/>
            <w:hideMark/>
          </w:tcPr>
          <w:p w14:paraId="6A18F8DC" w14:textId="133BC52C"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XXXXXX</w:t>
            </w:r>
          </w:p>
        </w:tc>
        <w:tc>
          <w:tcPr>
            <w:tcW w:w="1276" w:type="dxa"/>
            <w:tcBorders>
              <w:top w:val="nil"/>
              <w:left w:val="nil"/>
              <w:bottom w:val="single" w:sz="4" w:space="0" w:color="auto"/>
              <w:right w:val="single" w:sz="4" w:space="0" w:color="auto"/>
            </w:tcBorders>
            <w:shd w:val="clear" w:color="auto" w:fill="auto"/>
            <w:vAlign w:val="center"/>
            <w:hideMark/>
          </w:tcPr>
          <w:p w14:paraId="5B100662" w14:textId="2E23116F"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XXXXXX</w:t>
            </w:r>
          </w:p>
        </w:tc>
        <w:tc>
          <w:tcPr>
            <w:tcW w:w="1276" w:type="dxa"/>
            <w:tcBorders>
              <w:top w:val="nil"/>
              <w:left w:val="nil"/>
              <w:bottom w:val="single" w:sz="4" w:space="0" w:color="auto"/>
              <w:right w:val="single" w:sz="4" w:space="0" w:color="auto"/>
            </w:tcBorders>
            <w:shd w:val="clear" w:color="auto" w:fill="auto"/>
            <w:vAlign w:val="center"/>
            <w:hideMark/>
          </w:tcPr>
          <w:p w14:paraId="10D1BE1D" w14:textId="7BFDC04F"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XXXXXX</w:t>
            </w:r>
          </w:p>
        </w:tc>
        <w:tc>
          <w:tcPr>
            <w:tcW w:w="1276" w:type="dxa"/>
            <w:tcBorders>
              <w:top w:val="nil"/>
              <w:left w:val="nil"/>
              <w:bottom w:val="single" w:sz="4" w:space="0" w:color="auto"/>
              <w:right w:val="single" w:sz="4" w:space="0" w:color="auto"/>
            </w:tcBorders>
            <w:shd w:val="clear" w:color="auto" w:fill="auto"/>
            <w:vAlign w:val="center"/>
            <w:hideMark/>
          </w:tcPr>
          <w:p w14:paraId="59771036" w14:textId="2A84E38B"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XXXXXX</w:t>
            </w:r>
          </w:p>
        </w:tc>
        <w:tc>
          <w:tcPr>
            <w:tcW w:w="1275" w:type="dxa"/>
            <w:tcBorders>
              <w:top w:val="nil"/>
              <w:left w:val="nil"/>
              <w:bottom w:val="single" w:sz="4" w:space="0" w:color="auto"/>
              <w:right w:val="single" w:sz="4" w:space="0" w:color="auto"/>
            </w:tcBorders>
            <w:shd w:val="clear" w:color="auto" w:fill="auto"/>
            <w:vAlign w:val="center"/>
            <w:hideMark/>
          </w:tcPr>
          <w:p w14:paraId="47B5D1DE" w14:textId="0092CFD4" w:rsidR="002848F7" w:rsidRPr="00934A0A" w:rsidRDefault="002848F7" w:rsidP="00F8060F">
            <w:pPr>
              <w:spacing w:after="0"/>
              <w:jc w:val="right"/>
              <w:rPr>
                <w:rFonts w:eastAsia="Times New Roman" w:cs="Arial"/>
                <w:sz w:val="20"/>
                <w:szCs w:val="20"/>
                <w:highlight w:val="black"/>
              </w:rPr>
            </w:pPr>
            <w:r w:rsidRPr="00934A0A">
              <w:rPr>
                <w:rFonts w:eastAsia="Times New Roman" w:cs="Arial"/>
                <w:sz w:val="20"/>
                <w:szCs w:val="20"/>
                <w:highlight w:val="black"/>
              </w:rPr>
              <w:t>XXXXXX</w:t>
            </w:r>
          </w:p>
        </w:tc>
      </w:tr>
    </w:tbl>
    <w:p w14:paraId="0496BF9E" w14:textId="77777777" w:rsidR="0097658A" w:rsidRDefault="0097658A" w:rsidP="005F574A">
      <w:pPr>
        <w:spacing w:after="0"/>
      </w:pPr>
    </w:p>
    <w:p w14:paraId="457FFF21" w14:textId="77777777" w:rsidR="00834F87" w:rsidRDefault="00834F87" w:rsidP="005F574A">
      <w:pPr>
        <w:spacing w:after="0"/>
      </w:pPr>
      <w:r>
        <w:t>DUSC (June 2013) considered that the treated population with dimethyl fumarate was underestimated as:</w:t>
      </w:r>
    </w:p>
    <w:p w14:paraId="42617E9A" w14:textId="40D4E905" w:rsidR="00834F87" w:rsidRDefault="00B40E32" w:rsidP="002066C1">
      <w:pPr>
        <w:pStyle w:val="ListParagraph"/>
        <w:numPr>
          <w:ilvl w:val="0"/>
          <w:numId w:val="26"/>
        </w:numPr>
        <w:spacing w:after="0"/>
      </w:pPr>
      <w:r>
        <w:t>t</w:t>
      </w:r>
      <w:r w:rsidR="00834F87">
        <w:t>he actual number of patients (2,882) supplied with fingolimod in its first listing year was more than estimated by the submission. As such the projected use of dimethyl fumarate was underestimated as it was based on the forecast of fingolimod use</w:t>
      </w:r>
      <w:r>
        <w:t>; and</w:t>
      </w:r>
      <w:r w:rsidR="00834F87">
        <w:t xml:space="preserve"> </w:t>
      </w:r>
    </w:p>
    <w:p w14:paraId="1E9CE2A0" w14:textId="07EF4F84" w:rsidR="0020638B" w:rsidRDefault="00B40E32" w:rsidP="002066C1">
      <w:pPr>
        <w:pStyle w:val="ListParagraph"/>
        <w:numPr>
          <w:ilvl w:val="0"/>
          <w:numId w:val="26"/>
        </w:numPr>
        <w:spacing w:after="0"/>
      </w:pPr>
      <w:r>
        <w:t>o</w:t>
      </w:r>
      <w:r w:rsidR="002066C1">
        <w:t>ral ther</w:t>
      </w:r>
      <w:r w:rsidR="00232C3E">
        <w:t xml:space="preserve">apies will eventually </w:t>
      </w:r>
      <w:r w:rsidR="002066C1">
        <w:t>dominate the</w:t>
      </w:r>
      <w:r w:rsidR="00764DCA">
        <w:t xml:space="preserve"> RRMS</w:t>
      </w:r>
      <w:r w:rsidR="002066C1">
        <w:t xml:space="preserve"> market.</w:t>
      </w:r>
    </w:p>
    <w:p w14:paraId="3142A9BF" w14:textId="77777777" w:rsidR="00834F87" w:rsidRDefault="00834F87" w:rsidP="005F574A">
      <w:pPr>
        <w:spacing w:after="0"/>
      </w:pPr>
    </w:p>
    <w:p w14:paraId="446BB564" w14:textId="5B579B2D" w:rsidR="0097658A" w:rsidRPr="00032CB4" w:rsidRDefault="00D70E3F" w:rsidP="00032CB4">
      <w:r>
        <w:t xml:space="preserve">The estimated substitution effects were </w:t>
      </w:r>
      <w:r w:rsidR="001A1958" w:rsidRPr="001A1958">
        <w:rPr>
          <w:highlight w:val="black"/>
        </w:rPr>
        <w:t>XXX</w:t>
      </w:r>
      <w:r w:rsidR="001A1958">
        <w:t xml:space="preserve"> of interferon beta-1a and </w:t>
      </w:r>
      <w:r w:rsidR="001A1958" w:rsidRPr="001A1958">
        <w:rPr>
          <w:highlight w:val="black"/>
        </w:rPr>
        <w:t>XXX</w:t>
      </w:r>
      <w:r w:rsidRPr="001F4FD2">
        <w:t xml:space="preserve"> of fingolimod</w:t>
      </w:r>
      <w:r>
        <w:t>.</w:t>
      </w:r>
      <w:r w:rsidR="000A7E96">
        <w:t xml:space="preserve"> On the basis of the cost offsets from these assumptions, the listing of dimethyl fumarate was anticipated to be cost saving.</w:t>
      </w:r>
      <w:r w:rsidR="00561C90">
        <w:t xml:space="preserve"> DUSC (June 2013) considered that there would not just be substitution within the existing market. Noting </w:t>
      </w:r>
      <w:r w:rsidR="00764DCA">
        <w:t xml:space="preserve">that </w:t>
      </w:r>
      <w:r w:rsidR="00561C90">
        <w:t>the 2013 MS review indicated an unmet need for therapy, DUSC considered that the addition of dimethyl fumarate would grow the market</w:t>
      </w:r>
      <w:r w:rsidR="007D6D51">
        <w:t xml:space="preserve"> and that the cost offsets were overestimated</w:t>
      </w:r>
      <w:r w:rsidR="00EB5125">
        <w:t>.</w:t>
      </w:r>
    </w:p>
    <w:p w14:paraId="29B455B2" w14:textId="77777777" w:rsidR="00BE33B1" w:rsidRPr="00D76227" w:rsidRDefault="00BE33B1" w:rsidP="00BE33B1">
      <w:pPr>
        <w:pStyle w:val="Heading3"/>
        <w:rPr>
          <w:b w:val="0"/>
          <w:sz w:val="24"/>
          <w:szCs w:val="22"/>
        </w:rPr>
      </w:pPr>
      <w:r w:rsidRPr="00D76227">
        <w:rPr>
          <w:i/>
          <w:sz w:val="24"/>
          <w:szCs w:val="22"/>
        </w:rPr>
        <w:t>Teriflunomide</w:t>
      </w:r>
    </w:p>
    <w:p w14:paraId="064858E5" w14:textId="77777777" w:rsidR="00BE33B1" w:rsidRDefault="00BE33B1" w:rsidP="00BE33B1">
      <w:pPr>
        <w:pStyle w:val="Heading3"/>
        <w:rPr>
          <w:b w:val="0"/>
          <w:sz w:val="24"/>
          <w:szCs w:val="24"/>
        </w:rPr>
      </w:pPr>
      <w:r>
        <w:rPr>
          <w:b w:val="0"/>
          <w:sz w:val="24"/>
          <w:szCs w:val="24"/>
        </w:rPr>
        <w:t>A</w:t>
      </w:r>
      <w:r w:rsidRPr="00E25A77">
        <w:rPr>
          <w:b w:val="0"/>
          <w:sz w:val="24"/>
          <w:szCs w:val="24"/>
        </w:rPr>
        <w:t xml:space="preserve"> market share approach</w:t>
      </w:r>
      <w:r>
        <w:rPr>
          <w:b w:val="0"/>
          <w:sz w:val="24"/>
          <w:szCs w:val="24"/>
        </w:rPr>
        <w:t xml:space="preserve"> </w:t>
      </w:r>
      <w:r w:rsidRPr="00E25A77">
        <w:rPr>
          <w:b w:val="0"/>
          <w:sz w:val="24"/>
          <w:szCs w:val="24"/>
        </w:rPr>
        <w:t xml:space="preserve">was used to project the financial estimates for teriflunomide. </w:t>
      </w:r>
    </w:p>
    <w:p w14:paraId="20870AC2" w14:textId="77777777" w:rsidR="00BE33B1" w:rsidRDefault="00BE33B1" w:rsidP="00BE33B1">
      <w:r>
        <w:t xml:space="preserve">The projected eligible population was derived by taking the monthly average number of prescriptions for all potential comparators at the time of the submission (interferon beta-1a, interferon beta-1b, glatimer acetate, natalizumab and fingolimod) and applying the </w:t>
      </w:r>
      <w:r w:rsidRPr="0046689E">
        <w:t>average population growth rate</w:t>
      </w:r>
      <w:r>
        <w:t xml:space="preserve"> sourced from the ABS (1.36%, divided by 12 to obtain a monthly growth rate). DUSC (June 2013) considered that the market would grow at a higher rate than the general population growth because, as mentioned above, of the revision to the McDonald MS diagnosis criteria and the 2013 MS review finding of a potential unmet need. The number of patients was estimated by dividing the number of prescriptions for each RRMS medicine by its average number of packs per year, adjusted for compliance and discontinuation. The compliance and discontinuation assumptions are presented in Table 4.</w:t>
      </w:r>
    </w:p>
    <w:p w14:paraId="7D092788" w14:textId="77777777" w:rsidR="006F680D" w:rsidRDefault="006F680D" w:rsidP="00BE33B1"/>
    <w:p w14:paraId="633E7E12" w14:textId="77777777" w:rsidR="006F680D" w:rsidRDefault="006F680D" w:rsidP="00BE33B1"/>
    <w:p w14:paraId="77B4657A" w14:textId="77777777" w:rsidR="00BE33B1" w:rsidRPr="008D3EC5" w:rsidRDefault="00BE33B1" w:rsidP="00BE33B1">
      <w:pPr>
        <w:rPr>
          <w:b/>
        </w:rPr>
      </w:pPr>
      <w:r>
        <w:rPr>
          <w:b/>
        </w:rPr>
        <w:lastRenderedPageBreak/>
        <w:t>Table 4</w:t>
      </w:r>
      <w:r w:rsidRPr="0045468A">
        <w:rPr>
          <w:b/>
        </w:rPr>
        <w:t xml:space="preserve">. </w:t>
      </w:r>
      <w:r>
        <w:rPr>
          <w:b/>
        </w:rPr>
        <w:t>Compliance and discontinuation assumptions</w:t>
      </w:r>
    </w:p>
    <w:tbl>
      <w:tblPr>
        <w:tblW w:w="6902" w:type="dxa"/>
        <w:tblInd w:w="108" w:type="dxa"/>
        <w:tblLook w:val="04A0" w:firstRow="1" w:lastRow="0" w:firstColumn="1" w:lastColumn="0" w:noHBand="0" w:noVBand="1"/>
      </w:tblPr>
      <w:tblGrid>
        <w:gridCol w:w="2410"/>
        <w:gridCol w:w="1985"/>
        <w:gridCol w:w="2507"/>
      </w:tblGrid>
      <w:tr w:rsidR="00BE33B1" w:rsidRPr="00D76227" w14:paraId="5C7AFF9D" w14:textId="77777777" w:rsidTr="005922FB">
        <w:trPr>
          <w:trHeight w:val="255"/>
        </w:trPr>
        <w:tc>
          <w:tcPr>
            <w:tcW w:w="2410" w:type="dxa"/>
            <w:tcBorders>
              <w:top w:val="nil"/>
              <w:left w:val="nil"/>
              <w:bottom w:val="nil"/>
              <w:right w:val="nil"/>
            </w:tcBorders>
            <w:shd w:val="clear" w:color="auto" w:fill="auto"/>
            <w:noWrap/>
            <w:vAlign w:val="bottom"/>
            <w:hideMark/>
          </w:tcPr>
          <w:p w14:paraId="5EA5F194" w14:textId="77777777" w:rsidR="00BE33B1" w:rsidRPr="00D76227" w:rsidRDefault="00BE33B1" w:rsidP="005922FB">
            <w:pPr>
              <w:spacing w:after="0"/>
              <w:rPr>
                <w:rFonts w:eastAsia="Times New Roman" w:cs="Arial"/>
                <w:sz w:val="20"/>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F31A923" w14:textId="77777777" w:rsidR="00BE33B1" w:rsidRPr="00D76227" w:rsidRDefault="00BE33B1" w:rsidP="005922FB">
            <w:pPr>
              <w:spacing w:after="0"/>
              <w:jc w:val="center"/>
              <w:rPr>
                <w:rFonts w:eastAsia="Times New Roman" w:cs="Arial"/>
                <w:b/>
                <w:bCs/>
                <w:sz w:val="20"/>
              </w:rPr>
            </w:pPr>
            <w:r w:rsidRPr="00D76227">
              <w:rPr>
                <w:rFonts w:eastAsia="Times New Roman" w:cs="Arial"/>
                <w:b/>
                <w:bCs/>
                <w:sz w:val="20"/>
              </w:rPr>
              <w:t>Compliance rate</w:t>
            </w:r>
            <w:r w:rsidRPr="00D76227">
              <w:rPr>
                <w:rFonts w:eastAsia="Times New Roman" w:cs="Arial"/>
                <w:b/>
                <w:sz w:val="20"/>
                <w:vertAlign w:val="superscript"/>
              </w:rPr>
              <w:t xml:space="preserve"> a</w:t>
            </w:r>
          </w:p>
        </w:tc>
        <w:tc>
          <w:tcPr>
            <w:tcW w:w="250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F326C8B" w14:textId="77777777" w:rsidR="00BE33B1" w:rsidRPr="00D76227" w:rsidRDefault="00BE33B1" w:rsidP="005922FB">
            <w:pPr>
              <w:spacing w:after="0"/>
              <w:jc w:val="center"/>
              <w:rPr>
                <w:rFonts w:eastAsia="Times New Roman" w:cs="Arial"/>
                <w:b/>
                <w:bCs/>
                <w:sz w:val="20"/>
              </w:rPr>
            </w:pPr>
            <w:r w:rsidRPr="00D76227">
              <w:rPr>
                <w:rFonts w:eastAsia="Times New Roman" w:cs="Arial"/>
                <w:b/>
                <w:bCs/>
                <w:sz w:val="20"/>
              </w:rPr>
              <w:t xml:space="preserve"> Discontinuation rate </w:t>
            </w:r>
          </w:p>
        </w:tc>
      </w:tr>
      <w:tr w:rsidR="00BE33B1" w:rsidRPr="00D76227" w14:paraId="75280592" w14:textId="77777777" w:rsidTr="005922FB">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D122F" w14:textId="77777777" w:rsidR="00BE33B1" w:rsidRPr="00D76227" w:rsidRDefault="00BE33B1" w:rsidP="005922FB">
            <w:pPr>
              <w:spacing w:after="0"/>
              <w:rPr>
                <w:rFonts w:eastAsia="Times New Roman" w:cs="Arial"/>
                <w:sz w:val="20"/>
              </w:rPr>
            </w:pPr>
            <w:r w:rsidRPr="00D76227">
              <w:rPr>
                <w:rFonts w:eastAsia="Times New Roman" w:cs="Arial"/>
                <w:sz w:val="20"/>
              </w:rPr>
              <w:t>Teriflunomide</w:t>
            </w:r>
          </w:p>
        </w:tc>
        <w:tc>
          <w:tcPr>
            <w:tcW w:w="1985" w:type="dxa"/>
            <w:tcBorders>
              <w:top w:val="nil"/>
              <w:left w:val="nil"/>
              <w:bottom w:val="single" w:sz="4" w:space="0" w:color="auto"/>
              <w:right w:val="single" w:sz="4" w:space="0" w:color="auto"/>
            </w:tcBorders>
            <w:shd w:val="clear" w:color="auto" w:fill="auto"/>
            <w:noWrap/>
            <w:vAlign w:val="bottom"/>
            <w:hideMark/>
          </w:tcPr>
          <w:p w14:paraId="0B9F8159" w14:textId="77777777" w:rsidR="00BE33B1" w:rsidRPr="00D76227" w:rsidRDefault="00BE33B1" w:rsidP="005922FB">
            <w:pPr>
              <w:spacing w:after="0"/>
              <w:jc w:val="right"/>
              <w:rPr>
                <w:rFonts w:eastAsia="Times New Roman" w:cs="Arial"/>
                <w:sz w:val="20"/>
                <w:vertAlign w:val="superscript"/>
              </w:rPr>
            </w:pPr>
            <w:r w:rsidRPr="00D76227">
              <w:rPr>
                <w:rFonts w:eastAsia="Times New Roman" w:cs="Arial"/>
                <w:sz w:val="20"/>
              </w:rPr>
              <w:t>91.20%</w:t>
            </w:r>
            <w:r w:rsidRPr="00D76227">
              <w:rPr>
                <w:rFonts w:eastAsia="Times New Roman" w:cs="Arial"/>
                <w:sz w:val="20"/>
                <w:vertAlign w:val="superscript"/>
              </w:rPr>
              <w:t>b</w:t>
            </w:r>
          </w:p>
        </w:tc>
        <w:tc>
          <w:tcPr>
            <w:tcW w:w="2507" w:type="dxa"/>
            <w:tcBorders>
              <w:top w:val="nil"/>
              <w:left w:val="nil"/>
              <w:bottom w:val="single" w:sz="4" w:space="0" w:color="auto"/>
              <w:right w:val="single" w:sz="4" w:space="0" w:color="auto"/>
            </w:tcBorders>
            <w:shd w:val="clear" w:color="auto" w:fill="auto"/>
            <w:noWrap/>
            <w:vAlign w:val="bottom"/>
            <w:hideMark/>
          </w:tcPr>
          <w:p w14:paraId="0131F8F2" w14:textId="77777777" w:rsidR="00BE33B1" w:rsidRPr="00D76227" w:rsidRDefault="00BE33B1" w:rsidP="005922FB">
            <w:pPr>
              <w:spacing w:after="0"/>
              <w:jc w:val="right"/>
              <w:rPr>
                <w:rFonts w:eastAsia="Times New Roman" w:cs="Arial"/>
                <w:sz w:val="20"/>
              </w:rPr>
            </w:pPr>
            <w:r w:rsidRPr="00D76227">
              <w:rPr>
                <w:rFonts w:eastAsia="Times New Roman" w:cs="Arial"/>
                <w:sz w:val="20"/>
              </w:rPr>
              <w:t>10.91%</w:t>
            </w:r>
            <w:r w:rsidRPr="00D76227">
              <w:rPr>
                <w:rFonts w:eastAsia="Times New Roman" w:cs="Arial"/>
                <w:sz w:val="20"/>
                <w:vertAlign w:val="superscript"/>
              </w:rPr>
              <w:t xml:space="preserve"> c</w:t>
            </w:r>
          </w:p>
        </w:tc>
      </w:tr>
      <w:tr w:rsidR="00BE33B1" w:rsidRPr="00D76227" w14:paraId="66812F45" w14:textId="77777777" w:rsidTr="005922FB">
        <w:trPr>
          <w:trHeight w:val="387"/>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B6AB1F2" w14:textId="77777777" w:rsidR="00BE33B1" w:rsidRPr="00D76227" w:rsidRDefault="00BE33B1" w:rsidP="005922FB">
            <w:pPr>
              <w:spacing w:after="0"/>
              <w:rPr>
                <w:rFonts w:eastAsia="Times New Roman" w:cs="Arial"/>
                <w:sz w:val="20"/>
              </w:rPr>
            </w:pPr>
            <w:r w:rsidRPr="00D76227">
              <w:rPr>
                <w:rFonts w:eastAsia="Times New Roman" w:cs="Arial"/>
                <w:sz w:val="20"/>
              </w:rPr>
              <w:t>Interferon beta-1a</w:t>
            </w:r>
          </w:p>
        </w:tc>
        <w:tc>
          <w:tcPr>
            <w:tcW w:w="1985" w:type="dxa"/>
            <w:tcBorders>
              <w:top w:val="nil"/>
              <w:left w:val="nil"/>
              <w:bottom w:val="single" w:sz="4" w:space="0" w:color="auto"/>
              <w:right w:val="single" w:sz="4" w:space="0" w:color="auto"/>
            </w:tcBorders>
            <w:shd w:val="clear" w:color="auto" w:fill="auto"/>
            <w:noWrap/>
            <w:vAlign w:val="bottom"/>
            <w:hideMark/>
          </w:tcPr>
          <w:p w14:paraId="6739522D" w14:textId="77777777" w:rsidR="00BE33B1" w:rsidRPr="00D76227" w:rsidRDefault="00BE33B1" w:rsidP="005922FB">
            <w:pPr>
              <w:spacing w:after="0"/>
              <w:jc w:val="right"/>
              <w:rPr>
                <w:rFonts w:eastAsia="Times New Roman" w:cs="Arial"/>
                <w:sz w:val="20"/>
              </w:rPr>
            </w:pPr>
            <w:r w:rsidRPr="00D76227">
              <w:rPr>
                <w:rFonts w:eastAsia="Times New Roman" w:cs="Arial"/>
                <w:sz w:val="20"/>
              </w:rPr>
              <w:t>87.53%</w:t>
            </w:r>
          </w:p>
        </w:tc>
        <w:tc>
          <w:tcPr>
            <w:tcW w:w="2507" w:type="dxa"/>
            <w:tcBorders>
              <w:top w:val="nil"/>
              <w:left w:val="nil"/>
              <w:bottom w:val="single" w:sz="4" w:space="0" w:color="auto"/>
              <w:right w:val="single" w:sz="4" w:space="0" w:color="auto"/>
            </w:tcBorders>
            <w:shd w:val="clear" w:color="auto" w:fill="auto"/>
            <w:noWrap/>
            <w:vAlign w:val="bottom"/>
            <w:hideMark/>
          </w:tcPr>
          <w:p w14:paraId="1D126A35" w14:textId="77777777" w:rsidR="00BE33B1" w:rsidRPr="00D76227" w:rsidRDefault="00BE33B1" w:rsidP="005922FB">
            <w:pPr>
              <w:spacing w:after="0"/>
              <w:jc w:val="right"/>
              <w:rPr>
                <w:rFonts w:eastAsia="Times New Roman" w:cs="Arial"/>
                <w:sz w:val="20"/>
              </w:rPr>
            </w:pPr>
            <w:r w:rsidRPr="00D76227">
              <w:rPr>
                <w:rFonts w:eastAsia="Times New Roman" w:cs="Arial"/>
                <w:sz w:val="20"/>
              </w:rPr>
              <w:t>21.78%</w:t>
            </w:r>
            <w:r w:rsidRPr="00D76227">
              <w:rPr>
                <w:rFonts w:eastAsia="Times New Roman" w:cs="Arial"/>
                <w:sz w:val="20"/>
                <w:vertAlign w:val="superscript"/>
              </w:rPr>
              <w:t xml:space="preserve"> c</w:t>
            </w:r>
          </w:p>
        </w:tc>
      </w:tr>
      <w:tr w:rsidR="00BE33B1" w:rsidRPr="00D76227" w14:paraId="76DA126E" w14:textId="77777777" w:rsidTr="005922FB">
        <w:trPr>
          <w:trHeight w:val="421"/>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4FF56DE" w14:textId="77777777" w:rsidR="00BE33B1" w:rsidRPr="00D76227" w:rsidRDefault="00BE33B1" w:rsidP="005922FB">
            <w:pPr>
              <w:spacing w:after="0"/>
              <w:rPr>
                <w:rFonts w:eastAsia="Times New Roman" w:cs="Arial"/>
                <w:sz w:val="20"/>
              </w:rPr>
            </w:pPr>
            <w:r w:rsidRPr="00D76227">
              <w:rPr>
                <w:rFonts w:eastAsia="Times New Roman" w:cs="Arial"/>
                <w:sz w:val="20"/>
              </w:rPr>
              <w:t xml:space="preserve">Interferon beta-1b </w:t>
            </w:r>
          </w:p>
        </w:tc>
        <w:tc>
          <w:tcPr>
            <w:tcW w:w="1985" w:type="dxa"/>
            <w:tcBorders>
              <w:top w:val="nil"/>
              <w:left w:val="nil"/>
              <w:bottom w:val="single" w:sz="4" w:space="0" w:color="auto"/>
              <w:right w:val="single" w:sz="4" w:space="0" w:color="auto"/>
            </w:tcBorders>
            <w:shd w:val="clear" w:color="auto" w:fill="auto"/>
            <w:noWrap/>
            <w:vAlign w:val="bottom"/>
            <w:hideMark/>
          </w:tcPr>
          <w:p w14:paraId="52B42C3C" w14:textId="77777777" w:rsidR="00BE33B1" w:rsidRPr="00D76227" w:rsidRDefault="00BE33B1" w:rsidP="005922FB">
            <w:pPr>
              <w:spacing w:after="0"/>
              <w:jc w:val="right"/>
              <w:rPr>
                <w:rFonts w:eastAsia="Times New Roman" w:cs="Arial"/>
                <w:sz w:val="20"/>
              </w:rPr>
            </w:pPr>
            <w:r w:rsidRPr="00D76227">
              <w:rPr>
                <w:rFonts w:eastAsia="Times New Roman" w:cs="Arial"/>
                <w:sz w:val="20"/>
              </w:rPr>
              <w:t>81.58%</w:t>
            </w:r>
          </w:p>
        </w:tc>
        <w:tc>
          <w:tcPr>
            <w:tcW w:w="2507" w:type="dxa"/>
            <w:tcBorders>
              <w:top w:val="nil"/>
              <w:left w:val="nil"/>
              <w:bottom w:val="single" w:sz="4" w:space="0" w:color="auto"/>
              <w:right w:val="single" w:sz="4" w:space="0" w:color="auto"/>
            </w:tcBorders>
            <w:shd w:val="clear" w:color="auto" w:fill="auto"/>
            <w:noWrap/>
            <w:vAlign w:val="bottom"/>
            <w:hideMark/>
          </w:tcPr>
          <w:p w14:paraId="6511CC5E" w14:textId="77777777" w:rsidR="00BE33B1" w:rsidRPr="00D76227" w:rsidRDefault="00BE33B1" w:rsidP="005922FB">
            <w:pPr>
              <w:spacing w:after="0"/>
              <w:jc w:val="right"/>
              <w:rPr>
                <w:rFonts w:eastAsia="Times New Roman" w:cs="Arial"/>
                <w:sz w:val="20"/>
              </w:rPr>
            </w:pPr>
            <w:r w:rsidRPr="00D76227">
              <w:rPr>
                <w:rFonts w:eastAsia="Times New Roman" w:cs="Arial"/>
                <w:sz w:val="20"/>
              </w:rPr>
              <w:t>21.78%</w:t>
            </w:r>
            <w:r w:rsidRPr="00D76227">
              <w:rPr>
                <w:rFonts w:eastAsia="Times New Roman" w:cs="Arial"/>
                <w:sz w:val="20"/>
                <w:vertAlign w:val="superscript"/>
              </w:rPr>
              <w:t xml:space="preserve"> c</w:t>
            </w:r>
          </w:p>
        </w:tc>
      </w:tr>
      <w:tr w:rsidR="00BE33B1" w:rsidRPr="00D76227" w14:paraId="53533CFB" w14:textId="77777777" w:rsidTr="005922FB">
        <w:trPr>
          <w:trHeight w:val="2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701EF76" w14:textId="77777777" w:rsidR="00BE33B1" w:rsidRPr="00D76227" w:rsidRDefault="00BE33B1" w:rsidP="005922FB">
            <w:pPr>
              <w:spacing w:after="0"/>
              <w:rPr>
                <w:rFonts w:eastAsia="Times New Roman" w:cs="Arial"/>
                <w:sz w:val="20"/>
              </w:rPr>
            </w:pPr>
            <w:r w:rsidRPr="00D76227">
              <w:rPr>
                <w:rFonts w:eastAsia="Times New Roman" w:cs="Arial"/>
                <w:sz w:val="20"/>
              </w:rPr>
              <w:t>Glatiramer acetate</w:t>
            </w:r>
          </w:p>
        </w:tc>
        <w:tc>
          <w:tcPr>
            <w:tcW w:w="1985" w:type="dxa"/>
            <w:tcBorders>
              <w:top w:val="nil"/>
              <w:left w:val="nil"/>
              <w:bottom w:val="single" w:sz="4" w:space="0" w:color="auto"/>
              <w:right w:val="single" w:sz="4" w:space="0" w:color="auto"/>
            </w:tcBorders>
            <w:shd w:val="clear" w:color="auto" w:fill="auto"/>
            <w:noWrap/>
            <w:vAlign w:val="bottom"/>
            <w:hideMark/>
          </w:tcPr>
          <w:p w14:paraId="104C521E" w14:textId="77777777" w:rsidR="00BE33B1" w:rsidRPr="00D76227" w:rsidRDefault="00BE33B1" w:rsidP="005922FB">
            <w:pPr>
              <w:spacing w:after="0"/>
              <w:jc w:val="right"/>
              <w:rPr>
                <w:rFonts w:eastAsia="Times New Roman" w:cs="Arial"/>
                <w:sz w:val="20"/>
              </w:rPr>
            </w:pPr>
            <w:r w:rsidRPr="00D76227">
              <w:rPr>
                <w:rFonts w:eastAsia="Times New Roman" w:cs="Arial"/>
                <w:sz w:val="20"/>
              </w:rPr>
              <w:t>86.08%</w:t>
            </w:r>
          </w:p>
        </w:tc>
        <w:tc>
          <w:tcPr>
            <w:tcW w:w="2507" w:type="dxa"/>
            <w:tcBorders>
              <w:top w:val="nil"/>
              <w:left w:val="nil"/>
              <w:bottom w:val="single" w:sz="4" w:space="0" w:color="auto"/>
              <w:right w:val="single" w:sz="4" w:space="0" w:color="auto"/>
            </w:tcBorders>
            <w:shd w:val="clear" w:color="auto" w:fill="auto"/>
            <w:noWrap/>
            <w:vAlign w:val="bottom"/>
            <w:hideMark/>
          </w:tcPr>
          <w:p w14:paraId="5AF710FA" w14:textId="77777777" w:rsidR="00BE33B1" w:rsidRPr="00D76227" w:rsidRDefault="00BE33B1" w:rsidP="005922FB">
            <w:pPr>
              <w:spacing w:after="0"/>
              <w:jc w:val="right"/>
              <w:rPr>
                <w:rFonts w:eastAsia="Times New Roman" w:cs="Arial"/>
                <w:sz w:val="20"/>
              </w:rPr>
            </w:pPr>
            <w:r w:rsidRPr="00D76227">
              <w:rPr>
                <w:rFonts w:eastAsia="Times New Roman" w:cs="Arial"/>
                <w:sz w:val="20"/>
              </w:rPr>
              <w:t>4.00%</w:t>
            </w:r>
            <w:r w:rsidRPr="00D76227">
              <w:rPr>
                <w:rFonts w:eastAsia="Times New Roman" w:cs="Arial"/>
                <w:sz w:val="20"/>
                <w:vertAlign w:val="superscript"/>
              </w:rPr>
              <w:t xml:space="preserve"> d</w:t>
            </w:r>
          </w:p>
        </w:tc>
      </w:tr>
      <w:tr w:rsidR="00BE33B1" w:rsidRPr="00D76227" w14:paraId="2473F927" w14:textId="77777777" w:rsidTr="005922F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B57542F" w14:textId="77777777" w:rsidR="00BE33B1" w:rsidRPr="00D76227" w:rsidRDefault="00BE33B1" w:rsidP="005922FB">
            <w:pPr>
              <w:spacing w:after="0"/>
              <w:rPr>
                <w:rFonts w:eastAsia="Times New Roman" w:cs="Arial"/>
                <w:sz w:val="20"/>
              </w:rPr>
            </w:pPr>
            <w:r w:rsidRPr="00D76227">
              <w:rPr>
                <w:rFonts w:eastAsia="Times New Roman" w:cs="Arial"/>
                <w:sz w:val="20"/>
              </w:rPr>
              <w:t>Fingolimod</w:t>
            </w:r>
          </w:p>
        </w:tc>
        <w:tc>
          <w:tcPr>
            <w:tcW w:w="1985" w:type="dxa"/>
            <w:tcBorders>
              <w:top w:val="nil"/>
              <w:left w:val="nil"/>
              <w:bottom w:val="single" w:sz="4" w:space="0" w:color="auto"/>
              <w:right w:val="single" w:sz="4" w:space="0" w:color="auto"/>
            </w:tcBorders>
            <w:shd w:val="clear" w:color="auto" w:fill="auto"/>
            <w:noWrap/>
            <w:vAlign w:val="bottom"/>
            <w:hideMark/>
          </w:tcPr>
          <w:p w14:paraId="2045513D" w14:textId="77777777" w:rsidR="00BE33B1" w:rsidRPr="00D76227" w:rsidRDefault="00BE33B1" w:rsidP="005922FB">
            <w:pPr>
              <w:spacing w:after="0"/>
              <w:jc w:val="right"/>
              <w:rPr>
                <w:rFonts w:eastAsia="Times New Roman" w:cs="Arial"/>
                <w:sz w:val="20"/>
              </w:rPr>
            </w:pPr>
            <w:r w:rsidRPr="00D76227">
              <w:rPr>
                <w:rFonts w:eastAsia="Times New Roman" w:cs="Arial"/>
                <w:sz w:val="20"/>
              </w:rPr>
              <w:t>91.20%</w:t>
            </w:r>
          </w:p>
        </w:tc>
        <w:tc>
          <w:tcPr>
            <w:tcW w:w="2507" w:type="dxa"/>
            <w:tcBorders>
              <w:top w:val="nil"/>
              <w:left w:val="nil"/>
              <w:bottom w:val="single" w:sz="4" w:space="0" w:color="auto"/>
              <w:right w:val="single" w:sz="4" w:space="0" w:color="auto"/>
            </w:tcBorders>
            <w:shd w:val="clear" w:color="auto" w:fill="auto"/>
            <w:noWrap/>
            <w:vAlign w:val="bottom"/>
            <w:hideMark/>
          </w:tcPr>
          <w:p w14:paraId="1E4A538D" w14:textId="77777777" w:rsidR="00BE33B1" w:rsidRPr="00D76227" w:rsidRDefault="00BE33B1" w:rsidP="005922FB">
            <w:pPr>
              <w:spacing w:after="0"/>
              <w:jc w:val="right"/>
              <w:rPr>
                <w:rFonts w:eastAsia="Times New Roman" w:cs="Arial"/>
                <w:sz w:val="20"/>
              </w:rPr>
            </w:pPr>
            <w:r w:rsidRPr="00D76227">
              <w:rPr>
                <w:rFonts w:eastAsia="Times New Roman" w:cs="Arial"/>
                <w:sz w:val="20"/>
              </w:rPr>
              <w:t>6.21%</w:t>
            </w:r>
            <w:r w:rsidRPr="00D76227">
              <w:rPr>
                <w:rFonts w:eastAsia="Times New Roman" w:cs="Arial"/>
                <w:sz w:val="20"/>
                <w:vertAlign w:val="superscript"/>
              </w:rPr>
              <w:t xml:space="preserve"> e</w:t>
            </w:r>
          </w:p>
        </w:tc>
      </w:tr>
      <w:tr w:rsidR="00BE33B1" w:rsidRPr="00D76227" w14:paraId="43CD364A" w14:textId="77777777" w:rsidTr="005922F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02A1819" w14:textId="77777777" w:rsidR="00BE33B1" w:rsidRPr="00D76227" w:rsidRDefault="00BE33B1" w:rsidP="005922FB">
            <w:pPr>
              <w:spacing w:after="0"/>
              <w:rPr>
                <w:rFonts w:eastAsia="Times New Roman" w:cs="Arial"/>
                <w:sz w:val="20"/>
              </w:rPr>
            </w:pPr>
            <w:r w:rsidRPr="00D76227">
              <w:rPr>
                <w:rFonts w:eastAsia="Times New Roman" w:cs="Arial"/>
                <w:sz w:val="20"/>
              </w:rPr>
              <w:t>Natalizumab</w:t>
            </w:r>
          </w:p>
        </w:tc>
        <w:tc>
          <w:tcPr>
            <w:tcW w:w="1985" w:type="dxa"/>
            <w:tcBorders>
              <w:top w:val="nil"/>
              <w:left w:val="nil"/>
              <w:bottom w:val="single" w:sz="4" w:space="0" w:color="auto"/>
              <w:right w:val="single" w:sz="4" w:space="0" w:color="auto"/>
            </w:tcBorders>
            <w:shd w:val="clear" w:color="auto" w:fill="auto"/>
            <w:noWrap/>
            <w:vAlign w:val="bottom"/>
            <w:hideMark/>
          </w:tcPr>
          <w:p w14:paraId="39EB4323" w14:textId="77777777" w:rsidR="00BE33B1" w:rsidRPr="00D76227" w:rsidRDefault="00BE33B1" w:rsidP="005922FB">
            <w:pPr>
              <w:spacing w:after="0"/>
              <w:jc w:val="right"/>
              <w:rPr>
                <w:rFonts w:eastAsia="Times New Roman" w:cs="Arial"/>
                <w:sz w:val="20"/>
              </w:rPr>
            </w:pPr>
            <w:r w:rsidRPr="00D76227">
              <w:rPr>
                <w:rFonts w:eastAsia="Times New Roman" w:cs="Arial"/>
                <w:sz w:val="20"/>
              </w:rPr>
              <w:t>91.76%</w:t>
            </w:r>
          </w:p>
        </w:tc>
        <w:tc>
          <w:tcPr>
            <w:tcW w:w="2507" w:type="dxa"/>
            <w:tcBorders>
              <w:top w:val="nil"/>
              <w:left w:val="nil"/>
              <w:bottom w:val="single" w:sz="4" w:space="0" w:color="auto"/>
              <w:right w:val="single" w:sz="4" w:space="0" w:color="auto"/>
            </w:tcBorders>
            <w:shd w:val="clear" w:color="auto" w:fill="auto"/>
            <w:noWrap/>
            <w:vAlign w:val="bottom"/>
            <w:hideMark/>
          </w:tcPr>
          <w:p w14:paraId="117B5735" w14:textId="77777777" w:rsidR="00BE33B1" w:rsidRPr="00D76227" w:rsidRDefault="00BE33B1" w:rsidP="005922FB">
            <w:pPr>
              <w:spacing w:after="0"/>
              <w:jc w:val="right"/>
              <w:rPr>
                <w:rFonts w:eastAsia="Times New Roman" w:cs="Arial"/>
                <w:sz w:val="20"/>
              </w:rPr>
            </w:pPr>
            <w:r w:rsidRPr="00D76227">
              <w:rPr>
                <w:rFonts w:eastAsia="Times New Roman" w:cs="Arial"/>
                <w:sz w:val="20"/>
              </w:rPr>
              <w:t>2.39%</w:t>
            </w:r>
            <w:r w:rsidRPr="00D76227">
              <w:rPr>
                <w:rFonts w:eastAsia="Times New Roman" w:cs="Arial"/>
                <w:sz w:val="20"/>
                <w:vertAlign w:val="superscript"/>
              </w:rPr>
              <w:t xml:space="preserve"> f</w:t>
            </w:r>
          </w:p>
        </w:tc>
      </w:tr>
    </w:tbl>
    <w:p w14:paraId="32A88AE7" w14:textId="77777777" w:rsidR="00BE33B1" w:rsidRPr="0097204E" w:rsidRDefault="00BE33B1" w:rsidP="00BE33B1">
      <w:pPr>
        <w:spacing w:after="0"/>
        <w:rPr>
          <w:sz w:val="20"/>
          <w:szCs w:val="20"/>
        </w:rPr>
      </w:pPr>
      <w:r w:rsidRPr="0097204E">
        <w:rPr>
          <w:sz w:val="20"/>
          <w:szCs w:val="20"/>
        </w:rPr>
        <w:t>Note:</w:t>
      </w:r>
    </w:p>
    <w:p w14:paraId="06E5877A" w14:textId="77777777" w:rsidR="00BE33B1" w:rsidRPr="0097204E" w:rsidRDefault="00BE33B1" w:rsidP="00BE33B1">
      <w:pPr>
        <w:spacing w:after="0"/>
        <w:rPr>
          <w:sz w:val="20"/>
          <w:szCs w:val="20"/>
        </w:rPr>
      </w:pPr>
      <w:r w:rsidRPr="0097204E">
        <w:rPr>
          <w:sz w:val="20"/>
          <w:szCs w:val="20"/>
          <w:vertAlign w:val="superscript"/>
        </w:rPr>
        <w:t>a</w:t>
      </w:r>
      <w:r w:rsidRPr="0097204E">
        <w:rPr>
          <w:sz w:val="20"/>
          <w:szCs w:val="20"/>
        </w:rPr>
        <w:t xml:space="preserve"> Based on the outcomes of a Treatment Compliance Report </w:t>
      </w:r>
      <w:r w:rsidRPr="00573C95">
        <w:rPr>
          <w:sz w:val="20"/>
          <w:szCs w:val="20"/>
        </w:rPr>
        <w:t>provided in the submission.</w:t>
      </w:r>
    </w:p>
    <w:p w14:paraId="2E8B18B5" w14:textId="77777777" w:rsidR="00BE33B1" w:rsidRPr="0097204E" w:rsidRDefault="00BE33B1" w:rsidP="00BE33B1">
      <w:pPr>
        <w:spacing w:after="0"/>
        <w:rPr>
          <w:sz w:val="20"/>
          <w:szCs w:val="20"/>
        </w:rPr>
      </w:pPr>
      <w:r w:rsidRPr="0097204E">
        <w:rPr>
          <w:sz w:val="20"/>
          <w:szCs w:val="20"/>
          <w:vertAlign w:val="superscript"/>
        </w:rPr>
        <w:t>b</w:t>
      </w:r>
      <w:r w:rsidRPr="0097204E">
        <w:rPr>
          <w:sz w:val="20"/>
          <w:szCs w:val="20"/>
        </w:rPr>
        <w:t xml:space="preserve"> Assumption based on the compliance to another oral therapy, fingolimod.</w:t>
      </w:r>
    </w:p>
    <w:p w14:paraId="293F92E0" w14:textId="77777777" w:rsidR="00BE33B1" w:rsidRPr="0097204E" w:rsidRDefault="00BE33B1" w:rsidP="00BE33B1">
      <w:pPr>
        <w:spacing w:after="0"/>
        <w:rPr>
          <w:rFonts w:eastAsia="Times New Roman" w:cs="Arial"/>
          <w:sz w:val="20"/>
          <w:szCs w:val="20"/>
        </w:rPr>
      </w:pPr>
      <w:r w:rsidRPr="0097204E">
        <w:rPr>
          <w:rFonts w:eastAsia="Times New Roman" w:cs="Arial"/>
          <w:sz w:val="20"/>
          <w:szCs w:val="20"/>
          <w:vertAlign w:val="superscript"/>
        </w:rPr>
        <w:t>c</w:t>
      </w:r>
      <w:r w:rsidRPr="0097204E">
        <w:rPr>
          <w:rFonts w:eastAsia="Times New Roman" w:cs="Arial"/>
          <w:sz w:val="20"/>
          <w:szCs w:val="20"/>
        </w:rPr>
        <w:t xml:space="preserve"> Sourced from the TENERE study.</w:t>
      </w:r>
    </w:p>
    <w:p w14:paraId="06F25AEB" w14:textId="77777777" w:rsidR="00BE33B1" w:rsidRPr="0097204E" w:rsidRDefault="00BE33B1" w:rsidP="00BE33B1">
      <w:pPr>
        <w:spacing w:after="0"/>
        <w:rPr>
          <w:sz w:val="20"/>
          <w:szCs w:val="20"/>
        </w:rPr>
      </w:pPr>
      <w:r w:rsidRPr="0097204E">
        <w:rPr>
          <w:rFonts w:eastAsia="Times New Roman" w:cs="Arial"/>
          <w:sz w:val="20"/>
          <w:szCs w:val="20"/>
          <w:vertAlign w:val="superscript"/>
        </w:rPr>
        <w:t>d</w:t>
      </w:r>
      <w:r w:rsidRPr="0097204E">
        <w:rPr>
          <w:rFonts w:eastAsia="Times New Roman" w:cs="Arial"/>
          <w:sz w:val="20"/>
          <w:szCs w:val="20"/>
        </w:rPr>
        <w:t xml:space="preserve"> </w:t>
      </w:r>
      <w:r w:rsidRPr="0097204E">
        <w:rPr>
          <w:sz w:val="20"/>
          <w:szCs w:val="20"/>
        </w:rPr>
        <w:t>Johnson et al. (1995).</w:t>
      </w:r>
    </w:p>
    <w:p w14:paraId="1A969E0C" w14:textId="77777777" w:rsidR="00BE33B1" w:rsidRPr="0097204E" w:rsidRDefault="00BE33B1" w:rsidP="00BE33B1">
      <w:pPr>
        <w:spacing w:after="0"/>
        <w:rPr>
          <w:sz w:val="20"/>
          <w:szCs w:val="20"/>
        </w:rPr>
      </w:pPr>
      <w:r w:rsidRPr="0097204E">
        <w:rPr>
          <w:rFonts w:eastAsia="Times New Roman" w:cs="Arial"/>
          <w:sz w:val="20"/>
          <w:szCs w:val="20"/>
          <w:vertAlign w:val="superscript"/>
        </w:rPr>
        <w:t>e</w:t>
      </w:r>
      <w:r w:rsidRPr="0097204E">
        <w:rPr>
          <w:rFonts w:eastAsia="Times New Roman" w:cs="Arial"/>
          <w:sz w:val="20"/>
          <w:szCs w:val="20"/>
        </w:rPr>
        <w:t xml:space="preserve"> </w:t>
      </w:r>
      <w:r w:rsidRPr="0097204E">
        <w:rPr>
          <w:sz w:val="20"/>
          <w:szCs w:val="20"/>
        </w:rPr>
        <w:t>Cohen et al. (2010); Kappos et al. (2010).</w:t>
      </w:r>
    </w:p>
    <w:p w14:paraId="1F3A0070" w14:textId="77777777" w:rsidR="00BE33B1" w:rsidRPr="0097204E" w:rsidRDefault="00BE33B1" w:rsidP="00BE33B1">
      <w:pPr>
        <w:spacing w:after="0"/>
        <w:rPr>
          <w:sz w:val="20"/>
          <w:szCs w:val="20"/>
        </w:rPr>
      </w:pPr>
      <w:r w:rsidRPr="0097204E">
        <w:rPr>
          <w:rFonts w:eastAsia="Times New Roman" w:cs="Arial"/>
          <w:sz w:val="20"/>
          <w:szCs w:val="20"/>
          <w:vertAlign w:val="superscript"/>
        </w:rPr>
        <w:t>f</w:t>
      </w:r>
      <w:r w:rsidRPr="0097204E">
        <w:rPr>
          <w:rFonts w:eastAsia="Times New Roman" w:cs="Arial"/>
          <w:sz w:val="20"/>
          <w:szCs w:val="20"/>
        </w:rPr>
        <w:t xml:space="preserve"> </w:t>
      </w:r>
      <w:r w:rsidRPr="0097204E">
        <w:rPr>
          <w:sz w:val="20"/>
          <w:szCs w:val="20"/>
        </w:rPr>
        <w:t>Polman et al. (2006).</w:t>
      </w:r>
    </w:p>
    <w:p w14:paraId="0F2F8682" w14:textId="77777777" w:rsidR="00BE33B1" w:rsidRPr="002F6FF9" w:rsidRDefault="00BE33B1" w:rsidP="00BE33B1">
      <w:pPr>
        <w:spacing w:after="0"/>
      </w:pPr>
    </w:p>
    <w:p w14:paraId="2D47D716" w14:textId="77777777" w:rsidR="00BE33B1" w:rsidRDefault="00BE33B1" w:rsidP="00BE33B1">
      <w:pPr>
        <w:spacing w:after="0"/>
      </w:pPr>
      <w:r>
        <w:t xml:space="preserve">Table 5 presents the estimated utilisation of teriflunomide. These figures were adjusted by </w:t>
      </w:r>
      <w:r w:rsidRPr="00DA4708">
        <w:t>an assumption, based on a treatment practice survey undertaken by the sponsor, that 6.64% of patients would not otherwise have received treatment.</w:t>
      </w:r>
      <w:r>
        <w:t xml:space="preserve"> In deriving the average number of prescriptions per patient, the compliance rate was based on an assumption of 91.20% and the discontinuation rate was assumed to be 10.91% based on the TENERE study.</w:t>
      </w:r>
    </w:p>
    <w:p w14:paraId="381320C3" w14:textId="77777777" w:rsidR="00BE33B1" w:rsidRDefault="00BE33B1" w:rsidP="00BE33B1">
      <w:pPr>
        <w:spacing w:after="0"/>
      </w:pPr>
    </w:p>
    <w:p w14:paraId="50DCB467" w14:textId="77777777" w:rsidR="00BE33B1" w:rsidRDefault="00BE33B1" w:rsidP="00BE33B1">
      <w:pPr>
        <w:spacing w:after="0"/>
        <w:rPr>
          <w:b/>
        </w:rPr>
      </w:pPr>
      <w:r>
        <w:rPr>
          <w:b/>
        </w:rPr>
        <w:t>Table 5</w:t>
      </w:r>
      <w:r w:rsidRPr="0045468A">
        <w:rPr>
          <w:b/>
        </w:rPr>
        <w:t xml:space="preserve">. </w:t>
      </w:r>
      <w:r>
        <w:rPr>
          <w:b/>
        </w:rPr>
        <w:t>Projected utilisation for teriflunomide</w:t>
      </w:r>
    </w:p>
    <w:p w14:paraId="3E01ABE9" w14:textId="77777777" w:rsidR="00BE33B1" w:rsidRPr="00F943FC" w:rsidRDefault="00BE33B1" w:rsidP="00BE33B1">
      <w:pPr>
        <w:spacing w:after="0"/>
        <w:rPr>
          <w:b/>
        </w:rPr>
      </w:pPr>
    </w:p>
    <w:tbl>
      <w:tblPr>
        <w:tblW w:w="8789" w:type="dxa"/>
        <w:tblInd w:w="108" w:type="dxa"/>
        <w:tblLook w:val="04A0" w:firstRow="1" w:lastRow="0" w:firstColumn="1" w:lastColumn="0" w:noHBand="0" w:noVBand="1"/>
      </w:tblPr>
      <w:tblGrid>
        <w:gridCol w:w="3544"/>
        <w:gridCol w:w="1107"/>
        <w:gridCol w:w="1006"/>
        <w:gridCol w:w="1006"/>
        <w:gridCol w:w="1120"/>
        <w:gridCol w:w="1006"/>
      </w:tblGrid>
      <w:tr w:rsidR="00BE33B1" w:rsidRPr="00EE2D03" w14:paraId="60709947" w14:textId="77777777" w:rsidTr="005922FB">
        <w:trPr>
          <w:trHeight w:val="255"/>
        </w:trPr>
        <w:tc>
          <w:tcPr>
            <w:tcW w:w="3544" w:type="dxa"/>
            <w:tcBorders>
              <w:top w:val="nil"/>
              <w:left w:val="nil"/>
              <w:bottom w:val="nil"/>
              <w:right w:val="nil"/>
            </w:tcBorders>
            <w:shd w:val="clear" w:color="auto" w:fill="auto"/>
            <w:vAlign w:val="center"/>
            <w:hideMark/>
          </w:tcPr>
          <w:p w14:paraId="612CD0F9" w14:textId="77777777" w:rsidR="00BE33B1" w:rsidRPr="00EE2D03" w:rsidRDefault="00BE33B1" w:rsidP="005922FB">
            <w:pPr>
              <w:spacing w:after="0"/>
              <w:rPr>
                <w:rFonts w:eastAsia="Times New Roman" w:cs="Arial"/>
                <w:sz w:val="20"/>
                <w:szCs w:val="20"/>
              </w:rPr>
            </w:pPr>
          </w:p>
        </w:tc>
        <w:tc>
          <w:tcPr>
            <w:tcW w:w="1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59DDAA" w14:textId="77777777" w:rsidR="00BE33B1" w:rsidRPr="00EE2D03" w:rsidRDefault="00BE33B1" w:rsidP="005922FB">
            <w:pPr>
              <w:spacing w:after="0"/>
              <w:jc w:val="center"/>
              <w:rPr>
                <w:rFonts w:eastAsia="Times New Roman" w:cs="Arial"/>
                <w:b/>
                <w:sz w:val="20"/>
                <w:szCs w:val="20"/>
              </w:rPr>
            </w:pPr>
            <w:r w:rsidRPr="00EE2D03">
              <w:rPr>
                <w:rFonts w:eastAsia="Times New Roman" w:cs="Arial"/>
                <w:b/>
                <w:sz w:val="20"/>
                <w:szCs w:val="20"/>
              </w:rPr>
              <w:t>Year 1</w:t>
            </w:r>
          </w:p>
        </w:tc>
        <w:tc>
          <w:tcPr>
            <w:tcW w:w="10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998A3E" w14:textId="77777777" w:rsidR="00BE33B1" w:rsidRPr="00EE2D03" w:rsidRDefault="00BE33B1" w:rsidP="005922FB">
            <w:pPr>
              <w:spacing w:after="0"/>
              <w:jc w:val="center"/>
              <w:rPr>
                <w:rFonts w:eastAsia="Times New Roman" w:cs="Arial"/>
                <w:b/>
                <w:sz w:val="20"/>
                <w:szCs w:val="20"/>
              </w:rPr>
            </w:pPr>
            <w:r w:rsidRPr="00EE2D03">
              <w:rPr>
                <w:rFonts w:eastAsia="Times New Roman" w:cs="Arial"/>
                <w:b/>
                <w:sz w:val="20"/>
                <w:szCs w:val="20"/>
              </w:rPr>
              <w:t>Year 2</w:t>
            </w:r>
          </w:p>
        </w:tc>
        <w:tc>
          <w:tcPr>
            <w:tcW w:w="10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E592AF0" w14:textId="77777777" w:rsidR="00BE33B1" w:rsidRPr="00EE2D03" w:rsidRDefault="00BE33B1" w:rsidP="005922FB">
            <w:pPr>
              <w:spacing w:after="0"/>
              <w:jc w:val="center"/>
              <w:rPr>
                <w:rFonts w:eastAsia="Times New Roman" w:cs="Arial"/>
                <w:b/>
                <w:sz w:val="20"/>
                <w:szCs w:val="20"/>
              </w:rPr>
            </w:pPr>
            <w:r w:rsidRPr="00EE2D03">
              <w:rPr>
                <w:rFonts w:eastAsia="Times New Roman" w:cs="Arial"/>
                <w:b/>
                <w:sz w:val="20"/>
                <w:szCs w:val="20"/>
              </w:rPr>
              <w:t>Year 3</w:t>
            </w:r>
          </w:p>
        </w:tc>
        <w:tc>
          <w:tcPr>
            <w:tcW w:w="11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DD11ECA" w14:textId="77777777" w:rsidR="00BE33B1" w:rsidRPr="00EE2D03" w:rsidRDefault="00BE33B1" w:rsidP="005922FB">
            <w:pPr>
              <w:spacing w:after="0"/>
              <w:jc w:val="center"/>
              <w:rPr>
                <w:rFonts w:eastAsia="Times New Roman" w:cs="Arial"/>
                <w:b/>
                <w:sz w:val="20"/>
                <w:szCs w:val="20"/>
              </w:rPr>
            </w:pPr>
            <w:r w:rsidRPr="00EE2D03">
              <w:rPr>
                <w:rFonts w:eastAsia="Times New Roman" w:cs="Arial"/>
                <w:b/>
                <w:sz w:val="20"/>
                <w:szCs w:val="20"/>
              </w:rPr>
              <w:t>Year 4</w:t>
            </w:r>
          </w:p>
        </w:tc>
        <w:tc>
          <w:tcPr>
            <w:tcW w:w="10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A9710EA" w14:textId="77777777" w:rsidR="00BE33B1" w:rsidRPr="00EE2D03" w:rsidRDefault="00BE33B1" w:rsidP="005922FB">
            <w:pPr>
              <w:spacing w:after="0"/>
              <w:jc w:val="center"/>
              <w:rPr>
                <w:rFonts w:eastAsia="Times New Roman" w:cs="Arial"/>
                <w:b/>
                <w:sz w:val="20"/>
                <w:szCs w:val="20"/>
              </w:rPr>
            </w:pPr>
            <w:r w:rsidRPr="00EE2D03">
              <w:rPr>
                <w:rFonts w:eastAsia="Times New Roman" w:cs="Arial"/>
                <w:b/>
                <w:sz w:val="20"/>
                <w:szCs w:val="20"/>
              </w:rPr>
              <w:t>Year 5</w:t>
            </w:r>
          </w:p>
        </w:tc>
      </w:tr>
      <w:tr w:rsidR="00BE33B1" w:rsidRPr="00EE2D03" w14:paraId="5EE9DAA8" w14:textId="77777777" w:rsidTr="005922FB">
        <w:trPr>
          <w:trHeight w:val="51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52271" w14:textId="77777777" w:rsidR="00BE33B1" w:rsidRPr="00EE2D03" w:rsidRDefault="00BE33B1" w:rsidP="005922FB">
            <w:pPr>
              <w:spacing w:after="0"/>
              <w:rPr>
                <w:rFonts w:eastAsia="Times New Roman" w:cs="Arial"/>
                <w:sz w:val="20"/>
                <w:szCs w:val="20"/>
              </w:rPr>
            </w:pPr>
            <w:r w:rsidRPr="00EE2D03">
              <w:rPr>
                <w:rFonts w:eastAsia="Times New Roman" w:cs="Arial"/>
                <w:sz w:val="20"/>
                <w:szCs w:val="20"/>
              </w:rPr>
              <w:t>Total projected scripts for all RRMS listings</w:t>
            </w:r>
          </w:p>
        </w:tc>
        <w:tc>
          <w:tcPr>
            <w:tcW w:w="1107" w:type="dxa"/>
            <w:tcBorders>
              <w:top w:val="nil"/>
              <w:left w:val="nil"/>
              <w:bottom w:val="single" w:sz="4" w:space="0" w:color="auto"/>
              <w:right w:val="single" w:sz="4" w:space="0" w:color="auto"/>
            </w:tcBorders>
            <w:shd w:val="clear" w:color="auto" w:fill="auto"/>
            <w:vAlign w:val="center"/>
            <w:hideMark/>
          </w:tcPr>
          <w:p w14:paraId="71F7273C"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146,181</w:t>
            </w:r>
          </w:p>
        </w:tc>
        <w:tc>
          <w:tcPr>
            <w:tcW w:w="1006" w:type="dxa"/>
            <w:tcBorders>
              <w:top w:val="nil"/>
              <w:left w:val="nil"/>
              <w:bottom w:val="single" w:sz="4" w:space="0" w:color="auto"/>
              <w:right w:val="single" w:sz="4" w:space="0" w:color="auto"/>
            </w:tcBorders>
            <w:shd w:val="clear" w:color="auto" w:fill="auto"/>
            <w:vAlign w:val="center"/>
            <w:hideMark/>
          </w:tcPr>
          <w:p w14:paraId="31A90F00"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148,182</w:t>
            </w:r>
          </w:p>
        </w:tc>
        <w:tc>
          <w:tcPr>
            <w:tcW w:w="1006" w:type="dxa"/>
            <w:tcBorders>
              <w:top w:val="nil"/>
              <w:left w:val="nil"/>
              <w:bottom w:val="single" w:sz="4" w:space="0" w:color="auto"/>
              <w:right w:val="single" w:sz="4" w:space="0" w:color="auto"/>
            </w:tcBorders>
            <w:shd w:val="clear" w:color="auto" w:fill="auto"/>
            <w:vAlign w:val="center"/>
            <w:hideMark/>
          </w:tcPr>
          <w:p w14:paraId="3DB1438C"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150,210</w:t>
            </w:r>
          </w:p>
        </w:tc>
        <w:tc>
          <w:tcPr>
            <w:tcW w:w="1120" w:type="dxa"/>
            <w:tcBorders>
              <w:top w:val="nil"/>
              <w:left w:val="nil"/>
              <w:bottom w:val="single" w:sz="4" w:space="0" w:color="auto"/>
              <w:right w:val="single" w:sz="4" w:space="0" w:color="auto"/>
            </w:tcBorders>
            <w:shd w:val="clear" w:color="auto" w:fill="auto"/>
            <w:vAlign w:val="center"/>
            <w:hideMark/>
          </w:tcPr>
          <w:p w14:paraId="547935D0"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152,265</w:t>
            </w:r>
          </w:p>
        </w:tc>
        <w:tc>
          <w:tcPr>
            <w:tcW w:w="1006" w:type="dxa"/>
            <w:tcBorders>
              <w:top w:val="nil"/>
              <w:left w:val="nil"/>
              <w:bottom w:val="single" w:sz="4" w:space="0" w:color="auto"/>
              <w:right w:val="single" w:sz="4" w:space="0" w:color="auto"/>
            </w:tcBorders>
            <w:shd w:val="clear" w:color="auto" w:fill="auto"/>
            <w:vAlign w:val="center"/>
            <w:hideMark/>
          </w:tcPr>
          <w:p w14:paraId="4912523D"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154,349</w:t>
            </w:r>
          </w:p>
        </w:tc>
      </w:tr>
      <w:tr w:rsidR="00BE33B1" w:rsidRPr="00EE2D03" w14:paraId="4D611776" w14:textId="77777777" w:rsidTr="005922FB">
        <w:trPr>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C763978" w14:textId="77777777" w:rsidR="00BE33B1" w:rsidRPr="00EE2D03" w:rsidRDefault="00BE33B1" w:rsidP="005922FB">
            <w:pPr>
              <w:spacing w:after="0"/>
              <w:rPr>
                <w:rFonts w:eastAsia="Times New Roman" w:cs="Arial"/>
                <w:sz w:val="20"/>
                <w:szCs w:val="20"/>
              </w:rPr>
            </w:pPr>
            <w:r w:rsidRPr="00EE2D03">
              <w:rPr>
                <w:rFonts w:eastAsia="Times New Roman" w:cs="Arial"/>
                <w:sz w:val="20"/>
                <w:szCs w:val="20"/>
              </w:rPr>
              <w:t>Number of eligible patients</w:t>
            </w:r>
          </w:p>
        </w:tc>
        <w:tc>
          <w:tcPr>
            <w:tcW w:w="1107" w:type="dxa"/>
            <w:tcBorders>
              <w:top w:val="nil"/>
              <w:left w:val="nil"/>
              <w:bottom w:val="single" w:sz="4" w:space="0" w:color="auto"/>
              <w:right w:val="single" w:sz="4" w:space="0" w:color="auto"/>
            </w:tcBorders>
            <w:shd w:val="clear" w:color="auto" w:fill="auto"/>
            <w:vAlign w:val="center"/>
            <w:hideMark/>
          </w:tcPr>
          <w:p w14:paraId="6E8793A5"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15,276 </w:t>
            </w:r>
          </w:p>
        </w:tc>
        <w:tc>
          <w:tcPr>
            <w:tcW w:w="1006" w:type="dxa"/>
            <w:tcBorders>
              <w:top w:val="nil"/>
              <w:left w:val="nil"/>
              <w:bottom w:val="single" w:sz="4" w:space="0" w:color="auto"/>
              <w:right w:val="single" w:sz="4" w:space="0" w:color="auto"/>
            </w:tcBorders>
            <w:shd w:val="clear" w:color="auto" w:fill="auto"/>
            <w:vAlign w:val="center"/>
            <w:hideMark/>
          </w:tcPr>
          <w:p w14:paraId="62382616"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15,485 </w:t>
            </w:r>
          </w:p>
        </w:tc>
        <w:tc>
          <w:tcPr>
            <w:tcW w:w="1006" w:type="dxa"/>
            <w:tcBorders>
              <w:top w:val="nil"/>
              <w:left w:val="nil"/>
              <w:bottom w:val="single" w:sz="4" w:space="0" w:color="auto"/>
              <w:right w:val="single" w:sz="4" w:space="0" w:color="auto"/>
            </w:tcBorders>
            <w:shd w:val="clear" w:color="auto" w:fill="auto"/>
            <w:vAlign w:val="center"/>
            <w:hideMark/>
          </w:tcPr>
          <w:p w14:paraId="1F1A11A8"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15,697 </w:t>
            </w:r>
          </w:p>
        </w:tc>
        <w:tc>
          <w:tcPr>
            <w:tcW w:w="1120" w:type="dxa"/>
            <w:tcBorders>
              <w:top w:val="nil"/>
              <w:left w:val="nil"/>
              <w:bottom w:val="single" w:sz="4" w:space="0" w:color="auto"/>
              <w:right w:val="single" w:sz="4" w:space="0" w:color="auto"/>
            </w:tcBorders>
            <w:shd w:val="clear" w:color="auto" w:fill="auto"/>
            <w:vAlign w:val="center"/>
            <w:hideMark/>
          </w:tcPr>
          <w:p w14:paraId="46241094"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15,912 </w:t>
            </w:r>
          </w:p>
        </w:tc>
        <w:tc>
          <w:tcPr>
            <w:tcW w:w="1006" w:type="dxa"/>
            <w:tcBorders>
              <w:top w:val="nil"/>
              <w:left w:val="nil"/>
              <w:bottom w:val="single" w:sz="4" w:space="0" w:color="auto"/>
              <w:right w:val="single" w:sz="4" w:space="0" w:color="auto"/>
            </w:tcBorders>
            <w:shd w:val="clear" w:color="auto" w:fill="auto"/>
            <w:vAlign w:val="center"/>
            <w:hideMark/>
          </w:tcPr>
          <w:p w14:paraId="709CE098"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16,130 </w:t>
            </w:r>
          </w:p>
        </w:tc>
      </w:tr>
      <w:tr w:rsidR="00BE33B1" w:rsidRPr="00EE2D03" w14:paraId="3C07DCA5" w14:textId="77777777" w:rsidTr="005922FB">
        <w:trPr>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0CDE774" w14:textId="77777777" w:rsidR="00BE33B1" w:rsidRPr="00EE2D03" w:rsidRDefault="00BE33B1" w:rsidP="005922FB">
            <w:pPr>
              <w:spacing w:after="0"/>
              <w:rPr>
                <w:rFonts w:eastAsia="Times New Roman" w:cs="Arial"/>
                <w:sz w:val="20"/>
                <w:szCs w:val="20"/>
              </w:rPr>
            </w:pPr>
            <w:r w:rsidRPr="00EE2D03">
              <w:rPr>
                <w:rFonts w:eastAsia="Times New Roman" w:cs="Arial"/>
                <w:sz w:val="20"/>
                <w:szCs w:val="20"/>
              </w:rPr>
              <w:t>Teriflunomide market share</w:t>
            </w:r>
          </w:p>
        </w:tc>
        <w:tc>
          <w:tcPr>
            <w:tcW w:w="1107" w:type="dxa"/>
            <w:tcBorders>
              <w:top w:val="nil"/>
              <w:left w:val="nil"/>
              <w:bottom w:val="single" w:sz="4" w:space="0" w:color="auto"/>
              <w:right w:val="single" w:sz="4" w:space="0" w:color="auto"/>
            </w:tcBorders>
            <w:shd w:val="clear" w:color="auto" w:fill="auto"/>
            <w:vAlign w:val="center"/>
            <w:hideMark/>
          </w:tcPr>
          <w:p w14:paraId="163521F6"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7.5%</w:t>
            </w:r>
          </w:p>
        </w:tc>
        <w:tc>
          <w:tcPr>
            <w:tcW w:w="1006" w:type="dxa"/>
            <w:tcBorders>
              <w:top w:val="nil"/>
              <w:left w:val="nil"/>
              <w:bottom w:val="single" w:sz="4" w:space="0" w:color="auto"/>
              <w:right w:val="single" w:sz="4" w:space="0" w:color="auto"/>
            </w:tcBorders>
            <w:shd w:val="clear" w:color="auto" w:fill="auto"/>
            <w:vAlign w:val="center"/>
            <w:hideMark/>
          </w:tcPr>
          <w:p w14:paraId="0F64A586"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12.5%</w:t>
            </w:r>
          </w:p>
        </w:tc>
        <w:tc>
          <w:tcPr>
            <w:tcW w:w="1006" w:type="dxa"/>
            <w:tcBorders>
              <w:top w:val="nil"/>
              <w:left w:val="nil"/>
              <w:bottom w:val="single" w:sz="4" w:space="0" w:color="auto"/>
              <w:right w:val="single" w:sz="4" w:space="0" w:color="auto"/>
            </w:tcBorders>
            <w:shd w:val="clear" w:color="auto" w:fill="auto"/>
            <w:vAlign w:val="center"/>
            <w:hideMark/>
          </w:tcPr>
          <w:p w14:paraId="232EC047"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15.0%</w:t>
            </w:r>
          </w:p>
        </w:tc>
        <w:tc>
          <w:tcPr>
            <w:tcW w:w="1120" w:type="dxa"/>
            <w:tcBorders>
              <w:top w:val="nil"/>
              <w:left w:val="nil"/>
              <w:bottom w:val="single" w:sz="4" w:space="0" w:color="auto"/>
              <w:right w:val="single" w:sz="4" w:space="0" w:color="auto"/>
            </w:tcBorders>
            <w:shd w:val="clear" w:color="auto" w:fill="auto"/>
            <w:vAlign w:val="center"/>
            <w:hideMark/>
          </w:tcPr>
          <w:p w14:paraId="539318EB"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17.5%</w:t>
            </w:r>
          </w:p>
        </w:tc>
        <w:tc>
          <w:tcPr>
            <w:tcW w:w="1006" w:type="dxa"/>
            <w:tcBorders>
              <w:top w:val="nil"/>
              <w:left w:val="nil"/>
              <w:bottom w:val="single" w:sz="4" w:space="0" w:color="auto"/>
              <w:right w:val="single" w:sz="4" w:space="0" w:color="auto"/>
            </w:tcBorders>
            <w:shd w:val="clear" w:color="auto" w:fill="auto"/>
            <w:vAlign w:val="center"/>
            <w:hideMark/>
          </w:tcPr>
          <w:p w14:paraId="4D2FC0E5"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20.0%</w:t>
            </w:r>
          </w:p>
        </w:tc>
      </w:tr>
      <w:tr w:rsidR="00BE33B1" w:rsidRPr="00EE2D03" w14:paraId="385C3BD4" w14:textId="77777777" w:rsidTr="005922FB">
        <w:trPr>
          <w:trHeight w:val="76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4A87C69" w14:textId="77777777" w:rsidR="00BE33B1" w:rsidRPr="00EE2D03" w:rsidRDefault="00BE33B1" w:rsidP="005922FB">
            <w:pPr>
              <w:spacing w:after="0"/>
              <w:rPr>
                <w:rFonts w:eastAsia="Times New Roman" w:cs="Arial"/>
                <w:sz w:val="20"/>
                <w:szCs w:val="20"/>
              </w:rPr>
            </w:pPr>
            <w:r w:rsidRPr="00EE2D03">
              <w:rPr>
                <w:rFonts w:eastAsia="Times New Roman" w:cs="Arial"/>
                <w:sz w:val="20"/>
                <w:szCs w:val="20"/>
              </w:rPr>
              <w:t>Proportion of teriflunomide patients previously receiving no treatment</w:t>
            </w:r>
          </w:p>
        </w:tc>
        <w:tc>
          <w:tcPr>
            <w:tcW w:w="1107" w:type="dxa"/>
            <w:tcBorders>
              <w:top w:val="nil"/>
              <w:left w:val="nil"/>
              <w:bottom w:val="single" w:sz="4" w:space="0" w:color="auto"/>
              <w:right w:val="single" w:sz="4" w:space="0" w:color="auto"/>
            </w:tcBorders>
            <w:shd w:val="clear" w:color="auto" w:fill="auto"/>
            <w:vAlign w:val="center"/>
            <w:hideMark/>
          </w:tcPr>
          <w:p w14:paraId="1EB99326"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6.64%</w:t>
            </w:r>
          </w:p>
        </w:tc>
        <w:tc>
          <w:tcPr>
            <w:tcW w:w="1006" w:type="dxa"/>
            <w:tcBorders>
              <w:top w:val="nil"/>
              <w:left w:val="nil"/>
              <w:bottom w:val="single" w:sz="4" w:space="0" w:color="auto"/>
              <w:right w:val="single" w:sz="4" w:space="0" w:color="auto"/>
            </w:tcBorders>
            <w:shd w:val="clear" w:color="auto" w:fill="auto"/>
            <w:vAlign w:val="center"/>
            <w:hideMark/>
          </w:tcPr>
          <w:p w14:paraId="504EEBD3"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6.64%</w:t>
            </w:r>
          </w:p>
        </w:tc>
        <w:tc>
          <w:tcPr>
            <w:tcW w:w="1006" w:type="dxa"/>
            <w:tcBorders>
              <w:top w:val="nil"/>
              <w:left w:val="nil"/>
              <w:bottom w:val="single" w:sz="4" w:space="0" w:color="auto"/>
              <w:right w:val="single" w:sz="4" w:space="0" w:color="auto"/>
            </w:tcBorders>
            <w:shd w:val="clear" w:color="auto" w:fill="auto"/>
            <w:vAlign w:val="center"/>
            <w:hideMark/>
          </w:tcPr>
          <w:p w14:paraId="7EB9E161"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6.64%</w:t>
            </w:r>
          </w:p>
        </w:tc>
        <w:tc>
          <w:tcPr>
            <w:tcW w:w="1120" w:type="dxa"/>
            <w:tcBorders>
              <w:top w:val="nil"/>
              <w:left w:val="nil"/>
              <w:bottom w:val="single" w:sz="4" w:space="0" w:color="auto"/>
              <w:right w:val="single" w:sz="4" w:space="0" w:color="auto"/>
            </w:tcBorders>
            <w:shd w:val="clear" w:color="auto" w:fill="auto"/>
            <w:vAlign w:val="center"/>
            <w:hideMark/>
          </w:tcPr>
          <w:p w14:paraId="3C083D60"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6.64%</w:t>
            </w:r>
          </w:p>
        </w:tc>
        <w:tc>
          <w:tcPr>
            <w:tcW w:w="1006" w:type="dxa"/>
            <w:tcBorders>
              <w:top w:val="nil"/>
              <w:left w:val="nil"/>
              <w:bottom w:val="single" w:sz="4" w:space="0" w:color="auto"/>
              <w:right w:val="single" w:sz="4" w:space="0" w:color="auto"/>
            </w:tcBorders>
            <w:shd w:val="clear" w:color="auto" w:fill="auto"/>
            <w:vAlign w:val="center"/>
            <w:hideMark/>
          </w:tcPr>
          <w:p w14:paraId="23275E60"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6.64%</w:t>
            </w:r>
          </w:p>
        </w:tc>
      </w:tr>
      <w:tr w:rsidR="00BE33B1" w:rsidRPr="00EE2D03" w14:paraId="7CFF7C87" w14:textId="77777777" w:rsidTr="005922FB">
        <w:trPr>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56FFB46" w14:textId="77777777" w:rsidR="00BE33B1" w:rsidRPr="00EE2D03" w:rsidRDefault="00BE33B1" w:rsidP="005922FB">
            <w:pPr>
              <w:spacing w:after="0"/>
              <w:rPr>
                <w:rFonts w:eastAsia="Times New Roman" w:cs="Arial"/>
                <w:sz w:val="20"/>
                <w:szCs w:val="20"/>
              </w:rPr>
            </w:pPr>
            <w:r w:rsidRPr="00EE2D03">
              <w:rPr>
                <w:rFonts w:eastAsia="Times New Roman" w:cs="Arial"/>
                <w:sz w:val="20"/>
                <w:szCs w:val="20"/>
              </w:rPr>
              <w:t>Treated population</w:t>
            </w:r>
          </w:p>
        </w:tc>
        <w:tc>
          <w:tcPr>
            <w:tcW w:w="1107" w:type="dxa"/>
            <w:tcBorders>
              <w:top w:val="nil"/>
              <w:left w:val="nil"/>
              <w:bottom w:val="single" w:sz="4" w:space="0" w:color="auto"/>
              <w:right w:val="single" w:sz="4" w:space="0" w:color="auto"/>
            </w:tcBorders>
            <w:shd w:val="clear" w:color="auto" w:fill="auto"/>
            <w:vAlign w:val="center"/>
            <w:hideMark/>
          </w:tcPr>
          <w:p w14:paraId="74077C4D"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1,227 </w:t>
            </w:r>
          </w:p>
        </w:tc>
        <w:tc>
          <w:tcPr>
            <w:tcW w:w="1006" w:type="dxa"/>
            <w:tcBorders>
              <w:top w:val="nil"/>
              <w:left w:val="nil"/>
              <w:bottom w:val="single" w:sz="4" w:space="0" w:color="auto"/>
              <w:right w:val="single" w:sz="4" w:space="0" w:color="auto"/>
            </w:tcBorders>
            <w:shd w:val="clear" w:color="auto" w:fill="auto"/>
            <w:vAlign w:val="center"/>
            <w:hideMark/>
          </w:tcPr>
          <w:p w14:paraId="5E3887F0"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2,073 </w:t>
            </w:r>
          </w:p>
        </w:tc>
        <w:tc>
          <w:tcPr>
            <w:tcW w:w="1006" w:type="dxa"/>
            <w:tcBorders>
              <w:top w:val="nil"/>
              <w:left w:val="nil"/>
              <w:bottom w:val="single" w:sz="4" w:space="0" w:color="auto"/>
              <w:right w:val="single" w:sz="4" w:space="0" w:color="auto"/>
            </w:tcBorders>
            <w:shd w:val="clear" w:color="auto" w:fill="auto"/>
            <w:vAlign w:val="center"/>
            <w:hideMark/>
          </w:tcPr>
          <w:p w14:paraId="39C3E6AB"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2,522 </w:t>
            </w:r>
          </w:p>
        </w:tc>
        <w:tc>
          <w:tcPr>
            <w:tcW w:w="1120" w:type="dxa"/>
            <w:tcBorders>
              <w:top w:val="nil"/>
              <w:left w:val="nil"/>
              <w:bottom w:val="single" w:sz="4" w:space="0" w:color="auto"/>
              <w:right w:val="single" w:sz="4" w:space="0" w:color="auto"/>
            </w:tcBorders>
            <w:shd w:val="clear" w:color="auto" w:fill="auto"/>
            <w:vAlign w:val="center"/>
            <w:hideMark/>
          </w:tcPr>
          <w:p w14:paraId="2B74F7DA"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2,983 </w:t>
            </w:r>
          </w:p>
        </w:tc>
        <w:tc>
          <w:tcPr>
            <w:tcW w:w="1006" w:type="dxa"/>
            <w:tcBorders>
              <w:top w:val="nil"/>
              <w:left w:val="nil"/>
              <w:bottom w:val="single" w:sz="4" w:space="0" w:color="auto"/>
              <w:right w:val="single" w:sz="4" w:space="0" w:color="auto"/>
            </w:tcBorders>
            <w:shd w:val="clear" w:color="auto" w:fill="auto"/>
            <w:vAlign w:val="center"/>
            <w:hideMark/>
          </w:tcPr>
          <w:p w14:paraId="415535D8"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3,455 </w:t>
            </w:r>
          </w:p>
        </w:tc>
      </w:tr>
      <w:tr w:rsidR="00BE33B1" w:rsidRPr="00EE2D03" w14:paraId="2A7DA7DB" w14:textId="77777777" w:rsidTr="005922FB">
        <w:trPr>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05937CF" w14:textId="77777777" w:rsidR="00BE33B1" w:rsidRPr="00EE2D03" w:rsidRDefault="00BE33B1" w:rsidP="005922FB">
            <w:pPr>
              <w:spacing w:after="0"/>
              <w:rPr>
                <w:rFonts w:eastAsia="Times New Roman" w:cs="Arial"/>
                <w:sz w:val="20"/>
                <w:szCs w:val="20"/>
              </w:rPr>
            </w:pPr>
            <w:r w:rsidRPr="00EE2D03">
              <w:rPr>
                <w:rFonts w:eastAsia="Times New Roman" w:cs="Arial"/>
                <w:sz w:val="20"/>
                <w:szCs w:val="20"/>
              </w:rPr>
              <w:t>Average prescriptions per patient</w:t>
            </w:r>
          </w:p>
        </w:tc>
        <w:tc>
          <w:tcPr>
            <w:tcW w:w="1107" w:type="dxa"/>
            <w:tcBorders>
              <w:top w:val="nil"/>
              <w:left w:val="nil"/>
              <w:bottom w:val="single" w:sz="4" w:space="0" w:color="auto"/>
              <w:right w:val="single" w:sz="4" w:space="0" w:color="auto"/>
            </w:tcBorders>
            <w:shd w:val="clear" w:color="auto" w:fill="auto"/>
            <w:vAlign w:val="center"/>
            <w:hideMark/>
          </w:tcPr>
          <w:p w14:paraId="29BEE847"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10.59</w:t>
            </w:r>
          </w:p>
        </w:tc>
        <w:tc>
          <w:tcPr>
            <w:tcW w:w="1006" w:type="dxa"/>
            <w:tcBorders>
              <w:top w:val="nil"/>
              <w:left w:val="nil"/>
              <w:bottom w:val="single" w:sz="4" w:space="0" w:color="auto"/>
              <w:right w:val="single" w:sz="4" w:space="0" w:color="auto"/>
            </w:tcBorders>
            <w:shd w:val="clear" w:color="auto" w:fill="auto"/>
            <w:vAlign w:val="center"/>
            <w:hideMark/>
          </w:tcPr>
          <w:p w14:paraId="1BE1AACF"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10.59</w:t>
            </w:r>
          </w:p>
        </w:tc>
        <w:tc>
          <w:tcPr>
            <w:tcW w:w="1006" w:type="dxa"/>
            <w:tcBorders>
              <w:top w:val="nil"/>
              <w:left w:val="nil"/>
              <w:bottom w:val="single" w:sz="4" w:space="0" w:color="auto"/>
              <w:right w:val="single" w:sz="4" w:space="0" w:color="auto"/>
            </w:tcBorders>
            <w:shd w:val="clear" w:color="auto" w:fill="auto"/>
            <w:vAlign w:val="center"/>
            <w:hideMark/>
          </w:tcPr>
          <w:p w14:paraId="3B6297D3"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10.59</w:t>
            </w:r>
          </w:p>
        </w:tc>
        <w:tc>
          <w:tcPr>
            <w:tcW w:w="1120" w:type="dxa"/>
            <w:tcBorders>
              <w:top w:val="nil"/>
              <w:left w:val="nil"/>
              <w:bottom w:val="single" w:sz="4" w:space="0" w:color="auto"/>
              <w:right w:val="single" w:sz="4" w:space="0" w:color="auto"/>
            </w:tcBorders>
            <w:shd w:val="clear" w:color="auto" w:fill="auto"/>
            <w:vAlign w:val="center"/>
            <w:hideMark/>
          </w:tcPr>
          <w:p w14:paraId="50673E36"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10.59</w:t>
            </w:r>
          </w:p>
        </w:tc>
        <w:tc>
          <w:tcPr>
            <w:tcW w:w="1006" w:type="dxa"/>
            <w:tcBorders>
              <w:top w:val="nil"/>
              <w:left w:val="nil"/>
              <w:bottom w:val="single" w:sz="4" w:space="0" w:color="auto"/>
              <w:right w:val="single" w:sz="4" w:space="0" w:color="auto"/>
            </w:tcBorders>
            <w:shd w:val="clear" w:color="auto" w:fill="auto"/>
            <w:vAlign w:val="center"/>
            <w:hideMark/>
          </w:tcPr>
          <w:p w14:paraId="23CA7F2D"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10.59</w:t>
            </w:r>
          </w:p>
        </w:tc>
      </w:tr>
      <w:tr w:rsidR="00BE33B1" w:rsidRPr="00EE2D03" w14:paraId="45381242" w14:textId="77777777" w:rsidTr="005922FB">
        <w:trPr>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19D537A" w14:textId="77777777" w:rsidR="00BE33B1" w:rsidRPr="00EE2D03" w:rsidRDefault="00BE33B1" w:rsidP="005922FB">
            <w:pPr>
              <w:spacing w:after="0"/>
              <w:rPr>
                <w:rFonts w:eastAsia="Times New Roman" w:cs="Arial"/>
                <w:sz w:val="20"/>
                <w:szCs w:val="20"/>
              </w:rPr>
            </w:pPr>
            <w:r w:rsidRPr="00EE2D03">
              <w:rPr>
                <w:rFonts w:eastAsia="Times New Roman" w:cs="Arial"/>
                <w:sz w:val="20"/>
                <w:szCs w:val="20"/>
              </w:rPr>
              <w:t>Number of prescriptions</w:t>
            </w:r>
          </w:p>
        </w:tc>
        <w:tc>
          <w:tcPr>
            <w:tcW w:w="1107" w:type="dxa"/>
            <w:tcBorders>
              <w:top w:val="nil"/>
              <w:left w:val="nil"/>
              <w:bottom w:val="single" w:sz="4" w:space="0" w:color="auto"/>
              <w:right w:val="single" w:sz="4" w:space="0" w:color="auto"/>
            </w:tcBorders>
            <w:shd w:val="clear" w:color="auto" w:fill="auto"/>
            <w:vAlign w:val="center"/>
            <w:hideMark/>
          </w:tcPr>
          <w:p w14:paraId="7B983DC4"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12,998 </w:t>
            </w:r>
          </w:p>
        </w:tc>
        <w:tc>
          <w:tcPr>
            <w:tcW w:w="1006" w:type="dxa"/>
            <w:tcBorders>
              <w:top w:val="nil"/>
              <w:left w:val="nil"/>
              <w:bottom w:val="single" w:sz="4" w:space="0" w:color="auto"/>
              <w:right w:val="single" w:sz="4" w:space="0" w:color="auto"/>
            </w:tcBorders>
            <w:shd w:val="clear" w:color="auto" w:fill="auto"/>
            <w:vAlign w:val="center"/>
            <w:hideMark/>
          </w:tcPr>
          <w:p w14:paraId="1A868F3A"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21,960 </w:t>
            </w:r>
          </w:p>
        </w:tc>
        <w:tc>
          <w:tcPr>
            <w:tcW w:w="1006" w:type="dxa"/>
            <w:tcBorders>
              <w:top w:val="nil"/>
              <w:left w:val="nil"/>
              <w:bottom w:val="single" w:sz="4" w:space="0" w:color="auto"/>
              <w:right w:val="single" w:sz="4" w:space="0" w:color="auto"/>
            </w:tcBorders>
            <w:shd w:val="clear" w:color="auto" w:fill="auto"/>
            <w:vAlign w:val="center"/>
            <w:hideMark/>
          </w:tcPr>
          <w:p w14:paraId="373163AF"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26,712 </w:t>
            </w:r>
          </w:p>
        </w:tc>
        <w:tc>
          <w:tcPr>
            <w:tcW w:w="1120" w:type="dxa"/>
            <w:tcBorders>
              <w:top w:val="nil"/>
              <w:left w:val="nil"/>
              <w:bottom w:val="single" w:sz="4" w:space="0" w:color="auto"/>
              <w:right w:val="single" w:sz="4" w:space="0" w:color="auto"/>
            </w:tcBorders>
            <w:shd w:val="clear" w:color="auto" w:fill="auto"/>
            <w:vAlign w:val="center"/>
            <w:hideMark/>
          </w:tcPr>
          <w:p w14:paraId="7CCA1294"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31,591 </w:t>
            </w:r>
          </w:p>
        </w:tc>
        <w:tc>
          <w:tcPr>
            <w:tcW w:w="1006" w:type="dxa"/>
            <w:tcBorders>
              <w:top w:val="nil"/>
              <w:left w:val="nil"/>
              <w:bottom w:val="single" w:sz="4" w:space="0" w:color="auto"/>
              <w:right w:val="single" w:sz="4" w:space="0" w:color="auto"/>
            </w:tcBorders>
            <w:shd w:val="clear" w:color="auto" w:fill="auto"/>
            <w:vAlign w:val="center"/>
            <w:hideMark/>
          </w:tcPr>
          <w:p w14:paraId="6F37A815" w14:textId="77777777" w:rsidR="00BE33B1" w:rsidRPr="00EE2D03" w:rsidRDefault="00BE33B1" w:rsidP="005922FB">
            <w:pPr>
              <w:spacing w:after="0"/>
              <w:jc w:val="right"/>
              <w:rPr>
                <w:rFonts w:eastAsia="Times New Roman" w:cs="Arial"/>
                <w:sz w:val="20"/>
                <w:szCs w:val="20"/>
              </w:rPr>
            </w:pPr>
            <w:r w:rsidRPr="00EE2D03">
              <w:rPr>
                <w:rFonts w:eastAsia="Times New Roman" w:cs="Arial"/>
                <w:sz w:val="20"/>
                <w:szCs w:val="20"/>
              </w:rPr>
              <w:t xml:space="preserve">36,598 </w:t>
            </w:r>
          </w:p>
        </w:tc>
      </w:tr>
    </w:tbl>
    <w:p w14:paraId="132145B8" w14:textId="77777777" w:rsidR="00BE33B1" w:rsidRDefault="00BE33B1" w:rsidP="00BE33B1">
      <w:pPr>
        <w:spacing w:after="0"/>
      </w:pPr>
    </w:p>
    <w:p w14:paraId="7E7C7237" w14:textId="77777777" w:rsidR="00BE33B1" w:rsidRPr="009009D8" w:rsidRDefault="00BE33B1" w:rsidP="00BE33B1">
      <w:r>
        <w:t xml:space="preserve">The listing of teriflunomide was predicted to be cost saving through achieving cost offsets from </w:t>
      </w:r>
      <w:r w:rsidRPr="003B0FBB">
        <w:t>substitution for fingolimod, natalizumab and ABCR therapy</w:t>
      </w:r>
      <w:r>
        <w:t xml:space="preserve">. Based on a treatment practice survey, the sponsor assumed that teriflunomide would mainly substitute for </w:t>
      </w:r>
      <w:r w:rsidRPr="003B0FBB">
        <w:t>fingolimod (27.06%) and interferon beta-1a (27.65%)</w:t>
      </w:r>
      <w:r>
        <w:t xml:space="preserve">, with the saving largely driven from replacing the more expensive oral fingolimod therapy. </w:t>
      </w:r>
      <w:r w:rsidRPr="00290DA7">
        <w:t xml:space="preserve">DUSC considered that </w:t>
      </w:r>
      <w:r w:rsidRPr="00290DA7">
        <w:rPr>
          <w:bCs/>
        </w:rPr>
        <w:t>safety concerns in relation to the cardiac effects of fingolimod may lead clinicians to switch patients to teriflunomide as an alternative oral therapy</w:t>
      </w:r>
      <w:r w:rsidRPr="00290DA7">
        <w:t>.</w:t>
      </w:r>
      <w:r>
        <w:rPr>
          <w:i/>
        </w:rPr>
        <w:t xml:space="preserve"> </w:t>
      </w:r>
      <w:r>
        <w:t xml:space="preserve">A lower relative uptake was expected for </w:t>
      </w:r>
      <w:r w:rsidRPr="003B0FBB">
        <w:t>interferon beta-1b (14.56%), glatiramer acetate (16.77%) and natalizumab (6.35%)</w:t>
      </w:r>
      <w:r>
        <w:t>.</w:t>
      </w:r>
    </w:p>
    <w:p w14:paraId="0312FFEC" w14:textId="5C6A9662" w:rsidR="00E677DD" w:rsidRPr="00D83C7C" w:rsidRDefault="00E677DD" w:rsidP="00D83C7C">
      <w:pPr>
        <w:pStyle w:val="Heading2"/>
        <w:rPr>
          <w:i w:val="0"/>
          <w:sz w:val="32"/>
          <w:szCs w:val="32"/>
        </w:rPr>
      </w:pPr>
      <w:r w:rsidRPr="00D83C7C">
        <w:rPr>
          <w:i w:val="0"/>
          <w:sz w:val="32"/>
          <w:szCs w:val="32"/>
        </w:rPr>
        <w:lastRenderedPageBreak/>
        <w:t>Method</w:t>
      </w:r>
      <w:r w:rsidR="001B5D37" w:rsidRPr="00D83C7C">
        <w:rPr>
          <w:i w:val="0"/>
          <w:sz w:val="32"/>
          <w:szCs w:val="32"/>
        </w:rPr>
        <w:t>s</w:t>
      </w:r>
    </w:p>
    <w:p w14:paraId="497C5707" w14:textId="2B26D093" w:rsidR="00250911" w:rsidRPr="00250911" w:rsidRDefault="00250911" w:rsidP="00787722">
      <w:r>
        <w:t>All analyses were undertaken using SAS Enterprise Guide version 5.1.</w:t>
      </w:r>
    </w:p>
    <w:p w14:paraId="7E15ACDA" w14:textId="2F8B8D1F" w:rsidR="002C372B" w:rsidRDefault="0092422F" w:rsidP="00040868">
      <w:r w:rsidRPr="00AF6ACC">
        <w:rPr>
          <w:rFonts w:eastAsia="Calibri" w:cs="Times New Roman"/>
        </w:rPr>
        <w:t>PBS/RPBS prescription</w:t>
      </w:r>
      <w:r w:rsidR="00255017">
        <w:rPr>
          <w:rFonts w:eastAsia="Calibri" w:cs="Times New Roman"/>
        </w:rPr>
        <w:t xml:space="preserve"> data</w:t>
      </w:r>
      <w:r>
        <w:rPr>
          <w:rFonts w:eastAsia="Calibri" w:cs="Times New Roman"/>
        </w:rPr>
        <w:t xml:space="preserve"> </w:t>
      </w:r>
      <w:r w:rsidRPr="00AF6ACC">
        <w:rPr>
          <w:rFonts w:eastAsia="Calibri" w:cs="Times New Roman"/>
        </w:rPr>
        <w:t xml:space="preserve">for </w:t>
      </w:r>
      <w:r w:rsidR="00771399">
        <w:rPr>
          <w:rFonts w:eastAsia="Calibri" w:cs="Times New Roman"/>
        </w:rPr>
        <w:t>the RRMS therapies</w:t>
      </w:r>
      <w:r w:rsidRPr="00AF6ACC">
        <w:rPr>
          <w:rFonts w:eastAsia="Calibri" w:cs="Times New Roman"/>
        </w:rPr>
        <w:t xml:space="preserve"> were extracted from the Department of Human Services </w:t>
      </w:r>
      <w:r>
        <w:rPr>
          <w:rFonts w:eastAsia="Calibri" w:cs="Times New Roman"/>
        </w:rPr>
        <w:t xml:space="preserve">Prescription </w:t>
      </w:r>
      <w:r w:rsidRPr="00AF6ACC">
        <w:rPr>
          <w:rFonts w:eastAsia="Calibri" w:cs="Times New Roman"/>
        </w:rPr>
        <w:t xml:space="preserve">database for the period </w:t>
      </w:r>
      <w:r>
        <w:rPr>
          <w:rFonts w:eastAsia="Calibri" w:cs="Times New Roman"/>
        </w:rPr>
        <w:t xml:space="preserve">from </w:t>
      </w:r>
      <w:r w:rsidR="00AE1C9E">
        <w:rPr>
          <w:rFonts w:eastAsia="Calibri" w:cs="Times New Roman"/>
        </w:rPr>
        <w:t xml:space="preserve">January </w:t>
      </w:r>
      <w:r w:rsidR="007B321F">
        <w:rPr>
          <w:rFonts w:eastAsia="Calibri" w:cs="Times New Roman"/>
        </w:rPr>
        <w:t xml:space="preserve">2002 </w:t>
      </w:r>
      <w:r w:rsidRPr="00AF6ACC">
        <w:rPr>
          <w:rFonts w:eastAsia="Calibri" w:cs="Times New Roman"/>
        </w:rPr>
        <w:t xml:space="preserve">to </w:t>
      </w:r>
      <w:r w:rsidR="00AE1C9E">
        <w:rPr>
          <w:rFonts w:eastAsia="Calibri" w:cs="Times New Roman"/>
        </w:rPr>
        <w:t xml:space="preserve">March 2015 </w:t>
      </w:r>
      <w:r w:rsidRPr="00AF6ACC">
        <w:rPr>
          <w:rFonts w:eastAsia="Calibri" w:cs="Times New Roman"/>
        </w:rPr>
        <w:t xml:space="preserve">inclusive, based on the date that the prescription was </w:t>
      </w:r>
      <w:r>
        <w:rPr>
          <w:rFonts w:eastAsia="Calibri" w:cs="Times New Roman"/>
        </w:rPr>
        <w:t>supplied</w:t>
      </w:r>
      <w:r w:rsidRPr="00AF6ACC">
        <w:rPr>
          <w:rFonts w:eastAsia="Calibri" w:cs="Times New Roman"/>
        </w:rPr>
        <w:t>.</w:t>
      </w:r>
      <w:r w:rsidR="00787722">
        <w:t xml:space="preserve"> The data differs from that available from the DHS (Medicare) PBS statistics website</w:t>
      </w:r>
      <w:r w:rsidR="00787722" w:rsidRPr="00BF4776">
        <w:t xml:space="preserve"> </w:t>
      </w:r>
      <w:r w:rsidR="00787722">
        <w:t>which is based on the date of processing.</w:t>
      </w:r>
      <w:r w:rsidR="00787722">
        <w:rPr>
          <w:rStyle w:val="FootnoteReference"/>
        </w:rPr>
        <w:footnoteReference w:id="7"/>
      </w:r>
      <w:r w:rsidR="00D771A6">
        <w:t xml:space="preserve"> </w:t>
      </w:r>
    </w:p>
    <w:p w14:paraId="136F8167" w14:textId="77777777" w:rsidR="0062580F" w:rsidRDefault="002C372B" w:rsidP="0062580F">
      <w:pPr>
        <w:spacing w:after="0"/>
        <w:rPr>
          <w:rFonts w:cstheme="minorHAnsi"/>
        </w:rPr>
      </w:pPr>
      <w:r w:rsidRPr="00174E61">
        <w:rPr>
          <w:rFonts w:cstheme="minorHAnsi"/>
        </w:rPr>
        <w:t xml:space="preserve">An analysis of the number of incident and prevalent patients taking RRMS </w:t>
      </w:r>
      <w:r>
        <w:rPr>
          <w:rFonts w:cstheme="minorHAnsi"/>
        </w:rPr>
        <w:t>therapies</w:t>
      </w:r>
      <w:r w:rsidRPr="00174E61">
        <w:rPr>
          <w:rFonts w:cstheme="minorHAnsi"/>
        </w:rPr>
        <w:t xml:space="preserve"> was undertaken using the </w:t>
      </w:r>
      <w:r w:rsidR="00A25047" w:rsidRPr="004554CF">
        <w:t xml:space="preserve">DHS </w:t>
      </w:r>
      <w:r w:rsidR="00A25047">
        <w:rPr>
          <w:rFonts w:eastAsia="Calibri" w:cs="Times New Roman"/>
        </w:rPr>
        <w:t xml:space="preserve">Prescription </w:t>
      </w:r>
      <w:r w:rsidR="00A25047" w:rsidRPr="00AF6ACC">
        <w:rPr>
          <w:rFonts w:eastAsia="Calibri" w:cs="Times New Roman"/>
        </w:rPr>
        <w:t>database</w:t>
      </w:r>
      <w:r>
        <w:rPr>
          <w:rFonts w:cstheme="minorHAnsi"/>
        </w:rPr>
        <w:t xml:space="preserve">. </w:t>
      </w:r>
      <w:r w:rsidR="00C973C1">
        <w:rPr>
          <w:rFonts w:cstheme="minorHAnsi"/>
        </w:rPr>
        <w:t xml:space="preserve">Patient counts were based on de-identified unique patient identification numbers (PINs) from the prescription data. </w:t>
      </w:r>
      <w:r>
        <w:rPr>
          <w:rFonts w:cstheme="minorHAnsi"/>
        </w:rPr>
        <w:t xml:space="preserve">Initiations </w:t>
      </w:r>
      <w:r w:rsidR="00C973C1">
        <w:rPr>
          <w:rFonts w:cstheme="minorHAnsi"/>
        </w:rPr>
        <w:t>we</w:t>
      </w:r>
      <w:r>
        <w:rPr>
          <w:rFonts w:cstheme="minorHAnsi"/>
        </w:rPr>
        <w:t xml:space="preserve">re calculated </w:t>
      </w:r>
      <w:r w:rsidR="00C973C1">
        <w:rPr>
          <w:rFonts w:cstheme="minorHAnsi"/>
        </w:rPr>
        <w:t>during the period</w:t>
      </w:r>
      <w:r>
        <w:rPr>
          <w:rFonts w:cstheme="minorHAnsi"/>
        </w:rPr>
        <w:t xml:space="preserve"> 1 December 2013 to 30 November 2014, the </w:t>
      </w:r>
      <w:r w:rsidR="00C973C1">
        <w:rPr>
          <w:rFonts w:cstheme="minorHAnsi"/>
        </w:rPr>
        <w:t xml:space="preserve">period corresponding to the </w:t>
      </w:r>
      <w:r>
        <w:rPr>
          <w:rFonts w:cstheme="minorHAnsi"/>
        </w:rPr>
        <w:t xml:space="preserve">first year of listing for dimethyl fumarate and teriflunomide. </w:t>
      </w:r>
      <w:r w:rsidR="0062580F">
        <w:rPr>
          <w:rFonts w:cstheme="minorHAnsi"/>
        </w:rPr>
        <w:t>Three groups of initiators were analysed:</w:t>
      </w:r>
    </w:p>
    <w:p w14:paraId="37C40883" w14:textId="77777777" w:rsidR="0062580F" w:rsidRPr="0016340A" w:rsidRDefault="0062580F" w:rsidP="0062580F">
      <w:pPr>
        <w:pStyle w:val="ListParagraph"/>
        <w:numPr>
          <w:ilvl w:val="0"/>
          <w:numId w:val="29"/>
        </w:numPr>
        <w:spacing w:after="0"/>
        <w:rPr>
          <w:rFonts w:cstheme="minorHAnsi"/>
        </w:rPr>
      </w:pPr>
      <w:r>
        <w:rPr>
          <w:rFonts w:cstheme="minorHAnsi"/>
        </w:rPr>
        <w:t>Patients</w:t>
      </w:r>
      <w:r w:rsidRPr="00A72054">
        <w:rPr>
          <w:rFonts w:cstheme="minorHAnsi"/>
        </w:rPr>
        <w:t xml:space="preserve"> initiating </w:t>
      </w:r>
      <w:r>
        <w:rPr>
          <w:rFonts w:cstheme="minorHAnsi"/>
        </w:rPr>
        <w:t>on</w:t>
      </w:r>
      <w:r w:rsidRPr="00A72054">
        <w:rPr>
          <w:rFonts w:cstheme="minorHAnsi"/>
        </w:rPr>
        <w:t xml:space="preserve"> </w:t>
      </w:r>
      <w:r w:rsidRPr="0016340A">
        <w:rPr>
          <w:rFonts w:cstheme="minorHAnsi"/>
        </w:rPr>
        <w:t xml:space="preserve">any PBS/RPBS RRMS drug for the first time. </w:t>
      </w:r>
    </w:p>
    <w:p w14:paraId="768756FD" w14:textId="77777777" w:rsidR="0062580F" w:rsidRPr="0016340A" w:rsidRDefault="0062580F" w:rsidP="0062580F">
      <w:pPr>
        <w:pStyle w:val="ListParagraph"/>
        <w:numPr>
          <w:ilvl w:val="0"/>
          <w:numId w:val="29"/>
        </w:numPr>
        <w:rPr>
          <w:rFonts w:cstheme="minorHAnsi"/>
        </w:rPr>
      </w:pPr>
      <w:r w:rsidRPr="0016340A">
        <w:rPr>
          <w:rFonts w:cstheme="minorHAnsi"/>
        </w:rPr>
        <w:t>Treatment experienced patients who initiated on a new therapy between                         1 December 2013 and 30 November 2014.</w:t>
      </w:r>
    </w:p>
    <w:p w14:paraId="41211A1A" w14:textId="77777777" w:rsidR="0062580F" w:rsidRDefault="0062580F" w:rsidP="0062580F">
      <w:pPr>
        <w:pStyle w:val="ListParagraph"/>
        <w:numPr>
          <w:ilvl w:val="0"/>
          <w:numId w:val="29"/>
        </w:numPr>
      </w:pPr>
      <w:r w:rsidRPr="0016340A">
        <w:rPr>
          <w:rFonts w:cstheme="minorHAnsi"/>
        </w:rPr>
        <w:t>Patients who recommenced on RRMS</w:t>
      </w:r>
      <w:r w:rsidRPr="00DA4708">
        <w:rPr>
          <w:rFonts w:cstheme="minorHAnsi"/>
        </w:rPr>
        <w:t xml:space="preserve"> therapy between 1 December 2013 and </w:t>
      </w:r>
      <w:r>
        <w:rPr>
          <w:rFonts w:cstheme="minorHAnsi"/>
        </w:rPr>
        <w:t xml:space="preserve">             </w:t>
      </w:r>
      <w:r w:rsidRPr="00DA4708">
        <w:rPr>
          <w:rFonts w:cstheme="minorHAnsi"/>
        </w:rPr>
        <w:t>30 November 2014 after a treatment break of more than 12 months.</w:t>
      </w:r>
    </w:p>
    <w:p w14:paraId="1B9C1117" w14:textId="47729FF6" w:rsidR="002C372B" w:rsidRPr="00734304" w:rsidRDefault="00565C00" w:rsidP="0062580F">
      <w:pPr>
        <w:spacing w:after="0"/>
        <w:rPr>
          <w:rFonts w:cstheme="minorHAnsi"/>
        </w:rPr>
      </w:pPr>
      <w:r>
        <w:rPr>
          <w:rFonts w:cstheme="minorHAnsi"/>
        </w:rPr>
        <w:t>Patients were identified as being prevalent if they had received at least one dispensing of any of the RRMS therapies in a calendar year</w:t>
      </w:r>
      <w:r w:rsidRPr="00AD4B28">
        <w:rPr>
          <w:rFonts w:cstheme="minorHAnsi"/>
        </w:rPr>
        <w:t>.</w:t>
      </w:r>
      <w:r w:rsidR="00A72054" w:rsidRPr="00AD4B28">
        <w:rPr>
          <w:rFonts w:cstheme="minorHAnsi"/>
        </w:rPr>
        <w:t xml:space="preserve"> </w:t>
      </w:r>
      <w:r w:rsidR="00694957" w:rsidRPr="00AD4B28">
        <w:rPr>
          <w:rFonts w:cstheme="minorHAnsi"/>
        </w:rPr>
        <w:t>The DHS Prescriptions database</w:t>
      </w:r>
      <w:r w:rsidR="00752B5A" w:rsidRPr="00AD4B28">
        <w:rPr>
          <w:rFonts w:cstheme="minorHAnsi"/>
        </w:rPr>
        <w:t xml:space="preserve"> data </w:t>
      </w:r>
      <w:r w:rsidR="00A303D9" w:rsidRPr="00AD4B28">
        <w:rPr>
          <w:rFonts w:cstheme="minorHAnsi"/>
        </w:rPr>
        <w:t>for</w:t>
      </w:r>
      <w:r w:rsidR="00694957" w:rsidRPr="00AD4B28">
        <w:rPr>
          <w:rFonts w:cstheme="minorHAnsi"/>
        </w:rPr>
        <w:t xml:space="preserve"> the</w:t>
      </w:r>
      <w:r w:rsidR="00A303D9" w:rsidRPr="00AD4B28">
        <w:rPr>
          <w:rFonts w:cstheme="minorHAnsi"/>
        </w:rPr>
        <w:t xml:space="preserve"> S100 Highly Specialised Drugs data </w:t>
      </w:r>
      <w:r w:rsidR="00752B5A" w:rsidRPr="00AD4B28">
        <w:rPr>
          <w:rFonts w:cstheme="minorHAnsi"/>
        </w:rPr>
        <w:t xml:space="preserve">first became available from </w:t>
      </w:r>
      <w:r w:rsidR="00694957" w:rsidRPr="00AD4B28">
        <w:rPr>
          <w:rFonts w:cstheme="minorHAnsi"/>
        </w:rPr>
        <w:t>July 2010</w:t>
      </w:r>
      <w:r w:rsidR="00831FB7" w:rsidRPr="00AD4B28">
        <w:rPr>
          <w:rFonts w:cstheme="minorHAnsi"/>
        </w:rPr>
        <w:t xml:space="preserve"> </w:t>
      </w:r>
      <w:r w:rsidR="00A303D9" w:rsidRPr="00AD4B28">
        <w:rPr>
          <w:rFonts w:cstheme="minorHAnsi"/>
        </w:rPr>
        <w:t>and was not fully</w:t>
      </w:r>
      <w:r w:rsidR="00752B5A" w:rsidRPr="00AD4B28">
        <w:rPr>
          <w:rFonts w:cstheme="minorHAnsi"/>
        </w:rPr>
        <w:t xml:space="preserve"> complete until July 2013. As such, the total number of prevalent patients is under reported prior to July 2013 due to incomplete data for </w:t>
      </w:r>
      <w:r w:rsidR="007B73A7" w:rsidRPr="00AD4B28">
        <w:rPr>
          <w:rFonts w:cstheme="minorHAnsi"/>
        </w:rPr>
        <w:t xml:space="preserve">the S100 public hospital listing for </w:t>
      </w:r>
      <w:r w:rsidR="00752B5A" w:rsidRPr="00AD4B28">
        <w:rPr>
          <w:rFonts w:cstheme="minorHAnsi"/>
        </w:rPr>
        <w:t xml:space="preserve">natalizumab. </w:t>
      </w:r>
      <w:r w:rsidR="00294FCF" w:rsidRPr="00AD4B28">
        <w:rPr>
          <w:rFonts w:cstheme="minorHAnsi"/>
        </w:rPr>
        <w:t xml:space="preserve">Refer to Appendix </w:t>
      </w:r>
      <w:r w:rsidR="00AC4095">
        <w:rPr>
          <w:rFonts w:cstheme="minorHAnsi"/>
        </w:rPr>
        <w:t>E</w:t>
      </w:r>
      <w:r w:rsidR="00294FCF" w:rsidRPr="00AD4B28">
        <w:rPr>
          <w:rFonts w:cstheme="minorHAnsi"/>
        </w:rPr>
        <w:t xml:space="preserve"> for the methods used to estimate the number of prevalent patients </w:t>
      </w:r>
      <w:r w:rsidR="007B73A7" w:rsidRPr="00AD4B28">
        <w:rPr>
          <w:rFonts w:cstheme="minorHAnsi"/>
        </w:rPr>
        <w:t>receiving</w:t>
      </w:r>
      <w:r w:rsidR="00294FCF" w:rsidRPr="00AD4B28">
        <w:rPr>
          <w:rFonts w:cstheme="minorHAnsi"/>
        </w:rPr>
        <w:t xml:space="preserve"> natalizumab.</w:t>
      </w:r>
    </w:p>
    <w:p w14:paraId="57C9235D" w14:textId="77777777" w:rsidR="00792FCA" w:rsidRDefault="00792FCA" w:rsidP="00792FCA">
      <w:pPr>
        <w:spacing w:after="0"/>
      </w:pPr>
    </w:p>
    <w:p w14:paraId="40A2E4A1" w14:textId="417A7C2A" w:rsidR="00933A0C" w:rsidRDefault="004554CF" w:rsidP="00933A0C">
      <w:r w:rsidRPr="004554CF">
        <w:t xml:space="preserve">Length of treatment </w:t>
      </w:r>
      <w:r>
        <w:t>and co-administration analyses</w:t>
      </w:r>
      <w:r w:rsidRPr="004554CF">
        <w:t xml:space="preserve"> </w:t>
      </w:r>
      <w:r w:rsidR="00E83583">
        <w:t xml:space="preserve">were </w:t>
      </w:r>
      <w:r w:rsidRPr="004554CF">
        <w:t xml:space="preserve">performed using </w:t>
      </w:r>
      <w:r w:rsidR="00831FB7">
        <w:t xml:space="preserve">the </w:t>
      </w:r>
      <w:r w:rsidR="00A25047" w:rsidRPr="004554CF">
        <w:t xml:space="preserve">DHS </w:t>
      </w:r>
      <w:r w:rsidR="00A25047">
        <w:rPr>
          <w:rFonts w:eastAsia="Calibri" w:cs="Times New Roman"/>
        </w:rPr>
        <w:t xml:space="preserve">Prescription </w:t>
      </w:r>
      <w:r w:rsidR="00A25047" w:rsidRPr="00AF6ACC">
        <w:rPr>
          <w:rFonts w:eastAsia="Calibri" w:cs="Times New Roman"/>
        </w:rPr>
        <w:t xml:space="preserve">database </w:t>
      </w:r>
      <w:r w:rsidRPr="004554CF">
        <w:t xml:space="preserve">data using </w:t>
      </w:r>
      <w:r>
        <w:t>the</w:t>
      </w:r>
      <w:r w:rsidR="00F61476">
        <w:t xml:space="preserve"> </w:t>
      </w:r>
      <w:r w:rsidRPr="004554CF">
        <w:t>met</w:t>
      </w:r>
      <w:r>
        <w:t xml:space="preserve">hodology described in Appendix </w:t>
      </w:r>
      <w:r w:rsidR="00AC4095">
        <w:t>D</w:t>
      </w:r>
      <w:r w:rsidRPr="004554CF">
        <w:t>.</w:t>
      </w:r>
      <w:r w:rsidR="00933A0C">
        <w:t xml:space="preserve"> Co-administration was investigated for ABCR therapy, natalizumab and fingolimod. Patients initiating RRMS therapy between March to August 2014 were analysed to allow at least </w:t>
      </w:r>
      <w:r w:rsidR="00F360EF">
        <w:t xml:space="preserve">seven </w:t>
      </w:r>
      <w:r w:rsidR="00933A0C">
        <w:t>months of follow up to the end of the analysis period (31 March 2015).</w:t>
      </w:r>
    </w:p>
    <w:p w14:paraId="3BDB3D0F" w14:textId="7052EF96" w:rsidR="0042104F" w:rsidRDefault="0042104F" w:rsidP="0042104F">
      <w:r>
        <w:rPr>
          <w:rFonts w:eastAsia="Calibri" w:cs="Times New Roman"/>
        </w:rPr>
        <w:t>For the predicted versus actual comparison</w:t>
      </w:r>
      <w:r w:rsidR="00443683">
        <w:rPr>
          <w:rFonts w:eastAsia="Calibri" w:cs="Times New Roman"/>
        </w:rPr>
        <w:t>s of dimethyl fumarate and teriflunomide</w:t>
      </w:r>
      <w:r>
        <w:rPr>
          <w:rFonts w:eastAsia="Calibri" w:cs="Times New Roman"/>
        </w:rPr>
        <w:t xml:space="preserve"> the modelled estimates were obtained from the financial estimates model</w:t>
      </w:r>
      <w:r w:rsidR="00443683">
        <w:rPr>
          <w:rFonts w:eastAsia="Calibri" w:cs="Times New Roman"/>
        </w:rPr>
        <w:t>s</w:t>
      </w:r>
      <w:r>
        <w:rPr>
          <w:rFonts w:eastAsia="Calibri" w:cs="Times New Roman"/>
        </w:rPr>
        <w:t xml:space="preserve"> </w:t>
      </w:r>
      <w:r w:rsidR="00443683">
        <w:rPr>
          <w:rFonts w:eastAsia="Calibri" w:cs="Times New Roman"/>
        </w:rPr>
        <w:t>that were</w:t>
      </w:r>
      <w:r>
        <w:rPr>
          <w:rFonts w:eastAsia="Calibri" w:cs="Times New Roman"/>
        </w:rPr>
        <w:t xml:space="preserve"> agreed with the sponsors of </w:t>
      </w:r>
      <w:r w:rsidR="00443683">
        <w:rPr>
          <w:rFonts w:eastAsia="Calibri" w:cs="Times New Roman"/>
        </w:rPr>
        <w:t>these agents</w:t>
      </w:r>
      <w:r>
        <w:rPr>
          <w:rFonts w:eastAsia="Calibri" w:cs="Times New Roman"/>
        </w:rPr>
        <w:t xml:space="preserve">. </w:t>
      </w:r>
      <w:r>
        <w:t xml:space="preserve">Part-year adjustments were applied to the estimates to align the figures with the listing date in order to compare them with the actual figures. </w:t>
      </w:r>
    </w:p>
    <w:p w14:paraId="75985ECF" w14:textId="77777777" w:rsidR="00FC4268" w:rsidRDefault="00FC4268">
      <w:pPr>
        <w:spacing w:line="276" w:lineRule="auto"/>
        <w:rPr>
          <w:b/>
          <w:sz w:val="32"/>
          <w:szCs w:val="32"/>
        </w:rPr>
      </w:pPr>
      <w:r>
        <w:rPr>
          <w:i/>
          <w:sz w:val="32"/>
          <w:szCs w:val="32"/>
        </w:rPr>
        <w:br w:type="page"/>
      </w:r>
    </w:p>
    <w:p w14:paraId="4F91A98A" w14:textId="43E2F9DD" w:rsidR="00C714D0" w:rsidRPr="00D83C7C" w:rsidRDefault="00C714D0" w:rsidP="00D83C7C">
      <w:pPr>
        <w:pStyle w:val="Heading2"/>
        <w:rPr>
          <w:i w:val="0"/>
          <w:sz w:val="32"/>
          <w:szCs w:val="32"/>
        </w:rPr>
      </w:pPr>
      <w:r w:rsidRPr="00D83C7C">
        <w:rPr>
          <w:i w:val="0"/>
          <w:sz w:val="32"/>
          <w:szCs w:val="32"/>
        </w:rPr>
        <w:lastRenderedPageBreak/>
        <w:t>Results</w:t>
      </w:r>
    </w:p>
    <w:p w14:paraId="6ABC962D" w14:textId="4E0E5BD9" w:rsidR="00654FBA" w:rsidRDefault="00B305EE" w:rsidP="0088694E">
      <w:pPr>
        <w:pStyle w:val="Heading3"/>
      </w:pPr>
      <w:r>
        <w:t>Utilisation</w:t>
      </w:r>
      <w:r w:rsidR="00020234">
        <w:t xml:space="preserve"> for the </w:t>
      </w:r>
      <w:r w:rsidR="002A7E16">
        <w:t xml:space="preserve">overall </w:t>
      </w:r>
      <w:r w:rsidR="00020234">
        <w:t>RRMS market</w:t>
      </w:r>
    </w:p>
    <w:p w14:paraId="655A9E00" w14:textId="190DA3A6" w:rsidR="00E13315" w:rsidRPr="0016340A" w:rsidRDefault="00AB38C4" w:rsidP="0016340A">
      <w:pPr>
        <w:rPr>
          <w:rFonts w:ascii="Calibri" w:eastAsia="Times New Roman" w:hAnsi="Calibri" w:cs="Arial"/>
          <w:b/>
          <w:i/>
          <w:color w:val="222222"/>
        </w:rPr>
      </w:pPr>
      <w:r w:rsidRPr="0016340A">
        <w:rPr>
          <w:rFonts w:ascii="Calibri" w:eastAsia="Times New Roman" w:hAnsi="Calibri" w:cs="Arial"/>
          <w:b/>
          <w:i/>
          <w:color w:val="222222"/>
        </w:rPr>
        <w:t>Number of</w:t>
      </w:r>
      <w:r w:rsidR="000C43E5" w:rsidRPr="0016340A">
        <w:rPr>
          <w:rFonts w:ascii="Calibri" w:eastAsia="Times New Roman" w:hAnsi="Calibri" w:cs="Arial"/>
          <w:b/>
          <w:i/>
          <w:color w:val="222222"/>
        </w:rPr>
        <w:t xml:space="preserve"> patients</w:t>
      </w:r>
    </w:p>
    <w:p w14:paraId="392F4F59" w14:textId="4EA237DB" w:rsidR="00E13315" w:rsidRPr="0016340A" w:rsidRDefault="008737EB" w:rsidP="0016340A">
      <w:r w:rsidRPr="0016340A">
        <w:t xml:space="preserve">Table </w:t>
      </w:r>
      <w:r w:rsidR="00D360BE">
        <w:t>6</w:t>
      </w:r>
      <w:r w:rsidRPr="0016340A">
        <w:t xml:space="preserve"> presents </w:t>
      </w:r>
      <w:r w:rsidR="00583DAC" w:rsidRPr="0016340A">
        <w:t>three groups of initiating</w:t>
      </w:r>
      <w:r w:rsidRPr="0016340A">
        <w:t xml:space="preserve"> patient</w:t>
      </w:r>
      <w:r w:rsidR="00583DAC" w:rsidRPr="0016340A">
        <w:t>s</w:t>
      </w:r>
      <w:r w:rsidRPr="0016340A">
        <w:t>: (1) those who are new to RRMS therapy (‘</w:t>
      </w:r>
      <w:r w:rsidR="00A377F7" w:rsidRPr="0016340A">
        <w:t>New to</w:t>
      </w:r>
      <w:r w:rsidR="00E052A5" w:rsidRPr="0016340A">
        <w:t xml:space="preserve"> </w:t>
      </w:r>
      <w:r w:rsidR="002518D7" w:rsidRPr="0016340A">
        <w:t xml:space="preserve">any </w:t>
      </w:r>
      <w:r w:rsidRPr="0016340A">
        <w:t xml:space="preserve">PBS RRMS therapy’); (2) those who are experienced with RRMS treatment who start another RRMS therapy for the first time (‘switched from another PBS RRMS </w:t>
      </w:r>
      <w:r w:rsidR="00861562" w:rsidRPr="0016340A">
        <w:t>drug</w:t>
      </w:r>
      <w:r w:rsidRPr="0016340A">
        <w:t>’); and (3) patients recommenc</w:t>
      </w:r>
      <w:r w:rsidR="00A377F7" w:rsidRPr="0016340A">
        <w:t>ing</w:t>
      </w:r>
      <w:r w:rsidRPr="0016340A">
        <w:t xml:space="preserve"> after a break from treatment of more than </w:t>
      </w:r>
      <w:r w:rsidR="002F340A">
        <w:br/>
      </w:r>
      <w:r w:rsidRPr="0016340A">
        <w:t xml:space="preserve">12 months </w:t>
      </w:r>
      <w:r w:rsidR="003A08F9" w:rsidRPr="0016340A">
        <w:t>(</w:t>
      </w:r>
      <w:r w:rsidRPr="0016340A">
        <w:t>‘returning from a break in PBS therapy’</w:t>
      </w:r>
      <w:r w:rsidR="003A08F9" w:rsidRPr="0016340A">
        <w:t>)</w:t>
      </w:r>
      <w:r w:rsidRPr="0016340A">
        <w:t xml:space="preserve">. </w:t>
      </w:r>
      <w:r w:rsidR="00A86DFB" w:rsidRPr="0016340A">
        <w:t xml:space="preserve">The figures are for patients initiating therapy during the period 1 December 2013 to 30 November 2014 to align with the </w:t>
      </w:r>
      <w:r w:rsidR="009C6A4D" w:rsidRPr="0016340A">
        <w:t xml:space="preserve">first listing </w:t>
      </w:r>
      <w:r w:rsidR="00291E2A" w:rsidRPr="0016340A">
        <w:t xml:space="preserve">year for </w:t>
      </w:r>
      <w:r w:rsidR="00A86DFB" w:rsidRPr="0016340A">
        <w:t xml:space="preserve">dimethyl fumarate and teriflunomide. </w:t>
      </w:r>
    </w:p>
    <w:p w14:paraId="4B6E0B25" w14:textId="4BC84052" w:rsidR="00EF0143" w:rsidRPr="0016340A" w:rsidRDefault="00EF0143" w:rsidP="0016340A">
      <w:pPr>
        <w:rPr>
          <w:b/>
          <w:u w:val="single"/>
        </w:rPr>
      </w:pPr>
      <w:r w:rsidRPr="0016340A">
        <w:rPr>
          <w:rFonts w:cstheme="minorHAnsi"/>
          <w:b/>
        </w:rPr>
        <w:t xml:space="preserve">Table </w:t>
      </w:r>
      <w:r w:rsidR="00D360BE">
        <w:rPr>
          <w:rFonts w:cstheme="minorHAnsi"/>
          <w:b/>
        </w:rPr>
        <w:t>6</w:t>
      </w:r>
      <w:r w:rsidR="00BF606B" w:rsidRPr="0016340A">
        <w:rPr>
          <w:rFonts w:cstheme="minorHAnsi"/>
          <w:b/>
        </w:rPr>
        <w:t>.</w:t>
      </w:r>
      <w:r w:rsidRPr="0016340A">
        <w:rPr>
          <w:rFonts w:cstheme="minorHAnsi"/>
          <w:b/>
        </w:rPr>
        <w:t xml:space="preserve"> Number of initiations</w:t>
      </w:r>
      <w:r w:rsidR="00BF7808" w:rsidRPr="0016340A">
        <w:rPr>
          <w:rFonts w:cstheme="minorHAnsi"/>
          <w:b/>
          <w:vertAlign w:val="superscript"/>
        </w:rPr>
        <w:t>1</w:t>
      </w:r>
      <w:r w:rsidRPr="0016340A">
        <w:rPr>
          <w:rFonts w:cstheme="minorHAnsi"/>
          <w:b/>
        </w:rPr>
        <w:t xml:space="preserve"> to each RRMS drug </w:t>
      </w:r>
      <w:r w:rsidR="00CE01F7" w:rsidRPr="0016340A">
        <w:rPr>
          <w:rFonts w:cstheme="minorHAnsi"/>
          <w:b/>
        </w:rPr>
        <w:t xml:space="preserve">between 1 December 2013 and </w:t>
      </w:r>
      <w:r w:rsidR="002F340A">
        <w:rPr>
          <w:rFonts w:cstheme="minorHAnsi"/>
          <w:b/>
        </w:rPr>
        <w:br/>
      </w:r>
      <w:r w:rsidR="00CE01F7" w:rsidRPr="0016340A">
        <w:rPr>
          <w:rFonts w:cstheme="minorHAnsi"/>
          <w:b/>
        </w:rPr>
        <w:t xml:space="preserve">30 November 2014 </w:t>
      </w:r>
    </w:p>
    <w:tbl>
      <w:tblPr>
        <w:tblStyle w:val="TableGrid"/>
        <w:tblW w:w="0" w:type="auto"/>
        <w:tblLook w:val="04A0" w:firstRow="1" w:lastRow="0" w:firstColumn="1" w:lastColumn="0" w:noHBand="0" w:noVBand="1"/>
      </w:tblPr>
      <w:tblGrid>
        <w:gridCol w:w="2235"/>
        <w:gridCol w:w="1984"/>
        <w:gridCol w:w="1985"/>
        <w:gridCol w:w="1984"/>
      </w:tblGrid>
      <w:tr w:rsidR="002A143F" w:rsidRPr="0016340A" w14:paraId="0FABF1E3" w14:textId="77777777" w:rsidTr="00921905">
        <w:tc>
          <w:tcPr>
            <w:tcW w:w="2235" w:type="dxa"/>
            <w:tcBorders>
              <w:top w:val="single" w:sz="4" w:space="0" w:color="auto"/>
              <w:left w:val="single" w:sz="4" w:space="0" w:color="auto"/>
            </w:tcBorders>
            <w:shd w:val="clear" w:color="auto" w:fill="BFBFBF" w:themeFill="background1" w:themeFillShade="BF"/>
          </w:tcPr>
          <w:p w14:paraId="57AE58E4" w14:textId="6B0ECC7D" w:rsidR="002A143F" w:rsidRPr="0016340A" w:rsidRDefault="00921905" w:rsidP="0016340A">
            <w:pPr>
              <w:jc w:val="center"/>
              <w:rPr>
                <w:b/>
                <w:sz w:val="20"/>
                <w:szCs w:val="20"/>
              </w:rPr>
            </w:pPr>
            <w:r w:rsidRPr="0016340A">
              <w:rPr>
                <w:b/>
                <w:sz w:val="20"/>
                <w:szCs w:val="20"/>
              </w:rPr>
              <w:t>Drug</w:t>
            </w:r>
          </w:p>
        </w:tc>
        <w:tc>
          <w:tcPr>
            <w:tcW w:w="1984" w:type="dxa"/>
            <w:shd w:val="clear" w:color="auto" w:fill="BFBFBF" w:themeFill="background1" w:themeFillShade="BF"/>
          </w:tcPr>
          <w:p w14:paraId="0021DE02" w14:textId="2E4EB4BD" w:rsidR="00664742" w:rsidRPr="0016340A" w:rsidRDefault="00664742" w:rsidP="0016340A">
            <w:pPr>
              <w:jc w:val="center"/>
              <w:rPr>
                <w:b/>
                <w:sz w:val="20"/>
                <w:szCs w:val="20"/>
              </w:rPr>
            </w:pPr>
            <w:r w:rsidRPr="0016340A">
              <w:rPr>
                <w:b/>
                <w:sz w:val="20"/>
                <w:szCs w:val="20"/>
              </w:rPr>
              <w:t>Group 1</w:t>
            </w:r>
          </w:p>
          <w:p w14:paraId="2DB39207" w14:textId="70BE70A9" w:rsidR="002A143F" w:rsidRPr="0016340A" w:rsidRDefault="00383141" w:rsidP="0016340A">
            <w:pPr>
              <w:jc w:val="center"/>
              <w:rPr>
                <w:b/>
                <w:sz w:val="20"/>
                <w:szCs w:val="20"/>
              </w:rPr>
            </w:pPr>
            <w:r w:rsidRPr="0016340A">
              <w:rPr>
                <w:b/>
                <w:sz w:val="20"/>
                <w:szCs w:val="20"/>
              </w:rPr>
              <w:t xml:space="preserve">N (%) </w:t>
            </w:r>
            <w:r w:rsidR="00A377F7" w:rsidRPr="0016340A">
              <w:rPr>
                <w:b/>
                <w:sz w:val="20"/>
                <w:szCs w:val="20"/>
              </w:rPr>
              <w:t>new to any</w:t>
            </w:r>
            <w:r w:rsidRPr="0016340A">
              <w:rPr>
                <w:b/>
                <w:sz w:val="20"/>
                <w:szCs w:val="20"/>
              </w:rPr>
              <w:t xml:space="preserve"> </w:t>
            </w:r>
            <w:r w:rsidR="002A143F" w:rsidRPr="0016340A">
              <w:rPr>
                <w:b/>
                <w:sz w:val="20"/>
                <w:szCs w:val="20"/>
              </w:rPr>
              <w:t>PBS RRMS therapy</w:t>
            </w:r>
            <w:r w:rsidR="00BC4917" w:rsidRPr="0016340A">
              <w:rPr>
                <w:b/>
                <w:sz w:val="20"/>
                <w:szCs w:val="20"/>
                <w:vertAlign w:val="superscript"/>
              </w:rPr>
              <w:t>2</w:t>
            </w:r>
          </w:p>
        </w:tc>
        <w:tc>
          <w:tcPr>
            <w:tcW w:w="1985" w:type="dxa"/>
            <w:shd w:val="clear" w:color="auto" w:fill="BFBFBF" w:themeFill="background1" w:themeFillShade="BF"/>
          </w:tcPr>
          <w:p w14:paraId="1C78917A" w14:textId="5871BCE0" w:rsidR="00664742" w:rsidRPr="0016340A" w:rsidRDefault="00664742" w:rsidP="0016340A">
            <w:pPr>
              <w:jc w:val="center"/>
              <w:rPr>
                <w:b/>
                <w:sz w:val="20"/>
                <w:szCs w:val="20"/>
              </w:rPr>
            </w:pPr>
            <w:r w:rsidRPr="0016340A">
              <w:rPr>
                <w:b/>
                <w:sz w:val="20"/>
                <w:szCs w:val="20"/>
              </w:rPr>
              <w:t>Group 2</w:t>
            </w:r>
          </w:p>
          <w:p w14:paraId="5CF5D22F" w14:textId="54F4F1C3" w:rsidR="002A143F" w:rsidRPr="0016340A" w:rsidRDefault="002A143F" w:rsidP="0016340A">
            <w:pPr>
              <w:jc w:val="center"/>
              <w:rPr>
                <w:b/>
                <w:sz w:val="20"/>
                <w:szCs w:val="20"/>
                <w:vertAlign w:val="superscript"/>
              </w:rPr>
            </w:pPr>
            <w:r w:rsidRPr="0016340A">
              <w:rPr>
                <w:b/>
                <w:sz w:val="20"/>
                <w:szCs w:val="20"/>
              </w:rPr>
              <w:t xml:space="preserve">N (%) switched from another PBS RRMS </w:t>
            </w:r>
            <w:r w:rsidR="001878AA" w:rsidRPr="0016340A">
              <w:rPr>
                <w:b/>
                <w:sz w:val="20"/>
                <w:szCs w:val="20"/>
              </w:rPr>
              <w:t>drug</w:t>
            </w:r>
            <w:r w:rsidR="00BC4917" w:rsidRPr="0016340A">
              <w:rPr>
                <w:b/>
                <w:sz w:val="20"/>
                <w:szCs w:val="20"/>
                <w:vertAlign w:val="superscript"/>
              </w:rPr>
              <w:t>3</w:t>
            </w:r>
          </w:p>
        </w:tc>
        <w:tc>
          <w:tcPr>
            <w:tcW w:w="1984" w:type="dxa"/>
            <w:shd w:val="clear" w:color="auto" w:fill="BFBFBF" w:themeFill="background1" w:themeFillShade="BF"/>
          </w:tcPr>
          <w:p w14:paraId="1E67C920" w14:textId="0E9B8BBF" w:rsidR="00664742" w:rsidRPr="0016340A" w:rsidRDefault="00664742" w:rsidP="0016340A">
            <w:pPr>
              <w:jc w:val="center"/>
              <w:rPr>
                <w:b/>
                <w:sz w:val="20"/>
                <w:szCs w:val="20"/>
              </w:rPr>
            </w:pPr>
            <w:r w:rsidRPr="0016340A">
              <w:rPr>
                <w:b/>
                <w:sz w:val="20"/>
                <w:szCs w:val="20"/>
              </w:rPr>
              <w:t>Group 3</w:t>
            </w:r>
          </w:p>
          <w:p w14:paraId="5D8D4564" w14:textId="77777777" w:rsidR="002A143F" w:rsidRPr="0016340A" w:rsidRDefault="002A143F" w:rsidP="0016340A">
            <w:pPr>
              <w:jc w:val="center"/>
              <w:rPr>
                <w:b/>
                <w:sz w:val="20"/>
                <w:szCs w:val="20"/>
              </w:rPr>
            </w:pPr>
            <w:r w:rsidRPr="0016340A">
              <w:rPr>
                <w:b/>
                <w:sz w:val="20"/>
                <w:szCs w:val="20"/>
              </w:rPr>
              <w:t>N(%) returning from a break in PBS therapy of &gt;12 months</w:t>
            </w:r>
          </w:p>
        </w:tc>
      </w:tr>
      <w:tr w:rsidR="00383141" w:rsidRPr="0016340A" w14:paraId="6BA44B6C" w14:textId="77777777" w:rsidTr="00AD1A94">
        <w:tc>
          <w:tcPr>
            <w:tcW w:w="2235" w:type="dxa"/>
          </w:tcPr>
          <w:p w14:paraId="526B3BCC" w14:textId="3949349A" w:rsidR="00383141" w:rsidRPr="0016340A" w:rsidRDefault="00383141" w:rsidP="0016340A">
            <w:pPr>
              <w:rPr>
                <w:sz w:val="20"/>
                <w:szCs w:val="20"/>
              </w:rPr>
            </w:pPr>
            <w:r w:rsidRPr="0016340A">
              <w:rPr>
                <w:sz w:val="20"/>
                <w:szCs w:val="20"/>
              </w:rPr>
              <w:t>Glatiramer acetate</w:t>
            </w:r>
          </w:p>
        </w:tc>
        <w:tc>
          <w:tcPr>
            <w:tcW w:w="1984" w:type="dxa"/>
          </w:tcPr>
          <w:p w14:paraId="5534246F" w14:textId="794C6921" w:rsidR="00383141" w:rsidRPr="0016340A" w:rsidRDefault="00383141" w:rsidP="0016340A">
            <w:pPr>
              <w:jc w:val="center"/>
              <w:rPr>
                <w:sz w:val="20"/>
                <w:szCs w:val="20"/>
              </w:rPr>
            </w:pPr>
            <w:r w:rsidRPr="0016340A">
              <w:rPr>
                <w:sz w:val="20"/>
                <w:szCs w:val="20"/>
              </w:rPr>
              <w:t xml:space="preserve"> 182 (10%)</w:t>
            </w:r>
          </w:p>
        </w:tc>
        <w:tc>
          <w:tcPr>
            <w:tcW w:w="1985" w:type="dxa"/>
          </w:tcPr>
          <w:p w14:paraId="4C66A3A5" w14:textId="2CC85466" w:rsidR="00383141" w:rsidRPr="0016340A" w:rsidRDefault="00383141" w:rsidP="0016340A">
            <w:pPr>
              <w:jc w:val="center"/>
              <w:rPr>
                <w:sz w:val="20"/>
                <w:szCs w:val="20"/>
              </w:rPr>
            </w:pPr>
            <w:r w:rsidRPr="0016340A">
              <w:rPr>
                <w:sz w:val="20"/>
                <w:szCs w:val="20"/>
              </w:rPr>
              <w:t>46 (2%)</w:t>
            </w:r>
          </w:p>
        </w:tc>
        <w:tc>
          <w:tcPr>
            <w:tcW w:w="1984" w:type="dxa"/>
          </w:tcPr>
          <w:p w14:paraId="18A0CB4F" w14:textId="33CCCEC5" w:rsidR="00383141" w:rsidRPr="0016340A" w:rsidRDefault="00383141" w:rsidP="0016340A">
            <w:pPr>
              <w:jc w:val="center"/>
              <w:rPr>
                <w:sz w:val="20"/>
                <w:szCs w:val="20"/>
              </w:rPr>
            </w:pPr>
            <w:r w:rsidRPr="0016340A">
              <w:rPr>
                <w:sz w:val="20"/>
                <w:szCs w:val="20"/>
              </w:rPr>
              <w:t>60 (7%)</w:t>
            </w:r>
          </w:p>
        </w:tc>
      </w:tr>
      <w:tr w:rsidR="00383141" w:rsidRPr="0016340A" w14:paraId="77224245" w14:textId="77777777" w:rsidTr="00AD1A94">
        <w:tc>
          <w:tcPr>
            <w:tcW w:w="2235" w:type="dxa"/>
          </w:tcPr>
          <w:p w14:paraId="18EE5124" w14:textId="77777777" w:rsidR="00383141" w:rsidRPr="0016340A" w:rsidRDefault="00383141" w:rsidP="0016340A">
            <w:pPr>
              <w:rPr>
                <w:sz w:val="20"/>
                <w:szCs w:val="20"/>
              </w:rPr>
            </w:pPr>
            <w:r w:rsidRPr="0016340A">
              <w:rPr>
                <w:sz w:val="20"/>
                <w:szCs w:val="20"/>
              </w:rPr>
              <w:t>IFN beta-1a</w:t>
            </w:r>
          </w:p>
        </w:tc>
        <w:tc>
          <w:tcPr>
            <w:tcW w:w="1984" w:type="dxa"/>
          </w:tcPr>
          <w:p w14:paraId="18963791" w14:textId="159BA07C" w:rsidR="00383141" w:rsidRPr="0016340A" w:rsidRDefault="00383141" w:rsidP="0016340A">
            <w:pPr>
              <w:jc w:val="center"/>
              <w:rPr>
                <w:sz w:val="20"/>
                <w:szCs w:val="20"/>
              </w:rPr>
            </w:pPr>
            <w:r w:rsidRPr="0016340A">
              <w:rPr>
                <w:sz w:val="20"/>
                <w:szCs w:val="20"/>
              </w:rPr>
              <w:t xml:space="preserve"> 101 (6%)</w:t>
            </w:r>
          </w:p>
        </w:tc>
        <w:tc>
          <w:tcPr>
            <w:tcW w:w="1985" w:type="dxa"/>
          </w:tcPr>
          <w:p w14:paraId="55DE6481" w14:textId="1C5A90F1" w:rsidR="00383141" w:rsidRPr="0016340A" w:rsidRDefault="00383141" w:rsidP="0016340A">
            <w:pPr>
              <w:jc w:val="center"/>
              <w:rPr>
                <w:sz w:val="20"/>
                <w:szCs w:val="20"/>
              </w:rPr>
            </w:pPr>
            <w:r w:rsidRPr="0016340A">
              <w:rPr>
                <w:sz w:val="20"/>
                <w:szCs w:val="20"/>
              </w:rPr>
              <w:t>26 (1%)</w:t>
            </w:r>
          </w:p>
        </w:tc>
        <w:tc>
          <w:tcPr>
            <w:tcW w:w="1984" w:type="dxa"/>
          </w:tcPr>
          <w:p w14:paraId="4FC296DB" w14:textId="51A4B4D0" w:rsidR="00383141" w:rsidRPr="0016340A" w:rsidRDefault="00383141" w:rsidP="0016340A">
            <w:pPr>
              <w:jc w:val="center"/>
              <w:rPr>
                <w:sz w:val="20"/>
                <w:szCs w:val="20"/>
              </w:rPr>
            </w:pPr>
            <w:r w:rsidRPr="0016340A">
              <w:rPr>
                <w:sz w:val="20"/>
                <w:szCs w:val="20"/>
              </w:rPr>
              <w:t>40 (5%)</w:t>
            </w:r>
          </w:p>
        </w:tc>
      </w:tr>
      <w:tr w:rsidR="00383141" w:rsidRPr="0016340A" w14:paraId="6A45E094" w14:textId="77777777" w:rsidTr="00AD1A94">
        <w:tc>
          <w:tcPr>
            <w:tcW w:w="2235" w:type="dxa"/>
          </w:tcPr>
          <w:p w14:paraId="785554CA" w14:textId="77777777" w:rsidR="00383141" w:rsidRPr="0016340A" w:rsidRDefault="00383141" w:rsidP="0016340A">
            <w:pPr>
              <w:rPr>
                <w:sz w:val="20"/>
                <w:szCs w:val="20"/>
              </w:rPr>
            </w:pPr>
            <w:r w:rsidRPr="0016340A">
              <w:rPr>
                <w:sz w:val="20"/>
                <w:szCs w:val="20"/>
              </w:rPr>
              <w:t>IFN beta-1b</w:t>
            </w:r>
          </w:p>
        </w:tc>
        <w:tc>
          <w:tcPr>
            <w:tcW w:w="1984" w:type="dxa"/>
          </w:tcPr>
          <w:p w14:paraId="0839BDFD" w14:textId="58A3B5A6" w:rsidR="00383141" w:rsidRPr="0016340A" w:rsidRDefault="00383141" w:rsidP="0016340A">
            <w:pPr>
              <w:jc w:val="center"/>
              <w:rPr>
                <w:sz w:val="20"/>
                <w:szCs w:val="20"/>
              </w:rPr>
            </w:pPr>
            <w:r w:rsidRPr="0016340A">
              <w:rPr>
                <w:sz w:val="20"/>
                <w:szCs w:val="20"/>
              </w:rPr>
              <w:t xml:space="preserve"> 43 (2%)</w:t>
            </w:r>
          </w:p>
        </w:tc>
        <w:tc>
          <w:tcPr>
            <w:tcW w:w="1985" w:type="dxa"/>
          </w:tcPr>
          <w:p w14:paraId="2A3A536D" w14:textId="597736C1" w:rsidR="00383141" w:rsidRPr="0016340A" w:rsidRDefault="00383141" w:rsidP="0016340A">
            <w:pPr>
              <w:jc w:val="center"/>
              <w:rPr>
                <w:sz w:val="20"/>
                <w:szCs w:val="20"/>
              </w:rPr>
            </w:pPr>
            <w:r w:rsidRPr="0016340A">
              <w:rPr>
                <w:sz w:val="20"/>
                <w:szCs w:val="20"/>
              </w:rPr>
              <w:t>12 (0.4%)</w:t>
            </w:r>
          </w:p>
        </w:tc>
        <w:tc>
          <w:tcPr>
            <w:tcW w:w="1984" w:type="dxa"/>
          </w:tcPr>
          <w:p w14:paraId="1A9F3F23" w14:textId="39B1310A" w:rsidR="00383141" w:rsidRPr="0016340A" w:rsidRDefault="00383141" w:rsidP="0016340A">
            <w:pPr>
              <w:jc w:val="center"/>
              <w:rPr>
                <w:sz w:val="20"/>
                <w:szCs w:val="20"/>
              </w:rPr>
            </w:pPr>
            <w:r w:rsidRPr="0016340A">
              <w:rPr>
                <w:sz w:val="20"/>
                <w:szCs w:val="20"/>
              </w:rPr>
              <w:t>27 (3%)</w:t>
            </w:r>
          </w:p>
        </w:tc>
      </w:tr>
      <w:tr w:rsidR="00383141" w:rsidRPr="0016340A" w14:paraId="2CA6A161" w14:textId="77777777" w:rsidTr="00AD1A94">
        <w:tc>
          <w:tcPr>
            <w:tcW w:w="2235" w:type="dxa"/>
          </w:tcPr>
          <w:p w14:paraId="15C576D1" w14:textId="77777777" w:rsidR="00383141" w:rsidRPr="0016340A" w:rsidRDefault="00383141" w:rsidP="0016340A">
            <w:pPr>
              <w:rPr>
                <w:sz w:val="20"/>
                <w:szCs w:val="20"/>
              </w:rPr>
            </w:pPr>
            <w:r w:rsidRPr="0016340A">
              <w:rPr>
                <w:sz w:val="20"/>
                <w:szCs w:val="20"/>
              </w:rPr>
              <w:t>Fingolimod</w:t>
            </w:r>
          </w:p>
        </w:tc>
        <w:tc>
          <w:tcPr>
            <w:tcW w:w="1984" w:type="dxa"/>
          </w:tcPr>
          <w:p w14:paraId="70CB4C60" w14:textId="1441CCF3" w:rsidR="00383141" w:rsidRPr="0016340A" w:rsidRDefault="00383141" w:rsidP="0016340A">
            <w:pPr>
              <w:jc w:val="center"/>
              <w:rPr>
                <w:sz w:val="20"/>
                <w:szCs w:val="20"/>
              </w:rPr>
            </w:pPr>
            <w:r w:rsidRPr="0016340A">
              <w:rPr>
                <w:sz w:val="20"/>
                <w:szCs w:val="20"/>
              </w:rPr>
              <w:t xml:space="preserve"> 481 (26%)</w:t>
            </w:r>
          </w:p>
        </w:tc>
        <w:tc>
          <w:tcPr>
            <w:tcW w:w="1985" w:type="dxa"/>
          </w:tcPr>
          <w:p w14:paraId="423DF2CA" w14:textId="3ABC9AAA" w:rsidR="00383141" w:rsidRPr="0016340A" w:rsidRDefault="00383141" w:rsidP="0016340A">
            <w:pPr>
              <w:jc w:val="center"/>
              <w:rPr>
                <w:sz w:val="20"/>
                <w:szCs w:val="20"/>
              </w:rPr>
            </w:pPr>
            <w:r w:rsidRPr="0016340A">
              <w:rPr>
                <w:sz w:val="20"/>
                <w:szCs w:val="20"/>
              </w:rPr>
              <w:t>620 (22%)</w:t>
            </w:r>
          </w:p>
        </w:tc>
        <w:tc>
          <w:tcPr>
            <w:tcW w:w="1984" w:type="dxa"/>
          </w:tcPr>
          <w:p w14:paraId="5D980938" w14:textId="3C1455E3" w:rsidR="00383141" w:rsidRPr="0016340A" w:rsidRDefault="00383141" w:rsidP="0016340A">
            <w:pPr>
              <w:jc w:val="center"/>
              <w:rPr>
                <w:sz w:val="20"/>
                <w:szCs w:val="20"/>
              </w:rPr>
            </w:pPr>
            <w:r w:rsidRPr="0016340A">
              <w:rPr>
                <w:sz w:val="20"/>
                <w:szCs w:val="20"/>
              </w:rPr>
              <w:t>129 (16%)</w:t>
            </w:r>
          </w:p>
        </w:tc>
      </w:tr>
      <w:tr w:rsidR="00383141" w:rsidRPr="0016340A" w14:paraId="2FC18615" w14:textId="77777777" w:rsidTr="00AD1A94">
        <w:tc>
          <w:tcPr>
            <w:tcW w:w="2235" w:type="dxa"/>
          </w:tcPr>
          <w:p w14:paraId="0F89DFA2" w14:textId="4F83C097" w:rsidR="00383141" w:rsidRPr="0016340A" w:rsidRDefault="00383141" w:rsidP="0016340A">
            <w:pPr>
              <w:rPr>
                <w:sz w:val="20"/>
                <w:szCs w:val="20"/>
              </w:rPr>
            </w:pPr>
            <w:r w:rsidRPr="0016340A">
              <w:rPr>
                <w:sz w:val="20"/>
                <w:szCs w:val="20"/>
              </w:rPr>
              <w:t>Dimethyl fumarate</w:t>
            </w:r>
          </w:p>
        </w:tc>
        <w:tc>
          <w:tcPr>
            <w:tcW w:w="1984" w:type="dxa"/>
          </w:tcPr>
          <w:p w14:paraId="50C9C53B" w14:textId="76270C30" w:rsidR="00383141" w:rsidRPr="0016340A" w:rsidRDefault="00383141" w:rsidP="0016340A">
            <w:pPr>
              <w:jc w:val="center"/>
              <w:rPr>
                <w:sz w:val="20"/>
                <w:szCs w:val="20"/>
              </w:rPr>
            </w:pPr>
            <w:r w:rsidRPr="0016340A">
              <w:rPr>
                <w:sz w:val="20"/>
                <w:szCs w:val="20"/>
              </w:rPr>
              <w:t xml:space="preserve"> 641 (35%)</w:t>
            </w:r>
          </w:p>
        </w:tc>
        <w:tc>
          <w:tcPr>
            <w:tcW w:w="1985" w:type="dxa"/>
          </w:tcPr>
          <w:p w14:paraId="67A05AC6" w14:textId="67740F6B" w:rsidR="00383141" w:rsidRPr="0016340A" w:rsidRDefault="00383141" w:rsidP="0016340A">
            <w:pPr>
              <w:jc w:val="center"/>
              <w:rPr>
                <w:sz w:val="20"/>
                <w:szCs w:val="20"/>
              </w:rPr>
            </w:pPr>
            <w:r w:rsidRPr="0016340A">
              <w:rPr>
                <w:sz w:val="20"/>
                <w:szCs w:val="20"/>
              </w:rPr>
              <w:t>1,482 (53%)</w:t>
            </w:r>
          </w:p>
        </w:tc>
        <w:tc>
          <w:tcPr>
            <w:tcW w:w="1984" w:type="dxa"/>
          </w:tcPr>
          <w:p w14:paraId="0DC73ED1" w14:textId="0A467F73" w:rsidR="00383141" w:rsidRPr="0016340A" w:rsidRDefault="00383141" w:rsidP="0016340A">
            <w:pPr>
              <w:jc w:val="center"/>
              <w:rPr>
                <w:sz w:val="20"/>
                <w:szCs w:val="20"/>
              </w:rPr>
            </w:pPr>
            <w:r w:rsidRPr="0016340A">
              <w:rPr>
                <w:sz w:val="20"/>
                <w:szCs w:val="20"/>
              </w:rPr>
              <w:t>332 (41%)</w:t>
            </w:r>
          </w:p>
        </w:tc>
      </w:tr>
      <w:tr w:rsidR="00383141" w:rsidRPr="0016340A" w14:paraId="74BF0A69" w14:textId="77777777" w:rsidTr="00AD1A94">
        <w:tc>
          <w:tcPr>
            <w:tcW w:w="2235" w:type="dxa"/>
          </w:tcPr>
          <w:p w14:paraId="2E41A946" w14:textId="77777777" w:rsidR="00383141" w:rsidRPr="0016340A" w:rsidRDefault="00383141" w:rsidP="0016340A">
            <w:pPr>
              <w:rPr>
                <w:sz w:val="20"/>
                <w:szCs w:val="20"/>
              </w:rPr>
            </w:pPr>
            <w:r w:rsidRPr="0016340A">
              <w:rPr>
                <w:sz w:val="20"/>
                <w:szCs w:val="20"/>
              </w:rPr>
              <w:t>Teriflunomide</w:t>
            </w:r>
          </w:p>
        </w:tc>
        <w:tc>
          <w:tcPr>
            <w:tcW w:w="1984" w:type="dxa"/>
          </w:tcPr>
          <w:p w14:paraId="49982E37" w14:textId="7A741EB5" w:rsidR="00383141" w:rsidRPr="0016340A" w:rsidRDefault="00383141" w:rsidP="0016340A">
            <w:pPr>
              <w:jc w:val="center"/>
              <w:rPr>
                <w:sz w:val="20"/>
                <w:szCs w:val="20"/>
              </w:rPr>
            </w:pPr>
            <w:r w:rsidRPr="0016340A">
              <w:rPr>
                <w:sz w:val="20"/>
                <w:szCs w:val="20"/>
              </w:rPr>
              <w:t xml:space="preserve"> 166 (9%)</w:t>
            </w:r>
          </w:p>
        </w:tc>
        <w:tc>
          <w:tcPr>
            <w:tcW w:w="1985" w:type="dxa"/>
          </w:tcPr>
          <w:p w14:paraId="6E31D396" w14:textId="6A80776D" w:rsidR="00383141" w:rsidRPr="0016340A" w:rsidRDefault="00383141" w:rsidP="0016340A">
            <w:pPr>
              <w:jc w:val="center"/>
              <w:rPr>
                <w:sz w:val="20"/>
                <w:szCs w:val="20"/>
              </w:rPr>
            </w:pPr>
            <w:r w:rsidRPr="0016340A">
              <w:rPr>
                <w:sz w:val="20"/>
                <w:szCs w:val="20"/>
              </w:rPr>
              <w:t>367 (15%)</w:t>
            </w:r>
          </w:p>
        </w:tc>
        <w:tc>
          <w:tcPr>
            <w:tcW w:w="1984" w:type="dxa"/>
          </w:tcPr>
          <w:p w14:paraId="088F1902" w14:textId="46AF40B7" w:rsidR="00383141" w:rsidRPr="0016340A" w:rsidRDefault="00383141" w:rsidP="0016340A">
            <w:pPr>
              <w:jc w:val="center"/>
              <w:rPr>
                <w:sz w:val="20"/>
                <w:szCs w:val="20"/>
              </w:rPr>
            </w:pPr>
            <w:r w:rsidRPr="0016340A">
              <w:rPr>
                <w:sz w:val="20"/>
                <w:szCs w:val="20"/>
              </w:rPr>
              <w:t>173 (21%)</w:t>
            </w:r>
          </w:p>
        </w:tc>
      </w:tr>
      <w:tr w:rsidR="00383141" w:rsidRPr="0016340A" w14:paraId="0C1123F5" w14:textId="77777777" w:rsidTr="00AD1A94">
        <w:tc>
          <w:tcPr>
            <w:tcW w:w="2235" w:type="dxa"/>
          </w:tcPr>
          <w:p w14:paraId="5FFF502F" w14:textId="77777777" w:rsidR="00383141" w:rsidRPr="0016340A" w:rsidRDefault="00383141" w:rsidP="0016340A">
            <w:pPr>
              <w:rPr>
                <w:sz w:val="20"/>
                <w:szCs w:val="20"/>
              </w:rPr>
            </w:pPr>
            <w:r w:rsidRPr="0016340A">
              <w:rPr>
                <w:sz w:val="20"/>
                <w:szCs w:val="20"/>
              </w:rPr>
              <w:t>Natalizumab</w:t>
            </w:r>
          </w:p>
        </w:tc>
        <w:tc>
          <w:tcPr>
            <w:tcW w:w="1984" w:type="dxa"/>
          </w:tcPr>
          <w:p w14:paraId="7568286A" w14:textId="2E687CE9" w:rsidR="00383141" w:rsidRPr="0016340A" w:rsidRDefault="00383141" w:rsidP="0016340A">
            <w:pPr>
              <w:jc w:val="center"/>
              <w:rPr>
                <w:sz w:val="20"/>
                <w:szCs w:val="20"/>
              </w:rPr>
            </w:pPr>
            <w:r w:rsidRPr="0016340A">
              <w:rPr>
                <w:sz w:val="20"/>
                <w:szCs w:val="20"/>
              </w:rPr>
              <w:t xml:space="preserve"> 209 (11%)</w:t>
            </w:r>
          </w:p>
        </w:tc>
        <w:tc>
          <w:tcPr>
            <w:tcW w:w="1985" w:type="dxa"/>
          </w:tcPr>
          <w:p w14:paraId="37E36504" w14:textId="5D727E97" w:rsidR="00383141" w:rsidRPr="0016340A" w:rsidRDefault="00383141" w:rsidP="0016340A">
            <w:pPr>
              <w:jc w:val="center"/>
              <w:rPr>
                <w:sz w:val="20"/>
                <w:szCs w:val="20"/>
              </w:rPr>
            </w:pPr>
            <w:r w:rsidRPr="0016340A">
              <w:rPr>
                <w:sz w:val="20"/>
                <w:szCs w:val="20"/>
              </w:rPr>
              <w:t>255 (9%)</w:t>
            </w:r>
          </w:p>
        </w:tc>
        <w:tc>
          <w:tcPr>
            <w:tcW w:w="1984" w:type="dxa"/>
          </w:tcPr>
          <w:p w14:paraId="29A723B2" w14:textId="128AE566" w:rsidR="00383141" w:rsidRPr="0016340A" w:rsidRDefault="00383141" w:rsidP="0016340A">
            <w:pPr>
              <w:jc w:val="center"/>
              <w:rPr>
                <w:sz w:val="20"/>
                <w:szCs w:val="20"/>
              </w:rPr>
            </w:pPr>
            <w:r w:rsidRPr="0016340A">
              <w:rPr>
                <w:sz w:val="20"/>
                <w:szCs w:val="20"/>
              </w:rPr>
              <w:t>53 (7%)</w:t>
            </w:r>
          </w:p>
        </w:tc>
      </w:tr>
      <w:tr w:rsidR="00383141" w:rsidRPr="0016340A" w14:paraId="28DBE52D" w14:textId="77777777" w:rsidTr="00AD1A94">
        <w:tc>
          <w:tcPr>
            <w:tcW w:w="2235" w:type="dxa"/>
          </w:tcPr>
          <w:p w14:paraId="089D1BA4" w14:textId="4AC316A9" w:rsidR="00383141" w:rsidRPr="0016340A" w:rsidRDefault="00383141" w:rsidP="0016340A">
            <w:pPr>
              <w:rPr>
                <w:sz w:val="20"/>
                <w:szCs w:val="20"/>
              </w:rPr>
            </w:pPr>
            <w:r w:rsidRPr="0016340A">
              <w:rPr>
                <w:sz w:val="20"/>
                <w:szCs w:val="20"/>
              </w:rPr>
              <w:t>All RRMS drugs</w:t>
            </w:r>
          </w:p>
        </w:tc>
        <w:tc>
          <w:tcPr>
            <w:tcW w:w="1984" w:type="dxa"/>
          </w:tcPr>
          <w:p w14:paraId="633C61F9" w14:textId="2846EC51" w:rsidR="00383141" w:rsidRPr="0016340A" w:rsidRDefault="00383141" w:rsidP="0016340A">
            <w:pPr>
              <w:jc w:val="center"/>
              <w:rPr>
                <w:sz w:val="20"/>
                <w:szCs w:val="20"/>
              </w:rPr>
            </w:pPr>
            <w:r w:rsidRPr="0016340A">
              <w:rPr>
                <w:sz w:val="20"/>
                <w:szCs w:val="20"/>
              </w:rPr>
              <w:t xml:space="preserve"> 1,823 </w:t>
            </w:r>
          </w:p>
        </w:tc>
        <w:tc>
          <w:tcPr>
            <w:tcW w:w="1985" w:type="dxa"/>
          </w:tcPr>
          <w:p w14:paraId="1E878B30" w14:textId="0C6F5993" w:rsidR="00383141" w:rsidRPr="0016340A" w:rsidRDefault="00383141" w:rsidP="0016340A">
            <w:pPr>
              <w:jc w:val="center"/>
              <w:rPr>
                <w:sz w:val="20"/>
                <w:szCs w:val="20"/>
              </w:rPr>
            </w:pPr>
            <w:r w:rsidRPr="0016340A">
              <w:rPr>
                <w:sz w:val="20"/>
                <w:szCs w:val="20"/>
              </w:rPr>
              <w:t>2,808</w:t>
            </w:r>
          </w:p>
        </w:tc>
        <w:tc>
          <w:tcPr>
            <w:tcW w:w="1984" w:type="dxa"/>
          </w:tcPr>
          <w:p w14:paraId="50F38255" w14:textId="27ED5A3B" w:rsidR="00383141" w:rsidRPr="0016340A" w:rsidRDefault="00383141" w:rsidP="0016340A">
            <w:pPr>
              <w:jc w:val="center"/>
              <w:rPr>
                <w:sz w:val="20"/>
                <w:szCs w:val="20"/>
              </w:rPr>
            </w:pPr>
            <w:r w:rsidRPr="0016340A">
              <w:rPr>
                <w:sz w:val="20"/>
                <w:szCs w:val="20"/>
              </w:rPr>
              <w:t>814</w:t>
            </w:r>
          </w:p>
        </w:tc>
      </w:tr>
    </w:tbl>
    <w:p w14:paraId="4AB108E5" w14:textId="25E032DC" w:rsidR="00B66C4E" w:rsidRPr="0016340A" w:rsidRDefault="00B66C4E" w:rsidP="0016340A">
      <w:pPr>
        <w:spacing w:after="0"/>
        <w:rPr>
          <w:sz w:val="20"/>
          <w:szCs w:val="20"/>
        </w:rPr>
      </w:pPr>
      <w:r w:rsidRPr="0016340A">
        <w:rPr>
          <w:sz w:val="20"/>
          <w:szCs w:val="20"/>
        </w:rPr>
        <w:t>Source: DHS prescription</w:t>
      </w:r>
      <w:r w:rsidR="00651BE0" w:rsidRPr="0016340A">
        <w:rPr>
          <w:sz w:val="20"/>
          <w:szCs w:val="20"/>
        </w:rPr>
        <w:t>s</w:t>
      </w:r>
      <w:r w:rsidRPr="0016340A">
        <w:rPr>
          <w:sz w:val="20"/>
          <w:szCs w:val="20"/>
        </w:rPr>
        <w:t xml:space="preserve"> data</w:t>
      </w:r>
    </w:p>
    <w:p w14:paraId="737BD553" w14:textId="3DA71F7A" w:rsidR="007B3DEA" w:rsidRPr="0016340A" w:rsidRDefault="007B3DEA" w:rsidP="0016340A">
      <w:pPr>
        <w:spacing w:after="0"/>
        <w:rPr>
          <w:sz w:val="20"/>
          <w:szCs w:val="20"/>
        </w:rPr>
      </w:pPr>
      <w:r w:rsidRPr="0016340A">
        <w:rPr>
          <w:sz w:val="20"/>
          <w:szCs w:val="20"/>
        </w:rPr>
        <w:t>Note:</w:t>
      </w:r>
    </w:p>
    <w:p w14:paraId="56EAE8B3" w14:textId="77777777" w:rsidR="004143C6" w:rsidRPr="0016340A" w:rsidRDefault="00BF7808" w:rsidP="0016340A">
      <w:pPr>
        <w:spacing w:after="0"/>
        <w:rPr>
          <w:sz w:val="20"/>
          <w:szCs w:val="20"/>
        </w:rPr>
      </w:pPr>
      <w:r w:rsidRPr="0016340A">
        <w:rPr>
          <w:sz w:val="20"/>
          <w:szCs w:val="20"/>
          <w:vertAlign w:val="superscript"/>
        </w:rPr>
        <w:t xml:space="preserve">1 </w:t>
      </w:r>
      <w:r w:rsidR="00BC4917" w:rsidRPr="0016340A">
        <w:rPr>
          <w:sz w:val="20"/>
          <w:szCs w:val="20"/>
        </w:rPr>
        <w:t>Including patients who were new to RRMS treatment, initiated on a new RRMS drug after a switch from a prior RRMS drug or recommencing after a treatment break of over 12 months.</w:t>
      </w:r>
    </w:p>
    <w:p w14:paraId="69971558" w14:textId="0CEE098D" w:rsidR="00BA628A" w:rsidRPr="0016340A" w:rsidRDefault="00BC4917" w:rsidP="0016340A">
      <w:pPr>
        <w:spacing w:after="0"/>
        <w:rPr>
          <w:sz w:val="20"/>
          <w:szCs w:val="20"/>
        </w:rPr>
      </w:pPr>
      <w:r w:rsidRPr="0016340A">
        <w:rPr>
          <w:sz w:val="20"/>
          <w:szCs w:val="20"/>
          <w:vertAlign w:val="superscript"/>
        </w:rPr>
        <w:t>2</w:t>
      </w:r>
      <w:r w:rsidR="007B3DEA" w:rsidRPr="0016340A">
        <w:rPr>
          <w:sz w:val="20"/>
          <w:szCs w:val="20"/>
        </w:rPr>
        <w:t xml:space="preserve"> A first time initiator to </w:t>
      </w:r>
      <w:r w:rsidR="00BA628A" w:rsidRPr="0016340A">
        <w:rPr>
          <w:sz w:val="20"/>
          <w:szCs w:val="20"/>
        </w:rPr>
        <w:t xml:space="preserve">PBS </w:t>
      </w:r>
      <w:r w:rsidR="007B3DEA" w:rsidRPr="0016340A">
        <w:rPr>
          <w:sz w:val="20"/>
          <w:szCs w:val="20"/>
        </w:rPr>
        <w:t>RRMS therapy was identified as having a first prescription for a</w:t>
      </w:r>
      <w:r w:rsidR="009C5EEF" w:rsidRPr="0016340A">
        <w:rPr>
          <w:sz w:val="20"/>
          <w:szCs w:val="20"/>
        </w:rPr>
        <w:t>ny</w:t>
      </w:r>
      <w:r w:rsidR="007B3DEA" w:rsidRPr="0016340A">
        <w:rPr>
          <w:sz w:val="20"/>
          <w:szCs w:val="20"/>
        </w:rPr>
        <w:t xml:space="preserve"> RRMS drug since 1 January 2002.</w:t>
      </w:r>
    </w:p>
    <w:p w14:paraId="0992734A" w14:textId="634E1504" w:rsidR="001875EE" w:rsidRPr="0016340A" w:rsidRDefault="00BC4917" w:rsidP="0016340A">
      <w:pPr>
        <w:spacing w:after="0"/>
        <w:rPr>
          <w:sz w:val="20"/>
          <w:szCs w:val="20"/>
        </w:rPr>
      </w:pPr>
      <w:r w:rsidRPr="0016340A">
        <w:rPr>
          <w:sz w:val="20"/>
          <w:szCs w:val="20"/>
          <w:vertAlign w:val="superscript"/>
        </w:rPr>
        <w:t>3</w:t>
      </w:r>
      <w:r w:rsidR="001875EE" w:rsidRPr="0016340A">
        <w:rPr>
          <w:sz w:val="20"/>
          <w:szCs w:val="20"/>
        </w:rPr>
        <w:t xml:space="preserve"> Excludes patients who were identified as having a treatment break of more than 12 months.</w:t>
      </w:r>
    </w:p>
    <w:p w14:paraId="5FBED7A9" w14:textId="77777777" w:rsidR="006C0D82" w:rsidRPr="0016340A" w:rsidRDefault="006C0D82" w:rsidP="0016340A">
      <w:pPr>
        <w:spacing w:after="0"/>
        <w:rPr>
          <w:sz w:val="20"/>
          <w:szCs w:val="20"/>
        </w:rPr>
      </w:pPr>
    </w:p>
    <w:p w14:paraId="2469B019" w14:textId="0515F240" w:rsidR="008E40E6" w:rsidRDefault="00A86DFB" w:rsidP="0016340A">
      <w:pPr>
        <w:spacing w:after="0"/>
      </w:pPr>
      <w:r w:rsidRPr="0016340A">
        <w:t>Referring t</w:t>
      </w:r>
      <w:r w:rsidR="007878A3" w:rsidRPr="0016340A">
        <w:t>o</w:t>
      </w:r>
      <w:r w:rsidRPr="0016340A">
        <w:t xml:space="preserve"> Table </w:t>
      </w:r>
      <w:r w:rsidR="00D360BE">
        <w:t>6</w:t>
      </w:r>
      <w:r w:rsidRPr="0016340A">
        <w:t xml:space="preserve">, the majority of new patients </w:t>
      </w:r>
      <w:r w:rsidR="00D328E1" w:rsidRPr="0016340A">
        <w:t>commenced on</w:t>
      </w:r>
      <w:r w:rsidRPr="0016340A">
        <w:t xml:space="preserve"> </w:t>
      </w:r>
      <w:r w:rsidR="007878A3" w:rsidRPr="0016340A">
        <w:t>dimethyl fumarate and fingolimod</w:t>
      </w:r>
      <w:r w:rsidR="007D7070" w:rsidRPr="0016340A">
        <w:t xml:space="preserve">. Only a </w:t>
      </w:r>
      <w:r w:rsidR="008E40E6" w:rsidRPr="0016340A">
        <w:t xml:space="preserve">relatively </w:t>
      </w:r>
      <w:r w:rsidR="00FC6508" w:rsidRPr="0016340A">
        <w:t>small</w:t>
      </w:r>
      <w:r w:rsidRPr="0016340A">
        <w:t xml:space="preserve"> proportion (</w:t>
      </w:r>
      <w:r w:rsidR="008E40E6" w:rsidRPr="0016340A">
        <w:t>1</w:t>
      </w:r>
      <w:r w:rsidR="00663841" w:rsidRPr="0016340A">
        <w:t>8</w:t>
      </w:r>
      <w:r w:rsidRPr="0016340A">
        <w:t xml:space="preserve">%) of patients </w:t>
      </w:r>
      <w:r w:rsidR="008E40E6" w:rsidRPr="0016340A">
        <w:t>received</w:t>
      </w:r>
      <w:r w:rsidRPr="0016340A">
        <w:t xml:space="preserve"> ABCR </w:t>
      </w:r>
      <w:r w:rsidR="008E40E6" w:rsidRPr="0016340A">
        <w:t xml:space="preserve">as their first </w:t>
      </w:r>
      <w:r w:rsidR="00851BCD" w:rsidRPr="0016340A">
        <w:t xml:space="preserve">RRMS </w:t>
      </w:r>
      <w:r w:rsidRPr="0016340A">
        <w:t>therapy</w:t>
      </w:r>
      <w:r w:rsidR="00D360BE">
        <w:t xml:space="preserve"> (Table 6</w:t>
      </w:r>
      <w:r w:rsidR="008E40E6" w:rsidRPr="0016340A">
        <w:t>).</w:t>
      </w:r>
    </w:p>
    <w:p w14:paraId="048C450A" w14:textId="77777777" w:rsidR="009B09FA" w:rsidRDefault="009B09FA" w:rsidP="006C0D82">
      <w:pPr>
        <w:spacing w:after="0"/>
      </w:pPr>
    </w:p>
    <w:p w14:paraId="77567006" w14:textId="5961420A" w:rsidR="004F41AB" w:rsidRDefault="00E63007" w:rsidP="00057A51">
      <w:r>
        <w:t>For the</w:t>
      </w:r>
      <w:r w:rsidR="00D37BB9">
        <w:t xml:space="preserve"> </w:t>
      </w:r>
      <w:r>
        <w:t>patients who switched their therapy</w:t>
      </w:r>
      <w:r w:rsidR="006D16C6">
        <w:t xml:space="preserve">, </w:t>
      </w:r>
      <w:r w:rsidR="00D360BE">
        <w:t>Table 7</w:t>
      </w:r>
      <w:r w:rsidR="006D16C6">
        <w:t xml:space="preserve"> presents the number of prio</w:t>
      </w:r>
      <w:r w:rsidR="00D360BE">
        <w:t>r therapies received and Table 8</w:t>
      </w:r>
      <w:r w:rsidR="006D16C6">
        <w:t xml:space="preserve"> profiles the last drug received before a new RRMS drug was supplied</w:t>
      </w:r>
      <w:r>
        <w:t xml:space="preserve"> between 1 December 2013 and 30 November 2014</w:t>
      </w:r>
      <w:r w:rsidR="006D16C6">
        <w:t>.</w:t>
      </w:r>
    </w:p>
    <w:p w14:paraId="42B8C5DC" w14:textId="77777777" w:rsidR="00FD2846" w:rsidRDefault="00FD2846" w:rsidP="00057A51"/>
    <w:p w14:paraId="11EF57AB" w14:textId="77777777" w:rsidR="00DB25F5" w:rsidRDefault="00DB25F5">
      <w:pPr>
        <w:spacing w:line="276" w:lineRule="auto"/>
        <w:rPr>
          <w:b/>
        </w:rPr>
      </w:pPr>
      <w:r>
        <w:rPr>
          <w:b/>
        </w:rPr>
        <w:br w:type="page"/>
      </w:r>
    </w:p>
    <w:p w14:paraId="6A1F276A" w14:textId="1DEC0FEF" w:rsidR="005939CF" w:rsidRPr="004F41AB" w:rsidRDefault="00D360BE" w:rsidP="00057A51">
      <w:pPr>
        <w:rPr>
          <w:b/>
        </w:rPr>
      </w:pPr>
      <w:r>
        <w:rPr>
          <w:b/>
        </w:rPr>
        <w:lastRenderedPageBreak/>
        <w:t>Table 7</w:t>
      </w:r>
      <w:r w:rsidR="004F41AB" w:rsidRPr="004F41AB">
        <w:rPr>
          <w:b/>
        </w:rPr>
        <w:t>. Number of prior therapies by patients switching to a new RRMS therapy between 1 December 2013 and 30 November 2014</w:t>
      </w:r>
    </w:p>
    <w:tbl>
      <w:tblPr>
        <w:tblStyle w:val="TableGrid"/>
        <w:tblW w:w="0" w:type="auto"/>
        <w:tblLook w:val="04A0" w:firstRow="1" w:lastRow="0" w:firstColumn="1" w:lastColumn="0" w:noHBand="0" w:noVBand="1"/>
      </w:tblPr>
      <w:tblGrid>
        <w:gridCol w:w="2610"/>
        <w:gridCol w:w="714"/>
        <w:gridCol w:w="1121"/>
      </w:tblGrid>
      <w:tr w:rsidR="00A02F98" w:rsidRPr="000259B1" w14:paraId="044C6CB1" w14:textId="77777777" w:rsidTr="000259B1">
        <w:tc>
          <w:tcPr>
            <w:tcW w:w="0" w:type="auto"/>
            <w:shd w:val="clear" w:color="auto" w:fill="BFBFBF" w:themeFill="background1" w:themeFillShade="BF"/>
          </w:tcPr>
          <w:p w14:paraId="2A59560D" w14:textId="1D414AF1" w:rsidR="00A02F98" w:rsidRPr="000259B1" w:rsidRDefault="00A02F98" w:rsidP="000259B1">
            <w:pPr>
              <w:jc w:val="center"/>
              <w:rPr>
                <w:b/>
                <w:sz w:val="20"/>
                <w:szCs w:val="20"/>
              </w:rPr>
            </w:pPr>
            <w:r w:rsidRPr="000259B1">
              <w:rPr>
                <w:b/>
                <w:sz w:val="20"/>
                <w:szCs w:val="20"/>
              </w:rPr>
              <w:t>Number of prior RRMS drugs</w:t>
            </w:r>
          </w:p>
        </w:tc>
        <w:tc>
          <w:tcPr>
            <w:tcW w:w="0" w:type="auto"/>
            <w:shd w:val="clear" w:color="auto" w:fill="BFBFBF" w:themeFill="background1" w:themeFillShade="BF"/>
          </w:tcPr>
          <w:p w14:paraId="4046ED44" w14:textId="6CE4AE61" w:rsidR="00A02F98" w:rsidRPr="000259B1" w:rsidRDefault="00A02F98" w:rsidP="000259B1">
            <w:pPr>
              <w:jc w:val="center"/>
              <w:rPr>
                <w:b/>
                <w:sz w:val="20"/>
                <w:szCs w:val="20"/>
              </w:rPr>
            </w:pPr>
            <w:r w:rsidRPr="000259B1">
              <w:rPr>
                <w:b/>
                <w:sz w:val="20"/>
                <w:szCs w:val="20"/>
              </w:rPr>
              <w:t>Count</w:t>
            </w:r>
          </w:p>
        </w:tc>
        <w:tc>
          <w:tcPr>
            <w:tcW w:w="0" w:type="auto"/>
            <w:shd w:val="clear" w:color="auto" w:fill="BFBFBF" w:themeFill="background1" w:themeFillShade="BF"/>
          </w:tcPr>
          <w:p w14:paraId="7C091A8C" w14:textId="1C02AD3C" w:rsidR="00A02F98" w:rsidRPr="000259B1" w:rsidRDefault="00A02F98" w:rsidP="000259B1">
            <w:pPr>
              <w:jc w:val="center"/>
              <w:rPr>
                <w:b/>
                <w:sz w:val="20"/>
                <w:szCs w:val="20"/>
              </w:rPr>
            </w:pPr>
            <w:r w:rsidRPr="000259B1">
              <w:rPr>
                <w:b/>
                <w:sz w:val="20"/>
                <w:szCs w:val="20"/>
              </w:rPr>
              <w:t>Proportion</w:t>
            </w:r>
          </w:p>
        </w:tc>
      </w:tr>
      <w:tr w:rsidR="00100E50" w:rsidRPr="000259B1" w14:paraId="6B76AAEA" w14:textId="77777777" w:rsidTr="000259B1">
        <w:tc>
          <w:tcPr>
            <w:tcW w:w="0" w:type="auto"/>
          </w:tcPr>
          <w:p w14:paraId="02F27123" w14:textId="50A624BF" w:rsidR="00100E50" w:rsidRPr="000259B1" w:rsidRDefault="00100E50" w:rsidP="000259B1">
            <w:pPr>
              <w:jc w:val="center"/>
              <w:rPr>
                <w:sz w:val="20"/>
                <w:szCs w:val="20"/>
              </w:rPr>
            </w:pPr>
            <w:r w:rsidRPr="000259B1">
              <w:rPr>
                <w:sz w:val="20"/>
                <w:szCs w:val="20"/>
              </w:rPr>
              <w:t>1</w:t>
            </w:r>
          </w:p>
        </w:tc>
        <w:tc>
          <w:tcPr>
            <w:tcW w:w="0" w:type="auto"/>
          </w:tcPr>
          <w:p w14:paraId="29EAECFC" w14:textId="668DD3E9" w:rsidR="00100E50" w:rsidRPr="000259B1" w:rsidRDefault="00100E50" w:rsidP="000259B1">
            <w:pPr>
              <w:jc w:val="right"/>
              <w:rPr>
                <w:sz w:val="20"/>
                <w:szCs w:val="20"/>
              </w:rPr>
            </w:pPr>
            <w:r w:rsidRPr="000259B1">
              <w:rPr>
                <w:rFonts w:cs="Arial"/>
                <w:color w:val="000000"/>
                <w:sz w:val="20"/>
                <w:szCs w:val="20"/>
              </w:rPr>
              <w:t>1596</w:t>
            </w:r>
          </w:p>
        </w:tc>
        <w:tc>
          <w:tcPr>
            <w:tcW w:w="0" w:type="auto"/>
            <w:vAlign w:val="bottom"/>
          </w:tcPr>
          <w:p w14:paraId="34924BE7" w14:textId="42F5BFCE" w:rsidR="00100E50" w:rsidRPr="000259B1" w:rsidRDefault="00100E50" w:rsidP="000259B1">
            <w:pPr>
              <w:jc w:val="right"/>
              <w:rPr>
                <w:sz w:val="20"/>
                <w:szCs w:val="20"/>
              </w:rPr>
            </w:pPr>
            <w:r w:rsidRPr="000259B1">
              <w:rPr>
                <w:color w:val="000000"/>
                <w:sz w:val="20"/>
                <w:szCs w:val="20"/>
              </w:rPr>
              <w:t>56.8%</w:t>
            </w:r>
          </w:p>
        </w:tc>
      </w:tr>
      <w:tr w:rsidR="00100E50" w:rsidRPr="000259B1" w14:paraId="71C2A4C7" w14:textId="77777777" w:rsidTr="000259B1">
        <w:tc>
          <w:tcPr>
            <w:tcW w:w="0" w:type="auto"/>
          </w:tcPr>
          <w:p w14:paraId="4287D695" w14:textId="10DC9C5D" w:rsidR="00100E50" w:rsidRPr="000259B1" w:rsidRDefault="00100E50" w:rsidP="000259B1">
            <w:pPr>
              <w:jc w:val="center"/>
              <w:rPr>
                <w:sz w:val="20"/>
                <w:szCs w:val="20"/>
              </w:rPr>
            </w:pPr>
            <w:r w:rsidRPr="000259B1">
              <w:rPr>
                <w:sz w:val="20"/>
                <w:szCs w:val="20"/>
              </w:rPr>
              <w:t>2</w:t>
            </w:r>
          </w:p>
        </w:tc>
        <w:tc>
          <w:tcPr>
            <w:tcW w:w="0" w:type="auto"/>
          </w:tcPr>
          <w:p w14:paraId="703FEA77" w14:textId="3B8AB083" w:rsidR="00100E50" w:rsidRPr="000259B1" w:rsidRDefault="00100E50" w:rsidP="000259B1">
            <w:pPr>
              <w:jc w:val="right"/>
              <w:rPr>
                <w:sz w:val="20"/>
                <w:szCs w:val="20"/>
              </w:rPr>
            </w:pPr>
            <w:r w:rsidRPr="000259B1">
              <w:rPr>
                <w:rFonts w:cs="Arial"/>
                <w:color w:val="000000"/>
                <w:sz w:val="20"/>
                <w:szCs w:val="20"/>
              </w:rPr>
              <w:t>832</w:t>
            </w:r>
          </w:p>
        </w:tc>
        <w:tc>
          <w:tcPr>
            <w:tcW w:w="0" w:type="auto"/>
            <w:vAlign w:val="bottom"/>
          </w:tcPr>
          <w:p w14:paraId="5F12DD5A" w14:textId="777442DB" w:rsidR="00100E50" w:rsidRPr="000259B1" w:rsidRDefault="00100E50" w:rsidP="000259B1">
            <w:pPr>
              <w:jc w:val="right"/>
              <w:rPr>
                <w:sz w:val="20"/>
                <w:szCs w:val="20"/>
              </w:rPr>
            </w:pPr>
            <w:r w:rsidRPr="000259B1">
              <w:rPr>
                <w:color w:val="000000"/>
                <w:sz w:val="20"/>
                <w:szCs w:val="20"/>
              </w:rPr>
              <w:t>29.6%</w:t>
            </w:r>
          </w:p>
        </w:tc>
      </w:tr>
      <w:tr w:rsidR="00100E50" w:rsidRPr="000259B1" w14:paraId="2C039060" w14:textId="77777777" w:rsidTr="000259B1">
        <w:tc>
          <w:tcPr>
            <w:tcW w:w="0" w:type="auto"/>
          </w:tcPr>
          <w:p w14:paraId="53385363" w14:textId="7A67619D" w:rsidR="00100E50" w:rsidRPr="000259B1" w:rsidRDefault="00100E50" w:rsidP="000259B1">
            <w:pPr>
              <w:jc w:val="center"/>
              <w:rPr>
                <w:sz w:val="20"/>
                <w:szCs w:val="20"/>
              </w:rPr>
            </w:pPr>
            <w:r w:rsidRPr="000259B1">
              <w:rPr>
                <w:sz w:val="20"/>
                <w:szCs w:val="20"/>
              </w:rPr>
              <w:t>3</w:t>
            </w:r>
          </w:p>
        </w:tc>
        <w:tc>
          <w:tcPr>
            <w:tcW w:w="0" w:type="auto"/>
          </w:tcPr>
          <w:p w14:paraId="32E3E8CA" w14:textId="38629647" w:rsidR="00100E50" w:rsidRPr="000259B1" w:rsidRDefault="00100E50" w:rsidP="000259B1">
            <w:pPr>
              <w:jc w:val="right"/>
              <w:rPr>
                <w:sz w:val="20"/>
                <w:szCs w:val="20"/>
              </w:rPr>
            </w:pPr>
            <w:r w:rsidRPr="000259B1">
              <w:rPr>
                <w:rFonts w:cs="Arial"/>
                <w:color w:val="000000"/>
                <w:sz w:val="20"/>
                <w:szCs w:val="20"/>
              </w:rPr>
              <w:t>295</w:t>
            </w:r>
          </w:p>
        </w:tc>
        <w:tc>
          <w:tcPr>
            <w:tcW w:w="0" w:type="auto"/>
            <w:vAlign w:val="bottom"/>
          </w:tcPr>
          <w:p w14:paraId="6C664F78" w14:textId="23303C86" w:rsidR="00100E50" w:rsidRPr="000259B1" w:rsidRDefault="00100E50" w:rsidP="000259B1">
            <w:pPr>
              <w:jc w:val="right"/>
              <w:rPr>
                <w:sz w:val="20"/>
                <w:szCs w:val="20"/>
              </w:rPr>
            </w:pPr>
            <w:r w:rsidRPr="000259B1">
              <w:rPr>
                <w:color w:val="000000"/>
                <w:sz w:val="20"/>
                <w:szCs w:val="20"/>
              </w:rPr>
              <w:t>10.5%</w:t>
            </w:r>
          </w:p>
        </w:tc>
      </w:tr>
      <w:tr w:rsidR="00100E50" w:rsidRPr="000259B1" w14:paraId="6A60D7A2" w14:textId="77777777" w:rsidTr="000259B1">
        <w:tc>
          <w:tcPr>
            <w:tcW w:w="0" w:type="auto"/>
          </w:tcPr>
          <w:p w14:paraId="1FC68E5D" w14:textId="6B18CF53" w:rsidR="00100E50" w:rsidRPr="000259B1" w:rsidRDefault="00100E50" w:rsidP="000259B1">
            <w:pPr>
              <w:jc w:val="center"/>
              <w:rPr>
                <w:sz w:val="20"/>
                <w:szCs w:val="20"/>
              </w:rPr>
            </w:pPr>
            <w:r w:rsidRPr="000259B1">
              <w:rPr>
                <w:sz w:val="20"/>
                <w:szCs w:val="20"/>
              </w:rPr>
              <w:t>4</w:t>
            </w:r>
          </w:p>
        </w:tc>
        <w:tc>
          <w:tcPr>
            <w:tcW w:w="0" w:type="auto"/>
          </w:tcPr>
          <w:p w14:paraId="1F50574F" w14:textId="64F46375" w:rsidR="00100E50" w:rsidRPr="000259B1" w:rsidRDefault="00100E50" w:rsidP="000259B1">
            <w:pPr>
              <w:jc w:val="right"/>
              <w:rPr>
                <w:sz w:val="20"/>
                <w:szCs w:val="20"/>
              </w:rPr>
            </w:pPr>
            <w:r w:rsidRPr="000259B1">
              <w:rPr>
                <w:rFonts w:cs="Arial"/>
                <w:color w:val="000000"/>
                <w:sz w:val="20"/>
                <w:szCs w:val="20"/>
              </w:rPr>
              <w:t>77</w:t>
            </w:r>
          </w:p>
        </w:tc>
        <w:tc>
          <w:tcPr>
            <w:tcW w:w="0" w:type="auto"/>
            <w:vAlign w:val="bottom"/>
          </w:tcPr>
          <w:p w14:paraId="68323D26" w14:textId="5951809A" w:rsidR="00100E50" w:rsidRPr="000259B1" w:rsidRDefault="00100E50" w:rsidP="000259B1">
            <w:pPr>
              <w:jc w:val="right"/>
              <w:rPr>
                <w:sz w:val="20"/>
                <w:szCs w:val="20"/>
              </w:rPr>
            </w:pPr>
            <w:r w:rsidRPr="000259B1">
              <w:rPr>
                <w:color w:val="000000"/>
                <w:sz w:val="20"/>
                <w:szCs w:val="20"/>
              </w:rPr>
              <w:t>2.7%</w:t>
            </w:r>
          </w:p>
        </w:tc>
      </w:tr>
      <w:tr w:rsidR="00100E50" w:rsidRPr="000259B1" w14:paraId="587F0DCD" w14:textId="77777777" w:rsidTr="000259B1">
        <w:tc>
          <w:tcPr>
            <w:tcW w:w="0" w:type="auto"/>
          </w:tcPr>
          <w:p w14:paraId="203D5338" w14:textId="31D696C5" w:rsidR="00100E50" w:rsidRPr="000259B1" w:rsidRDefault="00100E50" w:rsidP="000259B1">
            <w:pPr>
              <w:jc w:val="center"/>
              <w:rPr>
                <w:sz w:val="20"/>
                <w:szCs w:val="20"/>
              </w:rPr>
            </w:pPr>
            <w:r w:rsidRPr="000259B1">
              <w:rPr>
                <w:sz w:val="20"/>
                <w:szCs w:val="20"/>
              </w:rPr>
              <w:t>5</w:t>
            </w:r>
          </w:p>
        </w:tc>
        <w:tc>
          <w:tcPr>
            <w:tcW w:w="0" w:type="auto"/>
          </w:tcPr>
          <w:p w14:paraId="6BAE5E5D" w14:textId="06C209F8" w:rsidR="00100E50" w:rsidRPr="000259B1" w:rsidRDefault="00100E50" w:rsidP="000259B1">
            <w:pPr>
              <w:jc w:val="right"/>
              <w:rPr>
                <w:sz w:val="20"/>
                <w:szCs w:val="20"/>
              </w:rPr>
            </w:pPr>
            <w:r w:rsidRPr="000259B1">
              <w:rPr>
                <w:rFonts w:cs="Arial"/>
                <w:color w:val="000000"/>
                <w:sz w:val="20"/>
                <w:szCs w:val="20"/>
              </w:rPr>
              <w:t>8</w:t>
            </w:r>
          </w:p>
        </w:tc>
        <w:tc>
          <w:tcPr>
            <w:tcW w:w="0" w:type="auto"/>
            <w:vAlign w:val="bottom"/>
          </w:tcPr>
          <w:p w14:paraId="1B66F984" w14:textId="199E614A" w:rsidR="00100E50" w:rsidRPr="000259B1" w:rsidRDefault="00100E50" w:rsidP="000259B1">
            <w:pPr>
              <w:jc w:val="right"/>
              <w:rPr>
                <w:sz w:val="20"/>
                <w:szCs w:val="20"/>
              </w:rPr>
            </w:pPr>
            <w:r w:rsidRPr="000259B1">
              <w:rPr>
                <w:color w:val="000000"/>
                <w:sz w:val="20"/>
                <w:szCs w:val="20"/>
              </w:rPr>
              <w:t>0.3%</w:t>
            </w:r>
          </w:p>
        </w:tc>
      </w:tr>
    </w:tbl>
    <w:p w14:paraId="48CC2AF6" w14:textId="77777777" w:rsidR="001C1B48" w:rsidRDefault="001C1B48" w:rsidP="00FD2846">
      <w:pPr>
        <w:spacing w:after="0"/>
      </w:pPr>
    </w:p>
    <w:p w14:paraId="1420EFA2" w14:textId="26CC2A5C" w:rsidR="002009AB" w:rsidRPr="00F60ADE" w:rsidRDefault="002009AB" w:rsidP="00057A51">
      <w:pPr>
        <w:rPr>
          <w:b/>
        </w:rPr>
      </w:pPr>
      <w:r w:rsidRPr="00F60ADE">
        <w:rPr>
          <w:b/>
        </w:rPr>
        <w:t xml:space="preserve">Table </w:t>
      </w:r>
      <w:r w:rsidR="00D360BE">
        <w:rPr>
          <w:b/>
        </w:rPr>
        <w:t>8</w:t>
      </w:r>
      <w:r w:rsidR="002F3F18" w:rsidRPr="00F60ADE">
        <w:rPr>
          <w:b/>
        </w:rPr>
        <w:t>.</w:t>
      </w:r>
      <w:r w:rsidR="00F60ADE" w:rsidRPr="00F60ADE">
        <w:rPr>
          <w:b/>
        </w:rPr>
        <w:t xml:space="preserve"> Profile of last RRMS received before a patient switched to a new RRMS therapy between 1 December 2013 and 30 November 2014</w:t>
      </w:r>
    </w:p>
    <w:tbl>
      <w:tblPr>
        <w:tblStyle w:val="TableGrid"/>
        <w:tblW w:w="0" w:type="auto"/>
        <w:tblLook w:val="04A0" w:firstRow="1" w:lastRow="0" w:firstColumn="1" w:lastColumn="0" w:noHBand="0" w:noVBand="1"/>
      </w:tblPr>
      <w:tblGrid>
        <w:gridCol w:w="1952"/>
        <w:gridCol w:w="714"/>
        <w:gridCol w:w="1121"/>
      </w:tblGrid>
      <w:tr w:rsidR="000D1F6B" w:rsidRPr="000259B1" w14:paraId="3279B871" w14:textId="77777777" w:rsidTr="000259B1">
        <w:tc>
          <w:tcPr>
            <w:tcW w:w="0" w:type="auto"/>
            <w:shd w:val="clear" w:color="auto" w:fill="BFBFBF" w:themeFill="background1" w:themeFillShade="BF"/>
          </w:tcPr>
          <w:p w14:paraId="65BA4AED" w14:textId="2FCB052F" w:rsidR="000D1F6B" w:rsidRPr="000259B1" w:rsidRDefault="000D1F6B" w:rsidP="00057A51">
            <w:pPr>
              <w:rPr>
                <w:b/>
                <w:sz w:val="20"/>
                <w:szCs w:val="20"/>
              </w:rPr>
            </w:pPr>
            <w:r w:rsidRPr="000259B1">
              <w:rPr>
                <w:b/>
                <w:sz w:val="20"/>
                <w:szCs w:val="20"/>
              </w:rPr>
              <w:t>RRMS switched from</w:t>
            </w:r>
          </w:p>
        </w:tc>
        <w:tc>
          <w:tcPr>
            <w:tcW w:w="0" w:type="auto"/>
            <w:shd w:val="clear" w:color="auto" w:fill="BFBFBF" w:themeFill="background1" w:themeFillShade="BF"/>
          </w:tcPr>
          <w:p w14:paraId="36D94555" w14:textId="1A92ABE0" w:rsidR="000D1F6B" w:rsidRPr="000259B1" w:rsidRDefault="000D1F6B" w:rsidP="00057A51">
            <w:pPr>
              <w:rPr>
                <w:b/>
                <w:sz w:val="20"/>
                <w:szCs w:val="20"/>
              </w:rPr>
            </w:pPr>
            <w:r w:rsidRPr="000259B1">
              <w:rPr>
                <w:b/>
                <w:sz w:val="20"/>
                <w:szCs w:val="20"/>
              </w:rPr>
              <w:t>Count</w:t>
            </w:r>
          </w:p>
        </w:tc>
        <w:tc>
          <w:tcPr>
            <w:tcW w:w="0" w:type="auto"/>
            <w:shd w:val="clear" w:color="auto" w:fill="BFBFBF" w:themeFill="background1" w:themeFillShade="BF"/>
          </w:tcPr>
          <w:p w14:paraId="4845A28C" w14:textId="07D87503" w:rsidR="000D1F6B" w:rsidRPr="000259B1" w:rsidRDefault="000D1F6B" w:rsidP="00057A51">
            <w:pPr>
              <w:rPr>
                <w:b/>
                <w:sz w:val="20"/>
                <w:szCs w:val="20"/>
              </w:rPr>
            </w:pPr>
            <w:r w:rsidRPr="000259B1">
              <w:rPr>
                <w:b/>
                <w:sz w:val="20"/>
                <w:szCs w:val="20"/>
              </w:rPr>
              <w:t>Proportion</w:t>
            </w:r>
          </w:p>
        </w:tc>
      </w:tr>
      <w:tr w:rsidR="004C233E" w:rsidRPr="000259B1" w14:paraId="208368CF" w14:textId="77777777" w:rsidTr="000259B1">
        <w:tc>
          <w:tcPr>
            <w:tcW w:w="0" w:type="auto"/>
          </w:tcPr>
          <w:p w14:paraId="02A589E4" w14:textId="160DB641" w:rsidR="004C233E" w:rsidRPr="000259B1" w:rsidRDefault="004C233E" w:rsidP="00057A51">
            <w:pPr>
              <w:rPr>
                <w:sz w:val="20"/>
                <w:szCs w:val="20"/>
              </w:rPr>
            </w:pPr>
            <w:r w:rsidRPr="000259B1">
              <w:rPr>
                <w:sz w:val="20"/>
                <w:szCs w:val="20"/>
              </w:rPr>
              <w:t>Dimethyl fumarate</w:t>
            </w:r>
          </w:p>
        </w:tc>
        <w:tc>
          <w:tcPr>
            <w:tcW w:w="0" w:type="auto"/>
            <w:vAlign w:val="bottom"/>
          </w:tcPr>
          <w:p w14:paraId="23A7A434" w14:textId="62FD167F" w:rsidR="004C233E" w:rsidRPr="000259B1" w:rsidRDefault="004C233E" w:rsidP="000259B1">
            <w:pPr>
              <w:jc w:val="right"/>
              <w:rPr>
                <w:sz w:val="20"/>
                <w:szCs w:val="20"/>
              </w:rPr>
            </w:pPr>
            <w:r w:rsidRPr="000259B1">
              <w:rPr>
                <w:rFonts w:ascii="Calibri" w:hAnsi="Calibri"/>
                <w:color w:val="000000"/>
                <w:sz w:val="20"/>
                <w:szCs w:val="20"/>
              </w:rPr>
              <w:t>44</w:t>
            </w:r>
          </w:p>
        </w:tc>
        <w:tc>
          <w:tcPr>
            <w:tcW w:w="0" w:type="auto"/>
            <w:vAlign w:val="bottom"/>
          </w:tcPr>
          <w:p w14:paraId="71533775" w14:textId="499D6E60" w:rsidR="004C233E" w:rsidRPr="000259B1" w:rsidRDefault="004C233E" w:rsidP="000259B1">
            <w:pPr>
              <w:jc w:val="right"/>
              <w:rPr>
                <w:sz w:val="20"/>
                <w:szCs w:val="20"/>
              </w:rPr>
            </w:pPr>
            <w:r w:rsidRPr="000259B1">
              <w:rPr>
                <w:rFonts w:ascii="Calibri" w:hAnsi="Calibri"/>
                <w:color w:val="000000"/>
                <w:sz w:val="20"/>
                <w:szCs w:val="20"/>
              </w:rPr>
              <w:t>1.6%</w:t>
            </w:r>
          </w:p>
        </w:tc>
      </w:tr>
      <w:tr w:rsidR="004C233E" w:rsidRPr="000259B1" w14:paraId="1342A300" w14:textId="77777777" w:rsidTr="000259B1">
        <w:tc>
          <w:tcPr>
            <w:tcW w:w="0" w:type="auto"/>
          </w:tcPr>
          <w:p w14:paraId="6C5896DA" w14:textId="27159E00" w:rsidR="004C233E" w:rsidRPr="000259B1" w:rsidRDefault="004C233E" w:rsidP="00057A51">
            <w:pPr>
              <w:rPr>
                <w:sz w:val="20"/>
                <w:szCs w:val="20"/>
              </w:rPr>
            </w:pPr>
            <w:r w:rsidRPr="000259B1">
              <w:rPr>
                <w:sz w:val="20"/>
                <w:szCs w:val="20"/>
              </w:rPr>
              <w:t>Fingolimod</w:t>
            </w:r>
          </w:p>
        </w:tc>
        <w:tc>
          <w:tcPr>
            <w:tcW w:w="0" w:type="auto"/>
            <w:vAlign w:val="bottom"/>
          </w:tcPr>
          <w:p w14:paraId="1DA0183E" w14:textId="2F20F479" w:rsidR="004C233E" w:rsidRPr="000259B1" w:rsidRDefault="004C233E" w:rsidP="000259B1">
            <w:pPr>
              <w:jc w:val="right"/>
              <w:rPr>
                <w:sz w:val="20"/>
                <w:szCs w:val="20"/>
              </w:rPr>
            </w:pPr>
            <w:r w:rsidRPr="000259B1">
              <w:rPr>
                <w:rFonts w:ascii="Calibri" w:hAnsi="Calibri"/>
                <w:color w:val="000000"/>
                <w:sz w:val="20"/>
                <w:szCs w:val="20"/>
              </w:rPr>
              <w:t>465</w:t>
            </w:r>
          </w:p>
        </w:tc>
        <w:tc>
          <w:tcPr>
            <w:tcW w:w="0" w:type="auto"/>
            <w:vAlign w:val="bottom"/>
          </w:tcPr>
          <w:p w14:paraId="21CEBD58" w14:textId="18DA6734" w:rsidR="004C233E" w:rsidRPr="000259B1" w:rsidRDefault="004C233E" w:rsidP="000259B1">
            <w:pPr>
              <w:jc w:val="right"/>
              <w:rPr>
                <w:sz w:val="20"/>
                <w:szCs w:val="20"/>
              </w:rPr>
            </w:pPr>
            <w:r w:rsidRPr="000259B1">
              <w:rPr>
                <w:rFonts w:ascii="Calibri" w:hAnsi="Calibri"/>
                <w:color w:val="000000"/>
                <w:sz w:val="20"/>
                <w:szCs w:val="20"/>
              </w:rPr>
              <w:t>16.6%</w:t>
            </w:r>
          </w:p>
        </w:tc>
      </w:tr>
      <w:tr w:rsidR="004C233E" w:rsidRPr="000259B1" w14:paraId="62880FD6" w14:textId="77777777" w:rsidTr="000259B1">
        <w:tc>
          <w:tcPr>
            <w:tcW w:w="0" w:type="auto"/>
          </w:tcPr>
          <w:p w14:paraId="7E73FC28" w14:textId="035B3D4C" w:rsidR="004C233E" w:rsidRPr="000259B1" w:rsidRDefault="004C233E" w:rsidP="00057A51">
            <w:pPr>
              <w:rPr>
                <w:sz w:val="20"/>
                <w:szCs w:val="20"/>
              </w:rPr>
            </w:pPr>
            <w:r w:rsidRPr="000259B1">
              <w:rPr>
                <w:sz w:val="20"/>
                <w:szCs w:val="20"/>
              </w:rPr>
              <w:t>Glatiramer acetate</w:t>
            </w:r>
          </w:p>
        </w:tc>
        <w:tc>
          <w:tcPr>
            <w:tcW w:w="0" w:type="auto"/>
            <w:vAlign w:val="bottom"/>
          </w:tcPr>
          <w:p w14:paraId="429D7D79" w14:textId="6EEEAF93" w:rsidR="004C233E" w:rsidRPr="000259B1" w:rsidRDefault="004C233E" w:rsidP="000259B1">
            <w:pPr>
              <w:jc w:val="right"/>
              <w:rPr>
                <w:sz w:val="20"/>
                <w:szCs w:val="20"/>
              </w:rPr>
            </w:pPr>
            <w:r w:rsidRPr="000259B1">
              <w:rPr>
                <w:rFonts w:ascii="Calibri" w:hAnsi="Calibri"/>
                <w:color w:val="000000"/>
                <w:sz w:val="20"/>
                <w:szCs w:val="20"/>
              </w:rPr>
              <w:t>546</w:t>
            </w:r>
          </w:p>
        </w:tc>
        <w:tc>
          <w:tcPr>
            <w:tcW w:w="0" w:type="auto"/>
            <w:vAlign w:val="bottom"/>
          </w:tcPr>
          <w:p w14:paraId="2EE356DC" w14:textId="19758DEA" w:rsidR="004C233E" w:rsidRPr="000259B1" w:rsidRDefault="004C233E" w:rsidP="000259B1">
            <w:pPr>
              <w:jc w:val="right"/>
              <w:rPr>
                <w:sz w:val="20"/>
                <w:szCs w:val="20"/>
              </w:rPr>
            </w:pPr>
            <w:r w:rsidRPr="000259B1">
              <w:rPr>
                <w:rFonts w:ascii="Calibri" w:hAnsi="Calibri"/>
                <w:color w:val="000000"/>
                <w:sz w:val="20"/>
                <w:szCs w:val="20"/>
              </w:rPr>
              <w:t>19.4%</w:t>
            </w:r>
          </w:p>
        </w:tc>
      </w:tr>
      <w:tr w:rsidR="004C233E" w:rsidRPr="000259B1" w14:paraId="78417943" w14:textId="77777777" w:rsidTr="000259B1">
        <w:tc>
          <w:tcPr>
            <w:tcW w:w="0" w:type="auto"/>
          </w:tcPr>
          <w:p w14:paraId="18D45D63" w14:textId="5E4B312C" w:rsidR="004C233E" w:rsidRPr="000259B1" w:rsidRDefault="004C233E" w:rsidP="00057A51">
            <w:pPr>
              <w:rPr>
                <w:sz w:val="20"/>
                <w:szCs w:val="20"/>
              </w:rPr>
            </w:pPr>
            <w:r w:rsidRPr="000259B1">
              <w:rPr>
                <w:sz w:val="20"/>
                <w:szCs w:val="20"/>
              </w:rPr>
              <w:t>Interferon beta-1a</w:t>
            </w:r>
          </w:p>
        </w:tc>
        <w:tc>
          <w:tcPr>
            <w:tcW w:w="0" w:type="auto"/>
            <w:vAlign w:val="bottom"/>
          </w:tcPr>
          <w:p w14:paraId="260F4DDF" w14:textId="07716CE0" w:rsidR="004C233E" w:rsidRPr="000259B1" w:rsidRDefault="004C233E" w:rsidP="000259B1">
            <w:pPr>
              <w:jc w:val="right"/>
              <w:rPr>
                <w:sz w:val="20"/>
                <w:szCs w:val="20"/>
              </w:rPr>
            </w:pPr>
            <w:r w:rsidRPr="000259B1">
              <w:rPr>
                <w:rFonts w:ascii="Calibri" w:hAnsi="Calibri"/>
                <w:color w:val="000000"/>
                <w:sz w:val="20"/>
                <w:szCs w:val="20"/>
              </w:rPr>
              <w:t>822</w:t>
            </w:r>
          </w:p>
        </w:tc>
        <w:tc>
          <w:tcPr>
            <w:tcW w:w="0" w:type="auto"/>
            <w:vAlign w:val="bottom"/>
          </w:tcPr>
          <w:p w14:paraId="342B329D" w14:textId="0DC51AE7" w:rsidR="004C233E" w:rsidRPr="000259B1" w:rsidRDefault="004C233E" w:rsidP="000259B1">
            <w:pPr>
              <w:jc w:val="right"/>
              <w:rPr>
                <w:sz w:val="20"/>
                <w:szCs w:val="20"/>
              </w:rPr>
            </w:pPr>
            <w:r w:rsidRPr="000259B1">
              <w:rPr>
                <w:rFonts w:ascii="Calibri" w:hAnsi="Calibri"/>
                <w:color w:val="000000"/>
                <w:sz w:val="20"/>
                <w:szCs w:val="20"/>
              </w:rPr>
              <w:t>29.3%</w:t>
            </w:r>
          </w:p>
        </w:tc>
      </w:tr>
      <w:tr w:rsidR="004C233E" w:rsidRPr="000259B1" w14:paraId="51579CC0" w14:textId="77777777" w:rsidTr="000259B1">
        <w:tc>
          <w:tcPr>
            <w:tcW w:w="0" w:type="auto"/>
          </w:tcPr>
          <w:p w14:paraId="02D60371" w14:textId="05AA5767" w:rsidR="004C233E" w:rsidRPr="000259B1" w:rsidRDefault="004C233E" w:rsidP="00057A51">
            <w:pPr>
              <w:rPr>
                <w:sz w:val="20"/>
                <w:szCs w:val="20"/>
              </w:rPr>
            </w:pPr>
            <w:r w:rsidRPr="000259B1">
              <w:rPr>
                <w:sz w:val="20"/>
                <w:szCs w:val="20"/>
              </w:rPr>
              <w:t>Interferon beta-1b</w:t>
            </w:r>
          </w:p>
        </w:tc>
        <w:tc>
          <w:tcPr>
            <w:tcW w:w="0" w:type="auto"/>
            <w:vAlign w:val="bottom"/>
          </w:tcPr>
          <w:p w14:paraId="674EC284" w14:textId="0231591F" w:rsidR="004C233E" w:rsidRPr="000259B1" w:rsidRDefault="004C233E" w:rsidP="000259B1">
            <w:pPr>
              <w:jc w:val="right"/>
              <w:rPr>
                <w:sz w:val="20"/>
                <w:szCs w:val="20"/>
              </w:rPr>
            </w:pPr>
            <w:r w:rsidRPr="000259B1">
              <w:rPr>
                <w:rFonts w:ascii="Calibri" w:hAnsi="Calibri"/>
                <w:color w:val="000000"/>
                <w:sz w:val="20"/>
                <w:szCs w:val="20"/>
              </w:rPr>
              <w:t>537</w:t>
            </w:r>
          </w:p>
        </w:tc>
        <w:tc>
          <w:tcPr>
            <w:tcW w:w="0" w:type="auto"/>
            <w:vAlign w:val="bottom"/>
          </w:tcPr>
          <w:p w14:paraId="53893232" w14:textId="39827FAB" w:rsidR="004C233E" w:rsidRPr="000259B1" w:rsidRDefault="004C233E" w:rsidP="000259B1">
            <w:pPr>
              <w:jc w:val="right"/>
              <w:rPr>
                <w:sz w:val="20"/>
                <w:szCs w:val="20"/>
              </w:rPr>
            </w:pPr>
            <w:r w:rsidRPr="000259B1">
              <w:rPr>
                <w:rFonts w:ascii="Calibri" w:hAnsi="Calibri"/>
                <w:color w:val="000000"/>
                <w:sz w:val="20"/>
                <w:szCs w:val="20"/>
              </w:rPr>
              <w:t>19.1%</w:t>
            </w:r>
          </w:p>
        </w:tc>
      </w:tr>
      <w:tr w:rsidR="004C233E" w:rsidRPr="000259B1" w14:paraId="55002F3F" w14:textId="77777777" w:rsidTr="000259B1">
        <w:tc>
          <w:tcPr>
            <w:tcW w:w="0" w:type="auto"/>
          </w:tcPr>
          <w:p w14:paraId="292563DE" w14:textId="72E7CBE7" w:rsidR="004C233E" w:rsidRPr="000259B1" w:rsidRDefault="004C233E" w:rsidP="00057A51">
            <w:pPr>
              <w:rPr>
                <w:sz w:val="20"/>
                <w:szCs w:val="20"/>
              </w:rPr>
            </w:pPr>
            <w:r w:rsidRPr="000259B1">
              <w:rPr>
                <w:sz w:val="20"/>
                <w:szCs w:val="20"/>
              </w:rPr>
              <w:t>Natalizumab</w:t>
            </w:r>
          </w:p>
        </w:tc>
        <w:tc>
          <w:tcPr>
            <w:tcW w:w="0" w:type="auto"/>
            <w:vAlign w:val="bottom"/>
          </w:tcPr>
          <w:p w14:paraId="1A7507A1" w14:textId="113F25BE" w:rsidR="004C233E" w:rsidRPr="000259B1" w:rsidRDefault="004C233E" w:rsidP="000259B1">
            <w:pPr>
              <w:jc w:val="right"/>
              <w:rPr>
                <w:sz w:val="20"/>
                <w:szCs w:val="20"/>
              </w:rPr>
            </w:pPr>
            <w:r w:rsidRPr="000259B1">
              <w:rPr>
                <w:rFonts w:ascii="Calibri" w:hAnsi="Calibri"/>
                <w:color w:val="000000"/>
                <w:sz w:val="20"/>
                <w:szCs w:val="20"/>
              </w:rPr>
              <w:t>379</w:t>
            </w:r>
          </w:p>
        </w:tc>
        <w:tc>
          <w:tcPr>
            <w:tcW w:w="0" w:type="auto"/>
            <w:vAlign w:val="bottom"/>
          </w:tcPr>
          <w:p w14:paraId="16B26603" w14:textId="6D82C4BC" w:rsidR="004C233E" w:rsidRPr="000259B1" w:rsidRDefault="004C233E" w:rsidP="000259B1">
            <w:pPr>
              <w:jc w:val="right"/>
              <w:rPr>
                <w:sz w:val="20"/>
                <w:szCs w:val="20"/>
              </w:rPr>
            </w:pPr>
            <w:r w:rsidRPr="000259B1">
              <w:rPr>
                <w:rFonts w:ascii="Calibri" w:hAnsi="Calibri"/>
                <w:color w:val="000000"/>
                <w:sz w:val="20"/>
                <w:szCs w:val="20"/>
              </w:rPr>
              <w:t>13.5%</w:t>
            </w:r>
          </w:p>
        </w:tc>
      </w:tr>
      <w:tr w:rsidR="004C233E" w:rsidRPr="000259B1" w14:paraId="36A9EBE2" w14:textId="77777777" w:rsidTr="000259B1">
        <w:tc>
          <w:tcPr>
            <w:tcW w:w="0" w:type="auto"/>
          </w:tcPr>
          <w:p w14:paraId="03215989" w14:textId="418653AE" w:rsidR="004C233E" w:rsidRPr="000259B1" w:rsidRDefault="004C233E" w:rsidP="00057A51">
            <w:pPr>
              <w:rPr>
                <w:sz w:val="20"/>
                <w:szCs w:val="20"/>
              </w:rPr>
            </w:pPr>
            <w:r w:rsidRPr="000259B1">
              <w:rPr>
                <w:sz w:val="20"/>
                <w:szCs w:val="20"/>
              </w:rPr>
              <w:t>Teriflunomide</w:t>
            </w:r>
          </w:p>
        </w:tc>
        <w:tc>
          <w:tcPr>
            <w:tcW w:w="0" w:type="auto"/>
            <w:vAlign w:val="bottom"/>
          </w:tcPr>
          <w:p w14:paraId="3174817C" w14:textId="5CC96368" w:rsidR="004C233E" w:rsidRPr="000259B1" w:rsidRDefault="004C233E" w:rsidP="000259B1">
            <w:pPr>
              <w:jc w:val="right"/>
              <w:rPr>
                <w:sz w:val="20"/>
                <w:szCs w:val="20"/>
              </w:rPr>
            </w:pPr>
            <w:r w:rsidRPr="000259B1">
              <w:rPr>
                <w:rFonts w:ascii="Calibri" w:hAnsi="Calibri"/>
                <w:color w:val="000000"/>
                <w:sz w:val="20"/>
                <w:szCs w:val="20"/>
              </w:rPr>
              <w:t>15</w:t>
            </w:r>
          </w:p>
        </w:tc>
        <w:tc>
          <w:tcPr>
            <w:tcW w:w="0" w:type="auto"/>
            <w:vAlign w:val="bottom"/>
          </w:tcPr>
          <w:p w14:paraId="5D984C09" w14:textId="583EFD32" w:rsidR="004C233E" w:rsidRPr="000259B1" w:rsidRDefault="004C233E" w:rsidP="000259B1">
            <w:pPr>
              <w:jc w:val="right"/>
              <w:rPr>
                <w:sz w:val="20"/>
                <w:szCs w:val="20"/>
              </w:rPr>
            </w:pPr>
            <w:r w:rsidRPr="000259B1">
              <w:rPr>
                <w:rFonts w:ascii="Calibri" w:hAnsi="Calibri"/>
                <w:color w:val="000000"/>
                <w:sz w:val="20"/>
                <w:szCs w:val="20"/>
              </w:rPr>
              <w:t>0.5%</w:t>
            </w:r>
          </w:p>
        </w:tc>
      </w:tr>
    </w:tbl>
    <w:p w14:paraId="669B6D9D" w14:textId="77777777" w:rsidR="00FD2846" w:rsidRDefault="00FD2846" w:rsidP="00FD2846">
      <w:pPr>
        <w:spacing w:after="0"/>
      </w:pPr>
    </w:p>
    <w:p w14:paraId="3771FA83" w14:textId="6F8BF873" w:rsidR="000259B1" w:rsidRPr="002F340A" w:rsidRDefault="001308D4" w:rsidP="002F340A">
      <w:r>
        <w:t>For patients who switched to a new RRMS therapy</w:t>
      </w:r>
      <w:r w:rsidR="00E73803">
        <w:t xml:space="preserve"> in the first year that dimethyl fumarate and teriflunomide were available</w:t>
      </w:r>
      <w:r>
        <w:t xml:space="preserve">, </w:t>
      </w:r>
      <w:r w:rsidR="008146DC">
        <w:t>only a small proportion (11%) had used more than two pr</w:t>
      </w:r>
      <w:r w:rsidR="00D360BE">
        <w:t>ior drugs (Table 7</w:t>
      </w:r>
      <w:r w:rsidR="00E54E0B">
        <w:t>) and most (68</w:t>
      </w:r>
      <w:r w:rsidR="008146DC">
        <w:t>%) switch</w:t>
      </w:r>
      <w:r w:rsidR="00D360BE">
        <w:t>ed from an ABCR therapy (Table 8</w:t>
      </w:r>
      <w:r w:rsidR="008146DC">
        <w:t xml:space="preserve">). </w:t>
      </w:r>
      <w:r>
        <w:t xml:space="preserve"> </w:t>
      </w:r>
      <w:r w:rsidR="00000393">
        <w:t>Most patients who switched from fingolimod received dimethyl fumarate (55%) and natalizumab (29%).</w:t>
      </w:r>
    </w:p>
    <w:p w14:paraId="126A198E" w14:textId="45D17707" w:rsidR="000C43E5" w:rsidRDefault="0016507B" w:rsidP="00462FE4">
      <w:pPr>
        <w:spacing w:after="0"/>
      </w:pPr>
      <w:r>
        <w:t xml:space="preserve">There has been a strong growth in the number </w:t>
      </w:r>
      <w:r w:rsidRPr="001121F3">
        <w:t xml:space="preserve">of </w:t>
      </w:r>
      <w:r w:rsidR="003A2D61" w:rsidRPr="001121F3">
        <w:t xml:space="preserve">incident and </w:t>
      </w:r>
      <w:r w:rsidRPr="001121F3">
        <w:t>prevalent</w:t>
      </w:r>
      <w:r>
        <w:t xml:space="preserve"> patients since the introductio</w:t>
      </w:r>
      <w:r w:rsidR="005776A5">
        <w:t>n of oral RRMS therapy (Table 9</w:t>
      </w:r>
      <w:r>
        <w:t xml:space="preserve">, Figure 1). </w:t>
      </w:r>
    </w:p>
    <w:p w14:paraId="52B2BBB5" w14:textId="77777777" w:rsidR="00B55EB3" w:rsidRDefault="00B55EB3" w:rsidP="00462FE4">
      <w:pPr>
        <w:spacing w:after="0"/>
      </w:pPr>
    </w:p>
    <w:p w14:paraId="7A32FE0A" w14:textId="77777777" w:rsidR="000259B1" w:rsidRDefault="000259B1">
      <w:pPr>
        <w:spacing w:line="276" w:lineRule="auto"/>
        <w:rPr>
          <w:rFonts w:cstheme="minorHAnsi"/>
          <w:b/>
        </w:rPr>
      </w:pPr>
      <w:r>
        <w:rPr>
          <w:rFonts w:cstheme="minorHAnsi"/>
          <w:b/>
        </w:rPr>
        <w:br w:type="page"/>
      </w:r>
    </w:p>
    <w:p w14:paraId="1FDD16D6" w14:textId="4F5D2A53" w:rsidR="00621AF8" w:rsidRPr="000A6562" w:rsidRDefault="005776A5" w:rsidP="00621AF8">
      <w:pPr>
        <w:rPr>
          <w:u w:val="single"/>
        </w:rPr>
      </w:pPr>
      <w:r>
        <w:rPr>
          <w:rFonts w:cstheme="minorHAnsi"/>
          <w:b/>
        </w:rPr>
        <w:lastRenderedPageBreak/>
        <w:t>Table 9</w:t>
      </w:r>
      <w:r w:rsidR="00621AF8" w:rsidRPr="000A6562">
        <w:rPr>
          <w:rFonts w:cstheme="minorHAnsi"/>
          <w:b/>
        </w:rPr>
        <w:t>.  Number of initiating and prevalent patients on PBS-listed RRMS therapy by calendar year</w:t>
      </w:r>
    </w:p>
    <w:tbl>
      <w:tblPr>
        <w:tblStyle w:val="TableGrid"/>
        <w:tblW w:w="0" w:type="auto"/>
        <w:jc w:val="center"/>
        <w:tblLook w:val="04A0" w:firstRow="1" w:lastRow="0" w:firstColumn="1" w:lastColumn="0" w:noHBand="0" w:noVBand="1"/>
      </w:tblPr>
      <w:tblGrid>
        <w:gridCol w:w="1242"/>
        <w:gridCol w:w="1276"/>
        <w:gridCol w:w="2552"/>
        <w:gridCol w:w="4103"/>
      </w:tblGrid>
      <w:tr w:rsidR="00621AF8" w:rsidRPr="000A6562" w14:paraId="0AC46E1F" w14:textId="77777777" w:rsidTr="00034485">
        <w:trPr>
          <w:jc w:val="center"/>
        </w:trPr>
        <w:tc>
          <w:tcPr>
            <w:tcW w:w="1242" w:type="dxa"/>
            <w:shd w:val="clear" w:color="auto" w:fill="BFBFBF" w:themeFill="background1" w:themeFillShade="BF"/>
          </w:tcPr>
          <w:p w14:paraId="7FC1D0C7" w14:textId="77777777" w:rsidR="00621AF8" w:rsidRPr="000A6562" w:rsidRDefault="00621AF8" w:rsidP="00034485">
            <w:pPr>
              <w:jc w:val="center"/>
              <w:rPr>
                <w:b/>
              </w:rPr>
            </w:pPr>
            <w:r w:rsidRPr="000A6562">
              <w:rPr>
                <w:b/>
              </w:rPr>
              <w:t>Calendar year</w:t>
            </w:r>
          </w:p>
        </w:tc>
        <w:tc>
          <w:tcPr>
            <w:tcW w:w="1276" w:type="dxa"/>
            <w:shd w:val="clear" w:color="auto" w:fill="BFBFBF" w:themeFill="background1" w:themeFillShade="BF"/>
          </w:tcPr>
          <w:p w14:paraId="4973559B" w14:textId="77777777" w:rsidR="00621AF8" w:rsidRPr="000A6562" w:rsidRDefault="00621AF8" w:rsidP="00034485">
            <w:pPr>
              <w:jc w:val="center"/>
              <w:rPr>
                <w:b/>
              </w:rPr>
            </w:pPr>
            <w:r w:rsidRPr="000A6562">
              <w:rPr>
                <w:b/>
              </w:rPr>
              <w:t>Number of initiating  patients</w:t>
            </w:r>
            <w:r w:rsidRPr="000A6562">
              <w:rPr>
                <w:b/>
                <w:vertAlign w:val="superscript"/>
              </w:rPr>
              <w:t>2</w:t>
            </w:r>
            <w:r w:rsidRPr="000A6562">
              <w:rPr>
                <w:b/>
              </w:rPr>
              <w:t xml:space="preserve"> </w:t>
            </w:r>
          </w:p>
        </w:tc>
        <w:tc>
          <w:tcPr>
            <w:tcW w:w="2552" w:type="dxa"/>
            <w:shd w:val="clear" w:color="auto" w:fill="BFBFBF" w:themeFill="background1" w:themeFillShade="BF"/>
          </w:tcPr>
          <w:p w14:paraId="68A80A20" w14:textId="77777777" w:rsidR="00621AF8" w:rsidRPr="000A6562" w:rsidRDefault="00621AF8" w:rsidP="00034485">
            <w:pPr>
              <w:jc w:val="center"/>
              <w:rPr>
                <w:b/>
              </w:rPr>
            </w:pPr>
            <w:r w:rsidRPr="000A6562">
              <w:rPr>
                <w:b/>
              </w:rPr>
              <w:t>Number of prevalent patients</w:t>
            </w:r>
          </w:p>
          <w:p w14:paraId="11996045" w14:textId="77777777" w:rsidR="00621AF8" w:rsidRPr="000A6562" w:rsidRDefault="00621AF8" w:rsidP="00034485">
            <w:pPr>
              <w:jc w:val="center"/>
              <w:rPr>
                <w:b/>
              </w:rPr>
            </w:pPr>
            <w:r w:rsidRPr="000A6562">
              <w:rPr>
                <w:b/>
              </w:rPr>
              <w:t>(without correction for natalizumab)</w:t>
            </w:r>
          </w:p>
        </w:tc>
        <w:tc>
          <w:tcPr>
            <w:tcW w:w="4103" w:type="dxa"/>
            <w:shd w:val="clear" w:color="auto" w:fill="BFBFBF" w:themeFill="background1" w:themeFillShade="BF"/>
          </w:tcPr>
          <w:p w14:paraId="440EE718" w14:textId="77777777" w:rsidR="00621AF8" w:rsidRPr="000A6562" w:rsidRDefault="00621AF8" w:rsidP="00034485">
            <w:pPr>
              <w:jc w:val="center"/>
              <w:rPr>
                <w:b/>
                <w:vertAlign w:val="superscript"/>
              </w:rPr>
            </w:pPr>
            <w:r w:rsidRPr="000A6562">
              <w:rPr>
                <w:b/>
              </w:rPr>
              <w:t>Number of prevalent patients (Adjusted with an estimate of natalizumab Public patients prior to July 2013)</w:t>
            </w:r>
            <w:r w:rsidRPr="000A6562">
              <w:rPr>
                <w:b/>
                <w:vertAlign w:val="superscript"/>
              </w:rPr>
              <w:t>1</w:t>
            </w:r>
          </w:p>
        </w:tc>
      </w:tr>
      <w:tr w:rsidR="00621AF8" w:rsidRPr="000A6562" w14:paraId="705558B6" w14:textId="77777777" w:rsidTr="00034485">
        <w:trPr>
          <w:jc w:val="center"/>
        </w:trPr>
        <w:tc>
          <w:tcPr>
            <w:tcW w:w="1242" w:type="dxa"/>
          </w:tcPr>
          <w:p w14:paraId="2CC14C0B" w14:textId="77777777" w:rsidR="00621AF8" w:rsidRPr="000A6562" w:rsidRDefault="00621AF8" w:rsidP="00034485">
            <w:pPr>
              <w:jc w:val="center"/>
              <w:rPr>
                <w:u w:val="single"/>
              </w:rPr>
            </w:pPr>
            <w:r w:rsidRPr="000A6562">
              <w:t>2006</w:t>
            </w:r>
          </w:p>
        </w:tc>
        <w:tc>
          <w:tcPr>
            <w:tcW w:w="1276" w:type="dxa"/>
          </w:tcPr>
          <w:p w14:paraId="0E8EFEFE" w14:textId="77777777" w:rsidR="00621AF8" w:rsidRPr="000A6562" w:rsidRDefault="00621AF8" w:rsidP="00034485">
            <w:pPr>
              <w:jc w:val="center"/>
            </w:pPr>
            <w:r w:rsidRPr="000A6562">
              <w:t>1,025</w:t>
            </w:r>
          </w:p>
        </w:tc>
        <w:tc>
          <w:tcPr>
            <w:tcW w:w="2552" w:type="dxa"/>
          </w:tcPr>
          <w:p w14:paraId="1ED90435" w14:textId="77777777" w:rsidR="00621AF8" w:rsidRPr="000A6562" w:rsidRDefault="00621AF8" w:rsidP="00034485">
            <w:pPr>
              <w:jc w:val="center"/>
              <w:rPr>
                <w:u w:val="single"/>
              </w:rPr>
            </w:pPr>
            <w:r w:rsidRPr="000A6562">
              <w:t>8,630</w:t>
            </w:r>
          </w:p>
        </w:tc>
        <w:tc>
          <w:tcPr>
            <w:tcW w:w="4103" w:type="dxa"/>
          </w:tcPr>
          <w:p w14:paraId="068325FF" w14:textId="77777777" w:rsidR="00621AF8" w:rsidRPr="000A6562" w:rsidRDefault="00621AF8" w:rsidP="00034485">
            <w:pPr>
              <w:jc w:val="center"/>
            </w:pPr>
            <w:r w:rsidRPr="000A6562">
              <w:t>8,630</w:t>
            </w:r>
          </w:p>
        </w:tc>
      </w:tr>
      <w:tr w:rsidR="00621AF8" w:rsidRPr="000A6562" w14:paraId="49383DD9" w14:textId="77777777" w:rsidTr="00034485">
        <w:trPr>
          <w:jc w:val="center"/>
        </w:trPr>
        <w:tc>
          <w:tcPr>
            <w:tcW w:w="1242" w:type="dxa"/>
          </w:tcPr>
          <w:p w14:paraId="15393D59" w14:textId="77777777" w:rsidR="00621AF8" w:rsidRPr="000A6562" w:rsidRDefault="00621AF8" w:rsidP="00034485">
            <w:pPr>
              <w:jc w:val="center"/>
              <w:rPr>
                <w:u w:val="single"/>
              </w:rPr>
            </w:pPr>
            <w:r w:rsidRPr="000A6562">
              <w:t>2007</w:t>
            </w:r>
          </w:p>
        </w:tc>
        <w:tc>
          <w:tcPr>
            <w:tcW w:w="1276" w:type="dxa"/>
          </w:tcPr>
          <w:p w14:paraId="4FF34324" w14:textId="77777777" w:rsidR="00621AF8" w:rsidRPr="000A6562" w:rsidRDefault="00621AF8" w:rsidP="00034485">
            <w:pPr>
              <w:jc w:val="center"/>
            </w:pPr>
            <w:r w:rsidRPr="000A6562">
              <w:t>1,043</w:t>
            </w:r>
          </w:p>
        </w:tc>
        <w:tc>
          <w:tcPr>
            <w:tcW w:w="2552" w:type="dxa"/>
          </w:tcPr>
          <w:p w14:paraId="4263A4AE" w14:textId="77777777" w:rsidR="00621AF8" w:rsidRPr="000A6562" w:rsidRDefault="00621AF8" w:rsidP="00034485">
            <w:pPr>
              <w:jc w:val="center"/>
              <w:rPr>
                <w:u w:val="single"/>
              </w:rPr>
            </w:pPr>
            <w:r w:rsidRPr="000A6562">
              <w:t>9,042</w:t>
            </w:r>
          </w:p>
        </w:tc>
        <w:tc>
          <w:tcPr>
            <w:tcW w:w="4103" w:type="dxa"/>
          </w:tcPr>
          <w:p w14:paraId="03B17092" w14:textId="77777777" w:rsidR="00621AF8" w:rsidRPr="000A6562" w:rsidRDefault="00621AF8" w:rsidP="00034485">
            <w:pPr>
              <w:jc w:val="center"/>
            </w:pPr>
            <w:r w:rsidRPr="000A6562">
              <w:t>9,042</w:t>
            </w:r>
          </w:p>
        </w:tc>
      </w:tr>
      <w:tr w:rsidR="00621AF8" w:rsidRPr="000A6562" w14:paraId="62EF1088" w14:textId="77777777" w:rsidTr="00034485">
        <w:trPr>
          <w:jc w:val="center"/>
        </w:trPr>
        <w:tc>
          <w:tcPr>
            <w:tcW w:w="1242" w:type="dxa"/>
          </w:tcPr>
          <w:p w14:paraId="0DA97923" w14:textId="77777777" w:rsidR="00621AF8" w:rsidRPr="000A6562" w:rsidRDefault="00621AF8" w:rsidP="00034485">
            <w:pPr>
              <w:jc w:val="center"/>
              <w:rPr>
                <w:u w:val="single"/>
              </w:rPr>
            </w:pPr>
            <w:r w:rsidRPr="000A6562">
              <w:t>2008</w:t>
            </w:r>
          </w:p>
        </w:tc>
        <w:tc>
          <w:tcPr>
            <w:tcW w:w="1276" w:type="dxa"/>
          </w:tcPr>
          <w:p w14:paraId="3998FC3F" w14:textId="77777777" w:rsidR="00621AF8" w:rsidRPr="000A6562" w:rsidRDefault="00621AF8" w:rsidP="00034485">
            <w:pPr>
              <w:jc w:val="center"/>
            </w:pPr>
            <w:r w:rsidRPr="000A6562">
              <w:t>1,176</w:t>
            </w:r>
          </w:p>
        </w:tc>
        <w:tc>
          <w:tcPr>
            <w:tcW w:w="2552" w:type="dxa"/>
          </w:tcPr>
          <w:p w14:paraId="3D11D022" w14:textId="77777777" w:rsidR="00621AF8" w:rsidRPr="000A6562" w:rsidRDefault="00621AF8" w:rsidP="00034485">
            <w:pPr>
              <w:jc w:val="center"/>
              <w:rPr>
                <w:u w:val="single"/>
              </w:rPr>
            </w:pPr>
            <w:r w:rsidRPr="000A6562">
              <w:t>9,595</w:t>
            </w:r>
          </w:p>
        </w:tc>
        <w:tc>
          <w:tcPr>
            <w:tcW w:w="4103" w:type="dxa"/>
          </w:tcPr>
          <w:p w14:paraId="6F6A7A9F" w14:textId="77777777" w:rsidR="00621AF8" w:rsidRPr="000A6562" w:rsidRDefault="00621AF8" w:rsidP="00034485">
            <w:pPr>
              <w:jc w:val="center"/>
            </w:pPr>
            <w:r w:rsidRPr="000A6562">
              <w:t>9,858</w:t>
            </w:r>
          </w:p>
        </w:tc>
      </w:tr>
      <w:tr w:rsidR="00621AF8" w:rsidRPr="000A6562" w14:paraId="3DE796CD" w14:textId="77777777" w:rsidTr="00034485">
        <w:trPr>
          <w:jc w:val="center"/>
        </w:trPr>
        <w:tc>
          <w:tcPr>
            <w:tcW w:w="1242" w:type="dxa"/>
          </w:tcPr>
          <w:p w14:paraId="085A2B78" w14:textId="77777777" w:rsidR="00621AF8" w:rsidRPr="000A6562" w:rsidRDefault="00621AF8" w:rsidP="00034485">
            <w:pPr>
              <w:jc w:val="center"/>
              <w:rPr>
                <w:u w:val="single"/>
              </w:rPr>
            </w:pPr>
            <w:r w:rsidRPr="000A6562">
              <w:t>2009</w:t>
            </w:r>
          </w:p>
        </w:tc>
        <w:tc>
          <w:tcPr>
            <w:tcW w:w="1276" w:type="dxa"/>
          </w:tcPr>
          <w:p w14:paraId="064249F4" w14:textId="77777777" w:rsidR="00621AF8" w:rsidRPr="000A6562" w:rsidRDefault="00621AF8" w:rsidP="00034485">
            <w:pPr>
              <w:jc w:val="center"/>
            </w:pPr>
            <w:r w:rsidRPr="000A6562">
              <w:t>1,215</w:t>
            </w:r>
          </w:p>
        </w:tc>
        <w:tc>
          <w:tcPr>
            <w:tcW w:w="2552" w:type="dxa"/>
          </w:tcPr>
          <w:p w14:paraId="381BC153" w14:textId="77777777" w:rsidR="00621AF8" w:rsidRPr="000A6562" w:rsidRDefault="00621AF8" w:rsidP="00034485">
            <w:pPr>
              <w:jc w:val="center"/>
              <w:rPr>
                <w:u w:val="single"/>
              </w:rPr>
            </w:pPr>
            <w:r w:rsidRPr="000A6562">
              <w:t>10,025</w:t>
            </w:r>
          </w:p>
        </w:tc>
        <w:tc>
          <w:tcPr>
            <w:tcW w:w="4103" w:type="dxa"/>
          </w:tcPr>
          <w:p w14:paraId="1BD46306" w14:textId="77777777" w:rsidR="00621AF8" w:rsidRPr="000A6562" w:rsidRDefault="00621AF8" w:rsidP="00034485">
            <w:pPr>
              <w:jc w:val="center"/>
            </w:pPr>
            <w:r w:rsidRPr="000A6562">
              <w:t>10,861</w:t>
            </w:r>
          </w:p>
        </w:tc>
      </w:tr>
      <w:tr w:rsidR="00621AF8" w:rsidRPr="000A6562" w14:paraId="5432F8A0" w14:textId="77777777" w:rsidTr="00034485">
        <w:trPr>
          <w:jc w:val="center"/>
        </w:trPr>
        <w:tc>
          <w:tcPr>
            <w:tcW w:w="1242" w:type="dxa"/>
          </w:tcPr>
          <w:p w14:paraId="78910418" w14:textId="77777777" w:rsidR="00621AF8" w:rsidRPr="000A6562" w:rsidRDefault="00621AF8" w:rsidP="00034485">
            <w:pPr>
              <w:jc w:val="center"/>
              <w:rPr>
                <w:u w:val="single"/>
              </w:rPr>
            </w:pPr>
            <w:r w:rsidRPr="000A6562">
              <w:t>2010</w:t>
            </w:r>
          </w:p>
        </w:tc>
        <w:tc>
          <w:tcPr>
            <w:tcW w:w="1276" w:type="dxa"/>
          </w:tcPr>
          <w:p w14:paraId="6E5713D0" w14:textId="77777777" w:rsidR="00621AF8" w:rsidRPr="000A6562" w:rsidRDefault="00621AF8" w:rsidP="00034485">
            <w:pPr>
              <w:jc w:val="center"/>
            </w:pPr>
            <w:r w:rsidRPr="000A6562">
              <w:t>1,232</w:t>
            </w:r>
          </w:p>
        </w:tc>
        <w:tc>
          <w:tcPr>
            <w:tcW w:w="2552" w:type="dxa"/>
          </w:tcPr>
          <w:p w14:paraId="1D9FFF96" w14:textId="77777777" w:rsidR="00621AF8" w:rsidRPr="000A6562" w:rsidRDefault="00621AF8" w:rsidP="00034485">
            <w:pPr>
              <w:jc w:val="center"/>
              <w:rPr>
                <w:u w:val="single"/>
              </w:rPr>
            </w:pPr>
            <w:r w:rsidRPr="000A6562">
              <w:t>10,492</w:t>
            </w:r>
          </w:p>
        </w:tc>
        <w:tc>
          <w:tcPr>
            <w:tcW w:w="4103" w:type="dxa"/>
          </w:tcPr>
          <w:p w14:paraId="1E1CDC0F" w14:textId="77777777" w:rsidR="00621AF8" w:rsidRPr="000A6562" w:rsidRDefault="00621AF8" w:rsidP="00034485">
            <w:pPr>
              <w:jc w:val="center"/>
            </w:pPr>
            <w:r w:rsidRPr="000A6562">
              <w:t>11,615</w:t>
            </w:r>
          </w:p>
        </w:tc>
      </w:tr>
      <w:tr w:rsidR="00621AF8" w:rsidRPr="000A6562" w14:paraId="5F440753" w14:textId="77777777" w:rsidTr="00034485">
        <w:trPr>
          <w:jc w:val="center"/>
        </w:trPr>
        <w:tc>
          <w:tcPr>
            <w:tcW w:w="1242" w:type="dxa"/>
          </w:tcPr>
          <w:p w14:paraId="4278EF69" w14:textId="77777777" w:rsidR="00621AF8" w:rsidRPr="000A6562" w:rsidRDefault="00621AF8" w:rsidP="00034485">
            <w:pPr>
              <w:jc w:val="center"/>
              <w:rPr>
                <w:u w:val="single"/>
              </w:rPr>
            </w:pPr>
            <w:r w:rsidRPr="000A6562">
              <w:t>2011</w:t>
            </w:r>
          </w:p>
        </w:tc>
        <w:tc>
          <w:tcPr>
            <w:tcW w:w="1276" w:type="dxa"/>
          </w:tcPr>
          <w:p w14:paraId="34856E74" w14:textId="77777777" w:rsidR="00621AF8" w:rsidRPr="000A6562" w:rsidRDefault="00621AF8" w:rsidP="00034485">
            <w:pPr>
              <w:jc w:val="center"/>
            </w:pPr>
            <w:r w:rsidRPr="000A6562">
              <w:t>1,327</w:t>
            </w:r>
          </w:p>
        </w:tc>
        <w:tc>
          <w:tcPr>
            <w:tcW w:w="2552" w:type="dxa"/>
          </w:tcPr>
          <w:p w14:paraId="7DEB33C6" w14:textId="77777777" w:rsidR="00621AF8" w:rsidRPr="000A6562" w:rsidRDefault="00621AF8" w:rsidP="00034485">
            <w:pPr>
              <w:jc w:val="center"/>
              <w:rPr>
                <w:u w:val="single"/>
              </w:rPr>
            </w:pPr>
            <w:r w:rsidRPr="000A6562">
              <w:t>11,534</w:t>
            </w:r>
          </w:p>
        </w:tc>
        <w:tc>
          <w:tcPr>
            <w:tcW w:w="4103" w:type="dxa"/>
          </w:tcPr>
          <w:p w14:paraId="432E38C0" w14:textId="77777777" w:rsidR="00621AF8" w:rsidRPr="000A6562" w:rsidRDefault="00621AF8" w:rsidP="00034485">
            <w:pPr>
              <w:jc w:val="center"/>
            </w:pPr>
            <w:r w:rsidRPr="000A6562">
              <w:t>12,899</w:t>
            </w:r>
          </w:p>
        </w:tc>
      </w:tr>
      <w:tr w:rsidR="00621AF8" w:rsidRPr="000A6562" w14:paraId="7C9FF226" w14:textId="77777777" w:rsidTr="00034485">
        <w:trPr>
          <w:jc w:val="center"/>
        </w:trPr>
        <w:tc>
          <w:tcPr>
            <w:tcW w:w="1242" w:type="dxa"/>
          </w:tcPr>
          <w:p w14:paraId="4FD9D25E" w14:textId="77777777" w:rsidR="00621AF8" w:rsidRPr="000A6562" w:rsidRDefault="00621AF8" w:rsidP="00034485">
            <w:pPr>
              <w:jc w:val="center"/>
              <w:rPr>
                <w:u w:val="single"/>
              </w:rPr>
            </w:pPr>
            <w:r w:rsidRPr="000A6562">
              <w:t>2012</w:t>
            </w:r>
          </w:p>
        </w:tc>
        <w:tc>
          <w:tcPr>
            <w:tcW w:w="1276" w:type="dxa"/>
          </w:tcPr>
          <w:p w14:paraId="72684A78" w14:textId="77777777" w:rsidR="00621AF8" w:rsidRPr="000A6562" w:rsidRDefault="00621AF8" w:rsidP="00034485">
            <w:pPr>
              <w:jc w:val="center"/>
            </w:pPr>
            <w:r w:rsidRPr="000A6562">
              <w:t>1,351</w:t>
            </w:r>
          </w:p>
        </w:tc>
        <w:tc>
          <w:tcPr>
            <w:tcW w:w="2552" w:type="dxa"/>
          </w:tcPr>
          <w:p w14:paraId="25FDD422" w14:textId="77777777" w:rsidR="00621AF8" w:rsidRPr="000A6562" w:rsidRDefault="00621AF8" w:rsidP="00034485">
            <w:pPr>
              <w:jc w:val="center"/>
              <w:rPr>
                <w:u w:val="single"/>
              </w:rPr>
            </w:pPr>
            <w:r w:rsidRPr="000A6562">
              <w:t>12,647</w:t>
            </w:r>
          </w:p>
        </w:tc>
        <w:tc>
          <w:tcPr>
            <w:tcW w:w="4103" w:type="dxa"/>
          </w:tcPr>
          <w:p w14:paraId="15BFDD78" w14:textId="77777777" w:rsidR="00621AF8" w:rsidRPr="000A6562" w:rsidRDefault="00621AF8" w:rsidP="00034485">
            <w:pPr>
              <w:jc w:val="center"/>
            </w:pPr>
            <w:r w:rsidRPr="000A6562">
              <w:t>14,203</w:t>
            </w:r>
          </w:p>
        </w:tc>
      </w:tr>
      <w:tr w:rsidR="00621AF8" w:rsidRPr="000A6562" w14:paraId="119B8044" w14:textId="77777777" w:rsidTr="00034485">
        <w:trPr>
          <w:jc w:val="center"/>
        </w:trPr>
        <w:tc>
          <w:tcPr>
            <w:tcW w:w="1242" w:type="dxa"/>
          </w:tcPr>
          <w:p w14:paraId="1F19866E" w14:textId="77777777" w:rsidR="00621AF8" w:rsidRPr="000A6562" w:rsidRDefault="00621AF8" w:rsidP="00034485">
            <w:pPr>
              <w:jc w:val="center"/>
              <w:rPr>
                <w:u w:val="single"/>
              </w:rPr>
            </w:pPr>
            <w:r w:rsidRPr="000A6562">
              <w:t>2013</w:t>
            </w:r>
          </w:p>
        </w:tc>
        <w:tc>
          <w:tcPr>
            <w:tcW w:w="1276" w:type="dxa"/>
          </w:tcPr>
          <w:p w14:paraId="3146EFB8" w14:textId="77777777" w:rsidR="00621AF8" w:rsidRPr="000A6562" w:rsidRDefault="00621AF8" w:rsidP="00034485">
            <w:pPr>
              <w:jc w:val="center"/>
            </w:pPr>
            <w:r w:rsidRPr="000A6562">
              <w:t>1,470</w:t>
            </w:r>
          </w:p>
        </w:tc>
        <w:tc>
          <w:tcPr>
            <w:tcW w:w="2552" w:type="dxa"/>
          </w:tcPr>
          <w:p w14:paraId="096743CF" w14:textId="77777777" w:rsidR="00621AF8" w:rsidRPr="000A6562" w:rsidRDefault="00621AF8" w:rsidP="00034485">
            <w:pPr>
              <w:jc w:val="center"/>
              <w:rPr>
                <w:u w:val="single"/>
              </w:rPr>
            </w:pPr>
            <w:r w:rsidRPr="000A6562">
              <w:t>14,073</w:t>
            </w:r>
          </w:p>
        </w:tc>
        <w:tc>
          <w:tcPr>
            <w:tcW w:w="4103" w:type="dxa"/>
          </w:tcPr>
          <w:p w14:paraId="59A10722" w14:textId="77777777" w:rsidR="00621AF8" w:rsidRPr="000A6562" w:rsidRDefault="00621AF8" w:rsidP="00034485">
            <w:pPr>
              <w:jc w:val="center"/>
            </w:pPr>
            <w:r w:rsidRPr="000A6562">
              <w:t>14,892</w:t>
            </w:r>
          </w:p>
        </w:tc>
      </w:tr>
      <w:tr w:rsidR="00621AF8" w:rsidRPr="000A6562" w14:paraId="7AF06E66" w14:textId="77777777" w:rsidTr="00034485">
        <w:trPr>
          <w:jc w:val="center"/>
        </w:trPr>
        <w:tc>
          <w:tcPr>
            <w:tcW w:w="1242" w:type="dxa"/>
          </w:tcPr>
          <w:p w14:paraId="15946D2C" w14:textId="77777777" w:rsidR="00621AF8" w:rsidRPr="000A6562" w:rsidRDefault="00621AF8" w:rsidP="00034485">
            <w:pPr>
              <w:jc w:val="center"/>
              <w:rPr>
                <w:u w:val="single"/>
              </w:rPr>
            </w:pPr>
            <w:r w:rsidRPr="000A6562">
              <w:t>2014</w:t>
            </w:r>
          </w:p>
        </w:tc>
        <w:tc>
          <w:tcPr>
            <w:tcW w:w="1276" w:type="dxa"/>
          </w:tcPr>
          <w:p w14:paraId="7A2CFADC" w14:textId="77777777" w:rsidR="00621AF8" w:rsidRPr="000A6562" w:rsidRDefault="00621AF8" w:rsidP="00034485">
            <w:pPr>
              <w:jc w:val="center"/>
            </w:pPr>
            <w:r w:rsidRPr="000A6562">
              <w:t>1,765</w:t>
            </w:r>
          </w:p>
        </w:tc>
        <w:tc>
          <w:tcPr>
            <w:tcW w:w="2552" w:type="dxa"/>
          </w:tcPr>
          <w:p w14:paraId="2AA0CDDF" w14:textId="77777777" w:rsidR="00621AF8" w:rsidRPr="000A6562" w:rsidRDefault="00621AF8" w:rsidP="00034485">
            <w:pPr>
              <w:jc w:val="center"/>
              <w:rPr>
                <w:u w:val="single"/>
              </w:rPr>
            </w:pPr>
            <w:r w:rsidRPr="000A6562">
              <w:t>15,704</w:t>
            </w:r>
          </w:p>
        </w:tc>
        <w:tc>
          <w:tcPr>
            <w:tcW w:w="4103" w:type="dxa"/>
          </w:tcPr>
          <w:p w14:paraId="7606B8E7" w14:textId="77777777" w:rsidR="00621AF8" w:rsidRPr="000A6562" w:rsidRDefault="00621AF8" w:rsidP="00034485">
            <w:pPr>
              <w:jc w:val="center"/>
            </w:pPr>
            <w:r w:rsidRPr="000A6562">
              <w:t>15,704</w:t>
            </w:r>
          </w:p>
        </w:tc>
      </w:tr>
    </w:tbl>
    <w:p w14:paraId="74C84240" w14:textId="77777777" w:rsidR="00621AF8" w:rsidRPr="000A6562" w:rsidRDefault="00621AF8" w:rsidP="00621AF8">
      <w:pPr>
        <w:spacing w:after="0"/>
        <w:rPr>
          <w:sz w:val="20"/>
          <w:szCs w:val="20"/>
        </w:rPr>
      </w:pPr>
      <w:r w:rsidRPr="000A6562">
        <w:rPr>
          <w:sz w:val="20"/>
          <w:szCs w:val="20"/>
          <w:vertAlign w:val="superscript"/>
        </w:rPr>
        <w:t>1</w:t>
      </w:r>
      <w:r w:rsidRPr="000A6562">
        <w:rPr>
          <w:sz w:val="20"/>
          <w:szCs w:val="20"/>
        </w:rPr>
        <w:t xml:space="preserve"> Highly Specialised Drugs data for Section 100 listings is incomplete in the DHS prescriptions database prior to July 2013. These figures are adjusted with an estimate of the number of S100 public patients receiving natalizimab before July 2013. Refer to Appendix E for the methods used to estimate these additional patients.</w:t>
      </w:r>
    </w:p>
    <w:p w14:paraId="009A8C00" w14:textId="4655F625" w:rsidR="00736E4F" w:rsidRDefault="00621AF8" w:rsidP="003723F6">
      <w:pPr>
        <w:spacing w:after="0"/>
        <w:rPr>
          <w:sz w:val="20"/>
          <w:szCs w:val="20"/>
        </w:rPr>
      </w:pPr>
      <w:r w:rsidRPr="000A6562">
        <w:rPr>
          <w:sz w:val="20"/>
          <w:szCs w:val="20"/>
          <w:vertAlign w:val="superscript"/>
        </w:rPr>
        <w:t>2</w:t>
      </w:r>
      <w:r w:rsidRPr="000A6562">
        <w:rPr>
          <w:sz w:val="20"/>
          <w:szCs w:val="20"/>
        </w:rPr>
        <w:t xml:space="preserve"> A first time initiator to RRMS therapy was identified as having a first prescription for any RRMS drug since 1 January 2002.</w:t>
      </w:r>
    </w:p>
    <w:p w14:paraId="6AD0C3CD" w14:textId="77777777" w:rsidR="003723F6" w:rsidRPr="00067FBC" w:rsidRDefault="003723F6" w:rsidP="003723F6">
      <w:pPr>
        <w:spacing w:after="0"/>
        <w:rPr>
          <w:sz w:val="20"/>
          <w:szCs w:val="20"/>
        </w:rPr>
      </w:pPr>
    </w:p>
    <w:p w14:paraId="6DBC19AB" w14:textId="77777777" w:rsidR="00462FE4" w:rsidRDefault="00462FE4" w:rsidP="00462FE4">
      <w:pPr>
        <w:rPr>
          <w:u w:val="single"/>
        </w:rPr>
      </w:pPr>
      <w:r>
        <w:rPr>
          <w:noProof/>
        </w:rPr>
        <w:drawing>
          <wp:inline distT="0" distB="0" distL="0" distR="0" wp14:anchorId="2C8C0CF1" wp14:editId="3933CFD1">
            <wp:extent cx="5067300" cy="3800474"/>
            <wp:effectExtent l="0" t="0" r="0" b="0"/>
            <wp:docPr id="6" name="Picture 6"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7293" cy="3815469"/>
                    </a:xfrm>
                    <a:prstGeom prst="rect">
                      <a:avLst/>
                    </a:prstGeom>
                    <a:noFill/>
                    <a:ln>
                      <a:noFill/>
                    </a:ln>
                  </pic:spPr>
                </pic:pic>
              </a:graphicData>
            </a:graphic>
          </wp:inline>
        </w:drawing>
      </w:r>
    </w:p>
    <w:p w14:paraId="6431AB48" w14:textId="700F70D8" w:rsidR="00462FE4" w:rsidRPr="00AD4B28" w:rsidRDefault="00462FE4" w:rsidP="00462FE4">
      <w:pPr>
        <w:spacing w:after="0"/>
        <w:rPr>
          <w:rFonts w:cstheme="minorHAnsi"/>
          <w:b/>
        </w:rPr>
      </w:pPr>
      <w:r w:rsidRPr="00AD4B28">
        <w:rPr>
          <w:rFonts w:cstheme="minorHAnsi"/>
          <w:b/>
        </w:rPr>
        <w:t xml:space="preserve">Figure </w:t>
      </w:r>
      <w:r w:rsidR="00AB74BD" w:rsidRPr="00AD4B28">
        <w:rPr>
          <w:rFonts w:cstheme="minorHAnsi"/>
          <w:b/>
        </w:rPr>
        <w:t>1</w:t>
      </w:r>
      <w:r w:rsidRPr="00AD4B28">
        <w:rPr>
          <w:rFonts w:cstheme="minorHAnsi"/>
          <w:b/>
        </w:rPr>
        <w:t>: Prevalent patients by RRMS therapy by quarter</w:t>
      </w:r>
      <w:r w:rsidR="00D371F0" w:rsidRPr="00AD4B28">
        <w:rPr>
          <w:rFonts w:cstheme="minorHAnsi"/>
          <w:b/>
        </w:rPr>
        <w:t xml:space="preserve"> of supply</w:t>
      </w:r>
    </w:p>
    <w:p w14:paraId="5A4CB530" w14:textId="6A899D5E" w:rsidR="00AB74BD" w:rsidRPr="00AD4B28" w:rsidRDefault="00462FE4" w:rsidP="00462FE4">
      <w:pPr>
        <w:spacing w:after="0"/>
      </w:pPr>
      <w:r w:rsidRPr="00AD4B28">
        <w:rPr>
          <w:rFonts w:cstheme="minorHAnsi"/>
          <w:sz w:val="20"/>
          <w:szCs w:val="20"/>
        </w:rPr>
        <w:t xml:space="preserve">Source: </w:t>
      </w:r>
      <w:r w:rsidR="000E1060" w:rsidRPr="00AD4B28">
        <w:rPr>
          <w:rFonts w:cstheme="minorHAnsi"/>
          <w:sz w:val="20"/>
          <w:szCs w:val="20"/>
        </w:rPr>
        <w:t>DHS Prescription database data</w:t>
      </w:r>
      <w:r w:rsidRPr="00AD4B28">
        <w:t xml:space="preserve"> </w:t>
      </w:r>
    </w:p>
    <w:p w14:paraId="2BE25CC4" w14:textId="1111C349" w:rsidR="00E7032C" w:rsidRPr="00E7032C" w:rsidRDefault="00462FE4" w:rsidP="00E7032C">
      <w:pPr>
        <w:spacing w:after="0"/>
        <w:rPr>
          <w:rFonts w:cstheme="minorHAnsi"/>
          <w:sz w:val="20"/>
          <w:szCs w:val="20"/>
        </w:rPr>
      </w:pPr>
      <w:r w:rsidRPr="00AD4B28">
        <w:rPr>
          <w:rFonts w:cstheme="minorHAnsi"/>
          <w:sz w:val="20"/>
          <w:szCs w:val="20"/>
        </w:rPr>
        <w:t xml:space="preserve">Note: </w:t>
      </w:r>
      <w:r w:rsidR="00DD1CB7" w:rsidRPr="00AD4B28">
        <w:rPr>
          <w:rFonts w:cstheme="minorHAnsi"/>
          <w:sz w:val="20"/>
          <w:szCs w:val="20"/>
        </w:rPr>
        <w:t xml:space="preserve">PBS public hospital </w:t>
      </w:r>
      <w:r w:rsidR="00D371F0" w:rsidRPr="00AD4B28">
        <w:rPr>
          <w:rFonts w:cstheme="minorHAnsi"/>
          <w:sz w:val="20"/>
          <w:szCs w:val="20"/>
        </w:rPr>
        <w:t>DHS Prescription database data</w:t>
      </w:r>
      <w:r w:rsidR="00602FD4" w:rsidRPr="00AD4B28">
        <w:rPr>
          <w:rFonts w:cstheme="minorHAnsi"/>
          <w:sz w:val="20"/>
          <w:szCs w:val="20"/>
        </w:rPr>
        <w:t xml:space="preserve"> has</w:t>
      </w:r>
      <w:r w:rsidR="00DD1CB7" w:rsidRPr="00AD4B28">
        <w:rPr>
          <w:rFonts w:cstheme="minorHAnsi"/>
          <w:sz w:val="20"/>
          <w:szCs w:val="20"/>
        </w:rPr>
        <w:t xml:space="preserve"> only been</w:t>
      </w:r>
      <w:r w:rsidR="00602FD4" w:rsidRPr="00AD4B28">
        <w:rPr>
          <w:rFonts w:cstheme="minorHAnsi"/>
          <w:sz w:val="20"/>
          <w:szCs w:val="20"/>
        </w:rPr>
        <w:t xml:space="preserve"> fully</w:t>
      </w:r>
      <w:r w:rsidR="00DD1CB7" w:rsidRPr="00AD4B28">
        <w:rPr>
          <w:rFonts w:cstheme="minorHAnsi"/>
          <w:sz w:val="20"/>
          <w:szCs w:val="20"/>
        </w:rPr>
        <w:t xml:space="preserve"> available </w:t>
      </w:r>
      <w:r w:rsidR="00602FD4" w:rsidRPr="00AD4B28">
        <w:rPr>
          <w:rFonts w:cstheme="minorHAnsi"/>
          <w:sz w:val="20"/>
          <w:szCs w:val="20"/>
        </w:rPr>
        <w:t>since July 2013</w:t>
      </w:r>
      <w:r w:rsidR="00DD1CB7" w:rsidRPr="00AD4B28">
        <w:rPr>
          <w:rFonts w:cstheme="minorHAnsi"/>
          <w:sz w:val="20"/>
          <w:szCs w:val="20"/>
        </w:rPr>
        <w:t xml:space="preserve">. Prior to this time the </w:t>
      </w:r>
      <w:r w:rsidR="003267C4" w:rsidRPr="00AD4B28">
        <w:rPr>
          <w:rFonts w:cstheme="minorHAnsi"/>
          <w:sz w:val="20"/>
          <w:szCs w:val="20"/>
        </w:rPr>
        <w:t>patient counts are incomplete for natalizumab</w:t>
      </w:r>
      <w:r w:rsidR="00C9333D" w:rsidRPr="00AD4B28">
        <w:rPr>
          <w:rFonts w:cstheme="minorHAnsi"/>
          <w:sz w:val="20"/>
          <w:szCs w:val="20"/>
        </w:rPr>
        <w:t>.</w:t>
      </w:r>
    </w:p>
    <w:p w14:paraId="1B1BBB5A" w14:textId="6BF4F69C" w:rsidR="008B687C" w:rsidRPr="00B1550A" w:rsidRDefault="008B687C" w:rsidP="00BA7F91">
      <w:pPr>
        <w:spacing w:line="300" w:lineRule="atLeast"/>
        <w:rPr>
          <w:rFonts w:ascii="Calibri" w:eastAsia="Times New Roman" w:hAnsi="Calibri" w:cs="Arial"/>
          <w:b/>
          <w:i/>
          <w:color w:val="222222"/>
        </w:rPr>
      </w:pPr>
      <w:r w:rsidRPr="00B1550A">
        <w:rPr>
          <w:rFonts w:ascii="Calibri" w:eastAsia="Times New Roman" w:hAnsi="Calibri" w:cs="Arial"/>
          <w:b/>
          <w:i/>
          <w:color w:val="222222"/>
        </w:rPr>
        <w:lastRenderedPageBreak/>
        <w:t xml:space="preserve">Number of </w:t>
      </w:r>
      <w:r w:rsidR="008E6EB7" w:rsidRPr="00B1550A">
        <w:rPr>
          <w:rFonts w:ascii="Calibri" w:eastAsia="Times New Roman" w:hAnsi="Calibri" w:cs="Arial"/>
          <w:b/>
          <w:i/>
          <w:color w:val="222222"/>
        </w:rPr>
        <w:t>prescriptions</w:t>
      </w:r>
    </w:p>
    <w:p w14:paraId="211D0947" w14:textId="5E3EFF42" w:rsidR="00E52520" w:rsidRPr="00D06282" w:rsidRDefault="00E52520" w:rsidP="00E52520">
      <w:r>
        <w:t>Consistent with the increase in the growth in the number</w:t>
      </w:r>
      <w:r w:rsidR="00441D40">
        <w:t xml:space="preserve"> of prevalent patients (Figure </w:t>
      </w:r>
      <w:r w:rsidR="003D0CFE">
        <w:t>1</w:t>
      </w:r>
      <w:r>
        <w:t xml:space="preserve">), the number of </w:t>
      </w:r>
      <w:r w:rsidR="00250339">
        <w:t xml:space="preserve">prescriptions </w:t>
      </w:r>
      <w:r w:rsidR="00A13433">
        <w:t xml:space="preserve">for the overall RRMS market </w:t>
      </w:r>
      <w:r>
        <w:t>has grown steadily since the introductio</w:t>
      </w:r>
      <w:r w:rsidR="007C5A4D">
        <w:t xml:space="preserve">n of </w:t>
      </w:r>
      <w:r w:rsidR="00A13433">
        <w:t>oral therapy (fingolimod, dimethyl fumarate</w:t>
      </w:r>
      <w:r w:rsidR="007C5A4D">
        <w:t xml:space="preserve"> </w:t>
      </w:r>
      <w:r w:rsidR="00A13433">
        <w:t>and to a lesser extent teriflunomide),</w:t>
      </w:r>
      <w:r w:rsidR="00F87C1C">
        <w:t xml:space="preserve"> </w:t>
      </w:r>
      <w:r w:rsidR="007C5A4D">
        <w:t xml:space="preserve">(Figure </w:t>
      </w:r>
      <w:r w:rsidR="00B640F1">
        <w:t>2</w:t>
      </w:r>
      <w:r w:rsidR="007C5A4D">
        <w:t xml:space="preserve">, Figure </w:t>
      </w:r>
      <w:r w:rsidR="00B640F1">
        <w:t>3</w:t>
      </w:r>
      <w:r w:rsidR="004B651E">
        <w:t>)</w:t>
      </w:r>
      <w:r>
        <w:t xml:space="preserve">. </w:t>
      </w:r>
      <w:r w:rsidR="00E87B0E">
        <w:t xml:space="preserve">There was no indication that growth in the RRMS market will attenuate in the near future. </w:t>
      </w:r>
    </w:p>
    <w:p w14:paraId="71F9B0F2" w14:textId="00782B54" w:rsidR="00E52520" w:rsidRDefault="00785AA6" w:rsidP="00E52520">
      <w:r>
        <w:rPr>
          <w:noProof/>
        </w:rPr>
        <w:drawing>
          <wp:inline distT="0" distB="0" distL="0" distR="0" wp14:anchorId="55283F9B" wp14:editId="1666CAA0">
            <wp:extent cx="5687695" cy="4265771"/>
            <wp:effectExtent l="0" t="0" r="8255" b="1905"/>
            <wp:docPr id="1" name="Picture 1"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p>
    <w:p w14:paraId="1306310C" w14:textId="5FD5EA28" w:rsidR="00E52520" w:rsidRPr="00067FBC" w:rsidRDefault="00E52520" w:rsidP="00E52520">
      <w:pPr>
        <w:spacing w:after="0"/>
        <w:rPr>
          <w:rFonts w:cstheme="minorHAnsi"/>
          <w:b/>
        </w:rPr>
      </w:pPr>
      <w:r w:rsidRPr="00067FBC">
        <w:rPr>
          <w:rFonts w:cstheme="minorHAnsi"/>
          <w:b/>
        </w:rPr>
        <w:t xml:space="preserve">Figure </w:t>
      </w:r>
      <w:r w:rsidR="00B640F1" w:rsidRPr="00067FBC">
        <w:rPr>
          <w:rFonts w:cstheme="minorHAnsi"/>
          <w:b/>
        </w:rPr>
        <w:t>2</w:t>
      </w:r>
      <w:r w:rsidR="008376FD" w:rsidRPr="00067FBC">
        <w:rPr>
          <w:rFonts w:cstheme="minorHAnsi"/>
          <w:b/>
        </w:rPr>
        <w:t>.</w:t>
      </w:r>
      <w:r w:rsidRPr="00067FBC">
        <w:rPr>
          <w:rFonts w:cstheme="minorHAnsi"/>
          <w:b/>
        </w:rPr>
        <w:t xml:space="preserve"> </w:t>
      </w:r>
      <w:r w:rsidR="00C24726" w:rsidRPr="00067FBC">
        <w:rPr>
          <w:rFonts w:cstheme="minorHAnsi"/>
          <w:b/>
        </w:rPr>
        <w:t xml:space="preserve">Prescriptions for </w:t>
      </w:r>
      <w:r w:rsidRPr="00067FBC">
        <w:rPr>
          <w:rFonts w:cstheme="minorHAnsi"/>
          <w:b/>
        </w:rPr>
        <w:t xml:space="preserve">all PBS-listed </w:t>
      </w:r>
      <w:r w:rsidR="00C24726" w:rsidRPr="00067FBC">
        <w:rPr>
          <w:rFonts w:cstheme="minorHAnsi"/>
          <w:b/>
        </w:rPr>
        <w:t xml:space="preserve">RRMS therapy </w:t>
      </w:r>
    </w:p>
    <w:p w14:paraId="6F9459DF" w14:textId="77777777" w:rsidR="00E52520" w:rsidRDefault="00E52520" w:rsidP="00E52520">
      <w:pPr>
        <w:spacing w:after="0"/>
        <w:rPr>
          <w:rFonts w:cstheme="minorHAnsi"/>
          <w:sz w:val="20"/>
        </w:rPr>
      </w:pPr>
      <w:r w:rsidRPr="00813FCB">
        <w:rPr>
          <w:rFonts w:cstheme="minorHAnsi"/>
          <w:sz w:val="20"/>
        </w:rPr>
        <w:t xml:space="preserve">Source: </w:t>
      </w:r>
      <w:r>
        <w:rPr>
          <w:rFonts w:cstheme="minorHAnsi"/>
          <w:sz w:val="20"/>
        </w:rPr>
        <w:t>DHS prescriptions data.</w:t>
      </w:r>
    </w:p>
    <w:p w14:paraId="79B67CD2" w14:textId="77777777" w:rsidR="00E52520" w:rsidRDefault="00E52520" w:rsidP="001A7FFD">
      <w:pPr>
        <w:spacing w:after="0" w:line="300" w:lineRule="atLeast"/>
        <w:rPr>
          <w:rFonts w:ascii="Calibri" w:eastAsia="Times New Roman" w:hAnsi="Calibri" w:cs="Arial"/>
          <w:color w:val="222222"/>
          <w:sz w:val="22"/>
          <w:szCs w:val="22"/>
        </w:rPr>
      </w:pPr>
    </w:p>
    <w:p w14:paraId="5EACFC80" w14:textId="737AD1C5" w:rsidR="0072755A" w:rsidRPr="002C6ECA" w:rsidRDefault="0095769B" w:rsidP="001A7FFD">
      <w:pPr>
        <w:spacing w:after="0" w:line="300" w:lineRule="atLeast"/>
        <w:rPr>
          <w:rFonts w:ascii="Calibri" w:eastAsia="Times New Roman" w:hAnsi="Calibri" w:cs="Arial"/>
          <w:color w:val="222222"/>
        </w:rPr>
      </w:pPr>
      <w:r w:rsidRPr="002C6ECA">
        <w:rPr>
          <w:rFonts w:ascii="Calibri" w:eastAsia="Times New Roman" w:hAnsi="Calibri" w:cs="Arial"/>
          <w:color w:val="222222"/>
        </w:rPr>
        <w:t xml:space="preserve">The </w:t>
      </w:r>
      <w:r w:rsidR="004F6242" w:rsidRPr="002C6ECA">
        <w:rPr>
          <w:rFonts w:ascii="Calibri" w:eastAsia="Times New Roman" w:hAnsi="Calibri" w:cs="Arial"/>
          <w:color w:val="222222"/>
        </w:rPr>
        <w:t>utilisation</w:t>
      </w:r>
      <w:r w:rsidRPr="002C6ECA">
        <w:rPr>
          <w:rFonts w:ascii="Calibri" w:eastAsia="Times New Roman" w:hAnsi="Calibri" w:cs="Arial"/>
          <w:color w:val="222222"/>
        </w:rPr>
        <w:t xml:space="preserve"> of prescriptions for the </w:t>
      </w:r>
      <w:r w:rsidR="004F6242" w:rsidRPr="002C6ECA">
        <w:rPr>
          <w:rFonts w:ascii="Calibri" w:eastAsia="Times New Roman" w:hAnsi="Calibri" w:cs="Arial"/>
          <w:color w:val="222222"/>
        </w:rPr>
        <w:t>individual RRMS medicines</w:t>
      </w:r>
      <w:r w:rsidRPr="002C6ECA">
        <w:rPr>
          <w:rFonts w:ascii="Calibri" w:eastAsia="Times New Roman" w:hAnsi="Calibri" w:cs="Arial"/>
          <w:color w:val="222222"/>
        </w:rPr>
        <w:t xml:space="preserve"> by </w:t>
      </w:r>
      <w:r w:rsidR="00D371F0" w:rsidRPr="002C6ECA">
        <w:rPr>
          <w:rFonts w:ascii="Calibri" w:eastAsia="Times New Roman" w:hAnsi="Calibri" w:cs="Arial"/>
          <w:color w:val="222222"/>
        </w:rPr>
        <w:t xml:space="preserve">quarter </w:t>
      </w:r>
      <w:r w:rsidRPr="002C6ECA">
        <w:rPr>
          <w:rFonts w:ascii="Calibri" w:eastAsia="Times New Roman" w:hAnsi="Calibri" w:cs="Arial"/>
          <w:color w:val="222222"/>
        </w:rPr>
        <w:t xml:space="preserve">of supply </w:t>
      </w:r>
      <w:r w:rsidR="001A7FFD" w:rsidRPr="002C6ECA">
        <w:rPr>
          <w:rFonts w:ascii="Calibri" w:eastAsia="Times New Roman" w:hAnsi="Calibri" w:cs="Arial"/>
          <w:color w:val="222222"/>
        </w:rPr>
        <w:t xml:space="preserve">is presented in Figure </w:t>
      </w:r>
      <w:r w:rsidR="00EE5E7E" w:rsidRPr="002C6ECA">
        <w:rPr>
          <w:rFonts w:ascii="Calibri" w:eastAsia="Times New Roman" w:hAnsi="Calibri" w:cs="Arial"/>
          <w:color w:val="222222"/>
        </w:rPr>
        <w:t>3</w:t>
      </w:r>
      <w:r w:rsidRPr="002C6ECA">
        <w:rPr>
          <w:rFonts w:ascii="Calibri" w:eastAsia="Times New Roman" w:hAnsi="Calibri" w:cs="Arial"/>
          <w:color w:val="222222"/>
        </w:rPr>
        <w:t>.</w:t>
      </w:r>
    </w:p>
    <w:p w14:paraId="57B672CF" w14:textId="1442D82D" w:rsidR="0095769B" w:rsidRDefault="00D72381" w:rsidP="0095769B">
      <w:pPr>
        <w:spacing w:line="300" w:lineRule="atLeast"/>
        <w:rPr>
          <w:rFonts w:ascii="Calibri" w:eastAsia="Times New Roman" w:hAnsi="Calibri" w:cs="Arial"/>
          <w:color w:val="222222"/>
          <w:sz w:val="22"/>
          <w:szCs w:val="22"/>
        </w:rPr>
      </w:pPr>
      <w:r>
        <w:rPr>
          <w:noProof/>
        </w:rPr>
        <w:lastRenderedPageBreak/>
        <w:drawing>
          <wp:inline distT="0" distB="0" distL="0" distR="0" wp14:anchorId="05FB721A" wp14:editId="1098D0AF">
            <wp:extent cx="6096000" cy="4572000"/>
            <wp:effectExtent l="0" t="0" r="0" b="0"/>
            <wp:docPr id="3" name="Picture 3"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Pr>
          <w:noProof/>
        </w:rPr>
        <w:t xml:space="preserve"> </w:t>
      </w:r>
    </w:p>
    <w:p w14:paraId="0D5F5EEC" w14:textId="09BACC91" w:rsidR="0095769B" w:rsidRPr="00067FBC" w:rsidRDefault="001A7FFD" w:rsidP="0095769B">
      <w:pPr>
        <w:spacing w:after="0"/>
        <w:rPr>
          <w:rFonts w:cstheme="minorHAnsi"/>
          <w:b/>
        </w:rPr>
      </w:pPr>
      <w:r w:rsidRPr="00067FBC">
        <w:rPr>
          <w:rFonts w:cstheme="minorHAnsi"/>
          <w:b/>
        </w:rPr>
        <w:t xml:space="preserve">Figure </w:t>
      </w:r>
      <w:r w:rsidR="00B640F1" w:rsidRPr="00067FBC">
        <w:rPr>
          <w:rFonts w:cstheme="minorHAnsi"/>
          <w:b/>
        </w:rPr>
        <w:t>3</w:t>
      </w:r>
      <w:r w:rsidR="008376FD" w:rsidRPr="00067FBC">
        <w:rPr>
          <w:rFonts w:cstheme="minorHAnsi"/>
          <w:b/>
        </w:rPr>
        <w:t>.</w:t>
      </w:r>
      <w:r w:rsidR="0095769B" w:rsidRPr="00067FBC">
        <w:rPr>
          <w:rFonts w:cstheme="minorHAnsi"/>
          <w:b/>
        </w:rPr>
        <w:t xml:space="preserve"> </w:t>
      </w:r>
      <w:r w:rsidR="00CF7542" w:rsidRPr="00067FBC">
        <w:rPr>
          <w:rFonts w:cstheme="minorHAnsi"/>
          <w:b/>
        </w:rPr>
        <w:t>Prescriptions</w:t>
      </w:r>
      <w:r w:rsidR="0095769B" w:rsidRPr="00067FBC">
        <w:rPr>
          <w:rFonts w:cstheme="minorHAnsi"/>
          <w:b/>
        </w:rPr>
        <w:t xml:space="preserve"> for all PBS-listed products in the RRMS market by quarter</w:t>
      </w:r>
      <w:r w:rsidR="00D371F0">
        <w:rPr>
          <w:rFonts w:cstheme="minorHAnsi"/>
          <w:b/>
        </w:rPr>
        <w:t xml:space="preserve"> of supply</w:t>
      </w:r>
    </w:p>
    <w:p w14:paraId="1EC9308B" w14:textId="49CE6416" w:rsidR="0095769B" w:rsidRDefault="0095769B" w:rsidP="0095769B">
      <w:pPr>
        <w:spacing w:after="0"/>
        <w:rPr>
          <w:rFonts w:cstheme="minorHAnsi"/>
          <w:sz w:val="20"/>
          <w:szCs w:val="20"/>
        </w:rPr>
      </w:pPr>
      <w:r w:rsidRPr="00FC6750">
        <w:rPr>
          <w:rFonts w:cstheme="minorHAnsi"/>
          <w:sz w:val="20"/>
          <w:szCs w:val="20"/>
        </w:rPr>
        <w:t>Source: DHS prescriptions data</w:t>
      </w:r>
      <w:r w:rsidR="00A34E04">
        <w:rPr>
          <w:rFonts w:cstheme="minorHAnsi"/>
          <w:sz w:val="20"/>
          <w:szCs w:val="20"/>
        </w:rPr>
        <w:t>.</w:t>
      </w:r>
    </w:p>
    <w:p w14:paraId="3FFFCC96" w14:textId="77777777" w:rsidR="00E06B68" w:rsidRDefault="00E06B68" w:rsidP="0095769B">
      <w:pPr>
        <w:spacing w:after="0"/>
        <w:rPr>
          <w:rFonts w:cstheme="minorHAnsi"/>
          <w:sz w:val="20"/>
          <w:szCs w:val="20"/>
        </w:rPr>
      </w:pPr>
    </w:p>
    <w:p w14:paraId="34A5667B" w14:textId="77E9EB6B" w:rsidR="009D3AB7" w:rsidRPr="002C6ECA" w:rsidRDefault="009D3AB7" w:rsidP="0095769B">
      <w:pPr>
        <w:spacing w:after="0"/>
        <w:rPr>
          <w:rFonts w:cstheme="minorHAnsi"/>
        </w:rPr>
      </w:pPr>
      <w:r w:rsidRPr="00AD4B28">
        <w:rPr>
          <w:rFonts w:cstheme="minorHAnsi"/>
        </w:rPr>
        <w:t>The number of prescriptions for natalizumab</w:t>
      </w:r>
      <w:r w:rsidR="00E06B68" w:rsidRPr="00AD4B28">
        <w:rPr>
          <w:rFonts w:cstheme="minorHAnsi"/>
        </w:rPr>
        <w:t xml:space="preserve"> shown in Figure 3</w:t>
      </w:r>
      <w:r w:rsidRPr="00AD4B28">
        <w:rPr>
          <w:rFonts w:cstheme="minorHAnsi"/>
        </w:rPr>
        <w:t xml:space="preserve"> is underrepresented as the Highly Specialised Drugs data is incomplete in the DHS prescriptions database prior to July 2013.</w:t>
      </w:r>
      <w:r w:rsidR="00F40A9D" w:rsidRPr="00AD4B28">
        <w:rPr>
          <w:rFonts w:cstheme="minorHAnsi"/>
        </w:rPr>
        <w:t xml:space="preserve"> T</w:t>
      </w:r>
      <w:r w:rsidR="00E06B68" w:rsidRPr="00AD4B28">
        <w:rPr>
          <w:rFonts w:cstheme="minorHAnsi"/>
        </w:rPr>
        <w:t>he utilisation of natalizumab in terms of the number of packs is shown in Figure 4 which includes the full S100 Public component.</w:t>
      </w:r>
    </w:p>
    <w:p w14:paraId="485949DC" w14:textId="77777777" w:rsidR="009D3AB7" w:rsidRDefault="009D3AB7" w:rsidP="0095769B">
      <w:pPr>
        <w:spacing w:after="0"/>
        <w:rPr>
          <w:rFonts w:cstheme="minorHAnsi"/>
          <w:sz w:val="20"/>
          <w:szCs w:val="20"/>
        </w:rPr>
      </w:pPr>
    </w:p>
    <w:p w14:paraId="7858828F" w14:textId="1FB18AD4" w:rsidR="009D3AB7" w:rsidRDefault="000A242B" w:rsidP="0095769B">
      <w:pPr>
        <w:spacing w:after="0"/>
        <w:rPr>
          <w:rFonts w:cstheme="minorHAnsi"/>
          <w:sz w:val="20"/>
          <w:szCs w:val="20"/>
        </w:rPr>
      </w:pPr>
      <w:r>
        <w:rPr>
          <w:noProof/>
        </w:rPr>
        <w:lastRenderedPageBreak/>
        <w:drawing>
          <wp:inline distT="0" distB="0" distL="0" distR="0" wp14:anchorId="7927A6DB" wp14:editId="451DE41E">
            <wp:extent cx="5686425" cy="4133850"/>
            <wp:effectExtent l="0" t="0" r="952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31327C" w14:textId="18A89AD2" w:rsidR="002F3C0D" w:rsidRPr="00FC6750" w:rsidRDefault="002F3C0D" w:rsidP="0095769B">
      <w:pPr>
        <w:spacing w:after="0"/>
        <w:rPr>
          <w:rFonts w:cstheme="minorHAnsi"/>
          <w:sz w:val="20"/>
          <w:szCs w:val="20"/>
        </w:rPr>
      </w:pPr>
    </w:p>
    <w:p w14:paraId="6118250A" w14:textId="260547A6" w:rsidR="00AD262B" w:rsidRPr="00AD4B28" w:rsidRDefault="00AD262B" w:rsidP="00AD262B">
      <w:pPr>
        <w:spacing w:after="0"/>
        <w:rPr>
          <w:rFonts w:cstheme="minorHAnsi"/>
          <w:b/>
        </w:rPr>
      </w:pPr>
      <w:r w:rsidRPr="00AD4B28">
        <w:rPr>
          <w:rFonts w:cstheme="minorHAnsi"/>
          <w:b/>
        </w:rPr>
        <w:t xml:space="preserve">Figure 4. Number of packs </w:t>
      </w:r>
      <w:r w:rsidR="00443115" w:rsidRPr="00AD4B28">
        <w:rPr>
          <w:rFonts w:cstheme="minorHAnsi"/>
          <w:b/>
        </w:rPr>
        <w:t>of natalizumab by quarter of supply</w:t>
      </w:r>
    </w:p>
    <w:p w14:paraId="7651D5EF" w14:textId="432C8047" w:rsidR="00AD262B" w:rsidRDefault="00AD262B" w:rsidP="00AD262B">
      <w:pPr>
        <w:spacing w:after="0"/>
        <w:rPr>
          <w:rFonts w:cstheme="minorHAnsi"/>
          <w:sz w:val="20"/>
          <w:szCs w:val="20"/>
        </w:rPr>
      </w:pPr>
      <w:r w:rsidRPr="00AD4B28">
        <w:rPr>
          <w:rFonts w:cstheme="minorHAnsi"/>
          <w:sz w:val="20"/>
          <w:szCs w:val="20"/>
        </w:rPr>
        <w:t xml:space="preserve">Source: </w:t>
      </w:r>
      <w:r w:rsidR="00443115" w:rsidRPr="00AD4B28">
        <w:rPr>
          <w:rFonts w:cstheme="minorHAnsi"/>
          <w:sz w:val="20"/>
          <w:szCs w:val="20"/>
        </w:rPr>
        <w:t>Highly Specialised Drugs database</w:t>
      </w:r>
      <w:r w:rsidRPr="00AD4B28">
        <w:rPr>
          <w:rFonts w:cstheme="minorHAnsi"/>
          <w:sz w:val="20"/>
          <w:szCs w:val="20"/>
        </w:rPr>
        <w:t>.</w:t>
      </w:r>
    </w:p>
    <w:p w14:paraId="4E8EDB72" w14:textId="77777777" w:rsidR="0089285A" w:rsidRDefault="0089285A" w:rsidP="00AA2D98">
      <w:pPr>
        <w:spacing w:after="0" w:line="300" w:lineRule="atLeast"/>
        <w:rPr>
          <w:rFonts w:ascii="Calibri" w:eastAsia="Times New Roman" w:hAnsi="Calibri" w:cs="Arial"/>
          <w:color w:val="222222"/>
          <w:sz w:val="22"/>
          <w:szCs w:val="22"/>
        </w:rPr>
      </w:pPr>
    </w:p>
    <w:p w14:paraId="403562B0" w14:textId="1FC52F20" w:rsidR="00AA193C" w:rsidRDefault="00F654B5" w:rsidP="00AA2D98">
      <w:pPr>
        <w:spacing w:after="0" w:line="300" w:lineRule="atLeast"/>
        <w:rPr>
          <w:rFonts w:ascii="Calibri" w:eastAsia="Times New Roman" w:hAnsi="Calibri" w:cs="Arial"/>
          <w:color w:val="222222"/>
        </w:rPr>
      </w:pPr>
      <w:r w:rsidRPr="00640002">
        <w:rPr>
          <w:rFonts w:ascii="Calibri" w:eastAsia="Times New Roman" w:hAnsi="Calibri" w:cs="Arial"/>
          <w:color w:val="222222"/>
        </w:rPr>
        <w:t xml:space="preserve">Oral RRMS is taking an increasing market share from </w:t>
      </w:r>
      <w:r w:rsidR="00E92DBC" w:rsidRPr="00640002">
        <w:rPr>
          <w:rFonts w:ascii="Calibri" w:eastAsia="Times New Roman" w:hAnsi="Calibri" w:cs="Arial"/>
          <w:color w:val="222222"/>
        </w:rPr>
        <w:t>the ABCR therapies</w:t>
      </w:r>
      <w:r w:rsidR="00F728B3" w:rsidRPr="00640002">
        <w:rPr>
          <w:rFonts w:ascii="Calibri" w:eastAsia="Times New Roman" w:hAnsi="Calibri" w:cs="Arial"/>
          <w:color w:val="222222"/>
        </w:rPr>
        <w:t xml:space="preserve"> (interferon beta-1a, interferon beta-1b </w:t>
      </w:r>
      <w:r w:rsidR="009F4F5A" w:rsidRPr="00640002">
        <w:rPr>
          <w:rFonts w:ascii="Calibri" w:eastAsia="Times New Roman" w:hAnsi="Calibri" w:cs="Arial"/>
          <w:color w:val="222222"/>
        </w:rPr>
        <w:t>and glatiramer acetate)</w:t>
      </w:r>
      <w:r w:rsidRPr="00640002">
        <w:rPr>
          <w:rFonts w:ascii="Calibri" w:eastAsia="Times New Roman" w:hAnsi="Calibri" w:cs="Arial"/>
          <w:color w:val="222222"/>
        </w:rPr>
        <w:t xml:space="preserve"> and natalizumab</w:t>
      </w:r>
      <w:r w:rsidR="00602FD4" w:rsidRPr="00640002">
        <w:rPr>
          <w:rFonts w:ascii="Calibri" w:eastAsia="Times New Roman" w:hAnsi="Calibri" w:cs="Arial"/>
          <w:color w:val="222222"/>
        </w:rPr>
        <w:t xml:space="preserve"> </w:t>
      </w:r>
      <w:r w:rsidR="0039426A" w:rsidRPr="00640002">
        <w:rPr>
          <w:rFonts w:ascii="Calibri" w:eastAsia="Times New Roman" w:hAnsi="Calibri" w:cs="Arial"/>
          <w:color w:val="222222"/>
        </w:rPr>
        <w:t>(</w:t>
      </w:r>
      <w:r w:rsidR="00634F2F" w:rsidRPr="00640002">
        <w:rPr>
          <w:rFonts w:ascii="Calibri" w:eastAsia="Times New Roman" w:hAnsi="Calibri" w:cs="Arial"/>
          <w:color w:val="222222"/>
        </w:rPr>
        <w:t xml:space="preserve">Figure </w:t>
      </w:r>
      <w:r w:rsidRPr="00640002">
        <w:rPr>
          <w:rFonts w:ascii="Calibri" w:eastAsia="Times New Roman" w:hAnsi="Calibri" w:cs="Arial"/>
          <w:color w:val="222222"/>
        </w:rPr>
        <w:t>3</w:t>
      </w:r>
      <w:r w:rsidR="00E92DBC" w:rsidRPr="00640002">
        <w:rPr>
          <w:rFonts w:ascii="Calibri" w:eastAsia="Times New Roman" w:hAnsi="Calibri" w:cs="Arial"/>
          <w:color w:val="222222"/>
        </w:rPr>
        <w:t>).</w:t>
      </w:r>
      <w:r w:rsidR="003E3098" w:rsidRPr="00640002">
        <w:rPr>
          <w:rFonts w:ascii="Calibri" w:eastAsia="Times New Roman" w:hAnsi="Calibri" w:cs="Arial"/>
          <w:color w:val="222222"/>
        </w:rPr>
        <w:t xml:space="preserve"> </w:t>
      </w:r>
      <w:r w:rsidR="000E07A6" w:rsidRPr="00640002">
        <w:rPr>
          <w:rFonts w:ascii="Calibri" w:eastAsia="Times New Roman" w:hAnsi="Calibri" w:cs="Arial"/>
          <w:color w:val="222222"/>
        </w:rPr>
        <w:t xml:space="preserve">The uptake of dimethyl fumarate had </w:t>
      </w:r>
      <w:r w:rsidR="00B64B72" w:rsidRPr="00640002">
        <w:rPr>
          <w:rFonts w:ascii="Calibri" w:eastAsia="Times New Roman" w:hAnsi="Calibri" w:cs="Arial"/>
          <w:color w:val="222222"/>
        </w:rPr>
        <w:t xml:space="preserve">reached a similar quarterly script volume compared to </w:t>
      </w:r>
      <w:r w:rsidR="000E07A6" w:rsidRPr="00640002">
        <w:rPr>
          <w:rFonts w:ascii="Calibri" w:eastAsia="Times New Roman" w:hAnsi="Calibri" w:cs="Arial"/>
          <w:color w:val="222222"/>
        </w:rPr>
        <w:t>natalizumab by the</w:t>
      </w:r>
      <w:r w:rsidR="00AA2D98">
        <w:rPr>
          <w:rFonts w:ascii="Calibri" w:eastAsia="Times New Roman" w:hAnsi="Calibri" w:cs="Arial"/>
          <w:color w:val="222222"/>
        </w:rPr>
        <w:t xml:space="preserve"> December 2014 fourth quarter, </w:t>
      </w:r>
      <w:r w:rsidR="000E07A6" w:rsidRPr="00640002">
        <w:rPr>
          <w:rFonts w:ascii="Calibri" w:eastAsia="Times New Roman" w:hAnsi="Calibri" w:cs="Arial"/>
          <w:color w:val="222222"/>
        </w:rPr>
        <w:t>t</w:t>
      </w:r>
      <w:r w:rsidR="00345F95" w:rsidRPr="00640002">
        <w:rPr>
          <w:rFonts w:ascii="Calibri" w:eastAsia="Times New Roman" w:hAnsi="Calibri" w:cs="Arial"/>
          <w:color w:val="222222"/>
        </w:rPr>
        <w:t xml:space="preserve">eriflunomide </w:t>
      </w:r>
      <w:r w:rsidR="00497F6C" w:rsidRPr="00640002">
        <w:rPr>
          <w:rFonts w:ascii="Calibri" w:eastAsia="Times New Roman" w:hAnsi="Calibri" w:cs="Arial"/>
          <w:color w:val="222222"/>
        </w:rPr>
        <w:t>had less market penetration than dimethyl fumarate over their</w:t>
      </w:r>
      <w:r w:rsidR="007D5A59" w:rsidRPr="00640002">
        <w:rPr>
          <w:rFonts w:ascii="Calibri" w:eastAsia="Times New Roman" w:hAnsi="Calibri" w:cs="Arial"/>
          <w:color w:val="222222"/>
        </w:rPr>
        <w:t xml:space="preserve"> first year of listing (Figure </w:t>
      </w:r>
      <w:r w:rsidR="00D8197D" w:rsidRPr="00640002">
        <w:rPr>
          <w:rFonts w:ascii="Calibri" w:eastAsia="Times New Roman" w:hAnsi="Calibri" w:cs="Arial"/>
          <w:color w:val="222222"/>
        </w:rPr>
        <w:t>3</w:t>
      </w:r>
      <w:r w:rsidR="00497F6C" w:rsidRPr="00640002">
        <w:rPr>
          <w:rFonts w:ascii="Calibri" w:eastAsia="Times New Roman" w:hAnsi="Calibri" w:cs="Arial"/>
          <w:color w:val="222222"/>
        </w:rPr>
        <w:t>).</w:t>
      </w:r>
    </w:p>
    <w:p w14:paraId="6AAD9D56" w14:textId="77777777" w:rsidR="00AA2D98" w:rsidRPr="00640002" w:rsidRDefault="00AA2D98" w:rsidP="00AA2D98">
      <w:pPr>
        <w:spacing w:after="0" w:line="300" w:lineRule="atLeast"/>
        <w:rPr>
          <w:rFonts w:ascii="Calibri" w:eastAsia="Times New Roman" w:hAnsi="Calibri" w:cs="Arial"/>
          <w:color w:val="222222"/>
        </w:rPr>
      </w:pPr>
    </w:p>
    <w:p w14:paraId="020DD7D7" w14:textId="2490E7BB" w:rsidR="00381019" w:rsidRPr="00AA2D98" w:rsidRDefault="00545B46" w:rsidP="00AA2D98">
      <w:pPr>
        <w:pStyle w:val="Heading3"/>
        <w:spacing w:before="0" w:after="0"/>
        <w:rPr>
          <w:rFonts w:ascii="Calibri" w:eastAsia="Times New Roman" w:hAnsi="Calibri" w:cs="Arial"/>
          <w:b w:val="0"/>
          <w:color w:val="222222"/>
          <w:sz w:val="24"/>
          <w:szCs w:val="24"/>
        </w:rPr>
      </w:pPr>
      <w:r w:rsidRPr="00640002">
        <w:rPr>
          <w:rFonts w:ascii="Calibri" w:eastAsia="Times New Roman" w:hAnsi="Calibri" w:cs="Arial"/>
          <w:b w:val="0"/>
          <w:color w:val="222222"/>
          <w:sz w:val="24"/>
          <w:szCs w:val="24"/>
        </w:rPr>
        <w:t xml:space="preserve">In modelling the utilisation of dimethyl fumarate and teriflunomide it was assumed that these </w:t>
      </w:r>
      <w:r w:rsidR="007A0C1D" w:rsidRPr="00640002">
        <w:rPr>
          <w:rFonts w:ascii="Calibri" w:eastAsia="Times New Roman" w:hAnsi="Calibri" w:cs="Arial"/>
          <w:b w:val="0"/>
          <w:color w:val="222222"/>
          <w:sz w:val="24"/>
          <w:szCs w:val="24"/>
        </w:rPr>
        <w:t>medicines</w:t>
      </w:r>
      <w:r w:rsidRPr="00640002">
        <w:rPr>
          <w:rFonts w:ascii="Calibri" w:eastAsia="Times New Roman" w:hAnsi="Calibri" w:cs="Arial"/>
          <w:b w:val="0"/>
          <w:color w:val="222222"/>
          <w:sz w:val="24"/>
          <w:szCs w:val="24"/>
        </w:rPr>
        <w:t xml:space="preserve"> would take market share from fingolimod and natalizumab</w:t>
      </w:r>
      <w:r w:rsidR="002C3F6A" w:rsidRPr="00640002">
        <w:rPr>
          <w:rFonts w:ascii="Calibri" w:eastAsia="Times New Roman" w:hAnsi="Calibri" w:cs="Arial"/>
          <w:b w:val="0"/>
          <w:color w:val="222222"/>
          <w:sz w:val="24"/>
          <w:szCs w:val="24"/>
        </w:rPr>
        <w:t xml:space="preserve">, </w:t>
      </w:r>
      <w:r w:rsidR="007A0C1D" w:rsidRPr="00640002">
        <w:rPr>
          <w:rFonts w:ascii="Calibri" w:eastAsia="Times New Roman" w:hAnsi="Calibri" w:cs="Arial"/>
          <w:b w:val="0"/>
          <w:color w:val="222222"/>
          <w:sz w:val="24"/>
          <w:szCs w:val="24"/>
        </w:rPr>
        <w:t>as described under s</w:t>
      </w:r>
      <w:r w:rsidR="002C3F6A" w:rsidRPr="00640002">
        <w:rPr>
          <w:rFonts w:ascii="Calibri" w:eastAsia="Times New Roman" w:hAnsi="Calibri" w:cs="Arial"/>
          <w:b w:val="0"/>
          <w:color w:val="222222"/>
          <w:sz w:val="24"/>
          <w:szCs w:val="24"/>
        </w:rPr>
        <w:t>ec</w:t>
      </w:r>
      <w:r w:rsidR="007A0C1D" w:rsidRPr="00640002">
        <w:rPr>
          <w:rFonts w:ascii="Calibri" w:eastAsia="Times New Roman" w:hAnsi="Calibri" w:cs="Arial"/>
          <w:b w:val="0"/>
          <w:color w:val="222222"/>
          <w:sz w:val="24"/>
          <w:szCs w:val="24"/>
        </w:rPr>
        <w:t>tion ‘Approach taken to estimate utilisation for dimethyl fumarate and teriflunomide’ above.</w:t>
      </w:r>
      <w:r w:rsidR="00AA2D98">
        <w:rPr>
          <w:rFonts w:ascii="Calibri" w:eastAsia="Times New Roman" w:hAnsi="Calibri" w:cs="Arial"/>
          <w:b w:val="0"/>
          <w:color w:val="222222"/>
          <w:sz w:val="24"/>
          <w:szCs w:val="24"/>
        </w:rPr>
        <w:t xml:space="preserve"> </w:t>
      </w:r>
      <w:r w:rsidR="00573BDE" w:rsidRPr="00AA2D98">
        <w:rPr>
          <w:rFonts w:ascii="Calibri" w:eastAsia="Times New Roman" w:hAnsi="Calibri" w:cs="Arial"/>
          <w:b w:val="0"/>
          <w:color w:val="222222"/>
          <w:sz w:val="24"/>
          <w:szCs w:val="24"/>
        </w:rPr>
        <w:t>There has been a further decline in the growth of</w:t>
      </w:r>
      <w:r w:rsidR="00381019" w:rsidRPr="00AA2D98">
        <w:rPr>
          <w:rFonts w:ascii="Calibri" w:eastAsia="Times New Roman" w:hAnsi="Calibri" w:cs="Arial"/>
          <w:b w:val="0"/>
          <w:color w:val="222222"/>
          <w:sz w:val="24"/>
          <w:szCs w:val="24"/>
        </w:rPr>
        <w:t xml:space="preserve"> the ABCR therapies</w:t>
      </w:r>
      <w:r w:rsidR="00521F50" w:rsidRPr="00AA2D98">
        <w:rPr>
          <w:rFonts w:ascii="Calibri" w:eastAsia="Times New Roman" w:hAnsi="Calibri" w:cs="Arial"/>
          <w:b w:val="0"/>
          <w:color w:val="222222"/>
          <w:sz w:val="24"/>
          <w:szCs w:val="24"/>
        </w:rPr>
        <w:t xml:space="preserve"> and fingolimod</w:t>
      </w:r>
      <w:r w:rsidR="00381019" w:rsidRPr="00AA2D98">
        <w:rPr>
          <w:rFonts w:ascii="Calibri" w:eastAsia="Times New Roman" w:hAnsi="Calibri" w:cs="Arial"/>
          <w:b w:val="0"/>
          <w:color w:val="222222"/>
          <w:sz w:val="24"/>
          <w:szCs w:val="24"/>
        </w:rPr>
        <w:t xml:space="preserve"> </w:t>
      </w:r>
      <w:r w:rsidR="00573BDE" w:rsidRPr="00AA2D98">
        <w:rPr>
          <w:rFonts w:ascii="Calibri" w:eastAsia="Times New Roman" w:hAnsi="Calibri" w:cs="Arial"/>
          <w:b w:val="0"/>
          <w:color w:val="222222"/>
          <w:sz w:val="24"/>
          <w:szCs w:val="24"/>
        </w:rPr>
        <w:t xml:space="preserve">since the 2013 DUSC review after </w:t>
      </w:r>
      <w:r w:rsidR="00381019" w:rsidRPr="00AA2D98">
        <w:rPr>
          <w:rFonts w:ascii="Calibri" w:eastAsia="Times New Roman" w:hAnsi="Calibri" w:cs="Arial"/>
          <w:b w:val="0"/>
          <w:color w:val="222222"/>
          <w:sz w:val="24"/>
          <w:szCs w:val="24"/>
        </w:rPr>
        <w:t>the introduction of further</w:t>
      </w:r>
      <w:r w:rsidR="007743B4" w:rsidRPr="00AA2D98">
        <w:rPr>
          <w:rFonts w:ascii="Calibri" w:eastAsia="Times New Roman" w:hAnsi="Calibri" w:cs="Arial"/>
          <w:b w:val="0"/>
          <w:color w:val="222222"/>
          <w:sz w:val="24"/>
          <w:szCs w:val="24"/>
        </w:rPr>
        <w:t xml:space="preserve"> oral therapies (Table 1</w:t>
      </w:r>
      <w:r w:rsidR="005776A5">
        <w:rPr>
          <w:rFonts w:ascii="Calibri" w:eastAsia="Times New Roman" w:hAnsi="Calibri" w:cs="Arial"/>
          <w:b w:val="0"/>
          <w:color w:val="222222"/>
          <w:sz w:val="24"/>
          <w:szCs w:val="24"/>
        </w:rPr>
        <w:t>0</w:t>
      </w:r>
      <w:r w:rsidR="00381019" w:rsidRPr="00AA2D98">
        <w:rPr>
          <w:rFonts w:ascii="Calibri" w:eastAsia="Times New Roman" w:hAnsi="Calibri" w:cs="Arial"/>
          <w:b w:val="0"/>
          <w:color w:val="222222"/>
          <w:sz w:val="24"/>
          <w:szCs w:val="24"/>
        </w:rPr>
        <w:t>).</w:t>
      </w:r>
      <w:r w:rsidR="00381019" w:rsidRPr="00640002">
        <w:rPr>
          <w:rFonts w:ascii="Calibri" w:eastAsia="Times New Roman" w:hAnsi="Calibri" w:cs="Arial"/>
          <w:color w:val="222222"/>
          <w:sz w:val="24"/>
          <w:szCs w:val="24"/>
        </w:rPr>
        <w:t xml:space="preserve"> </w:t>
      </w:r>
    </w:p>
    <w:p w14:paraId="681E0A53" w14:textId="77777777" w:rsidR="00381019" w:rsidRDefault="00381019" w:rsidP="00381019">
      <w:pPr>
        <w:spacing w:after="0" w:line="300" w:lineRule="atLeast"/>
        <w:rPr>
          <w:rFonts w:ascii="Calibri" w:eastAsia="Times New Roman" w:hAnsi="Calibri" w:cs="Arial"/>
          <w:color w:val="222222"/>
          <w:sz w:val="22"/>
          <w:szCs w:val="22"/>
        </w:rPr>
      </w:pPr>
    </w:p>
    <w:p w14:paraId="6510E6F2" w14:textId="77777777" w:rsidR="00381019" w:rsidRDefault="00381019" w:rsidP="00381019">
      <w:pPr>
        <w:spacing w:after="0" w:line="300" w:lineRule="atLeast"/>
        <w:rPr>
          <w:rFonts w:ascii="Calibri" w:eastAsia="Times New Roman" w:hAnsi="Calibri" w:cs="Arial"/>
          <w:color w:val="222222"/>
          <w:sz w:val="22"/>
          <w:szCs w:val="22"/>
        </w:rPr>
      </w:pPr>
    </w:p>
    <w:p w14:paraId="47D4634F" w14:textId="77777777" w:rsidR="00BD58A6" w:rsidRDefault="00BD58A6" w:rsidP="00381019">
      <w:pPr>
        <w:spacing w:after="0" w:line="300" w:lineRule="atLeast"/>
        <w:rPr>
          <w:rFonts w:ascii="Calibri" w:eastAsia="Times New Roman" w:hAnsi="Calibri" w:cs="Arial"/>
          <w:color w:val="222222"/>
          <w:sz w:val="22"/>
          <w:szCs w:val="22"/>
        </w:rPr>
      </w:pPr>
    </w:p>
    <w:p w14:paraId="39F2A178" w14:textId="77777777" w:rsidR="00BD58A6" w:rsidRDefault="00BD58A6" w:rsidP="00381019">
      <w:pPr>
        <w:spacing w:after="0" w:line="300" w:lineRule="atLeast"/>
        <w:rPr>
          <w:rFonts w:ascii="Calibri" w:eastAsia="Times New Roman" w:hAnsi="Calibri" w:cs="Arial"/>
          <w:color w:val="222222"/>
          <w:sz w:val="22"/>
          <w:szCs w:val="22"/>
        </w:rPr>
      </w:pPr>
    </w:p>
    <w:p w14:paraId="0D27827F" w14:textId="77777777" w:rsidR="003D601A" w:rsidRDefault="003D601A" w:rsidP="00381019">
      <w:pPr>
        <w:spacing w:after="0" w:line="300" w:lineRule="atLeast"/>
        <w:rPr>
          <w:rFonts w:ascii="Calibri" w:eastAsia="Times New Roman" w:hAnsi="Calibri" w:cs="Arial"/>
          <w:color w:val="222222"/>
          <w:sz w:val="22"/>
          <w:szCs w:val="22"/>
        </w:rPr>
      </w:pPr>
    </w:p>
    <w:p w14:paraId="694C5492" w14:textId="77777777" w:rsidR="00712FF4" w:rsidRDefault="00712FF4" w:rsidP="00381019">
      <w:pPr>
        <w:spacing w:after="0" w:line="300" w:lineRule="atLeast"/>
        <w:rPr>
          <w:rFonts w:ascii="Calibri" w:eastAsia="Times New Roman" w:hAnsi="Calibri" w:cs="Arial"/>
          <w:color w:val="222222"/>
          <w:sz w:val="22"/>
          <w:szCs w:val="22"/>
        </w:rPr>
      </w:pPr>
    </w:p>
    <w:p w14:paraId="130A541F" w14:textId="77777777" w:rsidR="004B1E49" w:rsidRPr="00381019" w:rsidRDefault="004B1E49" w:rsidP="00381019">
      <w:pPr>
        <w:spacing w:after="0" w:line="300" w:lineRule="atLeast"/>
        <w:rPr>
          <w:rFonts w:ascii="Calibri" w:eastAsia="Times New Roman" w:hAnsi="Calibri" w:cs="Arial"/>
          <w:color w:val="222222"/>
          <w:sz w:val="22"/>
          <w:szCs w:val="22"/>
        </w:rPr>
      </w:pPr>
    </w:p>
    <w:p w14:paraId="0C9CA8AC" w14:textId="0DEA7F1B" w:rsidR="00A906AD" w:rsidRPr="00067FBC" w:rsidRDefault="00AD170B" w:rsidP="00A906AD">
      <w:pPr>
        <w:spacing w:after="0"/>
        <w:rPr>
          <w:b/>
        </w:rPr>
      </w:pPr>
      <w:r w:rsidRPr="00067FBC">
        <w:rPr>
          <w:b/>
        </w:rPr>
        <w:lastRenderedPageBreak/>
        <w:t>Table 1</w:t>
      </w:r>
      <w:r w:rsidR="005776A5">
        <w:rPr>
          <w:b/>
        </w:rPr>
        <w:t>0</w:t>
      </w:r>
      <w:r w:rsidR="008376FD" w:rsidRPr="00067FBC">
        <w:rPr>
          <w:b/>
        </w:rPr>
        <w:t>.</w:t>
      </w:r>
      <w:r w:rsidR="00A906AD" w:rsidRPr="00067FBC">
        <w:rPr>
          <w:b/>
        </w:rPr>
        <w:t xml:space="preserve"> Comparison of RRMS </w:t>
      </w:r>
      <w:r w:rsidR="004B1E49">
        <w:rPr>
          <w:b/>
        </w:rPr>
        <w:t xml:space="preserve">annual </w:t>
      </w:r>
      <w:r w:rsidR="00A906AD" w:rsidRPr="00067FBC">
        <w:rPr>
          <w:b/>
        </w:rPr>
        <w:t xml:space="preserve">market growth </w:t>
      </w:r>
      <w:r w:rsidR="00B0359C" w:rsidRPr="00067FBC">
        <w:rPr>
          <w:b/>
        </w:rPr>
        <w:t xml:space="preserve">for </w:t>
      </w:r>
      <w:r w:rsidR="00722FD0">
        <w:rPr>
          <w:b/>
        </w:rPr>
        <w:t>prescriptions</w:t>
      </w:r>
    </w:p>
    <w:p w14:paraId="70FF7885" w14:textId="77777777" w:rsidR="00A906AD" w:rsidRPr="00B32237" w:rsidRDefault="00A906AD" w:rsidP="00A906AD">
      <w:pPr>
        <w:spacing w:after="0"/>
        <w:rPr>
          <w:rFonts w:cstheme="minorHAnsi"/>
          <w:b/>
        </w:rPr>
      </w:pPr>
    </w:p>
    <w:tbl>
      <w:tblPr>
        <w:tblW w:w="9631" w:type="dxa"/>
        <w:tblLook w:val="04A0" w:firstRow="1" w:lastRow="0" w:firstColumn="1" w:lastColumn="0" w:noHBand="0" w:noVBand="1"/>
      </w:tblPr>
      <w:tblGrid>
        <w:gridCol w:w="2376"/>
        <w:gridCol w:w="1608"/>
        <w:gridCol w:w="1477"/>
        <w:gridCol w:w="1362"/>
        <w:gridCol w:w="1443"/>
        <w:gridCol w:w="1417"/>
      </w:tblGrid>
      <w:tr w:rsidR="00A906AD" w:rsidRPr="00AD4B28" w14:paraId="722FF21A" w14:textId="77777777" w:rsidTr="000259B1">
        <w:trPr>
          <w:trHeight w:val="300"/>
        </w:trPr>
        <w:tc>
          <w:tcPr>
            <w:tcW w:w="23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13BF7355" w14:textId="77777777" w:rsidR="00A906AD" w:rsidRPr="000259B1" w:rsidRDefault="00A906AD" w:rsidP="00032CB4">
            <w:pPr>
              <w:spacing w:after="0"/>
              <w:jc w:val="center"/>
              <w:rPr>
                <w:rFonts w:eastAsia="Times New Roman" w:cs="Times New Roman"/>
                <w:b/>
                <w:bCs/>
                <w:sz w:val="20"/>
                <w:szCs w:val="20"/>
              </w:rPr>
            </w:pPr>
            <w:r w:rsidRPr="000259B1">
              <w:rPr>
                <w:rFonts w:eastAsia="Times New Roman" w:cs="Times New Roman"/>
                <w:b/>
                <w:bCs/>
                <w:sz w:val="20"/>
                <w:szCs w:val="20"/>
              </w:rPr>
              <w:t>Drug</w:t>
            </w:r>
          </w:p>
        </w:tc>
        <w:tc>
          <w:tcPr>
            <w:tcW w:w="1608"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2E519D59" w14:textId="77777777" w:rsidR="00B30833" w:rsidRPr="000259B1" w:rsidRDefault="00B30833" w:rsidP="00032CB4">
            <w:pPr>
              <w:spacing w:after="0"/>
              <w:jc w:val="center"/>
              <w:rPr>
                <w:rFonts w:eastAsia="Times New Roman" w:cs="Times New Roman"/>
                <w:b/>
                <w:bCs/>
                <w:sz w:val="20"/>
                <w:szCs w:val="20"/>
              </w:rPr>
            </w:pPr>
            <w:r w:rsidRPr="000259B1">
              <w:rPr>
                <w:rFonts w:eastAsia="Times New Roman" w:cs="Times New Roman"/>
                <w:b/>
                <w:bCs/>
                <w:sz w:val="20"/>
                <w:szCs w:val="20"/>
              </w:rPr>
              <w:t xml:space="preserve">Prior </w:t>
            </w:r>
          </w:p>
          <w:p w14:paraId="6ACDACDD" w14:textId="77777777" w:rsidR="00A906AD" w:rsidRPr="000259B1" w:rsidRDefault="00B30833" w:rsidP="00166969">
            <w:pPr>
              <w:spacing w:after="0"/>
              <w:jc w:val="center"/>
              <w:rPr>
                <w:rFonts w:eastAsia="Times New Roman" w:cs="Times New Roman"/>
                <w:b/>
                <w:bCs/>
                <w:sz w:val="20"/>
                <w:szCs w:val="20"/>
              </w:rPr>
            </w:pPr>
            <w:r w:rsidRPr="000259B1">
              <w:rPr>
                <w:rFonts w:eastAsia="Times New Roman" w:cs="Times New Roman"/>
                <w:b/>
                <w:bCs/>
                <w:sz w:val="20"/>
                <w:szCs w:val="20"/>
              </w:rPr>
              <w:t>year</w:t>
            </w:r>
            <w:r w:rsidR="00166969" w:rsidRPr="000259B1">
              <w:rPr>
                <w:rFonts w:eastAsia="Times New Roman" w:cs="Times New Roman"/>
                <w:b/>
                <w:bCs/>
                <w:sz w:val="20"/>
                <w:szCs w:val="20"/>
              </w:rPr>
              <w:t xml:space="preserve"> 2: </w:t>
            </w:r>
            <w:r w:rsidR="00A906AD" w:rsidRPr="000259B1">
              <w:rPr>
                <w:rFonts w:eastAsia="Times New Roman" w:cs="Times New Roman"/>
                <w:b/>
                <w:bCs/>
                <w:sz w:val="20"/>
                <w:szCs w:val="20"/>
              </w:rPr>
              <w:t>Dec11-Nov12</w:t>
            </w:r>
          </w:p>
          <w:p w14:paraId="5F8F76F9" w14:textId="79857175" w:rsidR="00166969" w:rsidRPr="000259B1" w:rsidRDefault="00166969" w:rsidP="00405D51">
            <w:pPr>
              <w:spacing w:after="0"/>
              <w:jc w:val="center"/>
              <w:rPr>
                <w:rFonts w:eastAsia="Times New Roman" w:cs="Times New Roman"/>
                <w:b/>
                <w:bCs/>
                <w:sz w:val="20"/>
                <w:szCs w:val="20"/>
              </w:rPr>
            </w:pPr>
            <w:r w:rsidRPr="000259B1">
              <w:rPr>
                <w:rFonts w:eastAsia="Times New Roman" w:cs="Times New Roman"/>
                <w:b/>
                <w:bCs/>
                <w:sz w:val="20"/>
                <w:szCs w:val="20"/>
              </w:rPr>
              <w:t>(</w:t>
            </w:r>
            <w:r w:rsidR="00405DC1" w:rsidRPr="000259B1">
              <w:rPr>
                <w:rFonts w:eastAsia="Times New Roman" w:cs="Times New Roman"/>
                <w:b/>
                <w:bCs/>
                <w:sz w:val="20"/>
                <w:szCs w:val="20"/>
              </w:rPr>
              <w:t>number of</w:t>
            </w:r>
            <w:r w:rsidR="003D1B94" w:rsidRPr="000259B1">
              <w:rPr>
                <w:rFonts w:eastAsia="Times New Roman" w:cs="Times New Roman"/>
                <w:b/>
                <w:bCs/>
                <w:sz w:val="20"/>
                <w:szCs w:val="20"/>
              </w:rPr>
              <w:t xml:space="preserve"> prescriptions</w:t>
            </w:r>
            <w:r w:rsidRPr="000259B1">
              <w:rPr>
                <w:rFonts w:eastAsia="Times New Roman" w:cs="Times New Roman"/>
                <w:b/>
                <w:bCs/>
                <w:sz w:val="20"/>
                <w:szCs w:val="20"/>
              </w:rPr>
              <w:t>)</w:t>
            </w:r>
          </w:p>
        </w:tc>
        <w:tc>
          <w:tcPr>
            <w:tcW w:w="1477"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16B195CF" w14:textId="77777777" w:rsidR="00B30833" w:rsidRPr="000259B1" w:rsidRDefault="00B30833" w:rsidP="00032CB4">
            <w:pPr>
              <w:spacing w:after="0"/>
              <w:jc w:val="center"/>
              <w:rPr>
                <w:rFonts w:eastAsia="Times New Roman" w:cs="Times New Roman"/>
                <w:b/>
                <w:bCs/>
                <w:sz w:val="20"/>
                <w:szCs w:val="20"/>
              </w:rPr>
            </w:pPr>
            <w:r w:rsidRPr="000259B1">
              <w:rPr>
                <w:rFonts w:eastAsia="Times New Roman" w:cs="Times New Roman"/>
                <w:b/>
                <w:bCs/>
                <w:sz w:val="20"/>
                <w:szCs w:val="20"/>
              </w:rPr>
              <w:t xml:space="preserve">Prior </w:t>
            </w:r>
          </w:p>
          <w:p w14:paraId="1DD40873" w14:textId="4AEC315F" w:rsidR="00A906AD" w:rsidRPr="000259B1" w:rsidRDefault="00B30833" w:rsidP="00032CB4">
            <w:pPr>
              <w:spacing w:after="0"/>
              <w:jc w:val="center"/>
              <w:rPr>
                <w:rFonts w:eastAsia="Times New Roman" w:cs="Times New Roman"/>
                <w:b/>
                <w:bCs/>
                <w:sz w:val="20"/>
                <w:szCs w:val="20"/>
              </w:rPr>
            </w:pPr>
            <w:r w:rsidRPr="000259B1">
              <w:rPr>
                <w:rFonts w:eastAsia="Times New Roman" w:cs="Times New Roman"/>
                <w:b/>
                <w:bCs/>
                <w:sz w:val="20"/>
                <w:szCs w:val="20"/>
              </w:rPr>
              <w:t>year</w:t>
            </w:r>
            <w:r w:rsidR="00A906AD" w:rsidRPr="000259B1">
              <w:rPr>
                <w:rFonts w:eastAsia="Times New Roman" w:cs="Times New Roman"/>
                <w:b/>
                <w:bCs/>
                <w:sz w:val="20"/>
                <w:szCs w:val="20"/>
              </w:rPr>
              <w:t xml:space="preserve"> 1</w:t>
            </w:r>
            <w:r w:rsidR="00166969" w:rsidRPr="000259B1">
              <w:rPr>
                <w:rFonts w:eastAsia="Times New Roman" w:cs="Times New Roman"/>
                <w:b/>
                <w:bCs/>
                <w:sz w:val="20"/>
                <w:szCs w:val="20"/>
              </w:rPr>
              <w:t>:</w:t>
            </w:r>
          </w:p>
          <w:p w14:paraId="42EFDFCB" w14:textId="3A17396A" w:rsidR="00A906AD" w:rsidRPr="000259B1" w:rsidRDefault="00A906AD" w:rsidP="00032CB4">
            <w:pPr>
              <w:spacing w:after="0"/>
              <w:jc w:val="center"/>
              <w:rPr>
                <w:rFonts w:eastAsia="Times New Roman" w:cs="Times New Roman"/>
                <w:b/>
                <w:bCs/>
                <w:sz w:val="20"/>
                <w:szCs w:val="20"/>
              </w:rPr>
            </w:pPr>
            <w:r w:rsidRPr="000259B1">
              <w:rPr>
                <w:rFonts w:eastAsia="Times New Roman" w:cs="Times New Roman"/>
                <w:b/>
                <w:bCs/>
                <w:sz w:val="20"/>
                <w:szCs w:val="20"/>
              </w:rPr>
              <w:t>Dec12-Nov13</w:t>
            </w:r>
          </w:p>
          <w:p w14:paraId="6A54DD05" w14:textId="7490605F" w:rsidR="00166969" w:rsidRPr="000259B1" w:rsidRDefault="00405DC1" w:rsidP="00405D51">
            <w:pPr>
              <w:spacing w:after="0"/>
              <w:jc w:val="center"/>
              <w:rPr>
                <w:rFonts w:eastAsia="Times New Roman" w:cs="Times New Roman"/>
                <w:b/>
                <w:bCs/>
                <w:sz w:val="20"/>
                <w:szCs w:val="20"/>
              </w:rPr>
            </w:pPr>
            <w:r w:rsidRPr="000259B1">
              <w:rPr>
                <w:rFonts w:eastAsia="Times New Roman" w:cs="Times New Roman"/>
                <w:b/>
                <w:bCs/>
                <w:sz w:val="20"/>
                <w:szCs w:val="20"/>
              </w:rPr>
              <w:t>(number of prescriptions)</w:t>
            </w:r>
          </w:p>
        </w:tc>
        <w:tc>
          <w:tcPr>
            <w:tcW w:w="1310"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54B00053" w14:textId="2802637D" w:rsidR="00A906AD" w:rsidRPr="000259B1" w:rsidRDefault="00A906AD" w:rsidP="00032CB4">
            <w:pPr>
              <w:spacing w:after="0"/>
              <w:rPr>
                <w:rFonts w:eastAsia="Times New Roman" w:cs="Times New Roman"/>
                <w:b/>
                <w:bCs/>
                <w:sz w:val="20"/>
                <w:szCs w:val="20"/>
              </w:rPr>
            </w:pPr>
            <w:r w:rsidRPr="000259B1">
              <w:rPr>
                <w:rFonts w:eastAsia="Times New Roman" w:cs="Times New Roman"/>
                <w:b/>
                <w:bCs/>
                <w:sz w:val="20"/>
                <w:szCs w:val="20"/>
              </w:rPr>
              <w:t>Current period</w:t>
            </w:r>
            <w:r w:rsidR="00166969" w:rsidRPr="000259B1">
              <w:rPr>
                <w:rFonts w:eastAsia="Times New Roman" w:cs="Times New Roman"/>
                <w:b/>
                <w:bCs/>
                <w:sz w:val="20"/>
                <w:szCs w:val="20"/>
              </w:rPr>
              <w:t>:</w:t>
            </w:r>
          </w:p>
          <w:p w14:paraId="6E8DE317" w14:textId="2AF2BAFB" w:rsidR="00A906AD" w:rsidRPr="000259B1" w:rsidRDefault="00A906AD" w:rsidP="00032CB4">
            <w:pPr>
              <w:spacing w:after="0"/>
              <w:rPr>
                <w:rFonts w:eastAsia="Times New Roman" w:cs="Times New Roman"/>
                <w:b/>
                <w:bCs/>
                <w:sz w:val="20"/>
                <w:szCs w:val="20"/>
              </w:rPr>
            </w:pPr>
            <w:r w:rsidRPr="000259B1">
              <w:rPr>
                <w:rFonts w:eastAsia="Times New Roman" w:cs="Times New Roman"/>
                <w:b/>
                <w:bCs/>
                <w:sz w:val="20"/>
                <w:szCs w:val="20"/>
              </w:rPr>
              <w:t>Dec13-Nov14</w:t>
            </w:r>
          </w:p>
          <w:p w14:paraId="7F09657D" w14:textId="3B69E7A4" w:rsidR="00166969" w:rsidRPr="000259B1" w:rsidRDefault="00405DC1" w:rsidP="00405D51">
            <w:pPr>
              <w:spacing w:after="0"/>
              <w:rPr>
                <w:rFonts w:eastAsia="Times New Roman" w:cs="Times New Roman"/>
                <w:b/>
                <w:bCs/>
                <w:sz w:val="20"/>
                <w:szCs w:val="20"/>
              </w:rPr>
            </w:pPr>
            <w:r w:rsidRPr="000259B1">
              <w:rPr>
                <w:rFonts w:eastAsia="Times New Roman" w:cs="Times New Roman"/>
                <w:b/>
                <w:bCs/>
                <w:sz w:val="20"/>
                <w:szCs w:val="20"/>
              </w:rPr>
              <w:t>(number of prescriptions)</w:t>
            </w:r>
          </w:p>
        </w:tc>
        <w:tc>
          <w:tcPr>
            <w:tcW w:w="1443"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2687577C" w14:textId="77777777" w:rsidR="00A906AD" w:rsidRPr="000259B1" w:rsidRDefault="00A906AD" w:rsidP="00032CB4">
            <w:pPr>
              <w:spacing w:after="0"/>
              <w:jc w:val="center"/>
              <w:rPr>
                <w:rFonts w:eastAsia="Times New Roman" w:cs="Times New Roman"/>
                <w:b/>
                <w:bCs/>
                <w:sz w:val="20"/>
                <w:szCs w:val="20"/>
              </w:rPr>
            </w:pPr>
            <w:r w:rsidRPr="000259B1">
              <w:rPr>
                <w:rFonts w:eastAsia="Times New Roman" w:cs="Times New Roman"/>
                <w:b/>
                <w:bCs/>
                <w:sz w:val="20"/>
                <w:szCs w:val="20"/>
              </w:rPr>
              <w:t>Annual</w:t>
            </w:r>
          </w:p>
          <w:p w14:paraId="3133F941" w14:textId="4BF645C9" w:rsidR="00A906AD" w:rsidRPr="000259B1" w:rsidRDefault="00A906AD" w:rsidP="00032CB4">
            <w:pPr>
              <w:spacing w:after="0"/>
              <w:jc w:val="center"/>
              <w:rPr>
                <w:rFonts w:eastAsia="Times New Roman" w:cs="Times New Roman"/>
                <w:b/>
                <w:bCs/>
                <w:sz w:val="20"/>
                <w:szCs w:val="20"/>
              </w:rPr>
            </w:pPr>
            <w:r w:rsidRPr="000259B1">
              <w:rPr>
                <w:rFonts w:eastAsia="Times New Roman" w:cs="Times New Roman"/>
                <w:b/>
                <w:bCs/>
                <w:sz w:val="20"/>
                <w:szCs w:val="20"/>
              </w:rPr>
              <w:t>Growth</w:t>
            </w:r>
            <w:r w:rsidR="00C82E90" w:rsidRPr="000259B1">
              <w:rPr>
                <w:rFonts w:eastAsia="Times New Roman" w:cs="Times New Roman"/>
                <w:b/>
                <w:bCs/>
                <w:sz w:val="20"/>
                <w:szCs w:val="20"/>
              </w:rPr>
              <w:t>:</w:t>
            </w:r>
          </w:p>
          <w:p w14:paraId="1249F9F0" w14:textId="77777777" w:rsidR="00736D65" w:rsidRPr="000259B1" w:rsidRDefault="00771363" w:rsidP="00032CB4">
            <w:pPr>
              <w:spacing w:after="0"/>
              <w:jc w:val="center"/>
              <w:rPr>
                <w:rFonts w:eastAsia="Times New Roman" w:cs="Times New Roman"/>
                <w:b/>
                <w:bCs/>
                <w:sz w:val="20"/>
                <w:szCs w:val="20"/>
              </w:rPr>
            </w:pPr>
            <w:r w:rsidRPr="000259B1">
              <w:rPr>
                <w:rFonts w:eastAsia="Times New Roman" w:cs="Times New Roman"/>
                <w:b/>
                <w:bCs/>
                <w:sz w:val="20"/>
                <w:szCs w:val="20"/>
              </w:rPr>
              <w:t>Prior year 1</w:t>
            </w:r>
            <w:r w:rsidR="00B30833" w:rsidRPr="000259B1">
              <w:rPr>
                <w:rFonts w:eastAsia="Times New Roman" w:cs="Times New Roman"/>
                <w:b/>
                <w:bCs/>
                <w:sz w:val="20"/>
                <w:szCs w:val="20"/>
              </w:rPr>
              <w:t xml:space="preserve"> vs</w:t>
            </w:r>
            <w:r w:rsidR="00C82E90" w:rsidRPr="000259B1">
              <w:rPr>
                <w:rFonts w:eastAsia="Times New Roman" w:cs="Times New Roman"/>
                <w:b/>
                <w:bCs/>
                <w:sz w:val="20"/>
                <w:szCs w:val="20"/>
              </w:rPr>
              <w:t>.</w:t>
            </w:r>
            <w:r w:rsidR="00B30833" w:rsidRPr="000259B1">
              <w:rPr>
                <w:rFonts w:eastAsia="Times New Roman" w:cs="Times New Roman"/>
                <w:b/>
                <w:bCs/>
                <w:sz w:val="20"/>
                <w:szCs w:val="20"/>
              </w:rPr>
              <w:t xml:space="preserve"> </w:t>
            </w:r>
          </w:p>
          <w:p w14:paraId="4BBC1348" w14:textId="3B0614E0" w:rsidR="00B30833" w:rsidRPr="000259B1" w:rsidRDefault="00B30833" w:rsidP="00032CB4">
            <w:pPr>
              <w:spacing w:after="0"/>
              <w:jc w:val="center"/>
              <w:rPr>
                <w:rFonts w:eastAsia="Times New Roman" w:cs="Times New Roman"/>
                <w:b/>
                <w:bCs/>
                <w:sz w:val="20"/>
                <w:szCs w:val="20"/>
              </w:rPr>
            </w:pPr>
            <w:r w:rsidRPr="000259B1">
              <w:rPr>
                <w:rFonts w:eastAsia="Times New Roman" w:cs="Times New Roman"/>
                <w:b/>
                <w:bCs/>
                <w:sz w:val="20"/>
                <w:szCs w:val="20"/>
              </w:rPr>
              <w:t xml:space="preserve">prior </w:t>
            </w:r>
            <w:r w:rsidR="00771363" w:rsidRPr="000259B1">
              <w:rPr>
                <w:rFonts w:eastAsia="Times New Roman" w:cs="Times New Roman"/>
                <w:b/>
                <w:bCs/>
                <w:sz w:val="20"/>
                <w:szCs w:val="20"/>
              </w:rPr>
              <w:t>year 2</w:t>
            </w:r>
          </w:p>
          <w:p w14:paraId="31EDF7D9" w14:textId="77777777" w:rsidR="00A906AD" w:rsidRPr="000259B1" w:rsidRDefault="00A906AD" w:rsidP="00032CB4">
            <w:pPr>
              <w:spacing w:after="0"/>
              <w:jc w:val="center"/>
              <w:rPr>
                <w:rFonts w:eastAsia="Times New Roman" w:cs="Times New Roman"/>
                <w:b/>
                <w:bCs/>
                <w:sz w:val="20"/>
                <w:szCs w:val="20"/>
              </w:rPr>
            </w:pPr>
            <w:r w:rsidRPr="000259B1">
              <w:rPr>
                <w:rFonts w:eastAsia="Times New Roman" w:cs="Times New Roman"/>
                <w:b/>
                <w:bCs/>
                <w:sz w:val="20"/>
                <w:szCs w:val="20"/>
              </w:rPr>
              <w:t>(%)</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6594E4C0" w14:textId="77777777" w:rsidR="00736D65" w:rsidRPr="000259B1" w:rsidRDefault="00A906AD" w:rsidP="00032CB4">
            <w:pPr>
              <w:spacing w:after="0"/>
              <w:jc w:val="center"/>
              <w:rPr>
                <w:rFonts w:eastAsia="Times New Roman" w:cs="Times New Roman"/>
                <w:b/>
                <w:bCs/>
                <w:sz w:val="20"/>
                <w:szCs w:val="20"/>
              </w:rPr>
            </w:pPr>
            <w:r w:rsidRPr="000259B1">
              <w:rPr>
                <w:rFonts w:eastAsia="Times New Roman" w:cs="Times New Roman"/>
                <w:b/>
                <w:bCs/>
                <w:sz w:val="20"/>
                <w:szCs w:val="20"/>
              </w:rPr>
              <w:t>Annual Growth</w:t>
            </w:r>
            <w:r w:rsidR="00771363" w:rsidRPr="000259B1">
              <w:rPr>
                <w:rFonts w:eastAsia="Times New Roman" w:cs="Times New Roman"/>
                <w:b/>
                <w:bCs/>
                <w:sz w:val="20"/>
                <w:szCs w:val="20"/>
              </w:rPr>
              <w:t xml:space="preserve">: Current </w:t>
            </w:r>
          </w:p>
          <w:p w14:paraId="735BA10D" w14:textId="1C1879D0" w:rsidR="00736D65" w:rsidRPr="000259B1" w:rsidRDefault="00771363" w:rsidP="00032CB4">
            <w:pPr>
              <w:spacing w:after="0"/>
              <w:jc w:val="center"/>
              <w:rPr>
                <w:rFonts w:eastAsia="Times New Roman" w:cs="Times New Roman"/>
                <w:b/>
                <w:bCs/>
                <w:sz w:val="20"/>
                <w:szCs w:val="20"/>
              </w:rPr>
            </w:pPr>
            <w:r w:rsidRPr="000259B1">
              <w:rPr>
                <w:rFonts w:eastAsia="Times New Roman" w:cs="Times New Roman"/>
                <w:b/>
                <w:bCs/>
                <w:sz w:val="20"/>
                <w:szCs w:val="20"/>
              </w:rPr>
              <w:t xml:space="preserve">vs. </w:t>
            </w:r>
          </w:p>
          <w:p w14:paraId="114A1361" w14:textId="1D3E5B19" w:rsidR="00A906AD" w:rsidRPr="000259B1" w:rsidRDefault="00771363" w:rsidP="00032CB4">
            <w:pPr>
              <w:spacing w:after="0"/>
              <w:jc w:val="center"/>
              <w:rPr>
                <w:rFonts w:eastAsia="Times New Roman" w:cs="Times New Roman"/>
                <w:b/>
                <w:bCs/>
                <w:sz w:val="20"/>
                <w:szCs w:val="20"/>
              </w:rPr>
            </w:pPr>
            <w:r w:rsidRPr="000259B1">
              <w:rPr>
                <w:rFonts w:eastAsia="Times New Roman" w:cs="Times New Roman"/>
                <w:b/>
                <w:bCs/>
                <w:sz w:val="20"/>
                <w:szCs w:val="20"/>
              </w:rPr>
              <w:t>prior year 1</w:t>
            </w:r>
          </w:p>
          <w:p w14:paraId="61D63805" w14:textId="360F8F4B" w:rsidR="00C82E90" w:rsidRPr="000259B1" w:rsidRDefault="00A906AD" w:rsidP="00A443BB">
            <w:pPr>
              <w:spacing w:after="0"/>
              <w:jc w:val="center"/>
              <w:rPr>
                <w:rFonts w:eastAsia="Times New Roman" w:cs="Times New Roman"/>
                <w:b/>
                <w:bCs/>
                <w:sz w:val="20"/>
                <w:szCs w:val="20"/>
              </w:rPr>
            </w:pPr>
            <w:r w:rsidRPr="000259B1">
              <w:rPr>
                <w:rFonts w:eastAsia="Times New Roman" w:cs="Times New Roman"/>
                <w:b/>
                <w:bCs/>
                <w:sz w:val="20"/>
                <w:szCs w:val="20"/>
              </w:rPr>
              <w:t>(%)</w:t>
            </w:r>
          </w:p>
        </w:tc>
      </w:tr>
      <w:tr w:rsidR="00D84130" w:rsidRPr="00AD4B28" w14:paraId="03EE8606" w14:textId="77777777" w:rsidTr="000259B1">
        <w:trPr>
          <w:trHeight w:val="300"/>
        </w:trPr>
        <w:tc>
          <w:tcPr>
            <w:tcW w:w="2376" w:type="dxa"/>
            <w:tcBorders>
              <w:top w:val="nil"/>
              <w:left w:val="single" w:sz="4" w:space="0" w:color="auto"/>
              <w:bottom w:val="single" w:sz="4" w:space="0" w:color="auto"/>
              <w:right w:val="single" w:sz="4" w:space="0" w:color="auto"/>
            </w:tcBorders>
            <w:shd w:val="clear" w:color="auto" w:fill="auto"/>
            <w:noWrap/>
            <w:vAlign w:val="bottom"/>
          </w:tcPr>
          <w:p w14:paraId="0C59F944" w14:textId="309C1DB6" w:rsidR="00D84130" w:rsidRPr="000259B1" w:rsidRDefault="00D84130" w:rsidP="00032CB4">
            <w:pPr>
              <w:spacing w:after="0"/>
              <w:rPr>
                <w:rFonts w:eastAsia="Times New Roman" w:cs="Times New Roman"/>
                <w:sz w:val="20"/>
                <w:szCs w:val="20"/>
              </w:rPr>
            </w:pPr>
            <w:r w:rsidRPr="000259B1">
              <w:rPr>
                <w:rFonts w:eastAsia="Times New Roman" w:cs="Times New Roman"/>
                <w:sz w:val="20"/>
                <w:szCs w:val="20"/>
              </w:rPr>
              <w:t>ALL RRMS (excluding NATALIZUMAB</w:t>
            </w:r>
            <w:r w:rsidR="0014497B" w:rsidRPr="000259B1">
              <w:rPr>
                <w:rFonts w:eastAsia="Times New Roman" w:cs="Times New Roman"/>
                <w:sz w:val="20"/>
                <w:szCs w:val="20"/>
                <w:vertAlign w:val="superscript"/>
              </w:rPr>
              <w:t>1</w:t>
            </w:r>
            <w:r w:rsidRPr="000259B1">
              <w:rPr>
                <w:rFonts w:eastAsia="Times New Roman" w:cs="Times New Roman"/>
                <w:sz w:val="20"/>
                <w:szCs w:val="20"/>
              </w:rPr>
              <w:t>)</w:t>
            </w:r>
          </w:p>
        </w:tc>
        <w:tc>
          <w:tcPr>
            <w:tcW w:w="1608" w:type="dxa"/>
            <w:tcBorders>
              <w:top w:val="nil"/>
              <w:left w:val="nil"/>
              <w:bottom w:val="single" w:sz="4" w:space="0" w:color="auto"/>
              <w:right w:val="single" w:sz="4" w:space="0" w:color="auto"/>
            </w:tcBorders>
            <w:shd w:val="clear" w:color="auto" w:fill="auto"/>
            <w:noWrap/>
            <w:vAlign w:val="bottom"/>
          </w:tcPr>
          <w:p w14:paraId="72BC6E75" w14:textId="2C40AF8E"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114,370 </w:t>
            </w:r>
          </w:p>
        </w:tc>
        <w:tc>
          <w:tcPr>
            <w:tcW w:w="1477" w:type="dxa"/>
            <w:tcBorders>
              <w:top w:val="nil"/>
              <w:left w:val="nil"/>
              <w:bottom w:val="single" w:sz="4" w:space="0" w:color="auto"/>
              <w:right w:val="single" w:sz="4" w:space="0" w:color="auto"/>
            </w:tcBorders>
            <w:shd w:val="clear" w:color="auto" w:fill="auto"/>
            <w:noWrap/>
            <w:vAlign w:val="bottom"/>
          </w:tcPr>
          <w:p w14:paraId="41E666A8" w14:textId="489BB4A6"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121,253 </w:t>
            </w:r>
          </w:p>
        </w:tc>
        <w:tc>
          <w:tcPr>
            <w:tcW w:w="1310" w:type="dxa"/>
            <w:tcBorders>
              <w:top w:val="nil"/>
              <w:left w:val="nil"/>
              <w:bottom w:val="single" w:sz="4" w:space="0" w:color="auto"/>
              <w:right w:val="single" w:sz="4" w:space="0" w:color="auto"/>
            </w:tcBorders>
            <w:shd w:val="clear" w:color="auto" w:fill="auto"/>
            <w:noWrap/>
            <w:vAlign w:val="bottom"/>
          </w:tcPr>
          <w:p w14:paraId="3EFD00F1" w14:textId="186E2AE2"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140,867 </w:t>
            </w:r>
          </w:p>
        </w:tc>
        <w:tc>
          <w:tcPr>
            <w:tcW w:w="1443" w:type="dxa"/>
            <w:tcBorders>
              <w:top w:val="nil"/>
              <w:left w:val="nil"/>
              <w:bottom w:val="single" w:sz="4" w:space="0" w:color="auto"/>
              <w:right w:val="single" w:sz="4" w:space="0" w:color="auto"/>
            </w:tcBorders>
            <w:shd w:val="clear" w:color="auto" w:fill="auto"/>
            <w:noWrap/>
            <w:vAlign w:val="bottom"/>
          </w:tcPr>
          <w:p w14:paraId="0B19E316" w14:textId="556FED20"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6%</w:t>
            </w:r>
          </w:p>
        </w:tc>
        <w:tc>
          <w:tcPr>
            <w:tcW w:w="1417" w:type="dxa"/>
            <w:tcBorders>
              <w:top w:val="nil"/>
              <w:left w:val="nil"/>
              <w:bottom w:val="single" w:sz="4" w:space="0" w:color="auto"/>
              <w:right w:val="single" w:sz="4" w:space="0" w:color="auto"/>
            </w:tcBorders>
            <w:shd w:val="clear" w:color="auto" w:fill="auto"/>
            <w:noWrap/>
            <w:vAlign w:val="bottom"/>
          </w:tcPr>
          <w:p w14:paraId="7B298C0B" w14:textId="41E8DA56"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14%</w:t>
            </w:r>
          </w:p>
        </w:tc>
      </w:tr>
      <w:tr w:rsidR="00D84130" w:rsidRPr="00AD4B28" w14:paraId="2F7A8405" w14:textId="77777777" w:rsidTr="000259B1">
        <w:trPr>
          <w:trHeight w:val="300"/>
        </w:trPr>
        <w:tc>
          <w:tcPr>
            <w:tcW w:w="2376" w:type="dxa"/>
            <w:tcBorders>
              <w:top w:val="nil"/>
              <w:left w:val="single" w:sz="4" w:space="0" w:color="auto"/>
              <w:bottom w:val="single" w:sz="4" w:space="0" w:color="auto"/>
              <w:right w:val="single" w:sz="4" w:space="0" w:color="auto"/>
            </w:tcBorders>
            <w:shd w:val="clear" w:color="auto" w:fill="auto"/>
            <w:noWrap/>
            <w:vAlign w:val="bottom"/>
          </w:tcPr>
          <w:p w14:paraId="7022762F" w14:textId="253C56AE" w:rsidR="00D84130" w:rsidRPr="000259B1" w:rsidRDefault="00D84130" w:rsidP="00032CB4">
            <w:pPr>
              <w:spacing w:after="0"/>
              <w:rPr>
                <w:rFonts w:eastAsia="Times New Roman" w:cs="Times New Roman"/>
                <w:sz w:val="20"/>
                <w:szCs w:val="20"/>
              </w:rPr>
            </w:pPr>
            <w:r w:rsidRPr="000259B1">
              <w:rPr>
                <w:color w:val="000000"/>
                <w:sz w:val="20"/>
                <w:szCs w:val="20"/>
              </w:rPr>
              <w:t>DIMETHYL FUMARATE</w:t>
            </w:r>
          </w:p>
        </w:tc>
        <w:tc>
          <w:tcPr>
            <w:tcW w:w="1608" w:type="dxa"/>
            <w:tcBorders>
              <w:top w:val="nil"/>
              <w:left w:val="nil"/>
              <w:bottom w:val="single" w:sz="4" w:space="0" w:color="auto"/>
              <w:right w:val="single" w:sz="4" w:space="0" w:color="auto"/>
            </w:tcBorders>
            <w:shd w:val="clear" w:color="auto" w:fill="auto"/>
            <w:noWrap/>
            <w:vAlign w:val="bottom"/>
          </w:tcPr>
          <w:p w14:paraId="751CEBD2" w14:textId="16D6188C" w:rsidR="00D84130" w:rsidRPr="000259B1" w:rsidRDefault="00D84130" w:rsidP="00032CB4">
            <w:pPr>
              <w:spacing w:after="0"/>
              <w:jc w:val="center"/>
              <w:rPr>
                <w:rFonts w:eastAsia="Times New Roman" w:cs="Times New Roman"/>
                <w:sz w:val="20"/>
                <w:szCs w:val="20"/>
              </w:rPr>
            </w:pPr>
            <w:r w:rsidRPr="000259B1">
              <w:rPr>
                <w:color w:val="000000"/>
                <w:sz w:val="20"/>
                <w:szCs w:val="20"/>
              </w:rPr>
              <w:t>NA</w:t>
            </w:r>
          </w:p>
        </w:tc>
        <w:tc>
          <w:tcPr>
            <w:tcW w:w="1477" w:type="dxa"/>
            <w:tcBorders>
              <w:top w:val="nil"/>
              <w:left w:val="nil"/>
              <w:bottom w:val="single" w:sz="4" w:space="0" w:color="auto"/>
              <w:right w:val="single" w:sz="4" w:space="0" w:color="auto"/>
            </w:tcBorders>
            <w:shd w:val="clear" w:color="auto" w:fill="auto"/>
            <w:noWrap/>
            <w:vAlign w:val="bottom"/>
          </w:tcPr>
          <w:p w14:paraId="718FD624" w14:textId="2E786357" w:rsidR="00D84130" w:rsidRPr="000259B1" w:rsidRDefault="00D84130" w:rsidP="00032CB4">
            <w:pPr>
              <w:spacing w:after="0"/>
              <w:jc w:val="center"/>
              <w:rPr>
                <w:rFonts w:eastAsia="Times New Roman" w:cs="Times New Roman"/>
                <w:sz w:val="20"/>
                <w:szCs w:val="20"/>
              </w:rPr>
            </w:pPr>
            <w:r w:rsidRPr="000259B1">
              <w:rPr>
                <w:color w:val="000000"/>
                <w:sz w:val="20"/>
                <w:szCs w:val="20"/>
              </w:rPr>
              <w:t>NA</w:t>
            </w:r>
          </w:p>
        </w:tc>
        <w:tc>
          <w:tcPr>
            <w:tcW w:w="1310" w:type="dxa"/>
            <w:tcBorders>
              <w:top w:val="nil"/>
              <w:left w:val="nil"/>
              <w:bottom w:val="single" w:sz="4" w:space="0" w:color="auto"/>
              <w:right w:val="single" w:sz="4" w:space="0" w:color="auto"/>
            </w:tcBorders>
            <w:shd w:val="clear" w:color="auto" w:fill="auto"/>
            <w:noWrap/>
            <w:vAlign w:val="bottom"/>
          </w:tcPr>
          <w:p w14:paraId="361710D9" w14:textId="5B87C816"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18,906 </w:t>
            </w:r>
          </w:p>
        </w:tc>
        <w:tc>
          <w:tcPr>
            <w:tcW w:w="1443" w:type="dxa"/>
            <w:tcBorders>
              <w:top w:val="nil"/>
              <w:left w:val="nil"/>
              <w:bottom w:val="single" w:sz="4" w:space="0" w:color="auto"/>
              <w:right w:val="single" w:sz="4" w:space="0" w:color="auto"/>
            </w:tcBorders>
            <w:shd w:val="clear" w:color="auto" w:fill="auto"/>
            <w:noWrap/>
            <w:vAlign w:val="bottom"/>
          </w:tcPr>
          <w:p w14:paraId="2DEE32B8" w14:textId="1D0CFCCC"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NA</w:t>
            </w:r>
          </w:p>
        </w:tc>
        <w:tc>
          <w:tcPr>
            <w:tcW w:w="1417" w:type="dxa"/>
            <w:tcBorders>
              <w:top w:val="nil"/>
              <w:left w:val="nil"/>
              <w:bottom w:val="single" w:sz="4" w:space="0" w:color="auto"/>
              <w:right w:val="single" w:sz="4" w:space="0" w:color="auto"/>
            </w:tcBorders>
            <w:shd w:val="clear" w:color="auto" w:fill="auto"/>
            <w:noWrap/>
            <w:vAlign w:val="bottom"/>
          </w:tcPr>
          <w:p w14:paraId="261C872D" w14:textId="164AD2A3"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NA</w:t>
            </w:r>
          </w:p>
        </w:tc>
      </w:tr>
      <w:tr w:rsidR="00D84130" w:rsidRPr="00AD4B28" w14:paraId="5A5CF12C" w14:textId="77777777" w:rsidTr="000259B1">
        <w:trPr>
          <w:trHeight w:val="300"/>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14:paraId="1FACE1DF" w14:textId="10BBA634" w:rsidR="00D84130" w:rsidRPr="000259B1" w:rsidRDefault="00D84130" w:rsidP="00032CB4">
            <w:pPr>
              <w:spacing w:after="0"/>
              <w:rPr>
                <w:rFonts w:eastAsia="Times New Roman" w:cs="Times New Roman"/>
                <w:sz w:val="20"/>
                <w:szCs w:val="20"/>
              </w:rPr>
            </w:pPr>
            <w:r w:rsidRPr="000259B1">
              <w:rPr>
                <w:color w:val="000000"/>
                <w:sz w:val="20"/>
                <w:szCs w:val="20"/>
              </w:rPr>
              <w:t>FINGOLIMOD</w:t>
            </w:r>
          </w:p>
        </w:tc>
        <w:tc>
          <w:tcPr>
            <w:tcW w:w="1608" w:type="dxa"/>
            <w:tcBorders>
              <w:top w:val="nil"/>
              <w:left w:val="nil"/>
              <w:bottom w:val="single" w:sz="4" w:space="0" w:color="auto"/>
              <w:right w:val="single" w:sz="4" w:space="0" w:color="auto"/>
            </w:tcBorders>
            <w:shd w:val="clear" w:color="auto" w:fill="auto"/>
            <w:noWrap/>
            <w:vAlign w:val="bottom"/>
            <w:hideMark/>
          </w:tcPr>
          <w:p w14:paraId="4661DE90" w14:textId="09E3CEFE"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27,884 </w:t>
            </w:r>
          </w:p>
        </w:tc>
        <w:tc>
          <w:tcPr>
            <w:tcW w:w="1477" w:type="dxa"/>
            <w:tcBorders>
              <w:top w:val="nil"/>
              <w:left w:val="nil"/>
              <w:bottom w:val="single" w:sz="4" w:space="0" w:color="auto"/>
              <w:right w:val="single" w:sz="4" w:space="0" w:color="auto"/>
            </w:tcBorders>
            <w:shd w:val="clear" w:color="auto" w:fill="auto"/>
            <w:noWrap/>
            <w:vAlign w:val="bottom"/>
            <w:hideMark/>
          </w:tcPr>
          <w:p w14:paraId="33A40DC9" w14:textId="03889F4C"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43,361 </w:t>
            </w:r>
          </w:p>
        </w:tc>
        <w:tc>
          <w:tcPr>
            <w:tcW w:w="1310" w:type="dxa"/>
            <w:tcBorders>
              <w:top w:val="nil"/>
              <w:left w:val="nil"/>
              <w:bottom w:val="single" w:sz="4" w:space="0" w:color="auto"/>
              <w:right w:val="single" w:sz="4" w:space="0" w:color="auto"/>
            </w:tcBorders>
            <w:shd w:val="clear" w:color="auto" w:fill="auto"/>
            <w:noWrap/>
            <w:vAlign w:val="bottom"/>
            <w:hideMark/>
          </w:tcPr>
          <w:p w14:paraId="37B198D5" w14:textId="2B53E2DA"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53,309 </w:t>
            </w:r>
          </w:p>
        </w:tc>
        <w:tc>
          <w:tcPr>
            <w:tcW w:w="1443" w:type="dxa"/>
            <w:tcBorders>
              <w:top w:val="nil"/>
              <w:left w:val="nil"/>
              <w:bottom w:val="single" w:sz="4" w:space="0" w:color="auto"/>
              <w:right w:val="single" w:sz="4" w:space="0" w:color="auto"/>
            </w:tcBorders>
            <w:shd w:val="clear" w:color="auto" w:fill="auto"/>
            <w:noWrap/>
            <w:vAlign w:val="bottom"/>
            <w:hideMark/>
          </w:tcPr>
          <w:p w14:paraId="334101CA" w14:textId="77777777"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36%</w:t>
            </w:r>
          </w:p>
        </w:tc>
        <w:tc>
          <w:tcPr>
            <w:tcW w:w="1417" w:type="dxa"/>
            <w:tcBorders>
              <w:top w:val="nil"/>
              <w:left w:val="nil"/>
              <w:bottom w:val="single" w:sz="4" w:space="0" w:color="auto"/>
              <w:right w:val="single" w:sz="4" w:space="0" w:color="auto"/>
            </w:tcBorders>
            <w:shd w:val="clear" w:color="auto" w:fill="auto"/>
            <w:noWrap/>
            <w:vAlign w:val="bottom"/>
            <w:hideMark/>
          </w:tcPr>
          <w:p w14:paraId="5FEE7720" w14:textId="77777777"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19%</w:t>
            </w:r>
          </w:p>
        </w:tc>
      </w:tr>
      <w:tr w:rsidR="00D84130" w:rsidRPr="00AD4B28" w14:paraId="19FDD1E5" w14:textId="77777777" w:rsidTr="000259B1">
        <w:trPr>
          <w:trHeight w:val="300"/>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14:paraId="3A9D0A10" w14:textId="4C32A088" w:rsidR="00D84130" w:rsidRPr="000259B1" w:rsidRDefault="00D84130" w:rsidP="00032CB4">
            <w:pPr>
              <w:spacing w:after="0"/>
              <w:rPr>
                <w:rFonts w:eastAsia="Times New Roman" w:cs="Times New Roman"/>
                <w:sz w:val="20"/>
                <w:szCs w:val="20"/>
              </w:rPr>
            </w:pPr>
            <w:r w:rsidRPr="000259B1">
              <w:rPr>
                <w:color w:val="000000"/>
                <w:sz w:val="20"/>
                <w:szCs w:val="20"/>
              </w:rPr>
              <w:t>GLATIRAMER ACETATE</w:t>
            </w:r>
          </w:p>
        </w:tc>
        <w:tc>
          <w:tcPr>
            <w:tcW w:w="1608" w:type="dxa"/>
            <w:tcBorders>
              <w:top w:val="nil"/>
              <w:left w:val="nil"/>
              <w:bottom w:val="single" w:sz="4" w:space="0" w:color="auto"/>
              <w:right w:val="single" w:sz="4" w:space="0" w:color="auto"/>
            </w:tcBorders>
            <w:shd w:val="clear" w:color="auto" w:fill="auto"/>
            <w:noWrap/>
            <w:vAlign w:val="bottom"/>
            <w:hideMark/>
          </w:tcPr>
          <w:p w14:paraId="3597E2ED" w14:textId="4D456B5B"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24,808 </w:t>
            </w:r>
          </w:p>
        </w:tc>
        <w:tc>
          <w:tcPr>
            <w:tcW w:w="1477" w:type="dxa"/>
            <w:tcBorders>
              <w:top w:val="nil"/>
              <w:left w:val="nil"/>
              <w:bottom w:val="single" w:sz="4" w:space="0" w:color="auto"/>
              <w:right w:val="single" w:sz="4" w:space="0" w:color="auto"/>
            </w:tcBorders>
            <w:shd w:val="clear" w:color="auto" w:fill="auto"/>
            <w:noWrap/>
            <w:vAlign w:val="bottom"/>
            <w:hideMark/>
          </w:tcPr>
          <w:p w14:paraId="1EE97325" w14:textId="7B3455C0"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23,811 </w:t>
            </w:r>
          </w:p>
        </w:tc>
        <w:tc>
          <w:tcPr>
            <w:tcW w:w="1310" w:type="dxa"/>
            <w:tcBorders>
              <w:top w:val="nil"/>
              <w:left w:val="nil"/>
              <w:bottom w:val="single" w:sz="4" w:space="0" w:color="auto"/>
              <w:right w:val="single" w:sz="4" w:space="0" w:color="auto"/>
            </w:tcBorders>
            <w:shd w:val="clear" w:color="auto" w:fill="auto"/>
            <w:noWrap/>
            <w:vAlign w:val="bottom"/>
            <w:hideMark/>
          </w:tcPr>
          <w:p w14:paraId="7CF30C22" w14:textId="21CAA2D5"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20,955 </w:t>
            </w:r>
          </w:p>
        </w:tc>
        <w:tc>
          <w:tcPr>
            <w:tcW w:w="1443" w:type="dxa"/>
            <w:tcBorders>
              <w:top w:val="nil"/>
              <w:left w:val="nil"/>
              <w:bottom w:val="single" w:sz="4" w:space="0" w:color="auto"/>
              <w:right w:val="single" w:sz="4" w:space="0" w:color="auto"/>
            </w:tcBorders>
            <w:shd w:val="clear" w:color="auto" w:fill="auto"/>
            <w:noWrap/>
            <w:vAlign w:val="bottom"/>
            <w:hideMark/>
          </w:tcPr>
          <w:p w14:paraId="13256F50" w14:textId="77777777"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-4%</w:t>
            </w:r>
          </w:p>
        </w:tc>
        <w:tc>
          <w:tcPr>
            <w:tcW w:w="1417" w:type="dxa"/>
            <w:tcBorders>
              <w:top w:val="nil"/>
              <w:left w:val="nil"/>
              <w:bottom w:val="single" w:sz="4" w:space="0" w:color="auto"/>
              <w:right w:val="single" w:sz="4" w:space="0" w:color="auto"/>
            </w:tcBorders>
            <w:shd w:val="clear" w:color="auto" w:fill="auto"/>
            <w:noWrap/>
            <w:vAlign w:val="bottom"/>
            <w:hideMark/>
          </w:tcPr>
          <w:p w14:paraId="1E2C0663" w14:textId="77777777"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-14%</w:t>
            </w:r>
          </w:p>
        </w:tc>
      </w:tr>
      <w:tr w:rsidR="00D84130" w:rsidRPr="00AD4B28" w14:paraId="19798A89" w14:textId="77777777" w:rsidTr="000259B1">
        <w:trPr>
          <w:trHeight w:val="300"/>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14:paraId="3969EE12" w14:textId="75D5976C" w:rsidR="00D84130" w:rsidRPr="000259B1" w:rsidRDefault="00D84130" w:rsidP="00032CB4">
            <w:pPr>
              <w:spacing w:after="0"/>
              <w:rPr>
                <w:rFonts w:eastAsia="Times New Roman" w:cs="Times New Roman"/>
                <w:sz w:val="20"/>
                <w:szCs w:val="20"/>
              </w:rPr>
            </w:pPr>
            <w:r w:rsidRPr="000259B1">
              <w:rPr>
                <w:color w:val="000000"/>
                <w:sz w:val="20"/>
                <w:szCs w:val="20"/>
              </w:rPr>
              <w:t>INTERFERON BETA-1A</w:t>
            </w:r>
          </w:p>
        </w:tc>
        <w:tc>
          <w:tcPr>
            <w:tcW w:w="1608" w:type="dxa"/>
            <w:tcBorders>
              <w:top w:val="nil"/>
              <w:left w:val="nil"/>
              <w:bottom w:val="single" w:sz="4" w:space="0" w:color="auto"/>
              <w:right w:val="single" w:sz="4" w:space="0" w:color="auto"/>
            </w:tcBorders>
            <w:shd w:val="clear" w:color="auto" w:fill="auto"/>
            <w:noWrap/>
            <w:vAlign w:val="bottom"/>
            <w:hideMark/>
          </w:tcPr>
          <w:p w14:paraId="2FDF0500" w14:textId="1E1F0678"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36,619 </w:t>
            </w:r>
          </w:p>
        </w:tc>
        <w:tc>
          <w:tcPr>
            <w:tcW w:w="1477" w:type="dxa"/>
            <w:tcBorders>
              <w:top w:val="nil"/>
              <w:left w:val="nil"/>
              <w:bottom w:val="single" w:sz="4" w:space="0" w:color="auto"/>
              <w:right w:val="single" w:sz="4" w:space="0" w:color="auto"/>
            </w:tcBorders>
            <w:shd w:val="clear" w:color="auto" w:fill="auto"/>
            <w:noWrap/>
            <w:vAlign w:val="bottom"/>
            <w:hideMark/>
          </w:tcPr>
          <w:p w14:paraId="19CFB063" w14:textId="2747E337"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33,056 </w:t>
            </w:r>
          </w:p>
        </w:tc>
        <w:tc>
          <w:tcPr>
            <w:tcW w:w="1310" w:type="dxa"/>
            <w:tcBorders>
              <w:top w:val="nil"/>
              <w:left w:val="nil"/>
              <w:bottom w:val="single" w:sz="4" w:space="0" w:color="auto"/>
              <w:right w:val="single" w:sz="4" w:space="0" w:color="auto"/>
            </w:tcBorders>
            <w:shd w:val="clear" w:color="auto" w:fill="auto"/>
            <w:noWrap/>
            <w:vAlign w:val="bottom"/>
            <w:hideMark/>
          </w:tcPr>
          <w:p w14:paraId="4FAE8235" w14:textId="0BE4829C"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25,813 </w:t>
            </w:r>
          </w:p>
        </w:tc>
        <w:tc>
          <w:tcPr>
            <w:tcW w:w="1443" w:type="dxa"/>
            <w:tcBorders>
              <w:top w:val="nil"/>
              <w:left w:val="nil"/>
              <w:bottom w:val="single" w:sz="4" w:space="0" w:color="auto"/>
              <w:right w:val="single" w:sz="4" w:space="0" w:color="auto"/>
            </w:tcBorders>
            <w:shd w:val="clear" w:color="auto" w:fill="auto"/>
            <w:noWrap/>
            <w:vAlign w:val="bottom"/>
            <w:hideMark/>
          </w:tcPr>
          <w:p w14:paraId="74C60697" w14:textId="77777777"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-11%</w:t>
            </w:r>
          </w:p>
        </w:tc>
        <w:tc>
          <w:tcPr>
            <w:tcW w:w="1417" w:type="dxa"/>
            <w:tcBorders>
              <w:top w:val="nil"/>
              <w:left w:val="nil"/>
              <w:bottom w:val="single" w:sz="4" w:space="0" w:color="auto"/>
              <w:right w:val="single" w:sz="4" w:space="0" w:color="auto"/>
            </w:tcBorders>
            <w:shd w:val="clear" w:color="auto" w:fill="auto"/>
            <w:noWrap/>
            <w:vAlign w:val="bottom"/>
            <w:hideMark/>
          </w:tcPr>
          <w:p w14:paraId="6BF7B8CD" w14:textId="77777777"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-28%</w:t>
            </w:r>
          </w:p>
        </w:tc>
      </w:tr>
      <w:tr w:rsidR="00D84130" w:rsidRPr="00AD4B28" w14:paraId="701DCB0E" w14:textId="77777777" w:rsidTr="000259B1">
        <w:trPr>
          <w:trHeight w:val="300"/>
        </w:trPr>
        <w:tc>
          <w:tcPr>
            <w:tcW w:w="2376" w:type="dxa"/>
            <w:tcBorders>
              <w:top w:val="nil"/>
              <w:left w:val="single" w:sz="4" w:space="0" w:color="auto"/>
              <w:bottom w:val="single" w:sz="4" w:space="0" w:color="auto"/>
              <w:right w:val="single" w:sz="4" w:space="0" w:color="auto"/>
            </w:tcBorders>
            <w:shd w:val="clear" w:color="auto" w:fill="auto"/>
            <w:noWrap/>
            <w:vAlign w:val="bottom"/>
            <w:hideMark/>
          </w:tcPr>
          <w:p w14:paraId="66C45932" w14:textId="5873550A" w:rsidR="00D84130" w:rsidRPr="000259B1" w:rsidRDefault="00D84130" w:rsidP="00032CB4">
            <w:pPr>
              <w:spacing w:after="0"/>
              <w:rPr>
                <w:rFonts w:eastAsia="Times New Roman" w:cs="Times New Roman"/>
                <w:sz w:val="20"/>
                <w:szCs w:val="20"/>
              </w:rPr>
            </w:pPr>
            <w:r w:rsidRPr="000259B1">
              <w:rPr>
                <w:color w:val="000000"/>
                <w:sz w:val="20"/>
                <w:szCs w:val="20"/>
              </w:rPr>
              <w:t>INTERFERON BETA-1B</w:t>
            </w:r>
          </w:p>
        </w:tc>
        <w:tc>
          <w:tcPr>
            <w:tcW w:w="1608" w:type="dxa"/>
            <w:tcBorders>
              <w:top w:val="nil"/>
              <w:left w:val="nil"/>
              <w:bottom w:val="single" w:sz="4" w:space="0" w:color="auto"/>
              <w:right w:val="single" w:sz="4" w:space="0" w:color="auto"/>
            </w:tcBorders>
            <w:shd w:val="clear" w:color="auto" w:fill="auto"/>
            <w:noWrap/>
            <w:vAlign w:val="bottom"/>
            <w:hideMark/>
          </w:tcPr>
          <w:p w14:paraId="159ED28C" w14:textId="5B924D94"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25,059 </w:t>
            </w:r>
          </w:p>
        </w:tc>
        <w:tc>
          <w:tcPr>
            <w:tcW w:w="1477" w:type="dxa"/>
            <w:tcBorders>
              <w:top w:val="nil"/>
              <w:left w:val="nil"/>
              <w:bottom w:val="single" w:sz="4" w:space="0" w:color="auto"/>
              <w:right w:val="single" w:sz="4" w:space="0" w:color="auto"/>
            </w:tcBorders>
            <w:shd w:val="clear" w:color="auto" w:fill="auto"/>
            <w:noWrap/>
            <w:vAlign w:val="bottom"/>
            <w:hideMark/>
          </w:tcPr>
          <w:p w14:paraId="08FFF03F" w14:textId="16B704A7"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21,025 </w:t>
            </w:r>
          </w:p>
        </w:tc>
        <w:tc>
          <w:tcPr>
            <w:tcW w:w="1310" w:type="dxa"/>
            <w:tcBorders>
              <w:top w:val="nil"/>
              <w:left w:val="nil"/>
              <w:bottom w:val="single" w:sz="4" w:space="0" w:color="auto"/>
              <w:right w:val="single" w:sz="4" w:space="0" w:color="auto"/>
            </w:tcBorders>
            <w:shd w:val="clear" w:color="auto" w:fill="auto"/>
            <w:noWrap/>
            <w:vAlign w:val="bottom"/>
            <w:hideMark/>
          </w:tcPr>
          <w:p w14:paraId="5DB05AE1" w14:textId="063A4500"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16,005 </w:t>
            </w:r>
          </w:p>
        </w:tc>
        <w:tc>
          <w:tcPr>
            <w:tcW w:w="1443" w:type="dxa"/>
            <w:tcBorders>
              <w:top w:val="nil"/>
              <w:left w:val="nil"/>
              <w:bottom w:val="single" w:sz="4" w:space="0" w:color="auto"/>
              <w:right w:val="single" w:sz="4" w:space="0" w:color="auto"/>
            </w:tcBorders>
            <w:shd w:val="clear" w:color="auto" w:fill="auto"/>
            <w:noWrap/>
            <w:vAlign w:val="bottom"/>
            <w:hideMark/>
          </w:tcPr>
          <w:p w14:paraId="519B5A34" w14:textId="77777777"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-19%</w:t>
            </w:r>
          </w:p>
        </w:tc>
        <w:tc>
          <w:tcPr>
            <w:tcW w:w="1417" w:type="dxa"/>
            <w:tcBorders>
              <w:top w:val="nil"/>
              <w:left w:val="nil"/>
              <w:bottom w:val="single" w:sz="4" w:space="0" w:color="auto"/>
              <w:right w:val="single" w:sz="4" w:space="0" w:color="auto"/>
            </w:tcBorders>
            <w:shd w:val="clear" w:color="auto" w:fill="auto"/>
            <w:noWrap/>
            <w:vAlign w:val="bottom"/>
            <w:hideMark/>
          </w:tcPr>
          <w:p w14:paraId="4FE06F61" w14:textId="77777777"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-31%</w:t>
            </w:r>
          </w:p>
        </w:tc>
      </w:tr>
      <w:tr w:rsidR="00D84130" w:rsidRPr="00AD4B28" w14:paraId="3808D8AB" w14:textId="77777777" w:rsidTr="000259B1">
        <w:trPr>
          <w:trHeight w:val="300"/>
        </w:trPr>
        <w:tc>
          <w:tcPr>
            <w:tcW w:w="2376" w:type="dxa"/>
            <w:tcBorders>
              <w:top w:val="nil"/>
              <w:left w:val="single" w:sz="4" w:space="0" w:color="auto"/>
              <w:bottom w:val="single" w:sz="4" w:space="0" w:color="auto"/>
              <w:right w:val="single" w:sz="4" w:space="0" w:color="auto"/>
            </w:tcBorders>
            <w:shd w:val="clear" w:color="auto" w:fill="auto"/>
            <w:noWrap/>
            <w:vAlign w:val="bottom"/>
          </w:tcPr>
          <w:p w14:paraId="2A2933CF" w14:textId="4A1D9F12" w:rsidR="00D84130" w:rsidRPr="000259B1" w:rsidRDefault="00D84130" w:rsidP="00032CB4">
            <w:pPr>
              <w:spacing w:after="0"/>
              <w:rPr>
                <w:rFonts w:eastAsia="Times New Roman" w:cs="Times New Roman"/>
                <w:sz w:val="20"/>
                <w:szCs w:val="20"/>
              </w:rPr>
            </w:pPr>
            <w:r w:rsidRPr="000259B1">
              <w:rPr>
                <w:color w:val="000000"/>
                <w:sz w:val="20"/>
                <w:szCs w:val="20"/>
              </w:rPr>
              <w:t>TERIFLUNOMIDE</w:t>
            </w:r>
          </w:p>
        </w:tc>
        <w:tc>
          <w:tcPr>
            <w:tcW w:w="1608" w:type="dxa"/>
            <w:tcBorders>
              <w:top w:val="nil"/>
              <w:left w:val="nil"/>
              <w:bottom w:val="single" w:sz="4" w:space="0" w:color="auto"/>
              <w:right w:val="single" w:sz="4" w:space="0" w:color="auto"/>
            </w:tcBorders>
            <w:shd w:val="clear" w:color="auto" w:fill="auto"/>
            <w:noWrap/>
            <w:vAlign w:val="bottom"/>
          </w:tcPr>
          <w:p w14:paraId="09B564EB" w14:textId="6D6C4795"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NA </w:t>
            </w:r>
          </w:p>
        </w:tc>
        <w:tc>
          <w:tcPr>
            <w:tcW w:w="1477" w:type="dxa"/>
            <w:tcBorders>
              <w:top w:val="nil"/>
              <w:left w:val="nil"/>
              <w:bottom w:val="single" w:sz="4" w:space="0" w:color="auto"/>
              <w:right w:val="single" w:sz="4" w:space="0" w:color="auto"/>
            </w:tcBorders>
            <w:shd w:val="clear" w:color="auto" w:fill="auto"/>
            <w:noWrap/>
            <w:vAlign w:val="bottom"/>
          </w:tcPr>
          <w:p w14:paraId="0EED413F" w14:textId="6E031B5C"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NA </w:t>
            </w:r>
          </w:p>
        </w:tc>
        <w:tc>
          <w:tcPr>
            <w:tcW w:w="1310" w:type="dxa"/>
            <w:tcBorders>
              <w:top w:val="nil"/>
              <w:left w:val="nil"/>
              <w:bottom w:val="single" w:sz="4" w:space="0" w:color="auto"/>
              <w:right w:val="single" w:sz="4" w:space="0" w:color="auto"/>
            </w:tcBorders>
            <w:shd w:val="clear" w:color="auto" w:fill="auto"/>
            <w:noWrap/>
            <w:vAlign w:val="bottom"/>
          </w:tcPr>
          <w:p w14:paraId="3EECD85E" w14:textId="083D7869" w:rsidR="00D84130" w:rsidRPr="000259B1" w:rsidRDefault="00D84130" w:rsidP="00032CB4">
            <w:pPr>
              <w:spacing w:after="0"/>
              <w:jc w:val="center"/>
              <w:rPr>
                <w:rFonts w:eastAsia="Times New Roman" w:cs="Times New Roman"/>
                <w:sz w:val="20"/>
                <w:szCs w:val="20"/>
              </w:rPr>
            </w:pPr>
            <w:r w:rsidRPr="000259B1">
              <w:rPr>
                <w:color w:val="000000"/>
                <w:sz w:val="20"/>
                <w:szCs w:val="20"/>
              </w:rPr>
              <w:t xml:space="preserve">                     5,879 </w:t>
            </w:r>
          </w:p>
        </w:tc>
        <w:tc>
          <w:tcPr>
            <w:tcW w:w="1443" w:type="dxa"/>
            <w:tcBorders>
              <w:top w:val="nil"/>
              <w:left w:val="nil"/>
              <w:bottom w:val="single" w:sz="4" w:space="0" w:color="auto"/>
              <w:right w:val="single" w:sz="4" w:space="0" w:color="auto"/>
            </w:tcBorders>
            <w:shd w:val="clear" w:color="auto" w:fill="auto"/>
            <w:noWrap/>
            <w:vAlign w:val="bottom"/>
          </w:tcPr>
          <w:p w14:paraId="1F3556C2" w14:textId="4F7F775A"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NA</w:t>
            </w:r>
          </w:p>
        </w:tc>
        <w:tc>
          <w:tcPr>
            <w:tcW w:w="1417" w:type="dxa"/>
            <w:tcBorders>
              <w:top w:val="nil"/>
              <w:left w:val="nil"/>
              <w:bottom w:val="single" w:sz="4" w:space="0" w:color="auto"/>
              <w:right w:val="single" w:sz="4" w:space="0" w:color="auto"/>
            </w:tcBorders>
            <w:shd w:val="clear" w:color="auto" w:fill="auto"/>
            <w:noWrap/>
            <w:vAlign w:val="bottom"/>
          </w:tcPr>
          <w:p w14:paraId="5C4E0453" w14:textId="6812A41D" w:rsidR="00D84130" w:rsidRPr="000259B1" w:rsidRDefault="00D84130" w:rsidP="00032CB4">
            <w:pPr>
              <w:spacing w:after="0"/>
              <w:jc w:val="center"/>
              <w:rPr>
                <w:rFonts w:eastAsia="Times New Roman" w:cs="Times New Roman"/>
                <w:sz w:val="20"/>
                <w:szCs w:val="20"/>
              </w:rPr>
            </w:pPr>
            <w:r w:rsidRPr="000259B1">
              <w:rPr>
                <w:rFonts w:eastAsia="Times New Roman" w:cs="Times New Roman"/>
                <w:sz w:val="20"/>
                <w:szCs w:val="20"/>
              </w:rPr>
              <w:t>NA</w:t>
            </w:r>
          </w:p>
        </w:tc>
      </w:tr>
    </w:tbl>
    <w:p w14:paraId="60EA8C41" w14:textId="49FAA37B" w:rsidR="00A906AD" w:rsidRPr="00AD4B28" w:rsidRDefault="00A906AD" w:rsidP="00A906AD">
      <w:pPr>
        <w:spacing w:after="0"/>
        <w:rPr>
          <w:rFonts w:cstheme="minorHAnsi"/>
          <w:sz w:val="20"/>
          <w:szCs w:val="20"/>
        </w:rPr>
      </w:pPr>
      <w:r w:rsidRPr="00AD4B28">
        <w:rPr>
          <w:rFonts w:cstheme="minorHAnsi"/>
          <w:sz w:val="20"/>
          <w:szCs w:val="20"/>
        </w:rPr>
        <w:t>Source: DHS prescriptions data.</w:t>
      </w:r>
      <w:r w:rsidR="004D2C4A" w:rsidRPr="00AD4B28">
        <w:rPr>
          <w:rFonts w:cstheme="minorHAnsi"/>
          <w:sz w:val="20"/>
          <w:szCs w:val="20"/>
        </w:rPr>
        <w:t xml:space="preserve"> Prescription volumes are based on the date of supply.</w:t>
      </w:r>
    </w:p>
    <w:p w14:paraId="28FBB6CA" w14:textId="119D350E" w:rsidR="00051B54" w:rsidRPr="00AD4B28" w:rsidRDefault="00051B54" w:rsidP="00A906AD">
      <w:pPr>
        <w:spacing w:after="0"/>
        <w:rPr>
          <w:rFonts w:cstheme="minorHAnsi"/>
          <w:sz w:val="20"/>
          <w:szCs w:val="20"/>
        </w:rPr>
      </w:pPr>
      <w:r w:rsidRPr="00AD4B28">
        <w:rPr>
          <w:rFonts w:cstheme="minorHAnsi"/>
          <w:sz w:val="20"/>
          <w:szCs w:val="20"/>
          <w:vertAlign w:val="superscript"/>
        </w:rPr>
        <w:t>1</w:t>
      </w:r>
      <w:r w:rsidRPr="00AD4B28">
        <w:rPr>
          <w:rFonts w:cstheme="minorHAnsi"/>
          <w:sz w:val="20"/>
          <w:szCs w:val="20"/>
        </w:rPr>
        <w:t xml:space="preserve"> Excluding natalizumab as data for this agent is incomplete in the DHS prescriptions database prior to</w:t>
      </w:r>
      <w:r w:rsidR="005C50F6" w:rsidRPr="00AD4B28">
        <w:rPr>
          <w:rFonts w:cstheme="minorHAnsi"/>
          <w:sz w:val="20"/>
          <w:szCs w:val="20"/>
        </w:rPr>
        <w:br/>
      </w:r>
      <w:r w:rsidRPr="00AD4B28">
        <w:rPr>
          <w:rFonts w:cstheme="minorHAnsi"/>
          <w:sz w:val="20"/>
          <w:szCs w:val="20"/>
        </w:rPr>
        <w:t xml:space="preserve"> July 2013.</w:t>
      </w:r>
      <w:r w:rsidR="006F31CD" w:rsidRPr="00AD4B28">
        <w:rPr>
          <w:rFonts w:cstheme="minorHAnsi"/>
          <w:sz w:val="20"/>
          <w:szCs w:val="20"/>
        </w:rPr>
        <w:t xml:space="preserve"> </w:t>
      </w:r>
      <w:r w:rsidR="009E1972" w:rsidRPr="00AD4B28">
        <w:rPr>
          <w:rFonts w:cstheme="minorHAnsi"/>
          <w:sz w:val="20"/>
          <w:szCs w:val="20"/>
        </w:rPr>
        <w:t>Including</w:t>
      </w:r>
      <w:r w:rsidR="006F31CD" w:rsidRPr="00AD4B28">
        <w:rPr>
          <w:rFonts w:cstheme="minorHAnsi"/>
          <w:sz w:val="20"/>
          <w:szCs w:val="20"/>
        </w:rPr>
        <w:t xml:space="preserve"> estimate</w:t>
      </w:r>
      <w:r w:rsidR="009E1972" w:rsidRPr="00AD4B28">
        <w:rPr>
          <w:rFonts w:cstheme="minorHAnsi"/>
          <w:sz w:val="20"/>
          <w:szCs w:val="20"/>
        </w:rPr>
        <w:t>s</w:t>
      </w:r>
      <w:r w:rsidR="006F31CD" w:rsidRPr="00AD4B28">
        <w:rPr>
          <w:rFonts w:cstheme="minorHAnsi"/>
          <w:sz w:val="20"/>
          <w:szCs w:val="20"/>
        </w:rPr>
        <w:t xml:space="preserve"> for the total number of natalizumab scripts for the periods Prior Year 1 and Prior Year 2</w:t>
      </w:r>
      <w:r w:rsidR="009E1972" w:rsidRPr="00AD4B28">
        <w:rPr>
          <w:rFonts w:cstheme="minorHAnsi"/>
          <w:sz w:val="20"/>
          <w:szCs w:val="20"/>
        </w:rPr>
        <w:t xml:space="preserve"> (18,360 and 17,202, respectively) and the actual number of natalizumab scripts in December 2013 to November 2014 (22,800) had only a minor impact on the overall RRMS growth rates (5% for annual growth Prior Year 1 vs. Prior Year 2 and 14% for the annual growth Current vs Prior Year 1).</w:t>
      </w:r>
      <w:r w:rsidR="003F6CD2" w:rsidRPr="00AD4B28">
        <w:rPr>
          <w:rFonts w:cstheme="minorHAnsi"/>
          <w:sz w:val="20"/>
          <w:szCs w:val="20"/>
        </w:rPr>
        <w:t xml:space="preserve"> See Appendix </w:t>
      </w:r>
      <w:r w:rsidR="00AC4095">
        <w:rPr>
          <w:rFonts w:cstheme="minorHAnsi"/>
          <w:sz w:val="20"/>
          <w:szCs w:val="20"/>
        </w:rPr>
        <w:t>E</w:t>
      </w:r>
      <w:r w:rsidR="003F6CD2" w:rsidRPr="00AD4B28">
        <w:rPr>
          <w:rFonts w:cstheme="minorHAnsi"/>
          <w:sz w:val="20"/>
          <w:szCs w:val="20"/>
        </w:rPr>
        <w:t xml:space="preserve"> for the methods used to derive the estimated prescriptions for natalizumab</w:t>
      </w:r>
      <w:r w:rsidR="006F31CD" w:rsidRPr="00AD4B28">
        <w:rPr>
          <w:rFonts w:cstheme="minorHAnsi"/>
          <w:sz w:val="20"/>
          <w:szCs w:val="20"/>
        </w:rPr>
        <w:t xml:space="preserve">, </w:t>
      </w:r>
    </w:p>
    <w:p w14:paraId="7166EDD2" w14:textId="77777777" w:rsidR="00722FD0" w:rsidRPr="00AD4B28" w:rsidRDefault="00722FD0" w:rsidP="00A906AD">
      <w:pPr>
        <w:spacing w:after="0"/>
        <w:rPr>
          <w:rFonts w:cstheme="minorHAnsi"/>
          <w:sz w:val="20"/>
          <w:szCs w:val="20"/>
        </w:rPr>
      </w:pPr>
    </w:p>
    <w:p w14:paraId="6CA8A5AE" w14:textId="22C17396" w:rsidR="00F64564" w:rsidRPr="00AD4B28" w:rsidRDefault="00F64564" w:rsidP="00A906AD">
      <w:pPr>
        <w:spacing w:after="0"/>
        <w:rPr>
          <w:rFonts w:cstheme="minorHAnsi"/>
          <w:sz w:val="20"/>
          <w:szCs w:val="20"/>
        </w:rPr>
      </w:pPr>
      <w:r w:rsidRPr="00AD4B28">
        <w:rPr>
          <w:rFonts w:cstheme="minorHAnsi"/>
        </w:rPr>
        <w:t>A slowing in the growth of natalizumab is seen when comparing the number of packs supplied over the last three years based on Quarter 4 to Quarter</w:t>
      </w:r>
      <w:r w:rsidR="00C759D2">
        <w:rPr>
          <w:rFonts w:cstheme="minorHAnsi"/>
        </w:rPr>
        <w:t xml:space="preserve"> 3 figures, as shown in Table 11</w:t>
      </w:r>
      <w:r w:rsidRPr="00AD4B28">
        <w:rPr>
          <w:rFonts w:cstheme="minorHAnsi"/>
        </w:rPr>
        <w:t>.</w:t>
      </w:r>
    </w:p>
    <w:p w14:paraId="2EBD91E6" w14:textId="77777777" w:rsidR="00F64564" w:rsidRPr="00AD4B28" w:rsidRDefault="00F64564" w:rsidP="00A906AD">
      <w:pPr>
        <w:spacing w:after="0"/>
        <w:rPr>
          <w:rFonts w:cstheme="minorHAnsi"/>
          <w:sz w:val="20"/>
          <w:szCs w:val="20"/>
        </w:rPr>
      </w:pPr>
    </w:p>
    <w:p w14:paraId="4871A512" w14:textId="199F7230" w:rsidR="00F64564" w:rsidRPr="00AD4B28" w:rsidRDefault="00F64564" w:rsidP="00A906AD">
      <w:pPr>
        <w:spacing w:after="0"/>
        <w:rPr>
          <w:b/>
        </w:rPr>
      </w:pPr>
      <w:r w:rsidRPr="00AD4B28">
        <w:rPr>
          <w:b/>
        </w:rPr>
        <w:t>Table 1</w:t>
      </w:r>
      <w:r w:rsidR="00C759D2">
        <w:rPr>
          <w:b/>
        </w:rPr>
        <w:t>1</w:t>
      </w:r>
      <w:r w:rsidRPr="00AD4B28">
        <w:rPr>
          <w:b/>
        </w:rPr>
        <w:t>. Natalizumab growth based on the number of packs supplied</w:t>
      </w:r>
    </w:p>
    <w:p w14:paraId="5A94FA9F" w14:textId="77777777" w:rsidR="00F64564" w:rsidRPr="00AD4B28" w:rsidRDefault="00F64564" w:rsidP="00A906AD">
      <w:pPr>
        <w:spacing w:after="0"/>
        <w:rPr>
          <w:rFonts w:cstheme="minorHAnsi"/>
          <w:sz w:val="20"/>
          <w:szCs w:val="20"/>
        </w:rPr>
      </w:pPr>
    </w:p>
    <w:tbl>
      <w:tblPr>
        <w:tblStyle w:val="TableGrid"/>
        <w:tblW w:w="0" w:type="auto"/>
        <w:tblLook w:val="04A0" w:firstRow="1" w:lastRow="0" w:firstColumn="1" w:lastColumn="0" w:noHBand="0" w:noVBand="1"/>
      </w:tblPr>
      <w:tblGrid>
        <w:gridCol w:w="1528"/>
        <w:gridCol w:w="1529"/>
        <w:gridCol w:w="1529"/>
        <w:gridCol w:w="1529"/>
        <w:gridCol w:w="1529"/>
        <w:gridCol w:w="1529"/>
      </w:tblGrid>
      <w:tr w:rsidR="00F64564" w:rsidRPr="00AD4B28" w14:paraId="6AA5D98E" w14:textId="77777777" w:rsidTr="000259B1">
        <w:tc>
          <w:tcPr>
            <w:tcW w:w="1528" w:type="dxa"/>
            <w:tcBorders>
              <w:top w:val="nil"/>
              <w:left w:val="nil"/>
              <w:right w:val="single" w:sz="4" w:space="0" w:color="auto"/>
            </w:tcBorders>
          </w:tcPr>
          <w:p w14:paraId="39191E7A" w14:textId="77777777" w:rsidR="00F64564" w:rsidRPr="00AD4B28" w:rsidRDefault="00F64564" w:rsidP="00A906AD">
            <w:pPr>
              <w:rPr>
                <w:rFonts w:cstheme="minorHAnsi"/>
                <w:sz w:val="20"/>
                <w:szCs w:val="20"/>
              </w:rPr>
            </w:pPr>
          </w:p>
        </w:tc>
        <w:tc>
          <w:tcPr>
            <w:tcW w:w="1529" w:type="dxa"/>
            <w:tcBorders>
              <w:top w:val="single" w:sz="4" w:space="0" w:color="auto"/>
              <w:left w:val="single" w:sz="4" w:space="0" w:color="auto"/>
              <w:right w:val="single" w:sz="4" w:space="0" w:color="auto"/>
            </w:tcBorders>
            <w:shd w:val="clear" w:color="auto" w:fill="BFBFBF" w:themeFill="background1" w:themeFillShade="BF"/>
            <w:vAlign w:val="bottom"/>
          </w:tcPr>
          <w:p w14:paraId="13B2FC79" w14:textId="1FF29A9A" w:rsidR="00F64564" w:rsidRPr="00AD4B28" w:rsidRDefault="00F64564" w:rsidP="000259B1">
            <w:pPr>
              <w:jc w:val="center"/>
              <w:rPr>
                <w:rFonts w:cstheme="minorHAnsi"/>
                <w:b/>
                <w:sz w:val="20"/>
                <w:szCs w:val="20"/>
              </w:rPr>
            </w:pPr>
            <w:r w:rsidRPr="00AD4B28">
              <w:rPr>
                <w:rFonts w:ascii="Calibri" w:hAnsi="Calibri"/>
                <w:b/>
                <w:color w:val="000000"/>
                <w:sz w:val="22"/>
                <w:szCs w:val="22"/>
              </w:rPr>
              <w:t>2011 Q4-</w:t>
            </w:r>
            <w:r w:rsidR="00900D14">
              <w:rPr>
                <w:rFonts w:ascii="Calibri" w:hAnsi="Calibri"/>
                <w:b/>
                <w:color w:val="000000"/>
                <w:sz w:val="22"/>
                <w:szCs w:val="22"/>
              </w:rPr>
              <w:br/>
            </w:r>
            <w:r w:rsidRPr="00AD4B28">
              <w:rPr>
                <w:rFonts w:ascii="Calibri" w:hAnsi="Calibri"/>
                <w:b/>
                <w:color w:val="000000"/>
                <w:sz w:val="22"/>
                <w:szCs w:val="22"/>
              </w:rPr>
              <w:t>2012 Q3</w:t>
            </w:r>
          </w:p>
        </w:tc>
        <w:tc>
          <w:tcPr>
            <w:tcW w:w="1529" w:type="dxa"/>
            <w:tcBorders>
              <w:top w:val="single" w:sz="4" w:space="0" w:color="auto"/>
              <w:left w:val="single" w:sz="4" w:space="0" w:color="auto"/>
              <w:right w:val="single" w:sz="4" w:space="0" w:color="auto"/>
            </w:tcBorders>
            <w:shd w:val="clear" w:color="auto" w:fill="BFBFBF" w:themeFill="background1" w:themeFillShade="BF"/>
            <w:vAlign w:val="bottom"/>
          </w:tcPr>
          <w:p w14:paraId="606A5588" w14:textId="77777777" w:rsidR="00900D14" w:rsidRDefault="00F64564" w:rsidP="000259B1">
            <w:pPr>
              <w:jc w:val="center"/>
              <w:rPr>
                <w:rFonts w:ascii="Calibri" w:hAnsi="Calibri"/>
                <w:b/>
                <w:color w:val="000000"/>
                <w:sz w:val="22"/>
                <w:szCs w:val="22"/>
              </w:rPr>
            </w:pPr>
            <w:r w:rsidRPr="00AD4B28">
              <w:rPr>
                <w:rFonts w:ascii="Calibri" w:hAnsi="Calibri"/>
                <w:b/>
                <w:color w:val="000000"/>
                <w:sz w:val="22"/>
                <w:szCs w:val="22"/>
              </w:rPr>
              <w:t>2012 Q4-</w:t>
            </w:r>
          </w:p>
          <w:p w14:paraId="548C72BE" w14:textId="6A6020D0" w:rsidR="00F64564" w:rsidRPr="00AD4B28" w:rsidRDefault="00F64564" w:rsidP="000259B1">
            <w:pPr>
              <w:jc w:val="center"/>
              <w:rPr>
                <w:rFonts w:cstheme="minorHAnsi"/>
                <w:b/>
                <w:sz w:val="20"/>
                <w:szCs w:val="20"/>
              </w:rPr>
            </w:pPr>
            <w:r w:rsidRPr="00AD4B28">
              <w:rPr>
                <w:rFonts w:ascii="Calibri" w:hAnsi="Calibri"/>
                <w:b/>
                <w:color w:val="000000"/>
                <w:sz w:val="22"/>
                <w:szCs w:val="22"/>
              </w:rPr>
              <w:t>2013 Q3</w:t>
            </w:r>
          </w:p>
        </w:tc>
        <w:tc>
          <w:tcPr>
            <w:tcW w:w="1529" w:type="dxa"/>
            <w:tcBorders>
              <w:top w:val="single" w:sz="4" w:space="0" w:color="auto"/>
              <w:left w:val="single" w:sz="4" w:space="0" w:color="auto"/>
              <w:right w:val="single" w:sz="4" w:space="0" w:color="auto"/>
            </w:tcBorders>
            <w:shd w:val="clear" w:color="auto" w:fill="BFBFBF" w:themeFill="background1" w:themeFillShade="BF"/>
            <w:vAlign w:val="bottom"/>
          </w:tcPr>
          <w:p w14:paraId="2B1AB320" w14:textId="14F21AF4" w:rsidR="00F64564" w:rsidRPr="00AD4B28" w:rsidRDefault="00F64564" w:rsidP="000259B1">
            <w:pPr>
              <w:jc w:val="center"/>
              <w:rPr>
                <w:rFonts w:cstheme="minorHAnsi"/>
                <w:b/>
                <w:sz w:val="20"/>
                <w:szCs w:val="20"/>
              </w:rPr>
            </w:pPr>
            <w:r w:rsidRPr="00AD4B28">
              <w:rPr>
                <w:rFonts w:ascii="Calibri" w:hAnsi="Calibri"/>
                <w:b/>
                <w:color w:val="000000"/>
                <w:sz w:val="22"/>
                <w:szCs w:val="22"/>
              </w:rPr>
              <w:t>2013 Q4 - 2014 Q3</w:t>
            </w:r>
          </w:p>
        </w:tc>
        <w:tc>
          <w:tcPr>
            <w:tcW w:w="1529" w:type="dxa"/>
            <w:tcBorders>
              <w:top w:val="single" w:sz="4" w:space="0" w:color="auto"/>
              <w:left w:val="single" w:sz="4" w:space="0" w:color="auto"/>
              <w:right w:val="single" w:sz="4" w:space="0" w:color="auto"/>
            </w:tcBorders>
            <w:shd w:val="clear" w:color="auto" w:fill="BFBFBF" w:themeFill="background1" w:themeFillShade="BF"/>
          </w:tcPr>
          <w:p w14:paraId="3A568CC5" w14:textId="2700AD80" w:rsidR="00F64564" w:rsidRPr="00AD4B28" w:rsidRDefault="00F64564" w:rsidP="000259B1">
            <w:pPr>
              <w:jc w:val="center"/>
              <w:rPr>
                <w:rFonts w:cstheme="minorHAnsi"/>
                <w:b/>
                <w:sz w:val="20"/>
                <w:szCs w:val="20"/>
              </w:rPr>
            </w:pPr>
            <w:r w:rsidRPr="00AD4B28">
              <w:rPr>
                <w:rFonts w:cstheme="minorHAnsi"/>
                <w:b/>
                <w:sz w:val="20"/>
                <w:szCs w:val="20"/>
              </w:rPr>
              <w:t>Growth: Period 1 vs Period 2</w:t>
            </w:r>
          </w:p>
        </w:tc>
        <w:tc>
          <w:tcPr>
            <w:tcW w:w="1529" w:type="dxa"/>
            <w:tcBorders>
              <w:top w:val="single" w:sz="4" w:space="0" w:color="auto"/>
              <w:left w:val="single" w:sz="4" w:space="0" w:color="auto"/>
            </w:tcBorders>
            <w:shd w:val="clear" w:color="auto" w:fill="BFBFBF" w:themeFill="background1" w:themeFillShade="BF"/>
          </w:tcPr>
          <w:p w14:paraId="2563399C" w14:textId="600CDD71" w:rsidR="00F64564" w:rsidRPr="00AD4B28" w:rsidRDefault="00F64564" w:rsidP="000259B1">
            <w:pPr>
              <w:jc w:val="center"/>
              <w:rPr>
                <w:rFonts w:cstheme="minorHAnsi"/>
                <w:b/>
                <w:sz w:val="20"/>
                <w:szCs w:val="20"/>
              </w:rPr>
            </w:pPr>
            <w:r w:rsidRPr="00AD4B28">
              <w:rPr>
                <w:rFonts w:cstheme="minorHAnsi"/>
                <w:b/>
                <w:sz w:val="20"/>
                <w:szCs w:val="20"/>
              </w:rPr>
              <w:t>Growth: Period 2 vs Period 3</w:t>
            </w:r>
          </w:p>
        </w:tc>
      </w:tr>
      <w:tr w:rsidR="00F64564" w14:paraId="220555AF" w14:textId="77777777" w:rsidTr="000259B1">
        <w:trPr>
          <w:trHeight w:val="324"/>
        </w:trPr>
        <w:tc>
          <w:tcPr>
            <w:tcW w:w="1528" w:type="dxa"/>
            <w:vAlign w:val="center"/>
          </w:tcPr>
          <w:p w14:paraId="77980C27" w14:textId="68981F00" w:rsidR="00F64564" w:rsidRPr="00AD4B28" w:rsidRDefault="00F64564" w:rsidP="000259B1">
            <w:pPr>
              <w:jc w:val="center"/>
              <w:rPr>
                <w:rFonts w:cstheme="minorHAnsi"/>
                <w:sz w:val="20"/>
                <w:szCs w:val="20"/>
              </w:rPr>
            </w:pPr>
            <w:r w:rsidRPr="00AD4B28">
              <w:rPr>
                <w:rFonts w:cstheme="minorHAnsi"/>
                <w:sz w:val="20"/>
                <w:szCs w:val="20"/>
              </w:rPr>
              <w:t>NATALIZUMAB</w:t>
            </w:r>
          </w:p>
        </w:tc>
        <w:tc>
          <w:tcPr>
            <w:tcW w:w="1529" w:type="dxa"/>
            <w:vAlign w:val="center"/>
          </w:tcPr>
          <w:p w14:paraId="1F171FC4" w14:textId="0D8D160B" w:rsidR="00F64564" w:rsidRPr="00AD4B28" w:rsidRDefault="00F64564" w:rsidP="000259B1">
            <w:pPr>
              <w:jc w:val="center"/>
              <w:rPr>
                <w:rFonts w:cstheme="minorHAnsi"/>
                <w:sz w:val="20"/>
                <w:szCs w:val="20"/>
              </w:rPr>
            </w:pPr>
            <w:r w:rsidRPr="00AD4B28">
              <w:rPr>
                <w:sz w:val="20"/>
                <w:szCs w:val="20"/>
              </w:rPr>
              <w:t>19,539</w:t>
            </w:r>
          </w:p>
        </w:tc>
        <w:tc>
          <w:tcPr>
            <w:tcW w:w="1529" w:type="dxa"/>
            <w:vAlign w:val="center"/>
          </w:tcPr>
          <w:p w14:paraId="552A75BF" w14:textId="47505179" w:rsidR="00F64564" w:rsidRPr="00AD4B28" w:rsidRDefault="00F64564" w:rsidP="000259B1">
            <w:pPr>
              <w:jc w:val="center"/>
              <w:rPr>
                <w:rFonts w:cstheme="minorHAnsi"/>
                <w:sz w:val="20"/>
                <w:szCs w:val="20"/>
              </w:rPr>
            </w:pPr>
            <w:r w:rsidRPr="00AD4B28">
              <w:rPr>
                <w:sz w:val="20"/>
                <w:szCs w:val="20"/>
              </w:rPr>
              <w:t>21,653</w:t>
            </w:r>
          </w:p>
        </w:tc>
        <w:tc>
          <w:tcPr>
            <w:tcW w:w="1529" w:type="dxa"/>
            <w:vAlign w:val="center"/>
          </w:tcPr>
          <w:p w14:paraId="58F40E88" w14:textId="49909481" w:rsidR="00F64564" w:rsidRPr="00AD4B28" w:rsidRDefault="00F64564" w:rsidP="000259B1">
            <w:pPr>
              <w:jc w:val="center"/>
              <w:rPr>
                <w:rFonts w:cstheme="minorHAnsi"/>
                <w:sz w:val="20"/>
                <w:szCs w:val="20"/>
              </w:rPr>
            </w:pPr>
            <w:r w:rsidRPr="00AD4B28">
              <w:rPr>
                <w:sz w:val="20"/>
                <w:szCs w:val="20"/>
              </w:rPr>
              <w:t>22,721</w:t>
            </w:r>
          </w:p>
        </w:tc>
        <w:tc>
          <w:tcPr>
            <w:tcW w:w="1529" w:type="dxa"/>
            <w:vAlign w:val="center"/>
          </w:tcPr>
          <w:p w14:paraId="25DE51B2" w14:textId="00C402C5" w:rsidR="00F64564" w:rsidRPr="00AD4B28" w:rsidRDefault="00F64564" w:rsidP="000259B1">
            <w:pPr>
              <w:jc w:val="center"/>
              <w:rPr>
                <w:rFonts w:cstheme="minorHAnsi"/>
                <w:sz w:val="20"/>
                <w:szCs w:val="20"/>
              </w:rPr>
            </w:pPr>
            <w:r w:rsidRPr="00AD4B28">
              <w:rPr>
                <w:rFonts w:cstheme="minorHAnsi"/>
                <w:sz w:val="20"/>
                <w:szCs w:val="20"/>
              </w:rPr>
              <w:t>10%</w:t>
            </w:r>
          </w:p>
        </w:tc>
        <w:tc>
          <w:tcPr>
            <w:tcW w:w="1529" w:type="dxa"/>
            <w:vAlign w:val="center"/>
          </w:tcPr>
          <w:p w14:paraId="5CF0EEC8" w14:textId="7AAAE028" w:rsidR="00F64564" w:rsidRDefault="00F64564" w:rsidP="000259B1">
            <w:pPr>
              <w:jc w:val="center"/>
              <w:rPr>
                <w:rFonts w:cstheme="minorHAnsi"/>
                <w:sz w:val="20"/>
                <w:szCs w:val="20"/>
              </w:rPr>
            </w:pPr>
            <w:r w:rsidRPr="00AD4B28">
              <w:rPr>
                <w:rFonts w:cstheme="minorHAnsi"/>
                <w:sz w:val="20"/>
                <w:szCs w:val="20"/>
              </w:rPr>
              <w:t>5%</w:t>
            </w:r>
          </w:p>
        </w:tc>
      </w:tr>
    </w:tbl>
    <w:p w14:paraId="232451F0" w14:textId="77777777" w:rsidR="00F64564" w:rsidRDefault="00F64564" w:rsidP="00A906AD">
      <w:pPr>
        <w:spacing w:after="0"/>
        <w:rPr>
          <w:rFonts w:cstheme="minorHAnsi"/>
          <w:sz w:val="20"/>
          <w:szCs w:val="20"/>
        </w:rPr>
      </w:pPr>
    </w:p>
    <w:p w14:paraId="34A80B47" w14:textId="4912A09E" w:rsidR="007F48E5" w:rsidRDefault="007F48E5">
      <w:pPr>
        <w:spacing w:line="276" w:lineRule="auto"/>
        <w:rPr>
          <w:rFonts w:ascii="Calibri" w:eastAsia="Times New Roman" w:hAnsi="Calibri" w:cs="Arial"/>
          <w:b/>
          <w:i/>
          <w:color w:val="222222"/>
        </w:rPr>
      </w:pPr>
      <w:r>
        <w:rPr>
          <w:rFonts w:ascii="Calibri" w:eastAsia="Times New Roman" w:hAnsi="Calibri" w:cs="Arial"/>
          <w:b/>
          <w:i/>
          <w:color w:val="222222"/>
        </w:rPr>
        <w:br w:type="page"/>
      </w:r>
    </w:p>
    <w:p w14:paraId="1AA41E01" w14:textId="251FC623" w:rsidR="005103D9" w:rsidRPr="00285B3F" w:rsidRDefault="005103D9" w:rsidP="00285B3F">
      <w:pPr>
        <w:spacing w:line="300" w:lineRule="atLeast"/>
        <w:rPr>
          <w:rFonts w:ascii="Calibri" w:eastAsia="Times New Roman" w:hAnsi="Calibri" w:cs="Arial"/>
          <w:b/>
          <w:i/>
          <w:color w:val="222222"/>
        </w:rPr>
      </w:pPr>
      <w:r w:rsidRPr="00285B3F">
        <w:rPr>
          <w:rFonts w:ascii="Calibri" w:eastAsia="Times New Roman" w:hAnsi="Calibri" w:cs="Arial"/>
          <w:b/>
          <w:i/>
          <w:color w:val="222222"/>
        </w:rPr>
        <w:lastRenderedPageBreak/>
        <w:t>Benefits</w:t>
      </w:r>
    </w:p>
    <w:p w14:paraId="4772A6C1" w14:textId="4CB2899B" w:rsidR="00191643" w:rsidRDefault="008A6B32" w:rsidP="003642E0">
      <w:pPr>
        <w:rPr>
          <w:rFonts w:cstheme="minorHAnsi"/>
        </w:rPr>
      </w:pPr>
      <w:r>
        <w:rPr>
          <w:rFonts w:cstheme="minorHAnsi"/>
        </w:rPr>
        <w:t xml:space="preserve">The net cost to Government </w:t>
      </w:r>
      <w:r w:rsidR="003A32A2">
        <w:rPr>
          <w:rFonts w:cstheme="minorHAnsi"/>
        </w:rPr>
        <w:t xml:space="preserve">for RRMS therapy </w:t>
      </w:r>
      <w:r>
        <w:rPr>
          <w:rFonts w:cstheme="minorHAnsi"/>
        </w:rPr>
        <w:t>based on the</w:t>
      </w:r>
      <w:r w:rsidR="003A32A2">
        <w:rPr>
          <w:rFonts w:cstheme="minorHAnsi"/>
        </w:rPr>
        <w:t>ir</w:t>
      </w:r>
      <w:r>
        <w:rPr>
          <w:rFonts w:cstheme="minorHAnsi"/>
        </w:rPr>
        <w:t xml:space="preserve"> </w:t>
      </w:r>
      <w:r w:rsidR="004777C1">
        <w:rPr>
          <w:rFonts w:cstheme="minorHAnsi"/>
        </w:rPr>
        <w:t xml:space="preserve">published </w:t>
      </w:r>
      <w:r>
        <w:rPr>
          <w:rFonts w:cstheme="minorHAnsi"/>
        </w:rPr>
        <w:t xml:space="preserve">prices are </w:t>
      </w:r>
      <w:r w:rsidR="003A32A2">
        <w:rPr>
          <w:rFonts w:cstheme="minorHAnsi"/>
        </w:rPr>
        <w:t>provided</w:t>
      </w:r>
      <w:r>
        <w:rPr>
          <w:rFonts w:cstheme="minorHAnsi"/>
        </w:rPr>
        <w:t xml:space="preserve"> in Table </w:t>
      </w:r>
      <w:r w:rsidR="003A32A2">
        <w:rPr>
          <w:rFonts w:cstheme="minorHAnsi"/>
        </w:rPr>
        <w:t>1</w:t>
      </w:r>
      <w:r w:rsidR="00C759D2">
        <w:rPr>
          <w:rFonts w:cstheme="minorHAnsi"/>
        </w:rPr>
        <w:t>2</w:t>
      </w:r>
      <w:r>
        <w:rPr>
          <w:rFonts w:cstheme="minorHAnsi"/>
        </w:rPr>
        <w:t>.</w:t>
      </w:r>
    </w:p>
    <w:p w14:paraId="257A402D" w14:textId="0FD19FFB" w:rsidR="008A6B32" w:rsidRPr="008A6B32" w:rsidRDefault="008A6B32" w:rsidP="003642E0">
      <w:pPr>
        <w:rPr>
          <w:rFonts w:cstheme="minorHAnsi"/>
          <w:b/>
        </w:rPr>
      </w:pPr>
      <w:r w:rsidRPr="008A6B32">
        <w:rPr>
          <w:rFonts w:cstheme="minorHAnsi"/>
          <w:b/>
        </w:rPr>
        <w:t xml:space="preserve">Table </w:t>
      </w:r>
      <w:r w:rsidR="00BB030E">
        <w:rPr>
          <w:rFonts w:cstheme="minorHAnsi"/>
          <w:b/>
        </w:rPr>
        <w:t>1</w:t>
      </w:r>
      <w:r w:rsidR="00C759D2">
        <w:rPr>
          <w:rFonts w:cstheme="minorHAnsi"/>
          <w:b/>
        </w:rPr>
        <w:t>2</w:t>
      </w:r>
      <w:r w:rsidRPr="008A6B32">
        <w:rPr>
          <w:rFonts w:cstheme="minorHAnsi"/>
          <w:b/>
        </w:rPr>
        <w:t>. Net cost to the Commonwealth based on the published prices for the RMSS therapies</w:t>
      </w:r>
    </w:p>
    <w:tbl>
      <w:tblPr>
        <w:tblStyle w:val="TableGrid"/>
        <w:tblW w:w="0" w:type="auto"/>
        <w:tblLook w:val="04A0" w:firstRow="1" w:lastRow="0" w:firstColumn="1" w:lastColumn="0" w:noHBand="0" w:noVBand="1"/>
      </w:tblPr>
      <w:tblGrid>
        <w:gridCol w:w="1089"/>
        <w:gridCol w:w="885"/>
        <w:gridCol w:w="886"/>
        <w:gridCol w:w="886"/>
        <w:gridCol w:w="904"/>
        <w:gridCol w:w="904"/>
        <w:gridCol w:w="904"/>
        <w:gridCol w:w="905"/>
        <w:gridCol w:w="905"/>
        <w:gridCol w:w="905"/>
      </w:tblGrid>
      <w:tr w:rsidR="002672C7" w:rsidRPr="000259B1" w14:paraId="0F3DA3D7" w14:textId="77777777" w:rsidTr="000259B1">
        <w:tc>
          <w:tcPr>
            <w:tcW w:w="1089" w:type="dxa"/>
            <w:tcBorders>
              <w:top w:val="nil"/>
              <w:left w:val="nil"/>
            </w:tcBorders>
          </w:tcPr>
          <w:p w14:paraId="613E35CA" w14:textId="77777777" w:rsidR="002672C7" w:rsidRPr="000259B1" w:rsidRDefault="002672C7" w:rsidP="003642E0">
            <w:pPr>
              <w:rPr>
                <w:rFonts w:cstheme="minorHAnsi"/>
                <w:sz w:val="20"/>
                <w:szCs w:val="22"/>
              </w:rPr>
            </w:pPr>
          </w:p>
        </w:tc>
        <w:tc>
          <w:tcPr>
            <w:tcW w:w="885" w:type="dxa"/>
            <w:shd w:val="clear" w:color="auto" w:fill="BFBFBF" w:themeFill="background1" w:themeFillShade="BF"/>
          </w:tcPr>
          <w:p w14:paraId="2AA27308" w14:textId="78399C0F" w:rsidR="002672C7" w:rsidRPr="000259B1" w:rsidRDefault="002672C7" w:rsidP="000259B1">
            <w:pPr>
              <w:jc w:val="center"/>
              <w:rPr>
                <w:rFonts w:cstheme="minorHAnsi"/>
                <w:b/>
                <w:sz w:val="20"/>
                <w:szCs w:val="22"/>
              </w:rPr>
            </w:pPr>
            <w:r w:rsidRPr="000259B1">
              <w:rPr>
                <w:rFonts w:cstheme="minorHAnsi"/>
                <w:b/>
                <w:sz w:val="20"/>
                <w:szCs w:val="22"/>
              </w:rPr>
              <w:t>2006</w:t>
            </w:r>
          </w:p>
        </w:tc>
        <w:tc>
          <w:tcPr>
            <w:tcW w:w="886" w:type="dxa"/>
            <w:shd w:val="clear" w:color="auto" w:fill="BFBFBF" w:themeFill="background1" w:themeFillShade="BF"/>
          </w:tcPr>
          <w:p w14:paraId="3523BBEB" w14:textId="5524DB51" w:rsidR="002672C7" w:rsidRPr="000259B1" w:rsidRDefault="002672C7" w:rsidP="000259B1">
            <w:pPr>
              <w:jc w:val="center"/>
              <w:rPr>
                <w:rFonts w:cstheme="minorHAnsi"/>
                <w:b/>
                <w:sz w:val="20"/>
                <w:szCs w:val="22"/>
              </w:rPr>
            </w:pPr>
            <w:r w:rsidRPr="000259B1">
              <w:rPr>
                <w:rFonts w:cstheme="minorHAnsi"/>
                <w:b/>
                <w:sz w:val="20"/>
                <w:szCs w:val="22"/>
              </w:rPr>
              <w:t>2007</w:t>
            </w:r>
          </w:p>
        </w:tc>
        <w:tc>
          <w:tcPr>
            <w:tcW w:w="886" w:type="dxa"/>
            <w:shd w:val="clear" w:color="auto" w:fill="BFBFBF" w:themeFill="background1" w:themeFillShade="BF"/>
          </w:tcPr>
          <w:p w14:paraId="36ED012F" w14:textId="01FE939D" w:rsidR="002672C7" w:rsidRPr="000259B1" w:rsidRDefault="002672C7" w:rsidP="000259B1">
            <w:pPr>
              <w:jc w:val="center"/>
              <w:rPr>
                <w:rFonts w:cstheme="minorHAnsi"/>
                <w:b/>
                <w:sz w:val="20"/>
                <w:szCs w:val="22"/>
              </w:rPr>
            </w:pPr>
            <w:r w:rsidRPr="000259B1">
              <w:rPr>
                <w:rFonts w:cstheme="minorHAnsi"/>
                <w:b/>
                <w:sz w:val="20"/>
                <w:szCs w:val="22"/>
              </w:rPr>
              <w:t>2008</w:t>
            </w:r>
          </w:p>
        </w:tc>
        <w:tc>
          <w:tcPr>
            <w:tcW w:w="904" w:type="dxa"/>
            <w:shd w:val="clear" w:color="auto" w:fill="BFBFBF" w:themeFill="background1" w:themeFillShade="BF"/>
          </w:tcPr>
          <w:p w14:paraId="3D53479C" w14:textId="1E7191B4" w:rsidR="002672C7" w:rsidRPr="000259B1" w:rsidRDefault="002672C7" w:rsidP="000259B1">
            <w:pPr>
              <w:jc w:val="center"/>
              <w:rPr>
                <w:rFonts w:cstheme="minorHAnsi"/>
                <w:b/>
                <w:sz w:val="20"/>
                <w:szCs w:val="22"/>
              </w:rPr>
            </w:pPr>
            <w:r w:rsidRPr="000259B1">
              <w:rPr>
                <w:rFonts w:cstheme="minorHAnsi"/>
                <w:b/>
                <w:sz w:val="20"/>
                <w:szCs w:val="22"/>
              </w:rPr>
              <w:t>2009</w:t>
            </w:r>
          </w:p>
        </w:tc>
        <w:tc>
          <w:tcPr>
            <w:tcW w:w="904" w:type="dxa"/>
            <w:shd w:val="clear" w:color="auto" w:fill="BFBFBF" w:themeFill="background1" w:themeFillShade="BF"/>
          </w:tcPr>
          <w:p w14:paraId="3EEEF5DA" w14:textId="05EF6B8E" w:rsidR="002672C7" w:rsidRPr="000259B1" w:rsidRDefault="002672C7" w:rsidP="000259B1">
            <w:pPr>
              <w:jc w:val="center"/>
              <w:rPr>
                <w:rFonts w:cstheme="minorHAnsi"/>
                <w:b/>
                <w:sz w:val="20"/>
                <w:szCs w:val="22"/>
              </w:rPr>
            </w:pPr>
            <w:r w:rsidRPr="000259B1">
              <w:rPr>
                <w:rFonts w:cstheme="minorHAnsi"/>
                <w:b/>
                <w:sz w:val="20"/>
                <w:szCs w:val="22"/>
              </w:rPr>
              <w:t>2010</w:t>
            </w:r>
          </w:p>
        </w:tc>
        <w:tc>
          <w:tcPr>
            <w:tcW w:w="904" w:type="dxa"/>
            <w:shd w:val="clear" w:color="auto" w:fill="BFBFBF" w:themeFill="background1" w:themeFillShade="BF"/>
          </w:tcPr>
          <w:p w14:paraId="705A7F4A" w14:textId="4CFDE3CD" w:rsidR="002672C7" w:rsidRPr="000259B1" w:rsidRDefault="002672C7" w:rsidP="000259B1">
            <w:pPr>
              <w:jc w:val="center"/>
              <w:rPr>
                <w:rFonts w:cstheme="minorHAnsi"/>
                <w:b/>
                <w:sz w:val="20"/>
                <w:szCs w:val="22"/>
              </w:rPr>
            </w:pPr>
            <w:r w:rsidRPr="000259B1">
              <w:rPr>
                <w:rFonts w:cstheme="minorHAnsi"/>
                <w:b/>
                <w:sz w:val="20"/>
                <w:szCs w:val="22"/>
              </w:rPr>
              <w:t>2011</w:t>
            </w:r>
          </w:p>
        </w:tc>
        <w:tc>
          <w:tcPr>
            <w:tcW w:w="905" w:type="dxa"/>
            <w:shd w:val="clear" w:color="auto" w:fill="BFBFBF" w:themeFill="background1" w:themeFillShade="BF"/>
          </w:tcPr>
          <w:p w14:paraId="5AD22494" w14:textId="431918AC" w:rsidR="002672C7" w:rsidRPr="000259B1" w:rsidRDefault="002672C7" w:rsidP="000259B1">
            <w:pPr>
              <w:jc w:val="center"/>
              <w:rPr>
                <w:rFonts w:cstheme="minorHAnsi"/>
                <w:b/>
                <w:sz w:val="20"/>
                <w:szCs w:val="22"/>
              </w:rPr>
            </w:pPr>
            <w:r w:rsidRPr="000259B1">
              <w:rPr>
                <w:rFonts w:cstheme="minorHAnsi"/>
                <w:b/>
                <w:sz w:val="20"/>
                <w:szCs w:val="22"/>
              </w:rPr>
              <w:t>2012</w:t>
            </w:r>
          </w:p>
        </w:tc>
        <w:tc>
          <w:tcPr>
            <w:tcW w:w="905" w:type="dxa"/>
            <w:shd w:val="clear" w:color="auto" w:fill="BFBFBF" w:themeFill="background1" w:themeFillShade="BF"/>
          </w:tcPr>
          <w:p w14:paraId="4AD234C8" w14:textId="34D45939" w:rsidR="002672C7" w:rsidRPr="000259B1" w:rsidRDefault="002672C7" w:rsidP="000259B1">
            <w:pPr>
              <w:jc w:val="center"/>
              <w:rPr>
                <w:rFonts w:cstheme="minorHAnsi"/>
                <w:b/>
                <w:sz w:val="20"/>
                <w:szCs w:val="22"/>
              </w:rPr>
            </w:pPr>
            <w:r w:rsidRPr="000259B1">
              <w:rPr>
                <w:rFonts w:cstheme="minorHAnsi"/>
                <w:b/>
                <w:sz w:val="20"/>
                <w:szCs w:val="22"/>
              </w:rPr>
              <w:t>2013</w:t>
            </w:r>
          </w:p>
        </w:tc>
        <w:tc>
          <w:tcPr>
            <w:tcW w:w="905" w:type="dxa"/>
            <w:shd w:val="clear" w:color="auto" w:fill="BFBFBF" w:themeFill="background1" w:themeFillShade="BF"/>
          </w:tcPr>
          <w:p w14:paraId="7D3FAF86" w14:textId="516FB846" w:rsidR="002672C7" w:rsidRPr="000259B1" w:rsidRDefault="002672C7" w:rsidP="000259B1">
            <w:pPr>
              <w:jc w:val="center"/>
              <w:rPr>
                <w:rFonts w:cstheme="minorHAnsi"/>
                <w:b/>
                <w:sz w:val="20"/>
                <w:szCs w:val="22"/>
              </w:rPr>
            </w:pPr>
            <w:r w:rsidRPr="000259B1">
              <w:rPr>
                <w:rFonts w:cstheme="minorHAnsi"/>
                <w:b/>
                <w:sz w:val="20"/>
                <w:szCs w:val="22"/>
              </w:rPr>
              <w:t>2014</w:t>
            </w:r>
          </w:p>
        </w:tc>
      </w:tr>
      <w:tr w:rsidR="002672C7" w:rsidRPr="000259B1" w14:paraId="3097F8B6" w14:textId="77777777" w:rsidTr="00DA4708">
        <w:tc>
          <w:tcPr>
            <w:tcW w:w="1089" w:type="dxa"/>
          </w:tcPr>
          <w:p w14:paraId="39838AAF" w14:textId="5640715C" w:rsidR="002672C7" w:rsidRPr="000259B1" w:rsidRDefault="002672C7" w:rsidP="003642E0">
            <w:pPr>
              <w:rPr>
                <w:rFonts w:cstheme="minorHAnsi"/>
                <w:sz w:val="20"/>
                <w:szCs w:val="22"/>
              </w:rPr>
            </w:pPr>
            <w:r w:rsidRPr="000259B1">
              <w:rPr>
                <w:rFonts w:cstheme="minorHAnsi"/>
                <w:sz w:val="20"/>
                <w:szCs w:val="22"/>
              </w:rPr>
              <w:t>Published cost</w:t>
            </w:r>
          </w:p>
          <w:p w14:paraId="4AC321D5" w14:textId="066C321F" w:rsidR="00E001BF" w:rsidRPr="000259B1" w:rsidRDefault="00E001BF" w:rsidP="003642E0">
            <w:pPr>
              <w:rPr>
                <w:rFonts w:cstheme="minorHAnsi"/>
                <w:sz w:val="20"/>
                <w:szCs w:val="22"/>
              </w:rPr>
            </w:pPr>
            <w:r w:rsidRPr="000259B1">
              <w:rPr>
                <w:rFonts w:cstheme="minorHAnsi"/>
                <w:sz w:val="20"/>
                <w:szCs w:val="22"/>
              </w:rPr>
              <w:t>($m)</w:t>
            </w:r>
          </w:p>
        </w:tc>
        <w:tc>
          <w:tcPr>
            <w:tcW w:w="885" w:type="dxa"/>
            <w:vAlign w:val="bottom"/>
          </w:tcPr>
          <w:p w14:paraId="3AF5C118" w14:textId="7660DD2F" w:rsidR="002672C7" w:rsidRPr="000259B1" w:rsidRDefault="002672C7" w:rsidP="000259B1">
            <w:pPr>
              <w:jc w:val="center"/>
              <w:rPr>
                <w:rFonts w:cstheme="minorHAnsi"/>
                <w:sz w:val="20"/>
                <w:szCs w:val="22"/>
              </w:rPr>
            </w:pPr>
            <w:r w:rsidRPr="000259B1">
              <w:rPr>
                <w:rFonts w:ascii="Calibri" w:hAnsi="Calibri"/>
                <w:sz w:val="20"/>
                <w:szCs w:val="22"/>
              </w:rPr>
              <w:t>$91.0</w:t>
            </w:r>
          </w:p>
        </w:tc>
        <w:tc>
          <w:tcPr>
            <w:tcW w:w="886" w:type="dxa"/>
            <w:vAlign w:val="bottom"/>
          </w:tcPr>
          <w:p w14:paraId="00FD91F6" w14:textId="7D125087" w:rsidR="002672C7" w:rsidRPr="000259B1" w:rsidRDefault="002672C7" w:rsidP="000259B1">
            <w:pPr>
              <w:jc w:val="center"/>
              <w:rPr>
                <w:rFonts w:cstheme="minorHAnsi"/>
                <w:sz w:val="20"/>
                <w:szCs w:val="22"/>
              </w:rPr>
            </w:pPr>
            <w:r w:rsidRPr="000259B1">
              <w:rPr>
                <w:rFonts w:ascii="Calibri" w:hAnsi="Calibri"/>
                <w:sz w:val="20"/>
                <w:szCs w:val="22"/>
              </w:rPr>
              <w:t>$93.4</w:t>
            </w:r>
          </w:p>
        </w:tc>
        <w:tc>
          <w:tcPr>
            <w:tcW w:w="886" w:type="dxa"/>
            <w:vAlign w:val="bottom"/>
          </w:tcPr>
          <w:p w14:paraId="1AD52E7C" w14:textId="42A84002" w:rsidR="002672C7" w:rsidRPr="000259B1" w:rsidRDefault="002672C7" w:rsidP="000259B1">
            <w:pPr>
              <w:jc w:val="center"/>
              <w:rPr>
                <w:rFonts w:cstheme="minorHAnsi"/>
                <w:sz w:val="20"/>
                <w:szCs w:val="22"/>
              </w:rPr>
            </w:pPr>
            <w:r w:rsidRPr="000259B1">
              <w:rPr>
                <w:rFonts w:ascii="Calibri" w:hAnsi="Calibri"/>
                <w:sz w:val="20"/>
                <w:szCs w:val="22"/>
              </w:rPr>
              <w:t>$95.4</w:t>
            </w:r>
          </w:p>
        </w:tc>
        <w:tc>
          <w:tcPr>
            <w:tcW w:w="904" w:type="dxa"/>
            <w:vAlign w:val="bottom"/>
          </w:tcPr>
          <w:p w14:paraId="7F6513A6" w14:textId="4BAC5508" w:rsidR="002672C7" w:rsidRPr="000259B1" w:rsidRDefault="002672C7" w:rsidP="000259B1">
            <w:pPr>
              <w:jc w:val="center"/>
              <w:rPr>
                <w:rFonts w:cstheme="minorHAnsi"/>
                <w:sz w:val="20"/>
                <w:szCs w:val="22"/>
              </w:rPr>
            </w:pPr>
            <w:r w:rsidRPr="000259B1">
              <w:rPr>
                <w:rFonts w:ascii="Calibri" w:hAnsi="Calibri"/>
                <w:sz w:val="20"/>
                <w:szCs w:val="22"/>
              </w:rPr>
              <w:t>$106.6</w:t>
            </w:r>
          </w:p>
        </w:tc>
        <w:tc>
          <w:tcPr>
            <w:tcW w:w="904" w:type="dxa"/>
            <w:vAlign w:val="bottom"/>
          </w:tcPr>
          <w:p w14:paraId="63AFD362" w14:textId="2D46F89D" w:rsidR="002672C7" w:rsidRPr="000259B1" w:rsidRDefault="002672C7" w:rsidP="000259B1">
            <w:pPr>
              <w:jc w:val="center"/>
              <w:rPr>
                <w:rFonts w:cstheme="minorHAnsi"/>
                <w:sz w:val="20"/>
                <w:szCs w:val="22"/>
              </w:rPr>
            </w:pPr>
            <w:r w:rsidRPr="000259B1">
              <w:rPr>
                <w:rFonts w:ascii="Calibri" w:hAnsi="Calibri"/>
                <w:sz w:val="20"/>
                <w:szCs w:val="22"/>
              </w:rPr>
              <w:t>$110.0</w:t>
            </w:r>
          </w:p>
        </w:tc>
        <w:tc>
          <w:tcPr>
            <w:tcW w:w="904" w:type="dxa"/>
            <w:vAlign w:val="bottom"/>
          </w:tcPr>
          <w:p w14:paraId="6B4D336F" w14:textId="16BC574F" w:rsidR="002672C7" w:rsidRPr="000259B1" w:rsidRDefault="002672C7" w:rsidP="000259B1">
            <w:pPr>
              <w:jc w:val="center"/>
              <w:rPr>
                <w:rFonts w:cstheme="minorHAnsi"/>
                <w:sz w:val="20"/>
                <w:szCs w:val="22"/>
              </w:rPr>
            </w:pPr>
            <w:r w:rsidRPr="000259B1">
              <w:rPr>
                <w:rFonts w:ascii="Calibri" w:hAnsi="Calibri"/>
                <w:sz w:val="20"/>
                <w:szCs w:val="22"/>
              </w:rPr>
              <w:t>$114.2</w:t>
            </w:r>
          </w:p>
        </w:tc>
        <w:tc>
          <w:tcPr>
            <w:tcW w:w="905" w:type="dxa"/>
            <w:vAlign w:val="bottom"/>
          </w:tcPr>
          <w:p w14:paraId="0BBB2B8E" w14:textId="526E34FC" w:rsidR="002672C7" w:rsidRPr="000259B1" w:rsidRDefault="002672C7" w:rsidP="000259B1">
            <w:pPr>
              <w:jc w:val="center"/>
              <w:rPr>
                <w:rFonts w:cstheme="minorHAnsi"/>
                <w:sz w:val="20"/>
                <w:szCs w:val="22"/>
              </w:rPr>
            </w:pPr>
            <w:r w:rsidRPr="000259B1">
              <w:rPr>
                <w:rFonts w:ascii="Calibri" w:hAnsi="Calibri"/>
                <w:sz w:val="20"/>
                <w:szCs w:val="22"/>
              </w:rPr>
              <w:t>$181.6</w:t>
            </w:r>
          </w:p>
        </w:tc>
        <w:tc>
          <w:tcPr>
            <w:tcW w:w="905" w:type="dxa"/>
            <w:vAlign w:val="bottom"/>
          </w:tcPr>
          <w:p w14:paraId="26828E3A" w14:textId="68F385BB" w:rsidR="002672C7" w:rsidRPr="000259B1" w:rsidRDefault="002672C7" w:rsidP="000259B1">
            <w:pPr>
              <w:jc w:val="center"/>
              <w:rPr>
                <w:rFonts w:cstheme="minorHAnsi"/>
                <w:sz w:val="20"/>
                <w:szCs w:val="22"/>
              </w:rPr>
            </w:pPr>
            <w:r w:rsidRPr="000259B1">
              <w:rPr>
                <w:rFonts w:ascii="Calibri" w:hAnsi="Calibri"/>
                <w:sz w:val="20"/>
                <w:szCs w:val="22"/>
              </w:rPr>
              <w:t>$194.7</w:t>
            </w:r>
          </w:p>
        </w:tc>
        <w:tc>
          <w:tcPr>
            <w:tcW w:w="905" w:type="dxa"/>
            <w:vAlign w:val="bottom"/>
          </w:tcPr>
          <w:p w14:paraId="7996FDEA" w14:textId="615E3D22" w:rsidR="002672C7" w:rsidRPr="000259B1" w:rsidRDefault="002672C7" w:rsidP="000259B1">
            <w:pPr>
              <w:jc w:val="center"/>
              <w:rPr>
                <w:rFonts w:cstheme="minorHAnsi"/>
                <w:sz w:val="20"/>
                <w:szCs w:val="22"/>
              </w:rPr>
            </w:pPr>
            <w:r w:rsidRPr="000259B1">
              <w:rPr>
                <w:rFonts w:ascii="Calibri" w:hAnsi="Calibri"/>
                <w:sz w:val="20"/>
                <w:szCs w:val="22"/>
              </w:rPr>
              <w:t>$288.4</w:t>
            </w:r>
          </w:p>
        </w:tc>
      </w:tr>
    </w:tbl>
    <w:p w14:paraId="14740D49" w14:textId="0149AC25" w:rsidR="00191643" w:rsidRPr="00067FBC" w:rsidRDefault="00E001BF" w:rsidP="003642E0">
      <w:pPr>
        <w:rPr>
          <w:rFonts w:cstheme="minorHAnsi"/>
          <w:sz w:val="20"/>
          <w:szCs w:val="20"/>
        </w:rPr>
      </w:pPr>
      <w:r w:rsidRPr="00067FBC">
        <w:rPr>
          <w:rFonts w:cstheme="minorHAnsi"/>
          <w:sz w:val="20"/>
          <w:szCs w:val="20"/>
        </w:rPr>
        <w:t>Note:</w:t>
      </w:r>
      <w:r w:rsidR="00A06953" w:rsidRPr="00067FBC">
        <w:rPr>
          <w:rFonts w:cstheme="minorHAnsi"/>
          <w:sz w:val="20"/>
          <w:szCs w:val="20"/>
        </w:rPr>
        <w:t xml:space="preserve"> Figures are based on the date of processing</w:t>
      </w:r>
      <w:r w:rsidR="005511F3" w:rsidRPr="00067FBC">
        <w:rPr>
          <w:rFonts w:cstheme="minorHAnsi"/>
          <w:sz w:val="20"/>
          <w:szCs w:val="20"/>
        </w:rPr>
        <w:t xml:space="preserve"> and are net of patient contributions</w:t>
      </w:r>
    </w:p>
    <w:p w14:paraId="71563B68" w14:textId="7B4413D6" w:rsidR="00020234" w:rsidRDefault="003C361B" w:rsidP="00020234">
      <w:pPr>
        <w:pStyle w:val="Heading3"/>
      </w:pPr>
      <w:r>
        <w:t>U</w:t>
      </w:r>
      <w:r w:rsidR="00020234" w:rsidRPr="005E22C2">
        <w:t>tilisation</w:t>
      </w:r>
      <w:r w:rsidR="00020234">
        <w:t xml:space="preserve"> for dimethyl fumarate</w:t>
      </w:r>
    </w:p>
    <w:p w14:paraId="5D385C3C" w14:textId="3BE80188" w:rsidR="00BD02D8" w:rsidRDefault="006004C1" w:rsidP="00301593">
      <w:pPr>
        <w:autoSpaceDE w:val="0"/>
        <w:autoSpaceDN w:val="0"/>
        <w:adjustRightInd w:val="0"/>
      </w:pPr>
      <w:r>
        <w:t xml:space="preserve">The submission assumed that </w:t>
      </w:r>
      <w:r w:rsidR="00B079D8">
        <w:t>dim</w:t>
      </w:r>
      <w:r w:rsidR="00F54B50">
        <w:t xml:space="preserve">ethyl fumarate would capture </w:t>
      </w:r>
      <w:r w:rsidR="00F54B50" w:rsidRPr="00F54B50">
        <w:rPr>
          <w:highlight w:val="black"/>
        </w:rPr>
        <w:t>XXX</w:t>
      </w:r>
      <w:r w:rsidR="00B079D8">
        <w:t xml:space="preserve"> of the fingolimod market share in its first listing year.</w:t>
      </w:r>
      <w:r>
        <w:t xml:space="preserve"> </w:t>
      </w:r>
      <w:r w:rsidR="008C3F52">
        <w:t xml:space="preserve">For the </w:t>
      </w:r>
      <w:r w:rsidR="00B079D8">
        <w:t xml:space="preserve">12 month </w:t>
      </w:r>
      <w:r w:rsidR="008C3F52">
        <w:t xml:space="preserve">period prior to the listing of dimethyl fumarate (1 December 2012 to 30 November 2013) 68% of first time RRMS users received fingolimod. In its first year of listing dimethyl fumarate captured </w:t>
      </w:r>
      <w:r w:rsidR="00E5335B">
        <w:t>53</w:t>
      </w:r>
      <w:r w:rsidR="00235DB3">
        <w:t>% o</w:t>
      </w:r>
      <w:r w:rsidR="00C759D2">
        <w:t>f first time initiators (Table 6</w:t>
      </w:r>
      <w:r w:rsidR="00235DB3">
        <w:t xml:space="preserve">). When compared to the prior period (December 2012 to November 2013) fingolimod’s </w:t>
      </w:r>
      <w:r w:rsidR="00870D9A">
        <w:t xml:space="preserve">market </w:t>
      </w:r>
      <w:r w:rsidR="00235DB3">
        <w:t xml:space="preserve">share </w:t>
      </w:r>
      <w:r w:rsidR="00870D9A">
        <w:t xml:space="preserve">for first time initiators </w:t>
      </w:r>
      <w:r w:rsidR="00235DB3">
        <w:t>fell by 42%</w:t>
      </w:r>
      <w:r w:rsidR="00661E33">
        <w:t>.</w:t>
      </w:r>
      <w:r w:rsidR="00235DB3">
        <w:t xml:space="preserve"> </w:t>
      </w:r>
    </w:p>
    <w:p w14:paraId="1B145C06" w14:textId="5E7089FB" w:rsidR="003476CE" w:rsidRDefault="00B079D8" w:rsidP="00301593">
      <w:pPr>
        <w:autoSpaceDE w:val="0"/>
        <w:autoSpaceDN w:val="0"/>
        <w:adjustRightInd w:val="0"/>
      </w:pPr>
      <w:r>
        <w:t xml:space="preserve">For the period </w:t>
      </w:r>
      <w:r w:rsidR="00060477">
        <w:t>December 2013 to November 2014</w:t>
      </w:r>
      <w:r w:rsidR="008614B3">
        <w:t xml:space="preserve">, 52% of patients switching to a new RRMS </w:t>
      </w:r>
      <w:r w:rsidR="00D928BB">
        <w:t xml:space="preserve">therapy </w:t>
      </w:r>
      <w:r w:rsidR="008614B3">
        <w:t>and 4</w:t>
      </w:r>
      <w:r w:rsidR="007C6959">
        <w:t>1</w:t>
      </w:r>
      <w:r w:rsidR="008614B3">
        <w:t>% of patients returning from a treatment break of more than 12 months were supplied with dimethyl fumarate.</w:t>
      </w:r>
      <w:r w:rsidR="00B23E2B">
        <w:t xml:space="preserve"> </w:t>
      </w:r>
      <w:r w:rsidR="00E13757">
        <w:t xml:space="preserve">During the same period a substantially lower proportion of switchers to a new RRMS </w:t>
      </w:r>
      <w:r w:rsidR="00D928BB">
        <w:t xml:space="preserve">therapy </w:t>
      </w:r>
      <w:r w:rsidR="00E13757">
        <w:t xml:space="preserve">and patients returning from a treatment break received fingolimod (21% and 16%, respectively). </w:t>
      </w:r>
      <w:r>
        <w:t>Of the 548 patients who s</w:t>
      </w:r>
      <w:r w:rsidR="00C759D2">
        <w:t>witched from fingolimod (Table 8</w:t>
      </w:r>
      <w:r>
        <w:t xml:space="preserve">), 55% switched to dimethyl fumarate. </w:t>
      </w:r>
      <w:r w:rsidR="00E13757">
        <w:t xml:space="preserve">Overall, dimethyl fumarate </w:t>
      </w:r>
      <w:r w:rsidR="005C6166">
        <w:t xml:space="preserve">captured a large market share from fingolimod in its first listing year but not to the 70% uptake level predicted by the submission. </w:t>
      </w:r>
    </w:p>
    <w:p w14:paraId="47C6D5F9" w14:textId="20902507" w:rsidR="00B75EE2" w:rsidRDefault="00B75EE2" w:rsidP="00301593">
      <w:pPr>
        <w:autoSpaceDE w:val="0"/>
        <w:autoSpaceDN w:val="0"/>
        <w:adjustRightInd w:val="0"/>
      </w:pPr>
      <w:r>
        <w:t>DUSC (June 2013) considered that the entry of dimethyl fumarate would act to grow the market rather than substitute for existing ABCR therapy and fingolimod. Referring to Table</w:t>
      </w:r>
      <w:r w:rsidR="00413BB3">
        <w:t>s</w:t>
      </w:r>
      <w:r w:rsidR="00E57BA6">
        <w:t xml:space="preserve"> 10</w:t>
      </w:r>
      <w:r>
        <w:t xml:space="preserve"> </w:t>
      </w:r>
      <w:r w:rsidR="00E57BA6">
        <w:t>and 11</w:t>
      </w:r>
      <w:r w:rsidR="00413BB3">
        <w:t xml:space="preserve"> </w:t>
      </w:r>
      <w:r>
        <w:t>above</w:t>
      </w:r>
      <w:r w:rsidR="00B23E2B">
        <w:t>,</w:t>
      </w:r>
      <w:r>
        <w:t xml:space="preserve"> </w:t>
      </w:r>
      <w:r w:rsidR="00517F30">
        <w:t xml:space="preserve">following the entry of dimethyl fumarate and teriflunomide declining growth was seen in the existing RRMS listings whereas </w:t>
      </w:r>
      <w:r>
        <w:t xml:space="preserve">the </w:t>
      </w:r>
      <w:r w:rsidR="00EB65DE">
        <w:t xml:space="preserve">growth in the </w:t>
      </w:r>
      <w:r>
        <w:t>overall RRMS market</w:t>
      </w:r>
      <w:r w:rsidR="00AD3203">
        <w:t xml:space="preserve"> </w:t>
      </w:r>
      <w:r>
        <w:t xml:space="preserve"> </w:t>
      </w:r>
      <w:r w:rsidR="00B23E2B">
        <w:t>inc</w:t>
      </w:r>
      <w:r w:rsidR="00AD3203">
        <w:t>reased by 8% (ie. from 6</w:t>
      </w:r>
      <w:r w:rsidR="00B23E2B">
        <w:t xml:space="preserve">% to 14%) </w:t>
      </w:r>
      <w:r w:rsidR="00517F30">
        <w:t>suggesting that the new oral RRMS</w:t>
      </w:r>
      <w:r w:rsidR="00D928BB">
        <w:t xml:space="preserve"> therapies</w:t>
      </w:r>
      <w:r w:rsidR="00517F30">
        <w:t xml:space="preserve"> acted to expand the market. </w:t>
      </w:r>
    </w:p>
    <w:p w14:paraId="524AF497" w14:textId="2C8DF568" w:rsidR="003D601A" w:rsidRDefault="00CF7E5E" w:rsidP="00301593">
      <w:pPr>
        <w:autoSpaceDE w:val="0"/>
        <w:autoSpaceDN w:val="0"/>
        <w:adjustRightInd w:val="0"/>
      </w:pPr>
      <w:r>
        <w:t>DUSC (June 2013) considered that the submission had underestimated the use of dimethyl fumarate. DUSC noted that the submission’s estimate of treated patients relied on the projected number of fingolimod patients and that the submission’s patient estimate for fingolimod in its first listing year was less than the actual number of patients supplied with fingolimod. DUSC considered that the incidence of RRMS would likely increase from a change in the McDonald diagnosi</w:t>
      </w:r>
      <w:r w:rsidR="00D5531B">
        <w:t>s criteria. As shown in Table 13</w:t>
      </w:r>
      <w:r>
        <w:t xml:space="preserve">, compared to actual figures the submission had substantially underestimated the use of dimethyl fumarate for its first listing year. </w:t>
      </w:r>
      <w:r w:rsidR="00650004">
        <w:t>The expendi</w:t>
      </w:r>
      <w:r w:rsidR="00392551">
        <w:t>t</w:t>
      </w:r>
      <w:r w:rsidR="00D5531B">
        <w:t>ure figures provided in Table 13</w:t>
      </w:r>
      <w:r w:rsidR="00650004">
        <w:t xml:space="preserve"> are based on the published prices for the 120 mg and 240 mg strength and are net of patient contributions.</w:t>
      </w:r>
    </w:p>
    <w:p w14:paraId="62509A55" w14:textId="79500B65" w:rsidR="00301593" w:rsidRDefault="000B4FA4" w:rsidP="00301593">
      <w:pPr>
        <w:pStyle w:val="Tabletitle"/>
        <w:spacing w:before="0" w:after="0"/>
      </w:pPr>
      <w:r>
        <w:lastRenderedPageBreak/>
        <w:t>Table 1</w:t>
      </w:r>
      <w:r w:rsidR="00D5531B">
        <w:t>3</w:t>
      </w:r>
      <w:r>
        <w:t>.</w:t>
      </w:r>
      <w:r w:rsidR="00301593">
        <w:t xml:space="preserve"> Predicted vs</w:t>
      </w:r>
      <w:r w:rsidR="00C11588">
        <w:t>.</w:t>
      </w:r>
      <w:r w:rsidR="00301593">
        <w:t xml:space="preserve"> Actual </w:t>
      </w:r>
      <w:r w:rsidR="00A863B9">
        <w:t>comparison</w:t>
      </w:r>
      <w:r w:rsidR="00301593">
        <w:t xml:space="preserve"> for dimethyl fumarate</w:t>
      </w:r>
    </w:p>
    <w:p w14:paraId="493D97C7" w14:textId="77777777" w:rsidR="00301593" w:rsidRDefault="00301593" w:rsidP="00301593">
      <w:pPr>
        <w:pStyle w:val="Tabletitle"/>
        <w:spacing w:before="0" w:after="0"/>
      </w:pPr>
    </w:p>
    <w:tbl>
      <w:tblPr>
        <w:tblW w:w="0" w:type="auto"/>
        <w:tblInd w:w="93" w:type="dxa"/>
        <w:tblLook w:val="04A0" w:firstRow="1" w:lastRow="0" w:firstColumn="1" w:lastColumn="0" w:noHBand="0" w:noVBand="1"/>
      </w:tblPr>
      <w:tblGrid>
        <w:gridCol w:w="2682"/>
        <w:gridCol w:w="1065"/>
        <w:gridCol w:w="1517"/>
        <w:gridCol w:w="1517"/>
        <w:gridCol w:w="1517"/>
      </w:tblGrid>
      <w:tr w:rsidR="002B3F35" w:rsidRPr="00D57FD9" w14:paraId="0B142B28" w14:textId="77777777" w:rsidTr="005B5840">
        <w:trPr>
          <w:trHeight w:val="300"/>
          <w:tblHeader/>
        </w:trPr>
        <w:tc>
          <w:tcPr>
            <w:tcW w:w="0" w:type="auto"/>
            <w:vMerge w:val="restart"/>
            <w:tcBorders>
              <w:bottom w:val="single" w:sz="8" w:space="0" w:color="000000"/>
            </w:tcBorders>
            <w:shd w:val="clear" w:color="auto" w:fill="auto"/>
            <w:noWrap/>
            <w:vAlign w:val="center"/>
            <w:hideMark/>
          </w:tcPr>
          <w:p w14:paraId="5AF49285" w14:textId="77777777" w:rsidR="00301593" w:rsidRPr="00D57FD9" w:rsidRDefault="00301593" w:rsidP="005A3882">
            <w:pPr>
              <w:pStyle w:val="TableText"/>
              <w:rPr>
                <w:rFonts w:asciiTheme="minorHAnsi" w:hAnsiTheme="minorHAnsi"/>
                <w:szCs w:val="20"/>
              </w:rPr>
            </w:pPr>
            <w:r w:rsidRPr="00D57FD9">
              <w:rPr>
                <w:rFonts w:asciiTheme="minorHAnsi" w:hAnsiTheme="minorHAnsi"/>
                <w:szCs w:val="20"/>
              </w:rPr>
              <w:t> </w:t>
            </w:r>
          </w:p>
        </w:tc>
        <w:tc>
          <w:tcPr>
            <w:tcW w:w="0" w:type="auto"/>
            <w:vMerge w:val="restart"/>
            <w:tcBorders>
              <w:bottom w:val="single" w:sz="8" w:space="0" w:color="000000"/>
              <w:right w:val="single" w:sz="8" w:space="0" w:color="auto"/>
            </w:tcBorders>
            <w:shd w:val="clear" w:color="auto" w:fill="auto"/>
            <w:vAlign w:val="center"/>
            <w:hideMark/>
          </w:tcPr>
          <w:p w14:paraId="73A5E15D" w14:textId="77777777" w:rsidR="00301593" w:rsidRPr="00D57FD9" w:rsidRDefault="00301593" w:rsidP="005A3882">
            <w:pPr>
              <w:pStyle w:val="TableText"/>
              <w:rPr>
                <w:rFonts w:asciiTheme="minorHAnsi" w:hAnsiTheme="minorHAnsi"/>
                <w:b/>
                <w:bCs/>
                <w:szCs w:val="20"/>
              </w:rPr>
            </w:pPr>
            <w:r w:rsidRPr="00D57FD9">
              <w:rPr>
                <w:rFonts w:asciiTheme="minorHAnsi" w:hAnsiTheme="minorHAnsi"/>
                <w:b/>
                <w:bCs/>
                <w:szCs w:val="20"/>
              </w:rPr>
              <w:t> </w:t>
            </w:r>
          </w:p>
        </w:tc>
        <w:tc>
          <w:tcPr>
            <w:tcW w:w="1517" w:type="dxa"/>
            <w:tcBorders>
              <w:top w:val="single" w:sz="8" w:space="0" w:color="auto"/>
              <w:left w:val="nil"/>
              <w:bottom w:val="nil"/>
              <w:right w:val="single" w:sz="8" w:space="0" w:color="auto"/>
            </w:tcBorders>
            <w:shd w:val="clear" w:color="auto" w:fill="BFBFBF" w:themeFill="background1" w:themeFillShade="BF"/>
            <w:noWrap/>
            <w:vAlign w:val="center"/>
            <w:hideMark/>
          </w:tcPr>
          <w:p w14:paraId="3DC39FF3" w14:textId="77777777" w:rsidR="00301593" w:rsidRPr="00D57FD9" w:rsidRDefault="00301593" w:rsidP="005A3882">
            <w:pPr>
              <w:pStyle w:val="TableText"/>
              <w:jc w:val="center"/>
              <w:rPr>
                <w:rFonts w:asciiTheme="minorHAnsi" w:hAnsiTheme="minorHAnsi"/>
                <w:b/>
                <w:bCs/>
                <w:szCs w:val="20"/>
              </w:rPr>
            </w:pPr>
            <w:r w:rsidRPr="00D57FD9">
              <w:rPr>
                <w:rFonts w:asciiTheme="minorHAnsi" w:hAnsiTheme="minorHAnsi"/>
                <w:b/>
                <w:bCs/>
                <w:szCs w:val="20"/>
              </w:rPr>
              <w:t>Utilisation of all strengths</w:t>
            </w:r>
          </w:p>
        </w:tc>
        <w:tc>
          <w:tcPr>
            <w:tcW w:w="1517" w:type="dxa"/>
            <w:tcBorders>
              <w:top w:val="single" w:sz="8" w:space="0" w:color="auto"/>
              <w:left w:val="nil"/>
              <w:bottom w:val="nil"/>
              <w:right w:val="single" w:sz="8" w:space="0" w:color="auto"/>
            </w:tcBorders>
            <w:shd w:val="clear" w:color="auto" w:fill="BFBFBF" w:themeFill="background1" w:themeFillShade="BF"/>
          </w:tcPr>
          <w:p w14:paraId="14DC0E2A" w14:textId="77777777" w:rsidR="00301593" w:rsidRPr="00D57FD9" w:rsidRDefault="00301593" w:rsidP="005A3882">
            <w:pPr>
              <w:pStyle w:val="TableText"/>
              <w:jc w:val="center"/>
              <w:rPr>
                <w:rFonts w:asciiTheme="minorHAnsi" w:hAnsiTheme="minorHAnsi"/>
                <w:b/>
                <w:bCs/>
                <w:szCs w:val="20"/>
              </w:rPr>
            </w:pPr>
            <w:r w:rsidRPr="00D57FD9">
              <w:rPr>
                <w:rFonts w:asciiTheme="minorHAnsi" w:hAnsiTheme="minorHAnsi"/>
                <w:b/>
                <w:bCs/>
                <w:szCs w:val="20"/>
              </w:rPr>
              <w:t>120 mg pack</w:t>
            </w:r>
          </w:p>
        </w:tc>
        <w:tc>
          <w:tcPr>
            <w:tcW w:w="1517" w:type="dxa"/>
            <w:tcBorders>
              <w:top w:val="single" w:sz="8" w:space="0" w:color="auto"/>
              <w:left w:val="nil"/>
              <w:bottom w:val="nil"/>
              <w:right w:val="single" w:sz="8" w:space="0" w:color="auto"/>
            </w:tcBorders>
            <w:shd w:val="clear" w:color="auto" w:fill="BFBFBF" w:themeFill="background1" w:themeFillShade="BF"/>
          </w:tcPr>
          <w:p w14:paraId="59180F6A" w14:textId="77777777" w:rsidR="00301593" w:rsidRPr="00D57FD9" w:rsidRDefault="00301593" w:rsidP="005A3882">
            <w:pPr>
              <w:pStyle w:val="TableText"/>
              <w:jc w:val="center"/>
              <w:rPr>
                <w:rFonts w:asciiTheme="minorHAnsi" w:hAnsiTheme="minorHAnsi"/>
                <w:b/>
                <w:bCs/>
                <w:szCs w:val="20"/>
              </w:rPr>
            </w:pPr>
            <w:r w:rsidRPr="00D57FD9">
              <w:rPr>
                <w:rFonts w:asciiTheme="minorHAnsi" w:hAnsiTheme="minorHAnsi"/>
                <w:b/>
                <w:bCs/>
                <w:szCs w:val="20"/>
              </w:rPr>
              <w:t>240 mg pack</w:t>
            </w:r>
          </w:p>
        </w:tc>
      </w:tr>
      <w:tr w:rsidR="002B3F35" w:rsidRPr="00D57FD9" w14:paraId="3FF6EF4A" w14:textId="77777777" w:rsidTr="005B5840">
        <w:trPr>
          <w:trHeight w:val="315"/>
          <w:tblHeader/>
        </w:trPr>
        <w:tc>
          <w:tcPr>
            <w:tcW w:w="0" w:type="auto"/>
            <w:vMerge/>
            <w:tcBorders>
              <w:top w:val="single" w:sz="8" w:space="0" w:color="auto"/>
              <w:bottom w:val="single" w:sz="8" w:space="0" w:color="000000"/>
            </w:tcBorders>
            <w:vAlign w:val="center"/>
            <w:hideMark/>
          </w:tcPr>
          <w:p w14:paraId="1FC84240" w14:textId="77777777" w:rsidR="00301593" w:rsidRPr="00D57FD9" w:rsidRDefault="00301593" w:rsidP="005A3882">
            <w:pPr>
              <w:pStyle w:val="TableText"/>
              <w:rPr>
                <w:rFonts w:asciiTheme="minorHAnsi" w:hAnsiTheme="minorHAnsi"/>
                <w:szCs w:val="20"/>
              </w:rPr>
            </w:pPr>
          </w:p>
        </w:tc>
        <w:tc>
          <w:tcPr>
            <w:tcW w:w="0" w:type="auto"/>
            <w:vMerge/>
            <w:tcBorders>
              <w:top w:val="single" w:sz="8" w:space="0" w:color="auto"/>
              <w:bottom w:val="single" w:sz="8" w:space="0" w:color="000000"/>
              <w:right w:val="single" w:sz="8" w:space="0" w:color="auto"/>
            </w:tcBorders>
            <w:vAlign w:val="center"/>
            <w:hideMark/>
          </w:tcPr>
          <w:p w14:paraId="60A244E0" w14:textId="77777777" w:rsidR="00301593" w:rsidRPr="00D57FD9" w:rsidRDefault="00301593" w:rsidP="005A3882">
            <w:pPr>
              <w:pStyle w:val="TableText"/>
              <w:rPr>
                <w:rFonts w:asciiTheme="minorHAnsi" w:hAnsiTheme="minorHAnsi"/>
                <w:b/>
                <w:bCs/>
                <w:szCs w:val="20"/>
              </w:rPr>
            </w:pPr>
          </w:p>
        </w:tc>
        <w:tc>
          <w:tcPr>
            <w:tcW w:w="1517" w:type="dxa"/>
            <w:tcBorders>
              <w:top w:val="nil"/>
              <w:left w:val="nil"/>
              <w:bottom w:val="single" w:sz="8" w:space="0" w:color="auto"/>
              <w:right w:val="single" w:sz="8" w:space="0" w:color="auto"/>
            </w:tcBorders>
            <w:shd w:val="clear" w:color="auto" w:fill="BFBFBF" w:themeFill="background1" w:themeFillShade="BF"/>
            <w:noWrap/>
            <w:vAlign w:val="center"/>
            <w:hideMark/>
          </w:tcPr>
          <w:p w14:paraId="4C3924FC" w14:textId="77777777" w:rsidR="00301593" w:rsidRPr="00D57FD9" w:rsidRDefault="00301593" w:rsidP="005A3882">
            <w:pPr>
              <w:pStyle w:val="TableText"/>
              <w:jc w:val="center"/>
              <w:rPr>
                <w:rFonts w:asciiTheme="minorHAnsi" w:hAnsiTheme="minorHAnsi"/>
                <w:szCs w:val="20"/>
              </w:rPr>
            </w:pPr>
            <w:r w:rsidRPr="00D57FD9">
              <w:rPr>
                <w:rFonts w:asciiTheme="minorHAnsi" w:hAnsiTheme="minorHAnsi"/>
                <w:szCs w:val="20"/>
              </w:rPr>
              <w:t>Dec13 to Nov14</w:t>
            </w:r>
          </w:p>
        </w:tc>
        <w:tc>
          <w:tcPr>
            <w:tcW w:w="1517" w:type="dxa"/>
            <w:tcBorders>
              <w:top w:val="nil"/>
              <w:left w:val="nil"/>
              <w:bottom w:val="single" w:sz="8" w:space="0" w:color="auto"/>
              <w:right w:val="single" w:sz="8" w:space="0" w:color="auto"/>
            </w:tcBorders>
            <w:shd w:val="clear" w:color="auto" w:fill="BFBFBF" w:themeFill="background1" w:themeFillShade="BF"/>
          </w:tcPr>
          <w:p w14:paraId="474CA8B2" w14:textId="77777777" w:rsidR="00301593" w:rsidRPr="00D57FD9" w:rsidRDefault="00301593" w:rsidP="005A3882">
            <w:pPr>
              <w:pStyle w:val="TableText"/>
              <w:jc w:val="center"/>
              <w:rPr>
                <w:rFonts w:asciiTheme="minorHAnsi" w:hAnsiTheme="minorHAnsi"/>
                <w:szCs w:val="20"/>
              </w:rPr>
            </w:pPr>
            <w:r w:rsidRPr="00D57FD9">
              <w:rPr>
                <w:rFonts w:asciiTheme="minorHAnsi" w:hAnsiTheme="minorHAnsi"/>
                <w:szCs w:val="20"/>
              </w:rPr>
              <w:t>Dec13 to Nov14</w:t>
            </w:r>
          </w:p>
        </w:tc>
        <w:tc>
          <w:tcPr>
            <w:tcW w:w="1517" w:type="dxa"/>
            <w:tcBorders>
              <w:top w:val="nil"/>
              <w:left w:val="nil"/>
              <w:bottom w:val="single" w:sz="8" w:space="0" w:color="auto"/>
              <w:right w:val="single" w:sz="8" w:space="0" w:color="auto"/>
            </w:tcBorders>
            <w:shd w:val="clear" w:color="auto" w:fill="BFBFBF" w:themeFill="background1" w:themeFillShade="BF"/>
          </w:tcPr>
          <w:p w14:paraId="62F083A3" w14:textId="77777777" w:rsidR="00301593" w:rsidRPr="00D57FD9" w:rsidRDefault="00301593" w:rsidP="005A3882">
            <w:pPr>
              <w:pStyle w:val="TableText"/>
              <w:jc w:val="center"/>
              <w:rPr>
                <w:rFonts w:asciiTheme="minorHAnsi" w:hAnsiTheme="minorHAnsi"/>
                <w:szCs w:val="20"/>
              </w:rPr>
            </w:pPr>
            <w:r w:rsidRPr="00D57FD9">
              <w:rPr>
                <w:rFonts w:asciiTheme="minorHAnsi" w:hAnsiTheme="minorHAnsi"/>
                <w:szCs w:val="20"/>
              </w:rPr>
              <w:t>Dec13 to Nov14</w:t>
            </w:r>
          </w:p>
        </w:tc>
      </w:tr>
      <w:tr w:rsidR="002B3F35" w:rsidRPr="00D57FD9" w14:paraId="1C910B58" w14:textId="77777777" w:rsidTr="005B5840">
        <w:trPr>
          <w:trHeight w:val="315"/>
        </w:trPr>
        <w:tc>
          <w:tcPr>
            <w:tcW w:w="0" w:type="auto"/>
            <w:vMerge w:val="restart"/>
            <w:tcBorders>
              <w:top w:val="single" w:sz="8" w:space="0" w:color="auto"/>
              <w:left w:val="single" w:sz="8" w:space="0" w:color="auto"/>
              <w:right w:val="single" w:sz="8" w:space="0" w:color="auto"/>
            </w:tcBorders>
            <w:shd w:val="clear" w:color="auto" w:fill="auto"/>
            <w:noWrap/>
          </w:tcPr>
          <w:p w14:paraId="7F46B302" w14:textId="77777777" w:rsidR="00301593" w:rsidRPr="00D57FD9" w:rsidRDefault="00301593" w:rsidP="005A3882">
            <w:pPr>
              <w:pStyle w:val="TableText"/>
              <w:rPr>
                <w:rFonts w:asciiTheme="minorHAnsi" w:hAnsiTheme="minorHAnsi"/>
                <w:szCs w:val="20"/>
              </w:rPr>
            </w:pPr>
            <w:r w:rsidRPr="00D57FD9">
              <w:rPr>
                <w:rFonts w:asciiTheme="minorHAnsi" w:hAnsiTheme="minorHAnsi"/>
                <w:szCs w:val="20"/>
              </w:rPr>
              <w:t>Treated patients</w:t>
            </w:r>
          </w:p>
        </w:tc>
        <w:tc>
          <w:tcPr>
            <w:tcW w:w="0" w:type="auto"/>
            <w:tcBorders>
              <w:top w:val="single" w:sz="8" w:space="0" w:color="auto"/>
              <w:left w:val="nil"/>
              <w:bottom w:val="single" w:sz="8" w:space="0" w:color="auto"/>
              <w:right w:val="single" w:sz="8" w:space="0" w:color="auto"/>
            </w:tcBorders>
            <w:shd w:val="clear" w:color="auto" w:fill="auto"/>
            <w:vAlign w:val="center"/>
          </w:tcPr>
          <w:p w14:paraId="564E5EB8" w14:textId="77777777" w:rsidR="00301593" w:rsidRPr="00D57FD9" w:rsidRDefault="00301593" w:rsidP="005A3882">
            <w:pPr>
              <w:pStyle w:val="TableText"/>
              <w:rPr>
                <w:rFonts w:asciiTheme="minorHAnsi" w:hAnsiTheme="minorHAnsi"/>
                <w:szCs w:val="20"/>
              </w:rPr>
            </w:pPr>
            <w:r w:rsidRPr="00D57FD9">
              <w:rPr>
                <w:rFonts w:asciiTheme="minorHAnsi" w:hAnsiTheme="minorHAnsi"/>
                <w:szCs w:val="20"/>
              </w:rPr>
              <w:t>Predicted</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17949096" w14:textId="102DDC08" w:rsidR="00301593" w:rsidRPr="00D57FD9" w:rsidRDefault="00CF3F29" w:rsidP="00CF3F29">
            <w:pPr>
              <w:pStyle w:val="TableText"/>
              <w:jc w:val="right"/>
              <w:rPr>
                <w:rFonts w:asciiTheme="minorHAnsi" w:hAnsiTheme="minorHAnsi"/>
                <w:bCs/>
                <w:color w:val="000000" w:themeColor="text1"/>
                <w:szCs w:val="20"/>
              </w:rPr>
            </w:pPr>
            <w:r>
              <w:rPr>
                <w:rFonts w:asciiTheme="minorHAnsi" w:hAnsiTheme="minorHAnsi"/>
                <w:bCs/>
                <w:color w:val="000000" w:themeColor="text1"/>
                <w:szCs w:val="20"/>
              </w:rPr>
              <w:t xml:space="preserve"> </w:t>
            </w:r>
            <w:r w:rsidRPr="00CF3F29">
              <w:rPr>
                <w:rFonts w:asciiTheme="minorHAnsi" w:hAnsiTheme="minorHAnsi"/>
                <w:bCs/>
                <w:color w:val="000000" w:themeColor="text1"/>
                <w:szCs w:val="20"/>
                <w:highlight w:val="black"/>
              </w:rPr>
              <w:t>XXXXX</w:t>
            </w:r>
          </w:p>
        </w:tc>
        <w:tc>
          <w:tcPr>
            <w:tcW w:w="1517" w:type="dxa"/>
            <w:tcBorders>
              <w:top w:val="single" w:sz="8" w:space="0" w:color="auto"/>
              <w:left w:val="nil"/>
              <w:bottom w:val="single" w:sz="8" w:space="0" w:color="auto"/>
              <w:right w:val="single" w:sz="8" w:space="0" w:color="auto"/>
            </w:tcBorders>
            <w:shd w:val="clear" w:color="auto" w:fill="BFBFBF" w:themeFill="background1" w:themeFillShade="BF"/>
          </w:tcPr>
          <w:p w14:paraId="397B98DE" w14:textId="3B78C22C" w:rsidR="00301593" w:rsidRPr="00D57FD9" w:rsidRDefault="00301593" w:rsidP="005A3882">
            <w:pPr>
              <w:pStyle w:val="TableText"/>
              <w:jc w:val="right"/>
              <w:rPr>
                <w:rFonts w:asciiTheme="minorHAnsi" w:hAnsiTheme="minorHAnsi"/>
                <w:bCs/>
                <w:color w:val="000000" w:themeColor="text1"/>
                <w:szCs w:val="20"/>
              </w:rPr>
            </w:pPr>
          </w:p>
        </w:tc>
        <w:tc>
          <w:tcPr>
            <w:tcW w:w="1517" w:type="dxa"/>
            <w:tcBorders>
              <w:top w:val="single" w:sz="8" w:space="0" w:color="auto"/>
              <w:left w:val="nil"/>
              <w:bottom w:val="single" w:sz="8" w:space="0" w:color="auto"/>
              <w:right w:val="single" w:sz="8" w:space="0" w:color="auto"/>
            </w:tcBorders>
            <w:shd w:val="clear" w:color="auto" w:fill="BFBFBF" w:themeFill="background1" w:themeFillShade="BF"/>
          </w:tcPr>
          <w:p w14:paraId="55A45656" w14:textId="22BDEBD3" w:rsidR="00301593" w:rsidRPr="00D57FD9" w:rsidRDefault="00301593" w:rsidP="005A3882">
            <w:pPr>
              <w:pStyle w:val="TableText"/>
              <w:jc w:val="right"/>
              <w:rPr>
                <w:rFonts w:asciiTheme="minorHAnsi" w:hAnsiTheme="minorHAnsi"/>
                <w:bCs/>
                <w:color w:val="000000" w:themeColor="text1"/>
                <w:szCs w:val="20"/>
              </w:rPr>
            </w:pPr>
          </w:p>
        </w:tc>
      </w:tr>
      <w:tr w:rsidR="002B3F35" w:rsidRPr="00D57FD9" w14:paraId="447C7ED0" w14:textId="77777777" w:rsidTr="005B5840">
        <w:trPr>
          <w:trHeight w:val="315"/>
        </w:trPr>
        <w:tc>
          <w:tcPr>
            <w:tcW w:w="0" w:type="auto"/>
            <w:vMerge/>
            <w:tcBorders>
              <w:left w:val="single" w:sz="8" w:space="0" w:color="auto"/>
              <w:right w:val="single" w:sz="8" w:space="0" w:color="auto"/>
            </w:tcBorders>
            <w:shd w:val="clear" w:color="auto" w:fill="auto"/>
            <w:noWrap/>
          </w:tcPr>
          <w:p w14:paraId="036CEA3E" w14:textId="77777777" w:rsidR="00301593" w:rsidRPr="00D57FD9" w:rsidRDefault="00301593" w:rsidP="005A3882">
            <w:pPr>
              <w:pStyle w:val="TableText"/>
              <w:rPr>
                <w:rFonts w:asciiTheme="minorHAnsi" w:hAnsiTheme="minorHAnsi"/>
                <w:szCs w:val="20"/>
              </w:rPr>
            </w:pPr>
          </w:p>
        </w:tc>
        <w:tc>
          <w:tcPr>
            <w:tcW w:w="0" w:type="auto"/>
            <w:tcBorders>
              <w:top w:val="single" w:sz="8" w:space="0" w:color="auto"/>
              <w:left w:val="nil"/>
              <w:bottom w:val="single" w:sz="8" w:space="0" w:color="auto"/>
              <w:right w:val="single" w:sz="8" w:space="0" w:color="auto"/>
            </w:tcBorders>
            <w:shd w:val="clear" w:color="auto" w:fill="auto"/>
            <w:vAlign w:val="center"/>
          </w:tcPr>
          <w:p w14:paraId="0462F3A4" w14:textId="77777777" w:rsidR="00301593" w:rsidRPr="00D57FD9" w:rsidRDefault="00301593" w:rsidP="005A3882">
            <w:pPr>
              <w:pStyle w:val="TableText"/>
              <w:rPr>
                <w:rFonts w:asciiTheme="minorHAnsi" w:hAnsiTheme="minorHAnsi"/>
                <w:szCs w:val="20"/>
              </w:rPr>
            </w:pPr>
            <w:r w:rsidRPr="00D57FD9">
              <w:rPr>
                <w:rFonts w:asciiTheme="minorHAnsi" w:hAnsiTheme="minorHAnsi"/>
                <w:szCs w:val="20"/>
              </w:rPr>
              <w:t>Actual</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63298702" w14:textId="77777777" w:rsidR="00301593" w:rsidRPr="00D57FD9" w:rsidRDefault="00301593" w:rsidP="005A3882">
            <w:pPr>
              <w:pStyle w:val="TableText"/>
              <w:jc w:val="right"/>
              <w:rPr>
                <w:rFonts w:asciiTheme="minorHAnsi" w:hAnsiTheme="minorHAnsi"/>
                <w:color w:val="000000" w:themeColor="text1"/>
                <w:szCs w:val="20"/>
              </w:rPr>
            </w:pPr>
            <w:r w:rsidRPr="00D57FD9">
              <w:rPr>
                <w:rFonts w:asciiTheme="minorHAnsi" w:hAnsiTheme="minorHAnsi"/>
                <w:color w:val="000000" w:themeColor="text1"/>
                <w:szCs w:val="20"/>
              </w:rPr>
              <w:t>2,534</w:t>
            </w:r>
          </w:p>
        </w:tc>
        <w:tc>
          <w:tcPr>
            <w:tcW w:w="1517" w:type="dxa"/>
            <w:tcBorders>
              <w:top w:val="single" w:sz="8" w:space="0" w:color="auto"/>
              <w:left w:val="nil"/>
              <w:bottom w:val="single" w:sz="8" w:space="0" w:color="auto"/>
              <w:right w:val="single" w:sz="8" w:space="0" w:color="auto"/>
            </w:tcBorders>
            <w:shd w:val="clear" w:color="auto" w:fill="BFBFBF" w:themeFill="background1" w:themeFillShade="BF"/>
          </w:tcPr>
          <w:p w14:paraId="4B2D4CEA" w14:textId="6B0CCF52" w:rsidR="00301593" w:rsidRPr="00D57FD9" w:rsidRDefault="00301593" w:rsidP="005A3882">
            <w:pPr>
              <w:pStyle w:val="TableText"/>
              <w:jc w:val="right"/>
              <w:rPr>
                <w:rFonts w:asciiTheme="minorHAnsi" w:hAnsiTheme="minorHAnsi"/>
                <w:color w:val="000000" w:themeColor="text1"/>
                <w:szCs w:val="20"/>
              </w:rPr>
            </w:pPr>
          </w:p>
        </w:tc>
        <w:tc>
          <w:tcPr>
            <w:tcW w:w="1517" w:type="dxa"/>
            <w:tcBorders>
              <w:top w:val="single" w:sz="8" w:space="0" w:color="auto"/>
              <w:left w:val="nil"/>
              <w:bottom w:val="single" w:sz="8" w:space="0" w:color="auto"/>
              <w:right w:val="single" w:sz="8" w:space="0" w:color="auto"/>
            </w:tcBorders>
            <w:shd w:val="clear" w:color="auto" w:fill="BFBFBF" w:themeFill="background1" w:themeFillShade="BF"/>
          </w:tcPr>
          <w:p w14:paraId="23EC8A25" w14:textId="657A7C8A" w:rsidR="00301593" w:rsidRPr="00D57FD9" w:rsidRDefault="00301593" w:rsidP="005A3882">
            <w:pPr>
              <w:pStyle w:val="TableText"/>
              <w:jc w:val="right"/>
              <w:rPr>
                <w:rFonts w:asciiTheme="minorHAnsi" w:hAnsiTheme="minorHAnsi"/>
                <w:color w:val="000000" w:themeColor="text1"/>
                <w:szCs w:val="20"/>
              </w:rPr>
            </w:pPr>
          </w:p>
        </w:tc>
      </w:tr>
      <w:tr w:rsidR="002B3F35" w:rsidRPr="00D57FD9" w14:paraId="5E25ECD2" w14:textId="77777777" w:rsidTr="005B5840">
        <w:trPr>
          <w:trHeight w:val="315"/>
        </w:trPr>
        <w:tc>
          <w:tcPr>
            <w:tcW w:w="0" w:type="auto"/>
            <w:vMerge/>
            <w:tcBorders>
              <w:left w:val="single" w:sz="8" w:space="0" w:color="auto"/>
              <w:right w:val="single" w:sz="8" w:space="0" w:color="auto"/>
            </w:tcBorders>
            <w:shd w:val="clear" w:color="auto" w:fill="auto"/>
            <w:noWrap/>
          </w:tcPr>
          <w:p w14:paraId="7719D570" w14:textId="77777777" w:rsidR="00AD69AC" w:rsidRPr="00D57FD9" w:rsidRDefault="00AD69AC" w:rsidP="005A3882">
            <w:pPr>
              <w:pStyle w:val="TableText"/>
              <w:rPr>
                <w:rFonts w:asciiTheme="minorHAnsi" w:hAnsiTheme="minorHAnsi"/>
                <w:szCs w:val="20"/>
              </w:rPr>
            </w:pPr>
          </w:p>
        </w:tc>
        <w:tc>
          <w:tcPr>
            <w:tcW w:w="0" w:type="auto"/>
            <w:tcBorders>
              <w:top w:val="single" w:sz="8" w:space="0" w:color="auto"/>
              <w:left w:val="nil"/>
              <w:bottom w:val="single" w:sz="8" w:space="0" w:color="auto"/>
              <w:right w:val="single" w:sz="8" w:space="0" w:color="auto"/>
            </w:tcBorders>
            <w:shd w:val="clear" w:color="auto" w:fill="auto"/>
            <w:vAlign w:val="center"/>
          </w:tcPr>
          <w:p w14:paraId="351E2EC3" w14:textId="1ACDBE1A" w:rsidR="00AD69AC" w:rsidRPr="00D57FD9" w:rsidRDefault="00AD69AC" w:rsidP="005A3882">
            <w:pPr>
              <w:pStyle w:val="TableText"/>
              <w:rPr>
                <w:rFonts w:asciiTheme="minorHAnsi" w:hAnsiTheme="minorHAnsi"/>
                <w:szCs w:val="20"/>
              </w:rPr>
            </w:pPr>
            <w:r w:rsidRPr="00D57FD9">
              <w:rPr>
                <w:rFonts w:asciiTheme="minorHAnsi" w:hAnsiTheme="minorHAnsi"/>
                <w:szCs w:val="20"/>
              </w:rPr>
              <w:t>Difference</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61F4B918" w14:textId="5C6C1248" w:rsidR="00AD69AC" w:rsidRPr="00D57FD9" w:rsidRDefault="00CF3F29" w:rsidP="005A3882">
            <w:pPr>
              <w:pStyle w:val="TableText"/>
              <w:jc w:val="right"/>
              <w:rPr>
                <w:rFonts w:asciiTheme="minorHAnsi" w:hAnsiTheme="minorHAnsi"/>
                <w:color w:val="000000" w:themeColor="text1"/>
                <w:szCs w:val="20"/>
              </w:rPr>
            </w:pPr>
            <w:r w:rsidRPr="00CF3F29">
              <w:rPr>
                <w:rFonts w:ascii="Calibri" w:hAnsi="Calibri"/>
                <w:color w:val="000000"/>
                <w:szCs w:val="20"/>
                <w:highlight w:val="black"/>
              </w:rPr>
              <w:t>XXXXXX XXXXXXXXX</w:t>
            </w:r>
          </w:p>
        </w:tc>
        <w:tc>
          <w:tcPr>
            <w:tcW w:w="1517"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046DA7C9" w14:textId="2708AECC" w:rsidR="00AD69AC" w:rsidRPr="00D57FD9" w:rsidRDefault="00AD69AC" w:rsidP="005A3882">
            <w:pPr>
              <w:pStyle w:val="TableText"/>
              <w:jc w:val="right"/>
              <w:rPr>
                <w:rFonts w:asciiTheme="minorHAnsi" w:hAnsiTheme="minorHAnsi" w:cs="Arial"/>
                <w:szCs w:val="20"/>
              </w:rPr>
            </w:pPr>
          </w:p>
        </w:tc>
        <w:tc>
          <w:tcPr>
            <w:tcW w:w="1517"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7DCA8A3B" w14:textId="13269AD5" w:rsidR="00AD69AC" w:rsidRPr="00D57FD9" w:rsidRDefault="00AD69AC" w:rsidP="005A3882">
            <w:pPr>
              <w:pStyle w:val="TableText"/>
              <w:jc w:val="right"/>
              <w:rPr>
                <w:rFonts w:asciiTheme="minorHAnsi" w:hAnsiTheme="minorHAnsi" w:cs="Arial"/>
                <w:szCs w:val="20"/>
              </w:rPr>
            </w:pPr>
          </w:p>
        </w:tc>
      </w:tr>
      <w:tr w:rsidR="002B3F35" w:rsidRPr="00D57FD9" w14:paraId="141E72EE" w14:textId="77777777" w:rsidTr="005A3882">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Pr>
          <w:p w14:paraId="6FFB2A00" w14:textId="4B0EA53C" w:rsidR="00301593" w:rsidRPr="00D57FD9" w:rsidRDefault="00301593" w:rsidP="005A3882">
            <w:pPr>
              <w:pStyle w:val="TableText"/>
              <w:rPr>
                <w:rFonts w:asciiTheme="minorHAnsi" w:hAnsiTheme="minorHAnsi"/>
                <w:szCs w:val="20"/>
              </w:rPr>
            </w:pPr>
            <w:r w:rsidRPr="00D57FD9">
              <w:rPr>
                <w:rFonts w:asciiTheme="minorHAnsi" w:hAnsiTheme="minorHAnsi"/>
                <w:szCs w:val="20"/>
              </w:rPr>
              <w:t xml:space="preserve">Number of </w:t>
            </w:r>
            <w:r w:rsidR="003D785B" w:rsidRPr="00D57FD9">
              <w:rPr>
                <w:rFonts w:asciiTheme="minorHAnsi" w:hAnsiTheme="minorHAnsi"/>
                <w:szCs w:val="20"/>
              </w:rPr>
              <w:t>prescriptions</w:t>
            </w:r>
          </w:p>
          <w:p w14:paraId="1187298E" w14:textId="77777777" w:rsidR="00301593" w:rsidRPr="00D57FD9" w:rsidRDefault="00301593" w:rsidP="005A3882">
            <w:pPr>
              <w:pStyle w:val="TableText"/>
              <w:rPr>
                <w:rFonts w:asciiTheme="minorHAnsi" w:hAnsiTheme="minorHAnsi"/>
                <w:szCs w:val="20"/>
              </w:rPr>
            </w:pP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0951E11D" w14:textId="77777777" w:rsidR="00301593" w:rsidRPr="00D57FD9" w:rsidRDefault="00301593" w:rsidP="005A3882">
            <w:pPr>
              <w:pStyle w:val="TableText"/>
              <w:rPr>
                <w:rFonts w:asciiTheme="minorHAnsi" w:hAnsiTheme="minorHAnsi"/>
                <w:szCs w:val="20"/>
              </w:rPr>
            </w:pPr>
            <w:r w:rsidRPr="00D57FD9">
              <w:rPr>
                <w:rFonts w:asciiTheme="minorHAnsi" w:hAnsiTheme="minorHAnsi"/>
                <w:szCs w:val="20"/>
              </w:rPr>
              <w:t>Predicted</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2535D5AD" w14:textId="033C8717" w:rsidR="00301593" w:rsidRPr="00CF3F29" w:rsidRDefault="00CF3F29" w:rsidP="005A3882">
            <w:pPr>
              <w:pStyle w:val="TableText"/>
              <w:jc w:val="right"/>
              <w:rPr>
                <w:rFonts w:asciiTheme="minorHAnsi" w:hAnsiTheme="minorHAnsi"/>
                <w:bCs/>
                <w:color w:val="000000" w:themeColor="text1"/>
                <w:szCs w:val="20"/>
                <w:highlight w:val="black"/>
              </w:rPr>
            </w:pPr>
            <w:r w:rsidRPr="00CF3F29">
              <w:rPr>
                <w:rFonts w:asciiTheme="minorHAnsi" w:hAnsiTheme="minorHAnsi"/>
                <w:bCs/>
                <w:color w:val="000000" w:themeColor="text1"/>
                <w:szCs w:val="20"/>
                <w:highlight w:val="black"/>
              </w:rPr>
              <w:t>XXXXXX</w:t>
            </w:r>
          </w:p>
        </w:tc>
        <w:tc>
          <w:tcPr>
            <w:tcW w:w="1517" w:type="dxa"/>
            <w:tcBorders>
              <w:top w:val="single" w:sz="8" w:space="0" w:color="auto"/>
              <w:left w:val="nil"/>
              <w:bottom w:val="single" w:sz="8" w:space="0" w:color="auto"/>
              <w:right w:val="single" w:sz="8" w:space="0" w:color="auto"/>
            </w:tcBorders>
          </w:tcPr>
          <w:p w14:paraId="1D5313E8" w14:textId="11CA1022" w:rsidR="00301593" w:rsidRPr="00CF3F29" w:rsidRDefault="00CF3F29" w:rsidP="005A3882">
            <w:pPr>
              <w:pStyle w:val="TableText"/>
              <w:jc w:val="right"/>
              <w:rPr>
                <w:rFonts w:asciiTheme="minorHAnsi" w:hAnsiTheme="minorHAnsi"/>
                <w:bCs/>
                <w:color w:val="000000" w:themeColor="text1"/>
                <w:szCs w:val="20"/>
                <w:highlight w:val="black"/>
              </w:rPr>
            </w:pPr>
            <w:r w:rsidRPr="00CF3F29">
              <w:rPr>
                <w:rFonts w:asciiTheme="minorHAnsi" w:hAnsiTheme="minorHAnsi"/>
                <w:bCs/>
                <w:color w:val="000000" w:themeColor="text1"/>
                <w:szCs w:val="20"/>
                <w:highlight w:val="black"/>
              </w:rPr>
              <w:t>XXX</w:t>
            </w:r>
          </w:p>
        </w:tc>
        <w:tc>
          <w:tcPr>
            <w:tcW w:w="1517" w:type="dxa"/>
            <w:tcBorders>
              <w:top w:val="single" w:sz="8" w:space="0" w:color="auto"/>
              <w:left w:val="nil"/>
              <w:bottom w:val="single" w:sz="8" w:space="0" w:color="auto"/>
              <w:right w:val="single" w:sz="8" w:space="0" w:color="auto"/>
            </w:tcBorders>
          </w:tcPr>
          <w:p w14:paraId="172F7EC1" w14:textId="4DC044E7" w:rsidR="00301593" w:rsidRPr="00CF3F29" w:rsidRDefault="00CF3F29" w:rsidP="005A3882">
            <w:pPr>
              <w:pStyle w:val="TableText"/>
              <w:jc w:val="right"/>
              <w:rPr>
                <w:rFonts w:asciiTheme="minorHAnsi" w:hAnsiTheme="minorHAnsi"/>
                <w:bCs/>
                <w:color w:val="000000" w:themeColor="text1"/>
                <w:szCs w:val="20"/>
                <w:highlight w:val="black"/>
              </w:rPr>
            </w:pPr>
            <w:r w:rsidRPr="00CF3F29">
              <w:rPr>
                <w:rFonts w:asciiTheme="minorHAnsi" w:hAnsiTheme="minorHAnsi"/>
                <w:bCs/>
                <w:color w:val="000000" w:themeColor="text1"/>
                <w:szCs w:val="20"/>
                <w:highlight w:val="black"/>
              </w:rPr>
              <w:t>XXXXXX</w:t>
            </w:r>
          </w:p>
        </w:tc>
      </w:tr>
      <w:tr w:rsidR="002B3F35" w:rsidRPr="00D57FD9" w14:paraId="76C8F993" w14:textId="77777777" w:rsidTr="005A3882">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noWrap/>
          </w:tcPr>
          <w:p w14:paraId="6F2BCC81" w14:textId="77777777" w:rsidR="00301593" w:rsidRPr="00D57FD9" w:rsidRDefault="00301593" w:rsidP="005A3882">
            <w:pPr>
              <w:pStyle w:val="TableText"/>
              <w:rPr>
                <w:rFonts w:asciiTheme="minorHAnsi" w:hAnsiTheme="minorHAnsi"/>
                <w:szCs w:val="20"/>
              </w:rPr>
            </w:pP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7E516BF8" w14:textId="77777777" w:rsidR="00301593" w:rsidRPr="00D57FD9" w:rsidRDefault="00301593" w:rsidP="005A3882">
            <w:pPr>
              <w:pStyle w:val="TableText"/>
              <w:rPr>
                <w:rFonts w:asciiTheme="minorHAnsi" w:hAnsiTheme="minorHAnsi"/>
                <w:szCs w:val="20"/>
              </w:rPr>
            </w:pPr>
            <w:r w:rsidRPr="00D57FD9">
              <w:rPr>
                <w:rFonts w:asciiTheme="minorHAnsi" w:hAnsiTheme="minorHAnsi"/>
                <w:szCs w:val="20"/>
              </w:rPr>
              <w:t>Actual</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14A7F3B8" w14:textId="77777777" w:rsidR="00301593" w:rsidRPr="00D57FD9" w:rsidRDefault="00301593" w:rsidP="005A3882">
            <w:pPr>
              <w:pStyle w:val="TableText"/>
              <w:jc w:val="right"/>
              <w:rPr>
                <w:rFonts w:asciiTheme="minorHAnsi" w:hAnsiTheme="minorHAnsi"/>
                <w:color w:val="000000" w:themeColor="text1"/>
                <w:szCs w:val="20"/>
              </w:rPr>
            </w:pPr>
            <w:r w:rsidRPr="00D57FD9">
              <w:rPr>
                <w:rFonts w:asciiTheme="minorHAnsi" w:hAnsiTheme="minorHAnsi"/>
                <w:color w:val="000000" w:themeColor="text1"/>
                <w:szCs w:val="20"/>
              </w:rPr>
              <w:t>18,906</w:t>
            </w:r>
          </w:p>
        </w:tc>
        <w:tc>
          <w:tcPr>
            <w:tcW w:w="1517" w:type="dxa"/>
            <w:tcBorders>
              <w:top w:val="single" w:sz="8" w:space="0" w:color="auto"/>
              <w:left w:val="nil"/>
              <w:bottom w:val="single" w:sz="8" w:space="0" w:color="auto"/>
              <w:right w:val="single" w:sz="8" w:space="0" w:color="auto"/>
            </w:tcBorders>
          </w:tcPr>
          <w:p w14:paraId="0A3D9F9B" w14:textId="77777777" w:rsidR="00301593" w:rsidRPr="00D57FD9" w:rsidRDefault="00301593" w:rsidP="005A3882">
            <w:pPr>
              <w:pStyle w:val="TableText"/>
              <w:jc w:val="right"/>
              <w:rPr>
                <w:rFonts w:asciiTheme="minorHAnsi" w:hAnsiTheme="minorHAnsi"/>
                <w:color w:val="000000" w:themeColor="text1"/>
                <w:szCs w:val="20"/>
              </w:rPr>
            </w:pPr>
            <w:r w:rsidRPr="00D57FD9">
              <w:rPr>
                <w:rFonts w:asciiTheme="minorHAnsi" w:hAnsiTheme="minorHAnsi"/>
                <w:color w:val="000000" w:themeColor="text1"/>
                <w:szCs w:val="20"/>
              </w:rPr>
              <w:t>2,468</w:t>
            </w:r>
          </w:p>
        </w:tc>
        <w:tc>
          <w:tcPr>
            <w:tcW w:w="1517" w:type="dxa"/>
            <w:tcBorders>
              <w:top w:val="single" w:sz="8" w:space="0" w:color="auto"/>
              <w:left w:val="nil"/>
              <w:bottom w:val="single" w:sz="8" w:space="0" w:color="auto"/>
              <w:right w:val="single" w:sz="8" w:space="0" w:color="auto"/>
            </w:tcBorders>
          </w:tcPr>
          <w:p w14:paraId="7920B4E7" w14:textId="77777777" w:rsidR="00301593" w:rsidRPr="00D57FD9" w:rsidRDefault="00301593" w:rsidP="005A3882">
            <w:pPr>
              <w:pStyle w:val="TableText"/>
              <w:jc w:val="right"/>
              <w:rPr>
                <w:rFonts w:asciiTheme="minorHAnsi" w:hAnsiTheme="minorHAnsi"/>
                <w:color w:val="000000" w:themeColor="text1"/>
                <w:szCs w:val="20"/>
              </w:rPr>
            </w:pPr>
            <w:r w:rsidRPr="00D57FD9">
              <w:rPr>
                <w:rFonts w:asciiTheme="minorHAnsi" w:hAnsiTheme="minorHAnsi"/>
                <w:color w:val="000000" w:themeColor="text1"/>
                <w:szCs w:val="20"/>
              </w:rPr>
              <w:t>16,438</w:t>
            </w:r>
          </w:p>
        </w:tc>
      </w:tr>
      <w:tr w:rsidR="002B3F35" w:rsidRPr="00D57FD9" w14:paraId="6511F5F0" w14:textId="77777777" w:rsidTr="005A3882">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noWrap/>
          </w:tcPr>
          <w:p w14:paraId="171B7FC1" w14:textId="77777777" w:rsidR="00AD69AC" w:rsidRPr="00D57FD9" w:rsidRDefault="00AD69AC" w:rsidP="005A3882">
            <w:pPr>
              <w:pStyle w:val="TableText"/>
              <w:rPr>
                <w:rFonts w:asciiTheme="minorHAnsi" w:hAnsiTheme="minorHAnsi"/>
                <w:szCs w:val="20"/>
              </w:rPr>
            </w:pP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1500D2A0" w14:textId="534DBEAD" w:rsidR="00AD69AC" w:rsidRPr="00D57FD9" w:rsidRDefault="00AD69AC" w:rsidP="005A3882">
            <w:pPr>
              <w:pStyle w:val="TableText"/>
              <w:rPr>
                <w:rFonts w:asciiTheme="minorHAnsi" w:hAnsiTheme="minorHAnsi"/>
                <w:szCs w:val="20"/>
              </w:rPr>
            </w:pPr>
            <w:r w:rsidRPr="00D57FD9">
              <w:rPr>
                <w:rFonts w:asciiTheme="minorHAnsi" w:hAnsiTheme="minorHAnsi"/>
                <w:szCs w:val="20"/>
              </w:rPr>
              <w:t>Difference</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5B9D10DA" w14:textId="094368CA" w:rsidR="00AD69AC" w:rsidRPr="00D57FD9" w:rsidRDefault="00CF3F29" w:rsidP="005A3882">
            <w:pPr>
              <w:pStyle w:val="TableText"/>
              <w:jc w:val="right"/>
              <w:rPr>
                <w:rFonts w:asciiTheme="minorHAnsi" w:hAnsiTheme="minorHAnsi"/>
                <w:color w:val="000000" w:themeColor="text1"/>
                <w:szCs w:val="20"/>
              </w:rPr>
            </w:pPr>
            <w:r w:rsidRPr="00CF3F29">
              <w:rPr>
                <w:rFonts w:ascii="Calibri" w:hAnsi="Calibri"/>
                <w:color w:val="000000"/>
                <w:szCs w:val="20"/>
                <w:highlight w:val="black"/>
              </w:rPr>
              <w:t>XXXXXX XXXXXXXXX</w:t>
            </w:r>
          </w:p>
        </w:tc>
        <w:tc>
          <w:tcPr>
            <w:tcW w:w="1517" w:type="dxa"/>
            <w:tcBorders>
              <w:top w:val="single" w:sz="8" w:space="0" w:color="auto"/>
              <w:left w:val="nil"/>
              <w:bottom w:val="single" w:sz="8" w:space="0" w:color="auto"/>
              <w:right w:val="single" w:sz="8" w:space="0" w:color="auto"/>
            </w:tcBorders>
            <w:vAlign w:val="center"/>
          </w:tcPr>
          <w:p w14:paraId="339C5509" w14:textId="0BD20B0B" w:rsidR="00AD69AC" w:rsidRPr="00CF3F29" w:rsidRDefault="00CF3F29" w:rsidP="005A3882">
            <w:pPr>
              <w:pStyle w:val="TableText"/>
              <w:jc w:val="right"/>
              <w:rPr>
                <w:rFonts w:asciiTheme="minorHAnsi" w:hAnsiTheme="minorHAnsi" w:cs="Arial"/>
                <w:szCs w:val="20"/>
                <w:highlight w:val="black"/>
              </w:rPr>
            </w:pPr>
            <w:r w:rsidRPr="00CF3F29">
              <w:rPr>
                <w:rFonts w:ascii="Calibri" w:hAnsi="Calibri"/>
                <w:color w:val="000000"/>
                <w:szCs w:val="20"/>
                <w:highlight w:val="black"/>
              </w:rPr>
              <w:t>XXXXXX</w:t>
            </w:r>
          </w:p>
        </w:tc>
        <w:tc>
          <w:tcPr>
            <w:tcW w:w="1517" w:type="dxa"/>
            <w:tcBorders>
              <w:top w:val="single" w:sz="8" w:space="0" w:color="auto"/>
              <w:left w:val="nil"/>
              <w:bottom w:val="single" w:sz="8" w:space="0" w:color="auto"/>
              <w:right w:val="single" w:sz="8" w:space="0" w:color="auto"/>
            </w:tcBorders>
            <w:vAlign w:val="center"/>
          </w:tcPr>
          <w:p w14:paraId="0F770BF2" w14:textId="40F7815D" w:rsidR="00AD69AC" w:rsidRPr="00CF3F29" w:rsidRDefault="00CF3F29" w:rsidP="005A3882">
            <w:pPr>
              <w:pStyle w:val="TableText"/>
              <w:jc w:val="right"/>
              <w:rPr>
                <w:rFonts w:asciiTheme="minorHAnsi" w:hAnsiTheme="minorHAnsi" w:cs="Arial"/>
                <w:szCs w:val="20"/>
                <w:highlight w:val="black"/>
              </w:rPr>
            </w:pPr>
            <w:r w:rsidRPr="00CF3F29">
              <w:rPr>
                <w:rFonts w:ascii="Calibri" w:hAnsi="Calibri"/>
                <w:color w:val="000000"/>
                <w:szCs w:val="20"/>
                <w:highlight w:val="black"/>
              </w:rPr>
              <w:t>XXXXXX</w:t>
            </w:r>
          </w:p>
        </w:tc>
      </w:tr>
      <w:tr w:rsidR="002B3F35" w:rsidRPr="00D57FD9" w14:paraId="75892749" w14:textId="77777777" w:rsidTr="005A3882">
        <w:trPr>
          <w:trHeight w:val="315"/>
        </w:trPr>
        <w:tc>
          <w:tcPr>
            <w:tcW w:w="0" w:type="auto"/>
            <w:tcBorders>
              <w:top w:val="single" w:sz="4" w:space="0" w:color="auto"/>
              <w:left w:val="single" w:sz="4" w:space="0" w:color="auto"/>
              <w:right w:val="single" w:sz="4" w:space="0" w:color="auto"/>
            </w:tcBorders>
            <w:shd w:val="clear" w:color="auto" w:fill="auto"/>
            <w:noWrap/>
          </w:tcPr>
          <w:p w14:paraId="7D14ECC6" w14:textId="77777777" w:rsidR="00301593" w:rsidRPr="00D57FD9" w:rsidRDefault="00301593" w:rsidP="005A3882">
            <w:pPr>
              <w:pStyle w:val="TableText"/>
              <w:rPr>
                <w:rFonts w:asciiTheme="minorHAnsi" w:hAnsiTheme="minorHAnsi"/>
                <w:szCs w:val="20"/>
              </w:rPr>
            </w:pPr>
            <w:r w:rsidRPr="00D57FD9">
              <w:rPr>
                <w:rFonts w:asciiTheme="minorHAnsi" w:hAnsiTheme="minorHAnsi"/>
                <w:szCs w:val="20"/>
              </w:rPr>
              <w:t>Drug cost to the PBS and RPBS</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26CC5A0C" w14:textId="77777777" w:rsidR="00301593" w:rsidRPr="00D57FD9" w:rsidRDefault="00301593" w:rsidP="005A3882">
            <w:pPr>
              <w:pStyle w:val="TableText"/>
              <w:rPr>
                <w:rFonts w:asciiTheme="minorHAnsi" w:hAnsiTheme="minorHAnsi"/>
                <w:szCs w:val="20"/>
              </w:rPr>
            </w:pPr>
            <w:r w:rsidRPr="00D57FD9">
              <w:rPr>
                <w:rFonts w:asciiTheme="minorHAnsi" w:hAnsiTheme="minorHAnsi"/>
                <w:szCs w:val="20"/>
              </w:rPr>
              <w:t>Predicted</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08A74A6A" w14:textId="5373B441" w:rsidR="00301593" w:rsidRPr="002B3F35" w:rsidRDefault="002B3F35" w:rsidP="005A3882">
            <w:pPr>
              <w:pStyle w:val="TableText"/>
              <w:jc w:val="right"/>
              <w:rPr>
                <w:rFonts w:asciiTheme="minorHAnsi" w:hAnsiTheme="minorHAnsi" w:cs="Arial"/>
                <w:szCs w:val="20"/>
                <w:highlight w:val="black"/>
              </w:rPr>
            </w:pPr>
            <w:r w:rsidRPr="002B3F35">
              <w:rPr>
                <w:rFonts w:asciiTheme="minorHAnsi" w:hAnsiTheme="minorHAnsi" w:cs="Arial"/>
                <w:szCs w:val="20"/>
                <w:highlight w:val="black"/>
              </w:rPr>
              <w:t>XXXXXXXXXXX</w:t>
            </w:r>
          </w:p>
        </w:tc>
        <w:tc>
          <w:tcPr>
            <w:tcW w:w="1517" w:type="dxa"/>
            <w:tcBorders>
              <w:top w:val="single" w:sz="8" w:space="0" w:color="auto"/>
              <w:left w:val="nil"/>
              <w:bottom w:val="single" w:sz="8" w:space="0" w:color="auto"/>
              <w:right w:val="single" w:sz="8" w:space="0" w:color="auto"/>
            </w:tcBorders>
          </w:tcPr>
          <w:p w14:paraId="14DE8600" w14:textId="2245D2BE" w:rsidR="00301593" w:rsidRPr="002B3F35" w:rsidRDefault="002B3F35" w:rsidP="005A3882">
            <w:pPr>
              <w:pStyle w:val="TableText"/>
              <w:jc w:val="right"/>
              <w:rPr>
                <w:rFonts w:asciiTheme="minorHAnsi" w:hAnsiTheme="minorHAnsi" w:cs="Arial"/>
                <w:szCs w:val="20"/>
                <w:highlight w:val="black"/>
              </w:rPr>
            </w:pPr>
            <w:r w:rsidRPr="002B3F35">
              <w:rPr>
                <w:rFonts w:asciiTheme="minorHAnsi" w:hAnsiTheme="minorHAnsi" w:cs="Arial"/>
                <w:szCs w:val="20"/>
                <w:highlight w:val="black"/>
              </w:rPr>
              <w:t>XXXXXXXX</w:t>
            </w:r>
          </w:p>
        </w:tc>
        <w:tc>
          <w:tcPr>
            <w:tcW w:w="1517" w:type="dxa"/>
            <w:tcBorders>
              <w:top w:val="single" w:sz="8" w:space="0" w:color="auto"/>
              <w:left w:val="nil"/>
              <w:bottom w:val="single" w:sz="8" w:space="0" w:color="auto"/>
              <w:right w:val="single" w:sz="8" w:space="0" w:color="auto"/>
            </w:tcBorders>
          </w:tcPr>
          <w:p w14:paraId="37C75809" w14:textId="32AC6D21" w:rsidR="00301593" w:rsidRPr="002B3F35" w:rsidRDefault="002B3F35" w:rsidP="005A3882">
            <w:pPr>
              <w:pStyle w:val="TableText"/>
              <w:jc w:val="right"/>
              <w:rPr>
                <w:rFonts w:asciiTheme="minorHAnsi" w:hAnsiTheme="minorHAnsi" w:cs="Arial"/>
                <w:szCs w:val="20"/>
                <w:highlight w:val="black"/>
              </w:rPr>
            </w:pPr>
            <w:r w:rsidRPr="002B3F35">
              <w:rPr>
                <w:rFonts w:asciiTheme="minorHAnsi" w:hAnsiTheme="minorHAnsi" w:cs="Arial"/>
                <w:szCs w:val="20"/>
                <w:highlight w:val="black"/>
              </w:rPr>
              <w:t>XXXXXXXXXXX</w:t>
            </w:r>
          </w:p>
        </w:tc>
      </w:tr>
      <w:tr w:rsidR="002B3F35" w:rsidRPr="00D57FD9" w14:paraId="504C6D6B" w14:textId="77777777" w:rsidTr="005A3882">
        <w:trPr>
          <w:trHeight w:val="315"/>
        </w:trPr>
        <w:tc>
          <w:tcPr>
            <w:tcW w:w="0" w:type="auto"/>
            <w:tcBorders>
              <w:left w:val="single" w:sz="4" w:space="0" w:color="auto"/>
              <w:right w:val="single" w:sz="4" w:space="0" w:color="auto"/>
            </w:tcBorders>
            <w:shd w:val="clear" w:color="auto" w:fill="auto"/>
            <w:noWrap/>
          </w:tcPr>
          <w:p w14:paraId="29B50971" w14:textId="77777777" w:rsidR="00301593" w:rsidRPr="00D57FD9" w:rsidRDefault="00301593" w:rsidP="005A3882">
            <w:pPr>
              <w:pStyle w:val="TableText"/>
              <w:rPr>
                <w:rFonts w:asciiTheme="minorHAnsi" w:hAnsiTheme="minorHAnsi"/>
                <w:szCs w:val="20"/>
              </w:rPr>
            </w:pP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2137F983" w14:textId="77777777" w:rsidR="00301593" w:rsidRPr="00D57FD9" w:rsidRDefault="00301593" w:rsidP="005A3882">
            <w:pPr>
              <w:pStyle w:val="TableText"/>
              <w:rPr>
                <w:rFonts w:asciiTheme="minorHAnsi" w:hAnsiTheme="minorHAnsi"/>
                <w:szCs w:val="20"/>
              </w:rPr>
            </w:pPr>
            <w:r w:rsidRPr="00D57FD9">
              <w:rPr>
                <w:rFonts w:asciiTheme="minorHAnsi" w:hAnsiTheme="minorHAnsi"/>
                <w:szCs w:val="20"/>
              </w:rPr>
              <w:t>Actual</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7B6BD8AC" w14:textId="77777777" w:rsidR="00301593" w:rsidRPr="00D57FD9" w:rsidRDefault="00301593" w:rsidP="005A3882">
            <w:pPr>
              <w:pStyle w:val="TableText"/>
              <w:jc w:val="right"/>
              <w:rPr>
                <w:rFonts w:asciiTheme="minorHAnsi" w:hAnsiTheme="minorHAnsi" w:cs="Arial"/>
                <w:szCs w:val="20"/>
              </w:rPr>
            </w:pPr>
            <w:r w:rsidRPr="00D57FD9">
              <w:rPr>
                <w:rFonts w:asciiTheme="minorHAnsi" w:hAnsiTheme="minorHAnsi" w:cs="Arial"/>
                <w:szCs w:val="20"/>
              </w:rPr>
              <w:t>$31,648,779</w:t>
            </w:r>
          </w:p>
        </w:tc>
        <w:tc>
          <w:tcPr>
            <w:tcW w:w="1517" w:type="dxa"/>
            <w:tcBorders>
              <w:top w:val="single" w:sz="8" w:space="0" w:color="auto"/>
              <w:left w:val="nil"/>
              <w:bottom w:val="single" w:sz="8" w:space="0" w:color="auto"/>
              <w:right w:val="single" w:sz="8" w:space="0" w:color="auto"/>
            </w:tcBorders>
          </w:tcPr>
          <w:p w14:paraId="736446A0" w14:textId="77777777" w:rsidR="00301593" w:rsidRPr="00D57FD9" w:rsidRDefault="00301593" w:rsidP="005A3882">
            <w:pPr>
              <w:pStyle w:val="TableText"/>
              <w:jc w:val="right"/>
              <w:rPr>
                <w:rFonts w:asciiTheme="minorHAnsi" w:hAnsiTheme="minorHAnsi" w:cs="Arial"/>
                <w:szCs w:val="20"/>
              </w:rPr>
            </w:pPr>
            <w:r w:rsidRPr="00D57FD9">
              <w:rPr>
                <w:rFonts w:asciiTheme="minorHAnsi" w:hAnsiTheme="minorHAnsi" w:cs="Arial"/>
                <w:szCs w:val="20"/>
              </w:rPr>
              <w:t>$1,555,272</w:t>
            </w:r>
          </w:p>
        </w:tc>
        <w:tc>
          <w:tcPr>
            <w:tcW w:w="1517" w:type="dxa"/>
            <w:tcBorders>
              <w:top w:val="single" w:sz="8" w:space="0" w:color="auto"/>
              <w:left w:val="nil"/>
              <w:bottom w:val="single" w:sz="8" w:space="0" w:color="auto"/>
              <w:right w:val="single" w:sz="8" w:space="0" w:color="auto"/>
            </w:tcBorders>
          </w:tcPr>
          <w:p w14:paraId="68F669F9" w14:textId="77777777" w:rsidR="00301593" w:rsidRPr="00D57FD9" w:rsidRDefault="00301593" w:rsidP="005A3882">
            <w:pPr>
              <w:pStyle w:val="TableText"/>
              <w:jc w:val="right"/>
              <w:rPr>
                <w:rFonts w:asciiTheme="minorHAnsi" w:hAnsiTheme="minorHAnsi" w:cs="Arial"/>
                <w:szCs w:val="20"/>
              </w:rPr>
            </w:pPr>
            <w:r w:rsidRPr="00D57FD9">
              <w:rPr>
                <w:rFonts w:asciiTheme="minorHAnsi" w:hAnsiTheme="minorHAnsi" w:cs="Arial"/>
                <w:szCs w:val="20"/>
              </w:rPr>
              <w:t>$30,093,506</w:t>
            </w:r>
          </w:p>
        </w:tc>
      </w:tr>
      <w:tr w:rsidR="002B3F35" w:rsidRPr="00D57FD9" w14:paraId="0CC644C3" w14:textId="77777777" w:rsidTr="005A3882">
        <w:trPr>
          <w:trHeight w:val="315"/>
        </w:trPr>
        <w:tc>
          <w:tcPr>
            <w:tcW w:w="0" w:type="auto"/>
            <w:tcBorders>
              <w:left w:val="single" w:sz="4" w:space="0" w:color="auto"/>
              <w:bottom w:val="single" w:sz="4" w:space="0" w:color="auto"/>
              <w:right w:val="single" w:sz="4" w:space="0" w:color="auto"/>
            </w:tcBorders>
            <w:shd w:val="clear" w:color="auto" w:fill="auto"/>
            <w:noWrap/>
          </w:tcPr>
          <w:p w14:paraId="1F0E744B" w14:textId="77777777" w:rsidR="00401F79" w:rsidRPr="00D57FD9" w:rsidRDefault="00401F79" w:rsidP="005A3882">
            <w:pPr>
              <w:pStyle w:val="TableText"/>
              <w:rPr>
                <w:rFonts w:asciiTheme="minorHAnsi" w:hAnsiTheme="minorHAnsi"/>
                <w:szCs w:val="20"/>
              </w:rPr>
            </w:pP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08903399" w14:textId="4A6F9C69" w:rsidR="00401F79" w:rsidRPr="00D57FD9" w:rsidRDefault="00401F79" w:rsidP="005A3882">
            <w:pPr>
              <w:pStyle w:val="TableText"/>
              <w:rPr>
                <w:rFonts w:asciiTheme="minorHAnsi" w:hAnsiTheme="minorHAnsi"/>
                <w:szCs w:val="20"/>
              </w:rPr>
            </w:pPr>
            <w:r w:rsidRPr="00D57FD9">
              <w:rPr>
                <w:rFonts w:asciiTheme="minorHAnsi" w:hAnsiTheme="minorHAnsi"/>
                <w:szCs w:val="20"/>
              </w:rPr>
              <w:t>Difference</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1F181999" w14:textId="72C5AC46" w:rsidR="00401F79" w:rsidRPr="00D57FD9" w:rsidRDefault="002B3F35" w:rsidP="005A3882">
            <w:pPr>
              <w:pStyle w:val="TableText"/>
              <w:jc w:val="right"/>
              <w:rPr>
                <w:rFonts w:asciiTheme="minorHAnsi" w:hAnsiTheme="minorHAnsi" w:cs="Arial"/>
                <w:szCs w:val="20"/>
              </w:rPr>
            </w:pPr>
            <w:r w:rsidRPr="002B3F35">
              <w:rPr>
                <w:rFonts w:ascii="Calibri" w:hAnsi="Calibri"/>
                <w:color w:val="000000"/>
                <w:szCs w:val="20"/>
                <w:highlight w:val="black"/>
              </w:rPr>
              <w:t>XXXXXXXXXXX XXXXXXXX</w:t>
            </w:r>
          </w:p>
        </w:tc>
        <w:tc>
          <w:tcPr>
            <w:tcW w:w="1517" w:type="dxa"/>
            <w:tcBorders>
              <w:top w:val="single" w:sz="8" w:space="0" w:color="auto"/>
              <w:left w:val="nil"/>
              <w:bottom w:val="single" w:sz="8" w:space="0" w:color="auto"/>
              <w:right w:val="single" w:sz="8" w:space="0" w:color="auto"/>
            </w:tcBorders>
            <w:vAlign w:val="center"/>
          </w:tcPr>
          <w:p w14:paraId="7A9AD214" w14:textId="6A56CFCF" w:rsidR="00401F79" w:rsidRPr="00D57FD9" w:rsidRDefault="002B3F35" w:rsidP="005A3882">
            <w:pPr>
              <w:pStyle w:val="TableText"/>
              <w:jc w:val="right"/>
              <w:rPr>
                <w:rFonts w:asciiTheme="minorHAnsi" w:hAnsiTheme="minorHAnsi" w:cs="Arial"/>
                <w:szCs w:val="20"/>
              </w:rPr>
            </w:pPr>
            <w:r w:rsidRPr="002B3F35">
              <w:rPr>
                <w:rFonts w:ascii="Calibri" w:hAnsi="Calibri"/>
                <w:color w:val="000000"/>
                <w:szCs w:val="20"/>
                <w:highlight w:val="black"/>
              </w:rPr>
              <w:t>XXXXXXXXXXX</w:t>
            </w:r>
          </w:p>
        </w:tc>
        <w:tc>
          <w:tcPr>
            <w:tcW w:w="1517" w:type="dxa"/>
            <w:tcBorders>
              <w:top w:val="single" w:sz="8" w:space="0" w:color="auto"/>
              <w:left w:val="nil"/>
              <w:bottom w:val="single" w:sz="8" w:space="0" w:color="auto"/>
              <w:right w:val="single" w:sz="8" w:space="0" w:color="auto"/>
            </w:tcBorders>
            <w:vAlign w:val="center"/>
          </w:tcPr>
          <w:p w14:paraId="207A3EC1" w14:textId="06D64C2D" w:rsidR="00401F79" w:rsidRPr="00D57FD9" w:rsidRDefault="002B3F35" w:rsidP="005A3882">
            <w:pPr>
              <w:pStyle w:val="TableText"/>
              <w:jc w:val="right"/>
              <w:rPr>
                <w:rFonts w:asciiTheme="minorHAnsi" w:hAnsiTheme="minorHAnsi" w:cs="Arial"/>
                <w:szCs w:val="20"/>
              </w:rPr>
            </w:pPr>
            <w:r w:rsidRPr="002B3F35">
              <w:rPr>
                <w:rFonts w:ascii="Calibri" w:hAnsi="Calibri"/>
                <w:color w:val="000000"/>
                <w:szCs w:val="20"/>
                <w:highlight w:val="black"/>
              </w:rPr>
              <w:t>XXXXXXXXXXX</w:t>
            </w:r>
          </w:p>
        </w:tc>
      </w:tr>
    </w:tbl>
    <w:p w14:paraId="2D48ADBB" w14:textId="76A6B357" w:rsidR="00301593" w:rsidRPr="00F562CE" w:rsidRDefault="00301593" w:rsidP="00301593">
      <w:pPr>
        <w:autoSpaceDE w:val="0"/>
        <w:autoSpaceDN w:val="0"/>
        <w:adjustRightInd w:val="0"/>
        <w:spacing w:after="0"/>
        <w:rPr>
          <w:rFonts w:ascii="Calibri" w:hAnsi="Calibri" w:cs="Calibri"/>
          <w:b/>
          <w:color w:val="000000"/>
          <w:sz w:val="20"/>
        </w:rPr>
      </w:pPr>
      <w:r w:rsidRPr="00F562CE">
        <w:rPr>
          <w:rFonts w:ascii="Calibri" w:hAnsi="Calibri" w:cs="Calibri"/>
          <w:color w:val="000000"/>
          <w:sz w:val="20"/>
        </w:rPr>
        <w:t>Note:</w:t>
      </w:r>
      <w:r>
        <w:rPr>
          <w:rFonts w:ascii="Calibri" w:hAnsi="Calibri" w:cs="Calibri"/>
          <w:b/>
          <w:color w:val="000000"/>
          <w:sz w:val="20"/>
        </w:rPr>
        <w:t xml:space="preserve"> </w:t>
      </w:r>
      <w:r>
        <w:rPr>
          <w:rFonts w:ascii="Calibri" w:hAnsi="Calibri" w:cs="Calibri"/>
          <w:color w:val="000000"/>
          <w:sz w:val="20"/>
        </w:rPr>
        <w:t xml:space="preserve">All expenditure figures are </w:t>
      </w:r>
      <w:r w:rsidR="00084CB8">
        <w:rPr>
          <w:rFonts w:ascii="Calibri" w:hAnsi="Calibri" w:cs="Calibri"/>
          <w:color w:val="000000"/>
          <w:sz w:val="20"/>
        </w:rPr>
        <w:t xml:space="preserve">for date of supply and are </w:t>
      </w:r>
      <w:r>
        <w:rPr>
          <w:rFonts w:ascii="Calibri" w:hAnsi="Calibri" w:cs="Calibri"/>
          <w:color w:val="000000"/>
          <w:sz w:val="20"/>
        </w:rPr>
        <w:t xml:space="preserve">based on published prices and are net of patient co-payments. Dimethyl fumarate has a </w:t>
      </w:r>
      <w:r w:rsidR="00EA08BC">
        <w:rPr>
          <w:rFonts w:ascii="Calibri" w:hAnsi="Calibri" w:cs="Calibri"/>
          <w:color w:val="000000"/>
          <w:sz w:val="20"/>
        </w:rPr>
        <w:t>special pricing arrangement</w:t>
      </w:r>
      <w:r w:rsidRPr="003A6B58">
        <w:rPr>
          <w:rFonts w:ascii="Calibri" w:hAnsi="Calibri" w:cs="Calibri"/>
          <w:color w:val="000000"/>
          <w:sz w:val="20"/>
        </w:rPr>
        <w:t xml:space="preserve"> and government expenditu</w:t>
      </w:r>
      <w:r>
        <w:rPr>
          <w:rFonts w:ascii="Calibri" w:hAnsi="Calibri" w:cs="Calibri"/>
          <w:color w:val="000000"/>
          <w:sz w:val="20"/>
        </w:rPr>
        <w:t>re may be less than presented</w:t>
      </w:r>
      <w:r w:rsidR="00EA08BC">
        <w:rPr>
          <w:rFonts w:ascii="Calibri" w:hAnsi="Calibri" w:cs="Calibri"/>
          <w:color w:val="000000"/>
          <w:sz w:val="20"/>
        </w:rPr>
        <w:t xml:space="preserve"> here</w:t>
      </w:r>
      <w:r>
        <w:rPr>
          <w:rFonts w:ascii="Calibri" w:hAnsi="Calibri" w:cs="Calibri"/>
          <w:color w:val="000000"/>
          <w:sz w:val="20"/>
        </w:rPr>
        <w:t xml:space="preserve">. </w:t>
      </w:r>
    </w:p>
    <w:p w14:paraId="583D9DF2" w14:textId="77777777" w:rsidR="00301593" w:rsidRPr="00C12911" w:rsidRDefault="00301593" w:rsidP="00301593">
      <w:pPr>
        <w:spacing w:after="0"/>
        <w:rPr>
          <w:rFonts w:ascii="Calibri" w:hAnsi="Calibri" w:cs="Calibri"/>
          <w:color w:val="000000"/>
          <w:sz w:val="20"/>
        </w:rPr>
      </w:pPr>
      <w:r>
        <w:rPr>
          <w:rFonts w:ascii="Calibri" w:hAnsi="Calibri" w:cs="Calibri"/>
          <w:color w:val="000000"/>
          <w:sz w:val="20"/>
        </w:rPr>
        <w:t xml:space="preserve">The predicted </w:t>
      </w:r>
      <w:r w:rsidRPr="00C12911">
        <w:rPr>
          <w:rFonts w:ascii="Calibri" w:hAnsi="Calibri" w:cs="Calibri"/>
          <w:color w:val="000000"/>
          <w:sz w:val="20"/>
        </w:rPr>
        <w:t xml:space="preserve">estimates </w:t>
      </w:r>
      <w:r>
        <w:rPr>
          <w:rFonts w:ascii="Calibri" w:hAnsi="Calibri" w:cs="Calibri"/>
          <w:color w:val="000000"/>
          <w:sz w:val="20"/>
        </w:rPr>
        <w:t xml:space="preserve">were </w:t>
      </w:r>
      <w:r w:rsidRPr="00C12911">
        <w:rPr>
          <w:rFonts w:ascii="Calibri" w:hAnsi="Calibri" w:cs="Calibri"/>
          <w:color w:val="000000"/>
          <w:sz w:val="20"/>
        </w:rPr>
        <w:t>agr</w:t>
      </w:r>
      <w:r>
        <w:rPr>
          <w:rFonts w:ascii="Calibri" w:hAnsi="Calibri" w:cs="Calibri"/>
          <w:color w:val="000000"/>
          <w:sz w:val="20"/>
        </w:rPr>
        <w:t>eed between the Sponsors and the Department</w:t>
      </w:r>
      <w:r w:rsidRPr="00C12911">
        <w:rPr>
          <w:rFonts w:ascii="Calibri" w:hAnsi="Calibri" w:cs="Calibri"/>
          <w:color w:val="000000"/>
          <w:sz w:val="20"/>
        </w:rPr>
        <w:t xml:space="preserve"> post PBAC recommendation to list.</w:t>
      </w:r>
      <w:r>
        <w:rPr>
          <w:rFonts w:ascii="Calibri" w:hAnsi="Calibri" w:cs="Calibri"/>
          <w:color w:val="000000"/>
          <w:sz w:val="20"/>
        </w:rPr>
        <w:t xml:space="preserve"> </w:t>
      </w:r>
      <w:r w:rsidRPr="008A2BF2">
        <w:rPr>
          <w:rFonts w:ascii="Calibri" w:hAnsi="Calibri" w:cs="Calibri"/>
          <w:color w:val="000000"/>
          <w:sz w:val="20"/>
        </w:rPr>
        <w:t xml:space="preserve">Part-year corrections have been applied to account for the listing date to allow a comparison to the actual figures. </w:t>
      </w:r>
      <w:r w:rsidRPr="008A2BF2">
        <w:rPr>
          <w:rFonts w:ascii="Calibri" w:hAnsi="Calibri" w:cs="Calibri"/>
          <w:bCs/>
          <w:color w:val="000000"/>
          <w:sz w:val="20"/>
          <w:szCs w:val="20"/>
        </w:rPr>
        <w:t>An adjustment of 0.08 (i.e. 1 month/12 months) and 0.5 (i.e. 6 months/12 months) are applied to predicted figures for Years 1 and 2, as was done for the original modelling.</w:t>
      </w:r>
    </w:p>
    <w:p w14:paraId="4EE143E6" w14:textId="75C15F2F" w:rsidR="00301593" w:rsidRDefault="00301593" w:rsidP="00301593">
      <w:pPr>
        <w:spacing w:after="0"/>
        <w:rPr>
          <w:rFonts w:ascii="Calibri" w:hAnsi="Calibri" w:cs="Calibri"/>
          <w:color w:val="000000"/>
          <w:sz w:val="20"/>
        </w:rPr>
      </w:pPr>
      <w:r>
        <w:rPr>
          <w:rFonts w:ascii="Calibri" w:hAnsi="Calibri" w:cs="Calibri"/>
          <w:color w:val="000000"/>
          <w:sz w:val="20"/>
        </w:rPr>
        <w:t>The actual figures were sourced from the</w:t>
      </w:r>
      <w:r w:rsidRPr="00C12911">
        <w:rPr>
          <w:rFonts w:ascii="Calibri" w:hAnsi="Calibri" w:cs="Calibri"/>
          <w:color w:val="000000"/>
          <w:sz w:val="20"/>
        </w:rPr>
        <w:t xml:space="preserve"> </w:t>
      </w:r>
      <w:r>
        <w:rPr>
          <w:rFonts w:ascii="Calibri" w:hAnsi="Calibri" w:cs="Calibri"/>
          <w:color w:val="000000"/>
          <w:sz w:val="20"/>
        </w:rPr>
        <w:t xml:space="preserve">Department of Human Services </w:t>
      </w:r>
      <w:r w:rsidRPr="00B609F8">
        <w:rPr>
          <w:rFonts w:eastAsia="Calibri" w:cs="Arial"/>
          <w:sz w:val="20"/>
          <w:szCs w:val="20"/>
        </w:rPr>
        <w:t xml:space="preserve">PBS </w:t>
      </w:r>
      <w:r>
        <w:rPr>
          <w:rFonts w:eastAsia="Calibri" w:cs="Arial"/>
          <w:sz w:val="20"/>
          <w:szCs w:val="20"/>
        </w:rPr>
        <w:t>Prescriptions Database</w:t>
      </w:r>
      <w:r w:rsidRPr="00C12911">
        <w:rPr>
          <w:rFonts w:ascii="Calibri" w:hAnsi="Calibri" w:cs="Calibri"/>
          <w:color w:val="000000"/>
          <w:sz w:val="20"/>
        </w:rPr>
        <w:t xml:space="preserve"> </w:t>
      </w:r>
      <w:r>
        <w:rPr>
          <w:rFonts w:ascii="Calibri" w:hAnsi="Calibri" w:cs="Calibri"/>
          <w:color w:val="000000"/>
          <w:sz w:val="20"/>
        </w:rPr>
        <w:t>accessed July 2015. These figures are</w:t>
      </w:r>
      <w:r w:rsidRPr="00C12911">
        <w:rPr>
          <w:rFonts w:ascii="Calibri" w:hAnsi="Calibri" w:cs="Calibri"/>
          <w:color w:val="000000"/>
          <w:sz w:val="20"/>
        </w:rPr>
        <w:t xml:space="preserve"> based on </w:t>
      </w:r>
      <w:r>
        <w:rPr>
          <w:rFonts w:ascii="Calibri" w:hAnsi="Calibri" w:cs="Calibri"/>
          <w:color w:val="000000"/>
          <w:sz w:val="20"/>
        </w:rPr>
        <w:t xml:space="preserve">the </w:t>
      </w:r>
      <w:r w:rsidRPr="00C12911">
        <w:rPr>
          <w:rFonts w:ascii="Calibri" w:hAnsi="Calibri" w:cs="Calibri"/>
          <w:color w:val="000000"/>
          <w:sz w:val="20"/>
        </w:rPr>
        <w:t>date of prescription supply</w:t>
      </w:r>
      <w:r>
        <w:rPr>
          <w:rFonts w:ascii="Calibri" w:hAnsi="Calibri" w:cs="Calibri"/>
          <w:color w:val="000000"/>
          <w:sz w:val="20"/>
        </w:rPr>
        <w:t>.</w:t>
      </w:r>
    </w:p>
    <w:p w14:paraId="0FBC6FCD" w14:textId="77777777" w:rsidR="00346C46" w:rsidRDefault="00346C46" w:rsidP="003F4574">
      <w:pPr>
        <w:autoSpaceDE w:val="0"/>
        <w:autoSpaceDN w:val="0"/>
        <w:adjustRightInd w:val="0"/>
      </w:pPr>
    </w:p>
    <w:p w14:paraId="6D74D6F7" w14:textId="6C368B2A" w:rsidR="00C42F01" w:rsidRDefault="006120CE" w:rsidP="00C42F01">
      <w:pPr>
        <w:pStyle w:val="Heading3"/>
      </w:pPr>
      <w:r>
        <w:t>U</w:t>
      </w:r>
      <w:r w:rsidR="00C42F01" w:rsidRPr="005E22C2">
        <w:t>tilisation</w:t>
      </w:r>
      <w:r w:rsidR="00C42F01">
        <w:t xml:space="preserve"> for teriflunomide</w:t>
      </w:r>
    </w:p>
    <w:p w14:paraId="77699C6D" w14:textId="6EA58E6A" w:rsidR="00C444BE" w:rsidRDefault="005B565C" w:rsidP="00546079">
      <w:pPr>
        <w:autoSpaceDE w:val="0"/>
        <w:autoSpaceDN w:val="0"/>
        <w:adjustRightInd w:val="0"/>
      </w:pPr>
      <w:r>
        <w:t xml:space="preserve">Based on a Treatment Practice Survey undertaken by the sponsor it was assumed that </w:t>
      </w:r>
      <w:r w:rsidR="00B00EE6">
        <w:t xml:space="preserve">6.64% </w:t>
      </w:r>
      <w:r>
        <w:t xml:space="preserve">of patients who would not have otherwise received a RRMS would be eligible for teriflunomide. Teriflunomide was predicted to grow the market through capturing </w:t>
      </w:r>
      <w:r w:rsidR="00604EDB">
        <w:t>an</w:t>
      </w:r>
      <w:r>
        <w:t xml:space="preserve"> untreated population. </w:t>
      </w:r>
      <w:r w:rsidR="009C18AE">
        <w:t xml:space="preserve">As discussed under ‘Utilisation of dimethyl fumarate’ above, </w:t>
      </w:r>
      <w:r w:rsidR="00604EDB">
        <w:t xml:space="preserve">while </w:t>
      </w:r>
      <w:r w:rsidR="009C18AE">
        <w:t xml:space="preserve">a 3% </w:t>
      </w:r>
      <w:r w:rsidR="0006025B">
        <w:t xml:space="preserve">increase in </w:t>
      </w:r>
      <w:r w:rsidR="009C18AE">
        <w:t>growth in the RRMS market occurred after the entry of the new oral RRMS</w:t>
      </w:r>
      <w:r w:rsidR="00604EDB">
        <w:t xml:space="preserve"> this was mainly attributed to dimethyl fumarate</w:t>
      </w:r>
      <w:r w:rsidR="007D3F10">
        <w:t>. O</w:t>
      </w:r>
      <w:r w:rsidR="00604EDB">
        <w:t xml:space="preserve">nly a low proportion (3%) of first-time initiators received teriflunomide. </w:t>
      </w:r>
      <w:r w:rsidR="00174A02">
        <w:t>Teriflunomide may have been used in patients who may not have previously sought treatment</w:t>
      </w:r>
      <w:r w:rsidR="0059009D">
        <w:t xml:space="preserve"> for RRMS</w:t>
      </w:r>
      <w:r w:rsidR="00174A02">
        <w:t>, however the impact of this appears minimal.</w:t>
      </w:r>
    </w:p>
    <w:p w14:paraId="2FDCA752" w14:textId="5C4CD6FD" w:rsidR="00BD5DDF" w:rsidRPr="00BD5DDF" w:rsidRDefault="00BD5DDF" w:rsidP="00546079">
      <w:pPr>
        <w:autoSpaceDE w:val="0"/>
        <w:autoSpaceDN w:val="0"/>
        <w:adjustRightInd w:val="0"/>
      </w:pPr>
      <w:r>
        <w:t>Comparisons of the predicted versus actual utilisation and expenditure for teriflunomide is presented in Table 1</w:t>
      </w:r>
      <w:r w:rsidR="00CC580C">
        <w:t>4</w:t>
      </w:r>
      <w:r>
        <w:t xml:space="preserve">. The </w:t>
      </w:r>
      <w:r w:rsidR="00B02444">
        <w:t>drug costs presented</w:t>
      </w:r>
      <w:r>
        <w:t xml:space="preserve"> in Table </w:t>
      </w:r>
      <w:r w:rsidR="00546079">
        <w:t>1</w:t>
      </w:r>
      <w:r w:rsidR="00CC580C">
        <w:t>4</w:t>
      </w:r>
      <w:r>
        <w:t xml:space="preserve"> </w:t>
      </w:r>
      <w:r w:rsidR="00B02444">
        <w:t>are based on the published price of teriflunomide</w:t>
      </w:r>
      <w:r>
        <w:t xml:space="preserve"> and are net of patient contributions.</w:t>
      </w:r>
    </w:p>
    <w:p w14:paraId="52248CDB" w14:textId="656ACB8E" w:rsidR="003D3833" w:rsidRDefault="00BD5DDF" w:rsidP="003D3833">
      <w:pPr>
        <w:pStyle w:val="Tabletitle"/>
        <w:spacing w:before="0" w:after="0"/>
      </w:pPr>
      <w:r>
        <w:lastRenderedPageBreak/>
        <w:t>Table 1</w:t>
      </w:r>
      <w:r w:rsidR="00CC580C">
        <w:t>4</w:t>
      </w:r>
      <w:r>
        <w:t>.</w:t>
      </w:r>
      <w:r w:rsidR="003D3833">
        <w:t xml:space="preserve"> Predicted vs Actual </w:t>
      </w:r>
      <w:r w:rsidR="00A863B9">
        <w:t>comparison</w:t>
      </w:r>
      <w:r w:rsidR="003D3833">
        <w:t xml:space="preserve"> for teriflunomide</w:t>
      </w:r>
    </w:p>
    <w:p w14:paraId="5F3C8273" w14:textId="77777777" w:rsidR="003D3833" w:rsidRDefault="003D3833" w:rsidP="003D3833">
      <w:pPr>
        <w:pStyle w:val="Tabletitle"/>
        <w:spacing w:before="0" w:after="0"/>
      </w:pPr>
    </w:p>
    <w:tbl>
      <w:tblPr>
        <w:tblW w:w="0" w:type="auto"/>
        <w:tblInd w:w="93" w:type="dxa"/>
        <w:tblLook w:val="04A0" w:firstRow="1" w:lastRow="0" w:firstColumn="1" w:lastColumn="0" w:noHBand="0" w:noVBand="1"/>
      </w:tblPr>
      <w:tblGrid>
        <w:gridCol w:w="2682"/>
        <w:gridCol w:w="1065"/>
        <w:gridCol w:w="1517"/>
      </w:tblGrid>
      <w:tr w:rsidR="00B00EE6" w:rsidRPr="00AA2941" w14:paraId="0012580D" w14:textId="77777777" w:rsidTr="005922FB">
        <w:trPr>
          <w:trHeight w:val="300"/>
          <w:tblHeader/>
        </w:trPr>
        <w:tc>
          <w:tcPr>
            <w:tcW w:w="0" w:type="auto"/>
            <w:vMerge w:val="restart"/>
            <w:tcBorders>
              <w:bottom w:val="single" w:sz="8" w:space="0" w:color="000000"/>
            </w:tcBorders>
            <w:shd w:val="clear" w:color="auto" w:fill="auto"/>
            <w:noWrap/>
            <w:vAlign w:val="center"/>
            <w:hideMark/>
          </w:tcPr>
          <w:p w14:paraId="6B30A8F7" w14:textId="77777777" w:rsidR="00B00EE6" w:rsidRPr="00F562CE" w:rsidRDefault="00B00EE6" w:rsidP="005922FB">
            <w:pPr>
              <w:pStyle w:val="TableText"/>
              <w:rPr>
                <w:rFonts w:asciiTheme="minorHAnsi" w:hAnsiTheme="minorHAnsi"/>
              </w:rPr>
            </w:pPr>
            <w:r w:rsidRPr="00F562CE">
              <w:rPr>
                <w:rFonts w:asciiTheme="minorHAnsi" w:hAnsiTheme="minorHAnsi"/>
              </w:rPr>
              <w:t> </w:t>
            </w:r>
          </w:p>
        </w:tc>
        <w:tc>
          <w:tcPr>
            <w:tcW w:w="0" w:type="auto"/>
            <w:vMerge w:val="restart"/>
            <w:tcBorders>
              <w:bottom w:val="single" w:sz="8" w:space="0" w:color="000000"/>
              <w:right w:val="single" w:sz="8" w:space="0" w:color="auto"/>
            </w:tcBorders>
            <w:shd w:val="clear" w:color="auto" w:fill="auto"/>
            <w:vAlign w:val="center"/>
            <w:hideMark/>
          </w:tcPr>
          <w:p w14:paraId="44CEFD19" w14:textId="77777777" w:rsidR="00B00EE6" w:rsidRPr="00F562CE" w:rsidRDefault="00B00EE6" w:rsidP="005922FB">
            <w:pPr>
              <w:pStyle w:val="TableText"/>
              <w:rPr>
                <w:rFonts w:asciiTheme="minorHAnsi" w:hAnsiTheme="minorHAnsi"/>
                <w:b/>
                <w:bCs/>
              </w:rPr>
            </w:pPr>
            <w:r w:rsidRPr="00F562CE">
              <w:rPr>
                <w:rFonts w:asciiTheme="minorHAnsi" w:hAnsiTheme="minorHAnsi"/>
                <w:b/>
                <w:bCs/>
              </w:rPr>
              <w:t> </w:t>
            </w:r>
          </w:p>
        </w:tc>
        <w:tc>
          <w:tcPr>
            <w:tcW w:w="1517" w:type="dxa"/>
            <w:tcBorders>
              <w:top w:val="single" w:sz="8" w:space="0" w:color="auto"/>
              <w:left w:val="nil"/>
              <w:bottom w:val="nil"/>
              <w:right w:val="single" w:sz="8" w:space="0" w:color="auto"/>
            </w:tcBorders>
            <w:shd w:val="clear" w:color="auto" w:fill="BFBFBF" w:themeFill="background1" w:themeFillShade="BF"/>
            <w:noWrap/>
            <w:vAlign w:val="center"/>
            <w:hideMark/>
          </w:tcPr>
          <w:p w14:paraId="53D07B2D" w14:textId="77777777" w:rsidR="00B00EE6" w:rsidRPr="00F562CE" w:rsidRDefault="00B00EE6" w:rsidP="005922FB">
            <w:pPr>
              <w:pStyle w:val="TableText"/>
              <w:jc w:val="center"/>
              <w:rPr>
                <w:rFonts w:asciiTheme="minorHAnsi" w:hAnsiTheme="minorHAnsi"/>
                <w:b/>
                <w:bCs/>
              </w:rPr>
            </w:pPr>
            <w:r>
              <w:rPr>
                <w:rFonts w:asciiTheme="minorHAnsi" w:hAnsiTheme="minorHAnsi"/>
                <w:b/>
                <w:bCs/>
              </w:rPr>
              <w:t xml:space="preserve">Utilisation </w:t>
            </w:r>
          </w:p>
        </w:tc>
      </w:tr>
      <w:tr w:rsidR="00B00EE6" w:rsidRPr="00AA2941" w14:paraId="5D4D2F5F" w14:textId="77777777" w:rsidTr="005922FB">
        <w:trPr>
          <w:trHeight w:val="315"/>
          <w:tblHeader/>
        </w:trPr>
        <w:tc>
          <w:tcPr>
            <w:tcW w:w="0" w:type="auto"/>
            <w:vMerge/>
            <w:tcBorders>
              <w:top w:val="single" w:sz="8" w:space="0" w:color="auto"/>
              <w:bottom w:val="single" w:sz="8" w:space="0" w:color="000000"/>
            </w:tcBorders>
            <w:vAlign w:val="center"/>
            <w:hideMark/>
          </w:tcPr>
          <w:p w14:paraId="5AC89102" w14:textId="77777777" w:rsidR="00B00EE6" w:rsidRPr="00F562CE" w:rsidRDefault="00B00EE6" w:rsidP="005922FB">
            <w:pPr>
              <w:pStyle w:val="TableText"/>
              <w:rPr>
                <w:rFonts w:asciiTheme="minorHAnsi" w:hAnsiTheme="minorHAnsi"/>
              </w:rPr>
            </w:pPr>
          </w:p>
        </w:tc>
        <w:tc>
          <w:tcPr>
            <w:tcW w:w="0" w:type="auto"/>
            <w:vMerge/>
            <w:tcBorders>
              <w:top w:val="single" w:sz="8" w:space="0" w:color="auto"/>
              <w:bottom w:val="single" w:sz="8" w:space="0" w:color="000000"/>
              <w:right w:val="single" w:sz="8" w:space="0" w:color="auto"/>
            </w:tcBorders>
            <w:vAlign w:val="center"/>
            <w:hideMark/>
          </w:tcPr>
          <w:p w14:paraId="5B6FF2F6" w14:textId="77777777" w:rsidR="00B00EE6" w:rsidRPr="00F562CE" w:rsidRDefault="00B00EE6" w:rsidP="005922FB">
            <w:pPr>
              <w:pStyle w:val="TableText"/>
              <w:rPr>
                <w:rFonts w:asciiTheme="minorHAnsi" w:hAnsiTheme="minorHAnsi"/>
                <w:b/>
                <w:bCs/>
              </w:rPr>
            </w:pPr>
          </w:p>
        </w:tc>
        <w:tc>
          <w:tcPr>
            <w:tcW w:w="1517" w:type="dxa"/>
            <w:tcBorders>
              <w:top w:val="nil"/>
              <w:left w:val="nil"/>
              <w:bottom w:val="single" w:sz="8" w:space="0" w:color="auto"/>
              <w:right w:val="single" w:sz="8" w:space="0" w:color="auto"/>
            </w:tcBorders>
            <w:shd w:val="clear" w:color="auto" w:fill="BFBFBF" w:themeFill="background1" w:themeFillShade="BF"/>
            <w:noWrap/>
            <w:vAlign w:val="center"/>
            <w:hideMark/>
          </w:tcPr>
          <w:p w14:paraId="70C8AACB" w14:textId="77777777" w:rsidR="00B00EE6" w:rsidRPr="00F562CE" w:rsidRDefault="00B00EE6" w:rsidP="005922FB">
            <w:pPr>
              <w:pStyle w:val="TableText"/>
              <w:jc w:val="center"/>
              <w:rPr>
                <w:rFonts w:asciiTheme="minorHAnsi" w:hAnsiTheme="minorHAnsi"/>
              </w:rPr>
            </w:pPr>
            <w:r>
              <w:rPr>
                <w:rFonts w:asciiTheme="minorHAnsi" w:hAnsiTheme="minorHAnsi"/>
              </w:rPr>
              <w:t>Dec13 to Nov14</w:t>
            </w:r>
          </w:p>
        </w:tc>
      </w:tr>
      <w:tr w:rsidR="00B00EE6" w:rsidRPr="00AA2941" w14:paraId="57A39318" w14:textId="77777777" w:rsidTr="005922FB">
        <w:trPr>
          <w:trHeight w:val="315"/>
        </w:trPr>
        <w:tc>
          <w:tcPr>
            <w:tcW w:w="0" w:type="auto"/>
            <w:vMerge w:val="restart"/>
            <w:tcBorders>
              <w:top w:val="single" w:sz="8" w:space="0" w:color="auto"/>
              <w:left w:val="single" w:sz="8" w:space="0" w:color="auto"/>
              <w:right w:val="single" w:sz="8" w:space="0" w:color="auto"/>
            </w:tcBorders>
            <w:shd w:val="clear" w:color="auto" w:fill="auto"/>
            <w:noWrap/>
          </w:tcPr>
          <w:p w14:paraId="751F327D" w14:textId="77777777" w:rsidR="00B00EE6" w:rsidRPr="00F562CE" w:rsidRDefault="00B00EE6" w:rsidP="005922FB">
            <w:pPr>
              <w:pStyle w:val="TableText"/>
              <w:rPr>
                <w:rFonts w:asciiTheme="minorHAnsi" w:hAnsiTheme="minorHAnsi"/>
              </w:rPr>
            </w:pPr>
            <w:r>
              <w:rPr>
                <w:rFonts w:asciiTheme="minorHAnsi" w:hAnsiTheme="minorHAnsi"/>
              </w:rPr>
              <w:t>Treated patients</w:t>
            </w:r>
          </w:p>
        </w:tc>
        <w:tc>
          <w:tcPr>
            <w:tcW w:w="0" w:type="auto"/>
            <w:tcBorders>
              <w:top w:val="single" w:sz="8" w:space="0" w:color="auto"/>
              <w:left w:val="nil"/>
              <w:bottom w:val="single" w:sz="8" w:space="0" w:color="auto"/>
              <w:right w:val="single" w:sz="8" w:space="0" w:color="auto"/>
            </w:tcBorders>
            <w:shd w:val="clear" w:color="auto" w:fill="auto"/>
            <w:vAlign w:val="center"/>
          </w:tcPr>
          <w:p w14:paraId="48E0E397" w14:textId="77777777" w:rsidR="00B00EE6" w:rsidRPr="00F562CE" w:rsidRDefault="00B00EE6" w:rsidP="005922FB">
            <w:pPr>
              <w:pStyle w:val="TableText"/>
              <w:rPr>
                <w:rFonts w:asciiTheme="minorHAnsi" w:hAnsiTheme="minorHAnsi"/>
              </w:rPr>
            </w:pPr>
            <w:r w:rsidRPr="00F562CE">
              <w:rPr>
                <w:rFonts w:asciiTheme="minorHAnsi" w:hAnsiTheme="minorHAnsi"/>
              </w:rPr>
              <w:t>Predicted</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7687ED32" w14:textId="77777777" w:rsidR="00B00EE6" w:rsidRPr="00F87578" w:rsidRDefault="00B00EE6" w:rsidP="005922FB">
            <w:pPr>
              <w:pStyle w:val="TableText"/>
              <w:jc w:val="right"/>
              <w:rPr>
                <w:rFonts w:asciiTheme="minorHAnsi" w:hAnsiTheme="minorHAnsi"/>
                <w:bCs/>
                <w:color w:val="000000" w:themeColor="text1"/>
              </w:rPr>
            </w:pPr>
            <w:r w:rsidRPr="00F87578">
              <w:rPr>
                <w:rFonts w:ascii="Calibri" w:hAnsi="Calibri"/>
                <w:color w:val="000000" w:themeColor="text1"/>
                <w:szCs w:val="20"/>
              </w:rPr>
              <w:t>1,134</w:t>
            </w:r>
          </w:p>
        </w:tc>
      </w:tr>
      <w:tr w:rsidR="00B00EE6" w:rsidRPr="00AA2941" w14:paraId="6FB9C068" w14:textId="77777777" w:rsidTr="005922FB">
        <w:trPr>
          <w:trHeight w:val="315"/>
        </w:trPr>
        <w:tc>
          <w:tcPr>
            <w:tcW w:w="0" w:type="auto"/>
            <w:vMerge/>
            <w:tcBorders>
              <w:left w:val="single" w:sz="8" w:space="0" w:color="auto"/>
              <w:right w:val="single" w:sz="8" w:space="0" w:color="auto"/>
            </w:tcBorders>
            <w:shd w:val="clear" w:color="auto" w:fill="auto"/>
            <w:noWrap/>
          </w:tcPr>
          <w:p w14:paraId="394EEA31" w14:textId="77777777" w:rsidR="00B00EE6" w:rsidRPr="00F562CE" w:rsidRDefault="00B00EE6" w:rsidP="005922FB">
            <w:pPr>
              <w:pStyle w:val="TableText"/>
              <w:rPr>
                <w:rFonts w:asciiTheme="minorHAnsi" w:hAnsiTheme="minorHAnsi"/>
              </w:rPr>
            </w:pPr>
          </w:p>
        </w:tc>
        <w:tc>
          <w:tcPr>
            <w:tcW w:w="0" w:type="auto"/>
            <w:tcBorders>
              <w:top w:val="single" w:sz="8" w:space="0" w:color="auto"/>
              <w:left w:val="nil"/>
              <w:bottom w:val="single" w:sz="8" w:space="0" w:color="auto"/>
              <w:right w:val="single" w:sz="8" w:space="0" w:color="auto"/>
            </w:tcBorders>
            <w:shd w:val="clear" w:color="auto" w:fill="auto"/>
            <w:vAlign w:val="center"/>
          </w:tcPr>
          <w:p w14:paraId="237B37EA" w14:textId="77777777" w:rsidR="00B00EE6" w:rsidRPr="00F562CE" w:rsidRDefault="00B00EE6" w:rsidP="005922FB">
            <w:pPr>
              <w:pStyle w:val="TableText"/>
              <w:rPr>
                <w:rFonts w:asciiTheme="minorHAnsi" w:hAnsiTheme="minorHAnsi"/>
              </w:rPr>
            </w:pPr>
            <w:r w:rsidRPr="00F562CE">
              <w:rPr>
                <w:rFonts w:asciiTheme="minorHAnsi" w:hAnsiTheme="minorHAnsi"/>
              </w:rPr>
              <w:t>Actual</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491CC4E1" w14:textId="77777777" w:rsidR="00B00EE6" w:rsidRPr="00F87578" w:rsidRDefault="00B00EE6" w:rsidP="005922FB">
            <w:pPr>
              <w:pStyle w:val="TableText"/>
              <w:jc w:val="right"/>
              <w:rPr>
                <w:rFonts w:asciiTheme="minorHAnsi" w:hAnsiTheme="minorHAnsi"/>
                <w:color w:val="000000" w:themeColor="text1"/>
              </w:rPr>
            </w:pPr>
            <w:r w:rsidRPr="00F87578">
              <w:rPr>
                <w:rFonts w:ascii="Calibri" w:hAnsi="Calibri"/>
                <w:color w:val="000000" w:themeColor="text1"/>
                <w:szCs w:val="20"/>
              </w:rPr>
              <w:t>765</w:t>
            </w:r>
          </w:p>
        </w:tc>
      </w:tr>
      <w:tr w:rsidR="00B00EE6" w:rsidRPr="00AA2941" w14:paraId="17C4D6AE" w14:textId="77777777" w:rsidTr="005922FB">
        <w:trPr>
          <w:trHeight w:val="315"/>
        </w:trPr>
        <w:tc>
          <w:tcPr>
            <w:tcW w:w="0" w:type="auto"/>
            <w:vMerge/>
            <w:tcBorders>
              <w:left w:val="single" w:sz="8" w:space="0" w:color="auto"/>
              <w:right w:val="single" w:sz="8" w:space="0" w:color="auto"/>
            </w:tcBorders>
            <w:shd w:val="clear" w:color="auto" w:fill="auto"/>
            <w:noWrap/>
          </w:tcPr>
          <w:p w14:paraId="4417395C" w14:textId="77777777" w:rsidR="00B00EE6" w:rsidRPr="00F562CE" w:rsidRDefault="00B00EE6" w:rsidP="005922FB">
            <w:pPr>
              <w:pStyle w:val="TableText"/>
              <w:rPr>
                <w:rFonts w:asciiTheme="minorHAnsi" w:hAnsiTheme="minorHAnsi"/>
              </w:rPr>
            </w:pPr>
          </w:p>
        </w:tc>
        <w:tc>
          <w:tcPr>
            <w:tcW w:w="0" w:type="auto"/>
            <w:tcBorders>
              <w:top w:val="single" w:sz="8" w:space="0" w:color="auto"/>
              <w:left w:val="nil"/>
              <w:bottom w:val="single" w:sz="8" w:space="0" w:color="auto"/>
              <w:right w:val="single" w:sz="8" w:space="0" w:color="auto"/>
            </w:tcBorders>
            <w:shd w:val="clear" w:color="auto" w:fill="auto"/>
            <w:vAlign w:val="center"/>
          </w:tcPr>
          <w:p w14:paraId="4A0067B2" w14:textId="77777777" w:rsidR="00B00EE6" w:rsidRPr="00F562CE" w:rsidRDefault="00B00EE6" w:rsidP="005922FB">
            <w:pPr>
              <w:pStyle w:val="TableText"/>
              <w:rPr>
                <w:rFonts w:asciiTheme="minorHAnsi" w:hAnsiTheme="minorHAnsi"/>
              </w:rPr>
            </w:pPr>
            <w:r>
              <w:rPr>
                <w:rFonts w:asciiTheme="minorHAnsi" w:hAnsiTheme="minorHAnsi"/>
              </w:rPr>
              <w:t>Difference</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0C96F960" w14:textId="77777777" w:rsidR="00B00EE6" w:rsidRPr="00AD4B28" w:rsidRDefault="00B00EE6" w:rsidP="005922FB">
            <w:pPr>
              <w:pStyle w:val="TableText"/>
              <w:jc w:val="right"/>
              <w:rPr>
                <w:rFonts w:ascii="Calibri" w:hAnsi="Calibri"/>
                <w:color w:val="000000" w:themeColor="text1"/>
                <w:szCs w:val="20"/>
              </w:rPr>
            </w:pPr>
            <w:r w:rsidRPr="00AD4B28">
              <w:rPr>
                <w:rFonts w:ascii="Calibri" w:hAnsi="Calibri"/>
                <w:color w:val="000000" w:themeColor="text1"/>
                <w:szCs w:val="20"/>
              </w:rPr>
              <w:t>-369</w:t>
            </w:r>
          </w:p>
          <w:p w14:paraId="16E985F5" w14:textId="77777777" w:rsidR="00B00EE6" w:rsidRPr="00AD4B28" w:rsidRDefault="00B00EE6" w:rsidP="005922FB">
            <w:pPr>
              <w:pStyle w:val="TableText"/>
              <w:jc w:val="right"/>
              <w:rPr>
                <w:rFonts w:asciiTheme="minorHAnsi" w:hAnsiTheme="minorHAnsi"/>
                <w:color w:val="000000" w:themeColor="text1"/>
              </w:rPr>
            </w:pPr>
            <w:r w:rsidRPr="00AD4B28">
              <w:rPr>
                <w:rFonts w:ascii="Calibri" w:hAnsi="Calibri"/>
                <w:color w:val="000000" w:themeColor="text1"/>
                <w:szCs w:val="20"/>
              </w:rPr>
              <w:t>(-32.5%)</w:t>
            </w:r>
          </w:p>
        </w:tc>
      </w:tr>
      <w:tr w:rsidR="00B00EE6" w:rsidRPr="00AA2941" w14:paraId="29C6B8EA" w14:textId="77777777" w:rsidTr="005922FB">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Pr>
          <w:p w14:paraId="756CA068" w14:textId="77777777" w:rsidR="00B00EE6" w:rsidRPr="00F562CE" w:rsidRDefault="00B00EE6" w:rsidP="005922FB">
            <w:pPr>
              <w:pStyle w:val="TableText"/>
              <w:rPr>
                <w:rFonts w:asciiTheme="minorHAnsi" w:hAnsiTheme="minorHAnsi"/>
              </w:rPr>
            </w:pPr>
            <w:r>
              <w:rPr>
                <w:rFonts w:asciiTheme="minorHAnsi" w:hAnsiTheme="minorHAnsi"/>
              </w:rPr>
              <w:t>Number of prescriptions</w:t>
            </w:r>
          </w:p>
          <w:p w14:paraId="6352B5C2" w14:textId="77777777" w:rsidR="00B00EE6" w:rsidRPr="00F562CE" w:rsidRDefault="00B00EE6" w:rsidP="005922FB">
            <w:pPr>
              <w:pStyle w:val="TableText"/>
              <w:rPr>
                <w:rFonts w:asciiTheme="minorHAnsi" w:hAnsiTheme="minorHAnsi"/>
              </w:rPr>
            </w:pP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7713B69B" w14:textId="77777777" w:rsidR="00B00EE6" w:rsidRPr="00F562CE" w:rsidRDefault="00B00EE6" w:rsidP="005922FB">
            <w:pPr>
              <w:pStyle w:val="TableText"/>
              <w:rPr>
                <w:rFonts w:asciiTheme="minorHAnsi" w:hAnsiTheme="minorHAnsi"/>
              </w:rPr>
            </w:pPr>
            <w:r w:rsidRPr="00F562CE">
              <w:rPr>
                <w:rFonts w:asciiTheme="minorHAnsi" w:hAnsiTheme="minorHAnsi"/>
              </w:rPr>
              <w:t>Predicted</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4A513E10" w14:textId="77777777" w:rsidR="00B00EE6" w:rsidRPr="00AD4B28" w:rsidRDefault="00B00EE6" w:rsidP="005922FB">
            <w:pPr>
              <w:pStyle w:val="TableText"/>
              <w:jc w:val="right"/>
              <w:rPr>
                <w:rFonts w:asciiTheme="minorHAnsi" w:hAnsiTheme="minorHAnsi"/>
                <w:bCs/>
                <w:color w:val="000000" w:themeColor="text1"/>
              </w:rPr>
            </w:pPr>
            <w:r w:rsidRPr="00AD4B28">
              <w:rPr>
                <w:rFonts w:ascii="Calibri" w:hAnsi="Calibri"/>
                <w:color w:val="000000" w:themeColor="text1"/>
                <w:szCs w:val="20"/>
              </w:rPr>
              <w:t>12,019</w:t>
            </w:r>
          </w:p>
        </w:tc>
      </w:tr>
      <w:tr w:rsidR="00B00EE6" w:rsidRPr="00AA2941" w14:paraId="7EB2D84E" w14:textId="77777777" w:rsidTr="005922FB">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noWrap/>
          </w:tcPr>
          <w:p w14:paraId="47B0BF53" w14:textId="77777777" w:rsidR="00B00EE6" w:rsidRPr="00F562CE" w:rsidRDefault="00B00EE6" w:rsidP="005922FB">
            <w:pPr>
              <w:pStyle w:val="TableText"/>
              <w:rPr>
                <w:rFonts w:asciiTheme="minorHAnsi" w:hAnsiTheme="minorHAnsi"/>
              </w:rPr>
            </w:pP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62A8B695" w14:textId="77777777" w:rsidR="00B00EE6" w:rsidRPr="00F562CE" w:rsidRDefault="00B00EE6" w:rsidP="005922FB">
            <w:pPr>
              <w:pStyle w:val="TableText"/>
              <w:rPr>
                <w:rFonts w:asciiTheme="minorHAnsi" w:hAnsiTheme="minorHAnsi"/>
              </w:rPr>
            </w:pPr>
            <w:r w:rsidRPr="00F562CE">
              <w:rPr>
                <w:rFonts w:asciiTheme="minorHAnsi" w:hAnsiTheme="minorHAnsi"/>
              </w:rPr>
              <w:t>Actual</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7D714D63" w14:textId="77777777" w:rsidR="00B00EE6" w:rsidRPr="00AD4B28" w:rsidRDefault="00B00EE6" w:rsidP="005922FB">
            <w:pPr>
              <w:pStyle w:val="TableText"/>
              <w:jc w:val="right"/>
              <w:rPr>
                <w:rFonts w:asciiTheme="minorHAnsi" w:hAnsiTheme="minorHAnsi"/>
                <w:color w:val="000000" w:themeColor="text1"/>
              </w:rPr>
            </w:pPr>
            <w:r w:rsidRPr="00AD4B28">
              <w:rPr>
                <w:rFonts w:ascii="Calibri" w:hAnsi="Calibri"/>
                <w:color w:val="000000" w:themeColor="text1"/>
                <w:szCs w:val="20"/>
              </w:rPr>
              <w:t>5,879</w:t>
            </w:r>
          </w:p>
        </w:tc>
      </w:tr>
      <w:tr w:rsidR="00B00EE6" w:rsidRPr="00AA2941" w14:paraId="3DEC5DF9" w14:textId="77777777" w:rsidTr="005922FB">
        <w:trPr>
          <w:trHeight w:val="315"/>
        </w:trPr>
        <w:tc>
          <w:tcPr>
            <w:tcW w:w="0" w:type="auto"/>
            <w:vMerge/>
            <w:tcBorders>
              <w:top w:val="single" w:sz="4" w:space="0" w:color="auto"/>
              <w:left w:val="single" w:sz="4" w:space="0" w:color="auto"/>
              <w:bottom w:val="single" w:sz="4" w:space="0" w:color="auto"/>
              <w:right w:val="single" w:sz="4" w:space="0" w:color="auto"/>
            </w:tcBorders>
            <w:shd w:val="clear" w:color="auto" w:fill="auto"/>
            <w:noWrap/>
          </w:tcPr>
          <w:p w14:paraId="2E212697" w14:textId="77777777" w:rsidR="00B00EE6" w:rsidRPr="00F562CE" w:rsidRDefault="00B00EE6" w:rsidP="005922FB">
            <w:pPr>
              <w:pStyle w:val="TableText"/>
              <w:rPr>
                <w:rFonts w:asciiTheme="minorHAnsi" w:hAnsiTheme="minorHAnsi"/>
              </w:rPr>
            </w:pP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48D24B3E" w14:textId="77777777" w:rsidR="00B00EE6" w:rsidRPr="00F562CE" w:rsidRDefault="00B00EE6" w:rsidP="005922FB">
            <w:pPr>
              <w:pStyle w:val="TableText"/>
              <w:rPr>
                <w:rFonts w:asciiTheme="minorHAnsi" w:hAnsiTheme="minorHAnsi"/>
              </w:rPr>
            </w:pPr>
            <w:r>
              <w:rPr>
                <w:rFonts w:asciiTheme="minorHAnsi" w:hAnsiTheme="minorHAnsi"/>
              </w:rPr>
              <w:t>Difference</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469D61F0" w14:textId="77777777" w:rsidR="00B00EE6" w:rsidRPr="00AD4B28" w:rsidRDefault="00B00EE6" w:rsidP="005922FB">
            <w:pPr>
              <w:pStyle w:val="TableText"/>
              <w:jc w:val="right"/>
              <w:rPr>
                <w:rFonts w:ascii="Calibri" w:hAnsi="Calibri"/>
                <w:color w:val="000000" w:themeColor="text1"/>
                <w:szCs w:val="20"/>
              </w:rPr>
            </w:pPr>
            <w:r w:rsidRPr="00AD4B28">
              <w:rPr>
                <w:rFonts w:ascii="Calibri" w:hAnsi="Calibri"/>
                <w:color w:val="000000" w:themeColor="text1"/>
                <w:szCs w:val="20"/>
              </w:rPr>
              <w:t>-6,140</w:t>
            </w:r>
          </w:p>
          <w:p w14:paraId="1EC31AEB" w14:textId="77777777" w:rsidR="00B00EE6" w:rsidRPr="00AD4B28" w:rsidRDefault="00B00EE6" w:rsidP="005922FB">
            <w:pPr>
              <w:pStyle w:val="TableText"/>
              <w:jc w:val="right"/>
              <w:rPr>
                <w:rFonts w:asciiTheme="minorHAnsi" w:hAnsiTheme="minorHAnsi"/>
                <w:color w:val="000000" w:themeColor="text1"/>
              </w:rPr>
            </w:pPr>
            <w:r w:rsidRPr="00AD4B28">
              <w:rPr>
                <w:rFonts w:ascii="Calibri" w:hAnsi="Calibri"/>
                <w:color w:val="000000" w:themeColor="text1"/>
                <w:szCs w:val="20"/>
              </w:rPr>
              <w:t>(-51.1%)</w:t>
            </w:r>
          </w:p>
        </w:tc>
      </w:tr>
      <w:tr w:rsidR="00B00EE6" w:rsidRPr="00AA2941" w14:paraId="0AB40979" w14:textId="77777777" w:rsidTr="005922FB">
        <w:trPr>
          <w:trHeight w:val="315"/>
        </w:trPr>
        <w:tc>
          <w:tcPr>
            <w:tcW w:w="0" w:type="auto"/>
            <w:tcBorders>
              <w:top w:val="single" w:sz="4" w:space="0" w:color="auto"/>
              <w:left w:val="single" w:sz="4" w:space="0" w:color="auto"/>
              <w:right w:val="single" w:sz="4" w:space="0" w:color="auto"/>
            </w:tcBorders>
            <w:shd w:val="clear" w:color="auto" w:fill="auto"/>
            <w:noWrap/>
          </w:tcPr>
          <w:p w14:paraId="2FDDE091" w14:textId="77777777" w:rsidR="00B00EE6" w:rsidRPr="00F562CE" w:rsidRDefault="00B00EE6" w:rsidP="005922FB">
            <w:pPr>
              <w:pStyle w:val="TableText"/>
              <w:rPr>
                <w:rFonts w:asciiTheme="minorHAnsi" w:hAnsiTheme="minorHAnsi"/>
              </w:rPr>
            </w:pPr>
            <w:r>
              <w:rPr>
                <w:rFonts w:asciiTheme="minorHAnsi" w:hAnsiTheme="minorHAnsi"/>
              </w:rPr>
              <w:t>Drug cost to the PBS and RPBS</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6DFCDC9C" w14:textId="77777777" w:rsidR="00B00EE6" w:rsidRPr="00F562CE" w:rsidRDefault="00B00EE6" w:rsidP="005922FB">
            <w:pPr>
              <w:pStyle w:val="TableText"/>
              <w:rPr>
                <w:rFonts w:asciiTheme="minorHAnsi" w:hAnsiTheme="minorHAnsi"/>
              </w:rPr>
            </w:pPr>
            <w:r w:rsidRPr="00F562CE">
              <w:rPr>
                <w:rFonts w:asciiTheme="minorHAnsi" w:hAnsiTheme="minorHAnsi"/>
              </w:rPr>
              <w:t>Predicted</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18A846E2" w14:textId="77777777" w:rsidR="00B00EE6" w:rsidRPr="00AD4B28" w:rsidRDefault="00B00EE6" w:rsidP="005922FB">
            <w:pPr>
              <w:pStyle w:val="TableText"/>
              <w:jc w:val="right"/>
              <w:rPr>
                <w:rFonts w:asciiTheme="minorHAnsi" w:hAnsiTheme="minorHAnsi" w:cs="Arial"/>
                <w:color w:val="000000" w:themeColor="text1"/>
              </w:rPr>
            </w:pPr>
            <w:r w:rsidRPr="00AD4B28">
              <w:rPr>
                <w:rFonts w:ascii="Calibri" w:hAnsi="Calibri"/>
                <w:color w:val="000000" w:themeColor="text1"/>
                <w:szCs w:val="20"/>
              </w:rPr>
              <w:t>$21,924,379</w:t>
            </w:r>
          </w:p>
        </w:tc>
      </w:tr>
      <w:tr w:rsidR="00B00EE6" w:rsidRPr="00AA2941" w14:paraId="508B8F3C" w14:textId="77777777" w:rsidTr="005922FB">
        <w:trPr>
          <w:trHeight w:val="315"/>
        </w:trPr>
        <w:tc>
          <w:tcPr>
            <w:tcW w:w="0" w:type="auto"/>
            <w:tcBorders>
              <w:left w:val="single" w:sz="4" w:space="0" w:color="auto"/>
              <w:right w:val="single" w:sz="4" w:space="0" w:color="auto"/>
            </w:tcBorders>
            <w:shd w:val="clear" w:color="auto" w:fill="auto"/>
            <w:noWrap/>
          </w:tcPr>
          <w:p w14:paraId="37DC115E" w14:textId="77777777" w:rsidR="00B00EE6" w:rsidRPr="00F562CE" w:rsidRDefault="00B00EE6" w:rsidP="005922FB">
            <w:pPr>
              <w:pStyle w:val="TableText"/>
              <w:rPr>
                <w:rFonts w:asciiTheme="minorHAnsi" w:hAnsiTheme="minorHAnsi"/>
              </w:rPr>
            </w:pP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109315A6" w14:textId="77777777" w:rsidR="00B00EE6" w:rsidRPr="00F562CE" w:rsidRDefault="00B00EE6" w:rsidP="005922FB">
            <w:pPr>
              <w:pStyle w:val="TableText"/>
              <w:rPr>
                <w:rFonts w:asciiTheme="minorHAnsi" w:hAnsiTheme="minorHAnsi"/>
              </w:rPr>
            </w:pPr>
            <w:r w:rsidRPr="00F562CE">
              <w:rPr>
                <w:rFonts w:asciiTheme="minorHAnsi" w:hAnsiTheme="minorHAnsi"/>
              </w:rPr>
              <w:t>Actual</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75B23441" w14:textId="77777777" w:rsidR="00B00EE6" w:rsidRPr="00AD4B28" w:rsidRDefault="00B00EE6" w:rsidP="005922FB">
            <w:pPr>
              <w:pStyle w:val="TableText"/>
              <w:jc w:val="right"/>
              <w:rPr>
                <w:rFonts w:asciiTheme="minorHAnsi" w:hAnsiTheme="minorHAnsi" w:cs="Arial"/>
                <w:color w:val="000000" w:themeColor="text1"/>
              </w:rPr>
            </w:pPr>
            <w:r w:rsidRPr="00AD4B28">
              <w:rPr>
                <w:rFonts w:ascii="Calibri" w:hAnsi="Calibri"/>
                <w:color w:val="000000" w:themeColor="text1"/>
                <w:szCs w:val="20"/>
              </w:rPr>
              <w:t>$10,614,946</w:t>
            </w:r>
          </w:p>
        </w:tc>
      </w:tr>
      <w:tr w:rsidR="00B00EE6" w:rsidRPr="00AA2941" w14:paraId="6A144610" w14:textId="77777777" w:rsidTr="005922FB">
        <w:trPr>
          <w:trHeight w:val="315"/>
        </w:trPr>
        <w:tc>
          <w:tcPr>
            <w:tcW w:w="0" w:type="auto"/>
            <w:tcBorders>
              <w:left w:val="single" w:sz="4" w:space="0" w:color="auto"/>
              <w:bottom w:val="single" w:sz="4" w:space="0" w:color="auto"/>
              <w:right w:val="single" w:sz="4" w:space="0" w:color="auto"/>
            </w:tcBorders>
            <w:shd w:val="clear" w:color="auto" w:fill="auto"/>
            <w:noWrap/>
          </w:tcPr>
          <w:p w14:paraId="1502C0C0" w14:textId="77777777" w:rsidR="00B00EE6" w:rsidRPr="00F562CE" w:rsidRDefault="00B00EE6" w:rsidP="005922FB">
            <w:pPr>
              <w:pStyle w:val="TableText"/>
              <w:rPr>
                <w:rFonts w:asciiTheme="minorHAnsi" w:hAnsiTheme="minorHAnsi"/>
              </w:rPr>
            </w:pP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14:paraId="25A931F6" w14:textId="77777777" w:rsidR="00B00EE6" w:rsidRPr="00F562CE" w:rsidRDefault="00B00EE6" w:rsidP="005922FB">
            <w:pPr>
              <w:pStyle w:val="TableText"/>
              <w:rPr>
                <w:rFonts w:asciiTheme="minorHAnsi" w:hAnsiTheme="minorHAnsi"/>
              </w:rPr>
            </w:pPr>
            <w:r>
              <w:rPr>
                <w:rFonts w:asciiTheme="minorHAnsi" w:hAnsiTheme="minorHAnsi"/>
              </w:rPr>
              <w:t>Difference</w:t>
            </w:r>
          </w:p>
        </w:tc>
        <w:tc>
          <w:tcPr>
            <w:tcW w:w="1517" w:type="dxa"/>
            <w:tcBorders>
              <w:top w:val="single" w:sz="8" w:space="0" w:color="auto"/>
              <w:left w:val="nil"/>
              <w:bottom w:val="single" w:sz="8" w:space="0" w:color="auto"/>
              <w:right w:val="single" w:sz="8" w:space="0" w:color="auto"/>
            </w:tcBorders>
            <w:shd w:val="clear" w:color="auto" w:fill="auto"/>
            <w:noWrap/>
            <w:vAlign w:val="center"/>
          </w:tcPr>
          <w:p w14:paraId="66EE6449" w14:textId="77777777" w:rsidR="00B00EE6" w:rsidRPr="00AD4B28" w:rsidRDefault="00B00EE6" w:rsidP="005922FB">
            <w:pPr>
              <w:pStyle w:val="TableText"/>
              <w:jc w:val="right"/>
              <w:rPr>
                <w:rFonts w:ascii="Calibri" w:hAnsi="Calibri"/>
                <w:color w:val="000000" w:themeColor="text1"/>
                <w:szCs w:val="20"/>
              </w:rPr>
            </w:pPr>
            <w:r w:rsidRPr="00AD4B28">
              <w:rPr>
                <w:rFonts w:ascii="Calibri" w:hAnsi="Calibri"/>
                <w:color w:val="000000" w:themeColor="text1"/>
                <w:szCs w:val="20"/>
              </w:rPr>
              <w:t>-$11,309,433</w:t>
            </w:r>
          </w:p>
          <w:p w14:paraId="628A2E04" w14:textId="77777777" w:rsidR="00B00EE6" w:rsidRPr="00AD4B28" w:rsidRDefault="00B00EE6" w:rsidP="005922FB">
            <w:pPr>
              <w:pStyle w:val="TableText"/>
              <w:jc w:val="right"/>
              <w:rPr>
                <w:rFonts w:asciiTheme="minorHAnsi" w:hAnsiTheme="minorHAnsi" w:cs="Arial"/>
                <w:color w:val="000000" w:themeColor="text1"/>
              </w:rPr>
            </w:pPr>
            <w:r w:rsidRPr="00AD4B28">
              <w:rPr>
                <w:rFonts w:ascii="Calibri" w:hAnsi="Calibri"/>
                <w:color w:val="000000" w:themeColor="text1"/>
                <w:szCs w:val="20"/>
              </w:rPr>
              <w:t>(-51.6%)</w:t>
            </w:r>
          </w:p>
        </w:tc>
      </w:tr>
    </w:tbl>
    <w:p w14:paraId="51DD435B" w14:textId="0BEFE9FF" w:rsidR="00EA08BC" w:rsidRPr="008A576E" w:rsidRDefault="00EA08BC" w:rsidP="008A576E">
      <w:pPr>
        <w:autoSpaceDE w:val="0"/>
        <w:autoSpaceDN w:val="0"/>
        <w:adjustRightInd w:val="0"/>
        <w:spacing w:after="0"/>
        <w:rPr>
          <w:rFonts w:ascii="Calibri" w:hAnsi="Calibri" w:cs="Calibri"/>
          <w:b/>
          <w:color w:val="000000"/>
          <w:sz w:val="20"/>
        </w:rPr>
      </w:pPr>
      <w:r w:rsidRPr="00F562CE">
        <w:rPr>
          <w:rFonts w:ascii="Calibri" w:hAnsi="Calibri" w:cs="Calibri"/>
          <w:color w:val="000000"/>
          <w:sz w:val="20"/>
        </w:rPr>
        <w:t>Note:</w:t>
      </w:r>
      <w:r>
        <w:rPr>
          <w:rFonts w:ascii="Calibri" w:hAnsi="Calibri" w:cs="Calibri"/>
          <w:b/>
          <w:color w:val="000000"/>
          <w:sz w:val="20"/>
        </w:rPr>
        <w:t xml:space="preserve"> </w:t>
      </w:r>
      <w:r>
        <w:rPr>
          <w:rFonts w:ascii="Calibri" w:hAnsi="Calibri" w:cs="Calibri"/>
          <w:color w:val="000000"/>
          <w:sz w:val="20"/>
        </w:rPr>
        <w:t>All expenditure figures are based on published prices and are net of patient co-payments. Teriflunomide has a special pricing arrangement</w:t>
      </w:r>
      <w:r w:rsidRPr="003A6B58">
        <w:rPr>
          <w:rFonts w:ascii="Calibri" w:hAnsi="Calibri" w:cs="Calibri"/>
          <w:color w:val="000000"/>
          <w:sz w:val="20"/>
        </w:rPr>
        <w:t xml:space="preserve"> and government expenditu</w:t>
      </w:r>
      <w:r>
        <w:rPr>
          <w:rFonts w:ascii="Calibri" w:hAnsi="Calibri" w:cs="Calibri"/>
          <w:color w:val="000000"/>
          <w:sz w:val="20"/>
        </w:rPr>
        <w:t xml:space="preserve">re may be less than presented here. </w:t>
      </w:r>
      <w:r w:rsidR="008A576E">
        <w:rPr>
          <w:rFonts w:ascii="Calibri" w:hAnsi="Calibri" w:cs="Calibri"/>
          <w:b/>
          <w:color w:val="000000"/>
          <w:sz w:val="20"/>
        </w:rPr>
        <w:t xml:space="preserve"> </w:t>
      </w:r>
      <w:r>
        <w:rPr>
          <w:rFonts w:ascii="Calibri" w:hAnsi="Calibri" w:cs="Calibri"/>
          <w:color w:val="000000"/>
          <w:sz w:val="20"/>
        </w:rPr>
        <w:t xml:space="preserve">The predicted </w:t>
      </w:r>
      <w:r w:rsidRPr="00C12911">
        <w:rPr>
          <w:rFonts w:ascii="Calibri" w:hAnsi="Calibri" w:cs="Calibri"/>
          <w:color w:val="000000"/>
          <w:sz w:val="20"/>
        </w:rPr>
        <w:t xml:space="preserve">estimates </w:t>
      </w:r>
      <w:r>
        <w:rPr>
          <w:rFonts w:ascii="Calibri" w:hAnsi="Calibri" w:cs="Calibri"/>
          <w:color w:val="000000"/>
          <w:sz w:val="20"/>
        </w:rPr>
        <w:t xml:space="preserve">were </w:t>
      </w:r>
      <w:r w:rsidRPr="00C12911">
        <w:rPr>
          <w:rFonts w:ascii="Calibri" w:hAnsi="Calibri" w:cs="Calibri"/>
          <w:color w:val="000000"/>
          <w:sz w:val="20"/>
        </w:rPr>
        <w:t>agr</w:t>
      </w:r>
      <w:r>
        <w:rPr>
          <w:rFonts w:ascii="Calibri" w:hAnsi="Calibri" w:cs="Calibri"/>
          <w:color w:val="000000"/>
          <w:sz w:val="20"/>
        </w:rPr>
        <w:t>eed between the Sponsors and the Department</w:t>
      </w:r>
      <w:r w:rsidRPr="00C12911">
        <w:rPr>
          <w:rFonts w:ascii="Calibri" w:hAnsi="Calibri" w:cs="Calibri"/>
          <w:color w:val="000000"/>
          <w:sz w:val="20"/>
        </w:rPr>
        <w:t xml:space="preserve"> post PBAC recommendation to list.</w:t>
      </w:r>
      <w:r>
        <w:rPr>
          <w:rFonts w:ascii="Calibri" w:hAnsi="Calibri" w:cs="Calibri"/>
          <w:color w:val="000000"/>
          <w:sz w:val="20"/>
        </w:rPr>
        <w:t xml:space="preserve"> </w:t>
      </w:r>
      <w:r w:rsidRPr="008A2BF2">
        <w:rPr>
          <w:rFonts w:ascii="Calibri" w:hAnsi="Calibri" w:cs="Calibri"/>
          <w:color w:val="000000"/>
          <w:sz w:val="20"/>
        </w:rPr>
        <w:t xml:space="preserve">Part-year corrections have been applied to account for the listing date to allow a comparison to the actual figures. </w:t>
      </w:r>
      <w:r w:rsidRPr="008A2BF2">
        <w:rPr>
          <w:rFonts w:ascii="Calibri" w:hAnsi="Calibri" w:cs="Calibri"/>
          <w:bCs/>
          <w:color w:val="000000"/>
          <w:sz w:val="20"/>
          <w:szCs w:val="20"/>
        </w:rPr>
        <w:t>An adjustment of 0.08 (i.e. 1 month/12 months) and 0.5 (i.e. 6 months/12 months) are applied to predicted figures for Years 1 and 2, as was done for the original modelling.</w:t>
      </w:r>
    </w:p>
    <w:p w14:paraId="306DE67B" w14:textId="77777777" w:rsidR="00EA08BC" w:rsidRDefault="00EA08BC" w:rsidP="00EA08BC">
      <w:pPr>
        <w:spacing w:after="0"/>
        <w:rPr>
          <w:rFonts w:ascii="Calibri" w:hAnsi="Calibri" w:cs="Calibri"/>
          <w:color w:val="000000"/>
          <w:sz w:val="20"/>
        </w:rPr>
      </w:pPr>
      <w:r>
        <w:rPr>
          <w:rFonts w:ascii="Calibri" w:hAnsi="Calibri" w:cs="Calibri"/>
          <w:color w:val="000000"/>
          <w:sz w:val="20"/>
        </w:rPr>
        <w:t>The actual figures were sourced from the</w:t>
      </w:r>
      <w:r w:rsidRPr="00C12911">
        <w:rPr>
          <w:rFonts w:ascii="Calibri" w:hAnsi="Calibri" w:cs="Calibri"/>
          <w:color w:val="000000"/>
          <w:sz w:val="20"/>
        </w:rPr>
        <w:t xml:space="preserve"> </w:t>
      </w:r>
      <w:r>
        <w:rPr>
          <w:rFonts w:ascii="Calibri" w:hAnsi="Calibri" w:cs="Calibri"/>
          <w:color w:val="000000"/>
          <w:sz w:val="20"/>
        </w:rPr>
        <w:t xml:space="preserve">Department of Human Services </w:t>
      </w:r>
      <w:r w:rsidRPr="00B609F8">
        <w:rPr>
          <w:rFonts w:eastAsia="Calibri" w:cs="Arial"/>
          <w:sz w:val="20"/>
          <w:szCs w:val="20"/>
        </w:rPr>
        <w:t>PBS S</w:t>
      </w:r>
      <w:r>
        <w:rPr>
          <w:rFonts w:eastAsia="Calibri" w:cs="Arial"/>
          <w:sz w:val="20"/>
          <w:szCs w:val="20"/>
        </w:rPr>
        <w:t>upplied Prescriptions Database</w:t>
      </w:r>
      <w:r w:rsidRPr="00C12911">
        <w:rPr>
          <w:rFonts w:ascii="Calibri" w:hAnsi="Calibri" w:cs="Calibri"/>
          <w:color w:val="000000"/>
          <w:sz w:val="20"/>
        </w:rPr>
        <w:t xml:space="preserve"> </w:t>
      </w:r>
      <w:r>
        <w:rPr>
          <w:rFonts w:ascii="Calibri" w:hAnsi="Calibri" w:cs="Calibri"/>
          <w:color w:val="000000"/>
          <w:sz w:val="20"/>
        </w:rPr>
        <w:t>accessed July 2015. These figures are</w:t>
      </w:r>
      <w:r w:rsidRPr="00C12911">
        <w:rPr>
          <w:rFonts w:ascii="Calibri" w:hAnsi="Calibri" w:cs="Calibri"/>
          <w:color w:val="000000"/>
          <w:sz w:val="20"/>
        </w:rPr>
        <w:t xml:space="preserve"> based on </w:t>
      </w:r>
      <w:r>
        <w:rPr>
          <w:rFonts w:ascii="Calibri" w:hAnsi="Calibri" w:cs="Calibri"/>
          <w:color w:val="000000"/>
          <w:sz w:val="20"/>
        </w:rPr>
        <w:t xml:space="preserve">the </w:t>
      </w:r>
      <w:r w:rsidRPr="00C12911">
        <w:rPr>
          <w:rFonts w:ascii="Calibri" w:hAnsi="Calibri" w:cs="Calibri"/>
          <w:color w:val="000000"/>
          <w:sz w:val="20"/>
        </w:rPr>
        <w:t>date of prescription supply</w:t>
      </w:r>
      <w:r>
        <w:rPr>
          <w:rFonts w:ascii="Calibri" w:hAnsi="Calibri" w:cs="Calibri"/>
          <w:color w:val="000000"/>
          <w:sz w:val="20"/>
        </w:rPr>
        <w:t>.</w:t>
      </w:r>
    </w:p>
    <w:p w14:paraId="7DEBAD48" w14:textId="77777777" w:rsidR="00445C1F" w:rsidRDefault="00445C1F" w:rsidP="00445C1F">
      <w:pPr>
        <w:autoSpaceDE w:val="0"/>
        <w:autoSpaceDN w:val="0"/>
        <w:adjustRightInd w:val="0"/>
        <w:spacing w:after="0"/>
        <w:rPr>
          <w:b/>
        </w:rPr>
      </w:pPr>
    </w:p>
    <w:p w14:paraId="52D3B029" w14:textId="591F72FF" w:rsidR="00243311" w:rsidRPr="00360A08" w:rsidRDefault="00360A08" w:rsidP="00445C1F">
      <w:pPr>
        <w:autoSpaceDE w:val="0"/>
        <w:autoSpaceDN w:val="0"/>
        <w:adjustRightInd w:val="0"/>
        <w:spacing w:after="0"/>
      </w:pPr>
      <w:r>
        <w:t>As a consequence of competing with dimethyl fumarate the predicted use of teriflunomide was overestimated.</w:t>
      </w:r>
    </w:p>
    <w:p w14:paraId="12CA2DC1" w14:textId="77777777" w:rsidR="00165B1F" w:rsidRDefault="00165B1F" w:rsidP="0040732F">
      <w:pPr>
        <w:spacing w:after="0"/>
        <w:rPr>
          <w:rFonts w:eastAsia="Calibri" w:cs="Arial"/>
          <w:szCs w:val="20"/>
        </w:rPr>
      </w:pPr>
    </w:p>
    <w:p w14:paraId="3E0C8551" w14:textId="74FF7BA0" w:rsidR="00020234" w:rsidRDefault="00020234" w:rsidP="00900D14">
      <w:pPr>
        <w:pStyle w:val="Tabletitle"/>
        <w:spacing w:before="0" w:after="0"/>
      </w:pPr>
      <w:r w:rsidRPr="00755649">
        <w:t>Length of treatment analysis</w:t>
      </w:r>
      <w:r>
        <w:t xml:space="preserve"> for fingolimod</w:t>
      </w:r>
      <w:r w:rsidR="00390D20">
        <w:t>, natalizumab and</w:t>
      </w:r>
      <w:r w:rsidR="00B91C4B">
        <w:t xml:space="preserve"> ABCR therapy</w:t>
      </w:r>
    </w:p>
    <w:p w14:paraId="60D410E0" w14:textId="77777777" w:rsidR="00900D14" w:rsidRDefault="00900D14" w:rsidP="00900D14">
      <w:pPr>
        <w:pStyle w:val="Tabletitle"/>
        <w:spacing w:before="0" w:after="0"/>
      </w:pPr>
    </w:p>
    <w:p w14:paraId="6088E99D" w14:textId="1A8D91FD" w:rsidR="004E7898" w:rsidRDefault="004E7898" w:rsidP="009E5734">
      <w:pPr>
        <w:rPr>
          <w:rFonts w:cstheme="minorHAnsi"/>
        </w:rPr>
      </w:pPr>
      <w:r>
        <w:rPr>
          <w:rFonts w:cstheme="minorHAnsi"/>
        </w:rPr>
        <w:t>As dimethyl fumarate and teriflunomide have only been listed from 1 December 2013 there was insufficient data to include these drugs in the</w:t>
      </w:r>
      <w:r w:rsidR="00DA4708">
        <w:rPr>
          <w:rFonts w:cstheme="minorHAnsi"/>
        </w:rPr>
        <w:t xml:space="preserve"> length of treatment analyses.</w:t>
      </w:r>
    </w:p>
    <w:p w14:paraId="70BF8400" w14:textId="12A83662" w:rsidR="009E5734" w:rsidRDefault="00A863B9" w:rsidP="009E5734">
      <w:pPr>
        <w:rPr>
          <w:rFonts w:cstheme="minorHAnsi"/>
        </w:rPr>
      </w:pPr>
      <w:r>
        <w:rPr>
          <w:rFonts w:cstheme="minorHAnsi"/>
        </w:rPr>
        <w:t>The analysis included</w:t>
      </w:r>
      <w:r w:rsidR="009E5734">
        <w:rPr>
          <w:rFonts w:cstheme="minorHAnsi"/>
        </w:rPr>
        <w:t xml:space="preserve"> </w:t>
      </w:r>
      <w:r w:rsidR="00563807">
        <w:rPr>
          <w:rFonts w:cstheme="minorHAnsi"/>
        </w:rPr>
        <w:t>4,680</w:t>
      </w:r>
      <w:r w:rsidR="009E5734" w:rsidRPr="00877F4C">
        <w:rPr>
          <w:rFonts w:cstheme="minorHAnsi"/>
        </w:rPr>
        <w:t xml:space="preserve"> </w:t>
      </w:r>
      <w:r w:rsidR="00180F5E">
        <w:rPr>
          <w:rFonts w:cstheme="minorHAnsi"/>
        </w:rPr>
        <w:t xml:space="preserve">patients who initiated </w:t>
      </w:r>
      <w:r w:rsidR="00390D20">
        <w:rPr>
          <w:rFonts w:cstheme="minorHAnsi"/>
        </w:rPr>
        <w:t>their first PBS RRMS ther</w:t>
      </w:r>
      <w:r w:rsidR="00DA4708">
        <w:rPr>
          <w:rFonts w:cstheme="minorHAnsi"/>
        </w:rPr>
        <w:t>a</w:t>
      </w:r>
      <w:r w:rsidR="00390D20">
        <w:rPr>
          <w:rFonts w:cstheme="minorHAnsi"/>
        </w:rPr>
        <w:t xml:space="preserve">py </w:t>
      </w:r>
      <w:r w:rsidR="00180F5E">
        <w:rPr>
          <w:rFonts w:cstheme="minorHAnsi"/>
        </w:rPr>
        <w:t>on either</w:t>
      </w:r>
      <w:r w:rsidR="00227D4C">
        <w:rPr>
          <w:rFonts w:cstheme="minorHAnsi"/>
        </w:rPr>
        <w:t xml:space="preserve"> </w:t>
      </w:r>
      <w:r w:rsidR="00180F5E">
        <w:rPr>
          <w:rFonts w:cstheme="minorHAnsi"/>
        </w:rPr>
        <w:t xml:space="preserve"> fingolimod</w:t>
      </w:r>
      <w:r w:rsidR="00563807">
        <w:rPr>
          <w:rFonts w:cstheme="minorHAnsi"/>
        </w:rPr>
        <w:t>, natalizumab</w:t>
      </w:r>
      <w:r w:rsidR="00180F5E">
        <w:rPr>
          <w:rFonts w:cstheme="minorHAnsi"/>
        </w:rPr>
        <w:t xml:space="preserve"> or ABCR therapy since the listing of fingolimod from </w:t>
      </w:r>
      <w:r w:rsidR="00502D48">
        <w:rPr>
          <w:rFonts w:cstheme="minorHAnsi"/>
        </w:rPr>
        <w:br/>
      </w:r>
      <w:r w:rsidR="00180F5E">
        <w:rPr>
          <w:rFonts w:cstheme="minorHAnsi"/>
        </w:rPr>
        <w:t xml:space="preserve">1 September 2011. </w:t>
      </w:r>
    </w:p>
    <w:p w14:paraId="26F5D278" w14:textId="6AD5E58B" w:rsidR="00C3256B" w:rsidRDefault="00D12C6B" w:rsidP="009E5734">
      <w:pPr>
        <w:rPr>
          <w:rFonts w:cstheme="minorHAnsi"/>
        </w:rPr>
      </w:pPr>
      <w:r>
        <w:rPr>
          <w:rFonts w:cstheme="minorHAnsi"/>
        </w:rPr>
        <w:t>A patient was defined as having a break in treatment if there was no re-supply during a period that was three times the standard coverage days of treatment</w:t>
      </w:r>
      <w:r w:rsidR="00A863B9">
        <w:rPr>
          <w:rFonts w:cstheme="minorHAnsi"/>
        </w:rPr>
        <w:t xml:space="preserve"> </w:t>
      </w:r>
      <w:r>
        <w:rPr>
          <w:rFonts w:cstheme="minorHAnsi"/>
        </w:rPr>
        <w:t>.</w:t>
      </w:r>
      <w:r w:rsidR="008E2E61">
        <w:rPr>
          <w:rFonts w:cstheme="minorHAnsi"/>
        </w:rPr>
        <w:t xml:space="preserve"> That is, a gap between scripts of more than three times the median days to re-supply (see Appendix </w:t>
      </w:r>
      <w:r w:rsidR="00AC4095">
        <w:rPr>
          <w:rFonts w:cstheme="minorHAnsi"/>
        </w:rPr>
        <w:t>D</w:t>
      </w:r>
      <w:r w:rsidR="0078234F">
        <w:rPr>
          <w:rFonts w:cstheme="minorHAnsi"/>
        </w:rPr>
        <w:t xml:space="preserve"> for details).</w:t>
      </w:r>
    </w:p>
    <w:p w14:paraId="0438FA21" w14:textId="31D21287" w:rsidR="00676EDE" w:rsidRDefault="00935F0C" w:rsidP="009E5734">
      <w:pPr>
        <w:rPr>
          <w:rFonts w:cstheme="minorHAnsi"/>
        </w:rPr>
      </w:pPr>
      <w:r>
        <w:rPr>
          <w:rFonts w:cstheme="minorHAnsi"/>
        </w:rPr>
        <w:lastRenderedPageBreak/>
        <w:t xml:space="preserve">The Kaplan-Meier estimates for time </w:t>
      </w:r>
      <w:r w:rsidRPr="00AD4B28">
        <w:rPr>
          <w:rFonts w:cstheme="minorHAnsi"/>
        </w:rPr>
        <w:t xml:space="preserve">on </w:t>
      </w:r>
      <w:r w:rsidR="00B0234A" w:rsidRPr="00AD4B28">
        <w:rPr>
          <w:rFonts w:cstheme="minorHAnsi"/>
        </w:rPr>
        <w:t xml:space="preserve">the first episode of </w:t>
      </w:r>
      <w:r w:rsidRPr="00AD4B28">
        <w:rPr>
          <w:rFonts w:cstheme="minorHAnsi"/>
        </w:rPr>
        <w:t>RRMS</w:t>
      </w:r>
      <w:r>
        <w:rPr>
          <w:rFonts w:cstheme="minorHAnsi"/>
        </w:rPr>
        <w:t xml:space="preserve"> therapy are presented in Figure </w:t>
      </w:r>
      <w:r w:rsidR="00070BAD">
        <w:rPr>
          <w:rFonts w:cstheme="minorHAnsi"/>
        </w:rPr>
        <w:t>4</w:t>
      </w:r>
      <w:r>
        <w:rPr>
          <w:rFonts w:cstheme="minorHAnsi"/>
        </w:rPr>
        <w:t xml:space="preserve"> and Table </w:t>
      </w:r>
      <w:r w:rsidR="00070BAD">
        <w:rPr>
          <w:rFonts w:cstheme="minorHAnsi"/>
        </w:rPr>
        <w:t>18</w:t>
      </w:r>
      <w:r>
        <w:rPr>
          <w:rFonts w:cstheme="minorHAnsi"/>
        </w:rPr>
        <w:t>.</w:t>
      </w:r>
    </w:p>
    <w:p w14:paraId="360F4889" w14:textId="07EEE123" w:rsidR="005D7FFC" w:rsidRDefault="004A58B8" w:rsidP="005D7FFC">
      <w:r>
        <w:rPr>
          <w:noProof/>
        </w:rPr>
        <w:drawing>
          <wp:inline distT="0" distB="0" distL="0" distR="0" wp14:anchorId="170F1003" wp14:editId="033AD030">
            <wp:extent cx="5687695" cy="4268439"/>
            <wp:effectExtent l="0" t="0" r="8255" b="0"/>
            <wp:docPr id="4" name="Picture 4"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7695" cy="4268439"/>
                    </a:xfrm>
                    <a:prstGeom prst="rect">
                      <a:avLst/>
                    </a:prstGeom>
                    <a:noFill/>
                    <a:ln>
                      <a:noFill/>
                    </a:ln>
                  </pic:spPr>
                </pic:pic>
              </a:graphicData>
            </a:graphic>
          </wp:inline>
        </w:drawing>
      </w:r>
    </w:p>
    <w:p w14:paraId="3AEF9C36" w14:textId="0FC0F010" w:rsidR="00676EDE" w:rsidRPr="004C1A8F" w:rsidRDefault="00676EDE" w:rsidP="00676EDE">
      <w:pPr>
        <w:spacing w:after="0"/>
        <w:rPr>
          <w:rFonts w:cstheme="minorHAnsi"/>
          <w:b/>
        </w:rPr>
      </w:pPr>
      <w:r w:rsidRPr="004C1A8F">
        <w:rPr>
          <w:rFonts w:cstheme="minorHAnsi"/>
          <w:b/>
        </w:rPr>
        <w:t xml:space="preserve">Figure </w:t>
      </w:r>
      <w:r w:rsidR="00070BAD" w:rsidRPr="004C1A8F">
        <w:rPr>
          <w:rFonts w:cstheme="minorHAnsi"/>
          <w:b/>
        </w:rPr>
        <w:t>4</w:t>
      </w:r>
      <w:r w:rsidRPr="004C1A8F">
        <w:rPr>
          <w:rFonts w:cstheme="minorHAnsi"/>
          <w:b/>
        </w:rPr>
        <w:t>. Kaplan-Meier surviv</w:t>
      </w:r>
      <w:r w:rsidR="000C018C" w:rsidRPr="004C1A8F">
        <w:rPr>
          <w:rFonts w:cstheme="minorHAnsi"/>
          <w:b/>
        </w:rPr>
        <w:t xml:space="preserve">al estimates for fingolimod, </w:t>
      </w:r>
      <w:r w:rsidRPr="004C1A8F">
        <w:rPr>
          <w:rFonts w:cstheme="minorHAnsi"/>
          <w:b/>
        </w:rPr>
        <w:t>ABCR therapy</w:t>
      </w:r>
      <w:r w:rsidR="000C018C" w:rsidRPr="004C1A8F">
        <w:rPr>
          <w:rFonts w:cstheme="minorHAnsi"/>
          <w:b/>
        </w:rPr>
        <w:t xml:space="preserve"> and natalizumab</w:t>
      </w:r>
    </w:p>
    <w:p w14:paraId="154891EC" w14:textId="77777777" w:rsidR="00676EDE" w:rsidRPr="00460BC3" w:rsidRDefault="00676EDE" w:rsidP="00676EDE">
      <w:pPr>
        <w:spacing w:after="0"/>
        <w:rPr>
          <w:rFonts w:cstheme="minorHAnsi"/>
          <w:sz w:val="20"/>
          <w:szCs w:val="20"/>
        </w:rPr>
      </w:pPr>
      <w:r w:rsidRPr="00460BC3">
        <w:rPr>
          <w:rFonts w:cstheme="minorHAnsi"/>
          <w:sz w:val="20"/>
          <w:szCs w:val="20"/>
        </w:rPr>
        <w:t>Source: DHS prescriptions data.</w:t>
      </w:r>
    </w:p>
    <w:p w14:paraId="6ECF8D41" w14:textId="7B06161F" w:rsidR="000373C3" w:rsidRPr="00463A6C" w:rsidRDefault="00E97AD6" w:rsidP="00463A6C">
      <w:pPr>
        <w:spacing w:after="0"/>
        <w:rPr>
          <w:rFonts w:cstheme="minorHAnsi"/>
          <w:sz w:val="20"/>
          <w:szCs w:val="20"/>
        </w:rPr>
      </w:pPr>
      <w:r w:rsidRPr="00460BC3">
        <w:rPr>
          <w:rFonts w:cstheme="minorHAnsi"/>
          <w:sz w:val="20"/>
          <w:szCs w:val="20"/>
        </w:rPr>
        <w:t>Note:</w:t>
      </w:r>
      <w:r w:rsidR="00460BC3" w:rsidRPr="00460BC3">
        <w:rPr>
          <w:rFonts w:cstheme="minorHAnsi"/>
          <w:sz w:val="20"/>
          <w:szCs w:val="20"/>
        </w:rPr>
        <w:t xml:space="preserve"> </w:t>
      </w:r>
      <w:r w:rsidR="0005574D">
        <w:rPr>
          <w:rFonts w:cstheme="minorHAnsi"/>
          <w:sz w:val="20"/>
          <w:szCs w:val="20"/>
        </w:rPr>
        <w:t>For the first episode of treatment</w:t>
      </w:r>
      <w:r w:rsidRPr="00460BC3">
        <w:rPr>
          <w:rFonts w:cstheme="minorHAnsi"/>
          <w:sz w:val="20"/>
          <w:szCs w:val="20"/>
        </w:rPr>
        <w:t>.</w:t>
      </w:r>
      <w:r w:rsidR="000438A7">
        <w:rPr>
          <w:rFonts w:cstheme="minorHAnsi"/>
          <w:sz w:val="20"/>
          <w:szCs w:val="20"/>
        </w:rPr>
        <w:t xml:space="preserve"> See Appendix </w:t>
      </w:r>
      <w:r w:rsidR="00AC4095">
        <w:rPr>
          <w:rFonts w:cstheme="minorHAnsi"/>
          <w:sz w:val="20"/>
          <w:szCs w:val="20"/>
        </w:rPr>
        <w:t>D</w:t>
      </w:r>
      <w:r w:rsidR="000438A7">
        <w:rPr>
          <w:rFonts w:cstheme="minorHAnsi"/>
          <w:sz w:val="20"/>
          <w:szCs w:val="20"/>
        </w:rPr>
        <w:t>.</w:t>
      </w:r>
    </w:p>
    <w:p w14:paraId="10C2D307" w14:textId="77777777" w:rsidR="00463A6C" w:rsidRDefault="00463A6C" w:rsidP="00463A6C">
      <w:pPr>
        <w:spacing w:after="0"/>
      </w:pPr>
    </w:p>
    <w:p w14:paraId="0EC3CE1F" w14:textId="1C5C550E" w:rsidR="00935F0C" w:rsidRDefault="00940C81" w:rsidP="005D7FFC">
      <w:r>
        <w:t xml:space="preserve">Fingolimod had not reached a median treatment time as at </w:t>
      </w:r>
      <w:r w:rsidR="003E74A0">
        <w:t xml:space="preserve">March </w:t>
      </w:r>
      <w:r>
        <w:t xml:space="preserve">2015 (Figure </w:t>
      </w:r>
      <w:r w:rsidR="00070BAD">
        <w:t>4</w:t>
      </w:r>
      <w:r>
        <w:t>). The median treatment times for ABCR therapy and natalizumab</w:t>
      </w:r>
      <w:r w:rsidR="003E74A0">
        <w:t xml:space="preserve"> for the first episode of treatment and all episodes of treatment, including and excluding treatment breaks, </w:t>
      </w:r>
      <w:r>
        <w:t xml:space="preserve"> are provided in Table </w:t>
      </w:r>
      <w:r w:rsidR="00CC580C">
        <w:t>15</w:t>
      </w:r>
      <w:r>
        <w:t>.</w:t>
      </w:r>
    </w:p>
    <w:p w14:paraId="2CBDF455" w14:textId="0E5335B3" w:rsidR="00CC39FC" w:rsidRDefault="00CC39FC">
      <w:pPr>
        <w:spacing w:line="276" w:lineRule="auto"/>
      </w:pPr>
      <w:r>
        <w:br w:type="page"/>
      </w:r>
    </w:p>
    <w:p w14:paraId="17C9C6CB" w14:textId="3C04EFBF" w:rsidR="00366E62" w:rsidRPr="004C1A8F" w:rsidRDefault="00366E62" w:rsidP="00366E62">
      <w:pPr>
        <w:pStyle w:val="Tabletitle"/>
      </w:pPr>
      <w:r w:rsidRPr="004C1A8F">
        <w:lastRenderedPageBreak/>
        <w:t xml:space="preserve">Table </w:t>
      </w:r>
      <w:r w:rsidR="00CC580C">
        <w:t>15</w:t>
      </w:r>
      <w:r w:rsidRPr="004C1A8F">
        <w:t>: Median and mean time on the first episode of RRMS treatment in years</w:t>
      </w:r>
    </w:p>
    <w:p w14:paraId="32DC07AE" w14:textId="77777777" w:rsidR="00366E62" w:rsidRPr="00F77C78" w:rsidRDefault="00366E62" w:rsidP="00366E62">
      <w:pPr>
        <w:pStyle w:val="Tabletitle"/>
        <w:spacing w:before="0" w:after="0"/>
        <w:rPr>
          <w:sz w:val="22"/>
          <w:szCs w:val="22"/>
        </w:rPr>
      </w:pPr>
    </w:p>
    <w:tbl>
      <w:tblPr>
        <w:tblStyle w:val="TableGrid"/>
        <w:tblW w:w="0" w:type="auto"/>
        <w:tblInd w:w="108" w:type="dxa"/>
        <w:tblBorders>
          <w:top w:val="none" w:sz="0" w:space="0" w:color="auto"/>
          <w:left w:val="none" w:sz="0" w:space="0" w:color="auto"/>
          <w:insideH w:val="none" w:sz="0" w:space="0" w:color="auto"/>
          <w:insideV w:val="none" w:sz="0" w:space="0" w:color="auto"/>
        </w:tblBorders>
        <w:tblLook w:val="04A0" w:firstRow="1" w:lastRow="0" w:firstColumn="1" w:lastColumn="0" w:noHBand="0" w:noVBand="1"/>
      </w:tblPr>
      <w:tblGrid>
        <w:gridCol w:w="2185"/>
        <w:gridCol w:w="2293"/>
        <w:gridCol w:w="2293"/>
        <w:gridCol w:w="2293"/>
      </w:tblGrid>
      <w:tr w:rsidR="00F724AB" w:rsidRPr="00AD4B28" w14:paraId="24AC1762" w14:textId="79404D94" w:rsidTr="00900D14">
        <w:trPr>
          <w:trHeight w:val="20"/>
        </w:trPr>
        <w:tc>
          <w:tcPr>
            <w:tcW w:w="2185" w:type="dxa"/>
            <w:tcBorders>
              <w:bottom w:val="single" w:sz="4" w:space="0" w:color="auto"/>
              <w:right w:val="single" w:sz="4" w:space="0" w:color="auto"/>
            </w:tcBorders>
            <w:shd w:val="clear" w:color="auto" w:fill="auto"/>
          </w:tcPr>
          <w:p w14:paraId="3E1F5EF3" w14:textId="77777777" w:rsidR="00F724AB" w:rsidRPr="00900D14" w:rsidRDefault="00F724AB" w:rsidP="002801BF">
            <w:pPr>
              <w:pStyle w:val="Figurecaption"/>
              <w:spacing w:before="0" w:after="0"/>
              <w:rPr>
                <w:b/>
              </w:rPr>
            </w:pPr>
          </w:p>
        </w:tc>
        <w:tc>
          <w:tcPr>
            <w:tcW w:w="22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2C83A5" w14:textId="60C330EC" w:rsidR="00F724AB" w:rsidRPr="00900D14" w:rsidRDefault="00F724AB" w:rsidP="002801BF">
            <w:pPr>
              <w:pStyle w:val="Figurecaption"/>
              <w:spacing w:before="0" w:after="0"/>
              <w:jc w:val="center"/>
              <w:rPr>
                <w:b/>
              </w:rPr>
            </w:pPr>
            <w:r w:rsidRPr="00900D14">
              <w:rPr>
                <w:b/>
              </w:rPr>
              <w:t>First episode</w:t>
            </w:r>
          </w:p>
          <w:p w14:paraId="548A67B8" w14:textId="77777777" w:rsidR="00F724AB" w:rsidRPr="00900D14" w:rsidRDefault="00F724AB" w:rsidP="002801BF">
            <w:pPr>
              <w:pStyle w:val="Figurecaption"/>
              <w:spacing w:before="0" w:after="0"/>
              <w:jc w:val="center"/>
              <w:rPr>
                <w:b/>
              </w:rPr>
            </w:pPr>
            <w:r w:rsidRPr="00900D14">
              <w:rPr>
                <w:b/>
              </w:rPr>
              <w:t>Median (95% CI)</w:t>
            </w:r>
          </w:p>
          <w:p w14:paraId="5CB9D6B5" w14:textId="77777777" w:rsidR="00F724AB" w:rsidRPr="00900D14" w:rsidRDefault="00F724AB" w:rsidP="002801BF">
            <w:pPr>
              <w:pStyle w:val="Figurecaption"/>
              <w:spacing w:before="0" w:after="0"/>
              <w:jc w:val="center"/>
              <w:rPr>
                <w:b/>
              </w:rPr>
            </w:pPr>
            <w:r w:rsidRPr="00900D14">
              <w:rPr>
                <w:b/>
              </w:rPr>
              <w:t>(years)</w:t>
            </w:r>
          </w:p>
        </w:tc>
        <w:tc>
          <w:tcPr>
            <w:tcW w:w="22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B30222" w14:textId="77777777" w:rsidR="00F724AB" w:rsidRPr="00900D14" w:rsidRDefault="00F724AB" w:rsidP="002801BF">
            <w:pPr>
              <w:pStyle w:val="Figurecaption"/>
              <w:spacing w:before="0" w:after="0"/>
              <w:jc w:val="center"/>
              <w:rPr>
                <w:b/>
              </w:rPr>
            </w:pPr>
            <w:r w:rsidRPr="00900D14">
              <w:rPr>
                <w:b/>
              </w:rPr>
              <w:t>All episodes including treatment breaks</w:t>
            </w:r>
          </w:p>
          <w:p w14:paraId="38324271" w14:textId="77777777" w:rsidR="00F724AB" w:rsidRPr="00900D14" w:rsidRDefault="00F724AB" w:rsidP="00F724AB">
            <w:pPr>
              <w:pStyle w:val="Figurecaption"/>
              <w:spacing w:before="0" w:after="0"/>
              <w:jc w:val="center"/>
              <w:rPr>
                <w:b/>
              </w:rPr>
            </w:pPr>
            <w:r w:rsidRPr="00900D14">
              <w:rPr>
                <w:b/>
              </w:rPr>
              <w:t>Median (95% CI)</w:t>
            </w:r>
          </w:p>
          <w:p w14:paraId="488CC084" w14:textId="7B2BCB81" w:rsidR="00F724AB" w:rsidRPr="00900D14" w:rsidRDefault="00F724AB" w:rsidP="00F724AB">
            <w:pPr>
              <w:pStyle w:val="Figurecaption"/>
              <w:spacing w:before="0" w:after="0"/>
              <w:jc w:val="center"/>
              <w:rPr>
                <w:b/>
              </w:rPr>
            </w:pPr>
            <w:r w:rsidRPr="00900D14">
              <w:rPr>
                <w:b/>
              </w:rPr>
              <w:t>(years)</w:t>
            </w:r>
          </w:p>
        </w:tc>
        <w:tc>
          <w:tcPr>
            <w:tcW w:w="22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2B07A0" w14:textId="77777777" w:rsidR="00F724AB" w:rsidRPr="00900D14" w:rsidRDefault="00F724AB" w:rsidP="002801BF">
            <w:pPr>
              <w:pStyle w:val="Figurecaption"/>
              <w:spacing w:before="0" w:after="0"/>
              <w:jc w:val="center"/>
              <w:rPr>
                <w:b/>
              </w:rPr>
            </w:pPr>
            <w:r w:rsidRPr="00900D14">
              <w:rPr>
                <w:b/>
              </w:rPr>
              <w:t>All episodes excluding treatment breaks</w:t>
            </w:r>
          </w:p>
          <w:p w14:paraId="3FD07764" w14:textId="77777777" w:rsidR="00F724AB" w:rsidRPr="00900D14" w:rsidRDefault="00F724AB" w:rsidP="00F724AB">
            <w:pPr>
              <w:pStyle w:val="Figurecaption"/>
              <w:spacing w:before="0" w:after="0"/>
              <w:jc w:val="center"/>
              <w:rPr>
                <w:b/>
              </w:rPr>
            </w:pPr>
            <w:r w:rsidRPr="00900D14">
              <w:rPr>
                <w:b/>
              </w:rPr>
              <w:t>Median (95% CI)</w:t>
            </w:r>
          </w:p>
          <w:p w14:paraId="32ED2792" w14:textId="3B81113E" w:rsidR="00F724AB" w:rsidRPr="00900D14" w:rsidRDefault="00F724AB" w:rsidP="00F724AB">
            <w:pPr>
              <w:pStyle w:val="Figurecaption"/>
              <w:spacing w:before="0" w:after="0"/>
              <w:jc w:val="center"/>
              <w:rPr>
                <w:b/>
              </w:rPr>
            </w:pPr>
            <w:r w:rsidRPr="00900D14">
              <w:rPr>
                <w:b/>
              </w:rPr>
              <w:t>(years)</w:t>
            </w:r>
          </w:p>
        </w:tc>
      </w:tr>
      <w:tr w:rsidR="00F724AB" w:rsidRPr="00AD4B28" w14:paraId="5D74F7A1" w14:textId="4F13C8CE" w:rsidTr="00602FD4">
        <w:trPr>
          <w:trHeight w:val="20"/>
        </w:trPr>
        <w:tc>
          <w:tcPr>
            <w:tcW w:w="2185" w:type="dxa"/>
            <w:tcBorders>
              <w:top w:val="single" w:sz="4" w:space="0" w:color="auto"/>
              <w:left w:val="single" w:sz="4" w:space="0" w:color="auto"/>
              <w:bottom w:val="single" w:sz="4" w:space="0" w:color="auto"/>
              <w:right w:val="single" w:sz="4" w:space="0" w:color="auto"/>
            </w:tcBorders>
          </w:tcPr>
          <w:p w14:paraId="7909DDC5" w14:textId="77777777" w:rsidR="00F724AB" w:rsidRPr="00900D14" w:rsidRDefault="00F724AB" w:rsidP="002801BF">
            <w:pPr>
              <w:rPr>
                <w:sz w:val="20"/>
                <w:szCs w:val="20"/>
                <w:vertAlign w:val="superscript"/>
              </w:rPr>
            </w:pPr>
            <w:r w:rsidRPr="00900D14">
              <w:rPr>
                <w:sz w:val="20"/>
                <w:szCs w:val="20"/>
              </w:rPr>
              <w:t>Fingolimod</w:t>
            </w:r>
            <w:r w:rsidRPr="00900D14">
              <w:rPr>
                <w:sz w:val="20"/>
                <w:szCs w:val="20"/>
                <w:vertAlign w:val="superscript"/>
              </w:rPr>
              <w:t>1</w:t>
            </w:r>
          </w:p>
        </w:tc>
        <w:tc>
          <w:tcPr>
            <w:tcW w:w="2293" w:type="dxa"/>
            <w:tcBorders>
              <w:top w:val="single" w:sz="4" w:space="0" w:color="auto"/>
              <w:left w:val="single" w:sz="4" w:space="0" w:color="auto"/>
              <w:bottom w:val="single" w:sz="4" w:space="0" w:color="auto"/>
              <w:right w:val="single" w:sz="4" w:space="0" w:color="auto"/>
            </w:tcBorders>
          </w:tcPr>
          <w:p w14:paraId="0A8DC03C" w14:textId="0CB900F5" w:rsidR="00F724AB" w:rsidRPr="00900D14" w:rsidRDefault="00F724AB" w:rsidP="00F724AB">
            <w:pPr>
              <w:pStyle w:val="Figurecaption"/>
              <w:spacing w:before="0" w:after="0"/>
              <w:jc w:val="center"/>
            </w:pPr>
            <w:r w:rsidRPr="00900D14">
              <w:t>At least 3.5 years</w:t>
            </w:r>
          </w:p>
        </w:tc>
        <w:tc>
          <w:tcPr>
            <w:tcW w:w="2293" w:type="dxa"/>
            <w:tcBorders>
              <w:top w:val="single" w:sz="4" w:space="0" w:color="auto"/>
              <w:left w:val="single" w:sz="4" w:space="0" w:color="auto"/>
              <w:bottom w:val="single" w:sz="4" w:space="0" w:color="auto"/>
              <w:right w:val="single" w:sz="4" w:space="0" w:color="auto"/>
            </w:tcBorders>
          </w:tcPr>
          <w:p w14:paraId="6EAA14DB" w14:textId="30666B3B" w:rsidR="00F724AB" w:rsidRPr="00900D14" w:rsidRDefault="00091923" w:rsidP="002801BF">
            <w:pPr>
              <w:pStyle w:val="Figurecaption"/>
              <w:spacing w:before="0" w:after="0"/>
              <w:jc w:val="center"/>
            </w:pPr>
            <w:r w:rsidRPr="00900D14">
              <w:t>At least 3.5 years</w:t>
            </w:r>
          </w:p>
        </w:tc>
        <w:tc>
          <w:tcPr>
            <w:tcW w:w="2293" w:type="dxa"/>
            <w:tcBorders>
              <w:top w:val="single" w:sz="4" w:space="0" w:color="auto"/>
              <w:left w:val="single" w:sz="4" w:space="0" w:color="auto"/>
              <w:bottom w:val="single" w:sz="4" w:space="0" w:color="auto"/>
              <w:right w:val="single" w:sz="4" w:space="0" w:color="auto"/>
            </w:tcBorders>
          </w:tcPr>
          <w:p w14:paraId="450B6C97" w14:textId="642C810F" w:rsidR="00F724AB" w:rsidRPr="00900D14" w:rsidRDefault="00091923" w:rsidP="002801BF">
            <w:pPr>
              <w:pStyle w:val="Figurecaption"/>
              <w:spacing w:before="0" w:after="0"/>
              <w:jc w:val="center"/>
            </w:pPr>
            <w:r w:rsidRPr="00900D14">
              <w:t>At least 3.5 years</w:t>
            </w:r>
          </w:p>
        </w:tc>
      </w:tr>
      <w:tr w:rsidR="00F724AB" w:rsidRPr="00AD4B28" w14:paraId="56B1EE80" w14:textId="6251A9F4" w:rsidTr="00602FD4">
        <w:trPr>
          <w:trHeight w:val="20"/>
        </w:trPr>
        <w:tc>
          <w:tcPr>
            <w:tcW w:w="2185" w:type="dxa"/>
            <w:tcBorders>
              <w:top w:val="single" w:sz="4" w:space="0" w:color="auto"/>
              <w:left w:val="single" w:sz="4" w:space="0" w:color="auto"/>
              <w:bottom w:val="single" w:sz="4" w:space="0" w:color="auto"/>
              <w:right w:val="single" w:sz="4" w:space="0" w:color="auto"/>
            </w:tcBorders>
          </w:tcPr>
          <w:p w14:paraId="6B4CD000" w14:textId="77777777" w:rsidR="00F724AB" w:rsidRPr="00900D14" w:rsidRDefault="00F724AB" w:rsidP="002801BF">
            <w:pPr>
              <w:rPr>
                <w:sz w:val="20"/>
                <w:szCs w:val="20"/>
              </w:rPr>
            </w:pPr>
            <w:r w:rsidRPr="00900D14">
              <w:rPr>
                <w:sz w:val="20"/>
                <w:szCs w:val="20"/>
              </w:rPr>
              <w:t>Glatiramer acetate</w:t>
            </w:r>
          </w:p>
        </w:tc>
        <w:tc>
          <w:tcPr>
            <w:tcW w:w="2293" w:type="dxa"/>
            <w:tcBorders>
              <w:top w:val="single" w:sz="4" w:space="0" w:color="auto"/>
              <w:left w:val="single" w:sz="4" w:space="0" w:color="auto"/>
              <w:bottom w:val="single" w:sz="4" w:space="0" w:color="auto"/>
              <w:right w:val="single" w:sz="4" w:space="0" w:color="auto"/>
            </w:tcBorders>
          </w:tcPr>
          <w:p w14:paraId="7CD47B25" w14:textId="77777777" w:rsidR="00F724AB" w:rsidRPr="00900D14" w:rsidRDefault="00F724AB" w:rsidP="002801BF">
            <w:pPr>
              <w:pStyle w:val="Figurecaption"/>
              <w:spacing w:before="0" w:after="0"/>
              <w:jc w:val="center"/>
            </w:pPr>
            <w:r w:rsidRPr="00900D14">
              <w:t>1.8 (1.7, 1.9)</w:t>
            </w:r>
          </w:p>
        </w:tc>
        <w:tc>
          <w:tcPr>
            <w:tcW w:w="2293" w:type="dxa"/>
            <w:tcBorders>
              <w:top w:val="single" w:sz="4" w:space="0" w:color="auto"/>
              <w:left w:val="single" w:sz="4" w:space="0" w:color="auto"/>
              <w:bottom w:val="single" w:sz="4" w:space="0" w:color="auto"/>
              <w:right w:val="single" w:sz="4" w:space="0" w:color="auto"/>
            </w:tcBorders>
          </w:tcPr>
          <w:p w14:paraId="24823549" w14:textId="1CE9C29A" w:rsidR="00F724AB" w:rsidRPr="00900D14" w:rsidRDefault="00F724AB" w:rsidP="002801BF">
            <w:pPr>
              <w:pStyle w:val="Figurecaption"/>
              <w:spacing w:before="0" w:after="0"/>
              <w:jc w:val="center"/>
            </w:pPr>
            <w:r w:rsidRPr="00900D14">
              <w:t>3.3 (3.0, 3.4)</w:t>
            </w:r>
          </w:p>
        </w:tc>
        <w:tc>
          <w:tcPr>
            <w:tcW w:w="2293" w:type="dxa"/>
            <w:tcBorders>
              <w:top w:val="single" w:sz="4" w:space="0" w:color="auto"/>
              <w:left w:val="single" w:sz="4" w:space="0" w:color="auto"/>
              <w:bottom w:val="single" w:sz="4" w:space="0" w:color="auto"/>
              <w:right w:val="single" w:sz="4" w:space="0" w:color="auto"/>
            </w:tcBorders>
          </w:tcPr>
          <w:p w14:paraId="71F1F252" w14:textId="412D5020" w:rsidR="00F724AB" w:rsidRPr="00900D14" w:rsidRDefault="00F724AB" w:rsidP="002801BF">
            <w:pPr>
              <w:pStyle w:val="Figurecaption"/>
              <w:spacing w:before="0" w:after="0"/>
              <w:jc w:val="center"/>
            </w:pPr>
            <w:r w:rsidRPr="00900D14">
              <w:t>2.6 (2.5, 2.8)</w:t>
            </w:r>
          </w:p>
        </w:tc>
      </w:tr>
      <w:tr w:rsidR="00F724AB" w:rsidRPr="00AD4B28" w14:paraId="5CE9B07F" w14:textId="69EA1737" w:rsidTr="00602FD4">
        <w:trPr>
          <w:trHeight w:val="20"/>
        </w:trPr>
        <w:tc>
          <w:tcPr>
            <w:tcW w:w="2185" w:type="dxa"/>
            <w:tcBorders>
              <w:top w:val="single" w:sz="4" w:space="0" w:color="auto"/>
              <w:left w:val="single" w:sz="4" w:space="0" w:color="auto"/>
              <w:bottom w:val="single" w:sz="4" w:space="0" w:color="auto"/>
              <w:right w:val="single" w:sz="4" w:space="0" w:color="auto"/>
            </w:tcBorders>
          </w:tcPr>
          <w:p w14:paraId="03178397" w14:textId="77777777" w:rsidR="00F724AB" w:rsidRPr="00900D14" w:rsidRDefault="00F724AB" w:rsidP="002801BF">
            <w:pPr>
              <w:rPr>
                <w:sz w:val="20"/>
                <w:szCs w:val="20"/>
              </w:rPr>
            </w:pPr>
            <w:r w:rsidRPr="00900D14">
              <w:rPr>
                <w:sz w:val="20"/>
                <w:szCs w:val="20"/>
              </w:rPr>
              <w:t>Interferon beta-1a</w:t>
            </w:r>
          </w:p>
        </w:tc>
        <w:tc>
          <w:tcPr>
            <w:tcW w:w="2293" w:type="dxa"/>
            <w:tcBorders>
              <w:top w:val="single" w:sz="4" w:space="0" w:color="auto"/>
              <w:left w:val="single" w:sz="4" w:space="0" w:color="auto"/>
              <w:bottom w:val="single" w:sz="4" w:space="0" w:color="auto"/>
              <w:right w:val="single" w:sz="4" w:space="0" w:color="auto"/>
            </w:tcBorders>
          </w:tcPr>
          <w:p w14:paraId="381FD83A" w14:textId="77777777" w:rsidR="00F724AB" w:rsidRPr="00900D14" w:rsidRDefault="00F724AB" w:rsidP="002801BF">
            <w:pPr>
              <w:pStyle w:val="Figurecaption"/>
              <w:spacing w:before="0" w:after="0"/>
              <w:jc w:val="center"/>
            </w:pPr>
            <w:r w:rsidRPr="00900D14">
              <w:t>2.2 (2.1, 2.3)</w:t>
            </w:r>
          </w:p>
        </w:tc>
        <w:tc>
          <w:tcPr>
            <w:tcW w:w="2293" w:type="dxa"/>
            <w:tcBorders>
              <w:top w:val="single" w:sz="4" w:space="0" w:color="auto"/>
              <w:left w:val="single" w:sz="4" w:space="0" w:color="auto"/>
              <w:bottom w:val="single" w:sz="4" w:space="0" w:color="auto"/>
              <w:right w:val="single" w:sz="4" w:space="0" w:color="auto"/>
            </w:tcBorders>
          </w:tcPr>
          <w:p w14:paraId="4F48CEEA" w14:textId="4EDB5A99" w:rsidR="00F724AB" w:rsidRPr="00900D14" w:rsidRDefault="00F724AB" w:rsidP="002801BF">
            <w:pPr>
              <w:pStyle w:val="Figurecaption"/>
              <w:spacing w:before="0" w:after="0"/>
              <w:jc w:val="center"/>
            </w:pPr>
            <w:r w:rsidRPr="00900D14">
              <w:t>3.3 (3.2, 3.4)</w:t>
            </w:r>
          </w:p>
        </w:tc>
        <w:tc>
          <w:tcPr>
            <w:tcW w:w="2293" w:type="dxa"/>
            <w:tcBorders>
              <w:top w:val="single" w:sz="4" w:space="0" w:color="auto"/>
              <w:left w:val="single" w:sz="4" w:space="0" w:color="auto"/>
              <w:bottom w:val="single" w:sz="4" w:space="0" w:color="auto"/>
              <w:right w:val="single" w:sz="4" w:space="0" w:color="auto"/>
            </w:tcBorders>
          </w:tcPr>
          <w:p w14:paraId="54899AAE" w14:textId="0267A522" w:rsidR="00F724AB" w:rsidRPr="00900D14" w:rsidRDefault="00F724AB" w:rsidP="002801BF">
            <w:pPr>
              <w:pStyle w:val="Figurecaption"/>
              <w:spacing w:before="0" w:after="0"/>
              <w:jc w:val="center"/>
            </w:pPr>
            <w:r w:rsidRPr="00900D14">
              <w:t>2.9 (2.8, 3.0)</w:t>
            </w:r>
          </w:p>
        </w:tc>
      </w:tr>
      <w:tr w:rsidR="00F724AB" w:rsidRPr="00AD4B28" w14:paraId="6E85F270" w14:textId="3DFFEF29" w:rsidTr="00602FD4">
        <w:trPr>
          <w:trHeight w:val="20"/>
        </w:trPr>
        <w:tc>
          <w:tcPr>
            <w:tcW w:w="2185" w:type="dxa"/>
            <w:tcBorders>
              <w:top w:val="single" w:sz="4" w:space="0" w:color="auto"/>
              <w:left w:val="single" w:sz="4" w:space="0" w:color="auto"/>
              <w:bottom w:val="single" w:sz="4" w:space="0" w:color="auto"/>
              <w:right w:val="single" w:sz="4" w:space="0" w:color="auto"/>
            </w:tcBorders>
          </w:tcPr>
          <w:p w14:paraId="0C24D0DB" w14:textId="77777777" w:rsidR="00F724AB" w:rsidRPr="00900D14" w:rsidRDefault="00F724AB" w:rsidP="002801BF">
            <w:pPr>
              <w:rPr>
                <w:sz w:val="20"/>
                <w:szCs w:val="20"/>
              </w:rPr>
            </w:pPr>
            <w:r w:rsidRPr="00900D14">
              <w:rPr>
                <w:sz w:val="20"/>
                <w:szCs w:val="20"/>
              </w:rPr>
              <w:t>Interferon beta-1b</w:t>
            </w:r>
          </w:p>
        </w:tc>
        <w:tc>
          <w:tcPr>
            <w:tcW w:w="2293" w:type="dxa"/>
            <w:tcBorders>
              <w:top w:val="single" w:sz="4" w:space="0" w:color="auto"/>
              <w:left w:val="single" w:sz="4" w:space="0" w:color="auto"/>
              <w:bottom w:val="single" w:sz="4" w:space="0" w:color="auto"/>
              <w:right w:val="single" w:sz="4" w:space="0" w:color="auto"/>
            </w:tcBorders>
          </w:tcPr>
          <w:p w14:paraId="7B6D176E" w14:textId="77777777" w:rsidR="00F724AB" w:rsidRPr="00900D14" w:rsidRDefault="00F724AB" w:rsidP="002801BF">
            <w:pPr>
              <w:pStyle w:val="Figurecaption"/>
              <w:spacing w:before="0" w:after="0"/>
              <w:jc w:val="center"/>
            </w:pPr>
            <w:r w:rsidRPr="00900D14">
              <w:t>2.7 (2.6, 2.8)</w:t>
            </w:r>
          </w:p>
        </w:tc>
        <w:tc>
          <w:tcPr>
            <w:tcW w:w="2293" w:type="dxa"/>
            <w:tcBorders>
              <w:top w:val="single" w:sz="4" w:space="0" w:color="auto"/>
              <w:left w:val="single" w:sz="4" w:space="0" w:color="auto"/>
              <w:bottom w:val="single" w:sz="4" w:space="0" w:color="auto"/>
              <w:right w:val="single" w:sz="4" w:space="0" w:color="auto"/>
            </w:tcBorders>
          </w:tcPr>
          <w:p w14:paraId="4C31E3C0" w14:textId="502F7274" w:rsidR="00F724AB" w:rsidRPr="00900D14" w:rsidRDefault="00F724AB" w:rsidP="002801BF">
            <w:pPr>
              <w:pStyle w:val="Figurecaption"/>
              <w:spacing w:before="0" w:after="0"/>
              <w:jc w:val="center"/>
            </w:pPr>
            <w:r w:rsidRPr="00900D14">
              <w:t>4.3 (4.1, 4.4)</w:t>
            </w:r>
          </w:p>
        </w:tc>
        <w:tc>
          <w:tcPr>
            <w:tcW w:w="2293" w:type="dxa"/>
            <w:tcBorders>
              <w:top w:val="single" w:sz="4" w:space="0" w:color="auto"/>
              <w:left w:val="single" w:sz="4" w:space="0" w:color="auto"/>
              <w:bottom w:val="single" w:sz="4" w:space="0" w:color="auto"/>
              <w:right w:val="single" w:sz="4" w:space="0" w:color="auto"/>
            </w:tcBorders>
          </w:tcPr>
          <w:p w14:paraId="1E86CB98" w14:textId="5D36C418" w:rsidR="00F724AB" w:rsidRPr="00900D14" w:rsidRDefault="00F724AB" w:rsidP="002801BF">
            <w:pPr>
              <w:pStyle w:val="Figurecaption"/>
              <w:spacing w:before="0" w:after="0"/>
              <w:jc w:val="center"/>
            </w:pPr>
            <w:r w:rsidRPr="00900D14">
              <w:t>3.7 (3.5, 3.8)</w:t>
            </w:r>
          </w:p>
        </w:tc>
      </w:tr>
      <w:tr w:rsidR="00F724AB" w:rsidRPr="00AD4B28" w14:paraId="56D66B11" w14:textId="343D3593" w:rsidTr="00602FD4">
        <w:trPr>
          <w:trHeight w:val="20"/>
        </w:trPr>
        <w:tc>
          <w:tcPr>
            <w:tcW w:w="2185" w:type="dxa"/>
            <w:tcBorders>
              <w:top w:val="single" w:sz="4" w:space="0" w:color="auto"/>
              <w:left w:val="single" w:sz="4" w:space="0" w:color="auto"/>
              <w:bottom w:val="single" w:sz="4" w:space="0" w:color="auto"/>
              <w:right w:val="single" w:sz="4" w:space="0" w:color="auto"/>
            </w:tcBorders>
          </w:tcPr>
          <w:p w14:paraId="23B2B344" w14:textId="77777777" w:rsidR="00F724AB" w:rsidRPr="00900D14" w:rsidRDefault="00F724AB" w:rsidP="002801BF">
            <w:pPr>
              <w:rPr>
                <w:sz w:val="20"/>
                <w:szCs w:val="20"/>
              </w:rPr>
            </w:pPr>
            <w:r w:rsidRPr="00900D14">
              <w:rPr>
                <w:sz w:val="20"/>
                <w:szCs w:val="20"/>
              </w:rPr>
              <w:t>Natalizumab</w:t>
            </w:r>
          </w:p>
        </w:tc>
        <w:tc>
          <w:tcPr>
            <w:tcW w:w="2293" w:type="dxa"/>
            <w:tcBorders>
              <w:top w:val="single" w:sz="4" w:space="0" w:color="auto"/>
              <w:left w:val="single" w:sz="4" w:space="0" w:color="auto"/>
              <w:bottom w:val="single" w:sz="4" w:space="0" w:color="auto"/>
              <w:right w:val="single" w:sz="4" w:space="0" w:color="auto"/>
            </w:tcBorders>
          </w:tcPr>
          <w:p w14:paraId="199405DB" w14:textId="77777777" w:rsidR="00F724AB" w:rsidRPr="00900D14" w:rsidRDefault="00F724AB" w:rsidP="002801BF">
            <w:pPr>
              <w:pStyle w:val="Figurecaption"/>
              <w:spacing w:before="0" w:after="0"/>
              <w:jc w:val="center"/>
            </w:pPr>
            <w:r w:rsidRPr="00900D14">
              <w:t>2.7 (2.5, 2.8)</w:t>
            </w:r>
          </w:p>
        </w:tc>
        <w:tc>
          <w:tcPr>
            <w:tcW w:w="2293" w:type="dxa"/>
            <w:tcBorders>
              <w:top w:val="single" w:sz="4" w:space="0" w:color="auto"/>
              <w:left w:val="single" w:sz="4" w:space="0" w:color="auto"/>
              <w:bottom w:val="single" w:sz="4" w:space="0" w:color="auto"/>
              <w:right w:val="single" w:sz="4" w:space="0" w:color="auto"/>
            </w:tcBorders>
          </w:tcPr>
          <w:p w14:paraId="2DFCF53E" w14:textId="4746A1EF" w:rsidR="00F724AB" w:rsidRPr="00900D14" w:rsidRDefault="00F724AB" w:rsidP="002801BF">
            <w:pPr>
              <w:pStyle w:val="Figurecaption"/>
              <w:spacing w:before="0" w:after="0"/>
              <w:jc w:val="center"/>
            </w:pPr>
            <w:r w:rsidRPr="00900D14">
              <w:t>3.7 (3.5, 4.0)</w:t>
            </w:r>
          </w:p>
        </w:tc>
        <w:tc>
          <w:tcPr>
            <w:tcW w:w="2293" w:type="dxa"/>
            <w:tcBorders>
              <w:top w:val="single" w:sz="4" w:space="0" w:color="auto"/>
              <w:left w:val="single" w:sz="4" w:space="0" w:color="auto"/>
              <w:bottom w:val="single" w:sz="4" w:space="0" w:color="auto"/>
              <w:right w:val="single" w:sz="4" w:space="0" w:color="auto"/>
            </w:tcBorders>
          </w:tcPr>
          <w:p w14:paraId="2B3D1A73" w14:textId="190DB626" w:rsidR="00F724AB" w:rsidRPr="00900D14" w:rsidRDefault="00F724AB" w:rsidP="002801BF">
            <w:pPr>
              <w:pStyle w:val="Figurecaption"/>
              <w:spacing w:before="0" w:after="0"/>
              <w:jc w:val="center"/>
            </w:pPr>
            <w:r w:rsidRPr="00900D14">
              <w:t>3.5 (3.4, 3.7)</w:t>
            </w:r>
          </w:p>
        </w:tc>
      </w:tr>
    </w:tbl>
    <w:p w14:paraId="7AD64BAE" w14:textId="63C308A5" w:rsidR="00366E62" w:rsidRPr="00AD4B28" w:rsidRDefault="00366E62" w:rsidP="00366E62">
      <w:pPr>
        <w:pStyle w:val="Figurecaption"/>
        <w:spacing w:before="0" w:after="0"/>
      </w:pPr>
      <w:r w:rsidRPr="00AD4B28">
        <w:t>Source: DHS PBS supplied prescription database for prescriptions supplied from January 200</w:t>
      </w:r>
      <w:r w:rsidR="00C77972" w:rsidRPr="00AD4B28">
        <w:t>2</w:t>
      </w:r>
      <w:r w:rsidRPr="00AD4B28">
        <w:t xml:space="preserve"> to March 2015 inclusive.</w:t>
      </w:r>
    </w:p>
    <w:p w14:paraId="0A22509E" w14:textId="73B98A07" w:rsidR="00366E62" w:rsidRPr="004C1A8F" w:rsidRDefault="00366E62" w:rsidP="00366E62">
      <w:pPr>
        <w:pStyle w:val="Figurecaption"/>
        <w:spacing w:before="0" w:after="0"/>
      </w:pPr>
      <w:r w:rsidRPr="00AD4B28">
        <w:rPr>
          <w:vertAlign w:val="superscript"/>
        </w:rPr>
        <w:t xml:space="preserve">1 </w:t>
      </w:r>
      <w:r w:rsidRPr="00AD4B28">
        <w:t xml:space="preserve">A median value had not been reached </w:t>
      </w:r>
      <w:r w:rsidR="00F724AB" w:rsidRPr="00AD4B28">
        <w:t xml:space="preserve">since the listing of fingolimod in September 2011 to </w:t>
      </w:r>
      <w:r w:rsidRPr="00AD4B28">
        <w:t>the time of the analysis</w:t>
      </w:r>
      <w:r w:rsidR="00F724AB" w:rsidRPr="00AD4B28">
        <w:t xml:space="preserve"> (March 2015)</w:t>
      </w:r>
    </w:p>
    <w:p w14:paraId="5EC48758" w14:textId="200A91C8" w:rsidR="00891DE7" w:rsidRDefault="00891DE7" w:rsidP="00891DE7">
      <w:pPr>
        <w:pStyle w:val="Heading3"/>
      </w:pPr>
      <w:r>
        <w:t>Investigation of co</w:t>
      </w:r>
      <w:r w:rsidR="00F7000F">
        <w:t>-</w:t>
      </w:r>
      <w:r w:rsidR="00FD32EF">
        <w:t>administration</w:t>
      </w:r>
      <w:r>
        <w:t xml:space="preserve"> </w:t>
      </w:r>
      <w:r w:rsidR="004921C5">
        <w:t>of RRMS therap</w:t>
      </w:r>
      <w:r w:rsidR="000438A7">
        <w:t>ies</w:t>
      </w:r>
    </w:p>
    <w:p w14:paraId="2C8BB63C" w14:textId="7752F267" w:rsidR="00177AE1" w:rsidRDefault="00177AE1" w:rsidP="002F3DF2">
      <w:r>
        <w:t xml:space="preserve">The 2013 review of RRMS therapy identified potential coadministration of fingolimod with other RRMS therapy. </w:t>
      </w:r>
    </w:p>
    <w:p w14:paraId="002E2CAA" w14:textId="247FEC58" w:rsidR="0010567F" w:rsidRDefault="004C2A1A" w:rsidP="002F3DF2">
      <w:r>
        <w:t>Co-administration was investigated for ABCR therapy, natalizumab and fingolimod.</w:t>
      </w:r>
      <w:r w:rsidR="00177AE1">
        <w:t xml:space="preserve"> </w:t>
      </w:r>
      <w:r w:rsidR="0087172E">
        <w:t xml:space="preserve">Patients initiating RRMS therapy between March to August 2014 were </w:t>
      </w:r>
      <w:r w:rsidR="00494707">
        <w:t>analysed to allow at least six months of follow up to the end of the analysis period (</w:t>
      </w:r>
      <w:r w:rsidR="0087172E">
        <w:t>31 March 2015</w:t>
      </w:r>
      <w:r w:rsidR="00494707">
        <w:t>).</w:t>
      </w:r>
    </w:p>
    <w:p w14:paraId="1D9E9B6E" w14:textId="16CD2E2B" w:rsidR="0010567F" w:rsidRDefault="0010567F" w:rsidP="002F3DF2">
      <w:r>
        <w:t xml:space="preserve">The results are presented in Tables </w:t>
      </w:r>
      <w:r w:rsidR="00CC580C">
        <w:t>16</w:t>
      </w:r>
      <w:r>
        <w:t xml:space="preserve"> to 2</w:t>
      </w:r>
      <w:r w:rsidR="00CC580C">
        <w:t>0</w:t>
      </w:r>
      <w:r>
        <w:t xml:space="preserve"> for the respective drugs. Overall instances of potential coadministration were found to be negligible</w:t>
      </w:r>
      <w:r w:rsidR="00030B9D">
        <w:t xml:space="preserve"> (&lt;1%)</w:t>
      </w:r>
      <w:r>
        <w:t>.</w:t>
      </w:r>
    </w:p>
    <w:p w14:paraId="7A713A5E" w14:textId="51F04D53" w:rsidR="00DD5BBB" w:rsidRDefault="00F7000F" w:rsidP="002F3DF2">
      <w:pPr>
        <w:rPr>
          <w:sz w:val="22"/>
          <w:szCs w:val="22"/>
        </w:rPr>
      </w:pPr>
      <w:r w:rsidRPr="00116EE4">
        <w:rPr>
          <w:b/>
        </w:rPr>
        <w:t xml:space="preserve">Table </w:t>
      </w:r>
      <w:r w:rsidR="00CC580C">
        <w:rPr>
          <w:b/>
        </w:rPr>
        <w:t>16</w:t>
      </w:r>
      <w:r w:rsidRPr="00116EE4">
        <w:rPr>
          <w:b/>
        </w:rPr>
        <w:t xml:space="preserve">. </w:t>
      </w:r>
      <w:r w:rsidR="0046345C">
        <w:rPr>
          <w:b/>
        </w:rPr>
        <w:t xml:space="preserve">Use of fingolimod as monotherapy and </w:t>
      </w:r>
      <w:r w:rsidR="00FD32EF">
        <w:rPr>
          <w:b/>
        </w:rPr>
        <w:t xml:space="preserve">cases of </w:t>
      </w:r>
      <w:r w:rsidR="00B567F3">
        <w:rPr>
          <w:b/>
        </w:rPr>
        <w:t xml:space="preserve">potential </w:t>
      </w:r>
      <w:r w:rsidR="00FD32EF">
        <w:rPr>
          <w:b/>
        </w:rPr>
        <w:t>co-supply of another</w:t>
      </w:r>
      <w:r w:rsidR="0046345C">
        <w:rPr>
          <w:b/>
        </w:rPr>
        <w:t xml:space="preserve"> RRMS therapy</w:t>
      </w:r>
      <w:r w:rsidR="00DD5BBB">
        <w:fldChar w:fldCharType="begin"/>
      </w:r>
      <w:r w:rsidR="00DD5BBB">
        <w:instrText xml:space="preserve"> LINK Excel.Sheet.12 "\\\\central.health\\DFSGroupData\\Sites\\CO1\\CO\\PBD\\PEB\\EVAL\\DUSC\\DUSC Database and other utilisation data\\Data Requests\\Requests 2015\\D871 - mutliple sclerosis 12 mth PvA\\D871 - adj drg regimens all inits fingolimod containing regimens only .xlsx" "distr drug regimens!R4C1:R9C2" \a \f 5 \h  \* MERGEFORMAT </w:instrText>
      </w:r>
      <w:r w:rsidR="00DD5BBB">
        <w:fldChar w:fldCharType="separate"/>
      </w:r>
    </w:p>
    <w:tbl>
      <w:tblPr>
        <w:tblStyle w:val="TableGrid"/>
        <w:tblW w:w="6540" w:type="dxa"/>
        <w:tblLook w:val="04A0" w:firstRow="1" w:lastRow="0" w:firstColumn="1" w:lastColumn="0" w:noHBand="0" w:noVBand="1"/>
      </w:tblPr>
      <w:tblGrid>
        <w:gridCol w:w="4640"/>
        <w:gridCol w:w="1900"/>
      </w:tblGrid>
      <w:tr w:rsidR="00DD5BBB" w:rsidRPr="00900D14" w14:paraId="128D9760" w14:textId="77777777" w:rsidTr="00F7000F">
        <w:trPr>
          <w:trHeight w:val="255"/>
        </w:trPr>
        <w:tc>
          <w:tcPr>
            <w:tcW w:w="4640" w:type="dxa"/>
            <w:shd w:val="clear" w:color="auto" w:fill="D9D9D9" w:themeFill="background1" w:themeFillShade="D9"/>
            <w:noWrap/>
          </w:tcPr>
          <w:p w14:paraId="14DDAFB8" w14:textId="5CF4F70B" w:rsidR="00DD5BBB" w:rsidRPr="00900D14" w:rsidRDefault="00DD5BBB" w:rsidP="00900D14">
            <w:pPr>
              <w:jc w:val="center"/>
              <w:rPr>
                <w:b/>
                <w:sz w:val="20"/>
                <w:szCs w:val="20"/>
              </w:rPr>
            </w:pPr>
            <w:r w:rsidRPr="00900D14">
              <w:rPr>
                <w:b/>
                <w:sz w:val="20"/>
                <w:szCs w:val="20"/>
              </w:rPr>
              <w:t>Drug regimen</w:t>
            </w:r>
          </w:p>
        </w:tc>
        <w:tc>
          <w:tcPr>
            <w:tcW w:w="1900" w:type="dxa"/>
            <w:shd w:val="clear" w:color="auto" w:fill="D9D9D9" w:themeFill="background1" w:themeFillShade="D9"/>
            <w:noWrap/>
          </w:tcPr>
          <w:p w14:paraId="17AAE7DC" w14:textId="3CB6518A" w:rsidR="00DD5BBB" w:rsidRPr="00900D14" w:rsidRDefault="00DD5BBB" w:rsidP="00900D14">
            <w:pPr>
              <w:jc w:val="center"/>
              <w:rPr>
                <w:b/>
                <w:sz w:val="20"/>
                <w:szCs w:val="20"/>
              </w:rPr>
            </w:pPr>
            <w:r w:rsidRPr="00900D14">
              <w:rPr>
                <w:b/>
                <w:sz w:val="20"/>
                <w:szCs w:val="20"/>
              </w:rPr>
              <w:t>Proportion of all regimens</w:t>
            </w:r>
          </w:p>
        </w:tc>
      </w:tr>
      <w:tr w:rsidR="00DD5BBB" w:rsidRPr="00900D14" w14:paraId="32D5A218" w14:textId="77777777" w:rsidTr="00DD5BBB">
        <w:trPr>
          <w:trHeight w:val="255"/>
        </w:trPr>
        <w:tc>
          <w:tcPr>
            <w:tcW w:w="4640" w:type="dxa"/>
            <w:noWrap/>
            <w:hideMark/>
          </w:tcPr>
          <w:p w14:paraId="0D0984CE" w14:textId="77777777" w:rsidR="00DD5BBB" w:rsidRPr="00900D14" w:rsidRDefault="00DD5BBB">
            <w:pPr>
              <w:rPr>
                <w:sz w:val="20"/>
                <w:szCs w:val="20"/>
              </w:rPr>
            </w:pPr>
            <w:r w:rsidRPr="00900D14">
              <w:rPr>
                <w:sz w:val="20"/>
                <w:szCs w:val="20"/>
              </w:rPr>
              <w:t>FINGOLIMOD</w:t>
            </w:r>
          </w:p>
        </w:tc>
        <w:tc>
          <w:tcPr>
            <w:tcW w:w="1900" w:type="dxa"/>
            <w:noWrap/>
            <w:hideMark/>
          </w:tcPr>
          <w:p w14:paraId="413895BF" w14:textId="5BA5F0FC" w:rsidR="00DD5BBB" w:rsidRPr="00900D14" w:rsidRDefault="00DD5BBB" w:rsidP="00195B3C">
            <w:pPr>
              <w:jc w:val="center"/>
              <w:rPr>
                <w:sz w:val="20"/>
                <w:szCs w:val="20"/>
              </w:rPr>
            </w:pPr>
            <w:r w:rsidRPr="00900D14">
              <w:rPr>
                <w:sz w:val="20"/>
                <w:szCs w:val="20"/>
              </w:rPr>
              <w:t>99.2%</w:t>
            </w:r>
          </w:p>
        </w:tc>
      </w:tr>
      <w:tr w:rsidR="00DD5BBB" w:rsidRPr="00900D14" w14:paraId="64F17406" w14:textId="77777777" w:rsidTr="00DD5BBB">
        <w:trPr>
          <w:trHeight w:val="255"/>
        </w:trPr>
        <w:tc>
          <w:tcPr>
            <w:tcW w:w="4640" w:type="dxa"/>
            <w:noWrap/>
            <w:hideMark/>
          </w:tcPr>
          <w:p w14:paraId="48B8472A" w14:textId="77777777" w:rsidR="00DD5BBB" w:rsidRPr="00900D14" w:rsidRDefault="00DD5BBB">
            <w:pPr>
              <w:rPr>
                <w:sz w:val="20"/>
                <w:szCs w:val="20"/>
              </w:rPr>
            </w:pPr>
            <w:r w:rsidRPr="00900D14">
              <w:rPr>
                <w:sz w:val="20"/>
                <w:szCs w:val="20"/>
              </w:rPr>
              <w:t>FINGOLIMOD+NATALIZUMAB</w:t>
            </w:r>
          </w:p>
        </w:tc>
        <w:tc>
          <w:tcPr>
            <w:tcW w:w="1900" w:type="dxa"/>
            <w:noWrap/>
            <w:hideMark/>
          </w:tcPr>
          <w:p w14:paraId="608EE4EE" w14:textId="08E9CDC2" w:rsidR="00DD5BBB" w:rsidRPr="00900D14" w:rsidRDefault="00DD5BBB" w:rsidP="00195B3C">
            <w:pPr>
              <w:jc w:val="center"/>
              <w:rPr>
                <w:sz w:val="20"/>
                <w:szCs w:val="20"/>
              </w:rPr>
            </w:pPr>
            <w:r w:rsidRPr="00900D14">
              <w:rPr>
                <w:sz w:val="20"/>
                <w:szCs w:val="20"/>
              </w:rPr>
              <w:t>0.</w:t>
            </w:r>
            <w:r w:rsidR="00A6742D" w:rsidRPr="00900D14">
              <w:rPr>
                <w:sz w:val="20"/>
                <w:szCs w:val="20"/>
              </w:rPr>
              <w:t>3</w:t>
            </w:r>
            <w:r w:rsidRPr="00900D14">
              <w:rPr>
                <w:sz w:val="20"/>
                <w:szCs w:val="20"/>
              </w:rPr>
              <w:t>%</w:t>
            </w:r>
          </w:p>
        </w:tc>
      </w:tr>
      <w:tr w:rsidR="00DD5BBB" w:rsidRPr="00900D14" w14:paraId="03A30822" w14:textId="77777777" w:rsidTr="00DD5BBB">
        <w:trPr>
          <w:trHeight w:val="255"/>
        </w:trPr>
        <w:tc>
          <w:tcPr>
            <w:tcW w:w="4640" w:type="dxa"/>
            <w:noWrap/>
            <w:hideMark/>
          </w:tcPr>
          <w:p w14:paraId="1DFCE3CC" w14:textId="77777777" w:rsidR="00DD5BBB" w:rsidRPr="00900D14" w:rsidRDefault="00DD5BBB">
            <w:pPr>
              <w:rPr>
                <w:sz w:val="20"/>
                <w:szCs w:val="20"/>
              </w:rPr>
            </w:pPr>
            <w:r w:rsidRPr="00900D14">
              <w:rPr>
                <w:sz w:val="20"/>
                <w:szCs w:val="20"/>
              </w:rPr>
              <w:t>FINGOLIMOD+GLATIRAMER ACETATE</w:t>
            </w:r>
          </w:p>
        </w:tc>
        <w:tc>
          <w:tcPr>
            <w:tcW w:w="1900" w:type="dxa"/>
            <w:noWrap/>
            <w:hideMark/>
          </w:tcPr>
          <w:p w14:paraId="09BBC5E1" w14:textId="0C874AA5" w:rsidR="00DD5BBB" w:rsidRPr="00900D14" w:rsidRDefault="00DD5BBB" w:rsidP="00195B3C">
            <w:pPr>
              <w:jc w:val="center"/>
              <w:rPr>
                <w:sz w:val="20"/>
                <w:szCs w:val="20"/>
              </w:rPr>
            </w:pPr>
            <w:r w:rsidRPr="00900D14">
              <w:rPr>
                <w:sz w:val="20"/>
                <w:szCs w:val="20"/>
              </w:rPr>
              <w:t>0.</w:t>
            </w:r>
            <w:r w:rsidR="00E34D44" w:rsidRPr="00900D14">
              <w:rPr>
                <w:sz w:val="20"/>
                <w:szCs w:val="20"/>
              </w:rPr>
              <w:t>2</w:t>
            </w:r>
            <w:r w:rsidRPr="00900D14">
              <w:rPr>
                <w:sz w:val="20"/>
                <w:szCs w:val="20"/>
              </w:rPr>
              <w:t>%</w:t>
            </w:r>
          </w:p>
        </w:tc>
      </w:tr>
      <w:tr w:rsidR="00DD5BBB" w:rsidRPr="00900D14" w14:paraId="3F21F0EA" w14:textId="77777777" w:rsidTr="00DD5BBB">
        <w:trPr>
          <w:trHeight w:val="255"/>
        </w:trPr>
        <w:tc>
          <w:tcPr>
            <w:tcW w:w="4640" w:type="dxa"/>
            <w:noWrap/>
            <w:hideMark/>
          </w:tcPr>
          <w:p w14:paraId="207BA717" w14:textId="77777777" w:rsidR="00DD5BBB" w:rsidRPr="00900D14" w:rsidRDefault="00DD5BBB">
            <w:pPr>
              <w:rPr>
                <w:sz w:val="20"/>
                <w:szCs w:val="20"/>
              </w:rPr>
            </w:pPr>
            <w:r w:rsidRPr="00900D14">
              <w:rPr>
                <w:sz w:val="20"/>
                <w:szCs w:val="20"/>
              </w:rPr>
              <w:t>FINGOLIMOD+INTERFERON BETA-1B</w:t>
            </w:r>
          </w:p>
        </w:tc>
        <w:tc>
          <w:tcPr>
            <w:tcW w:w="1900" w:type="dxa"/>
            <w:noWrap/>
            <w:hideMark/>
          </w:tcPr>
          <w:p w14:paraId="42C5F3AC" w14:textId="7473A564" w:rsidR="00DD5BBB" w:rsidRPr="00900D14" w:rsidRDefault="00DD5BBB" w:rsidP="00195B3C">
            <w:pPr>
              <w:jc w:val="center"/>
              <w:rPr>
                <w:sz w:val="20"/>
                <w:szCs w:val="20"/>
              </w:rPr>
            </w:pPr>
            <w:r w:rsidRPr="00900D14">
              <w:rPr>
                <w:sz w:val="20"/>
                <w:szCs w:val="20"/>
              </w:rPr>
              <w:t>0.</w:t>
            </w:r>
            <w:r w:rsidR="00A6742D" w:rsidRPr="00900D14">
              <w:rPr>
                <w:sz w:val="20"/>
                <w:szCs w:val="20"/>
              </w:rPr>
              <w:t>2</w:t>
            </w:r>
            <w:r w:rsidRPr="00900D14">
              <w:rPr>
                <w:sz w:val="20"/>
                <w:szCs w:val="20"/>
              </w:rPr>
              <w:t>%</w:t>
            </w:r>
          </w:p>
        </w:tc>
      </w:tr>
      <w:tr w:rsidR="00DD5BBB" w:rsidRPr="00900D14" w14:paraId="4220B22D" w14:textId="77777777" w:rsidTr="00DD5BBB">
        <w:trPr>
          <w:trHeight w:val="255"/>
        </w:trPr>
        <w:tc>
          <w:tcPr>
            <w:tcW w:w="4640" w:type="dxa"/>
            <w:noWrap/>
            <w:hideMark/>
          </w:tcPr>
          <w:p w14:paraId="14241C46" w14:textId="77777777" w:rsidR="00DD5BBB" w:rsidRPr="00900D14" w:rsidRDefault="00DD5BBB">
            <w:pPr>
              <w:rPr>
                <w:sz w:val="20"/>
                <w:szCs w:val="20"/>
              </w:rPr>
            </w:pPr>
            <w:r w:rsidRPr="00900D14">
              <w:rPr>
                <w:sz w:val="20"/>
                <w:szCs w:val="20"/>
              </w:rPr>
              <w:t>FINGOLIMOD+INTERFERON BETA-1A</w:t>
            </w:r>
          </w:p>
        </w:tc>
        <w:tc>
          <w:tcPr>
            <w:tcW w:w="1900" w:type="dxa"/>
            <w:noWrap/>
            <w:hideMark/>
          </w:tcPr>
          <w:p w14:paraId="485D660C" w14:textId="139CF600" w:rsidR="00DD5BBB" w:rsidRPr="00900D14" w:rsidRDefault="00DD5BBB" w:rsidP="00195B3C">
            <w:pPr>
              <w:jc w:val="center"/>
              <w:rPr>
                <w:sz w:val="20"/>
                <w:szCs w:val="20"/>
              </w:rPr>
            </w:pPr>
            <w:r w:rsidRPr="00900D14">
              <w:rPr>
                <w:sz w:val="20"/>
                <w:szCs w:val="20"/>
              </w:rPr>
              <w:t>0.</w:t>
            </w:r>
            <w:r w:rsidR="00E34D44" w:rsidRPr="00900D14">
              <w:rPr>
                <w:sz w:val="20"/>
                <w:szCs w:val="20"/>
              </w:rPr>
              <w:t>1</w:t>
            </w:r>
            <w:r w:rsidRPr="00900D14">
              <w:rPr>
                <w:sz w:val="20"/>
                <w:szCs w:val="20"/>
              </w:rPr>
              <w:t>%</w:t>
            </w:r>
          </w:p>
        </w:tc>
      </w:tr>
    </w:tbl>
    <w:p w14:paraId="4AE7DF24" w14:textId="07961D78" w:rsidR="0091357B" w:rsidRPr="00F143D9" w:rsidRDefault="00DD5BBB" w:rsidP="002F3DF2">
      <w:pPr>
        <w:rPr>
          <w:sz w:val="20"/>
          <w:szCs w:val="20"/>
        </w:rPr>
      </w:pPr>
      <w:r>
        <w:fldChar w:fldCharType="end"/>
      </w:r>
      <w:r w:rsidRPr="00F143D9">
        <w:rPr>
          <w:sz w:val="20"/>
          <w:szCs w:val="20"/>
        </w:rPr>
        <w:t>Note:</w:t>
      </w:r>
      <w:r w:rsidR="0046345C" w:rsidRPr="00F143D9">
        <w:rPr>
          <w:sz w:val="20"/>
          <w:szCs w:val="20"/>
        </w:rPr>
        <w:t xml:space="preserve"> Based on RRMS therapy </w:t>
      </w:r>
      <w:r w:rsidR="00E50843">
        <w:rPr>
          <w:sz w:val="20"/>
          <w:szCs w:val="20"/>
        </w:rPr>
        <w:t xml:space="preserve">estimated drug regimen </w:t>
      </w:r>
      <w:r w:rsidR="0046345C" w:rsidRPr="00F143D9">
        <w:rPr>
          <w:sz w:val="20"/>
          <w:szCs w:val="20"/>
        </w:rPr>
        <w:t xml:space="preserve">in </w:t>
      </w:r>
      <w:r w:rsidRPr="00F143D9">
        <w:rPr>
          <w:sz w:val="20"/>
          <w:szCs w:val="20"/>
        </w:rPr>
        <w:t>the week beginning 25 February 2015.</w:t>
      </w:r>
    </w:p>
    <w:p w14:paraId="6E13BB78" w14:textId="27FF2FCA" w:rsidR="008D65C6" w:rsidRDefault="008D65C6" w:rsidP="002F3DF2">
      <w:r w:rsidRPr="00116EE4">
        <w:rPr>
          <w:b/>
        </w:rPr>
        <w:t xml:space="preserve">Table </w:t>
      </w:r>
      <w:r w:rsidR="00CC580C">
        <w:rPr>
          <w:b/>
        </w:rPr>
        <w:t>17</w:t>
      </w:r>
      <w:r w:rsidRPr="00116EE4">
        <w:rPr>
          <w:b/>
        </w:rPr>
        <w:t xml:space="preserve">. </w:t>
      </w:r>
      <w:r>
        <w:rPr>
          <w:b/>
        </w:rPr>
        <w:t>Use of glatiramer acetate as monotherapy and cases of potential co-supply of another RRMS therapy</w:t>
      </w:r>
    </w:p>
    <w:tbl>
      <w:tblPr>
        <w:tblStyle w:val="TableGrid"/>
        <w:tblW w:w="6540" w:type="dxa"/>
        <w:tblLook w:val="04A0" w:firstRow="1" w:lastRow="0" w:firstColumn="1" w:lastColumn="0" w:noHBand="0" w:noVBand="1"/>
      </w:tblPr>
      <w:tblGrid>
        <w:gridCol w:w="4640"/>
        <w:gridCol w:w="1900"/>
      </w:tblGrid>
      <w:tr w:rsidR="008D65C6" w:rsidRPr="00F7000F" w14:paraId="011C6CA0" w14:textId="77777777" w:rsidTr="00900D14">
        <w:trPr>
          <w:trHeight w:val="255"/>
        </w:trPr>
        <w:tc>
          <w:tcPr>
            <w:tcW w:w="4640" w:type="dxa"/>
            <w:shd w:val="clear" w:color="auto" w:fill="BFBFBF" w:themeFill="background1" w:themeFillShade="BF"/>
            <w:noWrap/>
          </w:tcPr>
          <w:p w14:paraId="3F1491BE" w14:textId="77777777" w:rsidR="008D65C6" w:rsidRPr="00900D14" w:rsidRDefault="008D65C6" w:rsidP="00900D14">
            <w:pPr>
              <w:jc w:val="center"/>
              <w:rPr>
                <w:b/>
                <w:sz w:val="20"/>
                <w:szCs w:val="20"/>
              </w:rPr>
            </w:pPr>
            <w:r w:rsidRPr="00900D14">
              <w:rPr>
                <w:b/>
                <w:sz w:val="20"/>
                <w:szCs w:val="20"/>
              </w:rPr>
              <w:t>Drug regimen</w:t>
            </w:r>
          </w:p>
        </w:tc>
        <w:tc>
          <w:tcPr>
            <w:tcW w:w="1900" w:type="dxa"/>
            <w:shd w:val="clear" w:color="auto" w:fill="BFBFBF" w:themeFill="background1" w:themeFillShade="BF"/>
            <w:noWrap/>
          </w:tcPr>
          <w:p w14:paraId="13280389" w14:textId="77777777" w:rsidR="008D65C6" w:rsidRPr="00900D14" w:rsidRDefault="008D65C6" w:rsidP="00900D14">
            <w:pPr>
              <w:jc w:val="center"/>
              <w:rPr>
                <w:b/>
                <w:sz w:val="20"/>
                <w:szCs w:val="20"/>
              </w:rPr>
            </w:pPr>
            <w:r w:rsidRPr="00900D14">
              <w:rPr>
                <w:b/>
                <w:sz w:val="20"/>
                <w:szCs w:val="20"/>
              </w:rPr>
              <w:t>Proportion of all regimens</w:t>
            </w:r>
          </w:p>
        </w:tc>
      </w:tr>
      <w:tr w:rsidR="008D65C6" w:rsidRPr="00DD5BBB" w14:paraId="6128A1FB" w14:textId="77777777" w:rsidTr="008D65C6">
        <w:trPr>
          <w:trHeight w:val="255"/>
        </w:trPr>
        <w:tc>
          <w:tcPr>
            <w:tcW w:w="4640" w:type="dxa"/>
            <w:noWrap/>
            <w:vAlign w:val="bottom"/>
          </w:tcPr>
          <w:p w14:paraId="0DB76223" w14:textId="6151B608" w:rsidR="008D65C6" w:rsidRPr="00900D14" w:rsidRDefault="008D65C6" w:rsidP="008A331E">
            <w:pPr>
              <w:rPr>
                <w:rFonts w:ascii="Calibri" w:hAnsi="Calibri"/>
                <w:sz w:val="20"/>
                <w:szCs w:val="20"/>
              </w:rPr>
            </w:pPr>
            <w:r w:rsidRPr="00900D14">
              <w:rPr>
                <w:rFonts w:ascii="Calibri" w:hAnsi="Calibri"/>
                <w:sz w:val="20"/>
                <w:szCs w:val="20"/>
              </w:rPr>
              <w:t>GLATIRAMER ACETATE</w:t>
            </w:r>
          </w:p>
        </w:tc>
        <w:tc>
          <w:tcPr>
            <w:tcW w:w="1900" w:type="dxa"/>
            <w:noWrap/>
            <w:vAlign w:val="bottom"/>
          </w:tcPr>
          <w:p w14:paraId="4F3C8E37" w14:textId="16C130BE" w:rsidR="008D65C6" w:rsidRPr="00900D14" w:rsidRDefault="008D65C6" w:rsidP="008A331E">
            <w:pPr>
              <w:jc w:val="center"/>
              <w:rPr>
                <w:rFonts w:ascii="Calibri" w:hAnsi="Calibri"/>
                <w:sz w:val="20"/>
                <w:szCs w:val="20"/>
              </w:rPr>
            </w:pPr>
            <w:r w:rsidRPr="00900D14">
              <w:rPr>
                <w:rFonts w:ascii="Calibri" w:hAnsi="Calibri"/>
                <w:sz w:val="20"/>
                <w:szCs w:val="20"/>
              </w:rPr>
              <w:t>99.2%</w:t>
            </w:r>
          </w:p>
        </w:tc>
      </w:tr>
      <w:tr w:rsidR="008D65C6" w:rsidRPr="00DD5BBB" w14:paraId="42D761AB" w14:textId="77777777" w:rsidTr="008D65C6">
        <w:trPr>
          <w:trHeight w:val="255"/>
        </w:trPr>
        <w:tc>
          <w:tcPr>
            <w:tcW w:w="4640" w:type="dxa"/>
            <w:noWrap/>
            <w:vAlign w:val="bottom"/>
            <w:hideMark/>
          </w:tcPr>
          <w:p w14:paraId="3A7FDF09" w14:textId="646A009B" w:rsidR="008D65C6" w:rsidRPr="00900D14" w:rsidRDefault="008D65C6" w:rsidP="008A331E">
            <w:pPr>
              <w:rPr>
                <w:sz w:val="20"/>
                <w:szCs w:val="20"/>
              </w:rPr>
            </w:pPr>
            <w:r w:rsidRPr="00900D14">
              <w:rPr>
                <w:rFonts w:ascii="Calibri" w:hAnsi="Calibri"/>
                <w:sz w:val="20"/>
                <w:szCs w:val="20"/>
              </w:rPr>
              <w:t>FINGOLIMOD+GLATIRAMER ACETATE</w:t>
            </w:r>
          </w:p>
        </w:tc>
        <w:tc>
          <w:tcPr>
            <w:tcW w:w="1900" w:type="dxa"/>
            <w:noWrap/>
            <w:vAlign w:val="bottom"/>
            <w:hideMark/>
          </w:tcPr>
          <w:p w14:paraId="569C3CDA" w14:textId="1DDE5B27" w:rsidR="008D65C6" w:rsidRPr="00900D14" w:rsidRDefault="008D65C6" w:rsidP="008A331E">
            <w:pPr>
              <w:jc w:val="center"/>
              <w:rPr>
                <w:sz w:val="20"/>
                <w:szCs w:val="20"/>
              </w:rPr>
            </w:pPr>
            <w:r w:rsidRPr="00900D14">
              <w:rPr>
                <w:rFonts w:ascii="Calibri" w:hAnsi="Calibri"/>
                <w:sz w:val="20"/>
                <w:szCs w:val="20"/>
              </w:rPr>
              <w:t>0.7%</w:t>
            </w:r>
          </w:p>
        </w:tc>
      </w:tr>
      <w:tr w:rsidR="008D65C6" w:rsidRPr="00DD5BBB" w14:paraId="265FC449" w14:textId="77777777" w:rsidTr="008D65C6">
        <w:trPr>
          <w:trHeight w:val="255"/>
        </w:trPr>
        <w:tc>
          <w:tcPr>
            <w:tcW w:w="4640" w:type="dxa"/>
            <w:noWrap/>
            <w:vAlign w:val="bottom"/>
            <w:hideMark/>
          </w:tcPr>
          <w:p w14:paraId="10D2D9F7" w14:textId="762BCE90" w:rsidR="008D65C6" w:rsidRPr="00900D14" w:rsidRDefault="008D65C6" w:rsidP="008A331E">
            <w:pPr>
              <w:rPr>
                <w:sz w:val="20"/>
                <w:szCs w:val="20"/>
              </w:rPr>
            </w:pPr>
            <w:r w:rsidRPr="00900D14">
              <w:rPr>
                <w:rFonts w:ascii="Calibri" w:hAnsi="Calibri"/>
                <w:sz w:val="20"/>
                <w:szCs w:val="20"/>
              </w:rPr>
              <w:t>GLATIRAMER ACETATE+INTERFERON BETA-1A</w:t>
            </w:r>
          </w:p>
        </w:tc>
        <w:tc>
          <w:tcPr>
            <w:tcW w:w="1900" w:type="dxa"/>
            <w:noWrap/>
            <w:vAlign w:val="bottom"/>
            <w:hideMark/>
          </w:tcPr>
          <w:p w14:paraId="04009BA5" w14:textId="54097E3E" w:rsidR="008D65C6" w:rsidRPr="00900D14" w:rsidRDefault="008D65C6" w:rsidP="008A331E">
            <w:pPr>
              <w:jc w:val="center"/>
              <w:rPr>
                <w:sz w:val="20"/>
                <w:szCs w:val="20"/>
              </w:rPr>
            </w:pPr>
            <w:r w:rsidRPr="00900D14">
              <w:rPr>
                <w:rFonts w:ascii="Calibri" w:hAnsi="Calibri"/>
                <w:sz w:val="20"/>
                <w:szCs w:val="20"/>
              </w:rPr>
              <w:t>0.1%</w:t>
            </w:r>
          </w:p>
        </w:tc>
      </w:tr>
    </w:tbl>
    <w:p w14:paraId="6B927EB4" w14:textId="6D97862B" w:rsidR="008D65C6" w:rsidRPr="00F143D9" w:rsidRDefault="008D65C6" w:rsidP="008D65C6">
      <w:pPr>
        <w:rPr>
          <w:sz w:val="20"/>
          <w:szCs w:val="20"/>
        </w:rPr>
      </w:pPr>
      <w:r w:rsidRPr="00F143D9">
        <w:rPr>
          <w:sz w:val="20"/>
          <w:szCs w:val="20"/>
        </w:rPr>
        <w:t xml:space="preserve">Note: Based on the RRMS therapy </w:t>
      </w:r>
      <w:r w:rsidR="00E50843">
        <w:rPr>
          <w:sz w:val="20"/>
          <w:szCs w:val="20"/>
        </w:rPr>
        <w:t xml:space="preserve">estimated drug regimen </w:t>
      </w:r>
      <w:r w:rsidRPr="00F143D9">
        <w:rPr>
          <w:sz w:val="20"/>
          <w:szCs w:val="20"/>
        </w:rPr>
        <w:t>in the week beginning 25 February 2015.</w:t>
      </w:r>
    </w:p>
    <w:p w14:paraId="1261C8AC" w14:textId="77777777" w:rsidR="00CC39FC" w:rsidRDefault="00CC39FC" w:rsidP="00F95C49">
      <w:pPr>
        <w:rPr>
          <w:b/>
        </w:rPr>
      </w:pPr>
    </w:p>
    <w:p w14:paraId="7F374D3D" w14:textId="0FF78501" w:rsidR="00997356" w:rsidRDefault="00F95C49" w:rsidP="00F95C49">
      <w:r w:rsidRPr="00116EE4">
        <w:rPr>
          <w:b/>
        </w:rPr>
        <w:lastRenderedPageBreak/>
        <w:t xml:space="preserve">Table </w:t>
      </w:r>
      <w:r w:rsidR="00CC580C">
        <w:rPr>
          <w:b/>
        </w:rPr>
        <w:t>18</w:t>
      </w:r>
      <w:r w:rsidRPr="00116EE4">
        <w:rPr>
          <w:b/>
        </w:rPr>
        <w:t xml:space="preserve">. </w:t>
      </w:r>
      <w:r>
        <w:rPr>
          <w:b/>
        </w:rPr>
        <w:t>Use of interferon beta-1a as monotherapy and cases of potential co-supply of another RRMS therapy</w:t>
      </w:r>
    </w:p>
    <w:tbl>
      <w:tblPr>
        <w:tblStyle w:val="TableGrid"/>
        <w:tblW w:w="6540" w:type="dxa"/>
        <w:tblLook w:val="04A0" w:firstRow="1" w:lastRow="0" w:firstColumn="1" w:lastColumn="0" w:noHBand="0" w:noVBand="1"/>
      </w:tblPr>
      <w:tblGrid>
        <w:gridCol w:w="4640"/>
        <w:gridCol w:w="1900"/>
      </w:tblGrid>
      <w:tr w:rsidR="00997356" w:rsidRPr="00900D14" w14:paraId="525DD292" w14:textId="77777777" w:rsidTr="00900D14">
        <w:trPr>
          <w:trHeight w:val="255"/>
        </w:trPr>
        <w:tc>
          <w:tcPr>
            <w:tcW w:w="4640" w:type="dxa"/>
            <w:shd w:val="clear" w:color="auto" w:fill="BFBFBF" w:themeFill="background1" w:themeFillShade="BF"/>
            <w:noWrap/>
          </w:tcPr>
          <w:p w14:paraId="0E26FF26" w14:textId="77777777" w:rsidR="00997356" w:rsidRPr="00900D14" w:rsidRDefault="00997356" w:rsidP="00900D14">
            <w:pPr>
              <w:jc w:val="center"/>
              <w:rPr>
                <w:b/>
                <w:sz w:val="20"/>
                <w:szCs w:val="20"/>
              </w:rPr>
            </w:pPr>
            <w:r w:rsidRPr="00900D14">
              <w:rPr>
                <w:b/>
                <w:sz w:val="20"/>
                <w:szCs w:val="20"/>
              </w:rPr>
              <w:t>Drug regimen</w:t>
            </w:r>
          </w:p>
        </w:tc>
        <w:tc>
          <w:tcPr>
            <w:tcW w:w="1900" w:type="dxa"/>
            <w:shd w:val="clear" w:color="auto" w:fill="BFBFBF" w:themeFill="background1" w:themeFillShade="BF"/>
            <w:noWrap/>
          </w:tcPr>
          <w:p w14:paraId="0916FFBE" w14:textId="77777777" w:rsidR="00997356" w:rsidRPr="00900D14" w:rsidRDefault="00997356" w:rsidP="00900D14">
            <w:pPr>
              <w:jc w:val="center"/>
              <w:rPr>
                <w:b/>
                <w:sz w:val="20"/>
                <w:szCs w:val="20"/>
              </w:rPr>
            </w:pPr>
            <w:r w:rsidRPr="00900D14">
              <w:rPr>
                <w:b/>
                <w:sz w:val="20"/>
                <w:szCs w:val="20"/>
              </w:rPr>
              <w:t>Proportion of all regimens</w:t>
            </w:r>
          </w:p>
        </w:tc>
      </w:tr>
      <w:tr w:rsidR="000E25BF" w:rsidRPr="00900D14" w14:paraId="49D7216A" w14:textId="77777777" w:rsidTr="008A331E">
        <w:trPr>
          <w:trHeight w:val="255"/>
        </w:trPr>
        <w:tc>
          <w:tcPr>
            <w:tcW w:w="4640" w:type="dxa"/>
            <w:noWrap/>
            <w:vAlign w:val="bottom"/>
          </w:tcPr>
          <w:p w14:paraId="74640DDE" w14:textId="0A2BE752" w:rsidR="000E25BF" w:rsidRPr="00900D14" w:rsidRDefault="000E25BF" w:rsidP="008A331E">
            <w:pPr>
              <w:rPr>
                <w:rFonts w:ascii="Calibri" w:hAnsi="Calibri"/>
                <w:sz w:val="20"/>
                <w:szCs w:val="20"/>
              </w:rPr>
            </w:pPr>
            <w:r w:rsidRPr="00900D14">
              <w:rPr>
                <w:rFonts w:ascii="Calibri" w:hAnsi="Calibri"/>
                <w:sz w:val="20"/>
                <w:szCs w:val="20"/>
              </w:rPr>
              <w:t>INTERFERON BETA-1A</w:t>
            </w:r>
          </w:p>
        </w:tc>
        <w:tc>
          <w:tcPr>
            <w:tcW w:w="1900" w:type="dxa"/>
            <w:noWrap/>
            <w:vAlign w:val="bottom"/>
          </w:tcPr>
          <w:p w14:paraId="3D74EDE4" w14:textId="5B34600F" w:rsidR="000E25BF" w:rsidRPr="00900D14" w:rsidRDefault="000E25BF" w:rsidP="008A331E">
            <w:pPr>
              <w:jc w:val="center"/>
              <w:rPr>
                <w:rFonts w:ascii="Calibri" w:hAnsi="Calibri"/>
                <w:sz w:val="20"/>
                <w:szCs w:val="20"/>
              </w:rPr>
            </w:pPr>
            <w:r w:rsidRPr="00900D14">
              <w:rPr>
                <w:rFonts w:ascii="Calibri" w:hAnsi="Calibri"/>
                <w:sz w:val="20"/>
                <w:szCs w:val="20"/>
              </w:rPr>
              <w:t>99.4%</w:t>
            </w:r>
          </w:p>
        </w:tc>
      </w:tr>
      <w:tr w:rsidR="000E25BF" w:rsidRPr="00900D14" w14:paraId="73671213" w14:textId="77777777" w:rsidTr="008A331E">
        <w:trPr>
          <w:trHeight w:val="255"/>
        </w:trPr>
        <w:tc>
          <w:tcPr>
            <w:tcW w:w="4640" w:type="dxa"/>
            <w:noWrap/>
            <w:vAlign w:val="bottom"/>
            <w:hideMark/>
          </w:tcPr>
          <w:p w14:paraId="5D29B453" w14:textId="67774D7A" w:rsidR="000E25BF" w:rsidRPr="00900D14" w:rsidRDefault="000E25BF" w:rsidP="008A331E">
            <w:pPr>
              <w:rPr>
                <w:sz w:val="20"/>
                <w:szCs w:val="20"/>
              </w:rPr>
            </w:pPr>
            <w:r w:rsidRPr="00900D14">
              <w:rPr>
                <w:rFonts w:ascii="Calibri" w:hAnsi="Calibri"/>
                <w:sz w:val="20"/>
                <w:szCs w:val="20"/>
              </w:rPr>
              <w:t>FINGOLIMOD+INTERFERON BETA-1A</w:t>
            </w:r>
          </w:p>
        </w:tc>
        <w:tc>
          <w:tcPr>
            <w:tcW w:w="1900" w:type="dxa"/>
            <w:noWrap/>
            <w:vAlign w:val="bottom"/>
            <w:hideMark/>
          </w:tcPr>
          <w:p w14:paraId="23F7C5AC" w14:textId="0356195D" w:rsidR="000E25BF" w:rsidRPr="00900D14" w:rsidRDefault="000E25BF" w:rsidP="008A331E">
            <w:pPr>
              <w:jc w:val="center"/>
              <w:rPr>
                <w:sz w:val="20"/>
                <w:szCs w:val="20"/>
              </w:rPr>
            </w:pPr>
            <w:r w:rsidRPr="00900D14">
              <w:rPr>
                <w:rFonts w:ascii="Calibri" w:hAnsi="Calibri"/>
                <w:sz w:val="20"/>
                <w:szCs w:val="20"/>
              </w:rPr>
              <w:t>0.4%</w:t>
            </w:r>
          </w:p>
        </w:tc>
      </w:tr>
      <w:tr w:rsidR="000E25BF" w:rsidRPr="00900D14" w14:paraId="1FA10486" w14:textId="77777777" w:rsidTr="008A331E">
        <w:trPr>
          <w:trHeight w:val="255"/>
        </w:trPr>
        <w:tc>
          <w:tcPr>
            <w:tcW w:w="4640" w:type="dxa"/>
            <w:noWrap/>
            <w:vAlign w:val="bottom"/>
          </w:tcPr>
          <w:p w14:paraId="46A34CE1" w14:textId="52434CBF" w:rsidR="000E25BF" w:rsidRPr="00900D14" w:rsidRDefault="000E25BF" w:rsidP="008A331E">
            <w:pPr>
              <w:rPr>
                <w:rFonts w:ascii="Calibri" w:hAnsi="Calibri"/>
                <w:sz w:val="20"/>
                <w:szCs w:val="20"/>
              </w:rPr>
            </w:pPr>
            <w:r w:rsidRPr="00900D14">
              <w:rPr>
                <w:rFonts w:ascii="Calibri" w:hAnsi="Calibri"/>
                <w:sz w:val="20"/>
                <w:szCs w:val="20"/>
              </w:rPr>
              <w:t>INTERFERON BETA-1A+NATALIZUMAB</w:t>
            </w:r>
          </w:p>
        </w:tc>
        <w:tc>
          <w:tcPr>
            <w:tcW w:w="1900" w:type="dxa"/>
            <w:noWrap/>
            <w:vAlign w:val="bottom"/>
          </w:tcPr>
          <w:p w14:paraId="01C9391F" w14:textId="7AE42A5A" w:rsidR="000E25BF" w:rsidRPr="00900D14" w:rsidRDefault="000E25BF" w:rsidP="008A331E">
            <w:pPr>
              <w:jc w:val="center"/>
              <w:rPr>
                <w:rFonts w:ascii="Calibri" w:hAnsi="Calibri"/>
                <w:sz w:val="20"/>
                <w:szCs w:val="20"/>
              </w:rPr>
            </w:pPr>
            <w:r w:rsidRPr="00900D14">
              <w:rPr>
                <w:rFonts w:ascii="Calibri" w:hAnsi="Calibri"/>
                <w:sz w:val="20"/>
                <w:szCs w:val="20"/>
              </w:rPr>
              <w:t>0.1%</w:t>
            </w:r>
          </w:p>
        </w:tc>
      </w:tr>
      <w:tr w:rsidR="000E25BF" w:rsidRPr="00900D14" w14:paraId="61D74589" w14:textId="77777777" w:rsidTr="008A331E">
        <w:trPr>
          <w:trHeight w:val="255"/>
        </w:trPr>
        <w:tc>
          <w:tcPr>
            <w:tcW w:w="4640" w:type="dxa"/>
            <w:noWrap/>
            <w:vAlign w:val="bottom"/>
            <w:hideMark/>
          </w:tcPr>
          <w:p w14:paraId="542D64C1" w14:textId="66E430E3" w:rsidR="000E25BF" w:rsidRPr="00900D14" w:rsidRDefault="000E25BF" w:rsidP="008A331E">
            <w:pPr>
              <w:rPr>
                <w:sz w:val="20"/>
                <w:szCs w:val="20"/>
              </w:rPr>
            </w:pPr>
            <w:r w:rsidRPr="00900D14">
              <w:rPr>
                <w:rFonts w:ascii="Calibri" w:hAnsi="Calibri"/>
                <w:sz w:val="20"/>
                <w:szCs w:val="20"/>
              </w:rPr>
              <w:t>GLATIRAMER ACETATE+INTERFERON BETA-1A</w:t>
            </w:r>
          </w:p>
        </w:tc>
        <w:tc>
          <w:tcPr>
            <w:tcW w:w="1900" w:type="dxa"/>
            <w:noWrap/>
            <w:vAlign w:val="bottom"/>
            <w:hideMark/>
          </w:tcPr>
          <w:p w14:paraId="6C7F11B5" w14:textId="1917A635" w:rsidR="000E25BF" w:rsidRPr="00900D14" w:rsidRDefault="000E25BF" w:rsidP="008A331E">
            <w:pPr>
              <w:jc w:val="center"/>
              <w:rPr>
                <w:sz w:val="20"/>
                <w:szCs w:val="20"/>
              </w:rPr>
            </w:pPr>
            <w:r w:rsidRPr="00900D14">
              <w:rPr>
                <w:rFonts w:ascii="Calibri" w:hAnsi="Calibri"/>
                <w:sz w:val="20"/>
                <w:szCs w:val="20"/>
              </w:rPr>
              <w:t>0.1%</w:t>
            </w:r>
          </w:p>
        </w:tc>
      </w:tr>
    </w:tbl>
    <w:p w14:paraId="754F9EE9" w14:textId="77777777" w:rsidR="00E50843" w:rsidRPr="00F143D9" w:rsidRDefault="00E50843" w:rsidP="00E50843">
      <w:pPr>
        <w:rPr>
          <w:sz w:val="20"/>
          <w:szCs w:val="20"/>
        </w:rPr>
      </w:pPr>
      <w:r w:rsidRPr="00F143D9">
        <w:rPr>
          <w:sz w:val="20"/>
          <w:szCs w:val="20"/>
        </w:rPr>
        <w:t xml:space="preserve">Note: Based on the RRMS therapy </w:t>
      </w:r>
      <w:r>
        <w:rPr>
          <w:sz w:val="20"/>
          <w:szCs w:val="20"/>
        </w:rPr>
        <w:t xml:space="preserve">estimated drug regimen </w:t>
      </w:r>
      <w:r w:rsidRPr="00F143D9">
        <w:rPr>
          <w:sz w:val="20"/>
          <w:szCs w:val="20"/>
        </w:rPr>
        <w:t>in the week beginning 25 February 2015.</w:t>
      </w:r>
    </w:p>
    <w:p w14:paraId="4E62312C" w14:textId="3A14DB84" w:rsidR="00765089" w:rsidRDefault="00765089" w:rsidP="00765089">
      <w:r w:rsidRPr="00116EE4">
        <w:rPr>
          <w:b/>
        </w:rPr>
        <w:t xml:space="preserve">Table </w:t>
      </w:r>
      <w:r w:rsidR="00CC580C">
        <w:rPr>
          <w:b/>
        </w:rPr>
        <w:t>19</w:t>
      </w:r>
      <w:r w:rsidRPr="00116EE4">
        <w:rPr>
          <w:b/>
        </w:rPr>
        <w:t xml:space="preserve">. </w:t>
      </w:r>
      <w:r>
        <w:rPr>
          <w:b/>
        </w:rPr>
        <w:t>Use of interferon beta-1</w:t>
      </w:r>
      <w:r w:rsidR="00A03659">
        <w:rPr>
          <w:b/>
        </w:rPr>
        <w:t>b</w:t>
      </w:r>
      <w:r>
        <w:rPr>
          <w:b/>
        </w:rPr>
        <w:t xml:space="preserve"> as monotherapy and cases of potential co-supply of another RRMS therapy</w:t>
      </w:r>
    </w:p>
    <w:tbl>
      <w:tblPr>
        <w:tblStyle w:val="TableGrid"/>
        <w:tblW w:w="6540" w:type="dxa"/>
        <w:tblLook w:val="04A0" w:firstRow="1" w:lastRow="0" w:firstColumn="1" w:lastColumn="0" w:noHBand="0" w:noVBand="1"/>
      </w:tblPr>
      <w:tblGrid>
        <w:gridCol w:w="4640"/>
        <w:gridCol w:w="1900"/>
      </w:tblGrid>
      <w:tr w:rsidR="00765089" w:rsidRPr="00900D14" w14:paraId="2B4A1D09" w14:textId="77777777" w:rsidTr="00900D14">
        <w:trPr>
          <w:trHeight w:val="255"/>
        </w:trPr>
        <w:tc>
          <w:tcPr>
            <w:tcW w:w="4640" w:type="dxa"/>
            <w:shd w:val="clear" w:color="auto" w:fill="BFBFBF" w:themeFill="background1" w:themeFillShade="BF"/>
            <w:noWrap/>
          </w:tcPr>
          <w:p w14:paraId="28054A24" w14:textId="77777777" w:rsidR="00765089" w:rsidRPr="00900D14" w:rsidRDefault="00765089" w:rsidP="00AC4095">
            <w:pPr>
              <w:jc w:val="center"/>
              <w:rPr>
                <w:b/>
                <w:sz w:val="20"/>
                <w:szCs w:val="20"/>
              </w:rPr>
            </w:pPr>
            <w:r w:rsidRPr="00900D14">
              <w:rPr>
                <w:b/>
                <w:sz w:val="20"/>
                <w:szCs w:val="20"/>
              </w:rPr>
              <w:t>Drug regimen</w:t>
            </w:r>
          </w:p>
        </w:tc>
        <w:tc>
          <w:tcPr>
            <w:tcW w:w="1900" w:type="dxa"/>
            <w:shd w:val="clear" w:color="auto" w:fill="BFBFBF" w:themeFill="background1" w:themeFillShade="BF"/>
            <w:noWrap/>
          </w:tcPr>
          <w:p w14:paraId="6DFA02CB" w14:textId="77777777" w:rsidR="00765089" w:rsidRPr="00900D14" w:rsidRDefault="00765089" w:rsidP="00AC4095">
            <w:pPr>
              <w:jc w:val="center"/>
              <w:rPr>
                <w:b/>
                <w:sz w:val="20"/>
                <w:szCs w:val="20"/>
              </w:rPr>
            </w:pPr>
            <w:r w:rsidRPr="00900D14">
              <w:rPr>
                <w:b/>
                <w:sz w:val="20"/>
                <w:szCs w:val="20"/>
              </w:rPr>
              <w:t>Proportion of all regimens</w:t>
            </w:r>
          </w:p>
        </w:tc>
      </w:tr>
      <w:tr w:rsidR="002D0AF5" w:rsidRPr="00900D14" w14:paraId="3F158938" w14:textId="77777777" w:rsidTr="008A331E">
        <w:trPr>
          <w:trHeight w:val="255"/>
        </w:trPr>
        <w:tc>
          <w:tcPr>
            <w:tcW w:w="4640" w:type="dxa"/>
            <w:noWrap/>
            <w:vAlign w:val="bottom"/>
          </w:tcPr>
          <w:p w14:paraId="55489C57" w14:textId="1E90917F" w:rsidR="002D0AF5" w:rsidRPr="00900D14" w:rsidRDefault="002D0AF5" w:rsidP="008A331E">
            <w:pPr>
              <w:rPr>
                <w:rFonts w:ascii="Calibri" w:hAnsi="Calibri"/>
                <w:sz w:val="20"/>
                <w:szCs w:val="20"/>
              </w:rPr>
            </w:pPr>
            <w:r w:rsidRPr="00900D14">
              <w:rPr>
                <w:rFonts w:ascii="Calibri" w:hAnsi="Calibri"/>
                <w:sz w:val="20"/>
                <w:szCs w:val="20"/>
              </w:rPr>
              <w:t>INTERFERON BETA-1B</w:t>
            </w:r>
          </w:p>
        </w:tc>
        <w:tc>
          <w:tcPr>
            <w:tcW w:w="1900" w:type="dxa"/>
            <w:noWrap/>
            <w:vAlign w:val="bottom"/>
          </w:tcPr>
          <w:p w14:paraId="5DA286AD" w14:textId="2B2A8683" w:rsidR="002D0AF5" w:rsidRPr="00900D14" w:rsidRDefault="002D0AF5" w:rsidP="008A331E">
            <w:pPr>
              <w:jc w:val="center"/>
              <w:rPr>
                <w:rFonts w:ascii="Calibri" w:hAnsi="Calibri"/>
                <w:sz w:val="20"/>
                <w:szCs w:val="20"/>
              </w:rPr>
            </w:pPr>
            <w:r w:rsidRPr="00900D14">
              <w:rPr>
                <w:rFonts w:ascii="Calibri" w:hAnsi="Calibri"/>
                <w:sz w:val="20"/>
                <w:szCs w:val="20"/>
              </w:rPr>
              <w:t>99.3%</w:t>
            </w:r>
          </w:p>
        </w:tc>
      </w:tr>
      <w:tr w:rsidR="002D0AF5" w:rsidRPr="00900D14" w14:paraId="497FDA98" w14:textId="77777777" w:rsidTr="008A331E">
        <w:trPr>
          <w:trHeight w:val="255"/>
        </w:trPr>
        <w:tc>
          <w:tcPr>
            <w:tcW w:w="4640" w:type="dxa"/>
            <w:noWrap/>
            <w:vAlign w:val="bottom"/>
            <w:hideMark/>
          </w:tcPr>
          <w:p w14:paraId="383DF22D" w14:textId="19770D1C" w:rsidR="002D0AF5" w:rsidRPr="00900D14" w:rsidRDefault="002D0AF5" w:rsidP="008A331E">
            <w:pPr>
              <w:rPr>
                <w:sz w:val="20"/>
                <w:szCs w:val="20"/>
              </w:rPr>
            </w:pPr>
            <w:r w:rsidRPr="00900D14">
              <w:rPr>
                <w:rFonts w:ascii="Calibri" w:hAnsi="Calibri"/>
                <w:sz w:val="20"/>
                <w:szCs w:val="20"/>
              </w:rPr>
              <w:t>FINGOLIMOD+INTERFERON BETA-1B</w:t>
            </w:r>
          </w:p>
        </w:tc>
        <w:tc>
          <w:tcPr>
            <w:tcW w:w="1900" w:type="dxa"/>
            <w:noWrap/>
            <w:vAlign w:val="bottom"/>
            <w:hideMark/>
          </w:tcPr>
          <w:p w14:paraId="3B80711B" w14:textId="073EA386" w:rsidR="002D0AF5" w:rsidRPr="00900D14" w:rsidRDefault="002D0AF5" w:rsidP="008A331E">
            <w:pPr>
              <w:jc w:val="center"/>
              <w:rPr>
                <w:sz w:val="20"/>
                <w:szCs w:val="20"/>
              </w:rPr>
            </w:pPr>
            <w:r w:rsidRPr="00900D14">
              <w:rPr>
                <w:rFonts w:ascii="Calibri" w:hAnsi="Calibri"/>
                <w:sz w:val="20"/>
                <w:szCs w:val="20"/>
              </w:rPr>
              <w:t>0.6%</w:t>
            </w:r>
          </w:p>
        </w:tc>
      </w:tr>
      <w:tr w:rsidR="002D0AF5" w:rsidRPr="00900D14" w14:paraId="5F6017C1" w14:textId="77777777" w:rsidTr="008A331E">
        <w:trPr>
          <w:trHeight w:val="255"/>
        </w:trPr>
        <w:tc>
          <w:tcPr>
            <w:tcW w:w="4640" w:type="dxa"/>
            <w:noWrap/>
            <w:vAlign w:val="bottom"/>
          </w:tcPr>
          <w:p w14:paraId="48F1E57D" w14:textId="0913EF93" w:rsidR="002D0AF5" w:rsidRPr="00900D14" w:rsidRDefault="002D0AF5" w:rsidP="008A331E">
            <w:pPr>
              <w:rPr>
                <w:rFonts w:ascii="Calibri" w:hAnsi="Calibri"/>
                <w:sz w:val="20"/>
                <w:szCs w:val="20"/>
              </w:rPr>
            </w:pPr>
            <w:r w:rsidRPr="00900D14">
              <w:rPr>
                <w:rFonts w:ascii="Calibri" w:hAnsi="Calibri"/>
                <w:sz w:val="20"/>
                <w:szCs w:val="20"/>
              </w:rPr>
              <w:t>INTERFERON BETA-1B+NATALIZUMAB</w:t>
            </w:r>
          </w:p>
        </w:tc>
        <w:tc>
          <w:tcPr>
            <w:tcW w:w="1900" w:type="dxa"/>
            <w:noWrap/>
            <w:vAlign w:val="bottom"/>
          </w:tcPr>
          <w:p w14:paraId="02FDD850" w14:textId="5CDA8E1A" w:rsidR="002D0AF5" w:rsidRPr="00900D14" w:rsidRDefault="002D0AF5" w:rsidP="008A331E">
            <w:pPr>
              <w:jc w:val="center"/>
              <w:rPr>
                <w:rFonts w:ascii="Calibri" w:hAnsi="Calibri"/>
                <w:sz w:val="20"/>
                <w:szCs w:val="20"/>
              </w:rPr>
            </w:pPr>
            <w:r w:rsidRPr="00900D14">
              <w:rPr>
                <w:rFonts w:ascii="Calibri" w:hAnsi="Calibri"/>
                <w:sz w:val="20"/>
                <w:szCs w:val="20"/>
              </w:rPr>
              <w:t>0.1%</w:t>
            </w:r>
          </w:p>
        </w:tc>
      </w:tr>
    </w:tbl>
    <w:p w14:paraId="5A108DE5" w14:textId="77777777" w:rsidR="00E50843" w:rsidRPr="00F143D9" w:rsidRDefault="00E50843" w:rsidP="00E50843">
      <w:pPr>
        <w:rPr>
          <w:sz w:val="20"/>
          <w:szCs w:val="20"/>
        </w:rPr>
      </w:pPr>
      <w:r w:rsidRPr="00F143D9">
        <w:rPr>
          <w:sz w:val="20"/>
          <w:szCs w:val="20"/>
        </w:rPr>
        <w:t xml:space="preserve">Note: Based on the RRMS therapy </w:t>
      </w:r>
      <w:r>
        <w:rPr>
          <w:sz w:val="20"/>
          <w:szCs w:val="20"/>
        </w:rPr>
        <w:t xml:space="preserve">estimated drug regimen </w:t>
      </w:r>
      <w:r w:rsidRPr="00F143D9">
        <w:rPr>
          <w:sz w:val="20"/>
          <w:szCs w:val="20"/>
        </w:rPr>
        <w:t>in the week beginning 25 February 2015.</w:t>
      </w:r>
    </w:p>
    <w:p w14:paraId="5D5D0DE5" w14:textId="344DDE29" w:rsidR="005D354D" w:rsidRDefault="005D354D" w:rsidP="005D354D">
      <w:r w:rsidRPr="00116EE4">
        <w:rPr>
          <w:b/>
        </w:rPr>
        <w:t xml:space="preserve">Table </w:t>
      </w:r>
      <w:r>
        <w:rPr>
          <w:b/>
        </w:rPr>
        <w:t>2</w:t>
      </w:r>
      <w:r w:rsidR="00CC580C">
        <w:rPr>
          <w:b/>
        </w:rPr>
        <w:t>0</w:t>
      </w:r>
      <w:r w:rsidRPr="00116EE4">
        <w:rPr>
          <w:b/>
        </w:rPr>
        <w:t xml:space="preserve">. </w:t>
      </w:r>
      <w:r>
        <w:rPr>
          <w:b/>
        </w:rPr>
        <w:t>Use of natalizumab as monotherapy and cases of potential co-supply of another RRMS therapy</w:t>
      </w:r>
    </w:p>
    <w:tbl>
      <w:tblPr>
        <w:tblStyle w:val="TableGrid"/>
        <w:tblW w:w="6540" w:type="dxa"/>
        <w:tblLook w:val="04A0" w:firstRow="1" w:lastRow="0" w:firstColumn="1" w:lastColumn="0" w:noHBand="0" w:noVBand="1"/>
      </w:tblPr>
      <w:tblGrid>
        <w:gridCol w:w="4640"/>
        <w:gridCol w:w="1900"/>
      </w:tblGrid>
      <w:tr w:rsidR="005D354D" w:rsidRPr="00AC4095" w14:paraId="4DD72DA2" w14:textId="77777777" w:rsidTr="00AC4095">
        <w:trPr>
          <w:trHeight w:val="255"/>
        </w:trPr>
        <w:tc>
          <w:tcPr>
            <w:tcW w:w="4640" w:type="dxa"/>
            <w:shd w:val="clear" w:color="auto" w:fill="BFBFBF" w:themeFill="background1" w:themeFillShade="BF"/>
            <w:noWrap/>
          </w:tcPr>
          <w:p w14:paraId="55EAF843" w14:textId="77777777" w:rsidR="005D354D" w:rsidRPr="00AC4095" w:rsidRDefault="005D354D" w:rsidP="00AC4095">
            <w:pPr>
              <w:jc w:val="center"/>
              <w:rPr>
                <w:b/>
                <w:sz w:val="20"/>
                <w:szCs w:val="20"/>
              </w:rPr>
            </w:pPr>
            <w:r w:rsidRPr="00AC4095">
              <w:rPr>
                <w:b/>
                <w:sz w:val="20"/>
                <w:szCs w:val="20"/>
              </w:rPr>
              <w:t>Drug regimen</w:t>
            </w:r>
          </w:p>
        </w:tc>
        <w:tc>
          <w:tcPr>
            <w:tcW w:w="1900" w:type="dxa"/>
            <w:shd w:val="clear" w:color="auto" w:fill="BFBFBF" w:themeFill="background1" w:themeFillShade="BF"/>
            <w:noWrap/>
          </w:tcPr>
          <w:p w14:paraId="3242F5A9" w14:textId="77777777" w:rsidR="005D354D" w:rsidRPr="00AC4095" w:rsidRDefault="005D354D" w:rsidP="00AC4095">
            <w:pPr>
              <w:jc w:val="center"/>
              <w:rPr>
                <w:b/>
                <w:sz w:val="20"/>
                <w:szCs w:val="20"/>
              </w:rPr>
            </w:pPr>
            <w:r w:rsidRPr="00AC4095">
              <w:rPr>
                <w:b/>
                <w:sz w:val="20"/>
                <w:szCs w:val="20"/>
              </w:rPr>
              <w:t>Proportion of all regimens</w:t>
            </w:r>
          </w:p>
        </w:tc>
      </w:tr>
      <w:tr w:rsidR="005D354D" w:rsidRPr="00AC4095" w14:paraId="48918126" w14:textId="77777777" w:rsidTr="008A331E">
        <w:trPr>
          <w:trHeight w:val="255"/>
        </w:trPr>
        <w:tc>
          <w:tcPr>
            <w:tcW w:w="4640" w:type="dxa"/>
            <w:noWrap/>
            <w:vAlign w:val="bottom"/>
          </w:tcPr>
          <w:p w14:paraId="52FE8681" w14:textId="19877601" w:rsidR="005D354D" w:rsidRPr="00AC4095" w:rsidRDefault="005D354D" w:rsidP="008A331E">
            <w:pPr>
              <w:rPr>
                <w:rFonts w:ascii="Calibri" w:hAnsi="Calibri"/>
                <w:sz w:val="20"/>
                <w:szCs w:val="20"/>
              </w:rPr>
            </w:pPr>
            <w:r w:rsidRPr="00AC4095">
              <w:rPr>
                <w:rFonts w:ascii="Calibri" w:hAnsi="Calibri"/>
                <w:sz w:val="20"/>
                <w:szCs w:val="20"/>
              </w:rPr>
              <w:t>NATALIZUMAB</w:t>
            </w:r>
          </w:p>
        </w:tc>
        <w:tc>
          <w:tcPr>
            <w:tcW w:w="1900" w:type="dxa"/>
            <w:noWrap/>
            <w:vAlign w:val="bottom"/>
          </w:tcPr>
          <w:p w14:paraId="097AD6DD" w14:textId="6F92D8BF" w:rsidR="005D354D" w:rsidRPr="00AC4095" w:rsidRDefault="005D354D" w:rsidP="008A331E">
            <w:pPr>
              <w:jc w:val="center"/>
              <w:rPr>
                <w:rFonts w:ascii="Calibri" w:hAnsi="Calibri"/>
                <w:sz w:val="20"/>
                <w:szCs w:val="20"/>
              </w:rPr>
            </w:pPr>
            <w:r w:rsidRPr="00AC4095">
              <w:rPr>
                <w:rFonts w:ascii="Calibri" w:hAnsi="Calibri"/>
                <w:sz w:val="20"/>
                <w:szCs w:val="20"/>
              </w:rPr>
              <w:t>99.2%</w:t>
            </w:r>
          </w:p>
        </w:tc>
      </w:tr>
      <w:tr w:rsidR="005D354D" w:rsidRPr="00AC4095" w14:paraId="17ED4ADF" w14:textId="77777777" w:rsidTr="008A331E">
        <w:trPr>
          <w:trHeight w:val="255"/>
        </w:trPr>
        <w:tc>
          <w:tcPr>
            <w:tcW w:w="4640" w:type="dxa"/>
            <w:noWrap/>
            <w:vAlign w:val="bottom"/>
            <w:hideMark/>
          </w:tcPr>
          <w:p w14:paraId="111476BC" w14:textId="529FCD9A" w:rsidR="005D354D" w:rsidRPr="00AC4095" w:rsidRDefault="005D354D" w:rsidP="008A331E">
            <w:pPr>
              <w:rPr>
                <w:sz w:val="20"/>
                <w:szCs w:val="20"/>
              </w:rPr>
            </w:pPr>
            <w:r w:rsidRPr="00AC4095">
              <w:rPr>
                <w:rFonts w:ascii="Calibri" w:hAnsi="Calibri"/>
                <w:sz w:val="20"/>
                <w:szCs w:val="20"/>
              </w:rPr>
              <w:t>FINGOLIMOD+NATALIZUMAB</w:t>
            </w:r>
          </w:p>
        </w:tc>
        <w:tc>
          <w:tcPr>
            <w:tcW w:w="1900" w:type="dxa"/>
            <w:noWrap/>
            <w:vAlign w:val="bottom"/>
            <w:hideMark/>
          </w:tcPr>
          <w:p w14:paraId="591BBB4C" w14:textId="1A33F350" w:rsidR="005D354D" w:rsidRPr="00AC4095" w:rsidRDefault="005D354D" w:rsidP="008A331E">
            <w:pPr>
              <w:jc w:val="center"/>
              <w:rPr>
                <w:sz w:val="20"/>
                <w:szCs w:val="20"/>
              </w:rPr>
            </w:pPr>
            <w:r w:rsidRPr="00AC4095">
              <w:rPr>
                <w:rFonts w:ascii="Calibri" w:hAnsi="Calibri"/>
                <w:sz w:val="20"/>
                <w:szCs w:val="20"/>
              </w:rPr>
              <w:t>0.6%</w:t>
            </w:r>
          </w:p>
        </w:tc>
      </w:tr>
      <w:tr w:rsidR="005D354D" w:rsidRPr="00AC4095" w14:paraId="5A59242B" w14:textId="77777777" w:rsidTr="008A331E">
        <w:trPr>
          <w:trHeight w:val="255"/>
        </w:trPr>
        <w:tc>
          <w:tcPr>
            <w:tcW w:w="4640" w:type="dxa"/>
            <w:noWrap/>
            <w:vAlign w:val="bottom"/>
          </w:tcPr>
          <w:p w14:paraId="055E14F2" w14:textId="5A7DD75E" w:rsidR="005D354D" w:rsidRPr="00AC4095" w:rsidRDefault="005D354D" w:rsidP="008A331E">
            <w:pPr>
              <w:rPr>
                <w:rFonts w:ascii="Calibri" w:hAnsi="Calibri"/>
                <w:sz w:val="20"/>
                <w:szCs w:val="20"/>
              </w:rPr>
            </w:pPr>
            <w:r w:rsidRPr="00AC4095">
              <w:rPr>
                <w:rFonts w:ascii="Calibri" w:hAnsi="Calibri"/>
                <w:sz w:val="20"/>
                <w:szCs w:val="20"/>
              </w:rPr>
              <w:t>INTERFERON BETA-1A+NATALIZUMAB</w:t>
            </w:r>
          </w:p>
        </w:tc>
        <w:tc>
          <w:tcPr>
            <w:tcW w:w="1900" w:type="dxa"/>
            <w:noWrap/>
            <w:vAlign w:val="bottom"/>
          </w:tcPr>
          <w:p w14:paraId="055649C8" w14:textId="542EB8DA" w:rsidR="005D354D" w:rsidRPr="00AC4095" w:rsidRDefault="005D354D" w:rsidP="008A331E">
            <w:pPr>
              <w:jc w:val="center"/>
              <w:rPr>
                <w:rFonts w:ascii="Calibri" w:hAnsi="Calibri"/>
                <w:sz w:val="20"/>
                <w:szCs w:val="20"/>
              </w:rPr>
            </w:pPr>
            <w:r w:rsidRPr="00AC4095">
              <w:rPr>
                <w:rFonts w:ascii="Calibri" w:hAnsi="Calibri"/>
                <w:sz w:val="20"/>
                <w:szCs w:val="20"/>
              </w:rPr>
              <w:t>0.1%</w:t>
            </w:r>
          </w:p>
        </w:tc>
      </w:tr>
      <w:tr w:rsidR="005D354D" w:rsidRPr="00AC4095" w14:paraId="24C18E30" w14:textId="77777777" w:rsidTr="008A331E">
        <w:trPr>
          <w:trHeight w:val="255"/>
        </w:trPr>
        <w:tc>
          <w:tcPr>
            <w:tcW w:w="4640" w:type="dxa"/>
            <w:noWrap/>
            <w:vAlign w:val="bottom"/>
            <w:hideMark/>
          </w:tcPr>
          <w:p w14:paraId="28CD6D66" w14:textId="1D9F1421" w:rsidR="005D354D" w:rsidRPr="00AC4095" w:rsidRDefault="005D354D" w:rsidP="008A331E">
            <w:pPr>
              <w:rPr>
                <w:sz w:val="20"/>
                <w:szCs w:val="20"/>
              </w:rPr>
            </w:pPr>
            <w:r w:rsidRPr="00AC4095">
              <w:rPr>
                <w:rFonts w:ascii="Calibri" w:hAnsi="Calibri"/>
                <w:sz w:val="20"/>
                <w:szCs w:val="20"/>
              </w:rPr>
              <w:t>INTERFERON BETA-1B+NATALIZUMAB</w:t>
            </w:r>
          </w:p>
        </w:tc>
        <w:tc>
          <w:tcPr>
            <w:tcW w:w="1900" w:type="dxa"/>
            <w:noWrap/>
            <w:vAlign w:val="bottom"/>
            <w:hideMark/>
          </w:tcPr>
          <w:p w14:paraId="6BEAAB7B" w14:textId="31EC26A8" w:rsidR="005D354D" w:rsidRPr="00AC4095" w:rsidRDefault="005D354D" w:rsidP="008A331E">
            <w:pPr>
              <w:jc w:val="center"/>
              <w:rPr>
                <w:sz w:val="20"/>
                <w:szCs w:val="20"/>
              </w:rPr>
            </w:pPr>
            <w:r w:rsidRPr="00AC4095">
              <w:rPr>
                <w:rFonts w:ascii="Calibri" w:hAnsi="Calibri"/>
                <w:sz w:val="20"/>
                <w:szCs w:val="20"/>
              </w:rPr>
              <w:t>0.1%</w:t>
            </w:r>
          </w:p>
        </w:tc>
      </w:tr>
    </w:tbl>
    <w:p w14:paraId="46B12DBD" w14:textId="77777777" w:rsidR="00E50843" w:rsidRPr="00F143D9" w:rsidRDefault="00E50843" w:rsidP="00E50843">
      <w:pPr>
        <w:rPr>
          <w:sz w:val="20"/>
          <w:szCs w:val="20"/>
        </w:rPr>
      </w:pPr>
      <w:r w:rsidRPr="00F143D9">
        <w:rPr>
          <w:sz w:val="20"/>
          <w:szCs w:val="20"/>
        </w:rPr>
        <w:t xml:space="preserve">Note: Based on the RRMS therapy </w:t>
      </w:r>
      <w:r>
        <w:rPr>
          <w:sz w:val="20"/>
          <w:szCs w:val="20"/>
        </w:rPr>
        <w:t xml:space="preserve">estimated drug regimen </w:t>
      </w:r>
      <w:r w:rsidRPr="00F143D9">
        <w:rPr>
          <w:sz w:val="20"/>
          <w:szCs w:val="20"/>
        </w:rPr>
        <w:t>in the week beginning 25 February 2015.</w:t>
      </w:r>
    </w:p>
    <w:p w14:paraId="6D36B820" w14:textId="38D67DCE" w:rsidR="001C23E1" w:rsidRPr="005E22C2" w:rsidRDefault="00E50843" w:rsidP="001C23E1">
      <w:pPr>
        <w:pStyle w:val="Heading4"/>
      </w:pPr>
      <w:r>
        <w:t xml:space="preserve">Discussion </w:t>
      </w:r>
    </w:p>
    <w:p w14:paraId="5C281BCA" w14:textId="20B3735C" w:rsidR="008C528F" w:rsidRPr="001566F9" w:rsidRDefault="00122EA4" w:rsidP="00AD4A14">
      <w:r w:rsidRPr="001566F9">
        <w:t xml:space="preserve">DUSC (June 2013) considered that </w:t>
      </w:r>
      <w:r w:rsidR="00FC3FA3" w:rsidRPr="001566F9">
        <w:t xml:space="preserve">the </w:t>
      </w:r>
      <w:r w:rsidR="00333E7C" w:rsidRPr="001566F9">
        <w:t>number of patients on RRMS therapy would increase mainly from</w:t>
      </w:r>
      <w:r w:rsidR="00301487" w:rsidRPr="001566F9">
        <w:t>:</w:t>
      </w:r>
      <w:r w:rsidR="00333E7C" w:rsidRPr="001566F9">
        <w:t xml:space="preserve"> (1) revisions to the McDonald criteria</w:t>
      </w:r>
      <w:r w:rsidR="00333E7C" w:rsidRPr="00744D64">
        <w:rPr>
          <w:vertAlign w:val="superscript"/>
        </w:rPr>
        <w:footnoteReference w:id="8"/>
      </w:r>
      <w:r w:rsidR="00333E7C" w:rsidRPr="00744D64">
        <w:rPr>
          <w:vertAlign w:val="superscript"/>
        </w:rPr>
        <w:t xml:space="preserve"> </w:t>
      </w:r>
      <w:r w:rsidR="00301487" w:rsidRPr="001566F9">
        <w:t xml:space="preserve">which have simplified the diagnosis of multiple sclerosis which may lead to a greater and earlier diagnosis of the disease; and (2) the availability of </w:t>
      </w:r>
      <w:r w:rsidR="0055069F" w:rsidRPr="001566F9">
        <w:t>further oral treatment options for patients where injectable therapy is unsuitable.</w:t>
      </w:r>
      <w:r w:rsidR="00FC3FA3" w:rsidRPr="001566F9">
        <w:t xml:space="preserve"> </w:t>
      </w:r>
      <w:r w:rsidR="00144FA2" w:rsidRPr="001566F9">
        <w:t>Consistent with this the RRMS market has continued to grow at a steady rate, largely driven by the uptake of fingolimod, dimethyl fumarate and, to a lesser extent, teriflunomide (Figure</w:t>
      </w:r>
      <w:r w:rsidR="009A2A81" w:rsidRPr="001566F9">
        <w:t>s</w:t>
      </w:r>
      <w:r w:rsidR="00144FA2" w:rsidRPr="001566F9">
        <w:t xml:space="preserve"> 1</w:t>
      </w:r>
      <w:r w:rsidR="009A2A81" w:rsidRPr="001566F9">
        <w:t xml:space="preserve"> to 3</w:t>
      </w:r>
      <w:r w:rsidR="00144FA2" w:rsidRPr="001566F9">
        <w:t xml:space="preserve">). </w:t>
      </w:r>
      <w:r w:rsidR="00AA7452" w:rsidRPr="001566F9">
        <w:t>There was also a s</w:t>
      </w:r>
      <w:r w:rsidR="00D270E9" w:rsidRPr="001566F9">
        <w:t>ubstantial negative growth in the use</w:t>
      </w:r>
      <w:r w:rsidR="00874BA0">
        <w:t xml:space="preserve"> of injectable therapy (Table 10</w:t>
      </w:r>
      <w:r w:rsidR="00D270E9" w:rsidRPr="001566F9">
        <w:t>).</w:t>
      </w:r>
    </w:p>
    <w:p w14:paraId="764094E8" w14:textId="4F8FCD42" w:rsidR="00D270E9" w:rsidRPr="001566F9" w:rsidRDefault="000D7A2E" w:rsidP="00AD4A14">
      <w:r w:rsidRPr="001566F9">
        <w:t>A slowing in the growth of fingolimod was observed since the introduction of dimethyl fuma</w:t>
      </w:r>
      <w:r w:rsidR="00874BA0">
        <w:t>rate and teriflunomide (Table 10</w:t>
      </w:r>
      <w:r w:rsidRPr="001566F9">
        <w:t xml:space="preserve">). </w:t>
      </w:r>
      <w:r w:rsidR="00A65870" w:rsidRPr="001566F9">
        <w:t xml:space="preserve">As previously noted by DUSC (June 2013) in its consideration of teriflunomide, the adverse cardiac effects of fingolimod may lead </w:t>
      </w:r>
      <w:r w:rsidR="00A23ACA" w:rsidRPr="001566F9">
        <w:t xml:space="preserve">some </w:t>
      </w:r>
      <w:r w:rsidR="00A65870" w:rsidRPr="001566F9">
        <w:t xml:space="preserve">clinicians to prescribe the alternative oral therapies. </w:t>
      </w:r>
    </w:p>
    <w:p w14:paraId="121C0377" w14:textId="34A654D5" w:rsidR="000D7A2E" w:rsidRDefault="0058350C" w:rsidP="00AD4A14">
      <w:pPr>
        <w:rPr>
          <w:rStyle w:val="IntenseReference"/>
          <w:b w:val="0"/>
          <w:bCs w:val="0"/>
          <w:i w:val="0"/>
          <w:smallCaps w:val="0"/>
          <w:color w:val="000000" w:themeColor="text1"/>
        </w:rPr>
      </w:pPr>
      <w:r>
        <w:rPr>
          <w:rStyle w:val="IntenseReference"/>
          <w:b w:val="0"/>
          <w:bCs w:val="0"/>
          <w:i w:val="0"/>
          <w:smallCaps w:val="0"/>
          <w:color w:val="000000" w:themeColor="text1"/>
        </w:rPr>
        <w:lastRenderedPageBreak/>
        <w:t>The entry of dimethyl fumarate and teriflunomide has appeared to increase the</w:t>
      </w:r>
      <w:r w:rsidR="005F7F41">
        <w:rPr>
          <w:rStyle w:val="IntenseReference"/>
          <w:b w:val="0"/>
          <w:bCs w:val="0"/>
          <w:i w:val="0"/>
          <w:smallCaps w:val="0"/>
          <w:color w:val="000000" w:themeColor="text1"/>
        </w:rPr>
        <w:t xml:space="preserve"> size of</w:t>
      </w:r>
      <w:r>
        <w:rPr>
          <w:rStyle w:val="IntenseReference"/>
          <w:b w:val="0"/>
          <w:bCs w:val="0"/>
          <w:i w:val="0"/>
          <w:smallCaps w:val="0"/>
          <w:color w:val="000000" w:themeColor="text1"/>
        </w:rPr>
        <w:t xml:space="preserve"> overall</w:t>
      </w:r>
      <w:r w:rsidR="005F7F41">
        <w:rPr>
          <w:rStyle w:val="IntenseReference"/>
          <w:b w:val="0"/>
          <w:bCs w:val="0"/>
          <w:i w:val="0"/>
          <w:smallCaps w:val="0"/>
          <w:color w:val="000000" w:themeColor="text1"/>
        </w:rPr>
        <w:t xml:space="preserve"> RRMS</w:t>
      </w:r>
      <w:r>
        <w:rPr>
          <w:rStyle w:val="IntenseReference"/>
          <w:b w:val="0"/>
          <w:bCs w:val="0"/>
          <w:i w:val="0"/>
          <w:smallCaps w:val="0"/>
          <w:color w:val="000000" w:themeColor="text1"/>
        </w:rPr>
        <w:t xml:space="preserve"> market rather than directly substituting for existing therapy, however the effect is small (3%</w:t>
      </w:r>
      <w:r w:rsidR="004555C3">
        <w:rPr>
          <w:rStyle w:val="IntenseReference"/>
          <w:b w:val="0"/>
          <w:bCs w:val="0"/>
          <w:i w:val="0"/>
          <w:smallCaps w:val="0"/>
          <w:color w:val="000000" w:themeColor="text1"/>
        </w:rPr>
        <w:t xml:space="preserve"> change in year-on-year growth)</w:t>
      </w:r>
      <w:r w:rsidR="00874BA0">
        <w:rPr>
          <w:rStyle w:val="IntenseReference"/>
          <w:b w:val="0"/>
          <w:bCs w:val="0"/>
          <w:i w:val="0"/>
          <w:smallCaps w:val="0"/>
          <w:color w:val="000000" w:themeColor="text1"/>
        </w:rPr>
        <w:t xml:space="preserve"> (Table 10</w:t>
      </w:r>
      <w:r>
        <w:rPr>
          <w:rStyle w:val="IntenseReference"/>
          <w:b w:val="0"/>
          <w:bCs w:val="0"/>
          <w:i w:val="0"/>
          <w:smallCaps w:val="0"/>
          <w:color w:val="000000" w:themeColor="text1"/>
        </w:rPr>
        <w:t xml:space="preserve">). This is inferred from an overall growth in the market with a declining </w:t>
      </w:r>
      <w:r w:rsidR="00270D12">
        <w:rPr>
          <w:rStyle w:val="IntenseReference"/>
          <w:b w:val="0"/>
          <w:bCs w:val="0"/>
          <w:i w:val="0"/>
          <w:smallCaps w:val="0"/>
          <w:color w:val="000000" w:themeColor="text1"/>
        </w:rPr>
        <w:t xml:space="preserve">rate of </w:t>
      </w:r>
      <w:r>
        <w:rPr>
          <w:rStyle w:val="IntenseReference"/>
          <w:b w:val="0"/>
          <w:bCs w:val="0"/>
          <w:i w:val="0"/>
          <w:smallCaps w:val="0"/>
          <w:color w:val="000000" w:themeColor="text1"/>
        </w:rPr>
        <w:t>growth in the use of ABCR, natalizumab and fingolimod</w:t>
      </w:r>
      <w:r w:rsidR="00753027">
        <w:rPr>
          <w:rStyle w:val="IntenseReference"/>
          <w:b w:val="0"/>
          <w:bCs w:val="0"/>
          <w:i w:val="0"/>
          <w:smallCaps w:val="0"/>
          <w:color w:val="000000" w:themeColor="text1"/>
        </w:rPr>
        <w:t>.</w:t>
      </w:r>
    </w:p>
    <w:p w14:paraId="0AD9B23A" w14:textId="68E10B45" w:rsidR="00AC0D68" w:rsidRDefault="00EF40F2" w:rsidP="00AD4A14">
      <w:pPr>
        <w:rPr>
          <w:rStyle w:val="IntenseReference"/>
          <w:b w:val="0"/>
          <w:bCs w:val="0"/>
          <w:i w:val="0"/>
          <w:smallCaps w:val="0"/>
          <w:color w:val="000000" w:themeColor="text1"/>
        </w:rPr>
      </w:pPr>
      <w:r>
        <w:rPr>
          <w:rStyle w:val="IntenseReference"/>
          <w:b w:val="0"/>
          <w:bCs w:val="0"/>
          <w:i w:val="0"/>
          <w:smallCaps w:val="0"/>
          <w:color w:val="000000" w:themeColor="text1"/>
        </w:rPr>
        <w:t>During the first year of listing for the new oral therapies the majority of previously untreated patients initiated on dimethyl fum</w:t>
      </w:r>
      <w:r w:rsidRPr="002A0F10">
        <w:rPr>
          <w:rStyle w:val="IntenseReference"/>
          <w:b w:val="0"/>
          <w:bCs w:val="0"/>
          <w:i w:val="0"/>
          <w:smallCaps w:val="0"/>
          <w:color w:val="000000" w:themeColor="text1"/>
        </w:rPr>
        <w:t>arate (</w:t>
      </w:r>
      <w:r w:rsidR="005D4EF1" w:rsidRPr="002A0F10">
        <w:rPr>
          <w:rStyle w:val="IntenseReference"/>
          <w:b w:val="0"/>
          <w:bCs w:val="0"/>
          <w:i w:val="0"/>
          <w:smallCaps w:val="0"/>
          <w:color w:val="000000" w:themeColor="text1"/>
        </w:rPr>
        <w:t>35</w:t>
      </w:r>
      <w:r w:rsidRPr="002A0F10">
        <w:rPr>
          <w:rStyle w:val="IntenseReference"/>
          <w:b w:val="0"/>
          <w:bCs w:val="0"/>
          <w:i w:val="0"/>
          <w:smallCaps w:val="0"/>
          <w:color w:val="000000" w:themeColor="text1"/>
        </w:rPr>
        <w:t xml:space="preserve">%), around one-quarter received fingolimod </w:t>
      </w:r>
      <w:r w:rsidR="00270D12" w:rsidRPr="002A0F10">
        <w:rPr>
          <w:rStyle w:val="IntenseReference"/>
          <w:b w:val="0"/>
          <w:bCs w:val="0"/>
          <w:i w:val="0"/>
          <w:smallCaps w:val="0"/>
          <w:color w:val="000000" w:themeColor="text1"/>
        </w:rPr>
        <w:t xml:space="preserve">and </w:t>
      </w:r>
      <w:r w:rsidR="000707EC" w:rsidRPr="002A0F10">
        <w:rPr>
          <w:rStyle w:val="IntenseReference"/>
          <w:b w:val="0"/>
          <w:bCs w:val="0"/>
          <w:i w:val="0"/>
          <w:smallCaps w:val="0"/>
          <w:color w:val="000000" w:themeColor="text1"/>
        </w:rPr>
        <w:t xml:space="preserve">29% </w:t>
      </w:r>
      <w:r w:rsidRPr="002A0F10">
        <w:rPr>
          <w:rStyle w:val="IntenseReference"/>
          <w:b w:val="0"/>
          <w:bCs w:val="0"/>
          <w:i w:val="0"/>
          <w:smallCaps w:val="0"/>
          <w:color w:val="000000" w:themeColor="text1"/>
        </w:rPr>
        <w:t>initiated</w:t>
      </w:r>
      <w:r w:rsidR="003E74B7">
        <w:rPr>
          <w:rStyle w:val="IntenseReference"/>
          <w:b w:val="0"/>
          <w:bCs w:val="0"/>
          <w:i w:val="0"/>
          <w:smallCaps w:val="0"/>
          <w:color w:val="000000" w:themeColor="text1"/>
        </w:rPr>
        <w:t xml:space="preserve"> on injectable therapy (Table 6</w:t>
      </w:r>
      <w:r>
        <w:rPr>
          <w:rStyle w:val="IntenseReference"/>
          <w:b w:val="0"/>
          <w:bCs w:val="0"/>
          <w:i w:val="0"/>
          <w:smallCaps w:val="0"/>
          <w:color w:val="000000" w:themeColor="text1"/>
        </w:rPr>
        <w:t xml:space="preserve">). </w:t>
      </w:r>
      <w:r w:rsidR="00961BD0">
        <w:rPr>
          <w:rStyle w:val="IntenseReference"/>
          <w:b w:val="0"/>
          <w:bCs w:val="0"/>
          <w:i w:val="0"/>
          <w:smallCaps w:val="0"/>
          <w:color w:val="000000" w:themeColor="text1"/>
        </w:rPr>
        <w:t xml:space="preserve">Similarly for patients switching to a new RRMS therapy or returning from a treatment break longer than 12 months, most were initiated on </w:t>
      </w:r>
      <w:r w:rsidR="00E93156">
        <w:rPr>
          <w:rStyle w:val="IntenseReference"/>
          <w:b w:val="0"/>
          <w:bCs w:val="0"/>
          <w:i w:val="0"/>
          <w:smallCaps w:val="0"/>
          <w:color w:val="000000" w:themeColor="text1"/>
        </w:rPr>
        <w:t>an oral therapy. This</w:t>
      </w:r>
      <w:r>
        <w:rPr>
          <w:rStyle w:val="IntenseReference"/>
          <w:b w:val="0"/>
          <w:bCs w:val="0"/>
          <w:i w:val="0"/>
          <w:smallCaps w:val="0"/>
          <w:color w:val="000000" w:themeColor="text1"/>
        </w:rPr>
        <w:t xml:space="preserve"> is consistent with DUSC’s (June 2013) </w:t>
      </w:r>
      <w:r w:rsidR="00E93156">
        <w:rPr>
          <w:rStyle w:val="IntenseReference"/>
          <w:b w:val="0"/>
          <w:bCs w:val="0"/>
          <w:i w:val="0"/>
          <w:smallCaps w:val="0"/>
          <w:color w:val="000000" w:themeColor="text1"/>
        </w:rPr>
        <w:t xml:space="preserve">previous </w:t>
      </w:r>
      <w:r>
        <w:rPr>
          <w:rStyle w:val="IntenseReference"/>
          <w:b w:val="0"/>
          <w:bCs w:val="0"/>
          <w:i w:val="0"/>
          <w:smallCaps w:val="0"/>
          <w:color w:val="000000" w:themeColor="text1"/>
        </w:rPr>
        <w:t xml:space="preserve">view that around 50% of the RRMS market </w:t>
      </w:r>
      <w:r w:rsidR="00514167">
        <w:rPr>
          <w:rStyle w:val="IntenseReference"/>
          <w:b w:val="0"/>
          <w:bCs w:val="0"/>
          <w:i w:val="0"/>
          <w:smallCaps w:val="0"/>
          <w:color w:val="000000" w:themeColor="text1"/>
        </w:rPr>
        <w:t>could</w:t>
      </w:r>
      <w:r>
        <w:rPr>
          <w:rStyle w:val="IntenseReference"/>
          <w:b w:val="0"/>
          <w:bCs w:val="0"/>
          <w:i w:val="0"/>
          <w:smallCaps w:val="0"/>
          <w:color w:val="000000" w:themeColor="text1"/>
        </w:rPr>
        <w:t xml:space="preserve"> be oral therapy within five years of the listing of dimet</w:t>
      </w:r>
      <w:r w:rsidR="007F628C">
        <w:rPr>
          <w:rStyle w:val="IntenseReference"/>
          <w:b w:val="0"/>
          <w:bCs w:val="0"/>
          <w:i w:val="0"/>
          <w:smallCaps w:val="0"/>
          <w:color w:val="000000" w:themeColor="text1"/>
        </w:rPr>
        <w:t>hyl fumarate and teriflunomide.</w:t>
      </w:r>
    </w:p>
    <w:p w14:paraId="3F747C1C" w14:textId="75E504CA" w:rsidR="00BC1566" w:rsidRDefault="00AF4A9D" w:rsidP="002F3DF2">
      <w:r>
        <w:t xml:space="preserve">The uptake of dimethyl fumarate was substantially more than </w:t>
      </w:r>
      <w:r w:rsidR="004F587F">
        <w:t>teriflunomide</w:t>
      </w:r>
      <w:r w:rsidR="00CF0E18">
        <w:t xml:space="preserve"> (Figure </w:t>
      </w:r>
      <w:r>
        <w:t>3</w:t>
      </w:r>
      <w:r w:rsidR="00CF0E18">
        <w:t>). A review of therapy for multiple sclerosis published in the Medical Journal of Australia (</w:t>
      </w:r>
      <w:r w:rsidR="00DA74ED">
        <w:t>Broadly</w:t>
      </w:r>
      <w:r w:rsidR="00C734B8">
        <w:t xml:space="preserve"> </w:t>
      </w:r>
      <w:r w:rsidR="00CC10DA">
        <w:t>et al., 2015)</w:t>
      </w:r>
      <w:r w:rsidR="00995B90">
        <w:t xml:space="preserve"> suggested</w:t>
      </w:r>
      <w:r w:rsidR="00DA74ED">
        <w:t xml:space="preserve"> that there could be a preference among clinicians for dimethyl fumarate as teriflunomide was considered</w:t>
      </w:r>
      <w:r w:rsidR="00CF0E18">
        <w:t xml:space="preserve"> </w:t>
      </w:r>
      <w:r w:rsidR="00DA74ED">
        <w:t xml:space="preserve">to have </w:t>
      </w:r>
      <w:r w:rsidR="00CF0E18">
        <w:t>less efficacy</w:t>
      </w:r>
      <w:r w:rsidR="004F587F">
        <w:t>. There are varying results of post hoc analyses reported in the literature comparing the efficacy of dimethyl fumarate versus teriflunomide</w:t>
      </w:r>
      <w:r w:rsidR="0028673A">
        <w:t xml:space="preserve">. For example, on the basis of indirect comparison Hutchinson et al. (2014) found </w:t>
      </w:r>
      <w:r w:rsidR="00D14616">
        <w:t>that</w:t>
      </w:r>
      <w:r w:rsidR="004F587F">
        <w:t xml:space="preserve"> </w:t>
      </w:r>
      <w:r w:rsidR="00491BF5">
        <w:t>dimethy</w:t>
      </w:r>
      <w:r w:rsidR="0028673A">
        <w:t>l fumarate achieved</w:t>
      </w:r>
      <w:r w:rsidR="00491BF5">
        <w:t xml:space="preserve"> a significantly greater reduction in the annualised relapse rate </w:t>
      </w:r>
      <w:r w:rsidR="0028673A">
        <w:t xml:space="preserve">(ARR) </w:t>
      </w:r>
      <w:r w:rsidR="00491BF5">
        <w:t xml:space="preserve">compared to the 14 mg strength of teriflunomide. </w:t>
      </w:r>
      <w:r w:rsidR="0028673A">
        <w:t>However Freedman et al</w:t>
      </w:r>
      <w:r w:rsidR="004E79C6">
        <w:t>.</w:t>
      </w:r>
      <w:r w:rsidR="0028673A">
        <w:t xml:space="preserve"> (2014) reported comparable effect sizes </w:t>
      </w:r>
      <w:r w:rsidR="00273D91">
        <w:t xml:space="preserve">for </w:t>
      </w:r>
      <w:r w:rsidR="0028673A">
        <w:t>dimethyl fumarate 240 mg and teriflunomide 14 mg on relapse</w:t>
      </w:r>
      <w:r w:rsidR="00A07F6B">
        <w:t xml:space="preserve"> based on the number needed to treat</w:t>
      </w:r>
      <w:r w:rsidR="0028673A">
        <w:t xml:space="preserve">. </w:t>
      </w:r>
      <w:r w:rsidR="001272B8">
        <w:t>The interpretation of the available evidence is difficult as the results are subject to bias from</w:t>
      </w:r>
      <w:r w:rsidR="000D7CCC">
        <w:t xml:space="preserve"> the</w:t>
      </w:r>
      <w:r w:rsidR="001272B8">
        <w:t xml:space="preserve"> </w:t>
      </w:r>
      <w:r w:rsidR="00491BF5">
        <w:t>indirect nature of the analyses and the potential impact of heteroge</w:t>
      </w:r>
      <w:r w:rsidR="00686A05">
        <w:t xml:space="preserve">neity among the included trials, such as </w:t>
      </w:r>
      <w:r w:rsidR="00491BF5" w:rsidRPr="00491BF5">
        <w:t xml:space="preserve">differences in disease severity and </w:t>
      </w:r>
      <w:r w:rsidR="001763EB">
        <w:t>event rates</w:t>
      </w:r>
      <w:r w:rsidR="001272B8">
        <w:t>.</w:t>
      </w:r>
      <w:r w:rsidR="001763EB">
        <w:t xml:space="preserve">  </w:t>
      </w:r>
    </w:p>
    <w:p w14:paraId="53FF2AE0" w14:textId="637684BE" w:rsidR="00D94C71" w:rsidRDefault="00D94C71" w:rsidP="002F3DF2">
      <w:r>
        <w:t xml:space="preserve">DUSC (June 2013) previously observed that </w:t>
      </w:r>
      <w:r w:rsidR="00DD5042">
        <w:t xml:space="preserve">patients may persist for longer on </w:t>
      </w:r>
      <w:r>
        <w:t>oral compared to injectable</w:t>
      </w:r>
      <w:r w:rsidR="00DD5042">
        <w:t xml:space="preserve"> therapy</w:t>
      </w:r>
      <w:r w:rsidR="00835579">
        <w:t xml:space="preserve"> given the adverse effects and more complicated dosing regimens required with injectable therapy</w:t>
      </w:r>
      <w:r w:rsidR="00DD5042">
        <w:t xml:space="preserve">. </w:t>
      </w:r>
      <w:r w:rsidR="00093BC5">
        <w:rPr>
          <w:rStyle w:val="IntenseReference"/>
          <w:b w:val="0"/>
          <w:bCs w:val="0"/>
          <w:i w:val="0"/>
          <w:smallCaps w:val="0"/>
          <w:color w:val="000000" w:themeColor="text1"/>
        </w:rPr>
        <w:t xml:space="preserve">As previously recommended by the DUSC, the look-back period for the length of treatment analyses was extended to January 2002 to allow for the long periods of stability between attacks and treatment breaks which can occur with the </w:t>
      </w:r>
      <w:r w:rsidR="00505BC6">
        <w:rPr>
          <w:rStyle w:val="IntenseReference"/>
          <w:b w:val="0"/>
          <w:bCs w:val="0"/>
          <w:i w:val="0"/>
          <w:smallCaps w:val="0"/>
          <w:color w:val="000000" w:themeColor="text1"/>
        </w:rPr>
        <w:t>multiple sclerosis</w:t>
      </w:r>
      <w:r w:rsidR="00093BC5">
        <w:rPr>
          <w:rStyle w:val="IntenseReference"/>
          <w:b w:val="0"/>
          <w:bCs w:val="0"/>
          <w:i w:val="0"/>
          <w:smallCaps w:val="0"/>
          <w:color w:val="000000" w:themeColor="text1"/>
        </w:rPr>
        <w:t>.</w:t>
      </w:r>
      <w:r w:rsidR="00505BC6">
        <w:rPr>
          <w:rStyle w:val="IntenseReference"/>
          <w:b w:val="0"/>
          <w:bCs w:val="0"/>
          <w:i w:val="0"/>
          <w:smallCaps w:val="0"/>
          <w:color w:val="000000" w:themeColor="text1"/>
        </w:rPr>
        <w:t xml:space="preserve"> </w:t>
      </w:r>
      <w:r w:rsidR="00153C6F">
        <w:rPr>
          <w:rStyle w:val="IntenseReference"/>
          <w:b w:val="0"/>
          <w:bCs w:val="0"/>
          <w:i w:val="0"/>
          <w:smallCaps w:val="0"/>
          <w:color w:val="000000" w:themeColor="text1"/>
        </w:rPr>
        <w:t xml:space="preserve">However, </w:t>
      </w:r>
      <w:r w:rsidR="00153C6F">
        <w:t>this</w:t>
      </w:r>
      <w:r w:rsidR="00CB3CCF">
        <w:t xml:space="preserve"> analysis was unable to confirm whether there was a significant difference in the treatment durations between oral therapy, ABCR and natalizumab. Fingolimod had not reached a median treatment time by the data cut</w:t>
      </w:r>
      <w:r w:rsidR="00CB617A">
        <w:t>-</w:t>
      </w:r>
      <w:r w:rsidR="00CB3CCF">
        <w:t xml:space="preserve">off date for this reporting (31 March 2015) and there was insufficient data to undertake an analysis of the treatment times for dimethyl fumarate and teriflunomide. The Kaplan-Meier results presented in Figure 4 suggest that patients may persist longer on fingolimod compared to ABCR and natalizumab. </w:t>
      </w:r>
    </w:p>
    <w:p w14:paraId="54F2E0DA" w14:textId="62319490" w:rsidR="00BE73CD" w:rsidRDefault="008910EB" w:rsidP="00CC39FC">
      <w:r>
        <w:t>The previous predicted versus actual analysis of fingolimod conducted in 2013 identified the possible co-administration of this agent with other RRMS therapy. DUSC (June 2013) considered that this finding could reflect the co-supply of drug around the point of transition to a new therapy rather than a persistent co-administration of therapy.</w:t>
      </w:r>
      <w:r w:rsidR="008A331E">
        <w:t xml:space="preserve"> </w:t>
      </w:r>
      <w:r w:rsidR="00485829">
        <w:t xml:space="preserve">Patients initiating to ABCR therapy, natalizumab and fingolimod between March to August 2014, </w:t>
      </w:r>
      <w:r w:rsidR="00485829">
        <w:lastRenderedPageBreak/>
        <w:t xml:space="preserve">with a look-back period to January 2002 to identify no previous use of RRMS therapy, were followed up to 31 March 2015. The instances of potential coadministration for these RRMS therapies was negligible (&lt;1%, see Tables </w:t>
      </w:r>
      <w:r w:rsidR="00342495">
        <w:t>16</w:t>
      </w:r>
      <w:r w:rsidR="00EF7986">
        <w:t xml:space="preserve"> </w:t>
      </w:r>
      <w:r w:rsidR="00485829">
        <w:t>to 2</w:t>
      </w:r>
      <w:r w:rsidR="00342495">
        <w:t>0</w:t>
      </w:r>
      <w:r w:rsidR="00485829">
        <w:t xml:space="preserve">). </w:t>
      </w:r>
      <w:r>
        <w:t xml:space="preserve"> </w:t>
      </w:r>
    </w:p>
    <w:p w14:paraId="09425AC9" w14:textId="1A9BEFFF" w:rsidR="00130527" w:rsidRDefault="00130527" w:rsidP="00C70248">
      <w:pPr>
        <w:pStyle w:val="Heading4"/>
      </w:pPr>
      <w:r>
        <w:t>DUSC consideration</w:t>
      </w:r>
    </w:p>
    <w:p w14:paraId="5EB9E729" w14:textId="77777777" w:rsidR="00130527" w:rsidRPr="00130527" w:rsidRDefault="00130527" w:rsidP="00130527">
      <w:pPr>
        <w:rPr>
          <w:rFonts w:eastAsia="MS Mincho"/>
          <w:bCs/>
        </w:rPr>
      </w:pPr>
      <w:r w:rsidRPr="00130527">
        <w:rPr>
          <w:rFonts w:eastAsia="MS Mincho"/>
          <w:bCs/>
        </w:rPr>
        <w:t xml:space="preserve">DUSC noted that the usage of RRMS therapy had increased with the availability of oral therapy. DUSC considered that this indicated a greater willingness of patients to receive treatment with the oral medicines; as such the utilisation of RRMS therapy appeared to be appropriate. DUSC noted the response to the report from MS Australia which considered that the rise in prevalent patients since the introduction of oral medicines </w:t>
      </w:r>
      <w:r w:rsidRPr="00130527">
        <w:rPr>
          <w:rFonts w:eastAsia="MS Mincho"/>
        </w:rPr>
        <w:t>indicated that there was a significant unmet need for these treatments. MS Australia also considered that the longer persistence on oral medicines was likely to improve treatment outcomes.</w:t>
      </w:r>
    </w:p>
    <w:p w14:paraId="3C5E564C" w14:textId="77777777" w:rsidR="00130527" w:rsidRPr="00130527" w:rsidRDefault="00130527" w:rsidP="00130527">
      <w:pPr>
        <w:rPr>
          <w:rFonts w:eastAsia="MS Mincho"/>
          <w:bCs/>
        </w:rPr>
      </w:pPr>
      <w:r w:rsidRPr="00130527">
        <w:rPr>
          <w:rFonts w:eastAsia="MS Mincho"/>
          <w:bCs/>
        </w:rPr>
        <w:t xml:space="preserve">DUSC noted that it was unknown whether better patient outcomes were being realised from the greater utilisation of RRMS therapy since the introduction of oral medicines. </w:t>
      </w:r>
    </w:p>
    <w:p w14:paraId="3E706025" w14:textId="77777777" w:rsidR="00130527" w:rsidRPr="00130527" w:rsidRDefault="00130527" w:rsidP="00130527">
      <w:pPr>
        <w:rPr>
          <w:rFonts w:eastAsia="MS Mincho"/>
          <w:bCs/>
        </w:rPr>
      </w:pPr>
      <w:r w:rsidRPr="00130527">
        <w:rPr>
          <w:rFonts w:eastAsia="MS Mincho"/>
          <w:bCs/>
        </w:rPr>
        <w:t>DUSC suggested undertaking an analysis on whether the availability of oral RRMS therapy has improved access to treatment for patients in regional and remote areas.</w:t>
      </w:r>
    </w:p>
    <w:p w14:paraId="6B52BE9C" w14:textId="28CD2ABE" w:rsidR="00130527" w:rsidRDefault="00130527" w:rsidP="00130527">
      <w:pPr>
        <w:rPr>
          <w:rFonts w:eastAsia="MS Mincho"/>
          <w:bCs/>
        </w:rPr>
      </w:pPr>
      <w:r w:rsidRPr="00130527">
        <w:rPr>
          <w:rFonts w:eastAsia="MS Mincho"/>
          <w:bCs/>
        </w:rPr>
        <w:t xml:space="preserve">DUSC noted that the number of cases of potential co-administration among the RRMS therapies included in the analysis was negligible. DUSC suggested that when more mature data are available for alemtuzumab that its potential use in combination with other RRMS medicines is assessed. </w:t>
      </w:r>
    </w:p>
    <w:p w14:paraId="63D95867" w14:textId="44628396" w:rsidR="00602115" w:rsidRDefault="00602115" w:rsidP="00602115">
      <w:pPr>
        <w:pStyle w:val="Heading4"/>
      </w:pPr>
      <w:r>
        <w:t>DUSC actions</w:t>
      </w:r>
    </w:p>
    <w:p w14:paraId="57FC709D" w14:textId="7BACF7AB" w:rsidR="00602115" w:rsidRPr="00D12C75" w:rsidRDefault="00602115" w:rsidP="00D12C75">
      <w:pPr>
        <w:pStyle w:val="PBACBullets"/>
        <w:numPr>
          <w:ilvl w:val="0"/>
          <w:numId w:val="0"/>
        </w:numPr>
        <w:spacing w:before="0" w:after="0"/>
        <w:ind w:left="357" w:hanging="357"/>
      </w:pPr>
      <w:r w:rsidRPr="00602115">
        <w:t>The DUSC requested that the report be provided to the PBAC for information</w:t>
      </w:r>
      <w:r w:rsidR="00D12C75">
        <w:t xml:space="preserve">. </w:t>
      </w:r>
    </w:p>
    <w:p w14:paraId="65FBF640" w14:textId="77777777" w:rsidR="00D12C75" w:rsidRDefault="00D12C75" w:rsidP="00D12C75">
      <w:pPr>
        <w:pStyle w:val="Heading4"/>
      </w:pPr>
      <w:r w:rsidRPr="0092516A">
        <w:t>Context for analysis</w:t>
      </w:r>
    </w:p>
    <w:p w14:paraId="0E22D217" w14:textId="77777777" w:rsidR="00D12C75" w:rsidRDefault="00D12C75" w:rsidP="00D12C75">
      <w:r>
        <w:t>The DUSC is a Sub Committee of the Pharmaceutical Benefits Advisory Committee (PBAC). The DUSC assesses estimates on projected usage and financial cost of medicines.</w:t>
      </w:r>
    </w:p>
    <w:p w14:paraId="68E271DA" w14:textId="77777777" w:rsidR="00D12C75" w:rsidRDefault="00D12C75" w:rsidP="00D12C75">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5236AC8F" w14:textId="77777777" w:rsidR="00D12C75" w:rsidRDefault="00D12C75" w:rsidP="00D12C75">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1686C72A" w14:textId="77777777" w:rsidR="00D12C75" w:rsidRDefault="00D12C75" w:rsidP="00D12C75">
      <w:r>
        <w:t>The utilisation analysis report was provided to the pharmaceutical sponsors of each drug and comments on the report were provided to DUSC prior to its consideration of the analysis.</w:t>
      </w:r>
    </w:p>
    <w:p w14:paraId="4B93483C" w14:textId="77777777" w:rsidR="00D12C75" w:rsidRDefault="00D12C75" w:rsidP="00D12C75">
      <w:pPr>
        <w:pStyle w:val="Heading4"/>
      </w:pPr>
      <w:r>
        <w:lastRenderedPageBreak/>
        <w:t>Sponsor</w:t>
      </w:r>
      <w:r w:rsidRPr="0092516A">
        <w:t>s</w:t>
      </w:r>
      <w:r>
        <w:t>’</w:t>
      </w:r>
      <w:r w:rsidRPr="0092516A">
        <w:t xml:space="preserve"> comments</w:t>
      </w:r>
    </w:p>
    <w:p w14:paraId="5802AB91" w14:textId="28FD8AFF" w:rsidR="005922FB" w:rsidRDefault="005922FB" w:rsidP="005922FB">
      <w:r w:rsidRPr="005922FB">
        <w:t>Bayer Australia Pty Ltd</w:t>
      </w:r>
      <w:r w:rsidR="008A4FD8">
        <w:t>:</w:t>
      </w:r>
    </w:p>
    <w:p w14:paraId="522322DE" w14:textId="7E0DC3E3" w:rsidR="008A4FD8" w:rsidRDefault="008A4FD8" w:rsidP="005922FB">
      <w:r>
        <w:rPr>
          <w:sz w:val="22"/>
        </w:rPr>
        <w:t>The sponsor has no comment.</w:t>
      </w:r>
    </w:p>
    <w:p w14:paraId="2469B995" w14:textId="1FE5BCCD" w:rsidR="005922FB" w:rsidRDefault="005922FB" w:rsidP="005922FB">
      <w:r w:rsidRPr="005922FB">
        <w:t>Biogen Idec Australia Pty Ltd</w:t>
      </w:r>
      <w:r>
        <w:t>:</w:t>
      </w:r>
    </w:p>
    <w:p w14:paraId="4B88BE8B" w14:textId="146FD99C" w:rsidR="005922FB" w:rsidRDefault="008A4FD8" w:rsidP="005922FB">
      <w:r>
        <w:rPr>
          <w:sz w:val="22"/>
        </w:rPr>
        <w:t>The sponsor has no comment.</w:t>
      </w:r>
    </w:p>
    <w:p w14:paraId="07014094" w14:textId="59A79767" w:rsidR="005922FB" w:rsidRDefault="005922FB" w:rsidP="005922FB">
      <w:r w:rsidRPr="005922FB">
        <w:t>Merck Serono Australia Pty Ltd</w:t>
      </w:r>
      <w:r w:rsidR="008A4FD8">
        <w:t>:</w:t>
      </w:r>
    </w:p>
    <w:p w14:paraId="0D684348" w14:textId="77777777" w:rsidR="008A4FD8" w:rsidRPr="00D273F2" w:rsidRDefault="008A4FD8" w:rsidP="008A4FD8">
      <w:r>
        <w:rPr>
          <w:sz w:val="22"/>
        </w:rPr>
        <w:t>The sponsor has no comment.</w:t>
      </w:r>
    </w:p>
    <w:p w14:paraId="70E30124" w14:textId="77777777" w:rsidR="005922FB" w:rsidRDefault="005922FB" w:rsidP="005922FB">
      <w:r w:rsidRPr="00D273F2">
        <w:t>Novartis Pharmaceuticals Australia Pty Limited</w:t>
      </w:r>
      <w:r>
        <w:t>:</w:t>
      </w:r>
    </w:p>
    <w:p w14:paraId="4FAFC01B" w14:textId="77777777" w:rsidR="005922FB" w:rsidRPr="00D273F2" w:rsidRDefault="005922FB" w:rsidP="005922FB">
      <w:r>
        <w:rPr>
          <w:sz w:val="22"/>
        </w:rPr>
        <w:t>The sponsor has no comment.</w:t>
      </w:r>
    </w:p>
    <w:p w14:paraId="2DA6BCDB" w14:textId="6C7AFD6D" w:rsidR="005922FB" w:rsidRDefault="005922FB" w:rsidP="00034485">
      <w:r w:rsidRPr="005922FB">
        <w:t>sanofi-aventis Australia Pty Ltd</w:t>
      </w:r>
      <w:r w:rsidR="008A4FD8">
        <w:t>:</w:t>
      </w:r>
    </w:p>
    <w:p w14:paraId="455934E9" w14:textId="77777777" w:rsidR="008A4FD8" w:rsidRPr="00D273F2" w:rsidRDefault="008A4FD8" w:rsidP="008A4FD8">
      <w:r>
        <w:rPr>
          <w:sz w:val="22"/>
        </w:rPr>
        <w:t>The sponsor has no comment.</w:t>
      </w:r>
    </w:p>
    <w:p w14:paraId="70A7EDF4" w14:textId="2BEB7B23" w:rsidR="005922FB" w:rsidRDefault="005922FB" w:rsidP="00034485">
      <w:r w:rsidRPr="005922FB">
        <w:t>Teva Pharma Australia Pty Ltd</w:t>
      </w:r>
      <w:r w:rsidR="008A4FD8">
        <w:t>:</w:t>
      </w:r>
    </w:p>
    <w:p w14:paraId="03DFACBC" w14:textId="77777777" w:rsidR="008A4FD8" w:rsidRPr="00D273F2" w:rsidRDefault="008A4FD8" w:rsidP="008A4FD8">
      <w:r>
        <w:rPr>
          <w:sz w:val="22"/>
        </w:rPr>
        <w:t>The sponsor has no comment.</w:t>
      </w:r>
    </w:p>
    <w:p w14:paraId="10AB3940" w14:textId="77777777" w:rsidR="00F12BBD" w:rsidRDefault="00F12BBD" w:rsidP="00F12BBD">
      <w:pPr>
        <w:pStyle w:val="Heading4"/>
      </w:pPr>
      <w:r w:rsidRPr="00A4020E">
        <w:t>Disclaimer</w:t>
      </w:r>
    </w:p>
    <w:p w14:paraId="13C005DF" w14:textId="77777777" w:rsidR="00F12BBD" w:rsidRDefault="00F12BBD" w:rsidP="00F12BBD">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48AE09A3" w14:textId="77777777" w:rsidR="00F12BBD" w:rsidRDefault="00F12BBD" w:rsidP="00F12BBD">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57B492F2" w14:textId="77777777" w:rsidR="00F12BBD" w:rsidRDefault="00F12BBD" w:rsidP="00F12BBD">
      <w:r>
        <w:t xml:space="preserve">To the extent provided by law, DoH makes no warranties or representations as to accuracy or completeness of information contained in this report. </w:t>
      </w:r>
    </w:p>
    <w:p w14:paraId="45763ADC" w14:textId="77777777" w:rsidR="00F12BBD" w:rsidRDefault="00F12BBD" w:rsidP="00F12BBD">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24EBE676" w14:textId="08F504F4" w:rsidR="00F71022" w:rsidRDefault="00F71022">
      <w:pPr>
        <w:spacing w:line="276" w:lineRule="auto"/>
      </w:pPr>
      <w:r>
        <w:br w:type="page"/>
      </w:r>
    </w:p>
    <w:p w14:paraId="35AA6988" w14:textId="78B246BD" w:rsidR="004B306F" w:rsidRDefault="004B306F" w:rsidP="00B30D85">
      <w:pPr>
        <w:pStyle w:val="Heading4"/>
      </w:pPr>
      <w:r>
        <w:lastRenderedPageBreak/>
        <w:t>References</w:t>
      </w:r>
    </w:p>
    <w:p w14:paraId="0C5F3964" w14:textId="496C7BA3" w:rsidR="00B90E0B" w:rsidRDefault="00B90E0B" w:rsidP="00F22E3E">
      <w:pPr>
        <w:spacing w:before="120" w:after="120" w:line="276" w:lineRule="auto"/>
        <w:rPr>
          <w:rFonts w:eastAsia="Calibri" w:cs="Arial"/>
          <w:szCs w:val="20"/>
        </w:rPr>
      </w:pPr>
      <w:r>
        <w:t xml:space="preserve">Broadly, S.A., Barnett, M.H., Boggild, M. et al. </w:t>
      </w:r>
      <w:r w:rsidR="003A1666">
        <w:t>(2015)</w:t>
      </w:r>
      <w:r>
        <w:t xml:space="preserve"> A new era in the treatment of multiple sclerosis. Medical Journal of Australia 203(3): 139-141.</w:t>
      </w:r>
    </w:p>
    <w:p w14:paraId="7EC11D6E" w14:textId="66F3F50B" w:rsidR="004738D4" w:rsidRDefault="004738D4" w:rsidP="00F22E3E">
      <w:pPr>
        <w:spacing w:before="120" w:after="120" w:line="276" w:lineRule="auto"/>
        <w:rPr>
          <w:rFonts w:eastAsia="Calibri" w:cs="Arial"/>
          <w:szCs w:val="20"/>
        </w:rPr>
      </w:pPr>
      <w:r w:rsidRPr="004738D4">
        <w:rPr>
          <w:rFonts w:eastAsia="Calibri" w:cs="Arial"/>
          <w:szCs w:val="20"/>
        </w:rPr>
        <w:t xml:space="preserve">Cohen et al. </w:t>
      </w:r>
      <w:r w:rsidR="003A1666">
        <w:rPr>
          <w:rFonts w:eastAsia="Calibri" w:cs="Arial"/>
          <w:szCs w:val="20"/>
        </w:rPr>
        <w:t>(2010)</w:t>
      </w:r>
      <w:r w:rsidRPr="004738D4">
        <w:rPr>
          <w:rFonts w:eastAsia="Calibri" w:cs="Arial"/>
          <w:szCs w:val="20"/>
        </w:rPr>
        <w:t xml:space="preserve"> Oral fingolimod or intramuscular interferon for relapsing multiple sclerosis, New England Journal of Medicine 2010; 362(5): 402–415.</w:t>
      </w:r>
    </w:p>
    <w:p w14:paraId="14A5A3C3" w14:textId="31882A5C" w:rsidR="00194DC2" w:rsidRPr="00194DC2" w:rsidRDefault="009F768D" w:rsidP="00F22E3E">
      <w:pPr>
        <w:shd w:val="clear" w:color="auto" w:fill="FFFFFF"/>
        <w:spacing w:before="120" w:after="120"/>
        <w:outlineLvl w:val="0"/>
        <w:rPr>
          <w:rFonts w:ascii="Arial" w:hAnsi="Arial" w:cs="Arial"/>
          <w:b/>
          <w:bCs/>
          <w:color w:val="000000"/>
          <w:kern w:val="36"/>
          <w:sz w:val="28"/>
          <w:szCs w:val="28"/>
        </w:rPr>
      </w:pPr>
      <w:hyperlink r:id="rId15" w:history="1">
        <w:r w:rsidR="00194DC2" w:rsidRPr="003F1B44">
          <w:rPr>
            <w:rFonts w:eastAsia="Calibri" w:cs="Arial"/>
            <w:szCs w:val="20"/>
          </w:rPr>
          <w:t>Hutchinson</w:t>
        </w:r>
        <w:r w:rsidR="00194DC2">
          <w:rPr>
            <w:rFonts w:eastAsia="Calibri" w:cs="Arial"/>
            <w:szCs w:val="20"/>
          </w:rPr>
          <w:t>,</w:t>
        </w:r>
        <w:r w:rsidR="00194DC2" w:rsidRPr="003F1B44">
          <w:rPr>
            <w:rFonts w:eastAsia="Calibri" w:cs="Arial"/>
            <w:szCs w:val="20"/>
          </w:rPr>
          <w:t xml:space="preserve"> M</w:t>
        </w:r>
      </w:hyperlink>
      <w:r w:rsidR="00194DC2">
        <w:rPr>
          <w:rFonts w:eastAsia="Calibri" w:cs="Arial"/>
          <w:szCs w:val="20"/>
        </w:rPr>
        <w:t>.</w:t>
      </w:r>
      <w:r w:rsidR="00194DC2" w:rsidRPr="003F1B44">
        <w:rPr>
          <w:rFonts w:eastAsia="Calibri" w:cs="Arial"/>
          <w:szCs w:val="20"/>
        </w:rPr>
        <w:t xml:space="preserve">, </w:t>
      </w:r>
      <w:hyperlink r:id="rId16" w:history="1">
        <w:r w:rsidR="00194DC2" w:rsidRPr="003F1B44">
          <w:rPr>
            <w:rFonts w:eastAsia="Calibri" w:cs="Arial"/>
            <w:szCs w:val="20"/>
          </w:rPr>
          <w:t>Fox R</w:t>
        </w:r>
        <w:r w:rsidR="00194DC2">
          <w:rPr>
            <w:rFonts w:eastAsia="Calibri" w:cs="Arial"/>
            <w:szCs w:val="20"/>
          </w:rPr>
          <w:t>.</w:t>
        </w:r>
        <w:r w:rsidR="00194DC2" w:rsidRPr="003F1B44">
          <w:rPr>
            <w:rFonts w:eastAsia="Calibri" w:cs="Arial"/>
            <w:szCs w:val="20"/>
          </w:rPr>
          <w:t>J</w:t>
        </w:r>
      </w:hyperlink>
      <w:r w:rsidR="00194DC2">
        <w:rPr>
          <w:rFonts w:eastAsia="Calibri" w:cs="Arial"/>
          <w:szCs w:val="20"/>
        </w:rPr>
        <w:t>.</w:t>
      </w:r>
      <w:r w:rsidR="00194DC2" w:rsidRPr="003F1B44">
        <w:rPr>
          <w:rFonts w:eastAsia="Calibri" w:cs="Arial"/>
          <w:szCs w:val="20"/>
        </w:rPr>
        <w:t xml:space="preserve">, </w:t>
      </w:r>
      <w:hyperlink r:id="rId17" w:history="1">
        <w:r w:rsidR="00194DC2" w:rsidRPr="003F1B44">
          <w:rPr>
            <w:rFonts w:eastAsia="Calibri" w:cs="Arial"/>
            <w:szCs w:val="20"/>
          </w:rPr>
          <w:t>Havrdova</w:t>
        </w:r>
        <w:r w:rsidR="00194DC2">
          <w:rPr>
            <w:rFonts w:eastAsia="Calibri" w:cs="Arial"/>
            <w:szCs w:val="20"/>
          </w:rPr>
          <w:t>,</w:t>
        </w:r>
        <w:r w:rsidR="00194DC2" w:rsidRPr="003F1B44">
          <w:rPr>
            <w:rFonts w:eastAsia="Calibri" w:cs="Arial"/>
            <w:szCs w:val="20"/>
          </w:rPr>
          <w:t xml:space="preserve"> E</w:t>
        </w:r>
      </w:hyperlink>
      <w:r w:rsidR="00194DC2">
        <w:rPr>
          <w:rFonts w:eastAsia="Calibri" w:cs="Arial"/>
          <w:szCs w:val="20"/>
        </w:rPr>
        <w:t xml:space="preserve">. (2014) </w:t>
      </w:r>
      <w:r w:rsidR="00194DC2" w:rsidRPr="003F1B44">
        <w:rPr>
          <w:rFonts w:eastAsia="Calibri" w:cs="Arial"/>
          <w:szCs w:val="20"/>
        </w:rPr>
        <w:t>Efficacy and safety of BG-12 (dimethyl fumarate) and other disease-modifying therapies for the treatment of relapsing-remitting multiple sclerosis: a systematic review and mixed treatment comparison.</w:t>
      </w:r>
      <w:r w:rsidR="00194DC2">
        <w:rPr>
          <w:rFonts w:eastAsia="Calibri" w:cs="Arial"/>
          <w:szCs w:val="20"/>
        </w:rPr>
        <w:t xml:space="preserve"> </w:t>
      </w:r>
      <w:hyperlink r:id="rId18" w:tooltip="Current medical research and opinion." w:history="1">
        <w:r w:rsidR="00194DC2" w:rsidRPr="003F1B44">
          <w:rPr>
            <w:rFonts w:eastAsia="Calibri" w:cs="Arial"/>
            <w:szCs w:val="20"/>
          </w:rPr>
          <w:t>Curr Med Res Opin.</w:t>
        </w:r>
      </w:hyperlink>
      <w:r w:rsidR="00194DC2" w:rsidRPr="003F1B44">
        <w:rPr>
          <w:rFonts w:eastAsia="Calibri" w:cs="Arial"/>
          <w:szCs w:val="20"/>
        </w:rPr>
        <w:t xml:space="preserve"> 30(4):613-27.</w:t>
      </w:r>
    </w:p>
    <w:p w14:paraId="5F7CC589" w14:textId="1C223241" w:rsidR="004738D4" w:rsidRPr="004738D4" w:rsidRDefault="004738D4" w:rsidP="00F22E3E">
      <w:pPr>
        <w:spacing w:before="120" w:after="120" w:line="276" w:lineRule="auto"/>
        <w:rPr>
          <w:rFonts w:eastAsia="Calibri" w:cs="Arial"/>
          <w:szCs w:val="20"/>
        </w:rPr>
      </w:pPr>
      <w:r w:rsidRPr="004738D4">
        <w:rPr>
          <w:rFonts w:eastAsia="Calibri" w:cs="Arial"/>
          <w:szCs w:val="20"/>
        </w:rPr>
        <w:t xml:space="preserve">Johnson et al. </w:t>
      </w:r>
      <w:r w:rsidR="003A1666">
        <w:rPr>
          <w:rFonts w:eastAsia="Calibri" w:cs="Arial"/>
          <w:szCs w:val="20"/>
        </w:rPr>
        <w:t>(1995)</w:t>
      </w:r>
      <w:r w:rsidRPr="004738D4">
        <w:rPr>
          <w:rFonts w:eastAsia="Calibri" w:cs="Arial"/>
          <w:szCs w:val="20"/>
        </w:rPr>
        <w:t xml:space="preserve"> Copolymer 1 reduces relapse rate and improves disability in relapsing-remitting multiple sclerosis: results of a phase III multi center, double-blind placebo-controlled trial. The Copolymer 1 Multiple Sclerosis Study Group. Neurology 1995;45:1268-76.</w:t>
      </w:r>
    </w:p>
    <w:p w14:paraId="480AC036" w14:textId="58219DF6" w:rsidR="004738D4" w:rsidRDefault="004738D4" w:rsidP="00F22E3E">
      <w:pPr>
        <w:spacing w:before="120" w:after="120" w:line="276" w:lineRule="auto"/>
        <w:rPr>
          <w:rFonts w:eastAsia="Calibri" w:cs="Arial"/>
          <w:szCs w:val="20"/>
        </w:rPr>
      </w:pPr>
      <w:r w:rsidRPr="004738D4">
        <w:rPr>
          <w:rFonts w:eastAsia="Calibri" w:cs="Arial"/>
          <w:szCs w:val="20"/>
        </w:rPr>
        <w:t xml:space="preserve">Kappos et al. </w:t>
      </w:r>
      <w:r w:rsidR="003A1666">
        <w:rPr>
          <w:rFonts w:eastAsia="Calibri" w:cs="Arial"/>
          <w:szCs w:val="20"/>
        </w:rPr>
        <w:t>(2010)</w:t>
      </w:r>
      <w:r w:rsidRPr="004738D4">
        <w:rPr>
          <w:rFonts w:eastAsia="Calibri" w:cs="Arial"/>
          <w:szCs w:val="20"/>
        </w:rPr>
        <w:t xml:space="preserve"> A placebo-controlled trial of oral fingolimod in relapsing multiple sclerosis. New England Journal of Medicine 2010; </w:t>
      </w:r>
      <w:r>
        <w:rPr>
          <w:rFonts w:eastAsia="Calibri" w:cs="Arial"/>
          <w:szCs w:val="20"/>
        </w:rPr>
        <w:t>362:387-401.</w:t>
      </w:r>
    </w:p>
    <w:p w14:paraId="7721A9F3" w14:textId="06A68B59" w:rsidR="00AC732E" w:rsidRDefault="00AC732E" w:rsidP="00F22E3E">
      <w:pPr>
        <w:spacing w:before="120" w:after="120"/>
        <w:jc w:val="both"/>
        <w:rPr>
          <w:rFonts w:eastAsia="Calibri" w:cs="Arial"/>
          <w:szCs w:val="20"/>
        </w:rPr>
      </w:pPr>
      <w:r w:rsidRPr="004738D4">
        <w:rPr>
          <w:rFonts w:eastAsia="Calibri" w:cs="Arial"/>
          <w:szCs w:val="20"/>
        </w:rPr>
        <w:t xml:space="preserve">O’Connor </w:t>
      </w:r>
      <w:r w:rsidR="003A1666">
        <w:rPr>
          <w:rFonts w:eastAsia="Calibri" w:cs="Arial"/>
          <w:szCs w:val="20"/>
        </w:rPr>
        <w:t>(</w:t>
      </w:r>
      <w:r w:rsidRPr="004738D4">
        <w:rPr>
          <w:rFonts w:eastAsia="Calibri" w:cs="Arial"/>
          <w:szCs w:val="20"/>
        </w:rPr>
        <w:t>2011</w:t>
      </w:r>
      <w:r w:rsidR="003A1666">
        <w:rPr>
          <w:rFonts w:eastAsia="Calibri" w:cs="Arial"/>
          <w:szCs w:val="20"/>
        </w:rPr>
        <w:t>)</w:t>
      </w:r>
      <w:r w:rsidRPr="004738D4">
        <w:rPr>
          <w:rFonts w:eastAsia="Calibri" w:cs="Arial"/>
          <w:szCs w:val="20"/>
        </w:rPr>
        <w:t xml:space="preserve"> TENERE CSR. A multi-center, randomized, parallel-group, rater-blinded study comparing the effectiveness and safety of terfilunomide and interferon beta-1a in patients with relapsing multiple sclerosis Clinical Study Report EFC10891 (TENERE).</w:t>
      </w:r>
      <w:r>
        <w:rPr>
          <w:rFonts w:eastAsia="Calibri" w:cs="Arial"/>
          <w:szCs w:val="20"/>
        </w:rPr>
        <w:t xml:space="preserve"> December 2011.</w:t>
      </w:r>
    </w:p>
    <w:p w14:paraId="79760C3D" w14:textId="0B8C2741" w:rsidR="00F57E11" w:rsidRDefault="00F57E11" w:rsidP="00F22E3E">
      <w:pPr>
        <w:spacing w:before="120" w:after="120" w:line="276" w:lineRule="auto"/>
        <w:rPr>
          <w:rFonts w:eastAsia="Calibri" w:cs="Arial"/>
          <w:szCs w:val="20"/>
        </w:rPr>
      </w:pPr>
      <w:r>
        <w:rPr>
          <w:rFonts w:eastAsia="Calibri" w:cs="Arial"/>
          <w:szCs w:val="20"/>
        </w:rPr>
        <w:t>Polman, C.H., Paul, M.D. and O’Connor, P.W. et al. (</w:t>
      </w:r>
      <w:r w:rsidR="00784835">
        <w:rPr>
          <w:rFonts w:eastAsia="Calibri" w:cs="Arial"/>
          <w:szCs w:val="20"/>
        </w:rPr>
        <w:t>2006) A randomized, placebo-controlled trial of natalizumab for relapsing multiple sclerosis. New England Journal of Medicine 354(9): 899-910.</w:t>
      </w:r>
    </w:p>
    <w:p w14:paraId="25D65B04" w14:textId="257B27F3" w:rsidR="00FE645A" w:rsidRDefault="0087113E" w:rsidP="00F22E3E">
      <w:pPr>
        <w:spacing w:before="120" w:after="120" w:line="276" w:lineRule="auto"/>
        <w:rPr>
          <w:rFonts w:eastAsia="Calibri" w:cs="Arial"/>
          <w:szCs w:val="20"/>
        </w:rPr>
      </w:pPr>
      <w:r>
        <w:rPr>
          <w:rFonts w:eastAsia="Calibri" w:cs="Arial"/>
          <w:szCs w:val="20"/>
        </w:rPr>
        <w:t xml:space="preserve">Public Summary Document for dimethyl fumarate, July 2013. </w:t>
      </w:r>
      <w:hyperlink r:id="rId19" w:history="1">
        <w:r w:rsidRPr="001408CD">
          <w:rPr>
            <w:rStyle w:val="Hyperlink"/>
            <w:rFonts w:eastAsia="Calibri" w:cs="Arial"/>
            <w:szCs w:val="20"/>
          </w:rPr>
          <w:t>http://www.pbs.gov.au/info/industry/listing/elements/pbac-meetings/psd/2013-07/dimethyl-fumarate</w:t>
        </w:r>
      </w:hyperlink>
    </w:p>
    <w:p w14:paraId="02CFDBF3" w14:textId="08BA12DF" w:rsidR="00E34147" w:rsidRDefault="00E34147" w:rsidP="00F22E3E">
      <w:pPr>
        <w:spacing w:before="120" w:after="120" w:line="276" w:lineRule="auto"/>
        <w:rPr>
          <w:rFonts w:eastAsia="Calibri" w:cs="Arial"/>
          <w:szCs w:val="20"/>
        </w:rPr>
      </w:pPr>
      <w:r>
        <w:rPr>
          <w:rFonts w:eastAsia="Calibri" w:cs="Arial"/>
          <w:szCs w:val="20"/>
        </w:rPr>
        <w:t xml:space="preserve">Public Summary Document for fingolimod, March 2011. </w:t>
      </w:r>
      <w:hyperlink r:id="rId20" w:history="1">
        <w:r w:rsidRPr="001408CD">
          <w:rPr>
            <w:rStyle w:val="Hyperlink"/>
            <w:rFonts w:eastAsia="Calibri" w:cs="Arial"/>
            <w:szCs w:val="20"/>
          </w:rPr>
          <w:t>http://www.pbs.gov.au/info/industry/listing/elements/pbac-meetings/psd/2011-03/pbac-psd-fingolimod-march11</w:t>
        </w:r>
      </w:hyperlink>
    </w:p>
    <w:p w14:paraId="20B73E74" w14:textId="2C5C1C0C" w:rsidR="007F62B7" w:rsidRDefault="007F62B7" w:rsidP="00F22E3E">
      <w:pPr>
        <w:spacing w:before="120" w:after="120" w:line="276" w:lineRule="auto"/>
        <w:rPr>
          <w:rStyle w:val="Hyperlink"/>
          <w:rFonts w:eastAsia="Calibri" w:cs="Arial"/>
          <w:szCs w:val="20"/>
        </w:rPr>
      </w:pPr>
      <w:r>
        <w:rPr>
          <w:rFonts w:eastAsia="Calibri" w:cs="Arial"/>
          <w:szCs w:val="20"/>
        </w:rPr>
        <w:t xml:space="preserve">Public Summary Document for teriflunomide, November 2012. </w:t>
      </w:r>
      <w:hyperlink r:id="rId21" w:history="1">
        <w:r w:rsidRPr="001408CD">
          <w:rPr>
            <w:rStyle w:val="Hyperlink"/>
            <w:rFonts w:eastAsia="Calibri" w:cs="Arial"/>
            <w:szCs w:val="20"/>
          </w:rPr>
          <w:t>http://www.pbs.gov.au/info/industry/listing/elements/pbac-meetings/psd/2012-11/teriflunomide</w:t>
        </w:r>
      </w:hyperlink>
    </w:p>
    <w:p w14:paraId="00B86082" w14:textId="7F625412" w:rsidR="0087113E" w:rsidRDefault="00466C37" w:rsidP="00F22E3E">
      <w:pPr>
        <w:spacing w:before="120" w:after="120" w:line="276" w:lineRule="auto"/>
        <w:rPr>
          <w:rStyle w:val="Hyperlink"/>
          <w:rFonts w:eastAsia="Calibri" w:cs="Arial"/>
          <w:szCs w:val="20"/>
        </w:rPr>
      </w:pPr>
      <w:r>
        <w:rPr>
          <w:rFonts w:eastAsia="Calibri" w:cs="Arial"/>
          <w:szCs w:val="20"/>
        </w:rPr>
        <w:t xml:space="preserve">Public Summary Document for teriflunomide, July 2013. </w:t>
      </w:r>
      <w:hyperlink r:id="rId22" w:history="1">
        <w:r w:rsidRPr="001408CD">
          <w:rPr>
            <w:rStyle w:val="Hyperlink"/>
            <w:rFonts w:eastAsia="Calibri" w:cs="Arial"/>
            <w:szCs w:val="20"/>
          </w:rPr>
          <w:t>http://www.pbs.gov.au/info/industry/listing/elements/pbac-meetings/psd/2013-07/teriflunomide</w:t>
        </w:r>
      </w:hyperlink>
    </w:p>
    <w:p w14:paraId="6F04B7CC" w14:textId="77777777" w:rsidR="00466C37" w:rsidRDefault="00466C37">
      <w:pPr>
        <w:spacing w:line="276" w:lineRule="auto"/>
        <w:rPr>
          <w:rFonts w:eastAsia="Calibri" w:cs="Arial"/>
          <w:szCs w:val="20"/>
        </w:rPr>
      </w:pPr>
    </w:p>
    <w:p w14:paraId="7F6E5711" w14:textId="4815ECA7" w:rsidR="00385B72" w:rsidRDefault="00385B72">
      <w:pPr>
        <w:spacing w:line="276" w:lineRule="auto"/>
        <w:rPr>
          <w:rFonts w:eastAsia="Calibri" w:cs="Arial"/>
          <w:szCs w:val="20"/>
        </w:rPr>
        <w:sectPr w:rsidR="00385B72" w:rsidSect="00F8060F">
          <w:headerReference w:type="default" r:id="rId23"/>
          <w:footerReference w:type="even" r:id="rId24"/>
          <w:footerReference w:type="default" r:id="rId25"/>
          <w:footerReference w:type="first" r:id="rId26"/>
          <w:pgSz w:w="11906" w:h="16838"/>
          <w:pgMar w:top="1644" w:right="1361" w:bottom="1644" w:left="1588" w:header="709" w:footer="709" w:gutter="0"/>
          <w:cols w:space="708"/>
          <w:docGrid w:linePitch="360"/>
        </w:sectPr>
      </w:pPr>
    </w:p>
    <w:p w14:paraId="6A519F0C" w14:textId="3087A2E4" w:rsidR="00F0432E" w:rsidRPr="0074153D" w:rsidRDefault="00F0432E" w:rsidP="00F0432E">
      <w:pPr>
        <w:rPr>
          <w:rFonts w:cstheme="minorHAnsi"/>
          <w:b/>
        </w:rPr>
      </w:pPr>
      <w:r w:rsidRPr="00BB60B5">
        <w:rPr>
          <w:rFonts w:cstheme="minorHAnsi"/>
          <w:b/>
        </w:rPr>
        <w:lastRenderedPageBreak/>
        <w:t xml:space="preserve">Appendix </w:t>
      </w:r>
      <w:r w:rsidR="00AC4095">
        <w:rPr>
          <w:rFonts w:cstheme="minorHAnsi"/>
          <w:b/>
        </w:rPr>
        <w:t>A</w:t>
      </w:r>
      <w:r w:rsidRPr="00BB60B5">
        <w:rPr>
          <w:rFonts w:cstheme="minorHAnsi"/>
          <w:b/>
        </w:rPr>
        <w:t xml:space="preserve"> – </w:t>
      </w:r>
      <w:r w:rsidR="006858C2">
        <w:rPr>
          <w:rFonts w:cstheme="minorHAnsi"/>
          <w:b/>
        </w:rPr>
        <w:t xml:space="preserve">Summary of PBS listings for multiple sclerosis </w:t>
      </w:r>
    </w:p>
    <w:tbl>
      <w:tblPr>
        <w:tblW w:w="14190" w:type="dxa"/>
        <w:tblInd w:w="93" w:type="dxa"/>
        <w:tblLayout w:type="fixed"/>
        <w:tblLook w:val="04A0" w:firstRow="1" w:lastRow="0" w:firstColumn="1" w:lastColumn="0" w:noHBand="0" w:noVBand="1"/>
      </w:tblPr>
      <w:tblGrid>
        <w:gridCol w:w="2425"/>
        <w:gridCol w:w="1276"/>
        <w:gridCol w:w="992"/>
        <w:gridCol w:w="992"/>
        <w:gridCol w:w="1418"/>
        <w:gridCol w:w="3935"/>
        <w:gridCol w:w="728"/>
        <w:gridCol w:w="704"/>
        <w:gridCol w:w="586"/>
        <w:gridCol w:w="1134"/>
      </w:tblGrid>
      <w:tr w:rsidR="00E32434" w:rsidRPr="00E32434" w14:paraId="0159C96C" w14:textId="77777777" w:rsidTr="008F2B05">
        <w:trPr>
          <w:trHeight w:val="300"/>
          <w:tblHeader/>
        </w:trPr>
        <w:tc>
          <w:tcPr>
            <w:tcW w:w="242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EE6A313" w14:textId="77777777" w:rsidR="00E32434" w:rsidRPr="00E32434" w:rsidRDefault="00E32434" w:rsidP="00E32434">
            <w:pPr>
              <w:spacing w:after="0"/>
              <w:jc w:val="center"/>
              <w:rPr>
                <w:rFonts w:eastAsia="Times New Roman" w:cs="Times New Roman"/>
                <w:b/>
                <w:bCs/>
                <w:sz w:val="20"/>
                <w:szCs w:val="20"/>
              </w:rPr>
            </w:pPr>
            <w:r w:rsidRPr="00E32434">
              <w:rPr>
                <w:rFonts w:eastAsia="Times New Roman" w:cs="Times New Roman"/>
                <w:b/>
                <w:bCs/>
                <w:sz w:val="20"/>
                <w:szCs w:val="20"/>
              </w:rPr>
              <w:t>Drug</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10ADBBA" w14:textId="77777777" w:rsidR="00E32434" w:rsidRPr="00E32434" w:rsidRDefault="00E32434" w:rsidP="00E32434">
            <w:pPr>
              <w:spacing w:after="0"/>
              <w:jc w:val="center"/>
              <w:rPr>
                <w:rFonts w:eastAsia="Times New Roman" w:cs="Times New Roman"/>
                <w:b/>
                <w:bCs/>
                <w:sz w:val="20"/>
                <w:szCs w:val="20"/>
              </w:rPr>
            </w:pPr>
            <w:r w:rsidRPr="00E32434">
              <w:rPr>
                <w:rFonts w:eastAsia="Times New Roman" w:cs="Times New Roman"/>
                <w:b/>
                <w:bCs/>
                <w:sz w:val="20"/>
                <w:szCs w:val="20"/>
              </w:rPr>
              <w:t>Brand name</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89C67E0" w14:textId="77777777" w:rsidR="00E32434" w:rsidRPr="00E32434" w:rsidRDefault="00E32434" w:rsidP="00E32434">
            <w:pPr>
              <w:spacing w:after="0"/>
              <w:jc w:val="center"/>
              <w:rPr>
                <w:rFonts w:eastAsia="Times New Roman" w:cs="Times New Roman"/>
                <w:b/>
                <w:bCs/>
                <w:sz w:val="20"/>
                <w:szCs w:val="20"/>
              </w:rPr>
            </w:pPr>
            <w:r w:rsidRPr="00E32434">
              <w:rPr>
                <w:rFonts w:eastAsia="Times New Roman" w:cs="Times New Roman"/>
                <w:b/>
                <w:bCs/>
                <w:sz w:val="20"/>
                <w:szCs w:val="20"/>
              </w:rPr>
              <w:t>ATC5</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2349FF80" w14:textId="77777777" w:rsidR="00E32434" w:rsidRPr="00E32434" w:rsidRDefault="00E32434" w:rsidP="00E32434">
            <w:pPr>
              <w:spacing w:after="0"/>
              <w:jc w:val="center"/>
              <w:rPr>
                <w:rFonts w:eastAsia="Times New Roman" w:cs="Times New Roman"/>
                <w:b/>
                <w:bCs/>
                <w:sz w:val="20"/>
                <w:szCs w:val="20"/>
              </w:rPr>
            </w:pPr>
            <w:r w:rsidRPr="00E32434">
              <w:rPr>
                <w:rFonts w:eastAsia="Times New Roman" w:cs="Times New Roman"/>
                <w:b/>
                <w:bCs/>
                <w:sz w:val="20"/>
                <w:szCs w:val="20"/>
              </w:rPr>
              <w:t xml:space="preserve">Item </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68DBA664" w14:textId="77777777" w:rsidR="00E32434" w:rsidRPr="00E32434" w:rsidRDefault="00E32434" w:rsidP="00E32434">
            <w:pPr>
              <w:spacing w:after="0"/>
              <w:jc w:val="center"/>
              <w:rPr>
                <w:rFonts w:eastAsia="Times New Roman" w:cs="Times New Roman"/>
                <w:b/>
                <w:bCs/>
                <w:sz w:val="20"/>
                <w:szCs w:val="20"/>
              </w:rPr>
            </w:pPr>
            <w:r w:rsidRPr="00E32434">
              <w:rPr>
                <w:rFonts w:eastAsia="Times New Roman" w:cs="Times New Roman"/>
                <w:b/>
                <w:bCs/>
                <w:sz w:val="20"/>
                <w:szCs w:val="20"/>
              </w:rPr>
              <w:t>First listing date</w:t>
            </w:r>
          </w:p>
        </w:tc>
        <w:tc>
          <w:tcPr>
            <w:tcW w:w="3935"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D8B42D0" w14:textId="77777777" w:rsidR="00E32434" w:rsidRPr="00E32434" w:rsidRDefault="00E32434" w:rsidP="00E32434">
            <w:pPr>
              <w:spacing w:after="0"/>
              <w:jc w:val="center"/>
              <w:rPr>
                <w:rFonts w:eastAsia="Times New Roman" w:cs="Times New Roman"/>
                <w:b/>
                <w:bCs/>
                <w:sz w:val="20"/>
                <w:szCs w:val="20"/>
              </w:rPr>
            </w:pPr>
            <w:r w:rsidRPr="00E32434">
              <w:rPr>
                <w:rFonts w:eastAsia="Times New Roman" w:cs="Times New Roman"/>
                <w:b/>
                <w:bCs/>
                <w:sz w:val="20"/>
                <w:szCs w:val="20"/>
              </w:rPr>
              <w:t>Form and strength</w:t>
            </w:r>
          </w:p>
        </w:tc>
        <w:tc>
          <w:tcPr>
            <w:tcW w:w="728"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28F0265" w14:textId="77777777" w:rsidR="00E32434" w:rsidRPr="00E32434" w:rsidRDefault="00E32434" w:rsidP="00E32434">
            <w:pPr>
              <w:spacing w:after="0"/>
              <w:jc w:val="center"/>
              <w:rPr>
                <w:rFonts w:eastAsia="Times New Roman" w:cs="Times New Roman"/>
                <w:b/>
                <w:bCs/>
                <w:sz w:val="20"/>
                <w:szCs w:val="20"/>
              </w:rPr>
            </w:pPr>
            <w:r w:rsidRPr="00E32434">
              <w:rPr>
                <w:rFonts w:eastAsia="Times New Roman" w:cs="Times New Roman"/>
                <w:b/>
                <w:bCs/>
                <w:sz w:val="20"/>
                <w:szCs w:val="20"/>
              </w:rPr>
              <w:t>Pack size</w:t>
            </w:r>
          </w:p>
        </w:tc>
        <w:tc>
          <w:tcPr>
            <w:tcW w:w="70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35BDEEA" w14:textId="77777777" w:rsidR="00E32434" w:rsidRPr="00E32434" w:rsidRDefault="00E32434" w:rsidP="00E32434">
            <w:pPr>
              <w:spacing w:after="0"/>
              <w:jc w:val="center"/>
              <w:rPr>
                <w:rFonts w:eastAsia="Times New Roman" w:cs="Times New Roman"/>
                <w:b/>
                <w:bCs/>
                <w:sz w:val="20"/>
                <w:szCs w:val="20"/>
              </w:rPr>
            </w:pPr>
            <w:r w:rsidRPr="00E32434">
              <w:rPr>
                <w:rFonts w:eastAsia="Times New Roman" w:cs="Times New Roman"/>
                <w:b/>
                <w:bCs/>
                <w:sz w:val="20"/>
                <w:szCs w:val="20"/>
              </w:rPr>
              <w:t>Max qty</w:t>
            </w:r>
          </w:p>
        </w:tc>
        <w:tc>
          <w:tcPr>
            <w:tcW w:w="58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683AB60" w14:textId="77777777" w:rsidR="00E32434" w:rsidRPr="00E32434" w:rsidRDefault="00E32434" w:rsidP="00E32434">
            <w:pPr>
              <w:spacing w:after="0"/>
              <w:jc w:val="center"/>
              <w:rPr>
                <w:rFonts w:eastAsia="Times New Roman" w:cs="Times New Roman"/>
                <w:b/>
                <w:bCs/>
                <w:sz w:val="20"/>
                <w:szCs w:val="20"/>
              </w:rPr>
            </w:pPr>
            <w:r w:rsidRPr="00E32434">
              <w:rPr>
                <w:rFonts w:eastAsia="Times New Roman" w:cs="Times New Roman"/>
                <w:b/>
                <w:bCs/>
                <w:sz w:val="20"/>
                <w:szCs w:val="20"/>
              </w:rPr>
              <w:t>Rpts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45238CD" w14:textId="77777777" w:rsidR="00E32434" w:rsidRPr="00E32434" w:rsidRDefault="00E32434" w:rsidP="00E32434">
            <w:pPr>
              <w:spacing w:after="0"/>
              <w:jc w:val="center"/>
              <w:rPr>
                <w:rFonts w:eastAsia="Times New Roman" w:cs="Times New Roman"/>
                <w:b/>
                <w:bCs/>
                <w:sz w:val="20"/>
                <w:szCs w:val="20"/>
              </w:rPr>
            </w:pPr>
            <w:r w:rsidRPr="00E32434">
              <w:rPr>
                <w:rFonts w:eastAsia="Times New Roman" w:cs="Times New Roman"/>
                <w:b/>
                <w:bCs/>
                <w:sz w:val="20"/>
                <w:szCs w:val="20"/>
              </w:rPr>
              <w:t>DPMQ</w:t>
            </w:r>
          </w:p>
        </w:tc>
      </w:tr>
      <w:tr w:rsidR="00E32434" w:rsidRPr="00E32434" w14:paraId="2976382B" w14:textId="77777777" w:rsidTr="008F2B05">
        <w:trPr>
          <w:trHeight w:val="300"/>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6C90E982" w14:textId="77777777" w:rsidR="00E32434" w:rsidRPr="00E32434" w:rsidRDefault="00E32434" w:rsidP="00E32434">
            <w:pPr>
              <w:spacing w:after="0"/>
              <w:rPr>
                <w:rFonts w:eastAsia="Times New Roman" w:cs="Times New Roman"/>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5AFFB1" w14:textId="77777777" w:rsidR="00E32434" w:rsidRPr="00E32434" w:rsidRDefault="00E32434" w:rsidP="00E32434">
            <w:pPr>
              <w:spacing w:after="0"/>
              <w:rPr>
                <w:rFonts w:eastAsia="Times New Roman" w:cs="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0FD1B0" w14:textId="77777777" w:rsidR="00E32434" w:rsidRPr="00E32434" w:rsidRDefault="00E32434" w:rsidP="00E32434">
            <w:pPr>
              <w:spacing w:after="0"/>
              <w:rPr>
                <w:rFonts w:eastAsia="Times New Roman" w:cs="Times New Roman"/>
                <w:b/>
                <w:bCs/>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DEC231A" w14:textId="77777777" w:rsidR="00E32434" w:rsidRPr="00E32434" w:rsidRDefault="00E32434" w:rsidP="00E32434">
            <w:pPr>
              <w:spacing w:after="0"/>
              <w:rPr>
                <w:rFonts w:eastAsia="Times New Roman" w:cs="Times New Roman"/>
                <w:b/>
                <w:bCs/>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70B984D" w14:textId="77777777" w:rsidR="00E32434" w:rsidRPr="00E32434" w:rsidRDefault="00E32434" w:rsidP="00E32434">
            <w:pPr>
              <w:spacing w:after="0"/>
              <w:rPr>
                <w:rFonts w:eastAsia="Times New Roman" w:cs="Times New Roman"/>
                <w:b/>
                <w:bCs/>
                <w:sz w:val="20"/>
                <w:szCs w:val="20"/>
              </w:rPr>
            </w:pPr>
          </w:p>
        </w:tc>
        <w:tc>
          <w:tcPr>
            <w:tcW w:w="3935" w:type="dxa"/>
            <w:vMerge/>
            <w:tcBorders>
              <w:top w:val="single" w:sz="4" w:space="0" w:color="auto"/>
              <w:left w:val="single" w:sz="4" w:space="0" w:color="auto"/>
              <w:bottom w:val="single" w:sz="4" w:space="0" w:color="auto"/>
              <w:right w:val="single" w:sz="4" w:space="0" w:color="auto"/>
            </w:tcBorders>
            <w:vAlign w:val="center"/>
            <w:hideMark/>
          </w:tcPr>
          <w:p w14:paraId="42DEA58D" w14:textId="77777777" w:rsidR="00E32434" w:rsidRPr="00E32434" w:rsidRDefault="00E32434" w:rsidP="00E32434">
            <w:pPr>
              <w:spacing w:after="0"/>
              <w:rPr>
                <w:rFonts w:eastAsia="Times New Roman" w:cs="Times New Roman"/>
                <w:b/>
                <w:bCs/>
                <w:sz w:val="20"/>
                <w:szCs w:val="20"/>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14:paraId="7281FB6B" w14:textId="77777777" w:rsidR="00E32434" w:rsidRPr="00E32434" w:rsidRDefault="00E32434" w:rsidP="00E32434">
            <w:pPr>
              <w:spacing w:after="0"/>
              <w:rPr>
                <w:rFonts w:eastAsia="Times New Roman" w:cs="Times New Roman"/>
                <w:b/>
                <w:bCs/>
                <w:sz w:val="20"/>
                <w:szCs w:val="20"/>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7F9738F8" w14:textId="77777777" w:rsidR="00E32434" w:rsidRPr="00E32434" w:rsidRDefault="00E32434" w:rsidP="00E32434">
            <w:pPr>
              <w:spacing w:after="0"/>
              <w:rPr>
                <w:rFonts w:eastAsia="Times New Roman" w:cs="Times New Roman"/>
                <w:b/>
                <w:bCs/>
                <w:sz w:val="20"/>
                <w:szCs w:val="20"/>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67718118" w14:textId="77777777" w:rsidR="00E32434" w:rsidRPr="00E32434" w:rsidRDefault="00E32434" w:rsidP="00E32434">
            <w:pPr>
              <w:spacing w:after="0"/>
              <w:rPr>
                <w:rFonts w:eastAsia="Times New Roman" w:cs="Times New Roman"/>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72716E" w14:textId="77777777" w:rsidR="00E32434" w:rsidRPr="00E32434" w:rsidRDefault="00E32434" w:rsidP="00E32434">
            <w:pPr>
              <w:spacing w:after="0"/>
              <w:rPr>
                <w:rFonts w:eastAsia="Times New Roman" w:cs="Times New Roman"/>
                <w:b/>
                <w:bCs/>
                <w:sz w:val="20"/>
                <w:szCs w:val="20"/>
              </w:rPr>
            </w:pPr>
          </w:p>
        </w:tc>
      </w:tr>
      <w:tr w:rsidR="00E32434" w:rsidRPr="00E32434" w14:paraId="58D18474" w14:textId="77777777" w:rsidTr="008F2B05">
        <w:trPr>
          <w:trHeight w:val="296"/>
        </w:trPr>
        <w:tc>
          <w:tcPr>
            <w:tcW w:w="2425" w:type="dxa"/>
            <w:tcBorders>
              <w:top w:val="nil"/>
              <w:left w:val="single" w:sz="4" w:space="0" w:color="auto"/>
              <w:bottom w:val="single" w:sz="4" w:space="0" w:color="auto"/>
              <w:right w:val="single" w:sz="4" w:space="0" w:color="auto"/>
            </w:tcBorders>
            <w:shd w:val="clear" w:color="auto" w:fill="auto"/>
            <w:hideMark/>
          </w:tcPr>
          <w:p w14:paraId="37558DBB"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Alemtuzumab</w:t>
            </w:r>
          </w:p>
        </w:tc>
        <w:tc>
          <w:tcPr>
            <w:tcW w:w="1276" w:type="dxa"/>
            <w:tcBorders>
              <w:top w:val="nil"/>
              <w:left w:val="nil"/>
              <w:bottom w:val="single" w:sz="4" w:space="0" w:color="auto"/>
              <w:right w:val="single" w:sz="4" w:space="0" w:color="auto"/>
            </w:tcBorders>
            <w:shd w:val="clear" w:color="auto" w:fill="auto"/>
            <w:hideMark/>
          </w:tcPr>
          <w:p w14:paraId="682B1D0B"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Lemtrada</w:t>
            </w:r>
          </w:p>
        </w:tc>
        <w:tc>
          <w:tcPr>
            <w:tcW w:w="992" w:type="dxa"/>
            <w:tcBorders>
              <w:top w:val="nil"/>
              <w:left w:val="nil"/>
              <w:bottom w:val="single" w:sz="4" w:space="0" w:color="auto"/>
              <w:right w:val="single" w:sz="4" w:space="0" w:color="auto"/>
            </w:tcBorders>
            <w:shd w:val="clear" w:color="auto" w:fill="auto"/>
            <w:hideMark/>
          </w:tcPr>
          <w:p w14:paraId="59060E3B"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L04AA34</w:t>
            </w:r>
          </w:p>
        </w:tc>
        <w:tc>
          <w:tcPr>
            <w:tcW w:w="992" w:type="dxa"/>
            <w:tcBorders>
              <w:top w:val="nil"/>
              <w:left w:val="nil"/>
              <w:bottom w:val="single" w:sz="4" w:space="0" w:color="auto"/>
              <w:right w:val="single" w:sz="4" w:space="0" w:color="auto"/>
            </w:tcBorders>
            <w:shd w:val="clear" w:color="auto" w:fill="auto"/>
            <w:hideMark/>
          </w:tcPr>
          <w:p w14:paraId="585CC21A"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10228H</w:t>
            </w:r>
          </w:p>
        </w:tc>
        <w:tc>
          <w:tcPr>
            <w:tcW w:w="1418" w:type="dxa"/>
            <w:tcBorders>
              <w:top w:val="nil"/>
              <w:left w:val="nil"/>
              <w:bottom w:val="single" w:sz="4" w:space="0" w:color="auto"/>
              <w:right w:val="single" w:sz="4" w:space="0" w:color="auto"/>
            </w:tcBorders>
            <w:shd w:val="clear" w:color="auto" w:fill="auto"/>
            <w:hideMark/>
          </w:tcPr>
          <w:p w14:paraId="798F4306" w14:textId="0A12536C" w:rsidR="00E32434" w:rsidRPr="00E32434" w:rsidRDefault="00E32434" w:rsidP="00E32434">
            <w:pPr>
              <w:spacing w:after="0"/>
              <w:jc w:val="right"/>
              <w:rPr>
                <w:rFonts w:eastAsia="Times New Roman" w:cs="Times New Roman"/>
                <w:sz w:val="20"/>
                <w:szCs w:val="20"/>
              </w:rPr>
            </w:pPr>
            <w:r>
              <w:rPr>
                <w:rFonts w:eastAsia="Times New Roman" w:cs="Times New Roman"/>
                <w:sz w:val="20"/>
                <w:szCs w:val="20"/>
              </w:rPr>
              <w:t>1 Apr</w:t>
            </w:r>
            <w:r w:rsidRPr="00E32434">
              <w:rPr>
                <w:rFonts w:eastAsia="Times New Roman" w:cs="Times New Roman"/>
                <w:sz w:val="20"/>
                <w:szCs w:val="20"/>
              </w:rPr>
              <w:t xml:space="preserve"> 2015</w:t>
            </w:r>
          </w:p>
        </w:tc>
        <w:tc>
          <w:tcPr>
            <w:tcW w:w="3935" w:type="dxa"/>
            <w:tcBorders>
              <w:top w:val="nil"/>
              <w:left w:val="nil"/>
              <w:bottom w:val="single" w:sz="4" w:space="0" w:color="auto"/>
              <w:right w:val="single" w:sz="4" w:space="0" w:color="auto"/>
            </w:tcBorders>
            <w:shd w:val="clear" w:color="auto" w:fill="auto"/>
            <w:hideMark/>
          </w:tcPr>
          <w:p w14:paraId="080B2662"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Solution concentrate for I.V. infusion 12 mg in 1.2 mL</w:t>
            </w:r>
          </w:p>
        </w:tc>
        <w:tc>
          <w:tcPr>
            <w:tcW w:w="728" w:type="dxa"/>
            <w:tcBorders>
              <w:top w:val="nil"/>
              <w:left w:val="nil"/>
              <w:bottom w:val="single" w:sz="4" w:space="0" w:color="auto"/>
              <w:right w:val="single" w:sz="4" w:space="0" w:color="auto"/>
            </w:tcBorders>
            <w:shd w:val="clear" w:color="auto" w:fill="auto"/>
            <w:hideMark/>
          </w:tcPr>
          <w:p w14:paraId="2ECC31FA"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1</w:t>
            </w:r>
          </w:p>
        </w:tc>
        <w:tc>
          <w:tcPr>
            <w:tcW w:w="704" w:type="dxa"/>
            <w:tcBorders>
              <w:top w:val="nil"/>
              <w:left w:val="nil"/>
              <w:bottom w:val="single" w:sz="4" w:space="0" w:color="auto"/>
              <w:right w:val="single" w:sz="4" w:space="0" w:color="auto"/>
            </w:tcBorders>
            <w:shd w:val="clear" w:color="auto" w:fill="auto"/>
            <w:hideMark/>
          </w:tcPr>
          <w:p w14:paraId="6AA61C62"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5</w:t>
            </w:r>
          </w:p>
        </w:tc>
        <w:tc>
          <w:tcPr>
            <w:tcW w:w="586" w:type="dxa"/>
            <w:tcBorders>
              <w:top w:val="nil"/>
              <w:left w:val="nil"/>
              <w:bottom w:val="single" w:sz="4" w:space="0" w:color="auto"/>
              <w:right w:val="single" w:sz="4" w:space="0" w:color="auto"/>
            </w:tcBorders>
            <w:shd w:val="clear" w:color="auto" w:fill="auto"/>
            <w:hideMark/>
          </w:tcPr>
          <w:p w14:paraId="019BD045"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14:paraId="5191936C"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$56,970.00</w:t>
            </w:r>
          </w:p>
        </w:tc>
      </w:tr>
      <w:tr w:rsidR="00E32434" w:rsidRPr="00E32434" w14:paraId="65AD3E8A" w14:textId="77777777" w:rsidTr="008F2B05">
        <w:trPr>
          <w:trHeight w:val="271"/>
        </w:trPr>
        <w:tc>
          <w:tcPr>
            <w:tcW w:w="2425" w:type="dxa"/>
            <w:tcBorders>
              <w:top w:val="nil"/>
              <w:left w:val="single" w:sz="4" w:space="0" w:color="auto"/>
              <w:bottom w:val="single" w:sz="4" w:space="0" w:color="auto"/>
              <w:right w:val="single" w:sz="4" w:space="0" w:color="auto"/>
            </w:tcBorders>
            <w:shd w:val="clear" w:color="auto" w:fill="auto"/>
            <w:hideMark/>
          </w:tcPr>
          <w:p w14:paraId="78D342DC"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Alemtuzumab</w:t>
            </w:r>
          </w:p>
        </w:tc>
        <w:tc>
          <w:tcPr>
            <w:tcW w:w="1276" w:type="dxa"/>
            <w:tcBorders>
              <w:top w:val="nil"/>
              <w:left w:val="nil"/>
              <w:bottom w:val="single" w:sz="4" w:space="0" w:color="auto"/>
              <w:right w:val="single" w:sz="4" w:space="0" w:color="auto"/>
            </w:tcBorders>
            <w:shd w:val="clear" w:color="auto" w:fill="auto"/>
            <w:hideMark/>
          </w:tcPr>
          <w:p w14:paraId="5BB8E144"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Lemtrada</w:t>
            </w:r>
          </w:p>
        </w:tc>
        <w:tc>
          <w:tcPr>
            <w:tcW w:w="992" w:type="dxa"/>
            <w:tcBorders>
              <w:top w:val="nil"/>
              <w:left w:val="nil"/>
              <w:bottom w:val="single" w:sz="4" w:space="0" w:color="auto"/>
              <w:right w:val="single" w:sz="4" w:space="0" w:color="auto"/>
            </w:tcBorders>
            <w:shd w:val="clear" w:color="auto" w:fill="auto"/>
            <w:hideMark/>
          </w:tcPr>
          <w:p w14:paraId="5EA6C465"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L04AA34</w:t>
            </w:r>
          </w:p>
        </w:tc>
        <w:tc>
          <w:tcPr>
            <w:tcW w:w="992" w:type="dxa"/>
            <w:tcBorders>
              <w:top w:val="nil"/>
              <w:left w:val="nil"/>
              <w:bottom w:val="single" w:sz="4" w:space="0" w:color="auto"/>
              <w:right w:val="single" w:sz="4" w:space="0" w:color="auto"/>
            </w:tcBorders>
            <w:shd w:val="clear" w:color="auto" w:fill="auto"/>
            <w:hideMark/>
          </w:tcPr>
          <w:p w14:paraId="3EC9369A"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10232M</w:t>
            </w:r>
          </w:p>
        </w:tc>
        <w:tc>
          <w:tcPr>
            <w:tcW w:w="1418" w:type="dxa"/>
            <w:tcBorders>
              <w:top w:val="nil"/>
              <w:left w:val="nil"/>
              <w:bottom w:val="single" w:sz="4" w:space="0" w:color="auto"/>
              <w:right w:val="single" w:sz="4" w:space="0" w:color="auto"/>
            </w:tcBorders>
            <w:shd w:val="clear" w:color="auto" w:fill="auto"/>
            <w:hideMark/>
          </w:tcPr>
          <w:p w14:paraId="4840789A" w14:textId="5BDE937B" w:rsidR="00E32434" w:rsidRPr="00E32434" w:rsidRDefault="00E32434" w:rsidP="00E32434">
            <w:pPr>
              <w:spacing w:after="0"/>
              <w:jc w:val="right"/>
              <w:rPr>
                <w:rFonts w:eastAsia="Times New Roman" w:cs="Times New Roman"/>
                <w:sz w:val="20"/>
                <w:szCs w:val="20"/>
              </w:rPr>
            </w:pPr>
            <w:r w:rsidRPr="009A5979">
              <w:rPr>
                <w:rFonts w:eastAsia="Times New Roman" w:cs="Times New Roman"/>
                <w:sz w:val="20"/>
                <w:szCs w:val="20"/>
              </w:rPr>
              <w:t>1 Apr</w:t>
            </w:r>
            <w:r w:rsidRPr="00E32434">
              <w:rPr>
                <w:rFonts w:eastAsia="Times New Roman" w:cs="Times New Roman"/>
                <w:sz w:val="20"/>
                <w:szCs w:val="20"/>
              </w:rPr>
              <w:t xml:space="preserve"> 2015</w:t>
            </w:r>
          </w:p>
        </w:tc>
        <w:tc>
          <w:tcPr>
            <w:tcW w:w="3935" w:type="dxa"/>
            <w:tcBorders>
              <w:top w:val="nil"/>
              <w:left w:val="nil"/>
              <w:bottom w:val="single" w:sz="4" w:space="0" w:color="auto"/>
              <w:right w:val="single" w:sz="4" w:space="0" w:color="auto"/>
            </w:tcBorders>
            <w:shd w:val="clear" w:color="auto" w:fill="auto"/>
            <w:hideMark/>
          </w:tcPr>
          <w:p w14:paraId="6C5F90CC"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Solution concentrate for I.V. infusion 12 mg in 1.2 mL</w:t>
            </w:r>
          </w:p>
        </w:tc>
        <w:tc>
          <w:tcPr>
            <w:tcW w:w="728" w:type="dxa"/>
            <w:tcBorders>
              <w:top w:val="nil"/>
              <w:left w:val="nil"/>
              <w:bottom w:val="single" w:sz="4" w:space="0" w:color="auto"/>
              <w:right w:val="single" w:sz="4" w:space="0" w:color="auto"/>
            </w:tcBorders>
            <w:shd w:val="clear" w:color="auto" w:fill="auto"/>
            <w:hideMark/>
          </w:tcPr>
          <w:p w14:paraId="2942CEAF"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1</w:t>
            </w:r>
          </w:p>
        </w:tc>
        <w:tc>
          <w:tcPr>
            <w:tcW w:w="704" w:type="dxa"/>
            <w:tcBorders>
              <w:top w:val="nil"/>
              <w:left w:val="nil"/>
              <w:bottom w:val="single" w:sz="4" w:space="0" w:color="auto"/>
              <w:right w:val="single" w:sz="4" w:space="0" w:color="auto"/>
            </w:tcBorders>
            <w:shd w:val="clear" w:color="auto" w:fill="auto"/>
            <w:hideMark/>
          </w:tcPr>
          <w:p w14:paraId="02FFCAB2"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3</w:t>
            </w:r>
          </w:p>
        </w:tc>
        <w:tc>
          <w:tcPr>
            <w:tcW w:w="586" w:type="dxa"/>
            <w:tcBorders>
              <w:top w:val="nil"/>
              <w:left w:val="nil"/>
              <w:bottom w:val="single" w:sz="4" w:space="0" w:color="auto"/>
              <w:right w:val="single" w:sz="4" w:space="0" w:color="auto"/>
            </w:tcBorders>
            <w:shd w:val="clear" w:color="auto" w:fill="auto"/>
            <w:hideMark/>
          </w:tcPr>
          <w:p w14:paraId="2A0FCE34"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14:paraId="3B667BEE"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$34,182.00</w:t>
            </w:r>
          </w:p>
        </w:tc>
      </w:tr>
      <w:tr w:rsidR="00E32434" w:rsidRPr="00E32434" w14:paraId="3FF54D22" w14:textId="77777777" w:rsidTr="008F2B05">
        <w:trPr>
          <w:trHeight w:val="275"/>
        </w:trPr>
        <w:tc>
          <w:tcPr>
            <w:tcW w:w="2425" w:type="dxa"/>
            <w:tcBorders>
              <w:top w:val="nil"/>
              <w:left w:val="single" w:sz="4" w:space="0" w:color="auto"/>
              <w:bottom w:val="single" w:sz="4" w:space="0" w:color="auto"/>
              <w:right w:val="single" w:sz="4" w:space="0" w:color="auto"/>
            </w:tcBorders>
            <w:shd w:val="clear" w:color="auto" w:fill="auto"/>
            <w:hideMark/>
          </w:tcPr>
          <w:p w14:paraId="42450F3F"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Alemtuzumab</w:t>
            </w:r>
          </w:p>
        </w:tc>
        <w:tc>
          <w:tcPr>
            <w:tcW w:w="1276" w:type="dxa"/>
            <w:tcBorders>
              <w:top w:val="nil"/>
              <w:left w:val="nil"/>
              <w:bottom w:val="single" w:sz="4" w:space="0" w:color="auto"/>
              <w:right w:val="single" w:sz="4" w:space="0" w:color="auto"/>
            </w:tcBorders>
            <w:shd w:val="clear" w:color="auto" w:fill="auto"/>
            <w:hideMark/>
          </w:tcPr>
          <w:p w14:paraId="6E66B8EE"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Lemtrada</w:t>
            </w:r>
          </w:p>
        </w:tc>
        <w:tc>
          <w:tcPr>
            <w:tcW w:w="992" w:type="dxa"/>
            <w:tcBorders>
              <w:top w:val="nil"/>
              <w:left w:val="nil"/>
              <w:bottom w:val="single" w:sz="4" w:space="0" w:color="auto"/>
              <w:right w:val="single" w:sz="4" w:space="0" w:color="auto"/>
            </w:tcBorders>
            <w:shd w:val="clear" w:color="auto" w:fill="auto"/>
            <w:hideMark/>
          </w:tcPr>
          <w:p w14:paraId="75D16284"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L04AA34</w:t>
            </w:r>
          </w:p>
        </w:tc>
        <w:tc>
          <w:tcPr>
            <w:tcW w:w="992" w:type="dxa"/>
            <w:tcBorders>
              <w:top w:val="nil"/>
              <w:left w:val="nil"/>
              <w:bottom w:val="single" w:sz="4" w:space="0" w:color="auto"/>
              <w:right w:val="single" w:sz="4" w:space="0" w:color="auto"/>
            </w:tcBorders>
            <w:shd w:val="clear" w:color="auto" w:fill="auto"/>
            <w:hideMark/>
          </w:tcPr>
          <w:p w14:paraId="7CBD5CE8"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10243D</w:t>
            </w:r>
          </w:p>
        </w:tc>
        <w:tc>
          <w:tcPr>
            <w:tcW w:w="1418" w:type="dxa"/>
            <w:tcBorders>
              <w:top w:val="nil"/>
              <w:left w:val="nil"/>
              <w:bottom w:val="single" w:sz="4" w:space="0" w:color="auto"/>
              <w:right w:val="single" w:sz="4" w:space="0" w:color="auto"/>
            </w:tcBorders>
            <w:shd w:val="clear" w:color="auto" w:fill="auto"/>
            <w:hideMark/>
          </w:tcPr>
          <w:p w14:paraId="07A23356" w14:textId="3F02D07C" w:rsidR="00E32434" w:rsidRPr="00E32434" w:rsidRDefault="00E32434" w:rsidP="00E32434">
            <w:pPr>
              <w:spacing w:after="0"/>
              <w:jc w:val="right"/>
              <w:rPr>
                <w:rFonts w:eastAsia="Times New Roman" w:cs="Times New Roman"/>
                <w:sz w:val="20"/>
                <w:szCs w:val="20"/>
              </w:rPr>
            </w:pPr>
            <w:r w:rsidRPr="009A5979">
              <w:rPr>
                <w:rFonts w:eastAsia="Times New Roman" w:cs="Times New Roman"/>
                <w:sz w:val="20"/>
                <w:szCs w:val="20"/>
              </w:rPr>
              <w:t>1 Apr</w:t>
            </w:r>
            <w:r w:rsidRPr="00E32434">
              <w:rPr>
                <w:rFonts w:eastAsia="Times New Roman" w:cs="Times New Roman"/>
                <w:sz w:val="20"/>
                <w:szCs w:val="20"/>
              </w:rPr>
              <w:t xml:space="preserve"> 2015</w:t>
            </w:r>
          </w:p>
        </w:tc>
        <w:tc>
          <w:tcPr>
            <w:tcW w:w="3935" w:type="dxa"/>
            <w:tcBorders>
              <w:top w:val="nil"/>
              <w:left w:val="nil"/>
              <w:bottom w:val="single" w:sz="4" w:space="0" w:color="auto"/>
              <w:right w:val="single" w:sz="4" w:space="0" w:color="auto"/>
            </w:tcBorders>
            <w:shd w:val="clear" w:color="auto" w:fill="auto"/>
            <w:hideMark/>
          </w:tcPr>
          <w:p w14:paraId="749811E0"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Solution concentrate for I.V. infusion 12 mg in 1.2 mL</w:t>
            </w:r>
          </w:p>
        </w:tc>
        <w:tc>
          <w:tcPr>
            <w:tcW w:w="728" w:type="dxa"/>
            <w:tcBorders>
              <w:top w:val="nil"/>
              <w:left w:val="nil"/>
              <w:bottom w:val="single" w:sz="4" w:space="0" w:color="auto"/>
              <w:right w:val="single" w:sz="4" w:space="0" w:color="auto"/>
            </w:tcBorders>
            <w:shd w:val="clear" w:color="auto" w:fill="auto"/>
            <w:hideMark/>
          </w:tcPr>
          <w:p w14:paraId="08F2C1F4"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1</w:t>
            </w:r>
          </w:p>
        </w:tc>
        <w:tc>
          <w:tcPr>
            <w:tcW w:w="704" w:type="dxa"/>
            <w:tcBorders>
              <w:top w:val="nil"/>
              <w:left w:val="nil"/>
              <w:bottom w:val="single" w:sz="4" w:space="0" w:color="auto"/>
              <w:right w:val="single" w:sz="4" w:space="0" w:color="auto"/>
            </w:tcBorders>
            <w:shd w:val="clear" w:color="auto" w:fill="auto"/>
            <w:hideMark/>
          </w:tcPr>
          <w:p w14:paraId="64075F9E"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5</w:t>
            </w:r>
          </w:p>
        </w:tc>
        <w:tc>
          <w:tcPr>
            <w:tcW w:w="586" w:type="dxa"/>
            <w:tcBorders>
              <w:top w:val="nil"/>
              <w:left w:val="nil"/>
              <w:bottom w:val="single" w:sz="4" w:space="0" w:color="auto"/>
              <w:right w:val="single" w:sz="4" w:space="0" w:color="auto"/>
            </w:tcBorders>
            <w:shd w:val="clear" w:color="auto" w:fill="auto"/>
            <w:hideMark/>
          </w:tcPr>
          <w:p w14:paraId="09EC1029"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14:paraId="4034AD9E"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$57,016.76</w:t>
            </w:r>
          </w:p>
        </w:tc>
      </w:tr>
      <w:tr w:rsidR="00E32434" w:rsidRPr="00E32434" w14:paraId="55C8B343" w14:textId="77777777" w:rsidTr="008F2B05">
        <w:trPr>
          <w:trHeight w:val="264"/>
        </w:trPr>
        <w:tc>
          <w:tcPr>
            <w:tcW w:w="2425" w:type="dxa"/>
            <w:tcBorders>
              <w:top w:val="nil"/>
              <w:left w:val="single" w:sz="4" w:space="0" w:color="auto"/>
              <w:bottom w:val="single" w:sz="4" w:space="0" w:color="auto"/>
              <w:right w:val="single" w:sz="4" w:space="0" w:color="auto"/>
            </w:tcBorders>
            <w:shd w:val="clear" w:color="auto" w:fill="auto"/>
            <w:hideMark/>
          </w:tcPr>
          <w:p w14:paraId="409CD6CF"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Alemtuzumab</w:t>
            </w:r>
          </w:p>
        </w:tc>
        <w:tc>
          <w:tcPr>
            <w:tcW w:w="1276" w:type="dxa"/>
            <w:tcBorders>
              <w:top w:val="nil"/>
              <w:left w:val="nil"/>
              <w:bottom w:val="single" w:sz="4" w:space="0" w:color="auto"/>
              <w:right w:val="single" w:sz="4" w:space="0" w:color="auto"/>
            </w:tcBorders>
            <w:shd w:val="clear" w:color="auto" w:fill="auto"/>
            <w:hideMark/>
          </w:tcPr>
          <w:p w14:paraId="5BE9ABA6"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Lemtrada</w:t>
            </w:r>
          </w:p>
        </w:tc>
        <w:tc>
          <w:tcPr>
            <w:tcW w:w="992" w:type="dxa"/>
            <w:tcBorders>
              <w:top w:val="nil"/>
              <w:left w:val="nil"/>
              <w:bottom w:val="single" w:sz="4" w:space="0" w:color="auto"/>
              <w:right w:val="single" w:sz="4" w:space="0" w:color="auto"/>
            </w:tcBorders>
            <w:shd w:val="clear" w:color="auto" w:fill="auto"/>
            <w:hideMark/>
          </w:tcPr>
          <w:p w14:paraId="2E6AE116"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L04AA34</w:t>
            </w:r>
          </w:p>
        </w:tc>
        <w:tc>
          <w:tcPr>
            <w:tcW w:w="992" w:type="dxa"/>
            <w:tcBorders>
              <w:top w:val="nil"/>
              <w:left w:val="nil"/>
              <w:bottom w:val="single" w:sz="4" w:space="0" w:color="auto"/>
              <w:right w:val="single" w:sz="4" w:space="0" w:color="auto"/>
            </w:tcBorders>
            <w:shd w:val="clear" w:color="auto" w:fill="auto"/>
            <w:hideMark/>
          </w:tcPr>
          <w:p w14:paraId="5549E467"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10246G</w:t>
            </w:r>
          </w:p>
        </w:tc>
        <w:tc>
          <w:tcPr>
            <w:tcW w:w="1418" w:type="dxa"/>
            <w:tcBorders>
              <w:top w:val="nil"/>
              <w:left w:val="nil"/>
              <w:bottom w:val="single" w:sz="4" w:space="0" w:color="auto"/>
              <w:right w:val="single" w:sz="4" w:space="0" w:color="auto"/>
            </w:tcBorders>
            <w:shd w:val="clear" w:color="auto" w:fill="auto"/>
            <w:hideMark/>
          </w:tcPr>
          <w:p w14:paraId="0ECC3457" w14:textId="5CF2594A" w:rsidR="00E32434" w:rsidRPr="00E32434" w:rsidRDefault="00E32434" w:rsidP="00E32434">
            <w:pPr>
              <w:spacing w:after="0"/>
              <w:jc w:val="right"/>
              <w:rPr>
                <w:rFonts w:eastAsia="Times New Roman" w:cs="Times New Roman"/>
                <w:sz w:val="20"/>
                <w:szCs w:val="20"/>
              </w:rPr>
            </w:pPr>
            <w:r w:rsidRPr="009A5979">
              <w:rPr>
                <w:rFonts w:eastAsia="Times New Roman" w:cs="Times New Roman"/>
                <w:sz w:val="20"/>
                <w:szCs w:val="20"/>
              </w:rPr>
              <w:t>1 Apr</w:t>
            </w:r>
            <w:r w:rsidRPr="00E32434">
              <w:rPr>
                <w:rFonts w:eastAsia="Times New Roman" w:cs="Times New Roman"/>
                <w:sz w:val="20"/>
                <w:szCs w:val="20"/>
              </w:rPr>
              <w:t xml:space="preserve"> 2015</w:t>
            </w:r>
          </w:p>
        </w:tc>
        <w:tc>
          <w:tcPr>
            <w:tcW w:w="3935" w:type="dxa"/>
            <w:tcBorders>
              <w:top w:val="nil"/>
              <w:left w:val="nil"/>
              <w:bottom w:val="single" w:sz="4" w:space="0" w:color="auto"/>
              <w:right w:val="single" w:sz="4" w:space="0" w:color="auto"/>
            </w:tcBorders>
            <w:shd w:val="clear" w:color="auto" w:fill="auto"/>
            <w:hideMark/>
          </w:tcPr>
          <w:p w14:paraId="4B0096D1"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Solution concentrate for I.V. infusion 12 mg in 1.2 mL</w:t>
            </w:r>
          </w:p>
        </w:tc>
        <w:tc>
          <w:tcPr>
            <w:tcW w:w="728" w:type="dxa"/>
            <w:tcBorders>
              <w:top w:val="nil"/>
              <w:left w:val="nil"/>
              <w:bottom w:val="single" w:sz="4" w:space="0" w:color="auto"/>
              <w:right w:val="single" w:sz="4" w:space="0" w:color="auto"/>
            </w:tcBorders>
            <w:shd w:val="clear" w:color="auto" w:fill="auto"/>
            <w:hideMark/>
          </w:tcPr>
          <w:p w14:paraId="70A6A604"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1</w:t>
            </w:r>
          </w:p>
        </w:tc>
        <w:tc>
          <w:tcPr>
            <w:tcW w:w="704" w:type="dxa"/>
            <w:tcBorders>
              <w:top w:val="nil"/>
              <w:left w:val="nil"/>
              <w:bottom w:val="single" w:sz="4" w:space="0" w:color="auto"/>
              <w:right w:val="single" w:sz="4" w:space="0" w:color="auto"/>
            </w:tcBorders>
            <w:shd w:val="clear" w:color="auto" w:fill="auto"/>
            <w:hideMark/>
          </w:tcPr>
          <w:p w14:paraId="443BDC57"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3</w:t>
            </w:r>
          </w:p>
        </w:tc>
        <w:tc>
          <w:tcPr>
            <w:tcW w:w="586" w:type="dxa"/>
            <w:tcBorders>
              <w:top w:val="nil"/>
              <w:left w:val="nil"/>
              <w:bottom w:val="single" w:sz="4" w:space="0" w:color="auto"/>
              <w:right w:val="single" w:sz="4" w:space="0" w:color="auto"/>
            </w:tcBorders>
            <w:shd w:val="clear" w:color="auto" w:fill="auto"/>
            <w:hideMark/>
          </w:tcPr>
          <w:p w14:paraId="4780DD3B"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14:paraId="35B4024A"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$34,228.75</w:t>
            </w:r>
          </w:p>
        </w:tc>
      </w:tr>
      <w:tr w:rsidR="00E32434" w:rsidRPr="00E32434" w14:paraId="04C86143" w14:textId="77777777" w:rsidTr="008F2B05">
        <w:trPr>
          <w:trHeight w:val="436"/>
        </w:trPr>
        <w:tc>
          <w:tcPr>
            <w:tcW w:w="2425" w:type="dxa"/>
            <w:tcBorders>
              <w:top w:val="nil"/>
              <w:left w:val="single" w:sz="4" w:space="0" w:color="auto"/>
              <w:bottom w:val="single" w:sz="4" w:space="0" w:color="auto"/>
              <w:right w:val="single" w:sz="4" w:space="0" w:color="auto"/>
            </w:tcBorders>
            <w:shd w:val="clear" w:color="auto" w:fill="auto"/>
            <w:hideMark/>
          </w:tcPr>
          <w:p w14:paraId="0F91FE24"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Dimethyl fumarate</w:t>
            </w:r>
          </w:p>
        </w:tc>
        <w:tc>
          <w:tcPr>
            <w:tcW w:w="1276" w:type="dxa"/>
            <w:tcBorders>
              <w:top w:val="nil"/>
              <w:left w:val="nil"/>
              <w:bottom w:val="single" w:sz="4" w:space="0" w:color="auto"/>
              <w:right w:val="single" w:sz="4" w:space="0" w:color="auto"/>
            </w:tcBorders>
            <w:shd w:val="clear" w:color="auto" w:fill="auto"/>
            <w:hideMark/>
          </w:tcPr>
          <w:p w14:paraId="6ECF54A9"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Tecfidera</w:t>
            </w:r>
          </w:p>
        </w:tc>
        <w:tc>
          <w:tcPr>
            <w:tcW w:w="992" w:type="dxa"/>
            <w:tcBorders>
              <w:top w:val="nil"/>
              <w:left w:val="nil"/>
              <w:bottom w:val="single" w:sz="4" w:space="0" w:color="auto"/>
              <w:right w:val="single" w:sz="4" w:space="0" w:color="auto"/>
            </w:tcBorders>
            <w:shd w:val="clear" w:color="auto" w:fill="auto"/>
            <w:hideMark/>
          </w:tcPr>
          <w:p w14:paraId="22EFD055"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N07XX09</w:t>
            </w:r>
          </w:p>
        </w:tc>
        <w:tc>
          <w:tcPr>
            <w:tcW w:w="992" w:type="dxa"/>
            <w:tcBorders>
              <w:top w:val="nil"/>
              <w:left w:val="nil"/>
              <w:bottom w:val="single" w:sz="4" w:space="0" w:color="auto"/>
              <w:right w:val="single" w:sz="4" w:space="0" w:color="auto"/>
            </w:tcBorders>
            <w:shd w:val="clear" w:color="auto" w:fill="auto"/>
            <w:hideMark/>
          </w:tcPr>
          <w:p w14:paraId="651806CC"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02896K</w:t>
            </w:r>
          </w:p>
        </w:tc>
        <w:tc>
          <w:tcPr>
            <w:tcW w:w="1418" w:type="dxa"/>
            <w:tcBorders>
              <w:top w:val="nil"/>
              <w:left w:val="nil"/>
              <w:bottom w:val="single" w:sz="4" w:space="0" w:color="auto"/>
              <w:right w:val="single" w:sz="4" w:space="0" w:color="auto"/>
            </w:tcBorders>
            <w:shd w:val="clear" w:color="auto" w:fill="auto"/>
            <w:hideMark/>
          </w:tcPr>
          <w:p w14:paraId="65C9A99B" w14:textId="0810D025" w:rsidR="00E32434" w:rsidRPr="00E32434" w:rsidRDefault="00E32434" w:rsidP="00E32434">
            <w:pPr>
              <w:spacing w:after="0"/>
              <w:jc w:val="right"/>
              <w:rPr>
                <w:rFonts w:eastAsia="Times New Roman" w:cs="Times New Roman"/>
                <w:sz w:val="20"/>
                <w:szCs w:val="20"/>
              </w:rPr>
            </w:pPr>
            <w:r>
              <w:rPr>
                <w:rFonts w:eastAsia="Times New Roman" w:cs="Times New Roman"/>
                <w:sz w:val="20"/>
                <w:szCs w:val="20"/>
              </w:rPr>
              <w:t>1 Dec</w:t>
            </w:r>
            <w:r w:rsidRPr="00E32434">
              <w:rPr>
                <w:rFonts w:eastAsia="Times New Roman" w:cs="Times New Roman"/>
                <w:sz w:val="20"/>
                <w:szCs w:val="20"/>
              </w:rPr>
              <w:t xml:space="preserve"> 2013</w:t>
            </w:r>
          </w:p>
        </w:tc>
        <w:tc>
          <w:tcPr>
            <w:tcW w:w="3935" w:type="dxa"/>
            <w:tcBorders>
              <w:top w:val="nil"/>
              <w:left w:val="nil"/>
              <w:bottom w:val="single" w:sz="4" w:space="0" w:color="auto"/>
              <w:right w:val="single" w:sz="4" w:space="0" w:color="auto"/>
            </w:tcBorders>
            <w:shd w:val="clear" w:color="auto" w:fill="auto"/>
            <w:hideMark/>
          </w:tcPr>
          <w:p w14:paraId="047C95ED"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Capsule (modified release) 120 mg</w:t>
            </w:r>
          </w:p>
        </w:tc>
        <w:tc>
          <w:tcPr>
            <w:tcW w:w="728" w:type="dxa"/>
            <w:tcBorders>
              <w:top w:val="nil"/>
              <w:left w:val="nil"/>
              <w:bottom w:val="single" w:sz="4" w:space="0" w:color="auto"/>
              <w:right w:val="single" w:sz="4" w:space="0" w:color="auto"/>
            </w:tcBorders>
            <w:shd w:val="clear" w:color="auto" w:fill="auto"/>
            <w:hideMark/>
          </w:tcPr>
          <w:p w14:paraId="3A9046D1"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14</w:t>
            </w:r>
          </w:p>
        </w:tc>
        <w:tc>
          <w:tcPr>
            <w:tcW w:w="704" w:type="dxa"/>
            <w:tcBorders>
              <w:top w:val="nil"/>
              <w:left w:val="nil"/>
              <w:bottom w:val="single" w:sz="4" w:space="0" w:color="auto"/>
              <w:right w:val="single" w:sz="4" w:space="0" w:color="auto"/>
            </w:tcBorders>
            <w:shd w:val="clear" w:color="auto" w:fill="auto"/>
            <w:hideMark/>
          </w:tcPr>
          <w:p w14:paraId="4BF98FB9"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14</w:t>
            </w:r>
          </w:p>
        </w:tc>
        <w:tc>
          <w:tcPr>
            <w:tcW w:w="586" w:type="dxa"/>
            <w:tcBorders>
              <w:top w:val="nil"/>
              <w:left w:val="nil"/>
              <w:bottom w:val="single" w:sz="4" w:space="0" w:color="auto"/>
              <w:right w:val="single" w:sz="4" w:space="0" w:color="auto"/>
            </w:tcBorders>
            <w:shd w:val="clear" w:color="auto" w:fill="auto"/>
            <w:hideMark/>
          </w:tcPr>
          <w:p w14:paraId="400B9734"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14:paraId="17B48E6B"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$491.31</w:t>
            </w:r>
          </w:p>
        </w:tc>
      </w:tr>
      <w:tr w:rsidR="00E32434" w:rsidRPr="00E32434" w14:paraId="7183BB59" w14:textId="77777777" w:rsidTr="008F2B05">
        <w:trPr>
          <w:trHeight w:val="401"/>
        </w:trPr>
        <w:tc>
          <w:tcPr>
            <w:tcW w:w="2425" w:type="dxa"/>
            <w:tcBorders>
              <w:top w:val="nil"/>
              <w:left w:val="single" w:sz="4" w:space="0" w:color="auto"/>
              <w:bottom w:val="single" w:sz="4" w:space="0" w:color="auto"/>
              <w:right w:val="single" w:sz="4" w:space="0" w:color="auto"/>
            </w:tcBorders>
            <w:shd w:val="clear" w:color="auto" w:fill="auto"/>
            <w:hideMark/>
          </w:tcPr>
          <w:p w14:paraId="1647F845"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Dimethyl fumarate</w:t>
            </w:r>
          </w:p>
        </w:tc>
        <w:tc>
          <w:tcPr>
            <w:tcW w:w="1276" w:type="dxa"/>
            <w:tcBorders>
              <w:top w:val="nil"/>
              <w:left w:val="nil"/>
              <w:bottom w:val="single" w:sz="4" w:space="0" w:color="auto"/>
              <w:right w:val="single" w:sz="4" w:space="0" w:color="auto"/>
            </w:tcBorders>
            <w:shd w:val="clear" w:color="auto" w:fill="auto"/>
            <w:hideMark/>
          </w:tcPr>
          <w:p w14:paraId="620C39FE"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Tecfidera</w:t>
            </w:r>
          </w:p>
        </w:tc>
        <w:tc>
          <w:tcPr>
            <w:tcW w:w="992" w:type="dxa"/>
            <w:tcBorders>
              <w:top w:val="nil"/>
              <w:left w:val="nil"/>
              <w:bottom w:val="single" w:sz="4" w:space="0" w:color="auto"/>
              <w:right w:val="single" w:sz="4" w:space="0" w:color="auto"/>
            </w:tcBorders>
            <w:shd w:val="clear" w:color="auto" w:fill="auto"/>
            <w:hideMark/>
          </w:tcPr>
          <w:p w14:paraId="0A19B7B1"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N07XX09</w:t>
            </w:r>
          </w:p>
        </w:tc>
        <w:tc>
          <w:tcPr>
            <w:tcW w:w="992" w:type="dxa"/>
            <w:tcBorders>
              <w:top w:val="nil"/>
              <w:left w:val="nil"/>
              <w:bottom w:val="single" w:sz="4" w:space="0" w:color="auto"/>
              <w:right w:val="single" w:sz="4" w:space="0" w:color="auto"/>
            </w:tcBorders>
            <w:shd w:val="clear" w:color="auto" w:fill="auto"/>
            <w:hideMark/>
          </w:tcPr>
          <w:p w14:paraId="17A8C2CA"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02943X</w:t>
            </w:r>
          </w:p>
        </w:tc>
        <w:tc>
          <w:tcPr>
            <w:tcW w:w="1418" w:type="dxa"/>
            <w:tcBorders>
              <w:top w:val="nil"/>
              <w:left w:val="nil"/>
              <w:bottom w:val="single" w:sz="4" w:space="0" w:color="auto"/>
              <w:right w:val="single" w:sz="4" w:space="0" w:color="auto"/>
            </w:tcBorders>
            <w:shd w:val="clear" w:color="auto" w:fill="auto"/>
            <w:hideMark/>
          </w:tcPr>
          <w:p w14:paraId="40458FC8" w14:textId="1DD5E727" w:rsidR="00E32434" w:rsidRPr="00E32434" w:rsidRDefault="00E32434" w:rsidP="00E32434">
            <w:pPr>
              <w:spacing w:after="0"/>
              <w:jc w:val="right"/>
              <w:rPr>
                <w:rFonts w:eastAsia="Times New Roman" w:cs="Times New Roman"/>
                <w:sz w:val="20"/>
                <w:szCs w:val="20"/>
              </w:rPr>
            </w:pPr>
            <w:r w:rsidRPr="005A08ED">
              <w:rPr>
                <w:rFonts w:eastAsia="Times New Roman" w:cs="Times New Roman"/>
                <w:sz w:val="20"/>
                <w:szCs w:val="20"/>
              </w:rPr>
              <w:t>1 Dec</w:t>
            </w:r>
            <w:r w:rsidRPr="00E32434">
              <w:rPr>
                <w:rFonts w:eastAsia="Times New Roman" w:cs="Times New Roman"/>
                <w:sz w:val="20"/>
                <w:szCs w:val="20"/>
              </w:rPr>
              <w:t xml:space="preserve"> 2013</w:t>
            </w:r>
          </w:p>
        </w:tc>
        <w:tc>
          <w:tcPr>
            <w:tcW w:w="3935" w:type="dxa"/>
            <w:tcBorders>
              <w:top w:val="nil"/>
              <w:left w:val="nil"/>
              <w:bottom w:val="single" w:sz="4" w:space="0" w:color="auto"/>
              <w:right w:val="single" w:sz="4" w:space="0" w:color="auto"/>
            </w:tcBorders>
            <w:shd w:val="clear" w:color="auto" w:fill="auto"/>
            <w:hideMark/>
          </w:tcPr>
          <w:p w14:paraId="47A9C1AC"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Capsule (modified release) 120 mg</w:t>
            </w:r>
          </w:p>
        </w:tc>
        <w:tc>
          <w:tcPr>
            <w:tcW w:w="728" w:type="dxa"/>
            <w:tcBorders>
              <w:top w:val="nil"/>
              <w:left w:val="nil"/>
              <w:bottom w:val="single" w:sz="4" w:space="0" w:color="auto"/>
              <w:right w:val="single" w:sz="4" w:space="0" w:color="auto"/>
            </w:tcBorders>
            <w:shd w:val="clear" w:color="auto" w:fill="auto"/>
            <w:hideMark/>
          </w:tcPr>
          <w:p w14:paraId="5677D167"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14</w:t>
            </w:r>
          </w:p>
        </w:tc>
        <w:tc>
          <w:tcPr>
            <w:tcW w:w="704" w:type="dxa"/>
            <w:tcBorders>
              <w:top w:val="nil"/>
              <w:left w:val="nil"/>
              <w:bottom w:val="single" w:sz="4" w:space="0" w:color="auto"/>
              <w:right w:val="single" w:sz="4" w:space="0" w:color="auto"/>
            </w:tcBorders>
            <w:shd w:val="clear" w:color="auto" w:fill="auto"/>
            <w:hideMark/>
          </w:tcPr>
          <w:p w14:paraId="4DA9482A"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14</w:t>
            </w:r>
          </w:p>
        </w:tc>
        <w:tc>
          <w:tcPr>
            <w:tcW w:w="586" w:type="dxa"/>
            <w:tcBorders>
              <w:top w:val="nil"/>
              <w:left w:val="nil"/>
              <w:bottom w:val="single" w:sz="4" w:space="0" w:color="auto"/>
              <w:right w:val="single" w:sz="4" w:space="0" w:color="auto"/>
            </w:tcBorders>
            <w:shd w:val="clear" w:color="auto" w:fill="auto"/>
            <w:hideMark/>
          </w:tcPr>
          <w:p w14:paraId="724254BD"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14:paraId="75B9BC8F"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$491.31</w:t>
            </w:r>
          </w:p>
        </w:tc>
      </w:tr>
      <w:tr w:rsidR="00E32434" w:rsidRPr="00E32434" w14:paraId="04B96A8D" w14:textId="77777777" w:rsidTr="008F2B05">
        <w:trPr>
          <w:trHeight w:val="279"/>
        </w:trPr>
        <w:tc>
          <w:tcPr>
            <w:tcW w:w="2425" w:type="dxa"/>
            <w:tcBorders>
              <w:top w:val="nil"/>
              <w:left w:val="single" w:sz="4" w:space="0" w:color="auto"/>
              <w:bottom w:val="single" w:sz="4" w:space="0" w:color="auto"/>
              <w:right w:val="single" w:sz="4" w:space="0" w:color="auto"/>
            </w:tcBorders>
            <w:shd w:val="clear" w:color="auto" w:fill="auto"/>
            <w:hideMark/>
          </w:tcPr>
          <w:p w14:paraId="65B739D8"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Dimethyl fumarate</w:t>
            </w:r>
          </w:p>
        </w:tc>
        <w:tc>
          <w:tcPr>
            <w:tcW w:w="1276" w:type="dxa"/>
            <w:tcBorders>
              <w:top w:val="nil"/>
              <w:left w:val="nil"/>
              <w:bottom w:val="single" w:sz="4" w:space="0" w:color="auto"/>
              <w:right w:val="single" w:sz="4" w:space="0" w:color="auto"/>
            </w:tcBorders>
            <w:shd w:val="clear" w:color="auto" w:fill="auto"/>
            <w:hideMark/>
          </w:tcPr>
          <w:p w14:paraId="4132FEB1"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Tecfidera</w:t>
            </w:r>
          </w:p>
        </w:tc>
        <w:tc>
          <w:tcPr>
            <w:tcW w:w="992" w:type="dxa"/>
            <w:tcBorders>
              <w:top w:val="nil"/>
              <w:left w:val="nil"/>
              <w:bottom w:val="single" w:sz="4" w:space="0" w:color="auto"/>
              <w:right w:val="single" w:sz="4" w:space="0" w:color="auto"/>
            </w:tcBorders>
            <w:shd w:val="clear" w:color="auto" w:fill="auto"/>
            <w:hideMark/>
          </w:tcPr>
          <w:p w14:paraId="5C61A35E"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N07XX09</w:t>
            </w:r>
          </w:p>
        </w:tc>
        <w:tc>
          <w:tcPr>
            <w:tcW w:w="992" w:type="dxa"/>
            <w:tcBorders>
              <w:top w:val="nil"/>
              <w:left w:val="nil"/>
              <w:bottom w:val="single" w:sz="4" w:space="0" w:color="auto"/>
              <w:right w:val="single" w:sz="4" w:space="0" w:color="auto"/>
            </w:tcBorders>
            <w:shd w:val="clear" w:color="auto" w:fill="auto"/>
            <w:hideMark/>
          </w:tcPr>
          <w:p w14:paraId="28C52989"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02966D</w:t>
            </w:r>
          </w:p>
        </w:tc>
        <w:tc>
          <w:tcPr>
            <w:tcW w:w="1418" w:type="dxa"/>
            <w:tcBorders>
              <w:top w:val="nil"/>
              <w:left w:val="nil"/>
              <w:bottom w:val="single" w:sz="4" w:space="0" w:color="auto"/>
              <w:right w:val="single" w:sz="4" w:space="0" w:color="auto"/>
            </w:tcBorders>
            <w:shd w:val="clear" w:color="auto" w:fill="auto"/>
            <w:hideMark/>
          </w:tcPr>
          <w:p w14:paraId="2ED74530" w14:textId="6323E80F" w:rsidR="00E32434" w:rsidRPr="00E32434" w:rsidRDefault="00E32434" w:rsidP="00E32434">
            <w:pPr>
              <w:spacing w:after="0"/>
              <w:jc w:val="right"/>
              <w:rPr>
                <w:rFonts w:eastAsia="Times New Roman" w:cs="Times New Roman"/>
                <w:sz w:val="20"/>
                <w:szCs w:val="20"/>
              </w:rPr>
            </w:pPr>
            <w:r w:rsidRPr="005A08ED">
              <w:rPr>
                <w:rFonts w:eastAsia="Times New Roman" w:cs="Times New Roman"/>
                <w:sz w:val="20"/>
                <w:szCs w:val="20"/>
              </w:rPr>
              <w:t>1 Dec</w:t>
            </w:r>
            <w:r w:rsidRPr="00E32434">
              <w:rPr>
                <w:rFonts w:eastAsia="Times New Roman" w:cs="Times New Roman"/>
                <w:sz w:val="20"/>
                <w:szCs w:val="20"/>
              </w:rPr>
              <w:t xml:space="preserve"> 2013</w:t>
            </w:r>
          </w:p>
        </w:tc>
        <w:tc>
          <w:tcPr>
            <w:tcW w:w="3935" w:type="dxa"/>
            <w:tcBorders>
              <w:top w:val="nil"/>
              <w:left w:val="nil"/>
              <w:bottom w:val="single" w:sz="4" w:space="0" w:color="auto"/>
              <w:right w:val="single" w:sz="4" w:space="0" w:color="auto"/>
            </w:tcBorders>
            <w:shd w:val="clear" w:color="auto" w:fill="auto"/>
            <w:hideMark/>
          </w:tcPr>
          <w:p w14:paraId="138602CE"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Capsule (modified release) 240 mg</w:t>
            </w:r>
          </w:p>
        </w:tc>
        <w:tc>
          <w:tcPr>
            <w:tcW w:w="728" w:type="dxa"/>
            <w:tcBorders>
              <w:top w:val="nil"/>
              <w:left w:val="nil"/>
              <w:bottom w:val="single" w:sz="4" w:space="0" w:color="auto"/>
              <w:right w:val="single" w:sz="4" w:space="0" w:color="auto"/>
            </w:tcBorders>
            <w:shd w:val="clear" w:color="auto" w:fill="auto"/>
            <w:hideMark/>
          </w:tcPr>
          <w:p w14:paraId="17264D70"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56</w:t>
            </w:r>
          </w:p>
        </w:tc>
        <w:tc>
          <w:tcPr>
            <w:tcW w:w="704" w:type="dxa"/>
            <w:tcBorders>
              <w:top w:val="nil"/>
              <w:left w:val="nil"/>
              <w:bottom w:val="single" w:sz="4" w:space="0" w:color="auto"/>
              <w:right w:val="single" w:sz="4" w:space="0" w:color="auto"/>
            </w:tcBorders>
            <w:shd w:val="clear" w:color="auto" w:fill="auto"/>
            <w:hideMark/>
          </w:tcPr>
          <w:p w14:paraId="337588CC"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56</w:t>
            </w:r>
          </w:p>
        </w:tc>
        <w:tc>
          <w:tcPr>
            <w:tcW w:w="586" w:type="dxa"/>
            <w:tcBorders>
              <w:top w:val="nil"/>
              <w:left w:val="nil"/>
              <w:bottom w:val="single" w:sz="4" w:space="0" w:color="auto"/>
              <w:right w:val="single" w:sz="4" w:space="0" w:color="auto"/>
            </w:tcBorders>
            <w:shd w:val="clear" w:color="auto" w:fill="auto"/>
            <w:hideMark/>
          </w:tcPr>
          <w:p w14:paraId="3F0DBC0C"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14:paraId="0CF3EC35"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$1,880.00</w:t>
            </w:r>
          </w:p>
        </w:tc>
      </w:tr>
      <w:tr w:rsidR="00E32434" w:rsidRPr="00E32434" w14:paraId="0B6F8D01" w14:textId="77777777" w:rsidTr="008F2B05">
        <w:trPr>
          <w:trHeight w:val="410"/>
        </w:trPr>
        <w:tc>
          <w:tcPr>
            <w:tcW w:w="2425" w:type="dxa"/>
            <w:tcBorders>
              <w:top w:val="nil"/>
              <w:left w:val="single" w:sz="4" w:space="0" w:color="auto"/>
              <w:bottom w:val="single" w:sz="4" w:space="0" w:color="auto"/>
              <w:right w:val="single" w:sz="4" w:space="0" w:color="auto"/>
            </w:tcBorders>
            <w:shd w:val="clear" w:color="auto" w:fill="auto"/>
            <w:hideMark/>
          </w:tcPr>
          <w:p w14:paraId="583946AA"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Fingolimod</w:t>
            </w:r>
          </w:p>
        </w:tc>
        <w:tc>
          <w:tcPr>
            <w:tcW w:w="1276" w:type="dxa"/>
            <w:tcBorders>
              <w:top w:val="nil"/>
              <w:left w:val="nil"/>
              <w:bottom w:val="single" w:sz="4" w:space="0" w:color="auto"/>
              <w:right w:val="single" w:sz="4" w:space="0" w:color="auto"/>
            </w:tcBorders>
            <w:shd w:val="clear" w:color="auto" w:fill="auto"/>
            <w:hideMark/>
          </w:tcPr>
          <w:p w14:paraId="2858BE60"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Gilenya</w:t>
            </w:r>
          </w:p>
        </w:tc>
        <w:tc>
          <w:tcPr>
            <w:tcW w:w="992" w:type="dxa"/>
            <w:tcBorders>
              <w:top w:val="nil"/>
              <w:left w:val="nil"/>
              <w:bottom w:val="single" w:sz="4" w:space="0" w:color="auto"/>
              <w:right w:val="single" w:sz="4" w:space="0" w:color="auto"/>
            </w:tcBorders>
            <w:shd w:val="clear" w:color="auto" w:fill="auto"/>
            <w:hideMark/>
          </w:tcPr>
          <w:p w14:paraId="6F8C41D0"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L04AA27</w:t>
            </w:r>
          </w:p>
        </w:tc>
        <w:tc>
          <w:tcPr>
            <w:tcW w:w="992" w:type="dxa"/>
            <w:tcBorders>
              <w:top w:val="nil"/>
              <w:left w:val="nil"/>
              <w:bottom w:val="single" w:sz="4" w:space="0" w:color="auto"/>
              <w:right w:val="single" w:sz="4" w:space="0" w:color="auto"/>
            </w:tcBorders>
            <w:shd w:val="clear" w:color="auto" w:fill="auto"/>
            <w:hideMark/>
          </w:tcPr>
          <w:p w14:paraId="72C5B9B4"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05262Y</w:t>
            </w:r>
          </w:p>
        </w:tc>
        <w:tc>
          <w:tcPr>
            <w:tcW w:w="1418" w:type="dxa"/>
            <w:tcBorders>
              <w:top w:val="nil"/>
              <w:left w:val="nil"/>
              <w:bottom w:val="single" w:sz="4" w:space="0" w:color="auto"/>
              <w:right w:val="single" w:sz="4" w:space="0" w:color="auto"/>
            </w:tcBorders>
            <w:shd w:val="clear" w:color="auto" w:fill="auto"/>
            <w:hideMark/>
          </w:tcPr>
          <w:p w14:paraId="267212DF" w14:textId="738A7C1C"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1 Sep 2011</w:t>
            </w:r>
          </w:p>
        </w:tc>
        <w:tc>
          <w:tcPr>
            <w:tcW w:w="3935" w:type="dxa"/>
            <w:tcBorders>
              <w:top w:val="nil"/>
              <w:left w:val="nil"/>
              <w:bottom w:val="single" w:sz="4" w:space="0" w:color="auto"/>
              <w:right w:val="single" w:sz="4" w:space="0" w:color="auto"/>
            </w:tcBorders>
            <w:shd w:val="clear" w:color="auto" w:fill="auto"/>
            <w:hideMark/>
          </w:tcPr>
          <w:p w14:paraId="014ABED2"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Capsule 500 micrograms (as hydrochloride)</w:t>
            </w:r>
          </w:p>
        </w:tc>
        <w:tc>
          <w:tcPr>
            <w:tcW w:w="728" w:type="dxa"/>
            <w:tcBorders>
              <w:top w:val="nil"/>
              <w:left w:val="nil"/>
              <w:bottom w:val="single" w:sz="4" w:space="0" w:color="auto"/>
              <w:right w:val="single" w:sz="4" w:space="0" w:color="auto"/>
            </w:tcBorders>
            <w:shd w:val="clear" w:color="auto" w:fill="auto"/>
            <w:hideMark/>
          </w:tcPr>
          <w:p w14:paraId="2B872E8B"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28</w:t>
            </w:r>
          </w:p>
        </w:tc>
        <w:tc>
          <w:tcPr>
            <w:tcW w:w="704" w:type="dxa"/>
            <w:tcBorders>
              <w:top w:val="nil"/>
              <w:left w:val="nil"/>
              <w:bottom w:val="single" w:sz="4" w:space="0" w:color="auto"/>
              <w:right w:val="single" w:sz="4" w:space="0" w:color="auto"/>
            </w:tcBorders>
            <w:shd w:val="clear" w:color="auto" w:fill="auto"/>
            <w:hideMark/>
          </w:tcPr>
          <w:p w14:paraId="7C11636F"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28</w:t>
            </w:r>
          </w:p>
        </w:tc>
        <w:tc>
          <w:tcPr>
            <w:tcW w:w="586" w:type="dxa"/>
            <w:tcBorders>
              <w:top w:val="nil"/>
              <w:left w:val="nil"/>
              <w:bottom w:val="single" w:sz="4" w:space="0" w:color="auto"/>
              <w:right w:val="single" w:sz="4" w:space="0" w:color="auto"/>
            </w:tcBorders>
            <w:shd w:val="clear" w:color="auto" w:fill="auto"/>
            <w:hideMark/>
          </w:tcPr>
          <w:p w14:paraId="422095F8"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14:paraId="772617E4"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$2,313.32</w:t>
            </w:r>
          </w:p>
        </w:tc>
      </w:tr>
      <w:tr w:rsidR="00E32434" w:rsidRPr="00E32434" w14:paraId="13391504" w14:textId="77777777" w:rsidTr="008F2B05">
        <w:trPr>
          <w:trHeight w:val="558"/>
        </w:trPr>
        <w:tc>
          <w:tcPr>
            <w:tcW w:w="2425" w:type="dxa"/>
            <w:tcBorders>
              <w:top w:val="nil"/>
              <w:left w:val="single" w:sz="4" w:space="0" w:color="auto"/>
              <w:bottom w:val="single" w:sz="4" w:space="0" w:color="auto"/>
              <w:right w:val="single" w:sz="4" w:space="0" w:color="auto"/>
            </w:tcBorders>
            <w:shd w:val="clear" w:color="auto" w:fill="auto"/>
            <w:hideMark/>
          </w:tcPr>
          <w:p w14:paraId="5181068D"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Glatiramer</w:t>
            </w:r>
          </w:p>
        </w:tc>
        <w:tc>
          <w:tcPr>
            <w:tcW w:w="1276" w:type="dxa"/>
            <w:tcBorders>
              <w:top w:val="nil"/>
              <w:left w:val="nil"/>
              <w:bottom w:val="single" w:sz="4" w:space="0" w:color="auto"/>
              <w:right w:val="single" w:sz="4" w:space="0" w:color="auto"/>
            </w:tcBorders>
            <w:shd w:val="clear" w:color="auto" w:fill="auto"/>
            <w:hideMark/>
          </w:tcPr>
          <w:p w14:paraId="5DE528FC"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Copaxone</w:t>
            </w:r>
          </w:p>
        </w:tc>
        <w:tc>
          <w:tcPr>
            <w:tcW w:w="992" w:type="dxa"/>
            <w:tcBorders>
              <w:top w:val="nil"/>
              <w:left w:val="nil"/>
              <w:bottom w:val="single" w:sz="4" w:space="0" w:color="auto"/>
              <w:right w:val="single" w:sz="4" w:space="0" w:color="auto"/>
            </w:tcBorders>
            <w:shd w:val="clear" w:color="auto" w:fill="auto"/>
            <w:hideMark/>
          </w:tcPr>
          <w:p w14:paraId="3B623C9D"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L03AX13</w:t>
            </w:r>
          </w:p>
        </w:tc>
        <w:tc>
          <w:tcPr>
            <w:tcW w:w="992" w:type="dxa"/>
            <w:tcBorders>
              <w:top w:val="nil"/>
              <w:left w:val="nil"/>
              <w:bottom w:val="single" w:sz="4" w:space="0" w:color="auto"/>
              <w:right w:val="single" w:sz="4" w:space="0" w:color="auto"/>
            </w:tcBorders>
            <w:shd w:val="clear" w:color="auto" w:fill="auto"/>
            <w:hideMark/>
          </w:tcPr>
          <w:p w14:paraId="42BC308C"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08726G</w:t>
            </w:r>
          </w:p>
        </w:tc>
        <w:tc>
          <w:tcPr>
            <w:tcW w:w="1418" w:type="dxa"/>
            <w:tcBorders>
              <w:top w:val="nil"/>
              <w:left w:val="nil"/>
              <w:bottom w:val="single" w:sz="4" w:space="0" w:color="auto"/>
              <w:right w:val="single" w:sz="4" w:space="0" w:color="auto"/>
            </w:tcBorders>
            <w:shd w:val="clear" w:color="auto" w:fill="auto"/>
            <w:hideMark/>
          </w:tcPr>
          <w:p w14:paraId="489F38B6"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1 May 2004</w:t>
            </w:r>
          </w:p>
        </w:tc>
        <w:tc>
          <w:tcPr>
            <w:tcW w:w="3935" w:type="dxa"/>
            <w:tcBorders>
              <w:top w:val="nil"/>
              <w:left w:val="nil"/>
              <w:bottom w:val="single" w:sz="4" w:space="0" w:color="auto"/>
              <w:right w:val="single" w:sz="4" w:space="0" w:color="auto"/>
            </w:tcBorders>
            <w:shd w:val="clear" w:color="auto" w:fill="auto"/>
            <w:hideMark/>
          </w:tcPr>
          <w:p w14:paraId="1F4F6D65" w14:textId="77777777" w:rsidR="00E32434" w:rsidRPr="00E32434" w:rsidRDefault="00E32434" w:rsidP="00E32434">
            <w:pPr>
              <w:spacing w:after="0"/>
              <w:rPr>
                <w:rFonts w:eastAsia="Times New Roman" w:cs="Times New Roman"/>
                <w:sz w:val="20"/>
                <w:szCs w:val="20"/>
              </w:rPr>
            </w:pPr>
            <w:r w:rsidRPr="00E32434">
              <w:rPr>
                <w:rFonts w:eastAsia="Times New Roman" w:cs="Times New Roman"/>
                <w:sz w:val="20"/>
                <w:szCs w:val="20"/>
              </w:rPr>
              <w:t>Injection containing glatiramer acetate 20 mg in 1 mL single dose pre-filled syringe</w:t>
            </w:r>
          </w:p>
        </w:tc>
        <w:tc>
          <w:tcPr>
            <w:tcW w:w="728" w:type="dxa"/>
            <w:tcBorders>
              <w:top w:val="nil"/>
              <w:left w:val="nil"/>
              <w:bottom w:val="single" w:sz="4" w:space="0" w:color="auto"/>
              <w:right w:val="single" w:sz="4" w:space="0" w:color="auto"/>
            </w:tcBorders>
            <w:shd w:val="clear" w:color="auto" w:fill="auto"/>
            <w:hideMark/>
          </w:tcPr>
          <w:p w14:paraId="452475E9"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28</w:t>
            </w:r>
          </w:p>
        </w:tc>
        <w:tc>
          <w:tcPr>
            <w:tcW w:w="704" w:type="dxa"/>
            <w:tcBorders>
              <w:top w:val="nil"/>
              <w:left w:val="nil"/>
              <w:bottom w:val="single" w:sz="4" w:space="0" w:color="auto"/>
              <w:right w:val="single" w:sz="4" w:space="0" w:color="auto"/>
            </w:tcBorders>
            <w:shd w:val="clear" w:color="auto" w:fill="auto"/>
            <w:hideMark/>
          </w:tcPr>
          <w:p w14:paraId="22CC4AA8"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28</w:t>
            </w:r>
          </w:p>
        </w:tc>
        <w:tc>
          <w:tcPr>
            <w:tcW w:w="586" w:type="dxa"/>
            <w:tcBorders>
              <w:top w:val="nil"/>
              <w:left w:val="nil"/>
              <w:bottom w:val="single" w:sz="4" w:space="0" w:color="auto"/>
              <w:right w:val="single" w:sz="4" w:space="0" w:color="auto"/>
            </w:tcBorders>
            <w:shd w:val="clear" w:color="auto" w:fill="auto"/>
            <w:hideMark/>
          </w:tcPr>
          <w:p w14:paraId="1258CECC"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14:paraId="740231B0" w14:textId="77777777" w:rsidR="00E32434" w:rsidRPr="00E32434" w:rsidRDefault="00E32434" w:rsidP="00E32434">
            <w:pPr>
              <w:spacing w:after="0"/>
              <w:jc w:val="right"/>
              <w:rPr>
                <w:rFonts w:eastAsia="Times New Roman" w:cs="Times New Roman"/>
                <w:sz w:val="20"/>
                <w:szCs w:val="20"/>
              </w:rPr>
            </w:pPr>
            <w:r w:rsidRPr="00E32434">
              <w:rPr>
                <w:rFonts w:eastAsia="Times New Roman" w:cs="Times New Roman"/>
                <w:sz w:val="20"/>
                <w:szCs w:val="20"/>
              </w:rPr>
              <w:t>$1,092.99</w:t>
            </w:r>
          </w:p>
        </w:tc>
      </w:tr>
      <w:tr w:rsidR="00E32434" w:rsidRPr="00E32434" w14:paraId="05D33646" w14:textId="77777777" w:rsidTr="008F2B05">
        <w:trPr>
          <w:trHeight w:val="850"/>
        </w:trPr>
        <w:tc>
          <w:tcPr>
            <w:tcW w:w="2425" w:type="dxa"/>
            <w:tcBorders>
              <w:top w:val="nil"/>
              <w:left w:val="single" w:sz="4" w:space="0" w:color="auto"/>
              <w:bottom w:val="single" w:sz="4" w:space="0" w:color="auto"/>
              <w:right w:val="single" w:sz="4" w:space="0" w:color="auto"/>
            </w:tcBorders>
            <w:shd w:val="clear" w:color="auto" w:fill="auto"/>
            <w:hideMark/>
          </w:tcPr>
          <w:p w14:paraId="0FE7F979"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Interferon beta-1a</w:t>
            </w:r>
          </w:p>
        </w:tc>
        <w:tc>
          <w:tcPr>
            <w:tcW w:w="1276" w:type="dxa"/>
            <w:tcBorders>
              <w:top w:val="nil"/>
              <w:left w:val="nil"/>
              <w:bottom w:val="single" w:sz="4" w:space="0" w:color="auto"/>
              <w:right w:val="single" w:sz="4" w:space="0" w:color="auto"/>
            </w:tcBorders>
            <w:shd w:val="clear" w:color="auto" w:fill="auto"/>
            <w:hideMark/>
          </w:tcPr>
          <w:p w14:paraId="515A4137"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Avonex</w:t>
            </w:r>
          </w:p>
        </w:tc>
        <w:tc>
          <w:tcPr>
            <w:tcW w:w="992" w:type="dxa"/>
            <w:tcBorders>
              <w:top w:val="nil"/>
              <w:left w:val="nil"/>
              <w:bottom w:val="single" w:sz="4" w:space="0" w:color="auto"/>
              <w:right w:val="single" w:sz="4" w:space="0" w:color="auto"/>
            </w:tcBorders>
            <w:shd w:val="clear" w:color="auto" w:fill="auto"/>
            <w:hideMark/>
          </w:tcPr>
          <w:p w14:paraId="0E84C5E8"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L03AB07</w:t>
            </w:r>
          </w:p>
        </w:tc>
        <w:tc>
          <w:tcPr>
            <w:tcW w:w="992" w:type="dxa"/>
            <w:tcBorders>
              <w:top w:val="nil"/>
              <w:left w:val="nil"/>
              <w:bottom w:val="single" w:sz="4" w:space="0" w:color="auto"/>
              <w:right w:val="single" w:sz="4" w:space="0" w:color="auto"/>
            </w:tcBorders>
            <w:shd w:val="clear" w:color="auto" w:fill="auto"/>
            <w:hideMark/>
          </w:tcPr>
          <w:p w14:paraId="16A9107A"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08289G</w:t>
            </w:r>
          </w:p>
        </w:tc>
        <w:tc>
          <w:tcPr>
            <w:tcW w:w="1418" w:type="dxa"/>
            <w:tcBorders>
              <w:top w:val="nil"/>
              <w:left w:val="nil"/>
              <w:bottom w:val="single" w:sz="4" w:space="0" w:color="auto"/>
              <w:right w:val="single" w:sz="4" w:space="0" w:color="auto"/>
            </w:tcBorders>
            <w:shd w:val="clear" w:color="auto" w:fill="auto"/>
            <w:hideMark/>
          </w:tcPr>
          <w:p w14:paraId="6EE9DED3" w14:textId="5EE32B4B" w:rsidR="00E32434" w:rsidRPr="00E32434" w:rsidRDefault="00E32434" w:rsidP="00E32434">
            <w:pPr>
              <w:spacing w:after="0"/>
              <w:jc w:val="right"/>
              <w:rPr>
                <w:rFonts w:ascii="Calibri" w:eastAsia="Times New Roman" w:hAnsi="Calibri" w:cs="Times New Roman"/>
                <w:sz w:val="20"/>
                <w:szCs w:val="20"/>
              </w:rPr>
            </w:pPr>
            <w:r>
              <w:rPr>
                <w:rFonts w:ascii="Calibri" w:eastAsia="Times New Roman" w:hAnsi="Calibri" w:cs="Times New Roman"/>
                <w:sz w:val="20"/>
                <w:szCs w:val="20"/>
              </w:rPr>
              <w:t>1 Feb</w:t>
            </w:r>
            <w:r w:rsidRPr="00E32434">
              <w:rPr>
                <w:rFonts w:ascii="Calibri" w:eastAsia="Times New Roman" w:hAnsi="Calibri" w:cs="Times New Roman"/>
                <w:sz w:val="20"/>
                <w:szCs w:val="20"/>
              </w:rPr>
              <w:t xml:space="preserve"> 1999</w:t>
            </w:r>
          </w:p>
        </w:tc>
        <w:tc>
          <w:tcPr>
            <w:tcW w:w="3935" w:type="dxa"/>
            <w:tcBorders>
              <w:top w:val="nil"/>
              <w:left w:val="nil"/>
              <w:bottom w:val="single" w:sz="4" w:space="0" w:color="auto"/>
              <w:right w:val="single" w:sz="4" w:space="0" w:color="auto"/>
            </w:tcBorders>
            <w:shd w:val="clear" w:color="auto" w:fill="auto"/>
            <w:hideMark/>
          </w:tcPr>
          <w:p w14:paraId="1D1641EF"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Injection set comprising 1 vial powder for injection 30 micrograms (6,000,000 I.U.) with diluent</w:t>
            </w:r>
          </w:p>
        </w:tc>
        <w:tc>
          <w:tcPr>
            <w:tcW w:w="728" w:type="dxa"/>
            <w:tcBorders>
              <w:top w:val="nil"/>
              <w:left w:val="nil"/>
              <w:bottom w:val="single" w:sz="4" w:space="0" w:color="auto"/>
              <w:right w:val="single" w:sz="4" w:space="0" w:color="auto"/>
            </w:tcBorders>
            <w:shd w:val="clear" w:color="auto" w:fill="auto"/>
            <w:hideMark/>
          </w:tcPr>
          <w:p w14:paraId="79EC3C45"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4</w:t>
            </w:r>
          </w:p>
        </w:tc>
        <w:tc>
          <w:tcPr>
            <w:tcW w:w="704" w:type="dxa"/>
            <w:tcBorders>
              <w:top w:val="nil"/>
              <w:left w:val="nil"/>
              <w:bottom w:val="single" w:sz="4" w:space="0" w:color="auto"/>
              <w:right w:val="single" w:sz="4" w:space="0" w:color="auto"/>
            </w:tcBorders>
            <w:shd w:val="clear" w:color="auto" w:fill="auto"/>
            <w:hideMark/>
          </w:tcPr>
          <w:p w14:paraId="76D12A16"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4</w:t>
            </w:r>
          </w:p>
        </w:tc>
        <w:tc>
          <w:tcPr>
            <w:tcW w:w="586" w:type="dxa"/>
            <w:tcBorders>
              <w:top w:val="nil"/>
              <w:left w:val="nil"/>
              <w:bottom w:val="single" w:sz="4" w:space="0" w:color="auto"/>
              <w:right w:val="single" w:sz="4" w:space="0" w:color="auto"/>
            </w:tcBorders>
            <w:shd w:val="clear" w:color="auto" w:fill="auto"/>
            <w:hideMark/>
          </w:tcPr>
          <w:p w14:paraId="514873F8"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14:paraId="6395D32C"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$1,057.11</w:t>
            </w:r>
          </w:p>
        </w:tc>
      </w:tr>
      <w:tr w:rsidR="00E32434" w:rsidRPr="00E32434" w14:paraId="3521F889" w14:textId="77777777" w:rsidTr="008F2B05">
        <w:trPr>
          <w:trHeight w:val="550"/>
        </w:trPr>
        <w:tc>
          <w:tcPr>
            <w:tcW w:w="2425" w:type="dxa"/>
            <w:tcBorders>
              <w:top w:val="nil"/>
              <w:left w:val="single" w:sz="4" w:space="0" w:color="auto"/>
              <w:bottom w:val="single" w:sz="4" w:space="0" w:color="auto"/>
              <w:right w:val="single" w:sz="4" w:space="0" w:color="auto"/>
            </w:tcBorders>
            <w:shd w:val="clear" w:color="auto" w:fill="auto"/>
            <w:hideMark/>
          </w:tcPr>
          <w:p w14:paraId="12D5D581"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Interferon beta-1a</w:t>
            </w:r>
          </w:p>
        </w:tc>
        <w:tc>
          <w:tcPr>
            <w:tcW w:w="1276" w:type="dxa"/>
            <w:tcBorders>
              <w:top w:val="nil"/>
              <w:left w:val="nil"/>
              <w:bottom w:val="single" w:sz="4" w:space="0" w:color="auto"/>
              <w:right w:val="single" w:sz="4" w:space="0" w:color="auto"/>
            </w:tcBorders>
            <w:shd w:val="clear" w:color="auto" w:fill="auto"/>
            <w:hideMark/>
          </w:tcPr>
          <w:p w14:paraId="306C6093"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Rebif 44</w:t>
            </w:r>
          </w:p>
        </w:tc>
        <w:tc>
          <w:tcPr>
            <w:tcW w:w="992" w:type="dxa"/>
            <w:tcBorders>
              <w:top w:val="nil"/>
              <w:left w:val="nil"/>
              <w:bottom w:val="single" w:sz="4" w:space="0" w:color="auto"/>
              <w:right w:val="single" w:sz="4" w:space="0" w:color="auto"/>
            </w:tcBorders>
            <w:shd w:val="clear" w:color="auto" w:fill="auto"/>
            <w:hideMark/>
          </w:tcPr>
          <w:p w14:paraId="48C1AF69"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L03AB07</w:t>
            </w:r>
          </w:p>
        </w:tc>
        <w:tc>
          <w:tcPr>
            <w:tcW w:w="992" w:type="dxa"/>
            <w:tcBorders>
              <w:top w:val="nil"/>
              <w:left w:val="nil"/>
              <w:bottom w:val="single" w:sz="4" w:space="0" w:color="auto"/>
              <w:right w:val="single" w:sz="4" w:space="0" w:color="auto"/>
            </w:tcBorders>
            <w:shd w:val="clear" w:color="auto" w:fill="auto"/>
            <w:hideMark/>
          </w:tcPr>
          <w:p w14:paraId="497317F9"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08403G</w:t>
            </w:r>
          </w:p>
        </w:tc>
        <w:tc>
          <w:tcPr>
            <w:tcW w:w="1418" w:type="dxa"/>
            <w:tcBorders>
              <w:top w:val="nil"/>
              <w:left w:val="nil"/>
              <w:bottom w:val="single" w:sz="4" w:space="0" w:color="auto"/>
              <w:right w:val="single" w:sz="4" w:space="0" w:color="auto"/>
            </w:tcBorders>
            <w:shd w:val="clear" w:color="auto" w:fill="auto"/>
            <w:hideMark/>
          </w:tcPr>
          <w:p w14:paraId="5F6B9A93"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 May 2000</w:t>
            </w:r>
          </w:p>
        </w:tc>
        <w:tc>
          <w:tcPr>
            <w:tcW w:w="3935" w:type="dxa"/>
            <w:tcBorders>
              <w:top w:val="nil"/>
              <w:left w:val="nil"/>
              <w:bottom w:val="single" w:sz="4" w:space="0" w:color="auto"/>
              <w:right w:val="single" w:sz="4" w:space="0" w:color="auto"/>
            </w:tcBorders>
            <w:shd w:val="clear" w:color="auto" w:fill="auto"/>
            <w:hideMark/>
          </w:tcPr>
          <w:p w14:paraId="3E15E18E"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Injection 44 micrograms (12,000,000 I.U.) in 0.5 mL single dose pre-filled syringe</w:t>
            </w:r>
          </w:p>
        </w:tc>
        <w:tc>
          <w:tcPr>
            <w:tcW w:w="728" w:type="dxa"/>
            <w:tcBorders>
              <w:top w:val="nil"/>
              <w:left w:val="nil"/>
              <w:bottom w:val="single" w:sz="4" w:space="0" w:color="auto"/>
              <w:right w:val="single" w:sz="4" w:space="0" w:color="auto"/>
            </w:tcBorders>
            <w:shd w:val="clear" w:color="auto" w:fill="auto"/>
            <w:hideMark/>
          </w:tcPr>
          <w:p w14:paraId="687ACA7E"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12</w:t>
            </w:r>
          </w:p>
        </w:tc>
        <w:tc>
          <w:tcPr>
            <w:tcW w:w="704" w:type="dxa"/>
            <w:tcBorders>
              <w:top w:val="nil"/>
              <w:left w:val="nil"/>
              <w:bottom w:val="single" w:sz="4" w:space="0" w:color="auto"/>
              <w:right w:val="single" w:sz="4" w:space="0" w:color="auto"/>
            </w:tcBorders>
            <w:shd w:val="clear" w:color="auto" w:fill="auto"/>
            <w:hideMark/>
          </w:tcPr>
          <w:p w14:paraId="49B72FAB"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12</w:t>
            </w:r>
          </w:p>
        </w:tc>
        <w:tc>
          <w:tcPr>
            <w:tcW w:w="586" w:type="dxa"/>
            <w:tcBorders>
              <w:top w:val="nil"/>
              <w:left w:val="nil"/>
              <w:bottom w:val="single" w:sz="4" w:space="0" w:color="auto"/>
              <w:right w:val="single" w:sz="4" w:space="0" w:color="auto"/>
            </w:tcBorders>
            <w:shd w:val="clear" w:color="auto" w:fill="auto"/>
            <w:hideMark/>
          </w:tcPr>
          <w:p w14:paraId="13ACA28B"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14:paraId="60E465CB"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$1,057.11</w:t>
            </w:r>
          </w:p>
        </w:tc>
      </w:tr>
      <w:tr w:rsidR="00E32434" w:rsidRPr="00E32434" w14:paraId="5270E114" w14:textId="77777777" w:rsidTr="008F2B05">
        <w:trPr>
          <w:trHeight w:val="558"/>
        </w:trPr>
        <w:tc>
          <w:tcPr>
            <w:tcW w:w="2425" w:type="dxa"/>
            <w:tcBorders>
              <w:top w:val="nil"/>
              <w:left w:val="single" w:sz="4" w:space="0" w:color="auto"/>
              <w:bottom w:val="single" w:sz="4" w:space="0" w:color="auto"/>
              <w:right w:val="single" w:sz="4" w:space="0" w:color="auto"/>
            </w:tcBorders>
            <w:shd w:val="clear" w:color="auto" w:fill="auto"/>
            <w:hideMark/>
          </w:tcPr>
          <w:p w14:paraId="734866CC"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Interferon beta-1a</w:t>
            </w:r>
          </w:p>
        </w:tc>
        <w:tc>
          <w:tcPr>
            <w:tcW w:w="1276" w:type="dxa"/>
            <w:tcBorders>
              <w:top w:val="nil"/>
              <w:left w:val="nil"/>
              <w:bottom w:val="single" w:sz="4" w:space="0" w:color="auto"/>
              <w:right w:val="single" w:sz="4" w:space="0" w:color="auto"/>
            </w:tcBorders>
            <w:shd w:val="clear" w:color="auto" w:fill="auto"/>
            <w:hideMark/>
          </w:tcPr>
          <w:p w14:paraId="3B9CA7CE"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Avonex</w:t>
            </w:r>
          </w:p>
        </w:tc>
        <w:tc>
          <w:tcPr>
            <w:tcW w:w="992" w:type="dxa"/>
            <w:tcBorders>
              <w:top w:val="nil"/>
              <w:left w:val="nil"/>
              <w:bottom w:val="single" w:sz="4" w:space="0" w:color="auto"/>
              <w:right w:val="single" w:sz="4" w:space="0" w:color="auto"/>
            </w:tcBorders>
            <w:shd w:val="clear" w:color="auto" w:fill="auto"/>
            <w:hideMark/>
          </w:tcPr>
          <w:p w14:paraId="03DE61E1"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L03AB07</w:t>
            </w:r>
          </w:p>
        </w:tc>
        <w:tc>
          <w:tcPr>
            <w:tcW w:w="992" w:type="dxa"/>
            <w:tcBorders>
              <w:top w:val="nil"/>
              <w:left w:val="nil"/>
              <w:bottom w:val="single" w:sz="4" w:space="0" w:color="auto"/>
              <w:right w:val="single" w:sz="4" w:space="0" w:color="auto"/>
            </w:tcBorders>
            <w:shd w:val="clear" w:color="auto" w:fill="auto"/>
            <w:hideMark/>
          </w:tcPr>
          <w:p w14:paraId="055DB8A1"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08805K</w:t>
            </w:r>
          </w:p>
        </w:tc>
        <w:tc>
          <w:tcPr>
            <w:tcW w:w="1418" w:type="dxa"/>
            <w:tcBorders>
              <w:top w:val="nil"/>
              <w:left w:val="nil"/>
              <w:bottom w:val="single" w:sz="4" w:space="0" w:color="auto"/>
              <w:right w:val="single" w:sz="4" w:space="0" w:color="auto"/>
            </w:tcBorders>
            <w:shd w:val="clear" w:color="auto" w:fill="auto"/>
            <w:hideMark/>
          </w:tcPr>
          <w:p w14:paraId="77809B54" w14:textId="734F4154" w:rsidR="00E32434" w:rsidRPr="00E32434" w:rsidRDefault="00E32434" w:rsidP="00E32434">
            <w:pPr>
              <w:spacing w:after="0"/>
              <w:jc w:val="right"/>
              <w:rPr>
                <w:rFonts w:ascii="Calibri" w:eastAsia="Times New Roman" w:hAnsi="Calibri" w:cs="Times New Roman"/>
                <w:sz w:val="20"/>
                <w:szCs w:val="20"/>
              </w:rPr>
            </w:pPr>
            <w:r>
              <w:rPr>
                <w:rFonts w:ascii="Calibri" w:eastAsia="Times New Roman" w:hAnsi="Calibri" w:cs="Times New Roman"/>
                <w:sz w:val="20"/>
                <w:szCs w:val="20"/>
              </w:rPr>
              <w:t>1 Apr</w:t>
            </w:r>
            <w:r w:rsidRPr="00E32434">
              <w:rPr>
                <w:rFonts w:ascii="Calibri" w:eastAsia="Times New Roman" w:hAnsi="Calibri" w:cs="Times New Roman"/>
                <w:sz w:val="20"/>
                <w:szCs w:val="20"/>
              </w:rPr>
              <w:t xml:space="preserve"> 2005</w:t>
            </w:r>
          </w:p>
        </w:tc>
        <w:tc>
          <w:tcPr>
            <w:tcW w:w="3935" w:type="dxa"/>
            <w:tcBorders>
              <w:top w:val="nil"/>
              <w:left w:val="nil"/>
              <w:bottom w:val="single" w:sz="4" w:space="0" w:color="auto"/>
              <w:right w:val="single" w:sz="4" w:space="0" w:color="auto"/>
            </w:tcBorders>
            <w:shd w:val="clear" w:color="auto" w:fill="auto"/>
            <w:hideMark/>
          </w:tcPr>
          <w:p w14:paraId="1BD3D11D"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Injection 30 micrograms (6,000,000 I.U.) in 0.5 mL single dose pre-filled syringe</w:t>
            </w:r>
          </w:p>
        </w:tc>
        <w:tc>
          <w:tcPr>
            <w:tcW w:w="728" w:type="dxa"/>
            <w:tcBorders>
              <w:top w:val="nil"/>
              <w:left w:val="nil"/>
              <w:bottom w:val="single" w:sz="4" w:space="0" w:color="auto"/>
              <w:right w:val="single" w:sz="4" w:space="0" w:color="auto"/>
            </w:tcBorders>
            <w:shd w:val="clear" w:color="auto" w:fill="auto"/>
            <w:hideMark/>
          </w:tcPr>
          <w:p w14:paraId="280A1915"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4</w:t>
            </w:r>
          </w:p>
        </w:tc>
        <w:tc>
          <w:tcPr>
            <w:tcW w:w="704" w:type="dxa"/>
            <w:tcBorders>
              <w:top w:val="nil"/>
              <w:left w:val="nil"/>
              <w:bottom w:val="single" w:sz="4" w:space="0" w:color="auto"/>
              <w:right w:val="single" w:sz="4" w:space="0" w:color="auto"/>
            </w:tcBorders>
            <w:shd w:val="clear" w:color="auto" w:fill="auto"/>
            <w:hideMark/>
          </w:tcPr>
          <w:p w14:paraId="26710269"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4</w:t>
            </w:r>
          </w:p>
        </w:tc>
        <w:tc>
          <w:tcPr>
            <w:tcW w:w="586" w:type="dxa"/>
            <w:tcBorders>
              <w:top w:val="nil"/>
              <w:left w:val="nil"/>
              <w:bottom w:val="single" w:sz="4" w:space="0" w:color="auto"/>
              <w:right w:val="single" w:sz="4" w:space="0" w:color="auto"/>
            </w:tcBorders>
            <w:shd w:val="clear" w:color="auto" w:fill="auto"/>
            <w:hideMark/>
          </w:tcPr>
          <w:p w14:paraId="5876506F"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14:paraId="4DF88771"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$1,057.11</w:t>
            </w:r>
          </w:p>
        </w:tc>
      </w:tr>
      <w:tr w:rsidR="00E32434" w:rsidRPr="00E32434" w14:paraId="2F6A50E8" w14:textId="77777777" w:rsidTr="008F2B05">
        <w:trPr>
          <w:trHeight w:val="552"/>
        </w:trPr>
        <w:tc>
          <w:tcPr>
            <w:tcW w:w="2425" w:type="dxa"/>
            <w:tcBorders>
              <w:top w:val="nil"/>
              <w:left w:val="single" w:sz="4" w:space="0" w:color="auto"/>
              <w:bottom w:val="single" w:sz="4" w:space="0" w:color="auto"/>
              <w:right w:val="single" w:sz="4" w:space="0" w:color="auto"/>
            </w:tcBorders>
            <w:shd w:val="clear" w:color="auto" w:fill="auto"/>
            <w:hideMark/>
          </w:tcPr>
          <w:p w14:paraId="4F778CBD"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Interferon beta-1a</w:t>
            </w:r>
          </w:p>
        </w:tc>
        <w:tc>
          <w:tcPr>
            <w:tcW w:w="1276" w:type="dxa"/>
            <w:tcBorders>
              <w:top w:val="nil"/>
              <w:left w:val="nil"/>
              <w:bottom w:val="single" w:sz="4" w:space="0" w:color="auto"/>
              <w:right w:val="single" w:sz="4" w:space="0" w:color="auto"/>
            </w:tcBorders>
            <w:shd w:val="clear" w:color="auto" w:fill="auto"/>
            <w:hideMark/>
          </w:tcPr>
          <w:p w14:paraId="385F0BA6"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Rebif 44</w:t>
            </w:r>
          </w:p>
        </w:tc>
        <w:tc>
          <w:tcPr>
            <w:tcW w:w="992" w:type="dxa"/>
            <w:tcBorders>
              <w:top w:val="nil"/>
              <w:left w:val="nil"/>
              <w:bottom w:val="single" w:sz="4" w:space="0" w:color="auto"/>
              <w:right w:val="single" w:sz="4" w:space="0" w:color="auto"/>
            </w:tcBorders>
            <w:shd w:val="clear" w:color="auto" w:fill="auto"/>
            <w:hideMark/>
          </w:tcPr>
          <w:p w14:paraId="314EA2BE"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L03AB07</w:t>
            </w:r>
          </w:p>
        </w:tc>
        <w:tc>
          <w:tcPr>
            <w:tcW w:w="992" w:type="dxa"/>
            <w:tcBorders>
              <w:top w:val="nil"/>
              <w:left w:val="nil"/>
              <w:bottom w:val="single" w:sz="4" w:space="0" w:color="auto"/>
              <w:right w:val="single" w:sz="4" w:space="0" w:color="auto"/>
            </w:tcBorders>
            <w:shd w:val="clear" w:color="auto" w:fill="auto"/>
            <w:hideMark/>
          </w:tcPr>
          <w:p w14:paraId="30C618C8"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08968B</w:t>
            </w:r>
          </w:p>
        </w:tc>
        <w:tc>
          <w:tcPr>
            <w:tcW w:w="1418" w:type="dxa"/>
            <w:tcBorders>
              <w:top w:val="nil"/>
              <w:left w:val="nil"/>
              <w:bottom w:val="single" w:sz="4" w:space="0" w:color="auto"/>
              <w:right w:val="single" w:sz="4" w:space="0" w:color="auto"/>
            </w:tcBorders>
            <w:shd w:val="clear" w:color="auto" w:fill="auto"/>
            <w:hideMark/>
          </w:tcPr>
          <w:p w14:paraId="3AB18E9E"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 May 2011</w:t>
            </w:r>
          </w:p>
        </w:tc>
        <w:tc>
          <w:tcPr>
            <w:tcW w:w="3935" w:type="dxa"/>
            <w:tcBorders>
              <w:top w:val="nil"/>
              <w:left w:val="nil"/>
              <w:bottom w:val="single" w:sz="4" w:space="0" w:color="auto"/>
              <w:right w:val="single" w:sz="4" w:space="0" w:color="auto"/>
            </w:tcBorders>
            <w:shd w:val="clear" w:color="auto" w:fill="auto"/>
            <w:hideMark/>
          </w:tcPr>
          <w:p w14:paraId="48B914B2"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Injection 44 micrograms (12,000,000 I.U.) in 0.5 mL single dose autoinjector</w:t>
            </w:r>
          </w:p>
        </w:tc>
        <w:tc>
          <w:tcPr>
            <w:tcW w:w="728" w:type="dxa"/>
            <w:tcBorders>
              <w:top w:val="nil"/>
              <w:left w:val="nil"/>
              <w:bottom w:val="single" w:sz="4" w:space="0" w:color="auto"/>
              <w:right w:val="single" w:sz="4" w:space="0" w:color="auto"/>
            </w:tcBorders>
            <w:shd w:val="clear" w:color="auto" w:fill="auto"/>
            <w:hideMark/>
          </w:tcPr>
          <w:p w14:paraId="7F5BCD92"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12</w:t>
            </w:r>
          </w:p>
        </w:tc>
        <w:tc>
          <w:tcPr>
            <w:tcW w:w="704" w:type="dxa"/>
            <w:tcBorders>
              <w:top w:val="nil"/>
              <w:left w:val="nil"/>
              <w:bottom w:val="single" w:sz="4" w:space="0" w:color="auto"/>
              <w:right w:val="single" w:sz="4" w:space="0" w:color="auto"/>
            </w:tcBorders>
            <w:shd w:val="clear" w:color="auto" w:fill="auto"/>
            <w:hideMark/>
          </w:tcPr>
          <w:p w14:paraId="7FEA633B"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12</w:t>
            </w:r>
          </w:p>
        </w:tc>
        <w:tc>
          <w:tcPr>
            <w:tcW w:w="586" w:type="dxa"/>
            <w:tcBorders>
              <w:top w:val="nil"/>
              <w:left w:val="nil"/>
              <w:bottom w:val="single" w:sz="4" w:space="0" w:color="auto"/>
              <w:right w:val="single" w:sz="4" w:space="0" w:color="auto"/>
            </w:tcBorders>
            <w:shd w:val="clear" w:color="auto" w:fill="auto"/>
            <w:hideMark/>
          </w:tcPr>
          <w:p w14:paraId="5DEDBEC0"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14:paraId="04BBB062"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$1,057.11</w:t>
            </w:r>
          </w:p>
        </w:tc>
      </w:tr>
      <w:tr w:rsidR="00E32434" w:rsidRPr="00E32434" w14:paraId="1AB047F7" w14:textId="77777777" w:rsidTr="008F2B05">
        <w:trPr>
          <w:trHeight w:val="560"/>
        </w:trPr>
        <w:tc>
          <w:tcPr>
            <w:tcW w:w="2425" w:type="dxa"/>
            <w:tcBorders>
              <w:top w:val="nil"/>
              <w:left w:val="single" w:sz="4" w:space="0" w:color="auto"/>
              <w:bottom w:val="single" w:sz="4" w:space="0" w:color="auto"/>
              <w:right w:val="single" w:sz="4" w:space="0" w:color="auto"/>
            </w:tcBorders>
            <w:shd w:val="clear" w:color="auto" w:fill="auto"/>
            <w:hideMark/>
          </w:tcPr>
          <w:p w14:paraId="1CAE9BB1"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Interferon beta-1a</w:t>
            </w:r>
          </w:p>
        </w:tc>
        <w:tc>
          <w:tcPr>
            <w:tcW w:w="1276" w:type="dxa"/>
            <w:tcBorders>
              <w:top w:val="nil"/>
              <w:left w:val="nil"/>
              <w:bottom w:val="single" w:sz="4" w:space="0" w:color="auto"/>
              <w:right w:val="single" w:sz="4" w:space="0" w:color="auto"/>
            </w:tcBorders>
            <w:shd w:val="clear" w:color="auto" w:fill="auto"/>
            <w:hideMark/>
          </w:tcPr>
          <w:p w14:paraId="71978CBF"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Rebif 44</w:t>
            </w:r>
          </w:p>
        </w:tc>
        <w:tc>
          <w:tcPr>
            <w:tcW w:w="992" w:type="dxa"/>
            <w:tcBorders>
              <w:top w:val="nil"/>
              <w:left w:val="nil"/>
              <w:bottom w:val="single" w:sz="4" w:space="0" w:color="auto"/>
              <w:right w:val="single" w:sz="4" w:space="0" w:color="auto"/>
            </w:tcBorders>
            <w:shd w:val="clear" w:color="auto" w:fill="auto"/>
            <w:hideMark/>
          </w:tcPr>
          <w:p w14:paraId="5DFF651C"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L03AB07</w:t>
            </w:r>
          </w:p>
        </w:tc>
        <w:tc>
          <w:tcPr>
            <w:tcW w:w="992" w:type="dxa"/>
            <w:tcBorders>
              <w:top w:val="nil"/>
              <w:left w:val="nil"/>
              <w:bottom w:val="single" w:sz="4" w:space="0" w:color="auto"/>
              <w:right w:val="single" w:sz="4" w:space="0" w:color="auto"/>
            </w:tcBorders>
            <w:shd w:val="clear" w:color="auto" w:fill="auto"/>
            <w:hideMark/>
          </w:tcPr>
          <w:p w14:paraId="29D6C867"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09332E</w:t>
            </w:r>
          </w:p>
        </w:tc>
        <w:tc>
          <w:tcPr>
            <w:tcW w:w="1418" w:type="dxa"/>
            <w:tcBorders>
              <w:top w:val="nil"/>
              <w:left w:val="nil"/>
              <w:bottom w:val="single" w:sz="4" w:space="0" w:color="auto"/>
              <w:right w:val="single" w:sz="4" w:space="0" w:color="auto"/>
            </w:tcBorders>
            <w:shd w:val="clear" w:color="auto" w:fill="auto"/>
            <w:hideMark/>
          </w:tcPr>
          <w:p w14:paraId="2FD2DA1B"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 May 2010</w:t>
            </w:r>
          </w:p>
        </w:tc>
        <w:tc>
          <w:tcPr>
            <w:tcW w:w="3935" w:type="dxa"/>
            <w:tcBorders>
              <w:top w:val="nil"/>
              <w:left w:val="nil"/>
              <w:bottom w:val="single" w:sz="4" w:space="0" w:color="auto"/>
              <w:right w:val="single" w:sz="4" w:space="0" w:color="auto"/>
            </w:tcBorders>
            <w:shd w:val="clear" w:color="auto" w:fill="auto"/>
            <w:hideMark/>
          </w:tcPr>
          <w:p w14:paraId="47060A9C"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Solution for injection 132 micrograms in 1.5 mL multidose cartridge</w:t>
            </w:r>
          </w:p>
        </w:tc>
        <w:tc>
          <w:tcPr>
            <w:tcW w:w="728" w:type="dxa"/>
            <w:tcBorders>
              <w:top w:val="nil"/>
              <w:left w:val="nil"/>
              <w:bottom w:val="single" w:sz="4" w:space="0" w:color="auto"/>
              <w:right w:val="single" w:sz="4" w:space="0" w:color="auto"/>
            </w:tcBorders>
            <w:shd w:val="clear" w:color="auto" w:fill="auto"/>
            <w:hideMark/>
          </w:tcPr>
          <w:p w14:paraId="4DD1E37B"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4</w:t>
            </w:r>
          </w:p>
        </w:tc>
        <w:tc>
          <w:tcPr>
            <w:tcW w:w="704" w:type="dxa"/>
            <w:tcBorders>
              <w:top w:val="nil"/>
              <w:left w:val="nil"/>
              <w:bottom w:val="single" w:sz="4" w:space="0" w:color="auto"/>
              <w:right w:val="single" w:sz="4" w:space="0" w:color="auto"/>
            </w:tcBorders>
            <w:shd w:val="clear" w:color="auto" w:fill="auto"/>
            <w:hideMark/>
          </w:tcPr>
          <w:p w14:paraId="0810B33D"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4</w:t>
            </w:r>
          </w:p>
        </w:tc>
        <w:tc>
          <w:tcPr>
            <w:tcW w:w="586" w:type="dxa"/>
            <w:tcBorders>
              <w:top w:val="nil"/>
              <w:left w:val="nil"/>
              <w:bottom w:val="single" w:sz="4" w:space="0" w:color="auto"/>
              <w:right w:val="single" w:sz="4" w:space="0" w:color="auto"/>
            </w:tcBorders>
            <w:shd w:val="clear" w:color="auto" w:fill="auto"/>
            <w:hideMark/>
          </w:tcPr>
          <w:p w14:paraId="03B8DE91"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14:paraId="663F0504"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$1,057.11</w:t>
            </w:r>
          </w:p>
        </w:tc>
      </w:tr>
      <w:tr w:rsidR="00E32434" w:rsidRPr="00E32434" w14:paraId="1658A897" w14:textId="77777777" w:rsidTr="008F2B05">
        <w:trPr>
          <w:trHeight w:val="847"/>
        </w:trPr>
        <w:tc>
          <w:tcPr>
            <w:tcW w:w="2425" w:type="dxa"/>
            <w:tcBorders>
              <w:top w:val="nil"/>
              <w:left w:val="single" w:sz="4" w:space="0" w:color="auto"/>
              <w:bottom w:val="single" w:sz="4" w:space="0" w:color="auto"/>
              <w:right w:val="single" w:sz="4" w:space="0" w:color="auto"/>
            </w:tcBorders>
            <w:shd w:val="clear" w:color="auto" w:fill="auto"/>
            <w:hideMark/>
          </w:tcPr>
          <w:p w14:paraId="77C59C94"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lastRenderedPageBreak/>
              <w:t>Interferon beta-1b</w:t>
            </w:r>
          </w:p>
        </w:tc>
        <w:tc>
          <w:tcPr>
            <w:tcW w:w="1276" w:type="dxa"/>
            <w:tcBorders>
              <w:top w:val="nil"/>
              <w:left w:val="nil"/>
              <w:bottom w:val="single" w:sz="4" w:space="0" w:color="auto"/>
              <w:right w:val="single" w:sz="4" w:space="0" w:color="auto"/>
            </w:tcBorders>
            <w:shd w:val="clear" w:color="auto" w:fill="auto"/>
            <w:hideMark/>
          </w:tcPr>
          <w:p w14:paraId="7314CF66"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Betaferon</w:t>
            </w:r>
          </w:p>
        </w:tc>
        <w:tc>
          <w:tcPr>
            <w:tcW w:w="992" w:type="dxa"/>
            <w:tcBorders>
              <w:top w:val="nil"/>
              <w:left w:val="nil"/>
              <w:bottom w:val="single" w:sz="4" w:space="0" w:color="auto"/>
              <w:right w:val="single" w:sz="4" w:space="0" w:color="auto"/>
            </w:tcBorders>
            <w:shd w:val="clear" w:color="auto" w:fill="auto"/>
            <w:hideMark/>
          </w:tcPr>
          <w:p w14:paraId="00658301"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L03AB08</w:t>
            </w:r>
          </w:p>
        </w:tc>
        <w:tc>
          <w:tcPr>
            <w:tcW w:w="992" w:type="dxa"/>
            <w:tcBorders>
              <w:top w:val="nil"/>
              <w:left w:val="nil"/>
              <w:bottom w:val="single" w:sz="4" w:space="0" w:color="auto"/>
              <w:right w:val="single" w:sz="4" w:space="0" w:color="auto"/>
            </w:tcBorders>
            <w:shd w:val="clear" w:color="auto" w:fill="auto"/>
            <w:hideMark/>
          </w:tcPr>
          <w:p w14:paraId="515F7615"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08101J</w:t>
            </w:r>
          </w:p>
        </w:tc>
        <w:tc>
          <w:tcPr>
            <w:tcW w:w="1418" w:type="dxa"/>
            <w:tcBorders>
              <w:top w:val="nil"/>
              <w:left w:val="nil"/>
              <w:bottom w:val="single" w:sz="4" w:space="0" w:color="auto"/>
              <w:right w:val="single" w:sz="4" w:space="0" w:color="auto"/>
            </w:tcBorders>
            <w:shd w:val="clear" w:color="auto" w:fill="auto"/>
            <w:hideMark/>
          </w:tcPr>
          <w:p w14:paraId="5641F0BA" w14:textId="1E38F7C7" w:rsidR="00E32434" w:rsidRPr="00E32434" w:rsidRDefault="00E32434" w:rsidP="00E32434">
            <w:pPr>
              <w:spacing w:after="0"/>
              <w:jc w:val="right"/>
              <w:rPr>
                <w:rFonts w:ascii="Calibri" w:eastAsia="Times New Roman" w:hAnsi="Calibri" w:cs="Times New Roman"/>
                <w:sz w:val="20"/>
                <w:szCs w:val="20"/>
              </w:rPr>
            </w:pPr>
            <w:r>
              <w:rPr>
                <w:rFonts w:ascii="Calibri" w:eastAsia="Times New Roman" w:hAnsi="Calibri" w:cs="Times New Roman"/>
                <w:sz w:val="20"/>
                <w:szCs w:val="20"/>
              </w:rPr>
              <w:t>1 Nov</w:t>
            </w:r>
            <w:r w:rsidRPr="00E32434">
              <w:rPr>
                <w:rFonts w:ascii="Calibri" w:eastAsia="Times New Roman" w:hAnsi="Calibri" w:cs="Times New Roman"/>
                <w:sz w:val="20"/>
                <w:szCs w:val="20"/>
              </w:rPr>
              <w:t xml:space="preserve"> 1996</w:t>
            </w:r>
          </w:p>
        </w:tc>
        <w:tc>
          <w:tcPr>
            <w:tcW w:w="3935" w:type="dxa"/>
            <w:tcBorders>
              <w:top w:val="nil"/>
              <w:left w:val="nil"/>
              <w:bottom w:val="single" w:sz="4" w:space="0" w:color="auto"/>
              <w:right w:val="single" w:sz="4" w:space="0" w:color="auto"/>
            </w:tcBorders>
            <w:shd w:val="clear" w:color="auto" w:fill="auto"/>
            <w:hideMark/>
          </w:tcPr>
          <w:p w14:paraId="3ABCE36A"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Injection set including 1 vial powder for injection 8,000,000 I.U. (250 micrograms) and solvent</w:t>
            </w:r>
          </w:p>
        </w:tc>
        <w:tc>
          <w:tcPr>
            <w:tcW w:w="728" w:type="dxa"/>
            <w:tcBorders>
              <w:top w:val="nil"/>
              <w:left w:val="nil"/>
              <w:bottom w:val="single" w:sz="4" w:space="0" w:color="auto"/>
              <w:right w:val="single" w:sz="4" w:space="0" w:color="auto"/>
            </w:tcBorders>
            <w:shd w:val="clear" w:color="auto" w:fill="auto"/>
            <w:hideMark/>
          </w:tcPr>
          <w:p w14:paraId="7B6D3D29"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15</w:t>
            </w:r>
          </w:p>
        </w:tc>
        <w:tc>
          <w:tcPr>
            <w:tcW w:w="704" w:type="dxa"/>
            <w:tcBorders>
              <w:top w:val="nil"/>
              <w:left w:val="nil"/>
              <w:bottom w:val="single" w:sz="4" w:space="0" w:color="auto"/>
              <w:right w:val="single" w:sz="4" w:space="0" w:color="auto"/>
            </w:tcBorders>
            <w:shd w:val="clear" w:color="auto" w:fill="auto"/>
            <w:hideMark/>
          </w:tcPr>
          <w:p w14:paraId="28D03E10"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15</w:t>
            </w:r>
          </w:p>
        </w:tc>
        <w:tc>
          <w:tcPr>
            <w:tcW w:w="586" w:type="dxa"/>
            <w:tcBorders>
              <w:top w:val="nil"/>
              <w:left w:val="nil"/>
              <w:bottom w:val="single" w:sz="4" w:space="0" w:color="auto"/>
              <w:right w:val="single" w:sz="4" w:space="0" w:color="auto"/>
            </w:tcBorders>
            <w:shd w:val="clear" w:color="auto" w:fill="auto"/>
            <w:hideMark/>
          </w:tcPr>
          <w:p w14:paraId="57E9C281"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14:paraId="3DD7AEC6"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$1,001.15</w:t>
            </w:r>
          </w:p>
        </w:tc>
      </w:tr>
      <w:tr w:rsidR="00E32434" w:rsidRPr="00E32434" w14:paraId="7A8ACBF8" w14:textId="77777777" w:rsidTr="008F2B05">
        <w:trPr>
          <w:trHeight w:val="575"/>
        </w:trPr>
        <w:tc>
          <w:tcPr>
            <w:tcW w:w="2425" w:type="dxa"/>
            <w:tcBorders>
              <w:top w:val="nil"/>
              <w:left w:val="single" w:sz="4" w:space="0" w:color="auto"/>
              <w:bottom w:val="single" w:sz="4" w:space="0" w:color="auto"/>
              <w:right w:val="single" w:sz="4" w:space="0" w:color="auto"/>
            </w:tcBorders>
            <w:shd w:val="clear" w:color="auto" w:fill="auto"/>
            <w:hideMark/>
          </w:tcPr>
          <w:p w14:paraId="62486758"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Natalizumab</w:t>
            </w:r>
          </w:p>
        </w:tc>
        <w:tc>
          <w:tcPr>
            <w:tcW w:w="1276" w:type="dxa"/>
            <w:tcBorders>
              <w:top w:val="nil"/>
              <w:left w:val="nil"/>
              <w:bottom w:val="single" w:sz="4" w:space="0" w:color="auto"/>
              <w:right w:val="single" w:sz="4" w:space="0" w:color="auto"/>
            </w:tcBorders>
            <w:shd w:val="clear" w:color="auto" w:fill="auto"/>
            <w:hideMark/>
          </w:tcPr>
          <w:p w14:paraId="0EB1878B"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Tysabri</w:t>
            </w:r>
          </w:p>
        </w:tc>
        <w:tc>
          <w:tcPr>
            <w:tcW w:w="992" w:type="dxa"/>
            <w:tcBorders>
              <w:top w:val="nil"/>
              <w:left w:val="nil"/>
              <w:bottom w:val="single" w:sz="4" w:space="0" w:color="auto"/>
              <w:right w:val="single" w:sz="4" w:space="0" w:color="auto"/>
            </w:tcBorders>
            <w:shd w:val="clear" w:color="auto" w:fill="auto"/>
            <w:hideMark/>
          </w:tcPr>
          <w:p w14:paraId="4BA99A8A"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L04AA23</w:t>
            </w:r>
          </w:p>
        </w:tc>
        <w:tc>
          <w:tcPr>
            <w:tcW w:w="992" w:type="dxa"/>
            <w:tcBorders>
              <w:top w:val="nil"/>
              <w:left w:val="nil"/>
              <w:bottom w:val="single" w:sz="4" w:space="0" w:color="auto"/>
              <w:right w:val="single" w:sz="4" w:space="0" w:color="auto"/>
            </w:tcBorders>
            <w:shd w:val="clear" w:color="auto" w:fill="auto"/>
            <w:hideMark/>
          </w:tcPr>
          <w:p w14:paraId="449A7F11"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09505G</w:t>
            </w:r>
          </w:p>
        </w:tc>
        <w:tc>
          <w:tcPr>
            <w:tcW w:w="1418" w:type="dxa"/>
            <w:tcBorders>
              <w:top w:val="nil"/>
              <w:left w:val="nil"/>
              <w:bottom w:val="single" w:sz="4" w:space="0" w:color="auto"/>
              <w:right w:val="single" w:sz="4" w:space="0" w:color="auto"/>
            </w:tcBorders>
            <w:shd w:val="clear" w:color="auto" w:fill="auto"/>
            <w:hideMark/>
          </w:tcPr>
          <w:p w14:paraId="76098E55" w14:textId="5F7788CF" w:rsidR="00E32434" w:rsidRPr="00E32434" w:rsidRDefault="00E32434" w:rsidP="00E32434">
            <w:pPr>
              <w:spacing w:after="0"/>
              <w:jc w:val="right"/>
              <w:rPr>
                <w:rFonts w:ascii="Calibri" w:eastAsia="Times New Roman" w:hAnsi="Calibri" w:cs="Times New Roman"/>
                <w:sz w:val="20"/>
                <w:szCs w:val="20"/>
              </w:rPr>
            </w:pPr>
            <w:r>
              <w:rPr>
                <w:rFonts w:ascii="Calibri" w:eastAsia="Times New Roman" w:hAnsi="Calibri" w:cs="Times New Roman"/>
                <w:sz w:val="20"/>
                <w:szCs w:val="20"/>
              </w:rPr>
              <w:t>1 Jul</w:t>
            </w:r>
            <w:r w:rsidRPr="00E32434">
              <w:rPr>
                <w:rFonts w:ascii="Calibri" w:eastAsia="Times New Roman" w:hAnsi="Calibri" w:cs="Times New Roman"/>
                <w:sz w:val="20"/>
                <w:szCs w:val="20"/>
              </w:rPr>
              <w:t xml:space="preserve"> 2010</w:t>
            </w:r>
          </w:p>
        </w:tc>
        <w:tc>
          <w:tcPr>
            <w:tcW w:w="3935" w:type="dxa"/>
            <w:tcBorders>
              <w:top w:val="nil"/>
              <w:left w:val="nil"/>
              <w:bottom w:val="single" w:sz="4" w:space="0" w:color="auto"/>
              <w:right w:val="single" w:sz="4" w:space="0" w:color="auto"/>
            </w:tcBorders>
            <w:shd w:val="clear" w:color="auto" w:fill="auto"/>
            <w:hideMark/>
          </w:tcPr>
          <w:p w14:paraId="67A646F1"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Solution concentrate for I.V. infusion 300 mg in 15 mL</w:t>
            </w:r>
          </w:p>
        </w:tc>
        <w:tc>
          <w:tcPr>
            <w:tcW w:w="728" w:type="dxa"/>
            <w:tcBorders>
              <w:top w:val="nil"/>
              <w:left w:val="nil"/>
              <w:bottom w:val="single" w:sz="4" w:space="0" w:color="auto"/>
              <w:right w:val="single" w:sz="4" w:space="0" w:color="auto"/>
            </w:tcBorders>
            <w:shd w:val="clear" w:color="auto" w:fill="auto"/>
            <w:hideMark/>
          </w:tcPr>
          <w:p w14:paraId="70FC7353"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w:t>
            </w:r>
          </w:p>
        </w:tc>
        <w:tc>
          <w:tcPr>
            <w:tcW w:w="704" w:type="dxa"/>
            <w:tcBorders>
              <w:top w:val="nil"/>
              <w:left w:val="nil"/>
              <w:bottom w:val="single" w:sz="4" w:space="0" w:color="auto"/>
              <w:right w:val="single" w:sz="4" w:space="0" w:color="auto"/>
            </w:tcBorders>
            <w:shd w:val="clear" w:color="auto" w:fill="auto"/>
            <w:hideMark/>
          </w:tcPr>
          <w:p w14:paraId="1FE126F3"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w:t>
            </w:r>
          </w:p>
        </w:tc>
        <w:tc>
          <w:tcPr>
            <w:tcW w:w="586" w:type="dxa"/>
            <w:tcBorders>
              <w:top w:val="nil"/>
              <w:left w:val="nil"/>
              <w:bottom w:val="single" w:sz="4" w:space="0" w:color="auto"/>
              <w:right w:val="single" w:sz="4" w:space="0" w:color="auto"/>
            </w:tcBorders>
            <w:shd w:val="clear" w:color="auto" w:fill="auto"/>
            <w:hideMark/>
          </w:tcPr>
          <w:p w14:paraId="1B9FEC0E"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14:paraId="612F9C44"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$1,568.04</w:t>
            </w:r>
          </w:p>
        </w:tc>
      </w:tr>
      <w:tr w:rsidR="00E32434" w:rsidRPr="00E32434" w14:paraId="5D4636D6" w14:textId="77777777" w:rsidTr="008F2B05">
        <w:trPr>
          <w:trHeight w:val="541"/>
        </w:trPr>
        <w:tc>
          <w:tcPr>
            <w:tcW w:w="2425" w:type="dxa"/>
            <w:tcBorders>
              <w:top w:val="nil"/>
              <w:left w:val="single" w:sz="4" w:space="0" w:color="auto"/>
              <w:bottom w:val="single" w:sz="4" w:space="0" w:color="auto"/>
              <w:right w:val="single" w:sz="4" w:space="0" w:color="auto"/>
            </w:tcBorders>
            <w:shd w:val="clear" w:color="auto" w:fill="auto"/>
            <w:hideMark/>
          </w:tcPr>
          <w:p w14:paraId="39BFDF2E"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Natalizumab</w:t>
            </w:r>
          </w:p>
        </w:tc>
        <w:tc>
          <w:tcPr>
            <w:tcW w:w="1276" w:type="dxa"/>
            <w:tcBorders>
              <w:top w:val="nil"/>
              <w:left w:val="nil"/>
              <w:bottom w:val="single" w:sz="4" w:space="0" w:color="auto"/>
              <w:right w:val="single" w:sz="4" w:space="0" w:color="auto"/>
            </w:tcBorders>
            <w:shd w:val="clear" w:color="auto" w:fill="auto"/>
            <w:hideMark/>
          </w:tcPr>
          <w:p w14:paraId="10E1CBBE"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Tysabri</w:t>
            </w:r>
          </w:p>
        </w:tc>
        <w:tc>
          <w:tcPr>
            <w:tcW w:w="992" w:type="dxa"/>
            <w:tcBorders>
              <w:top w:val="nil"/>
              <w:left w:val="nil"/>
              <w:bottom w:val="single" w:sz="4" w:space="0" w:color="auto"/>
              <w:right w:val="single" w:sz="4" w:space="0" w:color="auto"/>
            </w:tcBorders>
            <w:shd w:val="clear" w:color="auto" w:fill="auto"/>
            <w:hideMark/>
          </w:tcPr>
          <w:p w14:paraId="4151FE4E"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L04AA23</w:t>
            </w:r>
          </w:p>
        </w:tc>
        <w:tc>
          <w:tcPr>
            <w:tcW w:w="992" w:type="dxa"/>
            <w:tcBorders>
              <w:top w:val="nil"/>
              <w:left w:val="nil"/>
              <w:bottom w:val="single" w:sz="4" w:space="0" w:color="auto"/>
              <w:right w:val="single" w:sz="4" w:space="0" w:color="auto"/>
            </w:tcBorders>
            <w:shd w:val="clear" w:color="auto" w:fill="auto"/>
            <w:hideMark/>
          </w:tcPr>
          <w:p w14:paraId="0195DEB7"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09624M</w:t>
            </w:r>
          </w:p>
        </w:tc>
        <w:tc>
          <w:tcPr>
            <w:tcW w:w="1418" w:type="dxa"/>
            <w:tcBorders>
              <w:top w:val="nil"/>
              <w:left w:val="nil"/>
              <w:bottom w:val="single" w:sz="4" w:space="0" w:color="auto"/>
              <w:right w:val="single" w:sz="4" w:space="0" w:color="auto"/>
            </w:tcBorders>
            <w:shd w:val="clear" w:color="auto" w:fill="auto"/>
            <w:hideMark/>
          </w:tcPr>
          <w:p w14:paraId="6D8DC6EE" w14:textId="2BC9E03E" w:rsidR="00E32434" w:rsidRPr="00E32434" w:rsidRDefault="00E32434" w:rsidP="00E32434">
            <w:pPr>
              <w:spacing w:after="0"/>
              <w:jc w:val="right"/>
              <w:rPr>
                <w:rFonts w:ascii="Calibri" w:eastAsia="Times New Roman" w:hAnsi="Calibri" w:cs="Times New Roman"/>
                <w:sz w:val="20"/>
                <w:szCs w:val="20"/>
              </w:rPr>
            </w:pPr>
            <w:r>
              <w:rPr>
                <w:rFonts w:ascii="Calibri" w:eastAsia="Times New Roman" w:hAnsi="Calibri" w:cs="Times New Roman"/>
                <w:sz w:val="20"/>
                <w:szCs w:val="20"/>
              </w:rPr>
              <w:t>1 Jul</w:t>
            </w:r>
            <w:r w:rsidRPr="00E32434">
              <w:rPr>
                <w:rFonts w:ascii="Calibri" w:eastAsia="Times New Roman" w:hAnsi="Calibri" w:cs="Times New Roman"/>
                <w:sz w:val="20"/>
                <w:szCs w:val="20"/>
              </w:rPr>
              <w:t xml:space="preserve"> 2008</w:t>
            </w:r>
          </w:p>
        </w:tc>
        <w:tc>
          <w:tcPr>
            <w:tcW w:w="3935" w:type="dxa"/>
            <w:tcBorders>
              <w:top w:val="nil"/>
              <w:left w:val="nil"/>
              <w:bottom w:val="single" w:sz="4" w:space="0" w:color="auto"/>
              <w:right w:val="single" w:sz="4" w:space="0" w:color="auto"/>
            </w:tcBorders>
            <w:shd w:val="clear" w:color="auto" w:fill="auto"/>
            <w:hideMark/>
          </w:tcPr>
          <w:p w14:paraId="731577FE"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Solution concentrate for I.V. infusion 300 mg in 15 mL</w:t>
            </w:r>
          </w:p>
        </w:tc>
        <w:tc>
          <w:tcPr>
            <w:tcW w:w="728" w:type="dxa"/>
            <w:tcBorders>
              <w:top w:val="nil"/>
              <w:left w:val="nil"/>
              <w:bottom w:val="single" w:sz="4" w:space="0" w:color="auto"/>
              <w:right w:val="single" w:sz="4" w:space="0" w:color="auto"/>
            </w:tcBorders>
            <w:shd w:val="clear" w:color="auto" w:fill="auto"/>
            <w:hideMark/>
          </w:tcPr>
          <w:p w14:paraId="19A94748"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w:t>
            </w:r>
          </w:p>
        </w:tc>
        <w:tc>
          <w:tcPr>
            <w:tcW w:w="704" w:type="dxa"/>
            <w:tcBorders>
              <w:top w:val="nil"/>
              <w:left w:val="nil"/>
              <w:bottom w:val="single" w:sz="4" w:space="0" w:color="auto"/>
              <w:right w:val="single" w:sz="4" w:space="0" w:color="auto"/>
            </w:tcBorders>
            <w:shd w:val="clear" w:color="auto" w:fill="auto"/>
            <w:hideMark/>
          </w:tcPr>
          <w:p w14:paraId="0E206050"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w:t>
            </w:r>
          </w:p>
        </w:tc>
        <w:tc>
          <w:tcPr>
            <w:tcW w:w="586" w:type="dxa"/>
            <w:tcBorders>
              <w:top w:val="nil"/>
              <w:left w:val="nil"/>
              <w:bottom w:val="single" w:sz="4" w:space="0" w:color="auto"/>
              <w:right w:val="single" w:sz="4" w:space="0" w:color="auto"/>
            </w:tcBorders>
            <w:shd w:val="clear" w:color="auto" w:fill="auto"/>
            <w:hideMark/>
          </w:tcPr>
          <w:p w14:paraId="0B1B97A9"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14:paraId="3C95E385"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$1,614.80</w:t>
            </w:r>
          </w:p>
        </w:tc>
      </w:tr>
      <w:tr w:rsidR="00E32434" w:rsidRPr="00E32434" w14:paraId="631D69EA" w14:textId="77777777" w:rsidTr="008F2B05">
        <w:trPr>
          <w:trHeight w:val="548"/>
        </w:trPr>
        <w:tc>
          <w:tcPr>
            <w:tcW w:w="2425" w:type="dxa"/>
            <w:tcBorders>
              <w:top w:val="nil"/>
              <w:left w:val="single" w:sz="4" w:space="0" w:color="auto"/>
              <w:bottom w:val="single" w:sz="4" w:space="0" w:color="auto"/>
              <w:right w:val="single" w:sz="4" w:space="0" w:color="auto"/>
            </w:tcBorders>
            <w:shd w:val="clear" w:color="auto" w:fill="auto"/>
            <w:hideMark/>
          </w:tcPr>
          <w:p w14:paraId="69B2A18E"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Peginterferon beta-1a</w:t>
            </w:r>
          </w:p>
        </w:tc>
        <w:tc>
          <w:tcPr>
            <w:tcW w:w="1276" w:type="dxa"/>
            <w:tcBorders>
              <w:top w:val="nil"/>
              <w:left w:val="nil"/>
              <w:bottom w:val="single" w:sz="4" w:space="0" w:color="auto"/>
              <w:right w:val="single" w:sz="4" w:space="0" w:color="auto"/>
            </w:tcBorders>
            <w:shd w:val="clear" w:color="auto" w:fill="auto"/>
            <w:hideMark/>
          </w:tcPr>
          <w:p w14:paraId="04ECC16C"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Plegridy</w:t>
            </w:r>
          </w:p>
        </w:tc>
        <w:tc>
          <w:tcPr>
            <w:tcW w:w="992" w:type="dxa"/>
            <w:tcBorders>
              <w:top w:val="nil"/>
              <w:left w:val="nil"/>
              <w:bottom w:val="single" w:sz="4" w:space="0" w:color="auto"/>
              <w:right w:val="single" w:sz="4" w:space="0" w:color="auto"/>
            </w:tcBorders>
            <w:shd w:val="clear" w:color="auto" w:fill="auto"/>
            <w:hideMark/>
          </w:tcPr>
          <w:p w14:paraId="09C4F0E1"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L03AB13</w:t>
            </w:r>
          </w:p>
        </w:tc>
        <w:tc>
          <w:tcPr>
            <w:tcW w:w="992" w:type="dxa"/>
            <w:tcBorders>
              <w:top w:val="nil"/>
              <w:left w:val="nil"/>
              <w:bottom w:val="single" w:sz="4" w:space="0" w:color="auto"/>
              <w:right w:val="single" w:sz="4" w:space="0" w:color="auto"/>
            </w:tcBorders>
            <w:shd w:val="clear" w:color="auto" w:fill="auto"/>
            <w:hideMark/>
          </w:tcPr>
          <w:p w14:paraId="63599465"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10212L</w:t>
            </w:r>
          </w:p>
        </w:tc>
        <w:tc>
          <w:tcPr>
            <w:tcW w:w="1418" w:type="dxa"/>
            <w:tcBorders>
              <w:top w:val="nil"/>
              <w:left w:val="nil"/>
              <w:bottom w:val="single" w:sz="4" w:space="0" w:color="auto"/>
              <w:right w:val="single" w:sz="4" w:space="0" w:color="auto"/>
            </w:tcBorders>
            <w:shd w:val="clear" w:color="auto" w:fill="auto"/>
            <w:hideMark/>
          </w:tcPr>
          <w:p w14:paraId="7E9ECA6B" w14:textId="576EA7D4" w:rsidR="00E32434" w:rsidRPr="00E32434" w:rsidRDefault="00E32434" w:rsidP="00E32434">
            <w:pPr>
              <w:spacing w:after="0"/>
              <w:jc w:val="right"/>
              <w:rPr>
                <w:rFonts w:ascii="Calibri" w:eastAsia="Times New Roman" w:hAnsi="Calibri" w:cs="Times New Roman"/>
                <w:sz w:val="20"/>
                <w:szCs w:val="20"/>
              </w:rPr>
            </w:pPr>
            <w:r>
              <w:rPr>
                <w:rFonts w:ascii="Calibri" w:eastAsia="Times New Roman" w:hAnsi="Calibri" w:cs="Times New Roman"/>
                <w:sz w:val="20"/>
                <w:szCs w:val="20"/>
              </w:rPr>
              <w:t>1 Mar</w:t>
            </w:r>
            <w:r w:rsidRPr="00E32434">
              <w:rPr>
                <w:rFonts w:ascii="Calibri" w:eastAsia="Times New Roman" w:hAnsi="Calibri" w:cs="Times New Roman"/>
                <w:sz w:val="20"/>
                <w:szCs w:val="20"/>
              </w:rPr>
              <w:t xml:space="preserve"> 2015</w:t>
            </w:r>
          </w:p>
        </w:tc>
        <w:tc>
          <w:tcPr>
            <w:tcW w:w="3935" w:type="dxa"/>
            <w:tcBorders>
              <w:top w:val="nil"/>
              <w:left w:val="nil"/>
              <w:bottom w:val="single" w:sz="4" w:space="0" w:color="auto"/>
              <w:right w:val="single" w:sz="4" w:space="0" w:color="auto"/>
            </w:tcBorders>
            <w:shd w:val="clear" w:color="auto" w:fill="auto"/>
            <w:hideMark/>
          </w:tcPr>
          <w:p w14:paraId="2CC86202"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Single use injection pen containing 125 micrograms in 0.5 mL</w:t>
            </w:r>
          </w:p>
        </w:tc>
        <w:tc>
          <w:tcPr>
            <w:tcW w:w="728" w:type="dxa"/>
            <w:tcBorders>
              <w:top w:val="nil"/>
              <w:left w:val="nil"/>
              <w:bottom w:val="single" w:sz="4" w:space="0" w:color="auto"/>
              <w:right w:val="single" w:sz="4" w:space="0" w:color="auto"/>
            </w:tcBorders>
            <w:shd w:val="clear" w:color="auto" w:fill="auto"/>
            <w:hideMark/>
          </w:tcPr>
          <w:p w14:paraId="1E64B93A"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2</w:t>
            </w:r>
          </w:p>
        </w:tc>
        <w:tc>
          <w:tcPr>
            <w:tcW w:w="704" w:type="dxa"/>
            <w:tcBorders>
              <w:top w:val="nil"/>
              <w:left w:val="nil"/>
              <w:bottom w:val="single" w:sz="4" w:space="0" w:color="auto"/>
              <w:right w:val="single" w:sz="4" w:space="0" w:color="auto"/>
            </w:tcBorders>
            <w:shd w:val="clear" w:color="auto" w:fill="auto"/>
            <w:hideMark/>
          </w:tcPr>
          <w:p w14:paraId="19229906"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2</w:t>
            </w:r>
          </w:p>
        </w:tc>
        <w:tc>
          <w:tcPr>
            <w:tcW w:w="586" w:type="dxa"/>
            <w:tcBorders>
              <w:top w:val="nil"/>
              <w:left w:val="nil"/>
              <w:bottom w:val="single" w:sz="4" w:space="0" w:color="auto"/>
              <w:right w:val="single" w:sz="4" w:space="0" w:color="auto"/>
            </w:tcBorders>
            <w:shd w:val="clear" w:color="auto" w:fill="auto"/>
            <w:hideMark/>
          </w:tcPr>
          <w:p w14:paraId="5F55426F"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4</w:t>
            </w:r>
          </w:p>
        </w:tc>
        <w:tc>
          <w:tcPr>
            <w:tcW w:w="1134" w:type="dxa"/>
            <w:tcBorders>
              <w:top w:val="nil"/>
              <w:left w:val="nil"/>
              <w:bottom w:val="single" w:sz="4" w:space="0" w:color="auto"/>
              <w:right w:val="single" w:sz="4" w:space="0" w:color="auto"/>
            </w:tcBorders>
            <w:shd w:val="clear" w:color="auto" w:fill="auto"/>
            <w:hideMark/>
          </w:tcPr>
          <w:p w14:paraId="64E2928F"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$1,057.11</w:t>
            </w:r>
          </w:p>
        </w:tc>
      </w:tr>
      <w:tr w:rsidR="00E32434" w:rsidRPr="00E32434" w14:paraId="373E5E6E" w14:textId="77777777" w:rsidTr="008F2B05">
        <w:trPr>
          <w:trHeight w:val="853"/>
        </w:trPr>
        <w:tc>
          <w:tcPr>
            <w:tcW w:w="2425" w:type="dxa"/>
            <w:tcBorders>
              <w:top w:val="nil"/>
              <w:left w:val="single" w:sz="4" w:space="0" w:color="auto"/>
              <w:bottom w:val="single" w:sz="4" w:space="0" w:color="auto"/>
              <w:right w:val="single" w:sz="4" w:space="0" w:color="auto"/>
            </w:tcBorders>
            <w:shd w:val="clear" w:color="auto" w:fill="auto"/>
            <w:hideMark/>
          </w:tcPr>
          <w:p w14:paraId="7A751A69"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Peginterferon beta-1a</w:t>
            </w:r>
          </w:p>
        </w:tc>
        <w:tc>
          <w:tcPr>
            <w:tcW w:w="1276" w:type="dxa"/>
            <w:tcBorders>
              <w:top w:val="nil"/>
              <w:left w:val="nil"/>
              <w:bottom w:val="single" w:sz="4" w:space="0" w:color="auto"/>
              <w:right w:val="single" w:sz="4" w:space="0" w:color="auto"/>
            </w:tcBorders>
            <w:shd w:val="clear" w:color="auto" w:fill="auto"/>
            <w:hideMark/>
          </w:tcPr>
          <w:p w14:paraId="79831744"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Plegridy</w:t>
            </w:r>
          </w:p>
        </w:tc>
        <w:tc>
          <w:tcPr>
            <w:tcW w:w="992" w:type="dxa"/>
            <w:tcBorders>
              <w:top w:val="nil"/>
              <w:left w:val="nil"/>
              <w:bottom w:val="single" w:sz="4" w:space="0" w:color="auto"/>
              <w:right w:val="single" w:sz="4" w:space="0" w:color="auto"/>
            </w:tcBorders>
            <w:shd w:val="clear" w:color="auto" w:fill="auto"/>
            <w:hideMark/>
          </w:tcPr>
          <w:p w14:paraId="352085EA"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L03AB13</w:t>
            </w:r>
          </w:p>
        </w:tc>
        <w:tc>
          <w:tcPr>
            <w:tcW w:w="992" w:type="dxa"/>
            <w:tcBorders>
              <w:top w:val="nil"/>
              <w:left w:val="nil"/>
              <w:bottom w:val="single" w:sz="4" w:space="0" w:color="auto"/>
              <w:right w:val="single" w:sz="4" w:space="0" w:color="auto"/>
            </w:tcBorders>
            <w:shd w:val="clear" w:color="auto" w:fill="auto"/>
            <w:hideMark/>
          </w:tcPr>
          <w:p w14:paraId="3BBE1F60"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10218T</w:t>
            </w:r>
          </w:p>
        </w:tc>
        <w:tc>
          <w:tcPr>
            <w:tcW w:w="1418" w:type="dxa"/>
            <w:tcBorders>
              <w:top w:val="nil"/>
              <w:left w:val="nil"/>
              <w:bottom w:val="single" w:sz="4" w:space="0" w:color="auto"/>
              <w:right w:val="single" w:sz="4" w:space="0" w:color="auto"/>
            </w:tcBorders>
            <w:shd w:val="clear" w:color="auto" w:fill="auto"/>
            <w:hideMark/>
          </w:tcPr>
          <w:p w14:paraId="07C676A7" w14:textId="21BB8AA2" w:rsidR="00E32434" w:rsidRPr="00E32434" w:rsidRDefault="00E32434" w:rsidP="00E32434">
            <w:pPr>
              <w:spacing w:after="0"/>
              <w:jc w:val="right"/>
              <w:rPr>
                <w:rFonts w:ascii="Calibri" w:eastAsia="Times New Roman" w:hAnsi="Calibri" w:cs="Times New Roman"/>
                <w:sz w:val="20"/>
                <w:szCs w:val="20"/>
              </w:rPr>
            </w:pPr>
            <w:r>
              <w:rPr>
                <w:rFonts w:ascii="Calibri" w:eastAsia="Times New Roman" w:hAnsi="Calibri" w:cs="Times New Roman"/>
                <w:sz w:val="20"/>
                <w:szCs w:val="20"/>
              </w:rPr>
              <w:t>1 Mar</w:t>
            </w:r>
            <w:r w:rsidRPr="00E32434">
              <w:rPr>
                <w:rFonts w:ascii="Calibri" w:eastAsia="Times New Roman" w:hAnsi="Calibri" w:cs="Times New Roman"/>
                <w:sz w:val="20"/>
                <w:szCs w:val="20"/>
              </w:rPr>
              <w:t xml:space="preserve"> 2015</w:t>
            </w:r>
          </w:p>
        </w:tc>
        <w:tc>
          <w:tcPr>
            <w:tcW w:w="3935" w:type="dxa"/>
            <w:tcBorders>
              <w:top w:val="nil"/>
              <w:left w:val="nil"/>
              <w:bottom w:val="single" w:sz="4" w:space="0" w:color="auto"/>
              <w:right w:val="single" w:sz="4" w:space="0" w:color="auto"/>
            </w:tcBorders>
            <w:shd w:val="clear" w:color="auto" w:fill="auto"/>
            <w:hideMark/>
          </w:tcPr>
          <w:p w14:paraId="63C290CD"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Pack containing single use injection pens containing 63 micrograms in 0.5 mL and 94 micrograms in 0.5 mL</w:t>
            </w:r>
          </w:p>
        </w:tc>
        <w:tc>
          <w:tcPr>
            <w:tcW w:w="728" w:type="dxa"/>
            <w:tcBorders>
              <w:top w:val="nil"/>
              <w:left w:val="nil"/>
              <w:bottom w:val="single" w:sz="4" w:space="0" w:color="auto"/>
              <w:right w:val="single" w:sz="4" w:space="0" w:color="auto"/>
            </w:tcBorders>
            <w:shd w:val="clear" w:color="auto" w:fill="auto"/>
            <w:hideMark/>
          </w:tcPr>
          <w:p w14:paraId="3A39E1CA"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w:t>
            </w:r>
          </w:p>
        </w:tc>
        <w:tc>
          <w:tcPr>
            <w:tcW w:w="704" w:type="dxa"/>
            <w:tcBorders>
              <w:top w:val="nil"/>
              <w:left w:val="nil"/>
              <w:bottom w:val="single" w:sz="4" w:space="0" w:color="auto"/>
              <w:right w:val="single" w:sz="4" w:space="0" w:color="auto"/>
            </w:tcBorders>
            <w:shd w:val="clear" w:color="auto" w:fill="auto"/>
            <w:hideMark/>
          </w:tcPr>
          <w:p w14:paraId="5997C9A3"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w:t>
            </w:r>
          </w:p>
        </w:tc>
        <w:tc>
          <w:tcPr>
            <w:tcW w:w="586" w:type="dxa"/>
            <w:tcBorders>
              <w:top w:val="nil"/>
              <w:left w:val="nil"/>
              <w:bottom w:val="single" w:sz="4" w:space="0" w:color="auto"/>
              <w:right w:val="single" w:sz="4" w:space="0" w:color="auto"/>
            </w:tcBorders>
            <w:shd w:val="clear" w:color="auto" w:fill="auto"/>
            <w:hideMark/>
          </w:tcPr>
          <w:p w14:paraId="2F1F6874"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0</w:t>
            </w:r>
          </w:p>
        </w:tc>
        <w:tc>
          <w:tcPr>
            <w:tcW w:w="1134" w:type="dxa"/>
            <w:tcBorders>
              <w:top w:val="nil"/>
              <w:left w:val="nil"/>
              <w:bottom w:val="single" w:sz="4" w:space="0" w:color="auto"/>
              <w:right w:val="single" w:sz="4" w:space="0" w:color="auto"/>
            </w:tcBorders>
            <w:shd w:val="clear" w:color="auto" w:fill="auto"/>
            <w:hideMark/>
          </w:tcPr>
          <w:p w14:paraId="62F6F5BE"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$1,057.11</w:t>
            </w:r>
          </w:p>
        </w:tc>
      </w:tr>
      <w:tr w:rsidR="00E32434" w:rsidRPr="00E32434" w14:paraId="3A2B9307" w14:textId="77777777" w:rsidTr="008F2B05">
        <w:trPr>
          <w:trHeight w:val="540"/>
        </w:trPr>
        <w:tc>
          <w:tcPr>
            <w:tcW w:w="2425" w:type="dxa"/>
            <w:tcBorders>
              <w:top w:val="nil"/>
              <w:left w:val="single" w:sz="4" w:space="0" w:color="auto"/>
              <w:bottom w:val="single" w:sz="4" w:space="0" w:color="auto"/>
              <w:right w:val="single" w:sz="4" w:space="0" w:color="auto"/>
            </w:tcBorders>
            <w:shd w:val="clear" w:color="auto" w:fill="auto"/>
            <w:hideMark/>
          </w:tcPr>
          <w:p w14:paraId="6EB964B8"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Peginterferon beta-1a</w:t>
            </w:r>
          </w:p>
        </w:tc>
        <w:tc>
          <w:tcPr>
            <w:tcW w:w="1276" w:type="dxa"/>
            <w:tcBorders>
              <w:top w:val="nil"/>
              <w:left w:val="nil"/>
              <w:bottom w:val="single" w:sz="4" w:space="0" w:color="auto"/>
              <w:right w:val="single" w:sz="4" w:space="0" w:color="auto"/>
            </w:tcBorders>
            <w:shd w:val="clear" w:color="auto" w:fill="auto"/>
            <w:hideMark/>
          </w:tcPr>
          <w:p w14:paraId="5959E0FA"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Plegridy</w:t>
            </w:r>
          </w:p>
        </w:tc>
        <w:tc>
          <w:tcPr>
            <w:tcW w:w="992" w:type="dxa"/>
            <w:tcBorders>
              <w:top w:val="nil"/>
              <w:left w:val="nil"/>
              <w:bottom w:val="single" w:sz="4" w:space="0" w:color="auto"/>
              <w:right w:val="single" w:sz="4" w:space="0" w:color="auto"/>
            </w:tcBorders>
            <w:shd w:val="clear" w:color="auto" w:fill="auto"/>
            <w:hideMark/>
          </w:tcPr>
          <w:p w14:paraId="6818B381"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L03AB13</w:t>
            </w:r>
          </w:p>
        </w:tc>
        <w:tc>
          <w:tcPr>
            <w:tcW w:w="992" w:type="dxa"/>
            <w:tcBorders>
              <w:top w:val="nil"/>
              <w:left w:val="nil"/>
              <w:bottom w:val="single" w:sz="4" w:space="0" w:color="auto"/>
              <w:right w:val="single" w:sz="4" w:space="0" w:color="auto"/>
            </w:tcBorders>
            <w:shd w:val="clear" w:color="auto" w:fill="auto"/>
            <w:hideMark/>
          </w:tcPr>
          <w:p w14:paraId="16AB5028"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10220X</w:t>
            </w:r>
          </w:p>
        </w:tc>
        <w:tc>
          <w:tcPr>
            <w:tcW w:w="1418" w:type="dxa"/>
            <w:tcBorders>
              <w:top w:val="nil"/>
              <w:left w:val="nil"/>
              <w:bottom w:val="single" w:sz="4" w:space="0" w:color="auto"/>
              <w:right w:val="single" w:sz="4" w:space="0" w:color="auto"/>
            </w:tcBorders>
            <w:shd w:val="clear" w:color="auto" w:fill="auto"/>
            <w:hideMark/>
          </w:tcPr>
          <w:p w14:paraId="452EBE69" w14:textId="1FAE2EEC" w:rsidR="00E32434" w:rsidRPr="00E32434" w:rsidRDefault="00E32434" w:rsidP="00E32434">
            <w:pPr>
              <w:spacing w:after="0"/>
              <w:jc w:val="right"/>
              <w:rPr>
                <w:rFonts w:ascii="Calibri" w:eastAsia="Times New Roman" w:hAnsi="Calibri" w:cs="Times New Roman"/>
                <w:sz w:val="20"/>
                <w:szCs w:val="20"/>
              </w:rPr>
            </w:pPr>
            <w:r>
              <w:rPr>
                <w:rFonts w:ascii="Calibri" w:eastAsia="Times New Roman" w:hAnsi="Calibri" w:cs="Times New Roman"/>
                <w:sz w:val="20"/>
                <w:szCs w:val="20"/>
              </w:rPr>
              <w:t>1 Mar</w:t>
            </w:r>
            <w:r w:rsidRPr="00E32434">
              <w:rPr>
                <w:rFonts w:ascii="Calibri" w:eastAsia="Times New Roman" w:hAnsi="Calibri" w:cs="Times New Roman"/>
                <w:sz w:val="20"/>
                <w:szCs w:val="20"/>
              </w:rPr>
              <w:t xml:space="preserve"> 2015</w:t>
            </w:r>
          </w:p>
        </w:tc>
        <w:tc>
          <w:tcPr>
            <w:tcW w:w="3935" w:type="dxa"/>
            <w:tcBorders>
              <w:top w:val="nil"/>
              <w:left w:val="nil"/>
              <w:bottom w:val="single" w:sz="4" w:space="0" w:color="auto"/>
              <w:right w:val="single" w:sz="4" w:space="0" w:color="auto"/>
            </w:tcBorders>
            <w:shd w:val="clear" w:color="auto" w:fill="auto"/>
            <w:hideMark/>
          </w:tcPr>
          <w:p w14:paraId="2D4B9E9C"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Single use injection pen containing 125 micrograms in 0.5 mL</w:t>
            </w:r>
          </w:p>
        </w:tc>
        <w:tc>
          <w:tcPr>
            <w:tcW w:w="728" w:type="dxa"/>
            <w:tcBorders>
              <w:top w:val="nil"/>
              <w:left w:val="nil"/>
              <w:bottom w:val="single" w:sz="4" w:space="0" w:color="auto"/>
              <w:right w:val="single" w:sz="4" w:space="0" w:color="auto"/>
            </w:tcBorders>
            <w:shd w:val="clear" w:color="auto" w:fill="auto"/>
            <w:hideMark/>
          </w:tcPr>
          <w:p w14:paraId="49107FB1"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2</w:t>
            </w:r>
          </w:p>
        </w:tc>
        <w:tc>
          <w:tcPr>
            <w:tcW w:w="704" w:type="dxa"/>
            <w:tcBorders>
              <w:top w:val="nil"/>
              <w:left w:val="nil"/>
              <w:bottom w:val="single" w:sz="4" w:space="0" w:color="auto"/>
              <w:right w:val="single" w:sz="4" w:space="0" w:color="auto"/>
            </w:tcBorders>
            <w:shd w:val="clear" w:color="auto" w:fill="auto"/>
            <w:hideMark/>
          </w:tcPr>
          <w:p w14:paraId="18FF8BE9"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2</w:t>
            </w:r>
          </w:p>
        </w:tc>
        <w:tc>
          <w:tcPr>
            <w:tcW w:w="586" w:type="dxa"/>
            <w:tcBorders>
              <w:top w:val="nil"/>
              <w:left w:val="nil"/>
              <w:bottom w:val="single" w:sz="4" w:space="0" w:color="auto"/>
              <w:right w:val="single" w:sz="4" w:space="0" w:color="auto"/>
            </w:tcBorders>
            <w:shd w:val="clear" w:color="auto" w:fill="auto"/>
            <w:hideMark/>
          </w:tcPr>
          <w:p w14:paraId="1EA71E9F"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14:paraId="0C4E7D5A"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$1,057.11</w:t>
            </w:r>
          </w:p>
        </w:tc>
      </w:tr>
      <w:tr w:rsidR="00E32434" w:rsidRPr="00E32434" w14:paraId="3432EEB2" w14:textId="77777777" w:rsidTr="008F2B05">
        <w:trPr>
          <w:trHeight w:val="279"/>
        </w:trPr>
        <w:tc>
          <w:tcPr>
            <w:tcW w:w="2425" w:type="dxa"/>
            <w:tcBorders>
              <w:top w:val="nil"/>
              <w:left w:val="single" w:sz="4" w:space="0" w:color="auto"/>
              <w:bottom w:val="single" w:sz="4" w:space="0" w:color="auto"/>
              <w:right w:val="single" w:sz="4" w:space="0" w:color="auto"/>
            </w:tcBorders>
            <w:shd w:val="clear" w:color="auto" w:fill="auto"/>
            <w:hideMark/>
          </w:tcPr>
          <w:p w14:paraId="34B44943"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Teriflunomide</w:t>
            </w:r>
          </w:p>
        </w:tc>
        <w:tc>
          <w:tcPr>
            <w:tcW w:w="1276" w:type="dxa"/>
            <w:tcBorders>
              <w:top w:val="nil"/>
              <w:left w:val="nil"/>
              <w:bottom w:val="single" w:sz="4" w:space="0" w:color="auto"/>
              <w:right w:val="single" w:sz="4" w:space="0" w:color="auto"/>
            </w:tcBorders>
            <w:shd w:val="clear" w:color="auto" w:fill="auto"/>
            <w:hideMark/>
          </w:tcPr>
          <w:p w14:paraId="036B6164"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Aubagio</w:t>
            </w:r>
          </w:p>
        </w:tc>
        <w:tc>
          <w:tcPr>
            <w:tcW w:w="992" w:type="dxa"/>
            <w:tcBorders>
              <w:top w:val="nil"/>
              <w:left w:val="nil"/>
              <w:bottom w:val="single" w:sz="4" w:space="0" w:color="auto"/>
              <w:right w:val="single" w:sz="4" w:space="0" w:color="auto"/>
            </w:tcBorders>
            <w:shd w:val="clear" w:color="auto" w:fill="auto"/>
            <w:hideMark/>
          </w:tcPr>
          <w:p w14:paraId="4983E8D5"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L04AA31</w:t>
            </w:r>
          </w:p>
        </w:tc>
        <w:tc>
          <w:tcPr>
            <w:tcW w:w="992" w:type="dxa"/>
            <w:tcBorders>
              <w:top w:val="nil"/>
              <w:left w:val="nil"/>
              <w:bottom w:val="single" w:sz="4" w:space="0" w:color="auto"/>
              <w:right w:val="single" w:sz="4" w:space="0" w:color="auto"/>
            </w:tcBorders>
            <w:shd w:val="clear" w:color="auto" w:fill="auto"/>
            <w:hideMark/>
          </w:tcPr>
          <w:p w14:paraId="6488135C"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02898M</w:t>
            </w:r>
          </w:p>
        </w:tc>
        <w:tc>
          <w:tcPr>
            <w:tcW w:w="1418" w:type="dxa"/>
            <w:tcBorders>
              <w:top w:val="nil"/>
              <w:left w:val="nil"/>
              <w:bottom w:val="single" w:sz="4" w:space="0" w:color="auto"/>
              <w:right w:val="single" w:sz="4" w:space="0" w:color="auto"/>
            </w:tcBorders>
            <w:shd w:val="clear" w:color="auto" w:fill="auto"/>
            <w:hideMark/>
          </w:tcPr>
          <w:p w14:paraId="535BA469" w14:textId="4A353955" w:rsidR="00E32434" w:rsidRPr="00E32434" w:rsidRDefault="00E32434" w:rsidP="00E32434">
            <w:pPr>
              <w:spacing w:after="0"/>
              <w:jc w:val="right"/>
              <w:rPr>
                <w:rFonts w:ascii="Calibri" w:eastAsia="Times New Roman" w:hAnsi="Calibri" w:cs="Times New Roman"/>
                <w:sz w:val="20"/>
                <w:szCs w:val="20"/>
              </w:rPr>
            </w:pPr>
            <w:r>
              <w:rPr>
                <w:rFonts w:ascii="Calibri" w:eastAsia="Times New Roman" w:hAnsi="Calibri" w:cs="Times New Roman"/>
                <w:sz w:val="20"/>
                <w:szCs w:val="20"/>
              </w:rPr>
              <w:t>1 Dec</w:t>
            </w:r>
            <w:r w:rsidRPr="00E32434">
              <w:rPr>
                <w:rFonts w:ascii="Calibri" w:eastAsia="Times New Roman" w:hAnsi="Calibri" w:cs="Times New Roman"/>
                <w:sz w:val="20"/>
                <w:szCs w:val="20"/>
              </w:rPr>
              <w:t xml:space="preserve"> 2013</w:t>
            </w:r>
          </w:p>
        </w:tc>
        <w:tc>
          <w:tcPr>
            <w:tcW w:w="3935" w:type="dxa"/>
            <w:tcBorders>
              <w:top w:val="nil"/>
              <w:left w:val="nil"/>
              <w:bottom w:val="single" w:sz="4" w:space="0" w:color="auto"/>
              <w:right w:val="single" w:sz="4" w:space="0" w:color="auto"/>
            </w:tcBorders>
            <w:shd w:val="clear" w:color="auto" w:fill="auto"/>
            <w:hideMark/>
          </w:tcPr>
          <w:p w14:paraId="7DBF30E0" w14:textId="77777777" w:rsidR="00E32434" w:rsidRPr="00E32434" w:rsidRDefault="00E32434" w:rsidP="00E32434">
            <w:pPr>
              <w:spacing w:after="0"/>
              <w:rPr>
                <w:rFonts w:ascii="Calibri" w:eastAsia="Times New Roman" w:hAnsi="Calibri" w:cs="Times New Roman"/>
                <w:sz w:val="20"/>
                <w:szCs w:val="20"/>
              </w:rPr>
            </w:pPr>
            <w:r w:rsidRPr="00E32434">
              <w:rPr>
                <w:rFonts w:ascii="Calibri" w:eastAsia="Times New Roman" w:hAnsi="Calibri" w:cs="Times New Roman"/>
                <w:sz w:val="20"/>
                <w:szCs w:val="20"/>
              </w:rPr>
              <w:t>Tablet 14 mg</w:t>
            </w:r>
          </w:p>
        </w:tc>
        <w:tc>
          <w:tcPr>
            <w:tcW w:w="728" w:type="dxa"/>
            <w:tcBorders>
              <w:top w:val="nil"/>
              <w:left w:val="nil"/>
              <w:bottom w:val="single" w:sz="4" w:space="0" w:color="auto"/>
              <w:right w:val="single" w:sz="4" w:space="0" w:color="auto"/>
            </w:tcBorders>
            <w:shd w:val="clear" w:color="auto" w:fill="auto"/>
            <w:hideMark/>
          </w:tcPr>
          <w:p w14:paraId="2AC2EE53"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28</w:t>
            </w:r>
          </w:p>
        </w:tc>
        <w:tc>
          <w:tcPr>
            <w:tcW w:w="704" w:type="dxa"/>
            <w:tcBorders>
              <w:top w:val="nil"/>
              <w:left w:val="nil"/>
              <w:bottom w:val="single" w:sz="4" w:space="0" w:color="auto"/>
              <w:right w:val="single" w:sz="4" w:space="0" w:color="auto"/>
            </w:tcBorders>
            <w:shd w:val="clear" w:color="auto" w:fill="auto"/>
            <w:hideMark/>
          </w:tcPr>
          <w:p w14:paraId="133D9DAD"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28</w:t>
            </w:r>
          </w:p>
        </w:tc>
        <w:tc>
          <w:tcPr>
            <w:tcW w:w="586" w:type="dxa"/>
            <w:tcBorders>
              <w:top w:val="nil"/>
              <w:left w:val="nil"/>
              <w:bottom w:val="single" w:sz="4" w:space="0" w:color="auto"/>
              <w:right w:val="single" w:sz="4" w:space="0" w:color="auto"/>
            </w:tcBorders>
            <w:shd w:val="clear" w:color="auto" w:fill="auto"/>
            <w:hideMark/>
          </w:tcPr>
          <w:p w14:paraId="3DD6C02D"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5</w:t>
            </w:r>
          </w:p>
        </w:tc>
        <w:tc>
          <w:tcPr>
            <w:tcW w:w="1134" w:type="dxa"/>
            <w:tcBorders>
              <w:top w:val="nil"/>
              <w:left w:val="nil"/>
              <w:bottom w:val="single" w:sz="4" w:space="0" w:color="auto"/>
              <w:right w:val="single" w:sz="4" w:space="0" w:color="auto"/>
            </w:tcBorders>
            <w:shd w:val="clear" w:color="auto" w:fill="auto"/>
            <w:hideMark/>
          </w:tcPr>
          <w:p w14:paraId="72975F61" w14:textId="77777777" w:rsidR="00E32434" w:rsidRPr="00E32434" w:rsidRDefault="00E32434" w:rsidP="00E32434">
            <w:pPr>
              <w:spacing w:after="0"/>
              <w:jc w:val="right"/>
              <w:rPr>
                <w:rFonts w:ascii="Calibri" w:eastAsia="Times New Roman" w:hAnsi="Calibri" w:cs="Times New Roman"/>
                <w:sz w:val="20"/>
                <w:szCs w:val="20"/>
              </w:rPr>
            </w:pPr>
            <w:r w:rsidRPr="00E32434">
              <w:rPr>
                <w:rFonts w:ascii="Calibri" w:eastAsia="Times New Roman" w:hAnsi="Calibri" w:cs="Times New Roman"/>
                <w:sz w:val="20"/>
                <w:szCs w:val="20"/>
              </w:rPr>
              <w:t>$1,847.26</w:t>
            </w:r>
          </w:p>
        </w:tc>
      </w:tr>
    </w:tbl>
    <w:p w14:paraId="07B93CCE" w14:textId="77777777" w:rsidR="00F0432E" w:rsidRDefault="00F0432E" w:rsidP="0074153D">
      <w:pPr>
        <w:rPr>
          <w:rFonts w:cstheme="minorHAnsi"/>
          <w:b/>
        </w:rPr>
      </w:pPr>
    </w:p>
    <w:p w14:paraId="685E63EE" w14:textId="77777777" w:rsidR="00F0432E" w:rsidRDefault="00F0432E" w:rsidP="0074153D">
      <w:pPr>
        <w:rPr>
          <w:rFonts w:cstheme="minorHAnsi"/>
          <w:b/>
        </w:rPr>
      </w:pPr>
    </w:p>
    <w:p w14:paraId="082C8B0A" w14:textId="2FDEAF7D" w:rsidR="00F0432E" w:rsidRDefault="00F0432E">
      <w:pPr>
        <w:spacing w:line="276" w:lineRule="auto"/>
        <w:rPr>
          <w:rFonts w:cstheme="minorHAnsi"/>
          <w:b/>
        </w:rPr>
      </w:pPr>
      <w:r>
        <w:rPr>
          <w:rFonts w:cstheme="minorHAnsi"/>
          <w:b/>
        </w:rPr>
        <w:br w:type="page"/>
      </w:r>
    </w:p>
    <w:p w14:paraId="44EB130E" w14:textId="0CEE77B3" w:rsidR="00466C37" w:rsidRPr="0074153D" w:rsidRDefault="00385B72" w:rsidP="0074153D">
      <w:pPr>
        <w:rPr>
          <w:rFonts w:cstheme="minorHAnsi"/>
          <w:b/>
        </w:rPr>
      </w:pPr>
      <w:r w:rsidRPr="00BB60B5">
        <w:rPr>
          <w:rFonts w:cstheme="minorHAnsi"/>
          <w:b/>
        </w:rPr>
        <w:lastRenderedPageBreak/>
        <w:t xml:space="preserve">Appendix </w:t>
      </w:r>
      <w:r w:rsidR="00AC4095">
        <w:rPr>
          <w:rFonts w:cstheme="minorHAnsi"/>
          <w:b/>
        </w:rPr>
        <w:t>B</w:t>
      </w:r>
      <w:r w:rsidRPr="00BB60B5">
        <w:rPr>
          <w:rFonts w:cstheme="minorHAnsi"/>
          <w:b/>
        </w:rPr>
        <w:t xml:space="preserve"> – </w:t>
      </w:r>
      <w:r w:rsidR="00E34C55">
        <w:rPr>
          <w:rFonts w:cstheme="minorHAnsi"/>
          <w:b/>
        </w:rPr>
        <w:t>Chronology of PBS listings for multiple sclerosis</w:t>
      </w:r>
    </w:p>
    <w:tbl>
      <w:tblPr>
        <w:tblW w:w="14049" w:type="dxa"/>
        <w:tblInd w:w="93" w:type="dxa"/>
        <w:tblLayout w:type="fixed"/>
        <w:tblLook w:val="04A0" w:firstRow="1" w:lastRow="0" w:firstColumn="1" w:lastColumn="0" w:noHBand="0" w:noVBand="1"/>
      </w:tblPr>
      <w:tblGrid>
        <w:gridCol w:w="1858"/>
        <w:gridCol w:w="1134"/>
        <w:gridCol w:w="992"/>
        <w:gridCol w:w="851"/>
        <w:gridCol w:w="1134"/>
        <w:gridCol w:w="5245"/>
        <w:gridCol w:w="567"/>
        <w:gridCol w:w="567"/>
        <w:gridCol w:w="567"/>
        <w:gridCol w:w="1134"/>
      </w:tblGrid>
      <w:tr w:rsidR="00D36536" w:rsidRPr="006E2AC1" w14:paraId="720E8259" w14:textId="77777777" w:rsidTr="00DB68DC">
        <w:trPr>
          <w:trHeight w:val="486"/>
          <w:tblHeader/>
        </w:trPr>
        <w:tc>
          <w:tcPr>
            <w:tcW w:w="1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37D59" w14:textId="6B54BA0C" w:rsidR="00D36536" w:rsidRPr="00D36536" w:rsidRDefault="00D36536" w:rsidP="00D36536">
            <w:pPr>
              <w:spacing w:after="0"/>
              <w:jc w:val="center"/>
              <w:rPr>
                <w:rFonts w:ascii="Calibri" w:eastAsia="Times New Roman" w:hAnsi="Calibri" w:cs="Times New Roman"/>
                <w:b/>
                <w:sz w:val="18"/>
                <w:szCs w:val="18"/>
              </w:rPr>
            </w:pPr>
            <w:r w:rsidRPr="006E2AC1">
              <w:rPr>
                <w:rFonts w:ascii="Calibri" w:eastAsia="Times New Roman" w:hAnsi="Calibri" w:cs="Times New Roman"/>
                <w:b/>
                <w:sz w:val="18"/>
                <w:szCs w:val="18"/>
              </w:rPr>
              <w:t>Drug</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004C8F36" w14:textId="5D93D036" w:rsidR="00D36536" w:rsidRPr="00D36536" w:rsidRDefault="00D36536" w:rsidP="00D36536">
            <w:pPr>
              <w:spacing w:after="0"/>
              <w:jc w:val="center"/>
              <w:rPr>
                <w:rFonts w:ascii="Calibri" w:eastAsia="Times New Roman" w:hAnsi="Calibri" w:cs="Times New Roman"/>
                <w:b/>
                <w:sz w:val="18"/>
                <w:szCs w:val="18"/>
              </w:rPr>
            </w:pPr>
            <w:r w:rsidRPr="006E2AC1">
              <w:rPr>
                <w:rFonts w:ascii="Calibri" w:eastAsia="Times New Roman" w:hAnsi="Calibri" w:cs="Times New Roman"/>
                <w:b/>
                <w:sz w:val="18"/>
                <w:szCs w:val="18"/>
              </w:rPr>
              <w:t>Brand name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hideMark/>
          </w:tcPr>
          <w:p w14:paraId="141EAFDC" w14:textId="77777777" w:rsidR="00D36536" w:rsidRPr="00D36536" w:rsidRDefault="00D36536" w:rsidP="00D36536">
            <w:pPr>
              <w:spacing w:after="0"/>
              <w:jc w:val="center"/>
              <w:rPr>
                <w:rFonts w:ascii="Calibri" w:eastAsia="Times New Roman" w:hAnsi="Calibri" w:cs="Times New Roman"/>
                <w:b/>
                <w:sz w:val="18"/>
                <w:szCs w:val="18"/>
              </w:rPr>
            </w:pPr>
            <w:r w:rsidRPr="00D36536">
              <w:rPr>
                <w:rFonts w:ascii="Calibri" w:eastAsia="Times New Roman" w:hAnsi="Calibri" w:cs="Times New Roman"/>
                <w:b/>
                <w:sz w:val="18"/>
                <w:szCs w:val="18"/>
              </w:rPr>
              <w:t>ATC5</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hideMark/>
          </w:tcPr>
          <w:p w14:paraId="51D76BC1" w14:textId="77777777" w:rsidR="00DB68DC" w:rsidRDefault="00D36536" w:rsidP="00D36536">
            <w:pPr>
              <w:spacing w:after="0"/>
              <w:jc w:val="center"/>
              <w:rPr>
                <w:rFonts w:ascii="Calibri" w:eastAsia="Times New Roman" w:hAnsi="Calibri" w:cs="Times New Roman"/>
                <w:b/>
                <w:sz w:val="18"/>
                <w:szCs w:val="18"/>
              </w:rPr>
            </w:pPr>
            <w:r w:rsidRPr="006E2AC1">
              <w:rPr>
                <w:rFonts w:ascii="Calibri" w:eastAsia="Times New Roman" w:hAnsi="Calibri" w:cs="Times New Roman"/>
                <w:b/>
                <w:sz w:val="18"/>
                <w:szCs w:val="18"/>
              </w:rPr>
              <w:t xml:space="preserve">Item </w:t>
            </w:r>
          </w:p>
          <w:p w14:paraId="784D48F6" w14:textId="504DA720" w:rsidR="00D36536" w:rsidRPr="00D36536" w:rsidRDefault="00D36536" w:rsidP="00D36536">
            <w:pPr>
              <w:spacing w:after="0"/>
              <w:jc w:val="center"/>
              <w:rPr>
                <w:rFonts w:ascii="Calibri" w:eastAsia="Times New Roman" w:hAnsi="Calibri" w:cs="Times New Roman"/>
                <w:b/>
                <w:sz w:val="18"/>
                <w:szCs w:val="18"/>
              </w:rPr>
            </w:pPr>
            <w:r w:rsidRPr="006E2AC1">
              <w:rPr>
                <w:rFonts w:ascii="Calibri" w:eastAsia="Times New Roman" w:hAnsi="Calibri" w:cs="Times New Roman"/>
                <w:b/>
                <w:sz w:val="18"/>
                <w:szCs w:val="18"/>
              </w:rPr>
              <w:t>code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4A66F662" w14:textId="483213C1" w:rsidR="00D36536" w:rsidRPr="006E2AC1" w:rsidRDefault="00DB68DC" w:rsidP="00D36536">
            <w:pPr>
              <w:spacing w:after="0"/>
              <w:jc w:val="center"/>
              <w:rPr>
                <w:rFonts w:ascii="Calibri" w:eastAsia="Times New Roman" w:hAnsi="Calibri" w:cs="Times New Roman"/>
                <w:b/>
                <w:sz w:val="18"/>
                <w:szCs w:val="18"/>
              </w:rPr>
            </w:pPr>
            <w:r>
              <w:rPr>
                <w:rFonts w:ascii="Calibri" w:eastAsia="Times New Roman" w:hAnsi="Calibri" w:cs="Times New Roman"/>
                <w:b/>
                <w:sz w:val="18"/>
                <w:szCs w:val="18"/>
              </w:rPr>
              <w:t>First list</w:t>
            </w:r>
            <w:r w:rsidR="003A4D2F">
              <w:rPr>
                <w:rFonts w:ascii="Calibri" w:eastAsia="Times New Roman" w:hAnsi="Calibri" w:cs="Times New Roman"/>
                <w:b/>
                <w:sz w:val="18"/>
                <w:szCs w:val="18"/>
              </w:rPr>
              <w:t>ing</w:t>
            </w:r>
          </w:p>
          <w:p w14:paraId="47F4FCDC" w14:textId="6B06D96D" w:rsidR="00D36536" w:rsidRPr="00D36536" w:rsidRDefault="00D36536" w:rsidP="00D36536">
            <w:pPr>
              <w:spacing w:after="0"/>
              <w:jc w:val="center"/>
              <w:rPr>
                <w:rFonts w:ascii="Calibri" w:eastAsia="Times New Roman" w:hAnsi="Calibri" w:cs="Times New Roman"/>
                <w:b/>
                <w:sz w:val="18"/>
                <w:szCs w:val="18"/>
              </w:rPr>
            </w:pPr>
            <w:r w:rsidRPr="006E2AC1">
              <w:rPr>
                <w:rFonts w:ascii="Calibri" w:eastAsia="Times New Roman" w:hAnsi="Calibri" w:cs="Times New Roman"/>
                <w:b/>
                <w:sz w:val="18"/>
                <w:szCs w:val="18"/>
              </w:rPr>
              <w:t>date</w:t>
            </w:r>
          </w:p>
        </w:tc>
        <w:tc>
          <w:tcPr>
            <w:tcW w:w="5245" w:type="dxa"/>
            <w:tcBorders>
              <w:top w:val="single" w:sz="4" w:space="0" w:color="auto"/>
              <w:left w:val="nil"/>
              <w:bottom w:val="single" w:sz="4" w:space="0" w:color="auto"/>
              <w:right w:val="single" w:sz="4" w:space="0" w:color="auto"/>
            </w:tcBorders>
            <w:shd w:val="clear" w:color="auto" w:fill="D9D9D9" w:themeFill="background1" w:themeFillShade="D9"/>
            <w:hideMark/>
          </w:tcPr>
          <w:p w14:paraId="1C955AC4" w14:textId="69625648" w:rsidR="00D36536" w:rsidRPr="00D36536" w:rsidRDefault="00D36536" w:rsidP="00D36536">
            <w:pPr>
              <w:spacing w:after="0"/>
              <w:jc w:val="center"/>
              <w:rPr>
                <w:rFonts w:ascii="Calibri" w:eastAsia="Times New Roman" w:hAnsi="Calibri" w:cs="Times New Roman"/>
                <w:b/>
                <w:sz w:val="18"/>
                <w:szCs w:val="18"/>
              </w:rPr>
            </w:pPr>
            <w:r w:rsidRPr="006E2AC1">
              <w:rPr>
                <w:rFonts w:ascii="Calibri" w:eastAsia="Times New Roman" w:hAnsi="Calibri" w:cs="Times New Roman"/>
                <w:b/>
                <w:sz w:val="18"/>
                <w:szCs w:val="18"/>
              </w:rPr>
              <w:t>Form and strength</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hideMark/>
          </w:tcPr>
          <w:p w14:paraId="28C7D8B0" w14:textId="4AE414D1" w:rsidR="00D36536" w:rsidRPr="00D36536" w:rsidRDefault="00D36536" w:rsidP="00D36536">
            <w:pPr>
              <w:spacing w:after="0"/>
              <w:jc w:val="center"/>
              <w:rPr>
                <w:rFonts w:ascii="Calibri" w:eastAsia="Times New Roman" w:hAnsi="Calibri" w:cs="Times New Roman"/>
                <w:b/>
                <w:sz w:val="18"/>
                <w:szCs w:val="18"/>
              </w:rPr>
            </w:pPr>
            <w:r w:rsidRPr="006E2AC1">
              <w:rPr>
                <w:rFonts w:ascii="Calibri" w:eastAsia="Times New Roman" w:hAnsi="Calibri" w:cs="Times New Roman"/>
                <w:b/>
                <w:sz w:val="18"/>
                <w:szCs w:val="18"/>
              </w:rPr>
              <w:t>Pack size</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hideMark/>
          </w:tcPr>
          <w:p w14:paraId="15D0965B" w14:textId="3DBEC496" w:rsidR="00D36536" w:rsidRPr="00D36536" w:rsidRDefault="00511CE1" w:rsidP="00D36536">
            <w:pPr>
              <w:spacing w:after="0"/>
              <w:jc w:val="center"/>
              <w:rPr>
                <w:rFonts w:ascii="Calibri" w:eastAsia="Times New Roman" w:hAnsi="Calibri" w:cs="Times New Roman"/>
                <w:b/>
                <w:sz w:val="18"/>
                <w:szCs w:val="18"/>
              </w:rPr>
            </w:pPr>
            <w:r>
              <w:rPr>
                <w:rFonts w:ascii="Calibri" w:eastAsia="Times New Roman" w:hAnsi="Calibri" w:cs="Times New Roman"/>
                <w:b/>
                <w:sz w:val="18"/>
                <w:szCs w:val="18"/>
              </w:rPr>
              <w:t>M</w:t>
            </w:r>
            <w:r w:rsidR="00BD5008">
              <w:rPr>
                <w:rFonts w:ascii="Calibri" w:eastAsia="Times New Roman" w:hAnsi="Calibri" w:cs="Times New Roman"/>
                <w:b/>
                <w:sz w:val="18"/>
                <w:szCs w:val="18"/>
              </w:rPr>
              <w:t xml:space="preserve">ax </w:t>
            </w:r>
            <w:r w:rsidR="00D36536" w:rsidRPr="00D36536">
              <w:rPr>
                <w:rFonts w:ascii="Calibri" w:eastAsia="Times New Roman" w:hAnsi="Calibri" w:cs="Times New Roman"/>
                <w:b/>
                <w:sz w:val="18"/>
                <w:szCs w:val="18"/>
              </w:rPr>
              <w:t>qty</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hideMark/>
          </w:tcPr>
          <w:p w14:paraId="7E24E04B" w14:textId="579EFC40" w:rsidR="00D36536" w:rsidRPr="00D36536" w:rsidRDefault="00511CE1" w:rsidP="00D36536">
            <w:pPr>
              <w:spacing w:after="0"/>
              <w:jc w:val="center"/>
              <w:rPr>
                <w:rFonts w:ascii="Calibri" w:eastAsia="Times New Roman" w:hAnsi="Calibri" w:cs="Times New Roman"/>
                <w:b/>
                <w:sz w:val="18"/>
                <w:szCs w:val="18"/>
              </w:rPr>
            </w:pPr>
            <w:r>
              <w:rPr>
                <w:rFonts w:ascii="Calibri" w:eastAsia="Times New Roman" w:hAnsi="Calibri" w:cs="Times New Roman"/>
                <w:b/>
                <w:sz w:val="18"/>
                <w:szCs w:val="18"/>
              </w:rPr>
              <w:t>R</w:t>
            </w:r>
            <w:r w:rsidR="00D36536" w:rsidRPr="00D36536">
              <w:rPr>
                <w:rFonts w:ascii="Calibri" w:eastAsia="Times New Roman" w:hAnsi="Calibri" w:cs="Times New Roman"/>
                <w:b/>
                <w:sz w:val="18"/>
                <w:szCs w:val="18"/>
              </w:rPr>
              <w:t>pts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67BDA923" w14:textId="77777777" w:rsidR="00D36536" w:rsidRPr="00D36536" w:rsidRDefault="00D36536" w:rsidP="00D36536">
            <w:pPr>
              <w:spacing w:after="0"/>
              <w:jc w:val="center"/>
              <w:rPr>
                <w:rFonts w:ascii="Calibri" w:eastAsia="Times New Roman" w:hAnsi="Calibri" w:cs="Times New Roman"/>
                <w:b/>
                <w:sz w:val="18"/>
                <w:szCs w:val="18"/>
              </w:rPr>
            </w:pPr>
            <w:r w:rsidRPr="00D36536">
              <w:rPr>
                <w:rFonts w:ascii="Calibri" w:eastAsia="Times New Roman" w:hAnsi="Calibri" w:cs="Times New Roman"/>
                <w:b/>
                <w:sz w:val="18"/>
                <w:szCs w:val="18"/>
              </w:rPr>
              <w:t>DPMQ</w:t>
            </w:r>
          </w:p>
        </w:tc>
      </w:tr>
      <w:tr w:rsidR="00511CE1" w:rsidRPr="006E2AC1" w14:paraId="2D726112" w14:textId="77777777" w:rsidTr="00DB68DC">
        <w:trPr>
          <w:trHeight w:val="452"/>
        </w:trPr>
        <w:tc>
          <w:tcPr>
            <w:tcW w:w="1858" w:type="dxa"/>
            <w:tcBorders>
              <w:top w:val="nil"/>
              <w:left w:val="single" w:sz="4" w:space="0" w:color="auto"/>
              <w:bottom w:val="single" w:sz="4" w:space="0" w:color="auto"/>
              <w:right w:val="single" w:sz="4" w:space="0" w:color="auto"/>
            </w:tcBorders>
            <w:shd w:val="clear" w:color="auto" w:fill="auto"/>
            <w:hideMark/>
          </w:tcPr>
          <w:p w14:paraId="31AB79FB"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beta-1b</w:t>
            </w:r>
          </w:p>
        </w:tc>
        <w:tc>
          <w:tcPr>
            <w:tcW w:w="1134" w:type="dxa"/>
            <w:tcBorders>
              <w:top w:val="nil"/>
              <w:left w:val="nil"/>
              <w:bottom w:val="single" w:sz="4" w:space="0" w:color="auto"/>
              <w:right w:val="single" w:sz="4" w:space="0" w:color="auto"/>
            </w:tcBorders>
            <w:shd w:val="clear" w:color="auto" w:fill="auto"/>
            <w:hideMark/>
          </w:tcPr>
          <w:p w14:paraId="1A73705F"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Betaferon</w:t>
            </w:r>
          </w:p>
        </w:tc>
        <w:tc>
          <w:tcPr>
            <w:tcW w:w="992" w:type="dxa"/>
            <w:tcBorders>
              <w:top w:val="nil"/>
              <w:left w:val="nil"/>
              <w:bottom w:val="single" w:sz="4" w:space="0" w:color="auto"/>
              <w:right w:val="single" w:sz="4" w:space="0" w:color="auto"/>
            </w:tcBorders>
            <w:shd w:val="clear" w:color="auto" w:fill="auto"/>
            <w:hideMark/>
          </w:tcPr>
          <w:p w14:paraId="59AAAC59"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L03AA11</w:t>
            </w:r>
          </w:p>
        </w:tc>
        <w:tc>
          <w:tcPr>
            <w:tcW w:w="851" w:type="dxa"/>
            <w:tcBorders>
              <w:top w:val="nil"/>
              <w:left w:val="nil"/>
              <w:bottom w:val="single" w:sz="4" w:space="0" w:color="auto"/>
              <w:right w:val="single" w:sz="4" w:space="0" w:color="auto"/>
            </w:tcBorders>
            <w:shd w:val="clear" w:color="auto" w:fill="auto"/>
            <w:hideMark/>
          </w:tcPr>
          <w:p w14:paraId="03A2C93F"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08101J</w:t>
            </w:r>
          </w:p>
        </w:tc>
        <w:tc>
          <w:tcPr>
            <w:tcW w:w="1134" w:type="dxa"/>
            <w:tcBorders>
              <w:top w:val="nil"/>
              <w:left w:val="nil"/>
              <w:bottom w:val="single" w:sz="4" w:space="0" w:color="auto"/>
              <w:right w:val="single" w:sz="4" w:space="0" w:color="auto"/>
            </w:tcBorders>
            <w:shd w:val="clear" w:color="auto" w:fill="auto"/>
            <w:hideMark/>
          </w:tcPr>
          <w:p w14:paraId="170F337B" w14:textId="44796286"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Nov</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1996</w:t>
            </w:r>
          </w:p>
        </w:tc>
        <w:tc>
          <w:tcPr>
            <w:tcW w:w="5245" w:type="dxa"/>
            <w:tcBorders>
              <w:top w:val="nil"/>
              <w:left w:val="nil"/>
              <w:bottom w:val="single" w:sz="4" w:space="0" w:color="auto"/>
              <w:right w:val="single" w:sz="4" w:space="0" w:color="auto"/>
            </w:tcBorders>
            <w:shd w:val="clear" w:color="auto" w:fill="auto"/>
            <w:hideMark/>
          </w:tcPr>
          <w:p w14:paraId="3D36B500"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set comprising 1 vial powder for injection providing a final dose of 8,000,000 I.U. and 1 vial solvent 2 mL</w:t>
            </w:r>
          </w:p>
        </w:tc>
        <w:tc>
          <w:tcPr>
            <w:tcW w:w="567" w:type="dxa"/>
            <w:tcBorders>
              <w:top w:val="nil"/>
              <w:left w:val="nil"/>
              <w:bottom w:val="single" w:sz="4" w:space="0" w:color="auto"/>
              <w:right w:val="single" w:sz="4" w:space="0" w:color="auto"/>
            </w:tcBorders>
            <w:shd w:val="clear" w:color="auto" w:fill="auto"/>
            <w:hideMark/>
          </w:tcPr>
          <w:p w14:paraId="76CA8721"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15</w:t>
            </w:r>
          </w:p>
        </w:tc>
        <w:tc>
          <w:tcPr>
            <w:tcW w:w="567" w:type="dxa"/>
            <w:tcBorders>
              <w:top w:val="nil"/>
              <w:left w:val="nil"/>
              <w:bottom w:val="single" w:sz="4" w:space="0" w:color="auto"/>
              <w:right w:val="single" w:sz="4" w:space="0" w:color="auto"/>
            </w:tcBorders>
            <w:shd w:val="clear" w:color="auto" w:fill="auto"/>
            <w:hideMark/>
          </w:tcPr>
          <w:p w14:paraId="52AEFDCA"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15</w:t>
            </w:r>
          </w:p>
        </w:tc>
        <w:tc>
          <w:tcPr>
            <w:tcW w:w="567" w:type="dxa"/>
            <w:tcBorders>
              <w:top w:val="nil"/>
              <w:left w:val="nil"/>
              <w:bottom w:val="single" w:sz="4" w:space="0" w:color="auto"/>
              <w:right w:val="single" w:sz="4" w:space="0" w:color="auto"/>
            </w:tcBorders>
            <w:shd w:val="clear" w:color="auto" w:fill="auto"/>
            <w:hideMark/>
          </w:tcPr>
          <w:p w14:paraId="1E4B1184"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40EBB458"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$1,448.04</w:t>
            </w:r>
          </w:p>
        </w:tc>
      </w:tr>
      <w:tr w:rsidR="00511CE1" w:rsidRPr="006E2AC1" w14:paraId="11199F56" w14:textId="77777777" w:rsidTr="00DB68DC">
        <w:trPr>
          <w:trHeight w:val="415"/>
        </w:trPr>
        <w:tc>
          <w:tcPr>
            <w:tcW w:w="1858" w:type="dxa"/>
            <w:tcBorders>
              <w:top w:val="nil"/>
              <w:left w:val="single" w:sz="4" w:space="0" w:color="auto"/>
              <w:bottom w:val="single" w:sz="4" w:space="0" w:color="auto"/>
              <w:right w:val="single" w:sz="4" w:space="0" w:color="auto"/>
            </w:tcBorders>
            <w:shd w:val="clear" w:color="auto" w:fill="auto"/>
            <w:hideMark/>
          </w:tcPr>
          <w:p w14:paraId="1802C5DC"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beta-1a</w:t>
            </w:r>
          </w:p>
        </w:tc>
        <w:tc>
          <w:tcPr>
            <w:tcW w:w="1134" w:type="dxa"/>
            <w:tcBorders>
              <w:top w:val="nil"/>
              <w:left w:val="nil"/>
              <w:bottom w:val="single" w:sz="4" w:space="0" w:color="auto"/>
              <w:right w:val="single" w:sz="4" w:space="0" w:color="auto"/>
            </w:tcBorders>
            <w:shd w:val="clear" w:color="auto" w:fill="auto"/>
            <w:hideMark/>
          </w:tcPr>
          <w:p w14:paraId="3D6D45FD"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Avonex</w:t>
            </w:r>
          </w:p>
        </w:tc>
        <w:tc>
          <w:tcPr>
            <w:tcW w:w="992" w:type="dxa"/>
            <w:tcBorders>
              <w:top w:val="nil"/>
              <w:left w:val="nil"/>
              <w:bottom w:val="single" w:sz="4" w:space="0" w:color="auto"/>
              <w:right w:val="single" w:sz="4" w:space="0" w:color="auto"/>
            </w:tcBorders>
            <w:shd w:val="clear" w:color="auto" w:fill="auto"/>
            <w:hideMark/>
          </w:tcPr>
          <w:p w14:paraId="2422D62D"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L03AA11</w:t>
            </w:r>
          </w:p>
        </w:tc>
        <w:tc>
          <w:tcPr>
            <w:tcW w:w="851" w:type="dxa"/>
            <w:tcBorders>
              <w:top w:val="nil"/>
              <w:left w:val="nil"/>
              <w:bottom w:val="single" w:sz="4" w:space="0" w:color="auto"/>
              <w:right w:val="single" w:sz="4" w:space="0" w:color="auto"/>
            </w:tcBorders>
            <w:shd w:val="clear" w:color="auto" w:fill="auto"/>
            <w:hideMark/>
          </w:tcPr>
          <w:p w14:paraId="677F38F6"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08289G</w:t>
            </w:r>
          </w:p>
        </w:tc>
        <w:tc>
          <w:tcPr>
            <w:tcW w:w="1134" w:type="dxa"/>
            <w:tcBorders>
              <w:top w:val="nil"/>
              <w:left w:val="nil"/>
              <w:bottom w:val="single" w:sz="4" w:space="0" w:color="auto"/>
              <w:right w:val="single" w:sz="4" w:space="0" w:color="auto"/>
            </w:tcBorders>
            <w:shd w:val="clear" w:color="auto" w:fill="auto"/>
            <w:hideMark/>
          </w:tcPr>
          <w:p w14:paraId="16B9338D" w14:textId="0F64E970"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Feb</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1999</w:t>
            </w:r>
          </w:p>
        </w:tc>
        <w:tc>
          <w:tcPr>
            <w:tcW w:w="5245" w:type="dxa"/>
            <w:tcBorders>
              <w:top w:val="nil"/>
              <w:left w:val="nil"/>
              <w:bottom w:val="single" w:sz="4" w:space="0" w:color="auto"/>
              <w:right w:val="single" w:sz="4" w:space="0" w:color="auto"/>
            </w:tcBorders>
            <w:shd w:val="clear" w:color="auto" w:fill="auto"/>
            <w:hideMark/>
          </w:tcPr>
          <w:p w14:paraId="59FB5734"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set comprising 1 vial powder for injection 30 micrograms (6,000,000 I.U.) and 1 ampoule solvent 2 mL</w:t>
            </w:r>
          </w:p>
        </w:tc>
        <w:tc>
          <w:tcPr>
            <w:tcW w:w="567" w:type="dxa"/>
            <w:tcBorders>
              <w:top w:val="nil"/>
              <w:left w:val="nil"/>
              <w:bottom w:val="single" w:sz="4" w:space="0" w:color="auto"/>
              <w:right w:val="single" w:sz="4" w:space="0" w:color="auto"/>
            </w:tcBorders>
            <w:shd w:val="clear" w:color="auto" w:fill="auto"/>
            <w:hideMark/>
          </w:tcPr>
          <w:p w14:paraId="1A4D3B76"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4</w:t>
            </w:r>
          </w:p>
        </w:tc>
        <w:tc>
          <w:tcPr>
            <w:tcW w:w="567" w:type="dxa"/>
            <w:tcBorders>
              <w:top w:val="nil"/>
              <w:left w:val="nil"/>
              <w:bottom w:val="single" w:sz="4" w:space="0" w:color="auto"/>
              <w:right w:val="single" w:sz="4" w:space="0" w:color="auto"/>
            </w:tcBorders>
            <w:shd w:val="clear" w:color="auto" w:fill="auto"/>
            <w:hideMark/>
          </w:tcPr>
          <w:p w14:paraId="1FEEE1FB"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4</w:t>
            </w:r>
          </w:p>
        </w:tc>
        <w:tc>
          <w:tcPr>
            <w:tcW w:w="567" w:type="dxa"/>
            <w:tcBorders>
              <w:top w:val="nil"/>
              <w:left w:val="nil"/>
              <w:bottom w:val="single" w:sz="4" w:space="0" w:color="auto"/>
              <w:right w:val="single" w:sz="4" w:space="0" w:color="auto"/>
            </w:tcBorders>
            <w:shd w:val="clear" w:color="auto" w:fill="auto"/>
            <w:hideMark/>
          </w:tcPr>
          <w:p w14:paraId="2A6011EF"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429CB6B2"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$1,169.84</w:t>
            </w:r>
          </w:p>
        </w:tc>
      </w:tr>
      <w:tr w:rsidR="00511CE1" w:rsidRPr="006E2AC1" w14:paraId="0516F21C" w14:textId="77777777" w:rsidTr="00DB68DC">
        <w:trPr>
          <w:trHeight w:val="392"/>
        </w:trPr>
        <w:tc>
          <w:tcPr>
            <w:tcW w:w="1858" w:type="dxa"/>
            <w:tcBorders>
              <w:top w:val="nil"/>
              <w:left w:val="single" w:sz="4" w:space="0" w:color="auto"/>
              <w:bottom w:val="single" w:sz="4" w:space="0" w:color="auto"/>
              <w:right w:val="single" w:sz="4" w:space="0" w:color="auto"/>
            </w:tcBorders>
            <w:shd w:val="clear" w:color="auto" w:fill="auto"/>
            <w:hideMark/>
          </w:tcPr>
          <w:p w14:paraId="1F026376"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Glatiramer acetate</w:t>
            </w:r>
          </w:p>
        </w:tc>
        <w:tc>
          <w:tcPr>
            <w:tcW w:w="1134" w:type="dxa"/>
            <w:tcBorders>
              <w:top w:val="nil"/>
              <w:left w:val="nil"/>
              <w:bottom w:val="single" w:sz="4" w:space="0" w:color="auto"/>
              <w:right w:val="single" w:sz="4" w:space="0" w:color="auto"/>
            </w:tcBorders>
            <w:shd w:val="clear" w:color="auto" w:fill="auto"/>
            <w:hideMark/>
          </w:tcPr>
          <w:p w14:paraId="39AE68B4"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Copaxone</w:t>
            </w:r>
          </w:p>
        </w:tc>
        <w:tc>
          <w:tcPr>
            <w:tcW w:w="992" w:type="dxa"/>
            <w:tcBorders>
              <w:top w:val="nil"/>
              <w:left w:val="nil"/>
              <w:bottom w:val="single" w:sz="4" w:space="0" w:color="auto"/>
              <w:right w:val="single" w:sz="4" w:space="0" w:color="auto"/>
            </w:tcBorders>
            <w:shd w:val="clear" w:color="auto" w:fill="auto"/>
            <w:hideMark/>
          </w:tcPr>
          <w:p w14:paraId="72F39C20"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L04AA07</w:t>
            </w:r>
          </w:p>
        </w:tc>
        <w:tc>
          <w:tcPr>
            <w:tcW w:w="851" w:type="dxa"/>
            <w:tcBorders>
              <w:top w:val="nil"/>
              <w:left w:val="nil"/>
              <w:bottom w:val="single" w:sz="4" w:space="0" w:color="auto"/>
              <w:right w:val="single" w:sz="4" w:space="0" w:color="auto"/>
            </w:tcBorders>
            <w:shd w:val="clear" w:color="auto" w:fill="auto"/>
            <w:hideMark/>
          </w:tcPr>
          <w:p w14:paraId="06B9768F"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08352N</w:t>
            </w:r>
          </w:p>
        </w:tc>
        <w:tc>
          <w:tcPr>
            <w:tcW w:w="1134" w:type="dxa"/>
            <w:tcBorders>
              <w:top w:val="nil"/>
              <w:left w:val="nil"/>
              <w:bottom w:val="single" w:sz="4" w:space="0" w:color="auto"/>
              <w:right w:val="single" w:sz="4" w:space="0" w:color="auto"/>
            </w:tcBorders>
            <w:shd w:val="clear" w:color="auto" w:fill="auto"/>
            <w:hideMark/>
          </w:tcPr>
          <w:p w14:paraId="1405F3E4" w14:textId="5CBF3EC6"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Nov</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1999</w:t>
            </w:r>
          </w:p>
        </w:tc>
        <w:tc>
          <w:tcPr>
            <w:tcW w:w="5245" w:type="dxa"/>
            <w:tcBorders>
              <w:top w:val="nil"/>
              <w:left w:val="nil"/>
              <w:bottom w:val="single" w:sz="4" w:space="0" w:color="auto"/>
              <w:right w:val="single" w:sz="4" w:space="0" w:color="auto"/>
            </w:tcBorders>
            <w:shd w:val="clear" w:color="auto" w:fill="auto"/>
            <w:hideMark/>
          </w:tcPr>
          <w:p w14:paraId="436A1E30"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Powder for subcutaneous injection 20 mg in single use vial and 1 ampoule diluent 1.1 mL</w:t>
            </w:r>
          </w:p>
        </w:tc>
        <w:tc>
          <w:tcPr>
            <w:tcW w:w="567" w:type="dxa"/>
            <w:tcBorders>
              <w:top w:val="nil"/>
              <w:left w:val="nil"/>
              <w:bottom w:val="single" w:sz="4" w:space="0" w:color="auto"/>
              <w:right w:val="single" w:sz="4" w:space="0" w:color="auto"/>
            </w:tcBorders>
            <w:shd w:val="clear" w:color="auto" w:fill="auto"/>
            <w:hideMark/>
          </w:tcPr>
          <w:p w14:paraId="5914DF4B"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28</w:t>
            </w:r>
          </w:p>
        </w:tc>
        <w:tc>
          <w:tcPr>
            <w:tcW w:w="567" w:type="dxa"/>
            <w:tcBorders>
              <w:top w:val="nil"/>
              <w:left w:val="nil"/>
              <w:bottom w:val="single" w:sz="4" w:space="0" w:color="auto"/>
              <w:right w:val="single" w:sz="4" w:space="0" w:color="auto"/>
            </w:tcBorders>
            <w:shd w:val="clear" w:color="auto" w:fill="auto"/>
            <w:hideMark/>
          </w:tcPr>
          <w:p w14:paraId="10C72182"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28</w:t>
            </w:r>
          </w:p>
        </w:tc>
        <w:tc>
          <w:tcPr>
            <w:tcW w:w="567" w:type="dxa"/>
            <w:tcBorders>
              <w:top w:val="nil"/>
              <w:left w:val="nil"/>
              <w:bottom w:val="single" w:sz="4" w:space="0" w:color="auto"/>
              <w:right w:val="single" w:sz="4" w:space="0" w:color="auto"/>
            </w:tcBorders>
            <w:shd w:val="clear" w:color="auto" w:fill="auto"/>
            <w:hideMark/>
          </w:tcPr>
          <w:p w14:paraId="425D22DC"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0A0F3954"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$1,112.14</w:t>
            </w:r>
          </w:p>
        </w:tc>
      </w:tr>
      <w:tr w:rsidR="00511CE1" w:rsidRPr="006E2AC1" w14:paraId="1C890592" w14:textId="77777777" w:rsidTr="00DB68DC">
        <w:trPr>
          <w:trHeight w:val="498"/>
        </w:trPr>
        <w:tc>
          <w:tcPr>
            <w:tcW w:w="1858" w:type="dxa"/>
            <w:tcBorders>
              <w:top w:val="nil"/>
              <w:left w:val="single" w:sz="4" w:space="0" w:color="auto"/>
              <w:bottom w:val="single" w:sz="4" w:space="0" w:color="auto"/>
              <w:right w:val="single" w:sz="4" w:space="0" w:color="auto"/>
            </w:tcBorders>
            <w:shd w:val="clear" w:color="auto" w:fill="auto"/>
            <w:hideMark/>
          </w:tcPr>
          <w:p w14:paraId="5C52BE30"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beta-1a</w:t>
            </w:r>
          </w:p>
        </w:tc>
        <w:tc>
          <w:tcPr>
            <w:tcW w:w="1134" w:type="dxa"/>
            <w:tcBorders>
              <w:top w:val="nil"/>
              <w:left w:val="nil"/>
              <w:bottom w:val="single" w:sz="4" w:space="0" w:color="auto"/>
              <w:right w:val="single" w:sz="4" w:space="0" w:color="auto"/>
            </w:tcBorders>
            <w:shd w:val="clear" w:color="auto" w:fill="auto"/>
            <w:hideMark/>
          </w:tcPr>
          <w:p w14:paraId="6D57231B"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Rebif 22</w:t>
            </w:r>
          </w:p>
        </w:tc>
        <w:tc>
          <w:tcPr>
            <w:tcW w:w="992" w:type="dxa"/>
            <w:tcBorders>
              <w:top w:val="nil"/>
              <w:left w:val="nil"/>
              <w:bottom w:val="single" w:sz="4" w:space="0" w:color="auto"/>
              <w:right w:val="single" w:sz="4" w:space="0" w:color="auto"/>
            </w:tcBorders>
            <w:shd w:val="clear" w:color="auto" w:fill="auto"/>
            <w:hideMark/>
          </w:tcPr>
          <w:p w14:paraId="42EAC3AF"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L03AB07</w:t>
            </w:r>
          </w:p>
        </w:tc>
        <w:tc>
          <w:tcPr>
            <w:tcW w:w="851" w:type="dxa"/>
            <w:tcBorders>
              <w:top w:val="nil"/>
              <w:left w:val="nil"/>
              <w:bottom w:val="single" w:sz="4" w:space="0" w:color="auto"/>
              <w:right w:val="single" w:sz="4" w:space="0" w:color="auto"/>
            </w:tcBorders>
            <w:shd w:val="clear" w:color="auto" w:fill="auto"/>
            <w:hideMark/>
          </w:tcPr>
          <w:p w14:paraId="4361FA99"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08402F</w:t>
            </w:r>
          </w:p>
        </w:tc>
        <w:tc>
          <w:tcPr>
            <w:tcW w:w="1134" w:type="dxa"/>
            <w:tcBorders>
              <w:top w:val="nil"/>
              <w:left w:val="nil"/>
              <w:bottom w:val="single" w:sz="4" w:space="0" w:color="auto"/>
              <w:right w:val="single" w:sz="4" w:space="0" w:color="auto"/>
            </w:tcBorders>
            <w:shd w:val="clear" w:color="auto" w:fill="auto"/>
            <w:hideMark/>
          </w:tcPr>
          <w:p w14:paraId="20D79A3F" w14:textId="2F107906"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May</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2000</w:t>
            </w:r>
          </w:p>
        </w:tc>
        <w:tc>
          <w:tcPr>
            <w:tcW w:w="5245" w:type="dxa"/>
            <w:tcBorders>
              <w:top w:val="nil"/>
              <w:left w:val="nil"/>
              <w:bottom w:val="single" w:sz="4" w:space="0" w:color="auto"/>
              <w:right w:val="single" w:sz="4" w:space="0" w:color="auto"/>
            </w:tcBorders>
            <w:shd w:val="clear" w:color="auto" w:fill="auto"/>
            <w:hideMark/>
          </w:tcPr>
          <w:p w14:paraId="0A45347D"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22 micrograms (6,000,000 I.U.) in 0.5 mL single dose pre-filled syringe</w:t>
            </w:r>
          </w:p>
        </w:tc>
        <w:tc>
          <w:tcPr>
            <w:tcW w:w="567" w:type="dxa"/>
            <w:tcBorders>
              <w:top w:val="nil"/>
              <w:left w:val="nil"/>
              <w:bottom w:val="single" w:sz="4" w:space="0" w:color="auto"/>
              <w:right w:val="single" w:sz="4" w:space="0" w:color="auto"/>
            </w:tcBorders>
            <w:shd w:val="clear" w:color="auto" w:fill="auto"/>
            <w:hideMark/>
          </w:tcPr>
          <w:p w14:paraId="1BFB4B78"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12</w:t>
            </w:r>
          </w:p>
        </w:tc>
        <w:tc>
          <w:tcPr>
            <w:tcW w:w="567" w:type="dxa"/>
            <w:tcBorders>
              <w:top w:val="nil"/>
              <w:left w:val="nil"/>
              <w:bottom w:val="single" w:sz="4" w:space="0" w:color="auto"/>
              <w:right w:val="single" w:sz="4" w:space="0" w:color="auto"/>
            </w:tcBorders>
            <w:shd w:val="clear" w:color="auto" w:fill="auto"/>
            <w:hideMark/>
          </w:tcPr>
          <w:p w14:paraId="128B0CF1"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12</w:t>
            </w:r>
          </w:p>
        </w:tc>
        <w:tc>
          <w:tcPr>
            <w:tcW w:w="567" w:type="dxa"/>
            <w:tcBorders>
              <w:top w:val="nil"/>
              <w:left w:val="nil"/>
              <w:bottom w:val="single" w:sz="4" w:space="0" w:color="auto"/>
              <w:right w:val="single" w:sz="4" w:space="0" w:color="auto"/>
            </w:tcBorders>
            <w:shd w:val="clear" w:color="auto" w:fill="auto"/>
            <w:hideMark/>
          </w:tcPr>
          <w:p w14:paraId="7B7C44ED"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696D2DF5"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$1,060.44</w:t>
            </w:r>
          </w:p>
        </w:tc>
      </w:tr>
      <w:tr w:rsidR="00511CE1" w:rsidRPr="006E2AC1" w14:paraId="5DE93D7B" w14:textId="77777777" w:rsidTr="00DB68DC">
        <w:trPr>
          <w:trHeight w:val="420"/>
        </w:trPr>
        <w:tc>
          <w:tcPr>
            <w:tcW w:w="1858" w:type="dxa"/>
            <w:tcBorders>
              <w:top w:val="nil"/>
              <w:left w:val="single" w:sz="4" w:space="0" w:color="auto"/>
              <w:bottom w:val="single" w:sz="4" w:space="0" w:color="auto"/>
              <w:right w:val="single" w:sz="4" w:space="0" w:color="auto"/>
            </w:tcBorders>
            <w:shd w:val="clear" w:color="auto" w:fill="auto"/>
            <w:hideMark/>
          </w:tcPr>
          <w:p w14:paraId="4FA7654A"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beta-1a</w:t>
            </w:r>
          </w:p>
        </w:tc>
        <w:tc>
          <w:tcPr>
            <w:tcW w:w="1134" w:type="dxa"/>
            <w:tcBorders>
              <w:top w:val="nil"/>
              <w:left w:val="nil"/>
              <w:bottom w:val="single" w:sz="4" w:space="0" w:color="auto"/>
              <w:right w:val="single" w:sz="4" w:space="0" w:color="auto"/>
            </w:tcBorders>
            <w:shd w:val="clear" w:color="auto" w:fill="auto"/>
            <w:hideMark/>
          </w:tcPr>
          <w:p w14:paraId="63E5AB03"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Rebif 44</w:t>
            </w:r>
          </w:p>
        </w:tc>
        <w:tc>
          <w:tcPr>
            <w:tcW w:w="992" w:type="dxa"/>
            <w:tcBorders>
              <w:top w:val="nil"/>
              <w:left w:val="nil"/>
              <w:bottom w:val="single" w:sz="4" w:space="0" w:color="auto"/>
              <w:right w:val="single" w:sz="4" w:space="0" w:color="auto"/>
            </w:tcBorders>
            <w:shd w:val="clear" w:color="auto" w:fill="auto"/>
            <w:hideMark/>
          </w:tcPr>
          <w:p w14:paraId="7CDE77D7"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L03AB07</w:t>
            </w:r>
          </w:p>
        </w:tc>
        <w:tc>
          <w:tcPr>
            <w:tcW w:w="851" w:type="dxa"/>
            <w:tcBorders>
              <w:top w:val="nil"/>
              <w:left w:val="nil"/>
              <w:bottom w:val="single" w:sz="4" w:space="0" w:color="auto"/>
              <w:right w:val="single" w:sz="4" w:space="0" w:color="auto"/>
            </w:tcBorders>
            <w:shd w:val="clear" w:color="auto" w:fill="auto"/>
            <w:hideMark/>
          </w:tcPr>
          <w:p w14:paraId="7DA86691"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08403G</w:t>
            </w:r>
          </w:p>
        </w:tc>
        <w:tc>
          <w:tcPr>
            <w:tcW w:w="1134" w:type="dxa"/>
            <w:tcBorders>
              <w:top w:val="nil"/>
              <w:left w:val="nil"/>
              <w:bottom w:val="single" w:sz="4" w:space="0" w:color="auto"/>
              <w:right w:val="single" w:sz="4" w:space="0" w:color="auto"/>
            </w:tcBorders>
            <w:shd w:val="clear" w:color="auto" w:fill="auto"/>
            <w:hideMark/>
          </w:tcPr>
          <w:p w14:paraId="4073C56F" w14:textId="2836CDAC"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May</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2000</w:t>
            </w:r>
          </w:p>
        </w:tc>
        <w:tc>
          <w:tcPr>
            <w:tcW w:w="5245" w:type="dxa"/>
            <w:tcBorders>
              <w:top w:val="nil"/>
              <w:left w:val="nil"/>
              <w:bottom w:val="single" w:sz="4" w:space="0" w:color="auto"/>
              <w:right w:val="single" w:sz="4" w:space="0" w:color="auto"/>
            </w:tcBorders>
            <w:shd w:val="clear" w:color="auto" w:fill="auto"/>
            <w:hideMark/>
          </w:tcPr>
          <w:p w14:paraId="3469F76F"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44 micrograms (12,000,000 I.U.) in 0.5 mL single dose pre-filled syringe</w:t>
            </w:r>
          </w:p>
        </w:tc>
        <w:tc>
          <w:tcPr>
            <w:tcW w:w="567" w:type="dxa"/>
            <w:tcBorders>
              <w:top w:val="nil"/>
              <w:left w:val="nil"/>
              <w:bottom w:val="single" w:sz="4" w:space="0" w:color="auto"/>
              <w:right w:val="single" w:sz="4" w:space="0" w:color="auto"/>
            </w:tcBorders>
            <w:shd w:val="clear" w:color="auto" w:fill="auto"/>
            <w:hideMark/>
          </w:tcPr>
          <w:p w14:paraId="60463B6F"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12</w:t>
            </w:r>
          </w:p>
        </w:tc>
        <w:tc>
          <w:tcPr>
            <w:tcW w:w="567" w:type="dxa"/>
            <w:tcBorders>
              <w:top w:val="nil"/>
              <w:left w:val="nil"/>
              <w:bottom w:val="single" w:sz="4" w:space="0" w:color="auto"/>
              <w:right w:val="single" w:sz="4" w:space="0" w:color="auto"/>
            </w:tcBorders>
            <w:shd w:val="clear" w:color="auto" w:fill="auto"/>
            <w:hideMark/>
          </w:tcPr>
          <w:p w14:paraId="0162F090"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12</w:t>
            </w:r>
          </w:p>
        </w:tc>
        <w:tc>
          <w:tcPr>
            <w:tcW w:w="567" w:type="dxa"/>
            <w:tcBorders>
              <w:top w:val="nil"/>
              <w:left w:val="nil"/>
              <w:bottom w:val="single" w:sz="4" w:space="0" w:color="auto"/>
              <w:right w:val="single" w:sz="4" w:space="0" w:color="auto"/>
            </w:tcBorders>
            <w:shd w:val="clear" w:color="auto" w:fill="auto"/>
            <w:hideMark/>
          </w:tcPr>
          <w:p w14:paraId="4BB3729E"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3E40FAFB"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$1,359.57</w:t>
            </w:r>
          </w:p>
        </w:tc>
      </w:tr>
      <w:tr w:rsidR="00511CE1" w:rsidRPr="006E2AC1" w14:paraId="1AF0085C" w14:textId="77777777" w:rsidTr="00DB68DC">
        <w:trPr>
          <w:trHeight w:val="257"/>
        </w:trPr>
        <w:tc>
          <w:tcPr>
            <w:tcW w:w="1858" w:type="dxa"/>
            <w:tcBorders>
              <w:top w:val="nil"/>
              <w:left w:val="single" w:sz="4" w:space="0" w:color="auto"/>
              <w:bottom w:val="single" w:sz="4" w:space="0" w:color="auto"/>
              <w:right w:val="single" w:sz="4" w:space="0" w:color="auto"/>
            </w:tcBorders>
            <w:shd w:val="clear" w:color="auto" w:fill="auto"/>
            <w:hideMark/>
          </w:tcPr>
          <w:p w14:paraId="57E890C4"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Glatiramer acetate</w:t>
            </w:r>
          </w:p>
        </w:tc>
        <w:tc>
          <w:tcPr>
            <w:tcW w:w="1134" w:type="dxa"/>
            <w:tcBorders>
              <w:top w:val="nil"/>
              <w:left w:val="nil"/>
              <w:bottom w:val="single" w:sz="4" w:space="0" w:color="auto"/>
              <w:right w:val="single" w:sz="4" w:space="0" w:color="auto"/>
            </w:tcBorders>
            <w:shd w:val="clear" w:color="auto" w:fill="auto"/>
            <w:hideMark/>
          </w:tcPr>
          <w:p w14:paraId="10069D6D"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Copaxone</w:t>
            </w:r>
          </w:p>
        </w:tc>
        <w:tc>
          <w:tcPr>
            <w:tcW w:w="992" w:type="dxa"/>
            <w:tcBorders>
              <w:top w:val="nil"/>
              <w:left w:val="nil"/>
              <w:bottom w:val="single" w:sz="4" w:space="0" w:color="auto"/>
              <w:right w:val="single" w:sz="4" w:space="0" w:color="auto"/>
            </w:tcBorders>
            <w:shd w:val="clear" w:color="auto" w:fill="auto"/>
            <w:hideMark/>
          </w:tcPr>
          <w:p w14:paraId="68D2197D"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L03AX13</w:t>
            </w:r>
          </w:p>
        </w:tc>
        <w:tc>
          <w:tcPr>
            <w:tcW w:w="851" w:type="dxa"/>
            <w:tcBorders>
              <w:top w:val="nil"/>
              <w:left w:val="nil"/>
              <w:bottom w:val="single" w:sz="4" w:space="0" w:color="auto"/>
              <w:right w:val="single" w:sz="4" w:space="0" w:color="auto"/>
            </w:tcBorders>
            <w:shd w:val="clear" w:color="auto" w:fill="auto"/>
            <w:hideMark/>
          </w:tcPr>
          <w:p w14:paraId="5F28C7C5"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08726G</w:t>
            </w:r>
          </w:p>
        </w:tc>
        <w:tc>
          <w:tcPr>
            <w:tcW w:w="1134" w:type="dxa"/>
            <w:tcBorders>
              <w:top w:val="nil"/>
              <w:left w:val="nil"/>
              <w:bottom w:val="single" w:sz="4" w:space="0" w:color="auto"/>
              <w:right w:val="single" w:sz="4" w:space="0" w:color="auto"/>
            </w:tcBorders>
            <w:shd w:val="clear" w:color="auto" w:fill="auto"/>
            <w:hideMark/>
          </w:tcPr>
          <w:p w14:paraId="3A84B7F8" w14:textId="528EF228"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May</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2004</w:t>
            </w:r>
          </w:p>
        </w:tc>
        <w:tc>
          <w:tcPr>
            <w:tcW w:w="5245" w:type="dxa"/>
            <w:tcBorders>
              <w:top w:val="nil"/>
              <w:left w:val="nil"/>
              <w:bottom w:val="single" w:sz="4" w:space="0" w:color="auto"/>
              <w:right w:val="single" w:sz="4" w:space="0" w:color="auto"/>
            </w:tcBorders>
            <w:shd w:val="clear" w:color="auto" w:fill="auto"/>
            <w:hideMark/>
          </w:tcPr>
          <w:p w14:paraId="1092720C"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20 mg in 1 mL single dose pre-filled syringe</w:t>
            </w:r>
          </w:p>
        </w:tc>
        <w:tc>
          <w:tcPr>
            <w:tcW w:w="567" w:type="dxa"/>
            <w:tcBorders>
              <w:top w:val="nil"/>
              <w:left w:val="nil"/>
              <w:bottom w:val="single" w:sz="4" w:space="0" w:color="auto"/>
              <w:right w:val="single" w:sz="4" w:space="0" w:color="auto"/>
            </w:tcBorders>
            <w:shd w:val="clear" w:color="auto" w:fill="auto"/>
            <w:hideMark/>
          </w:tcPr>
          <w:p w14:paraId="5D2DFEBD"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28</w:t>
            </w:r>
          </w:p>
        </w:tc>
        <w:tc>
          <w:tcPr>
            <w:tcW w:w="567" w:type="dxa"/>
            <w:tcBorders>
              <w:top w:val="nil"/>
              <w:left w:val="nil"/>
              <w:bottom w:val="single" w:sz="4" w:space="0" w:color="auto"/>
              <w:right w:val="single" w:sz="4" w:space="0" w:color="auto"/>
            </w:tcBorders>
            <w:shd w:val="clear" w:color="auto" w:fill="auto"/>
            <w:hideMark/>
          </w:tcPr>
          <w:p w14:paraId="48928455"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28</w:t>
            </w:r>
          </w:p>
        </w:tc>
        <w:tc>
          <w:tcPr>
            <w:tcW w:w="567" w:type="dxa"/>
            <w:tcBorders>
              <w:top w:val="nil"/>
              <w:left w:val="nil"/>
              <w:bottom w:val="single" w:sz="4" w:space="0" w:color="auto"/>
              <w:right w:val="single" w:sz="4" w:space="0" w:color="auto"/>
            </w:tcBorders>
            <w:shd w:val="clear" w:color="auto" w:fill="auto"/>
            <w:hideMark/>
          </w:tcPr>
          <w:p w14:paraId="37EB8B65"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624F655A"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$1,090.89</w:t>
            </w:r>
          </w:p>
        </w:tc>
      </w:tr>
      <w:tr w:rsidR="00511CE1" w:rsidRPr="006E2AC1" w14:paraId="0509C3A5" w14:textId="77777777" w:rsidTr="00DB68DC">
        <w:trPr>
          <w:trHeight w:val="402"/>
        </w:trPr>
        <w:tc>
          <w:tcPr>
            <w:tcW w:w="1858" w:type="dxa"/>
            <w:tcBorders>
              <w:top w:val="nil"/>
              <w:left w:val="single" w:sz="4" w:space="0" w:color="auto"/>
              <w:bottom w:val="single" w:sz="4" w:space="0" w:color="auto"/>
              <w:right w:val="single" w:sz="4" w:space="0" w:color="auto"/>
            </w:tcBorders>
            <w:shd w:val="clear" w:color="auto" w:fill="auto"/>
            <w:hideMark/>
          </w:tcPr>
          <w:p w14:paraId="057D8306"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beta-1a</w:t>
            </w:r>
          </w:p>
        </w:tc>
        <w:tc>
          <w:tcPr>
            <w:tcW w:w="1134" w:type="dxa"/>
            <w:tcBorders>
              <w:top w:val="nil"/>
              <w:left w:val="nil"/>
              <w:bottom w:val="single" w:sz="4" w:space="0" w:color="auto"/>
              <w:right w:val="single" w:sz="4" w:space="0" w:color="auto"/>
            </w:tcBorders>
            <w:shd w:val="clear" w:color="auto" w:fill="auto"/>
            <w:hideMark/>
          </w:tcPr>
          <w:p w14:paraId="3B18293D"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Avonex</w:t>
            </w:r>
          </w:p>
        </w:tc>
        <w:tc>
          <w:tcPr>
            <w:tcW w:w="992" w:type="dxa"/>
            <w:tcBorders>
              <w:top w:val="nil"/>
              <w:left w:val="nil"/>
              <w:bottom w:val="single" w:sz="4" w:space="0" w:color="auto"/>
              <w:right w:val="single" w:sz="4" w:space="0" w:color="auto"/>
            </w:tcBorders>
            <w:shd w:val="clear" w:color="auto" w:fill="auto"/>
            <w:hideMark/>
          </w:tcPr>
          <w:p w14:paraId="28F2DB82"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L03AB07</w:t>
            </w:r>
          </w:p>
        </w:tc>
        <w:tc>
          <w:tcPr>
            <w:tcW w:w="851" w:type="dxa"/>
            <w:tcBorders>
              <w:top w:val="nil"/>
              <w:left w:val="nil"/>
              <w:bottom w:val="single" w:sz="4" w:space="0" w:color="auto"/>
              <w:right w:val="single" w:sz="4" w:space="0" w:color="auto"/>
            </w:tcBorders>
            <w:shd w:val="clear" w:color="auto" w:fill="auto"/>
            <w:hideMark/>
          </w:tcPr>
          <w:p w14:paraId="07DBD59C"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08805K</w:t>
            </w:r>
          </w:p>
        </w:tc>
        <w:tc>
          <w:tcPr>
            <w:tcW w:w="1134" w:type="dxa"/>
            <w:tcBorders>
              <w:top w:val="nil"/>
              <w:left w:val="nil"/>
              <w:bottom w:val="single" w:sz="4" w:space="0" w:color="auto"/>
              <w:right w:val="single" w:sz="4" w:space="0" w:color="auto"/>
            </w:tcBorders>
            <w:shd w:val="clear" w:color="auto" w:fill="auto"/>
            <w:hideMark/>
          </w:tcPr>
          <w:p w14:paraId="179E6ACF" w14:textId="56C72D4D"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Apr</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2005</w:t>
            </w:r>
          </w:p>
        </w:tc>
        <w:tc>
          <w:tcPr>
            <w:tcW w:w="5245" w:type="dxa"/>
            <w:tcBorders>
              <w:top w:val="nil"/>
              <w:left w:val="nil"/>
              <w:bottom w:val="single" w:sz="4" w:space="0" w:color="auto"/>
              <w:right w:val="single" w:sz="4" w:space="0" w:color="auto"/>
            </w:tcBorders>
            <w:shd w:val="clear" w:color="auto" w:fill="auto"/>
            <w:hideMark/>
          </w:tcPr>
          <w:p w14:paraId="33745653"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30 micrograms (6,000,000 I.U.) in 0.5 mL single dose pre-filled syringe</w:t>
            </w:r>
          </w:p>
        </w:tc>
        <w:tc>
          <w:tcPr>
            <w:tcW w:w="567" w:type="dxa"/>
            <w:tcBorders>
              <w:top w:val="nil"/>
              <w:left w:val="nil"/>
              <w:bottom w:val="single" w:sz="4" w:space="0" w:color="auto"/>
              <w:right w:val="single" w:sz="4" w:space="0" w:color="auto"/>
            </w:tcBorders>
            <w:shd w:val="clear" w:color="auto" w:fill="auto"/>
            <w:hideMark/>
          </w:tcPr>
          <w:p w14:paraId="112080CD"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4</w:t>
            </w:r>
          </w:p>
        </w:tc>
        <w:tc>
          <w:tcPr>
            <w:tcW w:w="567" w:type="dxa"/>
            <w:tcBorders>
              <w:top w:val="nil"/>
              <w:left w:val="nil"/>
              <w:bottom w:val="single" w:sz="4" w:space="0" w:color="auto"/>
              <w:right w:val="single" w:sz="4" w:space="0" w:color="auto"/>
            </w:tcBorders>
            <w:shd w:val="clear" w:color="auto" w:fill="auto"/>
            <w:hideMark/>
          </w:tcPr>
          <w:p w14:paraId="26F9F95D"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4</w:t>
            </w:r>
          </w:p>
        </w:tc>
        <w:tc>
          <w:tcPr>
            <w:tcW w:w="567" w:type="dxa"/>
            <w:tcBorders>
              <w:top w:val="nil"/>
              <w:left w:val="nil"/>
              <w:bottom w:val="single" w:sz="4" w:space="0" w:color="auto"/>
              <w:right w:val="single" w:sz="4" w:space="0" w:color="auto"/>
            </w:tcBorders>
            <w:shd w:val="clear" w:color="auto" w:fill="auto"/>
            <w:hideMark/>
          </w:tcPr>
          <w:p w14:paraId="5EE023CC"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57CA4018"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$1,090.93</w:t>
            </w:r>
          </w:p>
        </w:tc>
      </w:tr>
      <w:tr w:rsidR="00511CE1" w:rsidRPr="006E2AC1" w14:paraId="2DBCBB5B" w14:textId="77777777" w:rsidTr="00DB68DC">
        <w:trPr>
          <w:trHeight w:val="239"/>
        </w:trPr>
        <w:tc>
          <w:tcPr>
            <w:tcW w:w="1858" w:type="dxa"/>
            <w:tcBorders>
              <w:top w:val="nil"/>
              <w:left w:val="single" w:sz="4" w:space="0" w:color="auto"/>
              <w:bottom w:val="single" w:sz="4" w:space="0" w:color="auto"/>
              <w:right w:val="single" w:sz="4" w:space="0" w:color="auto"/>
            </w:tcBorders>
            <w:shd w:val="clear" w:color="auto" w:fill="auto"/>
            <w:hideMark/>
          </w:tcPr>
          <w:p w14:paraId="62A34C22"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Natalizumab</w:t>
            </w:r>
          </w:p>
        </w:tc>
        <w:tc>
          <w:tcPr>
            <w:tcW w:w="1134" w:type="dxa"/>
            <w:tcBorders>
              <w:top w:val="nil"/>
              <w:left w:val="nil"/>
              <w:bottom w:val="single" w:sz="4" w:space="0" w:color="auto"/>
              <w:right w:val="single" w:sz="4" w:space="0" w:color="auto"/>
            </w:tcBorders>
            <w:shd w:val="clear" w:color="auto" w:fill="auto"/>
            <w:hideMark/>
          </w:tcPr>
          <w:p w14:paraId="2DACA139"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Tysabri</w:t>
            </w:r>
          </w:p>
        </w:tc>
        <w:tc>
          <w:tcPr>
            <w:tcW w:w="992" w:type="dxa"/>
            <w:tcBorders>
              <w:top w:val="nil"/>
              <w:left w:val="nil"/>
              <w:bottom w:val="single" w:sz="4" w:space="0" w:color="auto"/>
              <w:right w:val="single" w:sz="4" w:space="0" w:color="auto"/>
            </w:tcBorders>
            <w:shd w:val="clear" w:color="auto" w:fill="auto"/>
            <w:hideMark/>
          </w:tcPr>
          <w:p w14:paraId="52B1DE9F"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L04AA23</w:t>
            </w:r>
          </w:p>
        </w:tc>
        <w:tc>
          <w:tcPr>
            <w:tcW w:w="851" w:type="dxa"/>
            <w:tcBorders>
              <w:top w:val="nil"/>
              <w:left w:val="nil"/>
              <w:bottom w:val="single" w:sz="4" w:space="0" w:color="auto"/>
              <w:right w:val="single" w:sz="4" w:space="0" w:color="auto"/>
            </w:tcBorders>
            <w:shd w:val="clear" w:color="auto" w:fill="auto"/>
            <w:hideMark/>
          </w:tcPr>
          <w:p w14:paraId="0CB66E94"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09624M</w:t>
            </w:r>
          </w:p>
        </w:tc>
        <w:tc>
          <w:tcPr>
            <w:tcW w:w="1134" w:type="dxa"/>
            <w:tcBorders>
              <w:top w:val="nil"/>
              <w:left w:val="nil"/>
              <w:bottom w:val="single" w:sz="4" w:space="0" w:color="auto"/>
              <w:right w:val="single" w:sz="4" w:space="0" w:color="auto"/>
            </w:tcBorders>
            <w:shd w:val="clear" w:color="auto" w:fill="auto"/>
            <w:hideMark/>
          </w:tcPr>
          <w:p w14:paraId="4DBCDE0F" w14:textId="5615D53D"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Jul</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2008</w:t>
            </w:r>
          </w:p>
        </w:tc>
        <w:tc>
          <w:tcPr>
            <w:tcW w:w="5245" w:type="dxa"/>
            <w:tcBorders>
              <w:top w:val="nil"/>
              <w:left w:val="nil"/>
              <w:bottom w:val="single" w:sz="4" w:space="0" w:color="auto"/>
              <w:right w:val="single" w:sz="4" w:space="0" w:color="auto"/>
            </w:tcBorders>
            <w:shd w:val="clear" w:color="auto" w:fill="auto"/>
            <w:hideMark/>
          </w:tcPr>
          <w:p w14:paraId="619FCB6D"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concentrate for I.V. infusion 300 mg in 15 mL</w:t>
            </w:r>
          </w:p>
        </w:tc>
        <w:tc>
          <w:tcPr>
            <w:tcW w:w="567" w:type="dxa"/>
            <w:tcBorders>
              <w:top w:val="nil"/>
              <w:left w:val="nil"/>
              <w:bottom w:val="single" w:sz="4" w:space="0" w:color="auto"/>
              <w:right w:val="single" w:sz="4" w:space="0" w:color="auto"/>
            </w:tcBorders>
            <w:shd w:val="clear" w:color="auto" w:fill="auto"/>
            <w:hideMark/>
          </w:tcPr>
          <w:p w14:paraId="4A4BF69B"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p>
        </w:tc>
        <w:tc>
          <w:tcPr>
            <w:tcW w:w="567" w:type="dxa"/>
            <w:tcBorders>
              <w:top w:val="nil"/>
              <w:left w:val="nil"/>
              <w:bottom w:val="single" w:sz="4" w:space="0" w:color="auto"/>
              <w:right w:val="single" w:sz="4" w:space="0" w:color="auto"/>
            </w:tcBorders>
            <w:shd w:val="clear" w:color="auto" w:fill="auto"/>
            <w:hideMark/>
          </w:tcPr>
          <w:p w14:paraId="5F406243"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p>
        </w:tc>
        <w:tc>
          <w:tcPr>
            <w:tcW w:w="567" w:type="dxa"/>
            <w:tcBorders>
              <w:top w:val="nil"/>
              <w:left w:val="nil"/>
              <w:bottom w:val="single" w:sz="4" w:space="0" w:color="auto"/>
              <w:right w:val="single" w:sz="4" w:space="0" w:color="auto"/>
            </w:tcBorders>
            <w:shd w:val="clear" w:color="auto" w:fill="auto"/>
            <w:hideMark/>
          </w:tcPr>
          <w:p w14:paraId="440688E5"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0</w:t>
            </w:r>
          </w:p>
        </w:tc>
        <w:tc>
          <w:tcPr>
            <w:tcW w:w="1134" w:type="dxa"/>
            <w:tcBorders>
              <w:top w:val="nil"/>
              <w:left w:val="nil"/>
              <w:bottom w:val="single" w:sz="4" w:space="0" w:color="auto"/>
              <w:right w:val="single" w:sz="4" w:space="0" w:color="auto"/>
            </w:tcBorders>
            <w:shd w:val="clear" w:color="auto" w:fill="auto"/>
            <w:hideMark/>
          </w:tcPr>
          <w:p w14:paraId="49BE89E4"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$2,038.46</w:t>
            </w:r>
          </w:p>
        </w:tc>
      </w:tr>
      <w:tr w:rsidR="00511CE1" w:rsidRPr="006E2AC1" w14:paraId="63B78E77" w14:textId="77777777" w:rsidTr="00DB68DC">
        <w:trPr>
          <w:trHeight w:val="255"/>
        </w:trPr>
        <w:tc>
          <w:tcPr>
            <w:tcW w:w="1858" w:type="dxa"/>
            <w:tcBorders>
              <w:top w:val="nil"/>
              <w:left w:val="single" w:sz="4" w:space="0" w:color="auto"/>
              <w:bottom w:val="single" w:sz="4" w:space="0" w:color="auto"/>
              <w:right w:val="single" w:sz="4" w:space="0" w:color="auto"/>
            </w:tcBorders>
            <w:shd w:val="clear" w:color="auto" w:fill="auto"/>
            <w:hideMark/>
          </w:tcPr>
          <w:p w14:paraId="3C6C6F7F"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beta-1a</w:t>
            </w:r>
          </w:p>
        </w:tc>
        <w:tc>
          <w:tcPr>
            <w:tcW w:w="1134" w:type="dxa"/>
            <w:tcBorders>
              <w:top w:val="nil"/>
              <w:left w:val="nil"/>
              <w:bottom w:val="single" w:sz="4" w:space="0" w:color="auto"/>
              <w:right w:val="single" w:sz="4" w:space="0" w:color="auto"/>
            </w:tcBorders>
            <w:shd w:val="clear" w:color="auto" w:fill="auto"/>
            <w:hideMark/>
          </w:tcPr>
          <w:p w14:paraId="26FE2205"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Rebif 44</w:t>
            </w:r>
          </w:p>
        </w:tc>
        <w:tc>
          <w:tcPr>
            <w:tcW w:w="992" w:type="dxa"/>
            <w:tcBorders>
              <w:top w:val="nil"/>
              <w:left w:val="nil"/>
              <w:bottom w:val="single" w:sz="4" w:space="0" w:color="auto"/>
              <w:right w:val="single" w:sz="4" w:space="0" w:color="auto"/>
            </w:tcBorders>
            <w:shd w:val="clear" w:color="auto" w:fill="auto"/>
            <w:hideMark/>
          </w:tcPr>
          <w:p w14:paraId="7E6BED35"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L03AB07</w:t>
            </w:r>
          </w:p>
        </w:tc>
        <w:tc>
          <w:tcPr>
            <w:tcW w:w="851" w:type="dxa"/>
            <w:tcBorders>
              <w:top w:val="nil"/>
              <w:left w:val="nil"/>
              <w:bottom w:val="single" w:sz="4" w:space="0" w:color="auto"/>
              <w:right w:val="single" w:sz="4" w:space="0" w:color="auto"/>
            </w:tcBorders>
            <w:shd w:val="clear" w:color="auto" w:fill="auto"/>
            <w:hideMark/>
          </w:tcPr>
          <w:p w14:paraId="0D7810D4"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09332E</w:t>
            </w:r>
          </w:p>
        </w:tc>
        <w:tc>
          <w:tcPr>
            <w:tcW w:w="1134" w:type="dxa"/>
            <w:tcBorders>
              <w:top w:val="nil"/>
              <w:left w:val="nil"/>
              <w:bottom w:val="single" w:sz="4" w:space="0" w:color="auto"/>
              <w:right w:val="single" w:sz="4" w:space="0" w:color="auto"/>
            </w:tcBorders>
            <w:shd w:val="clear" w:color="auto" w:fill="auto"/>
            <w:hideMark/>
          </w:tcPr>
          <w:p w14:paraId="522A512F" w14:textId="247415DF"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May</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2010</w:t>
            </w:r>
          </w:p>
        </w:tc>
        <w:tc>
          <w:tcPr>
            <w:tcW w:w="5245" w:type="dxa"/>
            <w:tcBorders>
              <w:top w:val="nil"/>
              <w:left w:val="nil"/>
              <w:bottom w:val="single" w:sz="4" w:space="0" w:color="auto"/>
              <w:right w:val="single" w:sz="4" w:space="0" w:color="auto"/>
            </w:tcBorders>
            <w:shd w:val="clear" w:color="auto" w:fill="auto"/>
            <w:hideMark/>
          </w:tcPr>
          <w:p w14:paraId="3C794C72"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for injection 132 micrograms in 1.5 mL multidose cartridge</w:t>
            </w:r>
          </w:p>
        </w:tc>
        <w:tc>
          <w:tcPr>
            <w:tcW w:w="567" w:type="dxa"/>
            <w:tcBorders>
              <w:top w:val="nil"/>
              <w:left w:val="nil"/>
              <w:bottom w:val="single" w:sz="4" w:space="0" w:color="auto"/>
              <w:right w:val="single" w:sz="4" w:space="0" w:color="auto"/>
            </w:tcBorders>
            <w:shd w:val="clear" w:color="auto" w:fill="auto"/>
            <w:hideMark/>
          </w:tcPr>
          <w:p w14:paraId="14767920"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4</w:t>
            </w:r>
          </w:p>
        </w:tc>
        <w:tc>
          <w:tcPr>
            <w:tcW w:w="567" w:type="dxa"/>
            <w:tcBorders>
              <w:top w:val="nil"/>
              <w:left w:val="nil"/>
              <w:bottom w:val="single" w:sz="4" w:space="0" w:color="auto"/>
              <w:right w:val="single" w:sz="4" w:space="0" w:color="auto"/>
            </w:tcBorders>
            <w:shd w:val="clear" w:color="auto" w:fill="auto"/>
            <w:hideMark/>
          </w:tcPr>
          <w:p w14:paraId="20116D96"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4</w:t>
            </w:r>
          </w:p>
        </w:tc>
        <w:tc>
          <w:tcPr>
            <w:tcW w:w="567" w:type="dxa"/>
            <w:tcBorders>
              <w:top w:val="nil"/>
              <w:left w:val="nil"/>
              <w:bottom w:val="single" w:sz="4" w:space="0" w:color="auto"/>
              <w:right w:val="single" w:sz="4" w:space="0" w:color="auto"/>
            </w:tcBorders>
            <w:shd w:val="clear" w:color="auto" w:fill="auto"/>
            <w:hideMark/>
          </w:tcPr>
          <w:p w14:paraId="57A5C65E"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0DB7EACE"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$1,056.77</w:t>
            </w:r>
          </w:p>
        </w:tc>
      </w:tr>
      <w:tr w:rsidR="00511CE1" w:rsidRPr="006E2AC1" w14:paraId="43DDEC2B" w14:textId="77777777" w:rsidTr="00DB68DC">
        <w:trPr>
          <w:trHeight w:val="263"/>
        </w:trPr>
        <w:tc>
          <w:tcPr>
            <w:tcW w:w="1858" w:type="dxa"/>
            <w:tcBorders>
              <w:top w:val="nil"/>
              <w:left w:val="single" w:sz="4" w:space="0" w:color="auto"/>
              <w:bottom w:val="single" w:sz="4" w:space="0" w:color="auto"/>
              <w:right w:val="single" w:sz="4" w:space="0" w:color="auto"/>
            </w:tcBorders>
            <w:shd w:val="clear" w:color="auto" w:fill="auto"/>
            <w:hideMark/>
          </w:tcPr>
          <w:p w14:paraId="13E15CD3"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Natalizumab</w:t>
            </w:r>
          </w:p>
        </w:tc>
        <w:tc>
          <w:tcPr>
            <w:tcW w:w="1134" w:type="dxa"/>
            <w:tcBorders>
              <w:top w:val="nil"/>
              <w:left w:val="nil"/>
              <w:bottom w:val="single" w:sz="4" w:space="0" w:color="auto"/>
              <w:right w:val="single" w:sz="4" w:space="0" w:color="auto"/>
            </w:tcBorders>
            <w:shd w:val="clear" w:color="auto" w:fill="auto"/>
            <w:hideMark/>
          </w:tcPr>
          <w:p w14:paraId="47B2CC37"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Tysabri</w:t>
            </w:r>
          </w:p>
        </w:tc>
        <w:tc>
          <w:tcPr>
            <w:tcW w:w="992" w:type="dxa"/>
            <w:tcBorders>
              <w:top w:val="nil"/>
              <w:left w:val="nil"/>
              <w:bottom w:val="single" w:sz="4" w:space="0" w:color="auto"/>
              <w:right w:val="single" w:sz="4" w:space="0" w:color="auto"/>
            </w:tcBorders>
            <w:shd w:val="clear" w:color="auto" w:fill="auto"/>
            <w:hideMark/>
          </w:tcPr>
          <w:p w14:paraId="31513159"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L04AA23</w:t>
            </w:r>
          </w:p>
        </w:tc>
        <w:tc>
          <w:tcPr>
            <w:tcW w:w="851" w:type="dxa"/>
            <w:tcBorders>
              <w:top w:val="nil"/>
              <w:left w:val="nil"/>
              <w:bottom w:val="single" w:sz="4" w:space="0" w:color="auto"/>
              <w:right w:val="single" w:sz="4" w:space="0" w:color="auto"/>
            </w:tcBorders>
            <w:shd w:val="clear" w:color="auto" w:fill="auto"/>
            <w:hideMark/>
          </w:tcPr>
          <w:p w14:paraId="12DEF53B"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09505G</w:t>
            </w:r>
          </w:p>
        </w:tc>
        <w:tc>
          <w:tcPr>
            <w:tcW w:w="1134" w:type="dxa"/>
            <w:tcBorders>
              <w:top w:val="nil"/>
              <w:left w:val="nil"/>
              <w:bottom w:val="single" w:sz="4" w:space="0" w:color="auto"/>
              <w:right w:val="single" w:sz="4" w:space="0" w:color="auto"/>
            </w:tcBorders>
            <w:shd w:val="clear" w:color="auto" w:fill="auto"/>
            <w:hideMark/>
          </w:tcPr>
          <w:p w14:paraId="0E72A05E" w14:textId="34B4FBCA"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Jul</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2010</w:t>
            </w:r>
          </w:p>
        </w:tc>
        <w:tc>
          <w:tcPr>
            <w:tcW w:w="5245" w:type="dxa"/>
            <w:tcBorders>
              <w:top w:val="nil"/>
              <w:left w:val="nil"/>
              <w:bottom w:val="single" w:sz="4" w:space="0" w:color="auto"/>
              <w:right w:val="single" w:sz="4" w:space="0" w:color="auto"/>
            </w:tcBorders>
            <w:shd w:val="clear" w:color="auto" w:fill="auto"/>
            <w:hideMark/>
          </w:tcPr>
          <w:p w14:paraId="5E7EF802"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concentrate for I.V. infusion 300 mg in 15 mL</w:t>
            </w:r>
          </w:p>
        </w:tc>
        <w:tc>
          <w:tcPr>
            <w:tcW w:w="567" w:type="dxa"/>
            <w:tcBorders>
              <w:top w:val="nil"/>
              <w:left w:val="nil"/>
              <w:bottom w:val="single" w:sz="4" w:space="0" w:color="auto"/>
              <w:right w:val="single" w:sz="4" w:space="0" w:color="auto"/>
            </w:tcBorders>
            <w:shd w:val="clear" w:color="auto" w:fill="auto"/>
            <w:hideMark/>
          </w:tcPr>
          <w:p w14:paraId="47FD57F7"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p>
        </w:tc>
        <w:tc>
          <w:tcPr>
            <w:tcW w:w="567" w:type="dxa"/>
            <w:tcBorders>
              <w:top w:val="nil"/>
              <w:left w:val="nil"/>
              <w:bottom w:val="single" w:sz="4" w:space="0" w:color="auto"/>
              <w:right w:val="single" w:sz="4" w:space="0" w:color="auto"/>
            </w:tcBorders>
            <w:shd w:val="clear" w:color="auto" w:fill="auto"/>
            <w:hideMark/>
          </w:tcPr>
          <w:p w14:paraId="5D248681"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p>
        </w:tc>
        <w:tc>
          <w:tcPr>
            <w:tcW w:w="567" w:type="dxa"/>
            <w:tcBorders>
              <w:top w:val="nil"/>
              <w:left w:val="nil"/>
              <w:bottom w:val="single" w:sz="4" w:space="0" w:color="auto"/>
              <w:right w:val="single" w:sz="4" w:space="0" w:color="auto"/>
            </w:tcBorders>
            <w:shd w:val="clear" w:color="auto" w:fill="auto"/>
            <w:hideMark/>
          </w:tcPr>
          <w:p w14:paraId="5D48F2A8"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5291F12B"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$2,038.46</w:t>
            </w:r>
          </w:p>
        </w:tc>
      </w:tr>
      <w:tr w:rsidR="00511CE1" w:rsidRPr="006E2AC1" w14:paraId="6DB72968" w14:textId="77777777" w:rsidTr="00DB68DC">
        <w:trPr>
          <w:trHeight w:val="423"/>
        </w:trPr>
        <w:tc>
          <w:tcPr>
            <w:tcW w:w="1858" w:type="dxa"/>
            <w:tcBorders>
              <w:top w:val="nil"/>
              <w:left w:val="single" w:sz="4" w:space="0" w:color="auto"/>
              <w:bottom w:val="single" w:sz="4" w:space="0" w:color="auto"/>
              <w:right w:val="single" w:sz="4" w:space="0" w:color="auto"/>
            </w:tcBorders>
            <w:shd w:val="clear" w:color="auto" w:fill="auto"/>
            <w:hideMark/>
          </w:tcPr>
          <w:p w14:paraId="33B9F687"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beta-1a</w:t>
            </w:r>
          </w:p>
        </w:tc>
        <w:tc>
          <w:tcPr>
            <w:tcW w:w="1134" w:type="dxa"/>
            <w:tcBorders>
              <w:top w:val="nil"/>
              <w:left w:val="nil"/>
              <w:bottom w:val="single" w:sz="4" w:space="0" w:color="auto"/>
              <w:right w:val="single" w:sz="4" w:space="0" w:color="auto"/>
            </w:tcBorders>
            <w:shd w:val="clear" w:color="auto" w:fill="auto"/>
            <w:hideMark/>
          </w:tcPr>
          <w:p w14:paraId="003368C5"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Rebif 44</w:t>
            </w:r>
          </w:p>
        </w:tc>
        <w:tc>
          <w:tcPr>
            <w:tcW w:w="992" w:type="dxa"/>
            <w:tcBorders>
              <w:top w:val="nil"/>
              <w:left w:val="nil"/>
              <w:bottom w:val="single" w:sz="4" w:space="0" w:color="auto"/>
              <w:right w:val="single" w:sz="4" w:space="0" w:color="auto"/>
            </w:tcBorders>
            <w:shd w:val="clear" w:color="auto" w:fill="auto"/>
            <w:hideMark/>
          </w:tcPr>
          <w:p w14:paraId="4F470B3B"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L03AB07</w:t>
            </w:r>
          </w:p>
        </w:tc>
        <w:tc>
          <w:tcPr>
            <w:tcW w:w="851" w:type="dxa"/>
            <w:tcBorders>
              <w:top w:val="nil"/>
              <w:left w:val="nil"/>
              <w:bottom w:val="single" w:sz="4" w:space="0" w:color="auto"/>
              <w:right w:val="single" w:sz="4" w:space="0" w:color="auto"/>
            </w:tcBorders>
            <w:shd w:val="clear" w:color="auto" w:fill="auto"/>
            <w:hideMark/>
          </w:tcPr>
          <w:p w14:paraId="7386C314"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08968B</w:t>
            </w:r>
          </w:p>
        </w:tc>
        <w:tc>
          <w:tcPr>
            <w:tcW w:w="1134" w:type="dxa"/>
            <w:tcBorders>
              <w:top w:val="nil"/>
              <w:left w:val="nil"/>
              <w:bottom w:val="single" w:sz="4" w:space="0" w:color="auto"/>
              <w:right w:val="single" w:sz="4" w:space="0" w:color="auto"/>
            </w:tcBorders>
            <w:shd w:val="clear" w:color="auto" w:fill="auto"/>
            <w:hideMark/>
          </w:tcPr>
          <w:p w14:paraId="13F6CD08" w14:textId="76B4EEC8"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May</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2011</w:t>
            </w:r>
          </w:p>
        </w:tc>
        <w:tc>
          <w:tcPr>
            <w:tcW w:w="5245" w:type="dxa"/>
            <w:tcBorders>
              <w:top w:val="nil"/>
              <w:left w:val="nil"/>
              <w:bottom w:val="single" w:sz="4" w:space="0" w:color="auto"/>
              <w:right w:val="single" w:sz="4" w:space="0" w:color="auto"/>
            </w:tcBorders>
            <w:shd w:val="clear" w:color="auto" w:fill="auto"/>
            <w:hideMark/>
          </w:tcPr>
          <w:p w14:paraId="7E245BA2"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44 micrograms (12,000,000 I.U.) in 0.5 mL single dose autoinjector</w:t>
            </w:r>
          </w:p>
        </w:tc>
        <w:tc>
          <w:tcPr>
            <w:tcW w:w="567" w:type="dxa"/>
            <w:tcBorders>
              <w:top w:val="nil"/>
              <w:left w:val="nil"/>
              <w:bottom w:val="single" w:sz="4" w:space="0" w:color="auto"/>
              <w:right w:val="single" w:sz="4" w:space="0" w:color="auto"/>
            </w:tcBorders>
            <w:shd w:val="clear" w:color="auto" w:fill="auto"/>
            <w:hideMark/>
          </w:tcPr>
          <w:p w14:paraId="53DC4ABD"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12</w:t>
            </w:r>
          </w:p>
        </w:tc>
        <w:tc>
          <w:tcPr>
            <w:tcW w:w="567" w:type="dxa"/>
            <w:tcBorders>
              <w:top w:val="nil"/>
              <w:left w:val="nil"/>
              <w:bottom w:val="single" w:sz="4" w:space="0" w:color="auto"/>
              <w:right w:val="single" w:sz="4" w:space="0" w:color="auto"/>
            </w:tcBorders>
            <w:shd w:val="clear" w:color="auto" w:fill="auto"/>
            <w:hideMark/>
          </w:tcPr>
          <w:p w14:paraId="452C1C49"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12</w:t>
            </w:r>
          </w:p>
        </w:tc>
        <w:tc>
          <w:tcPr>
            <w:tcW w:w="567" w:type="dxa"/>
            <w:tcBorders>
              <w:top w:val="nil"/>
              <w:left w:val="nil"/>
              <w:bottom w:val="single" w:sz="4" w:space="0" w:color="auto"/>
              <w:right w:val="single" w:sz="4" w:space="0" w:color="auto"/>
            </w:tcBorders>
            <w:shd w:val="clear" w:color="auto" w:fill="auto"/>
            <w:hideMark/>
          </w:tcPr>
          <w:p w14:paraId="4845FE60"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403C8B42"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$1,056.77</w:t>
            </w:r>
          </w:p>
        </w:tc>
      </w:tr>
      <w:tr w:rsidR="00511CE1" w:rsidRPr="006E2AC1" w14:paraId="3FB0D7DC" w14:textId="77777777" w:rsidTr="00DB68DC">
        <w:trPr>
          <w:trHeight w:val="244"/>
        </w:trPr>
        <w:tc>
          <w:tcPr>
            <w:tcW w:w="1858" w:type="dxa"/>
            <w:tcBorders>
              <w:top w:val="nil"/>
              <w:left w:val="single" w:sz="4" w:space="0" w:color="auto"/>
              <w:bottom w:val="single" w:sz="4" w:space="0" w:color="auto"/>
              <w:right w:val="single" w:sz="4" w:space="0" w:color="auto"/>
            </w:tcBorders>
            <w:shd w:val="clear" w:color="auto" w:fill="auto"/>
            <w:hideMark/>
          </w:tcPr>
          <w:p w14:paraId="26BC7118"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Fingolimod</w:t>
            </w:r>
          </w:p>
        </w:tc>
        <w:tc>
          <w:tcPr>
            <w:tcW w:w="1134" w:type="dxa"/>
            <w:tcBorders>
              <w:top w:val="nil"/>
              <w:left w:val="nil"/>
              <w:bottom w:val="single" w:sz="4" w:space="0" w:color="auto"/>
              <w:right w:val="single" w:sz="4" w:space="0" w:color="auto"/>
            </w:tcBorders>
            <w:shd w:val="clear" w:color="auto" w:fill="auto"/>
            <w:hideMark/>
          </w:tcPr>
          <w:p w14:paraId="264B785E"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Gilenya</w:t>
            </w:r>
          </w:p>
        </w:tc>
        <w:tc>
          <w:tcPr>
            <w:tcW w:w="992" w:type="dxa"/>
            <w:tcBorders>
              <w:top w:val="nil"/>
              <w:left w:val="nil"/>
              <w:bottom w:val="single" w:sz="4" w:space="0" w:color="auto"/>
              <w:right w:val="single" w:sz="4" w:space="0" w:color="auto"/>
            </w:tcBorders>
            <w:shd w:val="clear" w:color="auto" w:fill="auto"/>
            <w:hideMark/>
          </w:tcPr>
          <w:p w14:paraId="38556F0A"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L04AA27</w:t>
            </w:r>
          </w:p>
        </w:tc>
        <w:tc>
          <w:tcPr>
            <w:tcW w:w="851" w:type="dxa"/>
            <w:tcBorders>
              <w:top w:val="nil"/>
              <w:left w:val="nil"/>
              <w:bottom w:val="single" w:sz="4" w:space="0" w:color="auto"/>
              <w:right w:val="single" w:sz="4" w:space="0" w:color="auto"/>
            </w:tcBorders>
            <w:shd w:val="clear" w:color="auto" w:fill="auto"/>
            <w:hideMark/>
          </w:tcPr>
          <w:p w14:paraId="409191A6"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05262Y</w:t>
            </w:r>
          </w:p>
        </w:tc>
        <w:tc>
          <w:tcPr>
            <w:tcW w:w="1134" w:type="dxa"/>
            <w:tcBorders>
              <w:top w:val="nil"/>
              <w:left w:val="nil"/>
              <w:bottom w:val="single" w:sz="4" w:space="0" w:color="auto"/>
              <w:right w:val="single" w:sz="4" w:space="0" w:color="auto"/>
            </w:tcBorders>
            <w:shd w:val="clear" w:color="auto" w:fill="auto"/>
            <w:hideMark/>
          </w:tcPr>
          <w:p w14:paraId="2B8D5DEE" w14:textId="265D5A09"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A4DC0">
              <w:rPr>
                <w:rFonts w:ascii="Calibri" w:eastAsia="Times New Roman" w:hAnsi="Calibri" w:cs="Times New Roman"/>
                <w:sz w:val="18"/>
                <w:szCs w:val="18"/>
              </w:rPr>
              <w:t xml:space="preserve"> </w:t>
            </w:r>
            <w:r w:rsidRPr="00D36536">
              <w:rPr>
                <w:rFonts w:ascii="Calibri" w:eastAsia="Times New Roman" w:hAnsi="Calibri" w:cs="Times New Roman"/>
                <w:sz w:val="18"/>
                <w:szCs w:val="18"/>
              </w:rPr>
              <w:t>Sep</w:t>
            </w:r>
            <w:r w:rsidR="005A4DC0">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2011</w:t>
            </w:r>
          </w:p>
        </w:tc>
        <w:tc>
          <w:tcPr>
            <w:tcW w:w="5245" w:type="dxa"/>
            <w:tcBorders>
              <w:top w:val="nil"/>
              <w:left w:val="nil"/>
              <w:bottom w:val="single" w:sz="4" w:space="0" w:color="auto"/>
              <w:right w:val="single" w:sz="4" w:space="0" w:color="auto"/>
            </w:tcBorders>
            <w:shd w:val="clear" w:color="auto" w:fill="auto"/>
            <w:hideMark/>
          </w:tcPr>
          <w:p w14:paraId="69593805"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Capsule 500 micrograms (as hydrochloride)</w:t>
            </w:r>
          </w:p>
        </w:tc>
        <w:tc>
          <w:tcPr>
            <w:tcW w:w="567" w:type="dxa"/>
            <w:tcBorders>
              <w:top w:val="nil"/>
              <w:left w:val="nil"/>
              <w:bottom w:val="single" w:sz="4" w:space="0" w:color="auto"/>
              <w:right w:val="single" w:sz="4" w:space="0" w:color="auto"/>
            </w:tcBorders>
            <w:shd w:val="clear" w:color="auto" w:fill="auto"/>
            <w:hideMark/>
          </w:tcPr>
          <w:p w14:paraId="1EC6F960"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28</w:t>
            </w:r>
          </w:p>
        </w:tc>
        <w:tc>
          <w:tcPr>
            <w:tcW w:w="567" w:type="dxa"/>
            <w:tcBorders>
              <w:top w:val="nil"/>
              <w:left w:val="nil"/>
              <w:bottom w:val="single" w:sz="4" w:space="0" w:color="auto"/>
              <w:right w:val="single" w:sz="4" w:space="0" w:color="auto"/>
            </w:tcBorders>
            <w:shd w:val="clear" w:color="auto" w:fill="auto"/>
            <w:hideMark/>
          </w:tcPr>
          <w:p w14:paraId="52599E62"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28</w:t>
            </w:r>
          </w:p>
        </w:tc>
        <w:tc>
          <w:tcPr>
            <w:tcW w:w="567" w:type="dxa"/>
            <w:tcBorders>
              <w:top w:val="nil"/>
              <w:left w:val="nil"/>
              <w:bottom w:val="single" w:sz="4" w:space="0" w:color="auto"/>
              <w:right w:val="single" w:sz="4" w:space="0" w:color="auto"/>
            </w:tcBorders>
            <w:shd w:val="clear" w:color="auto" w:fill="auto"/>
            <w:hideMark/>
          </w:tcPr>
          <w:p w14:paraId="531DEC84"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3E0778C4"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$2,312.98</w:t>
            </w:r>
          </w:p>
        </w:tc>
      </w:tr>
      <w:tr w:rsidR="00511CE1" w:rsidRPr="006E2AC1" w14:paraId="04E4D2D1" w14:textId="77777777" w:rsidTr="00DB68DC">
        <w:trPr>
          <w:trHeight w:val="218"/>
        </w:trPr>
        <w:tc>
          <w:tcPr>
            <w:tcW w:w="1858" w:type="dxa"/>
            <w:tcBorders>
              <w:top w:val="nil"/>
              <w:left w:val="single" w:sz="4" w:space="0" w:color="auto"/>
              <w:bottom w:val="single" w:sz="4" w:space="0" w:color="auto"/>
              <w:right w:val="single" w:sz="4" w:space="0" w:color="auto"/>
            </w:tcBorders>
            <w:shd w:val="clear" w:color="auto" w:fill="auto"/>
            <w:hideMark/>
          </w:tcPr>
          <w:p w14:paraId="7E55F8E5"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Dimethyl fumarate</w:t>
            </w:r>
          </w:p>
        </w:tc>
        <w:tc>
          <w:tcPr>
            <w:tcW w:w="1134" w:type="dxa"/>
            <w:tcBorders>
              <w:top w:val="nil"/>
              <w:left w:val="nil"/>
              <w:bottom w:val="single" w:sz="4" w:space="0" w:color="auto"/>
              <w:right w:val="single" w:sz="4" w:space="0" w:color="auto"/>
            </w:tcBorders>
            <w:shd w:val="clear" w:color="auto" w:fill="auto"/>
            <w:hideMark/>
          </w:tcPr>
          <w:p w14:paraId="433A7190"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Tecfidera</w:t>
            </w:r>
          </w:p>
        </w:tc>
        <w:tc>
          <w:tcPr>
            <w:tcW w:w="992" w:type="dxa"/>
            <w:tcBorders>
              <w:top w:val="nil"/>
              <w:left w:val="nil"/>
              <w:bottom w:val="single" w:sz="4" w:space="0" w:color="auto"/>
              <w:right w:val="single" w:sz="4" w:space="0" w:color="auto"/>
            </w:tcBorders>
            <w:shd w:val="clear" w:color="auto" w:fill="auto"/>
            <w:hideMark/>
          </w:tcPr>
          <w:p w14:paraId="34236B45"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N07XX</w:t>
            </w:r>
          </w:p>
        </w:tc>
        <w:tc>
          <w:tcPr>
            <w:tcW w:w="851" w:type="dxa"/>
            <w:tcBorders>
              <w:top w:val="nil"/>
              <w:left w:val="nil"/>
              <w:bottom w:val="single" w:sz="4" w:space="0" w:color="auto"/>
              <w:right w:val="single" w:sz="4" w:space="0" w:color="auto"/>
            </w:tcBorders>
            <w:shd w:val="clear" w:color="auto" w:fill="auto"/>
            <w:hideMark/>
          </w:tcPr>
          <w:p w14:paraId="4DD6F442"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02896K</w:t>
            </w:r>
          </w:p>
        </w:tc>
        <w:tc>
          <w:tcPr>
            <w:tcW w:w="1134" w:type="dxa"/>
            <w:tcBorders>
              <w:top w:val="nil"/>
              <w:left w:val="nil"/>
              <w:bottom w:val="single" w:sz="4" w:space="0" w:color="auto"/>
              <w:right w:val="single" w:sz="4" w:space="0" w:color="auto"/>
            </w:tcBorders>
            <w:shd w:val="clear" w:color="auto" w:fill="auto"/>
            <w:hideMark/>
          </w:tcPr>
          <w:p w14:paraId="4A6558AD" w14:textId="22CBDD21"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Dec</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2013</w:t>
            </w:r>
          </w:p>
        </w:tc>
        <w:tc>
          <w:tcPr>
            <w:tcW w:w="5245" w:type="dxa"/>
            <w:tcBorders>
              <w:top w:val="nil"/>
              <w:left w:val="nil"/>
              <w:bottom w:val="single" w:sz="4" w:space="0" w:color="auto"/>
              <w:right w:val="single" w:sz="4" w:space="0" w:color="auto"/>
            </w:tcBorders>
            <w:shd w:val="clear" w:color="auto" w:fill="auto"/>
            <w:hideMark/>
          </w:tcPr>
          <w:p w14:paraId="2D07B060"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Capsule (modified release) 120 mg</w:t>
            </w:r>
          </w:p>
        </w:tc>
        <w:tc>
          <w:tcPr>
            <w:tcW w:w="567" w:type="dxa"/>
            <w:tcBorders>
              <w:top w:val="nil"/>
              <w:left w:val="nil"/>
              <w:bottom w:val="single" w:sz="4" w:space="0" w:color="auto"/>
              <w:right w:val="single" w:sz="4" w:space="0" w:color="auto"/>
            </w:tcBorders>
            <w:shd w:val="clear" w:color="auto" w:fill="auto"/>
            <w:hideMark/>
          </w:tcPr>
          <w:p w14:paraId="1B063050"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14</w:t>
            </w:r>
          </w:p>
        </w:tc>
        <w:tc>
          <w:tcPr>
            <w:tcW w:w="567" w:type="dxa"/>
            <w:tcBorders>
              <w:top w:val="nil"/>
              <w:left w:val="nil"/>
              <w:bottom w:val="single" w:sz="4" w:space="0" w:color="auto"/>
              <w:right w:val="single" w:sz="4" w:space="0" w:color="auto"/>
            </w:tcBorders>
            <w:shd w:val="clear" w:color="auto" w:fill="auto"/>
            <w:hideMark/>
          </w:tcPr>
          <w:p w14:paraId="577833F2"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14</w:t>
            </w:r>
          </w:p>
        </w:tc>
        <w:tc>
          <w:tcPr>
            <w:tcW w:w="567" w:type="dxa"/>
            <w:tcBorders>
              <w:top w:val="nil"/>
              <w:left w:val="nil"/>
              <w:bottom w:val="single" w:sz="4" w:space="0" w:color="auto"/>
              <w:right w:val="single" w:sz="4" w:space="0" w:color="auto"/>
            </w:tcBorders>
            <w:shd w:val="clear" w:color="auto" w:fill="auto"/>
            <w:hideMark/>
          </w:tcPr>
          <w:p w14:paraId="396D9E4F"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0</w:t>
            </w:r>
          </w:p>
        </w:tc>
        <w:tc>
          <w:tcPr>
            <w:tcW w:w="1134" w:type="dxa"/>
            <w:tcBorders>
              <w:top w:val="nil"/>
              <w:left w:val="nil"/>
              <w:bottom w:val="single" w:sz="4" w:space="0" w:color="auto"/>
              <w:right w:val="single" w:sz="4" w:space="0" w:color="auto"/>
            </w:tcBorders>
            <w:shd w:val="clear" w:color="auto" w:fill="auto"/>
            <w:hideMark/>
          </w:tcPr>
          <w:p w14:paraId="3D5F1CE8"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$491.18</w:t>
            </w:r>
          </w:p>
        </w:tc>
      </w:tr>
      <w:tr w:rsidR="00511CE1" w:rsidRPr="006E2AC1" w14:paraId="617F1700" w14:textId="77777777" w:rsidTr="00DB68DC">
        <w:trPr>
          <w:trHeight w:val="180"/>
        </w:trPr>
        <w:tc>
          <w:tcPr>
            <w:tcW w:w="1858" w:type="dxa"/>
            <w:tcBorders>
              <w:top w:val="nil"/>
              <w:left w:val="single" w:sz="4" w:space="0" w:color="auto"/>
              <w:bottom w:val="single" w:sz="4" w:space="0" w:color="auto"/>
              <w:right w:val="single" w:sz="4" w:space="0" w:color="auto"/>
            </w:tcBorders>
            <w:shd w:val="clear" w:color="auto" w:fill="auto"/>
            <w:hideMark/>
          </w:tcPr>
          <w:p w14:paraId="597849EE"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Dimethyl fumarate</w:t>
            </w:r>
          </w:p>
        </w:tc>
        <w:tc>
          <w:tcPr>
            <w:tcW w:w="1134" w:type="dxa"/>
            <w:tcBorders>
              <w:top w:val="nil"/>
              <w:left w:val="nil"/>
              <w:bottom w:val="single" w:sz="4" w:space="0" w:color="auto"/>
              <w:right w:val="single" w:sz="4" w:space="0" w:color="auto"/>
            </w:tcBorders>
            <w:shd w:val="clear" w:color="auto" w:fill="auto"/>
            <w:hideMark/>
          </w:tcPr>
          <w:p w14:paraId="76B91D87"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Tecfidera</w:t>
            </w:r>
          </w:p>
        </w:tc>
        <w:tc>
          <w:tcPr>
            <w:tcW w:w="992" w:type="dxa"/>
            <w:tcBorders>
              <w:top w:val="nil"/>
              <w:left w:val="nil"/>
              <w:bottom w:val="single" w:sz="4" w:space="0" w:color="auto"/>
              <w:right w:val="single" w:sz="4" w:space="0" w:color="auto"/>
            </w:tcBorders>
            <w:shd w:val="clear" w:color="auto" w:fill="auto"/>
            <w:hideMark/>
          </w:tcPr>
          <w:p w14:paraId="36AEBDBA"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N07XX</w:t>
            </w:r>
          </w:p>
        </w:tc>
        <w:tc>
          <w:tcPr>
            <w:tcW w:w="851" w:type="dxa"/>
            <w:tcBorders>
              <w:top w:val="nil"/>
              <w:left w:val="nil"/>
              <w:bottom w:val="single" w:sz="4" w:space="0" w:color="auto"/>
              <w:right w:val="single" w:sz="4" w:space="0" w:color="auto"/>
            </w:tcBorders>
            <w:shd w:val="clear" w:color="auto" w:fill="auto"/>
            <w:hideMark/>
          </w:tcPr>
          <w:p w14:paraId="68B161CF"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02943X</w:t>
            </w:r>
          </w:p>
        </w:tc>
        <w:tc>
          <w:tcPr>
            <w:tcW w:w="1134" w:type="dxa"/>
            <w:tcBorders>
              <w:top w:val="nil"/>
              <w:left w:val="nil"/>
              <w:bottom w:val="single" w:sz="4" w:space="0" w:color="auto"/>
              <w:right w:val="single" w:sz="4" w:space="0" w:color="auto"/>
            </w:tcBorders>
            <w:shd w:val="clear" w:color="auto" w:fill="auto"/>
            <w:hideMark/>
          </w:tcPr>
          <w:p w14:paraId="780228D9" w14:textId="47EE4981"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Dec</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2013</w:t>
            </w:r>
          </w:p>
        </w:tc>
        <w:tc>
          <w:tcPr>
            <w:tcW w:w="5245" w:type="dxa"/>
            <w:tcBorders>
              <w:top w:val="nil"/>
              <w:left w:val="nil"/>
              <w:bottom w:val="single" w:sz="4" w:space="0" w:color="auto"/>
              <w:right w:val="single" w:sz="4" w:space="0" w:color="auto"/>
            </w:tcBorders>
            <w:shd w:val="clear" w:color="auto" w:fill="auto"/>
            <w:hideMark/>
          </w:tcPr>
          <w:p w14:paraId="05E60732"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Capsule (modified release) 120 mg</w:t>
            </w:r>
          </w:p>
        </w:tc>
        <w:tc>
          <w:tcPr>
            <w:tcW w:w="567" w:type="dxa"/>
            <w:tcBorders>
              <w:top w:val="nil"/>
              <w:left w:val="nil"/>
              <w:bottom w:val="single" w:sz="4" w:space="0" w:color="auto"/>
              <w:right w:val="single" w:sz="4" w:space="0" w:color="auto"/>
            </w:tcBorders>
            <w:shd w:val="clear" w:color="auto" w:fill="auto"/>
            <w:hideMark/>
          </w:tcPr>
          <w:p w14:paraId="64AEAE1A"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14</w:t>
            </w:r>
          </w:p>
        </w:tc>
        <w:tc>
          <w:tcPr>
            <w:tcW w:w="567" w:type="dxa"/>
            <w:tcBorders>
              <w:top w:val="nil"/>
              <w:left w:val="nil"/>
              <w:bottom w:val="single" w:sz="4" w:space="0" w:color="auto"/>
              <w:right w:val="single" w:sz="4" w:space="0" w:color="auto"/>
            </w:tcBorders>
            <w:shd w:val="clear" w:color="auto" w:fill="auto"/>
            <w:hideMark/>
          </w:tcPr>
          <w:p w14:paraId="1C5A0A57"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14</w:t>
            </w:r>
          </w:p>
        </w:tc>
        <w:tc>
          <w:tcPr>
            <w:tcW w:w="567" w:type="dxa"/>
            <w:tcBorders>
              <w:top w:val="nil"/>
              <w:left w:val="nil"/>
              <w:bottom w:val="single" w:sz="4" w:space="0" w:color="auto"/>
              <w:right w:val="single" w:sz="4" w:space="0" w:color="auto"/>
            </w:tcBorders>
            <w:shd w:val="clear" w:color="auto" w:fill="auto"/>
            <w:hideMark/>
          </w:tcPr>
          <w:p w14:paraId="454B7EDA"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0</w:t>
            </w:r>
          </w:p>
        </w:tc>
        <w:tc>
          <w:tcPr>
            <w:tcW w:w="1134" w:type="dxa"/>
            <w:tcBorders>
              <w:top w:val="nil"/>
              <w:left w:val="nil"/>
              <w:bottom w:val="single" w:sz="4" w:space="0" w:color="auto"/>
              <w:right w:val="single" w:sz="4" w:space="0" w:color="auto"/>
            </w:tcBorders>
            <w:shd w:val="clear" w:color="auto" w:fill="auto"/>
            <w:hideMark/>
          </w:tcPr>
          <w:p w14:paraId="7C4E4377"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$491.18</w:t>
            </w:r>
          </w:p>
        </w:tc>
      </w:tr>
      <w:tr w:rsidR="00511CE1" w:rsidRPr="006E2AC1" w14:paraId="1B3A8CAA" w14:textId="77777777" w:rsidTr="00DB68DC">
        <w:trPr>
          <w:trHeight w:val="241"/>
        </w:trPr>
        <w:tc>
          <w:tcPr>
            <w:tcW w:w="1858" w:type="dxa"/>
            <w:tcBorders>
              <w:top w:val="nil"/>
              <w:left w:val="single" w:sz="4" w:space="0" w:color="auto"/>
              <w:bottom w:val="single" w:sz="4" w:space="0" w:color="auto"/>
              <w:right w:val="single" w:sz="4" w:space="0" w:color="auto"/>
            </w:tcBorders>
            <w:shd w:val="clear" w:color="auto" w:fill="auto"/>
            <w:hideMark/>
          </w:tcPr>
          <w:p w14:paraId="63A2550E"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Dimethyl fumarate</w:t>
            </w:r>
          </w:p>
        </w:tc>
        <w:tc>
          <w:tcPr>
            <w:tcW w:w="1134" w:type="dxa"/>
            <w:tcBorders>
              <w:top w:val="nil"/>
              <w:left w:val="nil"/>
              <w:bottom w:val="single" w:sz="4" w:space="0" w:color="auto"/>
              <w:right w:val="single" w:sz="4" w:space="0" w:color="auto"/>
            </w:tcBorders>
            <w:shd w:val="clear" w:color="auto" w:fill="auto"/>
            <w:hideMark/>
          </w:tcPr>
          <w:p w14:paraId="65A5F62A"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Tecfidera</w:t>
            </w:r>
          </w:p>
        </w:tc>
        <w:tc>
          <w:tcPr>
            <w:tcW w:w="992" w:type="dxa"/>
            <w:tcBorders>
              <w:top w:val="nil"/>
              <w:left w:val="nil"/>
              <w:bottom w:val="single" w:sz="4" w:space="0" w:color="auto"/>
              <w:right w:val="single" w:sz="4" w:space="0" w:color="auto"/>
            </w:tcBorders>
            <w:shd w:val="clear" w:color="auto" w:fill="auto"/>
            <w:hideMark/>
          </w:tcPr>
          <w:p w14:paraId="2AE1A1AB"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N07XX</w:t>
            </w:r>
          </w:p>
        </w:tc>
        <w:tc>
          <w:tcPr>
            <w:tcW w:w="851" w:type="dxa"/>
            <w:tcBorders>
              <w:top w:val="nil"/>
              <w:left w:val="nil"/>
              <w:bottom w:val="single" w:sz="4" w:space="0" w:color="auto"/>
              <w:right w:val="single" w:sz="4" w:space="0" w:color="auto"/>
            </w:tcBorders>
            <w:shd w:val="clear" w:color="auto" w:fill="auto"/>
            <w:hideMark/>
          </w:tcPr>
          <w:p w14:paraId="2D03F2FE"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02966D</w:t>
            </w:r>
          </w:p>
        </w:tc>
        <w:tc>
          <w:tcPr>
            <w:tcW w:w="1134" w:type="dxa"/>
            <w:tcBorders>
              <w:top w:val="nil"/>
              <w:left w:val="nil"/>
              <w:bottom w:val="single" w:sz="4" w:space="0" w:color="auto"/>
              <w:right w:val="single" w:sz="4" w:space="0" w:color="auto"/>
            </w:tcBorders>
            <w:shd w:val="clear" w:color="auto" w:fill="auto"/>
            <w:hideMark/>
          </w:tcPr>
          <w:p w14:paraId="0B8DB3E6" w14:textId="18F0F158"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Dec</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2013</w:t>
            </w:r>
          </w:p>
        </w:tc>
        <w:tc>
          <w:tcPr>
            <w:tcW w:w="5245" w:type="dxa"/>
            <w:tcBorders>
              <w:top w:val="nil"/>
              <w:left w:val="nil"/>
              <w:bottom w:val="single" w:sz="4" w:space="0" w:color="auto"/>
              <w:right w:val="single" w:sz="4" w:space="0" w:color="auto"/>
            </w:tcBorders>
            <w:shd w:val="clear" w:color="auto" w:fill="auto"/>
            <w:hideMark/>
          </w:tcPr>
          <w:p w14:paraId="563B25D1"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Capsule (modified release) 240 mg</w:t>
            </w:r>
          </w:p>
        </w:tc>
        <w:tc>
          <w:tcPr>
            <w:tcW w:w="567" w:type="dxa"/>
            <w:tcBorders>
              <w:top w:val="nil"/>
              <w:left w:val="nil"/>
              <w:bottom w:val="single" w:sz="4" w:space="0" w:color="auto"/>
              <w:right w:val="single" w:sz="4" w:space="0" w:color="auto"/>
            </w:tcBorders>
            <w:shd w:val="clear" w:color="auto" w:fill="auto"/>
            <w:hideMark/>
          </w:tcPr>
          <w:p w14:paraId="3626A3A9"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56</w:t>
            </w:r>
          </w:p>
        </w:tc>
        <w:tc>
          <w:tcPr>
            <w:tcW w:w="567" w:type="dxa"/>
            <w:tcBorders>
              <w:top w:val="nil"/>
              <w:left w:val="nil"/>
              <w:bottom w:val="single" w:sz="4" w:space="0" w:color="auto"/>
              <w:right w:val="single" w:sz="4" w:space="0" w:color="auto"/>
            </w:tcBorders>
            <w:shd w:val="clear" w:color="auto" w:fill="auto"/>
            <w:hideMark/>
          </w:tcPr>
          <w:p w14:paraId="036150FB"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56</w:t>
            </w:r>
          </w:p>
        </w:tc>
        <w:tc>
          <w:tcPr>
            <w:tcW w:w="567" w:type="dxa"/>
            <w:tcBorders>
              <w:top w:val="nil"/>
              <w:left w:val="nil"/>
              <w:bottom w:val="single" w:sz="4" w:space="0" w:color="auto"/>
              <w:right w:val="single" w:sz="4" w:space="0" w:color="auto"/>
            </w:tcBorders>
            <w:shd w:val="clear" w:color="auto" w:fill="auto"/>
            <w:hideMark/>
          </w:tcPr>
          <w:p w14:paraId="476C64B5"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24603E16"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$1,879.87</w:t>
            </w:r>
          </w:p>
        </w:tc>
      </w:tr>
      <w:tr w:rsidR="00511CE1" w:rsidRPr="006E2AC1" w14:paraId="3EEB4651" w14:textId="77777777" w:rsidTr="00DB68DC">
        <w:trPr>
          <w:trHeight w:val="293"/>
        </w:trPr>
        <w:tc>
          <w:tcPr>
            <w:tcW w:w="1858" w:type="dxa"/>
            <w:tcBorders>
              <w:top w:val="nil"/>
              <w:left w:val="single" w:sz="4" w:space="0" w:color="auto"/>
              <w:bottom w:val="single" w:sz="4" w:space="0" w:color="auto"/>
              <w:right w:val="single" w:sz="4" w:space="0" w:color="auto"/>
            </w:tcBorders>
            <w:shd w:val="clear" w:color="auto" w:fill="auto"/>
            <w:hideMark/>
          </w:tcPr>
          <w:p w14:paraId="303311DA"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Teriflunomide</w:t>
            </w:r>
          </w:p>
        </w:tc>
        <w:tc>
          <w:tcPr>
            <w:tcW w:w="1134" w:type="dxa"/>
            <w:tcBorders>
              <w:top w:val="nil"/>
              <w:left w:val="nil"/>
              <w:bottom w:val="single" w:sz="4" w:space="0" w:color="auto"/>
              <w:right w:val="single" w:sz="4" w:space="0" w:color="auto"/>
            </w:tcBorders>
            <w:shd w:val="clear" w:color="auto" w:fill="auto"/>
            <w:hideMark/>
          </w:tcPr>
          <w:p w14:paraId="3240A599"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Aubagio</w:t>
            </w:r>
          </w:p>
        </w:tc>
        <w:tc>
          <w:tcPr>
            <w:tcW w:w="992" w:type="dxa"/>
            <w:tcBorders>
              <w:top w:val="nil"/>
              <w:left w:val="nil"/>
              <w:bottom w:val="single" w:sz="4" w:space="0" w:color="auto"/>
              <w:right w:val="single" w:sz="4" w:space="0" w:color="auto"/>
            </w:tcBorders>
            <w:shd w:val="clear" w:color="auto" w:fill="auto"/>
            <w:hideMark/>
          </w:tcPr>
          <w:p w14:paraId="751DAA68"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L04AA</w:t>
            </w:r>
          </w:p>
        </w:tc>
        <w:tc>
          <w:tcPr>
            <w:tcW w:w="851" w:type="dxa"/>
            <w:tcBorders>
              <w:top w:val="nil"/>
              <w:left w:val="nil"/>
              <w:bottom w:val="single" w:sz="4" w:space="0" w:color="auto"/>
              <w:right w:val="single" w:sz="4" w:space="0" w:color="auto"/>
            </w:tcBorders>
            <w:shd w:val="clear" w:color="auto" w:fill="auto"/>
            <w:hideMark/>
          </w:tcPr>
          <w:p w14:paraId="0E1F5118"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02898M</w:t>
            </w:r>
          </w:p>
        </w:tc>
        <w:tc>
          <w:tcPr>
            <w:tcW w:w="1134" w:type="dxa"/>
            <w:tcBorders>
              <w:top w:val="nil"/>
              <w:left w:val="nil"/>
              <w:bottom w:val="single" w:sz="4" w:space="0" w:color="auto"/>
              <w:right w:val="single" w:sz="4" w:space="0" w:color="auto"/>
            </w:tcBorders>
            <w:shd w:val="clear" w:color="auto" w:fill="auto"/>
            <w:hideMark/>
          </w:tcPr>
          <w:p w14:paraId="6276BC31" w14:textId="2E9A32BA"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Dec</w:t>
            </w:r>
            <w:r w:rsidR="005A4DC0">
              <w:rPr>
                <w:rFonts w:ascii="Calibri" w:eastAsia="Times New Roman" w:hAnsi="Calibri" w:cs="Times New Roman"/>
                <w:sz w:val="18"/>
                <w:szCs w:val="18"/>
              </w:rPr>
              <w:t xml:space="preserve"> </w:t>
            </w:r>
            <w:r w:rsidR="00511CE1">
              <w:rPr>
                <w:rFonts w:ascii="Calibri" w:eastAsia="Times New Roman" w:hAnsi="Calibri" w:cs="Times New Roman"/>
                <w:sz w:val="18"/>
                <w:szCs w:val="18"/>
              </w:rPr>
              <w:t xml:space="preserve"> </w:t>
            </w:r>
            <w:r w:rsidR="00E564F7">
              <w:rPr>
                <w:rFonts w:ascii="Calibri" w:eastAsia="Times New Roman" w:hAnsi="Calibri" w:cs="Times New Roman"/>
                <w:sz w:val="18"/>
                <w:szCs w:val="18"/>
              </w:rPr>
              <w:t>2</w:t>
            </w:r>
            <w:r w:rsidRPr="00D36536">
              <w:rPr>
                <w:rFonts w:ascii="Calibri" w:eastAsia="Times New Roman" w:hAnsi="Calibri" w:cs="Times New Roman"/>
                <w:sz w:val="18"/>
                <w:szCs w:val="18"/>
              </w:rPr>
              <w:t>013</w:t>
            </w:r>
          </w:p>
        </w:tc>
        <w:tc>
          <w:tcPr>
            <w:tcW w:w="5245" w:type="dxa"/>
            <w:tcBorders>
              <w:top w:val="nil"/>
              <w:left w:val="nil"/>
              <w:bottom w:val="single" w:sz="4" w:space="0" w:color="auto"/>
              <w:right w:val="single" w:sz="4" w:space="0" w:color="auto"/>
            </w:tcBorders>
            <w:shd w:val="clear" w:color="auto" w:fill="auto"/>
            <w:hideMark/>
          </w:tcPr>
          <w:p w14:paraId="001E7FAB"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Tablet 14 mg</w:t>
            </w:r>
          </w:p>
        </w:tc>
        <w:tc>
          <w:tcPr>
            <w:tcW w:w="567" w:type="dxa"/>
            <w:tcBorders>
              <w:top w:val="nil"/>
              <w:left w:val="nil"/>
              <w:bottom w:val="single" w:sz="4" w:space="0" w:color="auto"/>
              <w:right w:val="single" w:sz="4" w:space="0" w:color="auto"/>
            </w:tcBorders>
            <w:shd w:val="clear" w:color="auto" w:fill="auto"/>
            <w:hideMark/>
          </w:tcPr>
          <w:p w14:paraId="2D146AC2"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28</w:t>
            </w:r>
          </w:p>
        </w:tc>
        <w:tc>
          <w:tcPr>
            <w:tcW w:w="567" w:type="dxa"/>
            <w:tcBorders>
              <w:top w:val="nil"/>
              <w:left w:val="nil"/>
              <w:bottom w:val="single" w:sz="4" w:space="0" w:color="auto"/>
              <w:right w:val="single" w:sz="4" w:space="0" w:color="auto"/>
            </w:tcBorders>
            <w:shd w:val="clear" w:color="auto" w:fill="auto"/>
            <w:hideMark/>
          </w:tcPr>
          <w:p w14:paraId="035071B1"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28</w:t>
            </w:r>
          </w:p>
        </w:tc>
        <w:tc>
          <w:tcPr>
            <w:tcW w:w="567" w:type="dxa"/>
            <w:tcBorders>
              <w:top w:val="nil"/>
              <w:left w:val="nil"/>
              <w:bottom w:val="single" w:sz="4" w:space="0" w:color="auto"/>
              <w:right w:val="single" w:sz="4" w:space="0" w:color="auto"/>
            </w:tcBorders>
            <w:shd w:val="clear" w:color="auto" w:fill="auto"/>
            <w:hideMark/>
          </w:tcPr>
          <w:p w14:paraId="402653AA"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19647BBA"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$1,847.13</w:t>
            </w:r>
          </w:p>
        </w:tc>
      </w:tr>
      <w:tr w:rsidR="00511CE1" w:rsidRPr="006E2AC1" w14:paraId="0C9F6277" w14:textId="77777777" w:rsidTr="00DB68DC">
        <w:trPr>
          <w:trHeight w:val="249"/>
        </w:trPr>
        <w:tc>
          <w:tcPr>
            <w:tcW w:w="1858" w:type="dxa"/>
            <w:tcBorders>
              <w:top w:val="nil"/>
              <w:left w:val="single" w:sz="4" w:space="0" w:color="auto"/>
              <w:bottom w:val="single" w:sz="4" w:space="0" w:color="auto"/>
              <w:right w:val="single" w:sz="4" w:space="0" w:color="auto"/>
            </w:tcBorders>
            <w:shd w:val="clear" w:color="auto" w:fill="auto"/>
            <w:hideMark/>
          </w:tcPr>
          <w:p w14:paraId="62F570A8"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Peginterferon beta-1a</w:t>
            </w:r>
          </w:p>
        </w:tc>
        <w:tc>
          <w:tcPr>
            <w:tcW w:w="1134" w:type="dxa"/>
            <w:tcBorders>
              <w:top w:val="nil"/>
              <w:left w:val="nil"/>
              <w:bottom w:val="single" w:sz="4" w:space="0" w:color="auto"/>
              <w:right w:val="single" w:sz="4" w:space="0" w:color="auto"/>
            </w:tcBorders>
            <w:shd w:val="clear" w:color="auto" w:fill="auto"/>
            <w:hideMark/>
          </w:tcPr>
          <w:p w14:paraId="7CEFD80F"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Plegridy</w:t>
            </w:r>
          </w:p>
        </w:tc>
        <w:tc>
          <w:tcPr>
            <w:tcW w:w="992" w:type="dxa"/>
            <w:tcBorders>
              <w:top w:val="nil"/>
              <w:left w:val="nil"/>
              <w:bottom w:val="single" w:sz="4" w:space="0" w:color="auto"/>
              <w:right w:val="single" w:sz="4" w:space="0" w:color="auto"/>
            </w:tcBorders>
            <w:shd w:val="clear" w:color="auto" w:fill="auto"/>
            <w:hideMark/>
          </w:tcPr>
          <w:p w14:paraId="1840C165"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L03AB</w:t>
            </w:r>
          </w:p>
        </w:tc>
        <w:tc>
          <w:tcPr>
            <w:tcW w:w="851" w:type="dxa"/>
            <w:tcBorders>
              <w:top w:val="nil"/>
              <w:left w:val="nil"/>
              <w:bottom w:val="single" w:sz="4" w:space="0" w:color="auto"/>
              <w:right w:val="single" w:sz="4" w:space="0" w:color="auto"/>
            </w:tcBorders>
            <w:shd w:val="clear" w:color="auto" w:fill="auto"/>
            <w:hideMark/>
          </w:tcPr>
          <w:p w14:paraId="0748029B"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10212L</w:t>
            </w:r>
          </w:p>
        </w:tc>
        <w:tc>
          <w:tcPr>
            <w:tcW w:w="1134" w:type="dxa"/>
            <w:tcBorders>
              <w:top w:val="nil"/>
              <w:left w:val="nil"/>
              <w:bottom w:val="single" w:sz="4" w:space="0" w:color="auto"/>
              <w:right w:val="single" w:sz="4" w:space="0" w:color="auto"/>
            </w:tcBorders>
            <w:shd w:val="clear" w:color="auto" w:fill="auto"/>
            <w:hideMark/>
          </w:tcPr>
          <w:p w14:paraId="7098AFA6" w14:textId="2810791E"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Mar</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5245" w:type="dxa"/>
            <w:tcBorders>
              <w:top w:val="nil"/>
              <w:left w:val="nil"/>
              <w:bottom w:val="single" w:sz="4" w:space="0" w:color="auto"/>
              <w:right w:val="single" w:sz="4" w:space="0" w:color="auto"/>
            </w:tcBorders>
            <w:shd w:val="clear" w:color="auto" w:fill="auto"/>
            <w:hideMark/>
          </w:tcPr>
          <w:p w14:paraId="2C976E1D"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Single use injection pen containing 125 micrograms in 0.5 mL</w:t>
            </w:r>
          </w:p>
        </w:tc>
        <w:tc>
          <w:tcPr>
            <w:tcW w:w="567" w:type="dxa"/>
            <w:tcBorders>
              <w:top w:val="nil"/>
              <w:left w:val="nil"/>
              <w:bottom w:val="single" w:sz="4" w:space="0" w:color="auto"/>
              <w:right w:val="single" w:sz="4" w:space="0" w:color="auto"/>
            </w:tcBorders>
            <w:shd w:val="clear" w:color="auto" w:fill="auto"/>
            <w:hideMark/>
          </w:tcPr>
          <w:p w14:paraId="48681D49"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w:t>
            </w:r>
          </w:p>
        </w:tc>
        <w:tc>
          <w:tcPr>
            <w:tcW w:w="567" w:type="dxa"/>
            <w:tcBorders>
              <w:top w:val="nil"/>
              <w:left w:val="nil"/>
              <w:bottom w:val="single" w:sz="4" w:space="0" w:color="auto"/>
              <w:right w:val="single" w:sz="4" w:space="0" w:color="auto"/>
            </w:tcBorders>
            <w:shd w:val="clear" w:color="auto" w:fill="auto"/>
            <w:hideMark/>
          </w:tcPr>
          <w:p w14:paraId="5D384FB0"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w:t>
            </w:r>
          </w:p>
        </w:tc>
        <w:tc>
          <w:tcPr>
            <w:tcW w:w="567" w:type="dxa"/>
            <w:tcBorders>
              <w:top w:val="nil"/>
              <w:left w:val="nil"/>
              <w:bottom w:val="single" w:sz="4" w:space="0" w:color="auto"/>
              <w:right w:val="single" w:sz="4" w:space="0" w:color="auto"/>
            </w:tcBorders>
            <w:shd w:val="clear" w:color="auto" w:fill="auto"/>
            <w:hideMark/>
          </w:tcPr>
          <w:p w14:paraId="5455E86E"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4</w:t>
            </w:r>
          </w:p>
        </w:tc>
        <w:tc>
          <w:tcPr>
            <w:tcW w:w="1134" w:type="dxa"/>
            <w:tcBorders>
              <w:top w:val="nil"/>
              <w:left w:val="nil"/>
              <w:bottom w:val="single" w:sz="4" w:space="0" w:color="auto"/>
              <w:right w:val="single" w:sz="4" w:space="0" w:color="auto"/>
            </w:tcBorders>
            <w:shd w:val="clear" w:color="auto" w:fill="auto"/>
            <w:hideMark/>
          </w:tcPr>
          <w:p w14:paraId="7EC2A776"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$1,057.11</w:t>
            </w:r>
          </w:p>
        </w:tc>
      </w:tr>
      <w:tr w:rsidR="00511CE1" w:rsidRPr="006E2AC1" w14:paraId="0D9E3D67" w14:textId="77777777" w:rsidTr="00DB68DC">
        <w:trPr>
          <w:trHeight w:val="422"/>
        </w:trPr>
        <w:tc>
          <w:tcPr>
            <w:tcW w:w="1858" w:type="dxa"/>
            <w:tcBorders>
              <w:top w:val="nil"/>
              <w:left w:val="single" w:sz="4" w:space="0" w:color="auto"/>
              <w:bottom w:val="single" w:sz="4" w:space="0" w:color="auto"/>
              <w:right w:val="single" w:sz="4" w:space="0" w:color="auto"/>
            </w:tcBorders>
            <w:shd w:val="clear" w:color="auto" w:fill="auto"/>
            <w:hideMark/>
          </w:tcPr>
          <w:p w14:paraId="599127CD"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Peginterferon beta-1a</w:t>
            </w:r>
          </w:p>
        </w:tc>
        <w:tc>
          <w:tcPr>
            <w:tcW w:w="1134" w:type="dxa"/>
            <w:tcBorders>
              <w:top w:val="nil"/>
              <w:left w:val="nil"/>
              <w:bottom w:val="single" w:sz="4" w:space="0" w:color="auto"/>
              <w:right w:val="single" w:sz="4" w:space="0" w:color="auto"/>
            </w:tcBorders>
            <w:shd w:val="clear" w:color="auto" w:fill="auto"/>
            <w:hideMark/>
          </w:tcPr>
          <w:p w14:paraId="30B0C2A2"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Plegridy</w:t>
            </w:r>
          </w:p>
        </w:tc>
        <w:tc>
          <w:tcPr>
            <w:tcW w:w="992" w:type="dxa"/>
            <w:tcBorders>
              <w:top w:val="nil"/>
              <w:left w:val="nil"/>
              <w:bottom w:val="single" w:sz="4" w:space="0" w:color="auto"/>
              <w:right w:val="single" w:sz="4" w:space="0" w:color="auto"/>
            </w:tcBorders>
            <w:shd w:val="clear" w:color="auto" w:fill="auto"/>
            <w:hideMark/>
          </w:tcPr>
          <w:p w14:paraId="08278E8E"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L03AB</w:t>
            </w:r>
          </w:p>
        </w:tc>
        <w:tc>
          <w:tcPr>
            <w:tcW w:w="851" w:type="dxa"/>
            <w:tcBorders>
              <w:top w:val="nil"/>
              <w:left w:val="nil"/>
              <w:bottom w:val="single" w:sz="4" w:space="0" w:color="auto"/>
              <w:right w:val="single" w:sz="4" w:space="0" w:color="auto"/>
            </w:tcBorders>
            <w:shd w:val="clear" w:color="auto" w:fill="auto"/>
            <w:hideMark/>
          </w:tcPr>
          <w:p w14:paraId="70949EEC"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10218T</w:t>
            </w:r>
          </w:p>
        </w:tc>
        <w:tc>
          <w:tcPr>
            <w:tcW w:w="1134" w:type="dxa"/>
            <w:tcBorders>
              <w:top w:val="nil"/>
              <w:left w:val="nil"/>
              <w:bottom w:val="single" w:sz="4" w:space="0" w:color="auto"/>
              <w:right w:val="single" w:sz="4" w:space="0" w:color="auto"/>
            </w:tcBorders>
            <w:shd w:val="clear" w:color="auto" w:fill="auto"/>
            <w:hideMark/>
          </w:tcPr>
          <w:p w14:paraId="10A1AC90" w14:textId="61636B7C"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Pr="00083007">
              <w:rPr>
                <w:rFonts w:ascii="Calibri" w:eastAsia="Times New Roman" w:hAnsi="Calibri" w:cs="Times New Roman"/>
                <w:sz w:val="18"/>
                <w:szCs w:val="18"/>
              </w:rPr>
              <w:t xml:space="preserve"> </w:t>
            </w:r>
            <w:r w:rsidRPr="00D36536">
              <w:rPr>
                <w:rFonts w:ascii="Calibri" w:eastAsia="Times New Roman" w:hAnsi="Calibri" w:cs="Times New Roman"/>
                <w:sz w:val="18"/>
                <w:szCs w:val="18"/>
              </w:rPr>
              <w:t>Mar</w:t>
            </w:r>
            <w:r w:rsidRPr="00083007">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5245" w:type="dxa"/>
            <w:tcBorders>
              <w:top w:val="nil"/>
              <w:left w:val="nil"/>
              <w:bottom w:val="single" w:sz="4" w:space="0" w:color="auto"/>
              <w:right w:val="single" w:sz="4" w:space="0" w:color="auto"/>
            </w:tcBorders>
            <w:shd w:val="clear" w:color="auto" w:fill="auto"/>
            <w:hideMark/>
          </w:tcPr>
          <w:p w14:paraId="2565C849"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Pack containing single use injection pens containing 63 micrograms in 0.5 mL and 94 micrograms in 0.5 mL</w:t>
            </w:r>
          </w:p>
        </w:tc>
        <w:tc>
          <w:tcPr>
            <w:tcW w:w="567" w:type="dxa"/>
            <w:tcBorders>
              <w:top w:val="nil"/>
              <w:left w:val="nil"/>
              <w:bottom w:val="single" w:sz="4" w:space="0" w:color="auto"/>
              <w:right w:val="single" w:sz="4" w:space="0" w:color="auto"/>
            </w:tcBorders>
            <w:shd w:val="clear" w:color="auto" w:fill="auto"/>
            <w:hideMark/>
          </w:tcPr>
          <w:p w14:paraId="4CC1664B"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p>
        </w:tc>
        <w:tc>
          <w:tcPr>
            <w:tcW w:w="567" w:type="dxa"/>
            <w:tcBorders>
              <w:top w:val="nil"/>
              <w:left w:val="nil"/>
              <w:bottom w:val="single" w:sz="4" w:space="0" w:color="auto"/>
              <w:right w:val="single" w:sz="4" w:space="0" w:color="auto"/>
            </w:tcBorders>
            <w:shd w:val="clear" w:color="auto" w:fill="auto"/>
            <w:hideMark/>
          </w:tcPr>
          <w:p w14:paraId="327E39EB"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p>
        </w:tc>
        <w:tc>
          <w:tcPr>
            <w:tcW w:w="567" w:type="dxa"/>
            <w:tcBorders>
              <w:top w:val="nil"/>
              <w:left w:val="nil"/>
              <w:bottom w:val="single" w:sz="4" w:space="0" w:color="auto"/>
              <w:right w:val="single" w:sz="4" w:space="0" w:color="auto"/>
            </w:tcBorders>
            <w:shd w:val="clear" w:color="auto" w:fill="auto"/>
            <w:hideMark/>
          </w:tcPr>
          <w:p w14:paraId="2F80AAB6"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0</w:t>
            </w:r>
          </w:p>
        </w:tc>
        <w:tc>
          <w:tcPr>
            <w:tcW w:w="1134" w:type="dxa"/>
            <w:tcBorders>
              <w:top w:val="nil"/>
              <w:left w:val="nil"/>
              <w:bottom w:val="single" w:sz="4" w:space="0" w:color="auto"/>
              <w:right w:val="single" w:sz="4" w:space="0" w:color="auto"/>
            </w:tcBorders>
            <w:shd w:val="clear" w:color="auto" w:fill="auto"/>
            <w:hideMark/>
          </w:tcPr>
          <w:p w14:paraId="7621E6C0"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$1,057.11</w:t>
            </w:r>
          </w:p>
        </w:tc>
      </w:tr>
      <w:tr w:rsidR="00511CE1" w:rsidRPr="006E2AC1" w14:paraId="01E33807" w14:textId="77777777" w:rsidTr="00DB68DC">
        <w:trPr>
          <w:trHeight w:val="259"/>
        </w:trPr>
        <w:tc>
          <w:tcPr>
            <w:tcW w:w="1858" w:type="dxa"/>
            <w:tcBorders>
              <w:top w:val="nil"/>
              <w:left w:val="single" w:sz="4" w:space="0" w:color="auto"/>
              <w:bottom w:val="single" w:sz="4" w:space="0" w:color="auto"/>
              <w:right w:val="single" w:sz="4" w:space="0" w:color="auto"/>
            </w:tcBorders>
            <w:shd w:val="clear" w:color="auto" w:fill="auto"/>
            <w:hideMark/>
          </w:tcPr>
          <w:p w14:paraId="0AA6503E"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Peginterferon beta-1a</w:t>
            </w:r>
          </w:p>
        </w:tc>
        <w:tc>
          <w:tcPr>
            <w:tcW w:w="1134" w:type="dxa"/>
            <w:tcBorders>
              <w:top w:val="nil"/>
              <w:left w:val="nil"/>
              <w:bottom w:val="single" w:sz="4" w:space="0" w:color="auto"/>
              <w:right w:val="single" w:sz="4" w:space="0" w:color="auto"/>
            </w:tcBorders>
            <w:shd w:val="clear" w:color="auto" w:fill="auto"/>
            <w:hideMark/>
          </w:tcPr>
          <w:p w14:paraId="29611A5D"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Plegridy</w:t>
            </w:r>
          </w:p>
        </w:tc>
        <w:tc>
          <w:tcPr>
            <w:tcW w:w="992" w:type="dxa"/>
            <w:tcBorders>
              <w:top w:val="nil"/>
              <w:left w:val="nil"/>
              <w:bottom w:val="single" w:sz="4" w:space="0" w:color="auto"/>
              <w:right w:val="single" w:sz="4" w:space="0" w:color="auto"/>
            </w:tcBorders>
            <w:shd w:val="clear" w:color="auto" w:fill="auto"/>
            <w:hideMark/>
          </w:tcPr>
          <w:p w14:paraId="0D3D3256"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L03AB</w:t>
            </w:r>
          </w:p>
        </w:tc>
        <w:tc>
          <w:tcPr>
            <w:tcW w:w="851" w:type="dxa"/>
            <w:tcBorders>
              <w:top w:val="nil"/>
              <w:left w:val="nil"/>
              <w:bottom w:val="single" w:sz="4" w:space="0" w:color="auto"/>
              <w:right w:val="single" w:sz="4" w:space="0" w:color="auto"/>
            </w:tcBorders>
            <w:shd w:val="clear" w:color="auto" w:fill="auto"/>
            <w:hideMark/>
          </w:tcPr>
          <w:p w14:paraId="7FC0CAD4"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10220X</w:t>
            </w:r>
          </w:p>
        </w:tc>
        <w:tc>
          <w:tcPr>
            <w:tcW w:w="1134" w:type="dxa"/>
            <w:tcBorders>
              <w:top w:val="nil"/>
              <w:left w:val="nil"/>
              <w:bottom w:val="single" w:sz="4" w:space="0" w:color="auto"/>
              <w:right w:val="single" w:sz="4" w:space="0" w:color="auto"/>
            </w:tcBorders>
            <w:shd w:val="clear" w:color="auto" w:fill="auto"/>
            <w:hideMark/>
          </w:tcPr>
          <w:p w14:paraId="2232330F" w14:textId="53FB781E"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Pr="00083007">
              <w:rPr>
                <w:rFonts w:ascii="Calibri" w:eastAsia="Times New Roman" w:hAnsi="Calibri" w:cs="Times New Roman"/>
                <w:sz w:val="18"/>
                <w:szCs w:val="18"/>
              </w:rPr>
              <w:t xml:space="preserve"> </w:t>
            </w:r>
            <w:r w:rsidRPr="00D36536">
              <w:rPr>
                <w:rFonts w:ascii="Calibri" w:eastAsia="Times New Roman" w:hAnsi="Calibri" w:cs="Times New Roman"/>
                <w:sz w:val="18"/>
                <w:szCs w:val="18"/>
              </w:rPr>
              <w:t>Mar</w:t>
            </w:r>
            <w:r w:rsidRPr="00083007">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5245" w:type="dxa"/>
            <w:tcBorders>
              <w:top w:val="nil"/>
              <w:left w:val="nil"/>
              <w:bottom w:val="single" w:sz="4" w:space="0" w:color="auto"/>
              <w:right w:val="single" w:sz="4" w:space="0" w:color="auto"/>
            </w:tcBorders>
            <w:shd w:val="clear" w:color="auto" w:fill="auto"/>
            <w:hideMark/>
          </w:tcPr>
          <w:p w14:paraId="7ADD8CA7"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Single use injection pen containing 125 micrograms in 0.5 mL</w:t>
            </w:r>
          </w:p>
        </w:tc>
        <w:tc>
          <w:tcPr>
            <w:tcW w:w="567" w:type="dxa"/>
            <w:tcBorders>
              <w:top w:val="nil"/>
              <w:left w:val="nil"/>
              <w:bottom w:val="single" w:sz="4" w:space="0" w:color="auto"/>
              <w:right w:val="single" w:sz="4" w:space="0" w:color="auto"/>
            </w:tcBorders>
            <w:shd w:val="clear" w:color="auto" w:fill="auto"/>
            <w:hideMark/>
          </w:tcPr>
          <w:p w14:paraId="2069EA71"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w:t>
            </w:r>
          </w:p>
        </w:tc>
        <w:tc>
          <w:tcPr>
            <w:tcW w:w="567" w:type="dxa"/>
            <w:tcBorders>
              <w:top w:val="nil"/>
              <w:left w:val="nil"/>
              <w:bottom w:val="single" w:sz="4" w:space="0" w:color="auto"/>
              <w:right w:val="single" w:sz="4" w:space="0" w:color="auto"/>
            </w:tcBorders>
            <w:shd w:val="clear" w:color="auto" w:fill="auto"/>
            <w:hideMark/>
          </w:tcPr>
          <w:p w14:paraId="1A53A9A0"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2</w:t>
            </w:r>
          </w:p>
        </w:tc>
        <w:tc>
          <w:tcPr>
            <w:tcW w:w="567" w:type="dxa"/>
            <w:tcBorders>
              <w:top w:val="nil"/>
              <w:left w:val="nil"/>
              <w:bottom w:val="single" w:sz="4" w:space="0" w:color="auto"/>
              <w:right w:val="single" w:sz="4" w:space="0" w:color="auto"/>
            </w:tcBorders>
            <w:shd w:val="clear" w:color="auto" w:fill="auto"/>
            <w:hideMark/>
          </w:tcPr>
          <w:p w14:paraId="169F17EC"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1134" w:type="dxa"/>
            <w:tcBorders>
              <w:top w:val="nil"/>
              <w:left w:val="nil"/>
              <w:bottom w:val="single" w:sz="4" w:space="0" w:color="auto"/>
              <w:right w:val="single" w:sz="4" w:space="0" w:color="auto"/>
            </w:tcBorders>
            <w:shd w:val="clear" w:color="auto" w:fill="auto"/>
            <w:hideMark/>
          </w:tcPr>
          <w:p w14:paraId="7065866F"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$1,057.11</w:t>
            </w:r>
          </w:p>
        </w:tc>
      </w:tr>
      <w:tr w:rsidR="00511CE1" w:rsidRPr="006E2AC1" w14:paraId="4304026B" w14:textId="77777777" w:rsidTr="00DB68DC">
        <w:trPr>
          <w:trHeight w:val="262"/>
        </w:trPr>
        <w:tc>
          <w:tcPr>
            <w:tcW w:w="1858" w:type="dxa"/>
            <w:tcBorders>
              <w:top w:val="nil"/>
              <w:left w:val="single" w:sz="4" w:space="0" w:color="auto"/>
              <w:bottom w:val="single" w:sz="4" w:space="0" w:color="auto"/>
              <w:right w:val="single" w:sz="4" w:space="0" w:color="auto"/>
            </w:tcBorders>
            <w:shd w:val="clear" w:color="auto" w:fill="auto"/>
            <w:hideMark/>
          </w:tcPr>
          <w:p w14:paraId="04E92702"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Alemtuzumab</w:t>
            </w:r>
          </w:p>
        </w:tc>
        <w:tc>
          <w:tcPr>
            <w:tcW w:w="1134" w:type="dxa"/>
            <w:tcBorders>
              <w:top w:val="nil"/>
              <w:left w:val="nil"/>
              <w:bottom w:val="single" w:sz="4" w:space="0" w:color="auto"/>
              <w:right w:val="single" w:sz="4" w:space="0" w:color="auto"/>
            </w:tcBorders>
            <w:shd w:val="clear" w:color="auto" w:fill="auto"/>
            <w:hideMark/>
          </w:tcPr>
          <w:p w14:paraId="7F8A2F9F"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Lemtrada</w:t>
            </w:r>
          </w:p>
        </w:tc>
        <w:tc>
          <w:tcPr>
            <w:tcW w:w="992" w:type="dxa"/>
            <w:tcBorders>
              <w:top w:val="nil"/>
              <w:left w:val="nil"/>
              <w:bottom w:val="single" w:sz="4" w:space="0" w:color="auto"/>
              <w:right w:val="single" w:sz="4" w:space="0" w:color="auto"/>
            </w:tcBorders>
            <w:shd w:val="clear" w:color="auto" w:fill="auto"/>
            <w:hideMark/>
          </w:tcPr>
          <w:p w14:paraId="7351EAED"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L01XC04</w:t>
            </w:r>
          </w:p>
        </w:tc>
        <w:tc>
          <w:tcPr>
            <w:tcW w:w="851" w:type="dxa"/>
            <w:tcBorders>
              <w:top w:val="nil"/>
              <w:left w:val="nil"/>
              <w:bottom w:val="single" w:sz="4" w:space="0" w:color="auto"/>
              <w:right w:val="single" w:sz="4" w:space="0" w:color="auto"/>
            </w:tcBorders>
            <w:shd w:val="clear" w:color="auto" w:fill="auto"/>
            <w:hideMark/>
          </w:tcPr>
          <w:p w14:paraId="28AE8E8B"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10228H</w:t>
            </w:r>
          </w:p>
        </w:tc>
        <w:tc>
          <w:tcPr>
            <w:tcW w:w="1134" w:type="dxa"/>
            <w:tcBorders>
              <w:top w:val="nil"/>
              <w:left w:val="nil"/>
              <w:bottom w:val="single" w:sz="4" w:space="0" w:color="auto"/>
              <w:right w:val="single" w:sz="4" w:space="0" w:color="auto"/>
            </w:tcBorders>
            <w:shd w:val="clear" w:color="auto" w:fill="auto"/>
            <w:hideMark/>
          </w:tcPr>
          <w:p w14:paraId="4B9F3B7E" w14:textId="0ED163A2"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Pr="0019026B">
              <w:rPr>
                <w:rFonts w:ascii="Calibri" w:eastAsia="Times New Roman" w:hAnsi="Calibri" w:cs="Times New Roman"/>
                <w:sz w:val="18"/>
                <w:szCs w:val="18"/>
              </w:rPr>
              <w:t xml:space="preserve"> </w:t>
            </w:r>
            <w:r w:rsidRPr="00D36536">
              <w:rPr>
                <w:rFonts w:ascii="Calibri" w:eastAsia="Times New Roman" w:hAnsi="Calibri" w:cs="Times New Roman"/>
                <w:sz w:val="18"/>
                <w:szCs w:val="18"/>
              </w:rPr>
              <w:t>Apr</w:t>
            </w:r>
            <w:r w:rsidRPr="0019026B">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5245" w:type="dxa"/>
            <w:tcBorders>
              <w:top w:val="nil"/>
              <w:left w:val="nil"/>
              <w:bottom w:val="single" w:sz="4" w:space="0" w:color="auto"/>
              <w:right w:val="single" w:sz="4" w:space="0" w:color="auto"/>
            </w:tcBorders>
            <w:shd w:val="clear" w:color="auto" w:fill="auto"/>
            <w:hideMark/>
          </w:tcPr>
          <w:p w14:paraId="36BA382D"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concentrate for I.V. infusion 12 mg in 1.2 mL</w:t>
            </w:r>
          </w:p>
        </w:tc>
        <w:tc>
          <w:tcPr>
            <w:tcW w:w="567" w:type="dxa"/>
            <w:tcBorders>
              <w:top w:val="nil"/>
              <w:left w:val="nil"/>
              <w:bottom w:val="single" w:sz="4" w:space="0" w:color="auto"/>
              <w:right w:val="single" w:sz="4" w:space="0" w:color="auto"/>
            </w:tcBorders>
            <w:shd w:val="clear" w:color="auto" w:fill="auto"/>
            <w:hideMark/>
          </w:tcPr>
          <w:p w14:paraId="2109E34D"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p>
        </w:tc>
        <w:tc>
          <w:tcPr>
            <w:tcW w:w="567" w:type="dxa"/>
            <w:tcBorders>
              <w:top w:val="nil"/>
              <w:left w:val="nil"/>
              <w:bottom w:val="single" w:sz="4" w:space="0" w:color="auto"/>
              <w:right w:val="single" w:sz="4" w:space="0" w:color="auto"/>
            </w:tcBorders>
            <w:shd w:val="clear" w:color="auto" w:fill="auto"/>
            <w:hideMark/>
          </w:tcPr>
          <w:p w14:paraId="1361C95B"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567" w:type="dxa"/>
            <w:tcBorders>
              <w:top w:val="nil"/>
              <w:left w:val="nil"/>
              <w:bottom w:val="single" w:sz="4" w:space="0" w:color="auto"/>
              <w:right w:val="single" w:sz="4" w:space="0" w:color="auto"/>
            </w:tcBorders>
            <w:shd w:val="clear" w:color="auto" w:fill="auto"/>
            <w:hideMark/>
          </w:tcPr>
          <w:p w14:paraId="29766D5E"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0</w:t>
            </w:r>
          </w:p>
        </w:tc>
        <w:tc>
          <w:tcPr>
            <w:tcW w:w="1134" w:type="dxa"/>
            <w:tcBorders>
              <w:top w:val="nil"/>
              <w:left w:val="nil"/>
              <w:bottom w:val="single" w:sz="4" w:space="0" w:color="auto"/>
              <w:right w:val="single" w:sz="4" w:space="0" w:color="auto"/>
            </w:tcBorders>
            <w:shd w:val="clear" w:color="auto" w:fill="auto"/>
            <w:hideMark/>
          </w:tcPr>
          <w:p w14:paraId="3F4E89AA"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$56,970.00</w:t>
            </w:r>
          </w:p>
        </w:tc>
      </w:tr>
      <w:tr w:rsidR="00511CE1" w:rsidRPr="006E2AC1" w14:paraId="69EF36FC" w14:textId="77777777" w:rsidTr="00DB68DC">
        <w:trPr>
          <w:trHeight w:val="285"/>
        </w:trPr>
        <w:tc>
          <w:tcPr>
            <w:tcW w:w="1858" w:type="dxa"/>
            <w:tcBorders>
              <w:top w:val="nil"/>
              <w:left w:val="single" w:sz="4" w:space="0" w:color="auto"/>
              <w:bottom w:val="single" w:sz="4" w:space="0" w:color="auto"/>
              <w:right w:val="single" w:sz="4" w:space="0" w:color="auto"/>
            </w:tcBorders>
            <w:shd w:val="clear" w:color="auto" w:fill="auto"/>
            <w:hideMark/>
          </w:tcPr>
          <w:p w14:paraId="0BDD9D8A"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Alemtuzumab</w:t>
            </w:r>
          </w:p>
        </w:tc>
        <w:tc>
          <w:tcPr>
            <w:tcW w:w="1134" w:type="dxa"/>
            <w:tcBorders>
              <w:top w:val="nil"/>
              <w:left w:val="nil"/>
              <w:bottom w:val="single" w:sz="4" w:space="0" w:color="auto"/>
              <w:right w:val="single" w:sz="4" w:space="0" w:color="auto"/>
            </w:tcBorders>
            <w:shd w:val="clear" w:color="auto" w:fill="auto"/>
            <w:hideMark/>
          </w:tcPr>
          <w:p w14:paraId="4FF1625E"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Lemtrada</w:t>
            </w:r>
          </w:p>
        </w:tc>
        <w:tc>
          <w:tcPr>
            <w:tcW w:w="992" w:type="dxa"/>
            <w:tcBorders>
              <w:top w:val="nil"/>
              <w:left w:val="nil"/>
              <w:bottom w:val="single" w:sz="4" w:space="0" w:color="auto"/>
              <w:right w:val="single" w:sz="4" w:space="0" w:color="auto"/>
            </w:tcBorders>
            <w:shd w:val="clear" w:color="auto" w:fill="auto"/>
            <w:hideMark/>
          </w:tcPr>
          <w:p w14:paraId="7A578291"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L01XC04</w:t>
            </w:r>
          </w:p>
        </w:tc>
        <w:tc>
          <w:tcPr>
            <w:tcW w:w="851" w:type="dxa"/>
            <w:tcBorders>
              <w:top w:val="nil"/>
              <w:left w:val="nil"/>
              <w:bottom w:val="single" w:sz="4" w:space="0" w:color="auto"/>
              <w:right w:val="single" w:sz="4" w:space="0" w:color="auto"/>
            </w:tcBorders>
            <w:shd w:val="clear" w:color="auto" w:fill="auto"/>
            <w:hideMark/>
          </w:tcPr>
          <w:p w14:paraId="0A38ED64"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10232M</w:t>
            </w:r>
          </w:p>
        </w:tc>
        <w:tc>
          <w:tcPr>
            <w:tcW w:w="1134" w:type="dxa"/>
            <w:tcBorders>
              <w:top w:val="nil"/>
              <w:left w:val="nil"/>
              <w:bottom w:val="single" w:sz="4" w:space="0" w:color="auto"/>
              <w:right w:val="single" w:sz="4" w:space="0" w:color="auto"/>
            </w:tcBorders>
            <w:shd w:val="clear" w:color="auto" w:fill="auto"/>
            <w:hideMark/>
          </w:tcPr>
          <w:p w14:paraId="44F7BA6B" w14:textId="09A09B03"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Pr="0019026B">
              <w:rPr>
                <w:rFonts w:ascii="Calibri" w:eastAsia="Times New Roman" w:hAnsi="Calibri" w:cs="Times New Roman"/>
                <w:sz w:val="18"/>
                <w:szCs w:val="18"/>
              </w:rPr>
              <w:t xml:space="preserve"> </w:t>
            </w:r>
            <w:r w:rsidRPr="00D36536">
              <w:rPr>
                <w:rFonts w:ascii="Calibri" w:eastAsia="Times New Roman" w:hAnsi="Calibri" w:cs="Times New Roman"/>
                <w:sz w:val="18"/>
                <w:szCs w:val="18"/>
              </w:rPr>
              <w:t>Apr</w:t>
            </w:r>
            <w:r w:rsidRPr="0019026B">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5245" w:type="dxa"/>
            <w:tcBorders>
              <w:top w:val="nil"/>
              <w:left w:val="nil"/>
              <w:bottom w:val="single" w:sz="4" w:space="0" w:color="auto"/>
              <w:right w:val="single" w:sz="4" w:space="0" w:color="auto"/>
            </w:tcBorders>
            <w:shd w:val="clear" w:color="auto" w:fill="auto"/>
            <w:hideMark/>
          </w:tcPr>
          <w:p w14:paraId="6EB77156" w14:textId="77777777" w:rsidR="00511CE1" w:rsidRPr="00D36536" w:rsidRDefault="00511CE1"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concentrate for I.V. infusion 12 mg in 1.2 mL</w:t>
            </w:r>
          </w:p>
        </w:tc>
        <w:tc>
          <w:tcPr>
            <w:tcW w:w="567" w:type="dxa"/>
            <w:tcBorders>
              <w:top w:val="nil"/>
              <w:left w:val="nil"/>
              <w:bottom w:val="single" w:sz="4" w:space="0" w:color="auto"/>
              <w:right w:val="single" w:sz="4" w:space="0" w:color="auto"/>
            </w:tcBorders>
            <w:shd w:val="clear" w:color="auto" w:fill="auto"/>
            <w:hideMark/>
          </w:tcPr>
          <w:p w14:paraId="0E83E19D"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p>
        </w:tc>
        <w:tc>
          <w:tcPr>
            <w:tcW w:w="567" w:type="dxa"/>
            <w:tcBorders>
              <w:top w:val="nil"/>
              <w:left w:val="nil"/>
              <w:bottom w:val="single" w:sz="4" w:space="0" w:color="auto"/>
              <w:right w:val="single" w:sz="4" w:space="0" w:color="auto"/>
            </w:tcBorders>
            <w:shd w:val="clear" w:color="auto" w:fill="auto"/>
            <w:hideMark/>
          </w:tcPr>
          <w:p w14:paraId="7472F0C4"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3</w:t>
            </w:r>
          </w:p>
        </w:tc>
        <w:tc>
          <w:tcPr>
            <w:tcW w:w="567" w:type="dxa"/>
            <w:tcBorders>
              <w:top w:val="nil"/>
              <w:left w:val="nil"/>
              <w:bottom w:val="single" w:sz="4" w:space="0" w:color="auto"/>
              <w:right w:val="single" w:sz="4" w:space="0" w:color="auto"/>
            </w:tcBorders>
            <w:shd w:val="clear" w:color="auto" w:fill="auto"/>
            <w:hideMark/>
          </w:tcPr>
          <w:p w14:paraId="788B79E6"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0</w:t>
            </w:r>
          </w:p>
        </w:tc>
        <w:tc>
          <w:tcPr>
            <w:tcW w:w="1134" w:type="dxa"/>
            <w:tcBorders>
              <w:top w:val="nil"/>
              <w:left w:val="nil"/>
              <w:bottom w:val="single" w:sz="4" w:space="0" w:color="auto"/>
              <w:right w:val="single" w:sz="4" w:space="0" w:color="auto"/>
            </w:tcBorders>
            <w:shd w:val="clear" w:color="auto" w:fill="auto"/>
            <w:hideMark/>
          </w:tcPr>
          <w:p w14:paraId="19D05F93" w14:textId="77777777" w:rsidR="00511CE1" w:rsidRPr="00D36536" w:rsidRDefault="00511CE1"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$34,182.00</w:t>
            </w:r>
          </w:p>
        </w:tc>
      </w:tr>
      <w:tr w:rsidR="00511CE1" w:rsidRPr="006E2AC1" w14:paraId="699A2EAE" w14:textId="77777777" w:rsidTr="00DB68DC">
        <w:trPr>
          <w:trHeight w:val="240"/>
        </w:trPr>
        <w:tc>
          <w:tcPr>
            <w:tcW w:w="1858" w:type="dxa"/>
            <w:tcBorders>
              <w:top w:val="nil"/>
              <w:left w:val="single" w:sz="4" w:space="0" w:color="auto"/>
              <w:bottom w:val="single" w:sz="4" w:space="0" w:color="auto"/>
              <w:right w:val="single" w:sz="4" w:space="0" w:color="auto"/>
            </w:tcBorders>
            <w:shd w:val="clear" w:color="auto" w:fill="auto"/>
            <w:hideMark/>
          </w:tcPr>
          <w:p w14:paraId="191D3E50"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Alemtuzumab</w:t>
            </w:r>
          </w:p>
        </w:tc>
        <w:tc>
          <w:tcPr>
            <w:tcW w:w="1134" w:type="dxa"/>
            <w:tcBorders>
              <w:top w:val="nil"/>
              <w:left w:val="nil"/>
              <w:bottom w:val="single" w:sz="4" w:space="0" w:color="auto"/>
              <w:right w:val="single" w:sz="4" w:space="0" w:color="auto"/>
            </w:tcBorders>
            <w:shd w:val="clear" w:color="auto" w:fill="auto"/>
            <w:hideMark/>
          </w:tcPr>
          <w:p w14:paraId="11EC3199"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Lemtrada</w:t>
            </w:r>
          </w:p>
        </w:tc>
        <w:tc>
          <w:tcPr>
            <w:tcW w:w="992" w:type="dxa"/>
            <w:tcBorders>
              <w:top w:val="nil"/>
              <w:left w:val="nil"/>
              <w:bottom w:val="single" w:sz="4" w:space="0" w:color="auto"/>
              <w:right w:val="single" w:sz="4" w:space="0" w:color="auto"/>
            </w:tcBorders>
            <w:shd w:val="clear" w:color="auto" w:fill="auto"/>
            <w:hideMark/>
          </w:tcPr>
          <w:p w14:paraId="2D376657"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L01XC04</w:t>
            </w:r>
          </w:p>
        </w:tc>
        <w:tc>
          <w:tcPr>
            <w:tcW w:w="851" w:type="dxa"/>
            <w:tcBorders>
              <w:top w:val="nil"/>
              <w:left w:val="nil"/>
              <w:bottom w:val="single" w:sz="4" w:space="0" w:color="auto"/>
              <w:right w:val="single" w:sz="4" w:space="0" w:color="auto"/>
            </w:tcBorders>
            <w:shd w:val="clear" w:color="auto" w:fill="auto"/>
            <w:hideMark/>
          </w:tcPr>
          <w:p w14:paraId="415DF471"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10243D</w:t>
            </w:r>
          </w:p>
        </w:tc>
        <w:tc>
          <w:tcPr>
            <w:tcW w:w="1134" w:type="dxa"/>
            <w:tcBorders>
              <w:top w:val="nil"/>
              <w:left w:val="nil"/>
              <w:bottom w:val="single" w:sz="4" w:space="0" w:color="auto"/>
              <w:right w:val="single" w:sz="4" w:space="0" w:color="auto"/>
            </w:tcBorders>
            <w:shd w:val="clear" w:color="auto" w:fill="auto"/>
            <w:hideMark/>
          </w:tcPr>
          <w:p w14:paraId="4C776EEA" w14:textId="57351B16"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Apr</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5245" w:type="dxa"/>
            <w:tcBorders>
              <w:top w:val="nil"/>
              <w:left w:val="nil"/>
              <w:bottom w:val="single" w:sz="4" w:space="0" w:color="auto"/>
              <w:right w:val="single" w:sz="4" w:space="0" w:color="auto"/>
            </w:tcBorders>
            <w:shd w:val="clear" w:color="auto" w:fill="auto"/>
            <w:hideMark/>
          </w:tcPr>
          <w:p w14:paraId="1CE6D503"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concentrate for I.V. infusion 12 mg in 1.2 mL</w:t>
            </w:r>
          </w:p>
        </w:tc>
        <w:tc>
          <w:tcPr>
            <w:tcW w:w="567" w:type="dxa"/>
            <w:tcBorders>
              <w:top w:val="nil"/>
              <w:left w:val="nil"/>
              <w:bottom w:val="single" w:sz="4" w:space="0" w:color="auto"/>
              <w:right w:val="single" w:sz="4" w:space="0" w:color="auto"/>
            </w:tcBorders>
            <w:shd w:val="clear" w:color="auto" w:fill="auto"/>
            <w:hideMark/>
          </w:tcPr>
          <w:p w14:paraId="5E868AF0"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p>
        </w:tc>
        <w:tc>
          <w:tcPr>
            <w:tcW w:w="567" w:type="dxa"/>
            <w:tcBorders>
              <w:top w:val="nil"/>
              <w:left w:val="nil"/>
              <w:bottom w:val="single" w:sz="4" w:space="0" w:color="auto"/>
              <w:right w:val="single" w:sz="4" w:space="0" w:color="auto"/>
            </w:tcBorders>
            <w:shd w:val="clear" w:color="auto" w:fill="auto"/>
            <w:hideMark/>
          </w:tcPr>
          <w:p w14:paraId="6A8CF187"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w:t>
            </w:r>
          </w:p>
        </w:tc>
        <w:tc>
          <w:tcPr>
            <w:tcW w:w="567" w:type="dxa"/>
            <w:tcBorders>
              <w:top w:val="nil"/>
              <w:left w:val="nil"/>
              <w:bottom w:val="single" w:sz="4" w:space="0" w:color="auto"/>
              <w:right w:val="single" w:sz="4" w:space="0" w:color="auto"/>
            </w:tcBorders>
            <w:shd w:val="clear" w:color="auto" w:fill="auto"/>
            <w:hideMark/>
          </w:tcPr>
          <w:p w14:paraId="3C1AA7CD"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0</w:t>
            </w:r>
          </w:p>
        </w:tc>
        <w:tc>
          <w:tcPr>
            <w:tcW w:w="1134" w:type="dxa"/>
            <w:tcBorders>
              <w:top w:val="nil"/>
              <w:left w:val="nil"/>
              <w:bottom w:val="single" w:sz="4" w:space="0" w:color="auto"/>
              <w:right w:val="single" w:sz="4" w:space="0" w:color="auto"/>
            </w:tcBorders>
            <w:shd w:val="clear" w:color="auto" w:fill="auto"/>
            <w:hideMark/>
          </w:tcPr>
          <w:p w14:paraId="65A4428E"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$57,016.76</w:t>
            </w:r>
          </w:p>
        </w:tc>
      </w:tr>
      <w:tr w:rsidR="00511CE1" w:rsidRPr="006E2AC1" w14:paraId="4B4BF3A4" w14:textId="77777777" w:rsidTr="00DB68DC">
        <w:trPr>
          <w:trHeight w:val="281"/>
        </w:trPr>
        <w:tc>
          <w:tcPr>
            <w:tcW w:w="1858" w:type="dxa"/>
            <w:tcBorders>
              <w:top w:val="nil"/>
              <w:left w:val="single" w:sz="4" w:space="0" w:color="auto"/>
              <w:bottom w:val="single" w:sz="4" w:space="0" w:color="auto"/>
              <w:right w:val="single" w:sz="4" w:space="0" w:color="auto"/>
            </w:tcBorders>
            <w:shd w:val="clear" w:color="auto" w:fill="auto"/>
            <w:hideMark/>
          </w:tcPr>
          <w:p w14:paraId="5AFDB508"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Alemtuzumab</w:t>
            </w:r>
          </w:p>
        </w:tc>
        <w:tc>
          <w:tcPr>
            <w:tcW w:w="1134" w:type="dxa"/>
            <w:tcBorders>
              <w:top w:val="nil"/>
              <w:left w:val="nil"/>
              <w:bottom w:val="single" w:sz="4" w:space="0" w:color="auto"/>
              <w:right w:val="single" w:sz="4" w:space="0" w:color="auto"/>
            </w:tcBorders>
            <w:shd w:val="clear" w:color="auto" w:fill="auto"/>
            <w:hideMark/>
          </w:tcPr>
          <w:p w14:paraId="5216DC5B"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Lemtrada</w:t>
            </w:r>
          </w:p>
        </w:tc>
        <w:tc>
          <w:tcPr>
            <w:tcW w:w="992" w:type="dxa"/>
            <w:tcBorders>
              <w:top w:val="nil"/>
              <w:left w:val="nil"/>
              <w:bottom w:val="single" w:sz="4" w:space="0" w:color="auto"/>
              <w:right w:val="single" w:sz="4" w:space="0" w:color="auto"/>
            </w:tcBorders>
            <w:shd w:val="clear" w:color="auto" w:fill="auto"/>
            <w:hideMark/>
          </w:tcPr>
          <w:p w14:paraId="521070D7"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L01XC04</w:t>
            </w:r>
          </w:p>
        </w:tc>
        <w:tc>
          <w:tcPr>
            <w:tcW w:w="851" w:type="dxa"/>
            <w:tcBorders>
              <w:top w:val="nil"/>
              <w:left w:val="nil"/>
              <w:bottom w:val="single" w:sz="4" w:space="0" w:color="auto"/>
              <w:right w:val="single" w:sz="4" w:space="0" w:color="auto"/>
            </w:tcBorders>
            <w:shd w:val="clear" w:color="auto" w:fill="auto"/>
            <w:hideMark/>
          </w:tcPr>
          <w:p w14:paraId="5BC5C384"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10246G</w:t>
            </w:r>
          </w:p>
        </w:tc>
        <w:tc>
          <w:tcPr>
            <w:tcW w:w="1134" w:type="dxa"/>
            <w:tcBorders>
              <w:top w:val="nil"/>
              <w:left w:val="nil"/>
              <w:bottom w:val="single" w:sz="4" w:space="0" w:color="auto"/>
              <w:right w:val="single" w:sz="4" w:space="0" w:color="auto"/>
            </w:tcBorders>
            <w:shd w:val="clear" w:color="auto" w:fill="auto"/>
            <w:hideMark/>
          </w:tcPr>
          <w:p w14:paraId="4CEA8FDF" w14:textId="7D554228"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Apr</w:t>
            </w:r>
            <w:r w:rsidR="00511CE1">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5245" w:type="dxa"/>
            <w:tcBorders>
              <w:top w:val="nil"/>
              <w:left w:val="nil"/>
              <w:bottom w:val="single" w:sz="4" w:space="0" w:color="auto"/>
              <w:right w:val="single" w:sz="4" w:space="0" w:color="auto"/>
            </w:tcBorders>
            <w:shd w:val="clear" w:color="auto" w:fill="auto"/>
            <w:hideMark/>
          </w:tcPr>
          <w:p w14:paraId="5D9E2D96" w14:textId="77777777" w:rsidR="00D36536" w:rsidRPr="00D36536" w:rsidRDefault="00D36536" w:rsidP="00D36536">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concentrate for I.V. infusion 12 mg in 1.2 mL</w:t>
            </w:r>
          </w:p>
        </w:tc>
        <w:tc>
          <w:tcPr>
            <w:tcW w:w="567" w:type="dxa"/>
            <w:tcBorders>
              <w:top w:val="nil"/>
              <w:left w:val="nil"/>
              <w:bottom w:val="single" w:sz="4" w:space="0" w:color="auto"/>
              <w:right w:val="single" w:sz="4" w:space="0" w:color="auto"/>
            </w:tcBorders>
            <w:shd w:val="clear" w:color="auto" w:fill="auto"/>
            <w:hideMark/>
          </w:tcPr>
          <w:p w14:paraId="1847A996"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p>
        </w:tc>
        <w:tc>
          <w:tcPr>
            <w:tcW w:w="567" w:type="dxa"/>
            <w:tcBorders>
              <w:top w:val="nil"/>
              <w:left w:val="nil"/>
              <w:bottom w:val="single" w:sz="4" w:space="0" w:color="auto"/>
              <w:right w:val="single" w:sz="4" w:space="0" w:color="auto"/>
            </w:tcBorders>
            <w:shd w:val="clear" w:color="auto" w:fill="auto"/>
            <w:hideMark/>
          </w:tcPr>
          <w:p w14:paraId="1041AE05"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3</w:t>
            </w:r>
          </w:p>
        </w:tc>
        <w:tc>
          <w:tcPr>
            <w:tcW w:w="567" w:type="dxa"/>
            <w:tcBorders>
              <w:top w:val="nil"/>
              <w:left w:val="nil"/>
              <w:bottom w:val="single" w:sz="4" w:space="0" w:color="auto"/>
              <w:right w:val="single" w:sz="4" w:space="0" w:color="auto"/>
            </w:tcBorders>
            <w:shd w:val="clear" w:color="auto" w:fill="auto"/>
            <w:hideMark/>
          </w:tcPr>
          <w:p w14:paraId="42BDB714"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0</w:t>
            </w:r>
          </w:p>
        </w:tc>
        <w:tc>
          <w:tcPr>
            <w:tcW w:w="1134" w:type="dxa"/>
            <w:tcBorders>
              <w:top w:val="nil"/>
              <w:left w:val="nil"/>
              <w:bottom w:val="single" w:sz="4" w:space="0" w:color="auto"/>
              <w:right w:val="single" w:sz="4" w:space="0" w:color="auto"/>
            </w:tcBorders>
            <w:shd w:val="clear" w:color="auto" w:fill="auto"/>
            <w:hideMark/>
          </w:tcPr>
          <w:p w14:paraId="03255C20" w14:textId="77777777" w:rsidR="00D36536" w:rsidRPr="00D36536" w:rsidRDefault="00D36536" w:rsidP="00D36536">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$34,228.75</w:t>
            </w:r>
          </w:p>
        </w:tc>
      </w:tr>
    </w:tbl>
    <w:p w14:paraId="3491F3E6" w14:textId="77777777" w:rsidR="000E479D" w:rsidRDefault="000E479D" w:rsidP="005C5EA3">
      <w:pPr>
        <w:spacing w:line="276" w:lineRule="auto"/>
        <w:sectPr w:rsidR="000E479D" w:rsidSect="00A065FE">
          <w:pgSz w:w="16838" w:h="11906" w:orient="landscape"/>
          <w:pgMar w:top="1588" w:right="1644" w:bottom="1361" w:left="1644" w:header="709" w:footer="709" w:gutter="0"/>
          <w:cols w:space="708"/>
          <w:docGrid w:linePitch="360"/>
        </w:sectPr>
      </w:pPr>
    </w:p>
    <w:p w14:paraId="74194E87" w14:textId="57E2FC17" w:rsidR="00F456CE" w:rsidRPr="0074153D" w:rsidRDefault="00F456CE" w:rsidP="00F456CE">
      <w:pPr>
        <w:rPr>
          <w:rFonts w:cstheme="minorHAnsi"/>
          <w:b/>
        </w:rPr>
      </w:pPr>
      <w:r w:rsidRPr="00BB60B5">
        <w:rPr>
          <w:rFonts w:cstheme="minorHAnsi"/>
          <w:b/>
        </w:rPr>
        <w:lastRenderedPageBreak/>
        <w:t xml:space="preserve">Appendix </w:t>
      </w:r>
      <w:r w:rsidR="00AC4095">
        <w:rPr>
          <w:rFonts w:cstheme="minorHAnsi"/>
          <w:b/>
        </w:rPr>
        <w:t>C</w:t>
      </w:r>
      <w:r w:rsidRPr="00BB60B5">
        <w:rPr>
          <w:rFonts w:cstheme="minorHAnsi"/>
          <w:b/>
        </w:rPr>
        <w:t xml:space="preserve"> – </w:t>
      </w:r>
      <w:r>
        <w:rPr>
          <w:rFonts w:cstheme="minorHAnsi"/>
          <w:b/>
        </w:rPr>
        <w:t>Therapeutic Goods Administration (TGA) approved indications</w:t>
      </w:r>
    </w:p>
    <w:tbl>
      <w:tblPr>
        <w:tblStyle w:val="TableGrid"/>
        <w:tblW w:w="0" w:type="auto"/>
        <w:tblLook w:val="04A0" w:firstRow="1" w:lastRow="0" w:firstColumn="1" w:lastColumn="0" w:noHBand="0" w:noVBand="1"/>
      </w:tblPr>
      <w:tblGrid>
        <w:gridCol w:w="2376"/>
        <w:gridCol w:w="1418"/>
        <w:gridCol w:w="5379"/>
      </w:tblGrid>
      <w:tr w:rsidR="004F3F72" w14:paraId="17ED6052" w14:textId="77777777" w:rsidTr="001D6639">
        <w:trPr>
          <w:tblHeader/>
        </w:trPr>
        <w:tc>
          <w:tcPr>
            <w:tcW w:w="2376" w:type="dxa"/>
            <w:shd w:val="clear" w:color="auto" w:fill="D9D9D9" w:themeFill="background1" w:themeFillShade="D9"/>
          </w:tcPr>
          <w:p w14:paraId="7E29A86B" w14:textId="77777777" w:rsidR="004F3F72" w:rsidRPr="00CC7155" w:rsidRDefault="004F3F72" w:rsidP="001D6639">
            <w:pPr>
              <w:rPr>
                <w:rFonts w:cs="Arial"/>
                <w:b/>
                <w:sz w:val="20"/>
                <w:szCs w:val="20"/>
              </w:rPr>
            </w:pPr>
            <w:r w:rsidRPr="00CC7155">
              <w:rPr>
                <w:rFonts w:cs="Arial"/>
                <w:b/>
                <w:sz w:val="20"/>
                <w:szCs w:val="20"/>
              </w:rPr>
              <w:t>Drug</w:t>
            </w:r>
          </w:p>
        </w:tc>
        <w:tc>
          <w:tcPr>
            <w:tcW w:w="1418" w:type="dxa"/>
            <w:shd w:val="clear" w:color="auto" w:fill="D9D9D9" w:themeFill="background1" w:themeFillShade="D9"/>
          </w:tcPr>
          <w:p w14:paraId="1F2F10A0" w14:textId="77777777" w:rsidR="004F3F72" w:rsidRPr="00CC7155" w:rsidRDefault="004F3F72" w:rsidP="001D6639">
            <w:pPr>
              <w:rPr>
                <w:rFonts w:cs="Arial"/>
                <w:b/>
                <w:sz w:val="20"/>
                <w:szCs w:val="20"/>
              </w:rPr>
            </w:pPr>
            <w:r w:rsidRPr="00CC7155">
              <w:rPr>
                <w:rFonts w:cs="Arial"/>
                <w:b/>
                <w:sz w:val="20"/>
                <w:szCs w:val="20"/>
              </w:rPr>
              <w:t>Date of registration</w:t>
            </w:r>
          </w:p>
        </w:tc>
        <w:tc>
          <w:tcPr>
            <w:tcW w:w="5379" w:type="dxa"/>
            <w:shd w:val="clear" w:color="auto" w:fill="D9D9D9" w:themeFill="background1" w:themeFillShade="D9"/>
          </w:tcPr>
          <w:p w14:paraId="6B9D986C" w14:textId="77777777" w:rsidR="004F3F72" w:rsidRPr="00CC7155" w:rsidRDefault="004F3F72" w:rsidP="001D6639">
            <w:pPr>
              <w:rPr>
                <w:rFonts w:cs="Arial"/>
                <w:b/>
                <w:sz w:val="20"/>
                <w:szCs w:val="20"/>
              </w:rPr>
            </w:pPr>
            <w:r w:rsidRPr="00CC7155">
              <w:rPr>
                <w:rFonts w:cs="Arial"/>
                <w:b/>
                <w:sz w:val="20"/>
                <w:szCs w:val="20"/>
              </w:rPr>
              <w:t>Approved indication</w:t>
            </w:r>
          </w:p>
        </w:tc>
      </w:tr>
      <w:tr w:rsidR="004F3F72" w14:paraId="5E13E514" w14:textId="77777777" w:rsidTr="001D6639">
        <w:tc>
          <w:tcPr>
            <w:tcW w:w="2376" w:type="dxa"/>
          </w:tcPr>
          <w:p w14:paraId="0894F1A6" w14:textId="77777777" w:rsidR="004F3F72" w:rsidRPr="00CC7155" w:rsidRDefault="004F3F72" w:rsidP="001D6639">
            <w:pPr>
              <w:rPr>
                <w:rFonts w:cs="Arial"/>
                <w:sz w:val="20"/>
                <w:szCs w:val="20"/>
              </w:rPr>
            </w:pPr>
            <w:r w:rsidRPr="00CC7155">
              <w:rPr>
                <w:sz w:val="20"/>
                <w:szCs w:val="20"/>
              </w:rPr>
              <w:t>Alemtuzumab</w:t>
            </w:r>
            <w:r>
              <w:rPr>
                <w:sz w:val="20"/>
                <w:szCs w:val="20"/>
              </w:rPr>
              <w:t xml:space="preserve"> (Lemtrada)</w:t>
            </w:r>
          </w:p>
        </w:tc>
        <w:tc>
          <w:tcPr>
            <w:tcW w:w="1418" w:type="dxa"/>
          </w:tcPr>
          <w:p w14:paraId="55072833" w14:textId="77777777" w:rsidR="004F3F72" w:rsidRPr="00CC7155" w:rsidRDefault="004F3F72" w:rsidP="001D6639">
            <w:pPr>
              <w:rPr>
                <w:rFonts w:cs="Arial"/>
                <w:sz w:val="20"/>
                <w:szCs w:val="20"/>
              </w:rPr>
            </w:pPr>
            <w:r w:rsidRPr="00CC7155">
              <w:rPr>
                <w:rFonts w:cs="Arial"/>
                <w:sz w:val="20"/>
                <w:szCs w:val="20"/>
              </w:rPr>
              <w:t>18 Dec 2013</w:t>
            </w:r>
          </w:p>
        </w:tc>
        <w:tc>
          <w:tcPr>
            <w:tcW w:w="5379" w:type="dxa"/>
          </w:tcPr>
          <w:p w14:paraId="0E9DFD87" w14:textId="77777777" w:rsidR="004F3F72" w:rsidRPr="00CC7155" w:rsidRDefault="004F3F72" w:rsidP="001D6639">
            <w:pPr>
              <w:autoSpaceDE w:val="0"/>
              <w:autoSpaceDN w:val="0"/>
              <w:adjustRightInd w:val="0"/>
              <w:rPr>
                <w:rFonts w:cs="Arial"/>
                <w:sz w:val="20"/>
                <w:szCs w:val="20"/>
              </w:rPr>
            </w:pPr>
            <w:r>
              <w:rPr>
                <w:rFonts w:cs="Arial"/>
                <w:sz w:val="20"/>
                <w:szCs w:val="20"/>
              </w:rPr>
              <w:t>Alemtuzumab</w:t>
            </w:r>
            <w:r w:rsidRPr="00CC7155">
              <w:rPr>
                <w:rFonts w:cs="Arial"/>
                <w:sz w:val="20"/>
                <w:szCs w:val="20"/>
              </w:rPr>
              <w:t xml:space="preserve"> is indicated for the treatment of relapsing forms of multiple sclerosis (MS) for patients with active disease</w:t>
            </w:r>
            <w:r>
              <w:rPr>
                <w:rFonts w:cs="Arial"/>
                <w:sz w:val="20"/>
                <w:szCs w:val="20"/>
              </w:rPr>
              <w:t xml:space="preserve"> defined by clinical or imaging </w:t>
            </w:r>
            <w:r w:rsidRPr="00CC7155">
              <w:rPr>
                <w:rFonts w:cs="Arial"/>
                <w:sz w:val="20"/>
                <w:szCs w:val="20"/>
              </w:rPr>
              <w:t>features to slow the accumulation of physical disability and reduce the frequency of clinical relapses.</w:t>
            </w:r>
          </w:p>
        </w:tc>
      </w:tr>
      <w:tr w:rsidR="004F3F72" w14:paraId="45160B11" w14:textId="77777777" w:rsidTr="001D6639">
        <w:tc>
          <w:tcPr>
            <w:tcW w:w="2376" w:type="dxa"/>
          </w:tcPr>
          <w:p w14:paraId="3C482395" w14:textId="77777777" w:rsidR="004F3F72" w:rsidRPr="00CC7155" w:rsidRDefault="004F3F72" w:rsidP="001D6639">
            <w:pPr>
              <w:rPr>
                <w:rFonts w:cs="Arial"/>
                <w:sz w:val="20"/>
                <w:szCs w:val="20"/>
              </w:rPr>
            </w:pPr>
            <w:r w:rsidRPr="00CC7155">
              <w:rPr>
                <w:sz w:val="20"/>
                <w:szCs w:val="20"/>
              </w:rPr>
              <w:t>Dimethyl fumarate</w:t>
            </w:r>
            <w:r>
              <w:rPr>
                <w:sz w:val="20"/>
                <w:szCs w:val="20"/>
              </w:rPr>
              <w:t xml:space="preserve"> (Tecfidera)</w:t>
            </w:r>
          </w:p>
        </w:tc>
        <w:tc>
          <w:tcPr>
            <w:tcW w:w="1418" w:type="dxa"/>
          </w:tcPr>
          <w:p w14:paraId="3689D383" w14:textId="77777777" w:rsidR="004F3F72" w:rsidRPr="00CC7155" w:rsidRDefault="004F3F72" w:rsidP="001D6639">
            <w:pPr>
              <w:rPr>
                <w:rFonts w:cs="Arial"/>
                <w:sz w:val="20"/>
                <w:szCs w:val="20"/>
              </w:rPr>
            </w:pPr>
            <w:r w:rsidRPr="00CC7155">
              <w:rPr>
                <w:rFonts w:cs="Arial"/>
                <w:sz w:val="20"/>
                <w:szCs w:val="20"/>
              </w:rPr>
              <w:t>11 Jul 2013</w:t>
            </w:r>
          </w:p>
        </w:tc>
        <w:tc>
          <w:tcPr>
            <w:tcW w:w="5379" w:type="dxa"/>
          </w:tcPr>
          <w:p w14:paraId="60840DE6" w14:textId="77777777" w:rsidR="004F3F72" w:rsidRPr="00CC7155" w:rsidRDefault="004F3F72" w:rsidP="001D6639">
            <w:pPr>
              <w:rPr>
                <w:rFonts w:cs="Arial"/>
                <w:sz w:val="20"/>
                <w:szCs w:val="20"/>
              </w:rPr>
            </w:pPr>
            <w:r>
              <w:rPr>
                <w:rFonts w:cs="Arial"/>
                <w:sz w:val="20"/>
                <w:szCs w:val="20"/>
              </w:rPr>
              <w:t>Dimethyl fumarate</w:t>
            </w:r>
            <w:r w:rsidRPr="00CC7155">
              <w:rPr>
                <w:rFonts w:cs="Arial"/>
                <w:sz w:val="20"/>
                <w:szCs w:val="20"/>
              </w:rPr>
              <w:t xml:space="preserve"> is indicated in patients with relapsing multiple sclerosis to reduce the frequency of relapses and to delay the progression of disability</w:t>
            </w:r>
          </w:p>
        </w:tc>
      </w:tr>
      <w:tr w:rsidR="004F3F72" w14:paraId="43A6FA8A" w14:textId="77777777" w:rsidTr="001D6639">
        <w:tc>
          <w:tcPr>
            <w:tcW w:w="2376" w:type="dxa"/>
          </w:tcPr>
          <w:p w14:paraId="79B37532" w14:textId="77777777" w:rsidR="004F3F72" w:rsidRPr="00CC7155" w:rsidRDefault="004F3F72" w:rsidP="001D6639">
            <w:pPr>
              <w:rPr>
                <w:rFonts w:cs="Arial"/>
                <w:sz w:val="20"/>
                <w:szCs w:val="20"/>
              </w:rPr>
            </w:pPr>
            <w:r w:rsidRPr="00CC7155">
              <w:rPr>
                <w:sz w:val="20"/>
                <w:szCs w:val="20"/>
              </w:rPr>
              <w:t>Fingolimod</w:t>
            </w:r>
            <w:r>
              <w:rPr>
                <w:sz w:val="20"/>
                <w:szCs w:val="20"/>
              </w:rPr>
              <w:t xml:space="preserve"> (Gilenya)</w:t>
            </w:r>
          </w:p>
        </w:tc>
        <w:tc>
          <w:tcPr>
            <w:tcW w:w="1418" w:type="dxa"/>
          </w:tcPr>
          <w:p w14:paraId="74A40030" w14:textId="77777777" w:rsidR="004F3F72" w:rsidRPr="00CC7155" w:rsidRDefault="004F3F72" w:rsidP="001D6639">
            <w:pPr>
              <w:rPr>
                <w:rFonts w:cs="Arial"/>
                <w:sz w:val="20"/>
                <w:szCs w:val="20"/>
              </w:rPr>
            </w:pPr>
            <w:r w:rsidRPr="00CC7155">
              <w:rPr>
                <w:rFonts w:cs="Arial"/>
                <w:sz w:val="20"/>
                <w:szCs w:val="20"/>
              </w:rPr>
              <w:t>1 Feb 2011</w:t>
            </w:r>
          </w:p>
        </w:tc>
        <w:tc>
          <w:tcPr>
            <w:tcW w:w="5379" w:type="dxa"/>
          </w:tcPr>
          <w:p w14:paraId="52A82966" w14:textId="77777777" w:rsidR="004F3F72" w:rsidRPr="00CC7155" w:rsidRDefault="004F3F72" w:rsidP="001D6639">
            <w:pPr>
              <w:autoSpaceDE w:val="0"/>
              <w:autoSpaceDN w:val="0"/>
              <w:adjustRightInd w:val="0"/>
              <w:rPr>
                <w:rFonts w:cs="Arial"/>
                <w:sz w:val="20"/>
                <w:szCs w:val="20"/>
              </w:rPr>
            </w:pPr>
            <w:r>
              <w:rPr>
                <w:rFonts w:cs="Arial"/>
                <w:sz w:val="20"/>
                <w:szCs w:val="20"/>
              </w:rPr>
              <w:t>Fingolimod</w:t>
            </w:r>
            <w:r w:rsidRPr="00CC7155">
              <w:rPr>
                <w:rFonts w:cs="Arial"/>
                <w:sz w:val="20"/>
                <w:szCs w:val="20"/>
              </w:rPr>
              <w:t xml:space="preserve"> is indicated for the treatment of Relapsing Remitting Multiple Scle</w:t>
            </w:r>
            <w:r>
              <w:rPr>
                <w:rFonts w:cs="Arial"/>
                <w:sz w:val="20"/>
                <w:szCs w:val="20"/>
              </w:rPr>
              <w:t xml:space="preserve">rosis and Secondary Progressive </w:t>
            </w:r>
            <w:r w:rsidRPr="00CC7155">
              <w:rPr>
                <w:rFonts w:cs="Arial"/>
                <w:sz w:val="20"/>
                <w:szCs w:val="20"/>
              </w:rPr>
              <w:t>Multi</w:t>
            </w:r>
            <w:r>
              <w:rPr>
                <w:rFonts w:cs="Arial"/>
                <w:sz w:val="20"/>
                <w:szCs w:val="20"/>
              </w:rPr>
              <w:t xml:space="preserve">ple Sclerosis with superimposed </w:t>
            </w:r>
            <w:r w:rsidRPr="00CC7155">
              <w:rPr>
                <w:rFonts w:cs="Arial"/>
                <w:sz w:val="20"/>
                <w:szCs w:val="20"/>
              </w:rPr>
              <w:t>relapses to delay the progression of physical disability and reduce the frequency of relapse. Safety and efficacy of GILENYA beyond 2 years are</w:t>
            </w:r>
          </w:p>
          <w:p w14:paraId="1849008E" w14:textId="77777777" w:rsidR="004F3F72" w:rsidRPr="00CC7155" w:rsidRDefault="004F3F72" w:rsidP="001D6639">
            <w:pPr>
              <w:rPr>
                <w:rFonts w:cs="Arial"/>
                <w:sz w:val="20"/>
                <w:szCs w:val="20"/>
              </w:rPr>
            </w:pPr>
            <w:r w:rsidRPr="00CC7155">
              <w:rPr>
                <w:rFonts w:cs="Arial"/>
                <w:sz w:val="20"/>
                <w:szCs w:val="20"/>
              </w:rPr>
              <w:t>unknown.</w:t>
            </w:r>
          </w:p>
        </w:tc>
      </w:tr>
      <w:tr w:rsidR="004F3F72" w14:paraId="4644D32D" w14:textId="77777777" w:rsidTr="001D6639">
        <w:tc>
          <w:tcPr>
            <w:tcW w:w="2376" w:type="dxa"/>
          </w:tcPr>
          <w:p w14:paraId="77E64763" w14:textId="77777777" w:rsidR="004F3F72" w:rsidRPr="00CC7155" w:rsidRDefault="004F3F72" w:rsidP="001D6639">
            <w:pPr>
              <w:rPr>
                <w:rFonts w:cs="Arial"/>
                <w:sz w:val="20"/>
                <w:szCs w:val="20"/>
              </w:rPr>
            </w:pPr>
            <w:r w:rsidRPr="00CC7155">
              <w:rPr>
                <w:sz w:val="20"/>
                <w:szCs w:val="20"/>
              </w:rPr>
              <w:t>Glatiramer</w:t>
            </w:r>
            <w:r>
              <w:rPr>
                <w:sz w:val="20"/>
                <w:szCs w:val="20"/>
              </w:rPr>
              <w:t xml:space="preserve"> (Copaxone)</w:t>
            </w:r>
          </w:p>
        </w:tc>
        <w:tc>
          <w:tcPr>
            <w:tcW w:w="1418" w:type="dxa"/>
          </w:tcPr>
          <w:p w14:paraId="584D9733" w14:textId="77777777" w:rsidR="004F3F72" w:rsidRPr="00CC7155" w:rsidRDefault="004F3F72" w:rsidP="001D6639">
            <w:pPr>
              <w:rPr>
                <w:rFonts w:cs="Arial"/>
                <w:sz w:val="20"/>
                <w:szCs w:val="20"/>
              </w:rPr>
            </w:pPr>
            <w:r w:rsidRPr="00CC7155">
              <w:rPr>
                <w:rFonts w:cs="Arial"/>
                <w:sz w:val="20"/>
                <w:szCs w:val="20"/>
              </w:rPr>
              <w:t>17 Dec 2003</w:t>
            </w:r>
          </w:p>
        </w:tc>
        <w:tc>
          <w:tcPr>
            <w:tcW w:w="5379" w:type="dxa"/>
          </w:tcPr>
          <w:p w14:paraId="33AE717F" w14:textId="11E36E6C" w:rsidR="004F3F72" w:rsidRPr="00CC7155" w:rsidRDefault="004F3F72" w:rsidP="001D6639">
            <w:pPr>
              <w:autoSpaceDE w:val="0"/>
              <w:autoSpaceDN w:val="0"/>
              <w:adjustRightInd w:val="0"/>
              <w:rPr>
                <w:rFonts w:cs="Arial"/>
                <w:sz w:val="20"/>
                <w:szCs w:val="20"/>
              </w:rPr>
            </w:pPr>
            <w:r>
              <w:rPr>
                <w:rFonts w:cs="Arial"/>
                <w:sz w:val="20"/>
                <w:szCs w:val="20"/>
              </w:rPr>
              <w:t>Glatiramer</w:t>
            </w:r>
            <w:r w:rsidRPr="00CC7155">
              <w:rPr>
                <w:rFonts w:cs="Arial"/>
                <w:sz w:val="20"/>
                <w:szCs w:val="20"/>
              </w:rPr>
              <w:t xml:space="preserve"> is indicated for the reduction of the frequency of relapses in patients with Relapsing Remitting Multiple </w:t>
            </w:r>
            <w:r w:rsidR="008745C3" w:rsidRPr="00CC7155">
              <w:rPr>
                <w:rFonts w:cs="Arial"/>
                <w:sz w:val="20"/>
                <w:szCs w:val="20"/>
              </w:rPr>
              <w:t>Sclero</w:t>
            </w:r>
            <w:r w:rsidR="008745C3">
              <w:rPr>
                <w:rFonts w:cs="Arial"/>
                <w:sz w:val="20"/>
                <w:szCs w:val="20"/>
              </w:rPr>
              <w:t>sis. Reduction</w:t>
            </w:r>
            <w:r>
              <w:rPr>
                <w:rFonts w:cs="Arial"/>
                <w:sz w:val="20"/>
                <w:szCs w:val="20"/>
              </w:rPr>
              <w:t xml:space="preserve"> of the frequency </w:t>
            </w:r>
            <w:r w:rsidRPr="00CC7155">
              <w:rPr>
                <w:rFonts w:cs="Arial"/>
                <w:sz w:val="20"/>
                <w:szCs w:val="20"/>
              </w:rPr>
              <w:t>of relapses in patients with Relapsing Remitting Multiple Sclerosis. Treatment of patients with a single clinical event sugge</w:t>
            </w:r>
            <w:r>
              <w:rPr>
                <w:rFonts w:cs="Arial"/>
                <w:sz w:val="20"/>
                <w:szCs w:val="20"/>
              </w:rPr>
              <w:t xml:space="preserve">stive of multiple sclerosis and </w:t>
            </w:r>
            <w:r w:rsidRPr="00CC7155">
              <w:rPr>
                <w:rFonts w:cs="Arial"/>
                <w:sz w:val="20"/>
                <w:szCs w:val="20"/>
              </w:rPr>
              <w:t>at least two clinically silent MRI lesions characteristic of multiple sclerosis, if alternative diagnoses have been excluded.</w:t>
            </w:r>
          </w:p>
        </w:tc>
      </w:tr>
      <w:tr w:rsidR="004F3F72" w14:paraId="6F677777" w14:textId="77777777" w:rsidTr="001D6639">
        <w:tc>
          <w:tcPr>
            <w:tcW w:w="2376" w:type="dxa"/>
          </w:tcPr>
          <w:p w14:paraId="59664E79" w14:textId="77777777" w:rsidR="004F3F72" w:rsidRPr="00CC7155" w:rsidRDefault="004F3F72" w:rsidP="001D6639">
            <w:pPr>
              <w:rPr>
                <w:rFonts w:cs="Arial"/>
                <w:sz w:val="20"/>
                <w:szCs w:val="20"/>
              </w:rPr>
            </w:pPr>
            <w:r w:rsidRPr="00CC7155">
              <w:rPr>
                <w:sz w:val="20"/>
                <w:szCs w:val="20"/>
              </w:rPr>
              <w:t>Interferon beta-1a</w:t>
            </w:r>
            <w:r>
              <w:rPr>
                <w:sz w:val="20"/>
                <w:szCs w:val="20"/>
              </w:rPr>
              <w:t xml:space="preserve"> (Avonex, Rebif 44 )</w:t>
            </w:r>
          </w:p>
        </w:tc>
        <w:tc>
          <w:tcPr>
            <w:tcW w:w="1418" w:type="dxa"/>
          </w:tcPr>
          <w:p w14:paraId="44DD4BBA" w14:textId="77777777" w:rsidR="004F3F72" w:rsidRPr="00CC7155" w:rsidRDefault="004F3F72" w:rsidP="001D6639">
            <w:pPr>
              <w:rPr>
                <w:rFonts w:cs="Arial"/>
                <w:sz w:val="20"/>
                <w:szCs w:val="20"/>
              </w:rPr>
            </w:pPr>
            <w:r w:rsidRPr="00CC7155">
              <w:rPr>
                <w:rFonts w:cs="Arial"/>
                <w:sz w:val="20"/>
                <w:szCs w:val="20"/>
              </w:rPr>
              <w:t>31 Aug 2001</w:t>
            </w:r>
          </w:p>
        </w:tc>
        <w:tc>
          <w:tcPr>
            <w:tcW w:w="5379" w:type="dxa"/>
          </w:tcPr>
          <w:p w14:paraId="78AEFB41" w14:textId="77777777" w:rsidR="004F3F72" w:rsidRPr="00CC7155" w:rsidRDefault="004F3F72" w:rsidP="001D6639">
            <w:pPr>
              <w:autoSpaceDE w:val="0"/>
              <w:autoSpaceDN w:val="0"/>
              <w:adjustRightInd w:val="0"/>
              <w:rPr>
                <w:rFonts w:cs="Arial"/>
                <w:sz w:val="20"/>
                <w:szCs w:val="20"/>
              </w:rPr>
            </w:pPr>
            <w:r>
              <w:rPr>
                <w:rFonts w:cs="Arial"/>
                <w:sz w:val="20"/>
                <w:szCs w:val="20"/>
              </w:rPr>
              <w:t xml:space="preserve">Interferon beta-1a (Avonex): </w:t>
            </w:r>
            <w:r w:rsidRPr="00CC7155">
              <w:rPr>
                <w:rFonts w:cs="Arial"/>
                <w:sz w:val="20"/>
                <w:szCs w:val="20"/>
              </w:rPr>
              <w:t>For the treatment of relapsing forms of multiple sclerosis. Also for use in patients who have experienced a single demyelinating event and are at</w:t>
            </w:r>
          </w:p>
          <w:p w14:paraId="6BE9E0E6" w14:textId="77777777" w:rsidR="004F3F72" w:rsidRDefault="004F3F72" w:rsidP="001D6639">
            <w:pPr>
              <w:rPr>
                <w:rFonts w:cs="Arial"/>
                <w:sz w:val="20"/>
                <w:szCs w:val="20"/>
              </w:rPr>
            </w:pPr>
            <w:r w:rsidRPr="00CC7155">
              <w:rPr>
                <w:rFonts w:cs="Arial"/>
                <w:sz w:val="20"/>
                <w:szCs w:val="20"/>
              </w:rPr>
              <w:t>risk of developing clinically definite multiple sclerosis based on the presence of brain MRI abnormalities characteristic of MS.</w:t>
            </w:r>
          </w:p>
          <w:p w14:paraId="0665D42A" w14:textId="77777777" w:rsidR="004F3F72" w:rsidRDefault="004F3F72" w:rsidP="001D6639">
            <w:pPr>
              <w:rPr>
                <w:rFonts w:cs="Arial"/>
                <w:sz w:val="20"/>
                <w:szCs w:val="20"/>
              </w:rPr>
            </w:pPr>
          </w:p>
          <w:p w14:paraId="0B89056F" w14:textId="77777777" w:rsidR="004F3F72" w:rsidRPr="00CC7155" w:rsidRDefault="004F3F72" w:rsidP="001D6639">
            <w:pPr>
              <w:rPr>
                <w:rFonts w:cs="Arial"/>
                <w:sz w:val="20"/>
                <w:szCs w:val="20"/>
              </w:rPr>
            </w:pPr>
            <w:r>
              <w:rPr>
                <w:rFonts w:cs="Arial"/>
                <w:sz w:val="20"/>
                <w:szCs w:val="20"/>
              </w:rPr>
              <w:t>Interferon beta-1a (Rebif 44): Treatment of:</w:t>
            </w:r>
            <w:r w:rsidRPr="00CC7155">
              <w:rPr>
                <w:rFonts w:cs="Arial"/>
                <w:sz w:val="20"/>
                <w:szCs w:val="20"/>
              </w:rPr>
              <w:t xml:space="preserve"> Patients with a single demyelinating event in the central nervous system with an active inflammatory process, if </w:t>
            </w:r>
            <w:r>
              <w:rPr>
                <w:rFonts w:cs="Arial"/>
                <w:sz w:val="20"/>
                <w:szCs w:val="20"/>
              </w:rPr>
              <w:t xml:space="preserve">alternative diagnoses have been </w:t>
            </w:r>
            <w:r w:rsidRPr="00CC7155">
              <w:rPr>
                <w:rFonts w:cs="Arial"/>
                <w:sz w:val="20"/>
                <w:szCs w:val="20"/>
              </w:rPr>
              <w:t xml:space="preserve">excluded, and if they are determined to be at high risk of developing clinically definite multiple sclerosis. High risk can be </w:t>
            </w:r>
            <w:r>
              <w:rPr>
                <w:rFonts w:cs="Arial"/>
                <w:sz w:val="20"/>
                <w:szCs w:val="20"/>
              </w:rPr>
              <w:t xml:space="preserve">inferred from cerebral MRI with </w:t>
            </w:r>
            <w:r w:rsidRPr="00CC7155">
              <w:rPr>
                <w:rFonts w:cs="Arial"/>
                <w:sz w:val="20"/>
                <w:szCs w:val="20"/>
              </w:rPr>
              <w:t>2 or more lesion</w:t>
            </w:r>
            <w:r>
              <w:rPr>
                <w:rFonts w:cs="Arial"/>
                <w:sz w:val="20"/>
                <w:szCs w:val="20"/>
              </w:rPr>
              <w:t>s suggestive of demyelination;</w:t>
            </w:r>
            <w:r w:rsidRPr="00CC7155">
              <w:rPr>
                <w:rFonts w:cs="Arial"/>
                <w:sz w:val="20"/>
                <w:szCs w:val="20"/>
              </w:rPr>
              <w:t xml:space="preserve"> Ambulatory patients with multiple sclerosis who have experienced two or more relapses within the last 2</w:t>
            </w:r>
          </w:p>
          <w:p w14:paraId="22A23351" w14:textId="77777777" w:rsidR="004F3F72" w:rsidRDefault="004F3F72" w:rsidP="001D6639">
            <w:pPr>
              <w:autoSpaceDE w:val="0"/>
              <w:autoSpaceDN w:val="0"/>
              <w:adjustRightInd w:val="0"/>
              <w:rPr>
                <w:rFonts w:cs="Arial"/>
                <w:sz w:val="20"/>
                <w:szCs w:val="20"/>
              </w:rPr>
            </w:pPr>
            <w:r w:rsidRPr="00CC7155">
              <w:rPr>
                <w:rFonts w:cs="Arial"/>
                <w:sz w:val="20"/>
                <w:szCs w:val="20"/>
              </w:rPr>
              <w:t>years.</w:t>
            </w:r>
          </w:p>
          <w:p w14:paraId="4397628C" w14:textId="77777777" w:rsidR="004F3F72" w:rsidRPr="00CC7155" w:rsidRDefault="004F3F72" w:rsidP="001D6639">
            <w:pPr>
              <w:autoSpaceDE w:val="0"/>
              <w:autoSpaceDN w:val="0"/>
              <w:adjustRightInd w:val="0"/>
              <w:rPr>
                <w:rFonts w:cs="Arial"/>
                <w:sz w:val="20"/>
                <w:szCs w:val="20"/>
              </w:rPr>
            </w:pPr>
          </w:p>
          <w:p w14:paraId="21AC7093" w14:textId="77777777" w:rsidR="004F3F72" w:rsidRPr="00CC7155" w:rsidRDefault="004F3F72" w:rsidP="001D6639">
            <w:pPr>
              <w:rPr>
                <w:rFonts w:cs="Arial"/>
                <w:sz w:val="20"/>
                <w:szCs w:val="20"/>
              </w:rPr>
            </w:pPr>
            <w:r>
              <w:rPr>
                <w:rFonts w:cs="Arial"/>
                <w:sz w:val="20"/>
                <w:szCs w:val="20"/>
              </w:rPr>
              <w:t>Rebif 44</w:t>
            </w:r>
            <w:r w:rsidRPr="00CC7155">
              <w:rPr>
                <w:rFonts w:cs="Arial"/>
                <w:sz w:val="20"/>
                <w:szCs w:val="20"/>
              </w:rPr>
              <w:t xml:space="preserve"> therapy should not be initiated in secondary progressive MS patients who no longer experience </w:t>
            </w:r>
            <w:r>
              <w:rPr>
                <w:rFonts w:cs="Arial"/>
                <w:sz w:val="20"/>
                <w:szCs w:val="20"/>
              </w:rPr>
              <w:t>relapses.</w:t>
            </w:r>
          </w:p>
        </w:tc>
      </w:tr>
      <w:tr w:rsidR="004F3F72" w14:paraId="5B1D5CC4" w14:textId="77777777" w:rsidTr="001D6639">
        <w:tc>
          <w:tcPr>
            <w:tcW w:w="2376" w:type="dxa"/>
          </w:tcPr>
          <w:p w14:paraId="6F5EF5AE" w14:textId="77777777" w:rsidR="004F3F72" w:rsidRPr="00CC7155" w:rsidRDefault="004F3F72" w:rsidP="001D6639">
            <w:pPr>
              <w:rPr>
                <w:rFonts w:cs="Arial"/>
                <w:sz w:val="20"/>
                <w:szCs w:val="20"/>
              </w:rPr>
            </w:pPr>
            <w:r w:rsidRPr="00CC7155">
              <w:rPr>
                <w:sz w:val="20"/>
                <w:szCs w:val="20"/>
              </w:rPr>
              <w:t>Interferon beta-1b</w:t>
            </w:r>
            <w:r>
              <w:rPr>
                <w:sz w:val="20"/>
                <w:szCs w:val="20"/>
              </w:rPr>
              <w:t xml:space="preserve"> (Betaferon)</w:t>
            </w:r>
          </w:p>
        </w:tc>
        <w:tc>
          <w:tcPr>
            <w:tcW w:w="1418" w:type="dxa"/>
          </w:tcPr>
          <w:p w14:paraId="2904122B" w14:textId="77777777" w:rsidR="004F3F72" w:rsidRPr="00CC7155" w:rsidRDefault="004F3F72" w:rsidP="001D6639">
            <w:pPr>
              <w:rPr>
                <w:rFonts w:cs="Arial"/>
                <w:sz w:val="20"/>
                <w:szCs w:val="20"/>
              </w:rPr>
            </w:pPr>
            <w:r w:rsidRPr="00CC7155">
              <w:rPr>
                <w:rFonts w:cs="Arial"/>
                <w:sz w:val="20"/>
                <w:szCs w:val="20"/>
              </w:rPr>
              <w:t>9 Aug 2002</w:t>
            </w:r>
          </w:p>
        </w:tc>
        <w:tc>
          <w:tcPr>
            <w:tcW w:w="5379" w:type="dxa"/>
          </w:tcPr>
          <w:p w14:paraId="1C39BC23" w14:textId="77777777" w:rsidR="004F3F72" w:rsidRDefault="004F3F72" w:rsidP="001D6639">
            <w:pPr>
              <w:autoSpaceDE w:val="0"/>
              <w:autoSpaceDN w:val="0"/>
              <w:adjustRightInd w:val="0"/>
              <w:rPr>
                <w:rFonts w:cs="Arial"/>
                <w:sz w:val="20"/>
                <w:szCs w:val="20"/>
              </w:rPr>
            </w:pPr>
            <w:r w:rsidRPr="00CC7155">
              <w:rPr>
                <w:sz w:val="20"/>
                <w:szCs w:val="20"/>
              </w:rPr>
              <w:t>Interferon beta-1b</w:t>
            </w:r>
            <w:r>
              <w:rPr>
                <w:sz w:val="20"/>
                <w:szCs w:val="20"/>
              </w:rPr>
              <w:t xml:space="preserve"> </w:t>
            </w:r>
            <w:r w:rsidRPr="00CC7155">
              <w:rPr>
                <w:rFonts w:cs="Arial"/>
                <w:sz w:val="20"/>
                <w:szCs w:val="20"/>
              </w:rPr>
              <w:t xml:space="preserve"> is indicated for the treatment of: </w:t>
            </w:r>
          </w:p>
          <w:p w14:paraId="6DF34D40" w14:textId="77777777" w:rsidR="004F3F72" w:rsidRPr="00CC7155" w:rsidRDefault="004F3F72" w:rsidP="001D6639">
            <w:pPr>
              <w:autoSpaceDE w:val="0"/>
              <w:autoSpaceDN w:val="0"/>
              <w:adjustRightInd w:val="0"/>
              <w:rPr>
                <w:rFonts w:cs="Arial"/>
                <w:sz w:val="20"/>
                <w:szCs w:val="20"/>
              </w:rPr>
            </w:pPr>
            <w:r w:rsidRPr="00CC7155">
              <w:rPr>
                <w:rFonts w:cs="Arial"/>
                <w:sz w:val="20"/>
                <w:szCs w:val="20"/>
              </w:rPr>
              <w:t>- Ambulatory patients with relapsing-remitting multiple sclerosis (MS) characterised by at least two attacks of</w:t>
            </w:r>
          </w:p>
          <w:p w14:paraId="29E7757B" w14:textId="77777777" w:rsidR="004F3F72" w:rsidRDefault="004F3F72" w:rsidP="001D6639">
            <w:pPr>
              <w:autoSpaceDE w:val="0"/>
              <w:autoSpaceDN w:val="0"/>
              <w:adjustRightInd w:val="0"/>
              <w:rPr>
                <w:rFonts w:cs="Arial"/>
                <w:sz w:val="20"/>
                <w:szCs w:val="20"/>
              </w:rPr>
            </w:pPr>
            <w:r w:rsidRPr="00CC7155">
              <w:rPr>
                <w:rFonts w:cs="Arial"/>
                <w:sz w:val="20"/>
                <w:szCs w:val="20"/>
              </w:rPr>
              <w:t xml:space="preserve">neurologic dysfunction over a two year period followed by complete or incomplete recovery. </w:t>
            </w:r>
          </w:p>
          <w:p w14:paraId="2F92B272" w14:textId="77777777" w:rsidR="004F3F72" w:rsidRPr="00CC7155" w:rsidRDefault="004F3F72" w:rsidP="001D6639">
            <w:pPr>
              <w:autoSpaceDE w:val="0"/>
              <w:autoSpaceDN w:val="0"/>
              <w:adjustRightInd w:val="0"/>
              <w:rPr>
                <w:rFonts w:cs="Arial"/>
                <w:sz w:val="20"/>
                <w:szCs w:val="20"/>
              </w:rPr>
            </w:pPr>
            <w:r w:rsidRPr="00CC7155">
              <w:rPr>
                <w:rFonts w:cs="Arial"/>
                <w:sz w:val="20"/>
                <w:szCs w:val="20"/>
              </w:rPr>
              <w:t>- Betaferon is also indicated for the reduction of frequency</w:t>
            </w:r>
          </w:p>
          <w:p w14:paraId="29D49330" w14:textId="77777777" w:rsidR="004F3F72" w:rsidRDefault="004F3F72" w:rsidP="001D6639">
            <w:pPr>
              <w:autoSpaceDE w:val="0"/>
              <w:autoSpaceDN w:val="0"/>
              <w:adjustRightInd w:val="0"/>
              <w:rPr>
                <w:rFonts w:cs="Arial"/>
                <w:sz w:val="20"/>
                <w:szCs w:val="20"/>
              </w:rPr>
            </w:pPr>
            <w:r w:rsidRPr="00CC7155">
              <w:rPr>
                <w:rFonts w:cs="Arial"/>
                <w:sz w:val="20"/>
                <w:szCs w:val="20"/>
              </w:rPr>
              <w:t xml:space="preserve">and severity of clinical relapses, and for the slowing of progression of disease in patients with secondary progressive multiple sclerosis. </w:t>
            </w:r>
          </w:p>
          <w:p w14:paraId="5B1F4EC2" w14:textId="77777777" w:rsidR="004F3F72" w:rsidRPr="00CC7155" w:rsidRDefault="004F3F72" w:rsidP="001D6639">
            <w:pPr>
              <w:autoSpaceDE w:val="0"/>
              <w:autoSpaceDN w:val="0"/>
              <w:adjustRightInd w:val="0"/>
              <w:rPr>
                <w:rFonts w:cs="Arial"/>
                <w:sz w:val="20"/>
                <w:szCs w:val="20"/>
              </w:rPr>
            </w:pPr>
            <w:r>
              <w:rPr>
                <w:rFonts w:cs="Arial"/>
                <w:sz w:val="20"/>
                <w:szCs w:val="20"/>
              </w:rPr>
              <w:t xml:space="preserve">- The treatment </w:t>
            </w:r>
            <w:r w:rsidRPr="00CC7155">
              <w:rPr>
                <w:rFonts w:cs="Arial"/>
                <w:sz w:val="20"/>
                <w:szCs w:val="20"/>
              </w:rPr>
              <w:t xml:space="preserve">of patients with a single clinical event suggestive of multiple sclerosis and at least two clinically silent </w:t>
            </w:r>
            <w:r w:rsidRPr="00CC7155">
              <w:rPr>
                <w:rFonts w:cs="Arial"/>
                <w:sz w:val="20"/>
                <w:szCs w:val="20"/>
              </w:rPr>
              <w:lastRenderedPageBreak/>
              <w:t xml:space="preserve">magnetic </w:t>
            </w:r>
            <w:r>
              <w:rPr>
                <w:rFonts w:cs="Arial"/>
                <w:sz w:val="20"/>
                <w:szCs w:val="20"/>
              </w:rPr>
              <w:t xml:space="preserve">resonance imaging (MRI) lesions </w:t>
            </w:r>
            <w:r w:rsidRPr="00CC7155">
              <w:rPr>
                <w:rFonts w:cs="Arial"/>
                <w:sz w:val="20"/>
                <w:szCs w:val="20"/>
              </w:rPr>
              <w:t>characteristic of multiple sclerosis, if alternative diagnoses have been excluded.</w:t>
            </w:r>
          </w:p>
        </w:tc>
      </w:tr>
      <w:tr w:rsidR="004F3F72" w14:paraId="774F0314" w14:textId="77777777" w:rsidTr="001D6639">
        <w:tc>
          <w:tcPr>
            <w:tcW w:w="2376" w:type="dxa"/>
          </w:tcPr>
          <w:p w14:paraId="107CA173" w14:textId="77777777" w:rsidR="004F3F72" w:rsidRPr="00CC7155" w:rsidRDefault="004F3F72" w:rsidP="001D6639">
            <w:pPr>
              <w:rPr>
                <w:rFonts w:cs="Arial"/>
                <w:sz w:val="20"/>
                <w:szCs w:val="20"/>
              </w:rPr>
            </w:pPr>
            <w:r w:rsidRPr="00CC7155">
              <w:rPr>
                <w:sz w:val="20"/>
                <w:szCs w:val="20"/>
              </w:rPr>
              <w:lastRenderedPageBreak/>
              <w:t>Natalizumab</w:t>
            </w:r>
            <w:r>
              <w:rPr>
                <w:sz w:val="20"/>
                <w:szCs w:val="20"/>
              </w:rPr>
              <w:t xml:space="preserve"> (Tysabri)</w:t>
            </w:r>
          </w:p>
        </w:tc>
        <w:tc>
          <w:tcPr>
            <w:tcW w:w="1418" w:type="dxa"/>
          </w:tcPr>
          <w:p w14:paraId="184A6EE1" w14:textId="77777777" w:rsidR="004F3F72" w:rsidRPr="00CC7155" w:rsidRDefault="004F3F72" w:rsidP="001D6639">
            <w:pPr>
              <w:rPr>
                <w:rFonts w:cs="Arial"/>
                <w:sz w:val="20"/>
                <w:szCs w:val="20"/>
              </w:rPr>
            </w:pPr>
            <w:r w:rsidRPr="00CC7155">
              <w:rPr>
                <w:rFonts w:cs="Arial"/>
                <w:sz w:val="20"/>
                <w:szCs w:val="20"/>
              </w:rPr>
              <w:t>1 Nov 2006</w:t>
            </w:r>
          </w:p>
        </w:tc>
        <w:tc>
          <w:tcPr>
            <w:tcW w:w="5379" w:type="dxa"/>
          </w:tcPr>
          <w:p w14:paraId="7A8C66C1" w14:textId="77777777" w:rsidR="004F3F72" w:rsidRPr="00CC7155" w:rsidRDefault="004F3F72" w:rsidP="001D6639">
            <w:pPr>
              <w:autoSpaceDE w:val="0"/>
              <w:autoSpaceDN w:val="0"/>
              <w:adjustRightInd w:val="0"/>
              <w:rPr>
                <w:rFonts w:cs="Arial"/>
                <w:sz w:val="20"/>
                <w:szCs w:val="20"/>
              </w:rPr>
            </w:pPr>
            <w:r>
              <w:rPr>
                <w:rFonts w:cs="Arial"/>
                <w:sz w:val="20"/>
                <w:szCs w:val="20"/>
              </w:rPr>
              <w:t>Natalizumab</w:t>
            </w:r>
            <w:r w:rsidRPr="00CC7155">
              <w:rPr>
                <w:rFonts w:cs="Arial"/>
                <w:sz w:val="20"/>
                <w:szCs w:val="20"/>
              </w:rPr>
              <w:t xml:space="preserve"> is indicated as monotherapy for the treatment of patients with relapsing remitting multiple sclerosi</w:t>
            </w:r>
            <w:r>
              <w:rPr>
                <w:rFonts w:cs="Arial"/>
                <w:sz w:val="20"/>
                <w:szCs w:val="20"/>
              </w:rPr>
              <w:t xml:space="preserve">s (MS) to delay the progression </w:t>
            </w:r>
            <w:r w:rsidRPr="00CC7155">
              <w:rPr>
                <w:rFonts w:cs="Arial"/>
                <w:sz w:val="20"/>
                <w:szCs w:val="20"/>
              </w:rPr>
              <w:t>of physical disability and to reduce the frequency of relapse.</w:t>
            </w:r>
          </w:p>
        </w:tc>
      </w:tr>
      <w:tr w:rsidR="004F3F72" w14:paraId="4EEE19E4" w14:textId="77777777" w:rsidTr="001D6639">
        <w:tc>
          <w:tcPr>
            <w:tcW w:w="2376" w:type="dxa"/>
          </w:tcPr>
          <w:p w14:paraId="2D3617F8" w14:textId="77777777" w:rsidR="004F3F72" w:rsidRPr="00CC7155" w:rsidRDefault="004F3F72" w:rsidP="001D6639">
            <w:pPr>
              <w:rPr>
                <w:rFonts w:cs="Arial"/>
                <w:sz w:val="20"/>
                <w:szCs w:val="20"/>
              </w:rPr>
            </w:pPr>
            <w:r w:rsidRPr="00CC7155">
              <w:rPr>
                <w:sz w:val="20"/>
                <w:szCs w:val="20"/>
              </w:rPr>
              <w:t>Peginterferon beta-1a</w:t>
            </w:r>
            <w:r>
              <w:rPr>
                <w:sz w:val="20"/>
                <w:szCs w:val="20"/>
              </w:rPr>
              <w:t xml:space="preserve"> (Plegridy)</w:t>
            </w:r>
          </w:p>
        </w:tc>
        <w:tc>
          <w:tcPr>
            <w:tcW w:w="1418" w:type="dxa"/>
          </w:tcPr>
          <w:p w14:paraId="0F4248C2" w14:textId="77777777" w:rsidR="004F3F72" w:rsidRPr="00CC7155" w:rsidRDefault="004F3F72" w:rsidP="001D6639">
            <w:pPr>
              <w:rPr>
                <w:rFonts w:cs="Arial"/>
                <w:sz w:val="20"/>
                <w:szCs w:val="20"/>
              </w:rPr>
            </w:pPr>
            <w:r w:rsidRPr="00CC7155">
              <w:rPr>
                <w:rFonts w:cs="Arial"/>
                <w:sz w:val="20"/>
                <w:szCs w:val="20"/>
              </w:rPr>
              <w:t>10 Nov 2014</w:t>
            </w:r>
          </w:p>
        </w:tc>
        <w:tc>
          <w:tcPr>
            <w:tcW w:w="5379" w:type="dxa"/>
          </w:tcPr>
          <w:p w14:paraId="7CEDEEC6" w14:textId="77777777" w:rsidR="004F3F72" w:rsidRPr="00CC7155" w:rsidRDefault="004F3F72" w:rsidP="001D6639">
            <w:pPr>
              <w:rPr>
                <w:rFonts w:cs="Arial"/>
                <w:sz w:val="20"/>
                <w:szCs w:val="20"/>
              </w:rPr>
            </w:pPr>
            <w:r w:rsidRPr="00CC7155">
              <w:rPr>
                <w:sz w:val="20"/>
                <w:szCs w:val="20"/>
              </w:rPr>
              <w:t>Peginterferon beta-1a</w:t>
            </w:r>
            <w:r>
              <w:rPr>
                <w:sz w:val="20"/>
                <w:szCs w:val="20"/>
              </w:rPr>
              <w:t xml:space="preserve"> </w:t>
            </w:r>
            <w:r w:rsidRPr="00CC7155">
              <w:rPr>
                <w:rFonts w:cs="Arial"/>
                <w:sz w:val="20"/>
                <w:szCs w:val="20"/>
              </w:rPr>
              <w:t>is indicated for the treatment of relapsing forms of Multiple Sclerosis</w:t>
            </w:r>
            <w:r>
              <w:rPr>
                <w:rFonts w:cs="Arial"/>
                <w:sz w:val="20"/>
                <w:szCs w:val="20"/>
              </w:rPr>
              <w:t>.</w:t>
            </w:r>
          </w:p>
        </w:tc>
      </w:tr>
      <w:tr w:rsidR="004F3F72" w14:paraId="0FE9A012" w14:textId="77777777" w:rsidTr="001D6639">
        <w:tc>
          <w:tcPr>
            <w:tcW w:w="2376" w:type="dxa"/>
          </w:tcPr>
          <w:p w14:paraId="1F641254" w14:textId="77777777" w:rsidR="004F3F72" w:rsidRPr="00CC7155" w:rsidRDefault="004F3F72" w:rsidP="001D6639">
            <w:pPr>
              <w:rPr>
                <w:rFonts w:cs="Arial"/>
                <w:sz w:val="20"/>
                <w:szCs w:val="20"/>
              </w:rPr>
            </w:pPr>
            <w:r w:rsidRPr="00CC7155">
              <w:rPr>
                <w:sz w:val="20"/>
                <w:szCs w:val="20"/>
              </w:rPr>
              <w:t>Teriflunomide</w:t>
            </w:r>
            <w:r>
              <w:rPr>
                <w:sz w:val="20"/>
                <w:szCs w:val="20"/>
              </w:rPr>
              <w:t xml:space="preserve"> (Aubagio)</w:t>
            </w:r>
          </w:p>
        </w:tc>
        <w:tc>
          <w:tcPr>
            <w:tcW w:w="1418" w:type="dxa"/>
          </w:tcPr>
          <w:p w14:paraId="5D1FD377" w14:textId="77777777" w:rsidR="004F3F72" w:rsidRPr="00CC7155" w:rsidRDefault="004F3F72" w:rsidP="001D6639">
            <w:pPr>
              <w:rPr>
                <w:rFonts w:cs="Arial"/>
                <w:sz w:val="20"/>
                <w:szCs w:val="20"/>
              </w:rPr>
            </w:pPr>
            <w:r w:rsidRPr="00CC7155">
              <w:rPr>
                <w:rFonts w:cs="Arial"/>
                <w:sz w:val="20"/>
                <w:szCs w:val="20"/>
              </w:rPr>
              <w:t>14 Nov 2012</w:t>
            </w:r>
          </w:p>
        </w:tc>
        <w:tc>
          <w:tcPr>
            <w:tcW w:w="5379" w:type="dxa"/>
          </w:tcPr>
          <w:p w14:paraId="290069DA" w14:textId="77777777" w:rsidR="004F3F72" w:rsidRPr="00CC7155" w:rsidRDefault="004F3F72" w:rsidP="001D6639">
            <w:pPr>
              <w:autoSpaceDE w:val="0"/>
              <w:autoSpaceDN w:val="0"/>
              <w:adjustRightInd w:val="0"/>
              <w:rPr>
                <w:rFonts w:cs="Arial"/>
                <w:sz w:val="20"/>
                <w:szCs w:val="20"/>
              </w:rPr>
            </w:pPr>
            <w:r w:rsidRPr="00CC7155">
              <w:rPr>
                <w:sz w:val="20"/>
                <w:szCs w:val="20"/>
              </w:rPr>
              <w:t>Teriflunomide</w:t>
            </w:r>
            <w:r w:rsidRPr="00CC7155">
              <w:rPr>
                <w:rFonts w:cs="Arial"/>
                <w:sz w:val="20"/>
                <w:szCs w:val="20"/>
              </w:rPr>
              <w:t xml:space="preserve"> is indicated for the treatment of patients with relapsing forms of Multiple Sclerosis to reduce the frequency of cli</w:t>
            </w:r>
            <w:r>
              <w:rPr>
                <w:rFonts w:cs="Arial"/>
                <w:sz w:val="20"/>
                <w:szCs w:val="20"/>
              </w:rPr>
              <w:t xml:space="preserve">nical relapses and to delay the </w:t>
            </w:r>
            <w:r w:rsidRPr="00CC7155">
              <w:rPr>
                <w:rFonts w:cs="Arial"/>
                <w:sz w:val="20"/>
                <w:szCs w:val="20"/>
              </w:rPr>
              <w:t>progression of physical disability.</w:t>
            </w:r>
          </w:p>
        </w:tc>
      </w:tr>
    </w:tbl>
    <w:p w14:paraId="10AE9E25" w14:textId="77777777" w:rsidR="004F3F72" w:rsidRPr="00CC7155" w:rsidRDefault="004F3F72" w:rsidP="004F3F72">
      <w:pPr>
        <w:rPr>
          <w:rFonts w:cs="Arial"/>
          <w:sz w:val="20"/>
          <w:szCs w:val="20"/>
        </w:rPr>
      </w:pPr>
      <w:r w:rsidRPr="00CC7155">
        <w:rPr>
          <w:rFonts w:cs="Arial"/>
          <w:sz w:val="20"/>
          <w:szCs w:val="20"/>
        </w:rPr>
        <w:t>Source: Australian Register of Therapeutic Goods. Accessed on 21 July 2015 at: https://www.ebs.tga.gov.au/</w:t>
      </w:r>
    </w:p>
    <w:p w14:paraId="61E88700" w14:textId="77777777" w:rsidR="004F3F72" w:rsidRDefault="004F3F72" w:rsidP="004554CF">
      <w:pPr>
        <w:rPr>
          <w:rFonts w:cstheme="minorHAnsi"/>
          <w:b/>
        </w:rPr>
      </w:pPr>
    </w:p>
    <w:p w14:paraId="72FBA123" w14:textId="77777777" w:rsidR="004F3F72" w:rsidRDefault="004F3F72" w:rsidP="004554CF">
      <w:pPr>
        <w:rPr>
          <w:rFonts w:cstheme="minorHAnsi"/>
          <w:b/>
        </w:rPr>
        <w:sectPr w:rsidR="004F3F72" w:rsidSect="00A065FE">
          <w:pgSz w:w="11906" w:h="16838"/>
          <w:pgMar w:top="1644" w:right="1361" w:bottom="1644" w:left="1588" w:header="709" w:footer="709" w:gutter="0"/>
          <w:cols w:space="708"/>
          <w:docGrid w:linePitch="360"/>
        </w:sectPr>
      </w:pPr>
    </w:p>
    <w:p w14:paraId="569EA40B" w14:textId="75D658F6" w:rsidR="004554CF" w:rsidRPr="004554CF" w:rsidRDefault="004554CF" w:rsidP="004554CF">
      <w:pPr>
        <w:rPr>
          <w:rFonts w:cs="Calibri Bold+FPEF"/>
          <w:b/>
          <w:bCs/>
          <w:sz w:val="22"/>
          <w:szCs w:val="22"/>
        </w:rPr>
      </w:pPr>
      <w:r w:rsidRPr="00BB60B5">
        <w:rPr>
          <w:rFonts w:cstheme="minorHAnsi"/>
          <w:b/>
        </w:rPr>
        <w:lastRenderedPageBreak/>
        <w:t xml:space="preserve">Appendix </w:t>
      </w:r>
      <w:r w:rsidR="00AC4095">
        <w:rPr>
          <w:rFonts w:cstheme="minorHAnsi"/>
          <w:b/>
        </w:rPr>
        <w:t>D</w:t>
      </w:r>
      <w:r w:rsidRPr="00BB60B5">
        <w:rPr>
          <w:rFonts w:cstheme="minorHAnsi"/>
          <w:b/>
        </w:rPr>
        <w:t xml:space="preserve"> </w:t>
      </w:r>
    </w:p>
    <w:p w14:paraId="1F083122" w14:textId="5A2C9164" w:rsidR="004554CF" w:rsidRPr="003433FC" w:rsidRDefault="003433FC" w:rsidP="004554CF">
      <w:pPr>
        <w:autoSpaceDE w:val="0"/>
        <w:autoSpaceDN w:val="0"/>
        <w:adjustRightInd w:val="0"/>
        <w:spacing w:after="0"/>
        <w:rPr>
          <w:rFonts w:cs="Calibri Bold Italic+FPEF"/>
          <w:b/>
          <w:bCs/>
          <w:iCs/>
          <w:sz w:val="22"/>
          <w:szCs w:val="22"/>
        </w:rPr>
      </w:pPr>
      <w:r w:rsidRPr="003433FC">
        <w:rPr>
          <w:rFonts w:cs="Calibri Bold Italic+FPEF"/>
          <w:b/>
          <w:bCs/>
          <w:iCs/>
          <w:sz w:val="22"/>
          <w:szCs w:val="22"/>
        </w:rPr>
        <w:t>M</w:t>
      </w:r>
      <w:r w:rsidR="004554CF" w:rsidRPr="003433FC">
        <w:rPr>
          <w:rFonts w:cs="Calibri Bold Italic+FPEF"/>
          <w:b/>
          <w:bCs/>
          <w:iCs/>
          <w:sz w:val="22"/>
          <w:szCs w:val="22"/>
        </w:rPr>
        <w:t>ethodology for Kaplan Meier length of treatment analyses</w:t>
      </w:r>
    </w:p>
    <w:p w14:paraId="6F6979CE" w14:textId="77777777" w:rsidR="004554CF" w:rsidRDefault="004554CF" w:rsidP="004554CF">
      <w:pPr>
        <w:autoSpaceDE w:val="0"/>
        <w:autoSpaceDN w:val="0"/>
        <w:adjustRightInd w:val="0"/>
        <w:spacing w:after="0"/>
        <w:rPr>
          <w:rFonts w:cs="Calibri+FPEF"/>
          <w:sz w:val="22"/>
          <w:szCs w:val="22"/>
        </w:rPr>
      </w:pPr>
    </w:p>
    <w:p w14:paraId="1851B7DA" w14:textId="77777777" w:rsidR="004554CF" w:rsidRPr="00AC5136" w:rsidRDefault="004554CF" w:rsidP="004554CF">
      <w:pPr>
        <w:autoSpaceDE w:val="0"/>
        <w:autoSpaceDN w:val="0"/>
        <w:adjustRightInd w:val="0"/>
        <w:spacing w:after="0"/>
        <w:rPr>
          <w:rFonts w:eastAsia="Calibri" w:cs="Times New Roman"/>
        </w:rPr>
      </w:pPr>
      <w:r w:rsidRPr="00AC5136">
        <w:rPr>
          <w:rFonts w:eastAsia="Calibri" w:cs="Times New Roman"/>
        </w:rPr>
        <w:t>A break in treatment is defined as a gap of 2 x Standard Coverage Days (SCD) in drug</w:t>
      </w:r>
    </w:p>
    <w:p w14:paraId="1206D926" w14:textId="77777777" w:rsidR="004554CF" w:rsidRPr="00AC5136" w:rsidRDefault="004554CF" w:rsidP="004554CF">
      <w:pPr>
        <w:autoSpaceDE w:val="0"/>
        <w:autoSpaceDN w:val="0"/>
        <w:adjustRightInd w:val="0"/>
        <w:spacing w:after="0"/>
        <w:rPr>
          <w:rFonts w:eastAsia="Calibri" w:cs="Times New Roman"/>
        </w:rPr>
      </w:pPr>
      <w:r w:rsidRPr="00AC5136">
        <w:rPr>
          <w:rFonts w:eastAsia="Calibri" w:cs="Times New Roman"/>
        </w:rPr>
        <w:t>coverage which is equivalent to 3 x SCDs between prescription supply. An episode is</w:t>
      </w:r>
    </w:p>
    <w:p w14:paraId="2BC54E10" w14:textId="77777777" w:rsidR="004554CF" w:rsidRPr="00AC5136" w:rsidRDefault="004554CF" w:rsidP="004554CF">
      <w:pPr>
        <w:autoSpaceDE w:val="0"/>
        <w:autoSpaceDN w:val="0"/>
        <w:adjustRightInd w:val="0"/>
        <w:spacing w:after="0"/>
        <w:rPr>
          <w:rFonts w:eastAsia="Calibri" w:cs="Times New Roman"/>
        </w:rPr>
      </w:pPr>
      <w:r w:rsidRPr="00AC5136">
        <w:rPr>
          <w:rFonts w:eastAsia="Calibri" w:cs="Times New Roman"/>
        </w:rPr>
        <w:t>defined as the time from the first prescription to the last prescription before a break plus</w:t>
      </w:r>
    </w:p>
    <w:p w14:paraId="6C0BAA8A" w14:textId="770FBD46" w:rsidR="004554CF" w:rsidRPr="00AC5136" w:rsidRDefault="004554CF" w:rsidP="00C877C4">
      <w:pPr>
        <w:autoSpaceDE w:val="0"/>
        <w:autoSpaceDN w:val="0"/>
        <w:adjustRightInd w:val="0"/>
        <w:spacing w:after="0"/>
        <w:rPr>
          <w:rFonts w:eastAsia="Calibri" w:cs="Times New Roman"/>
        </w:rPr>
      </w:pPr>
      <w:r w:rsidRPr="00AC5136">
        <w:rPr>
          <w:rFonts w:eastAsia="Calibri" w:cs="Times New Roman"/>
        </w:rPr>
        <w:t>one SCD (i.e. the coverage of the last prescription). The SCDs are equal to the</w:t>
      </w:r>
    </w:p>
    <w:p w14:paraId="169A548A" w14:textId="77777777" w:rsidR="004554CF" w:rsidRPr="00AC5136" w:rsidRDefault="004554CF" w:rsidP="004554CF">
      <w:pPr>
        <w:autoSpaceDE w:val="0"/>
        <w:autoSpaceDN w:val="0"/>
        <w:adjustRightInd w:val="0"/>
        <w:spacing w:after="0"/>
        <w:rPr>
          <w:rFonts w:eastAsia="Calibri" w:cs="Times New Roman"/>
        </w:rPr>
      </w:pPr>
      <w:r w:rsidRPr="00AC5136">
        <w:rPr>
          <w:rFonts w:eastAsia="Calibri" w:cs="Times New Roman"/>
        </w:rPr>
        <w:t>median time to re-supply of prescriptions calculated at the drug level. The table below</w:t>
      </w:r>
    </w:p>
    <w:p w14:paraId="39A9F4E5" w14:textId="77777777" w:rsidR="004554CF" w:rsidRPr="00AC5136" w:rsidRDefault="004554CF" w:rsidP="00411D19">
      <w:pPr>
        <w:autoSpaceDE w:val="0"/>
        <w:autoSpaceDN w:val="0"/>
        <w:adjustRightInd w:val="0"/>
        <w:spacing w:after="0"/>
        <w:rPr>
          <w:rFonts w:eastAsia="Calibri" w:cs="Times New Roman"/>
        </w:rPr>
      </w:pPr>
      <w:r w:rsidRPr="00AC5136">
        <w:rPr>
          <w:rFonts w:eastAsia="Calibri" w:cs="Times New Roman"/>
        </w:rPr>
        <w:t>shows the SCDs used in this analysis.</w:t>
      </w:r>
    </w:p>
    <w:p w14:paraId="118D043B" w14:textId="0C0D10C4" w:rsidR="003433FC" w:rsidRDefault="003433FC" w:rsidP="00411D19">
      <w:pPr>
        <w:tabs>
          <w:tab w:val="left" w:pos="4058"/>
        </w:tabs>
        <w:spacing w:after="0"/>
        <w:rPr>
          <w:rFonts w:eastAsia="Calibri" w:cs="Times New Roman"/>
        </w:rPr>
      </w:pPr>
    </w:p>
    <w:tbl>
      <w:tblPr>
        <w:tblStyle w:val="TableGrid"/>
        <w:tblW w:w="0" w:type="auto"/>
        <w:tblInd w:w="108" w:type="dxa"/>
        <w:tblLook w:val="04A0" w:firstRow="1" w:lastRow="0" w:firstColumn="1" w:lastColumn="0" w:noHBand="0" w:noVBand="1"/>
      </w:tblPr>
      <w:tblGrid>
        <w:gridCol w:w="2552"/>
        <w:gridCol w:w="3827"/>
      </w:tblGrid>
      <w:tr w:rsidR="003433FC" w14:paraId="7A2D1B4B" w14:textId="77777777" w:rsidTr="00411D19">
        <w:tc>
          <w:tcPr>
            <w:tcW w:w="2552" w:type="dxa"/>
            <w:shd w:val="clear" w:color="auto" w:fill="BFBFBF" w:themeFill="background1" w:themeFillShade="BF"/>
          </w:tcPr>
          <w:p w14:paraId="69E7F7F0" w14:textId="77777777" w:rsidR="003433FC" w:rsidRPr="00AF60C0" w:rsidRDefault="003433FC" w:rsidP="00411D19">
            <w:pPr>
              <w:rPr>
                <w:b/>
                <w:sz w:val="20"/>
                <w:szCs w:val="20"/>
              </w:rPr>
            </w:pPr>
            <w:r w:rsidRPr="00AF60C0">
              <w:rPr>
                <w:b/>
                <w:sz w:val="20"/>
                <w:szCs w:val="20"/>
              </w:rPr>
              <w:t>Drug</w:t>
            </w:r>
          </w:p>
          <w:p w14:paraId="031FAE59" w14:textId="77777777" w:rsidR="003433FC" w:rsidRPr="00AF60C0" w:rsidRDefault="003433FC" w:rsidP="00411D19">
            <w:pPr>
              <w:rPr>
                <w:b/>
                <w:sz w:val="20"/>
                <w:szCs w:val="20"/>
              </w:rPr>
            </w:pPr>
          </w:p>
        </w:tc>
        <w:tc>
          <w:tcPr>
            <w:tcW w:w="3827" w:type="dxa"/>
            <w:shd w:val="clear" w:color="auto" w:fill="BFBFBF" w:themeFill="background1" w:themeFillShade="BF"/>
          </w:tcPr>
          <w:p w14:paraId="71703EFB" w14:textId="77777777" w:rsidR="003433FC" w:rsidRPr="00AF60C0" w:rsidRDefault="003433FC" w:rsidP="00411D19">
            <w:pPr>
              <w:tabs>
                <w:tab w:val="left" w:pos="4058"/>
              </w:tabs>
              <w:jc w:val="center"/>
              <w:rPr>
                <w:rFonts w:eastAsia="Calibri"/>
                <w:b/>
                <w:sz w:val="20"/>
                <w:szCs w:val="20"/>
              </w:rPr>
            </w:pPr>
            <w:r w:rsidRPr="00AF60C0">
              <w:rPr>
                <w:rFonts w:eastAsia="Calibri"/>
                <w:b/>
                <w:sz w:val="20"/>
                <w:szCs w:val="20"/>
              </w:rPr>
              <w:t>Median time to re-supply by any item of the specified drug = SCD (days)</w:t>
            </w:r>
          </w:p>
        </w:tc>
      </w:tr>
      <w:tr w:rsidR="00411D19" w14:paraId="258F4AF1" w14:textId="77777777" w:rsidTr="00411D19">
        <w:tc>
          <w:tcPr>
            <w:tcW w:w="2552" w:type="dxa"/>
          </w:tcPr>
          <w:p w14:paraId="2F7D039C" w14:textId="140BEA32" w:rsidR="00411D19" w:rsidRPr="00AF60C0" w:rsidRDefault="00411D19" w:rsidP="00411D19">
            <w:pPr>
              <w:keepNext/>
              <w:keepLines/>
              <w:outlineLvl w:val="1"/>
              <w:rPr>
                <w:rFonts w:eastAsiaTheme="majorEastAsia" w:cstheme="majorBidi"/>
                <w:bCs/>
                <w:sz w:val="20"/>
                <w:szCs w:val="20"/>
              </w:rPr>
            </w:pPr>
            <w:r w:rsidRPr="00A830A0">
              <w:t>FINGOLIMOD</w:t>
            </w:r>
          </w:p>
        </w:tc>
        <w:tc>
          <w:tcPr>
            <w:tcW w:w="3827" w:type="dxa"/>
          </w:tcPr>
          <w:p w14:paraId="6A0038C8" w14:textId="334544DA" w:rsidR="00411D19" w:rsidRPr="00AF60C0" w:rsidRDefault="00411D19" w:rsidP="00411D19">
            <w:pPr>
              <w:jc w:val="center"/>
              <w:rPr>
                <w:sz w:val="20"/>
                <w:szCs w:val="20"/>
              </w:rPr>
            </w:pPr>
            <w:r w:rsidRPr="00822D36">
              <w:t>28</w:t>
            </w:r>
          </w:p>
        </w:tc>
      </w:tr>
      <w:tr w:rsidR="00411D19" w14:paraId="79ECEFE0" w14:textId="77777777" w:rsidTr="00411D19">
        <w:tc>
          <w:tcPr>
            <w:tcW w:w="2552" w:type="dxa"/>
          </w:tcPr>
          <w:p w14:paraId="053AC3D0" w14:textId="120013AE" w:rsidR="00411D19" w:rsidRPr="00AF60C0" w:rsidRDefault="00411D19" w:rsidP="00411D19">
            <w:pPr>
              <w:keepNext/>
              <w:keepLines/>
              <w:outlineLvl w:val="1"/>
              <w:rPr>
                <w:rFonts w:eastAsiaTheme="majorEastAsia" w:cstheme="majorBidi"/>
                <w:bCs/>
                <w:sz w:val="20"/>
                <w:szCs w:val="20"/>
              </w:rPr>
            </w:pPr>
            <w:r w:rsidRPr="00A830A0">
              <w:t>GLATIRAMER ACETATE</w:t>
            </w:r>
          </w:p>
        </w:tc>
        <w:tc>
          <w:tcPr>
            <w:tcW w:w="3827" w:type="dxa"/>
          </w:tcPr>
          <w:p w14:paraId="3A76C83F" w14:textId="5B0EB568" w:rsidR="00411D19" w:rsidRPr="00AF60C0" w:rsidRDefault="00411D19" w:rsidP="00411D19">
            <w:pPr>
              <w:jc w:val="center"/>
              <w:rPr>
                <w:sz w:val="20"/>
                <w:szCs w:val="20"/>
              </w:rPr>
            </w:pPr>
            <w:r w:rsidRPr="00822D36">
              <w:t>29</w:t>
            </w:r>
          </w:p>
        </w:tc>
      </w:tr>
      <w:tr w:rsidR="00411D19" w14:paraId="110177D2" w14:textId="77777777" w:rsidTr="00411D19">
        <w:tc>
          <w:tcPr>
            <w:tcW w:w="2552" w:type="dxa"/>
          </w:tcPr>
          <w:p w14:paraId="72CB51F7" w14:textId="27FFC3DE" w:rsidR="00411D19" w:rsidRDefault="00411D19" w:rsidP="00411D19">
            <w:pPr>
              <w:keepNext/>
              <w:keepLines/>
              <w:outlineLvl w:val="1"/>
              <w:rPr>
                <w:rFonts w:eastAsiaTheme="majorEastAsia" w:cstheme="majorBidi"/>
                <w:bCs/>
                <w:sz w:val="20"/>
                <w:szCs w:val="20"/>
              </w:rPr>
            </w:pPr>
            <w:r w:rsidRPr="00A830A0">
              <w:t>INTERFERON BETA-1A</w:t>
            </w:r>
          </w:p>
        </w:tc>
        <w:tc>
          <w:tcPr>
            <w:tcW w:w="3827" w:type="dxa"/>
          </w:tcPr>
          <w:p w14:paraId="7D145B5A" w14:textId="5E525017" w:rsidR="00411D19" w:rsidRPr="00AF60C0" w:rsidRDefault="00411D19" w:rsidP="00411D19">
            <w:pPr>
              <w:jc w:val="center"/>
              <w:rPr>
                <w:sz w:val="20"/>
                <w:szCs w:val="20"/>
              </w:rPr>
            </w:pPr>
            <w:r w:rsidRPr="00822D36">
              <w:t>28</w:t>
            </w:r>
          </w:p>
        </w:tc>
      </w:tr>
      <w:tr w:rsidR="00411D19" w14:paraId="2D747207" w14:textId="77777777" w:rsidTr="00411D19">
        <w:tc>
          <w:tcPr>
            <w:tcW w:w="2552" w:type="dxa"/>
          </w:tcPr>
          <w:p w14:paraId="309F163A" w14:textId="1A09E455" w:rsidR="00411D19" w:rsidRDefault="00411D19" w:rsidP="00411D19">
            <w:pPr>
              <w:keepNext/>
              <w:keepLines/>
              <w:outlineLvl w:val="1"/>
              <w:rPr>
                <w:rFonts w:eastAsiaTheme="majorEastAsia" w:cstheme="majorBidi"/>
                <w:bCs/>
                <w:sz w:val="20"/>
                <w:szCs w:val="20"/>
              </w:rPr>
            </w:pPr>
            <w:r w:rsidRPr="00A830A0">
              <w:t>INTERFERON BETA-1B</w:t>
            </w:r>
          </w:p>
        </w:tc>
        <w:tc>
          <w:tcPr>
            <w:tcW w:w="3827" w:type="dxa"/>
          </w:tcPr>
          <w:p w14:paraId="622480F7" w14:textId="16D75F1F" w:rsidR="00411D19" w:rsidRPr="00AF60C0" w:rsidRDefault="00411D19" w:rsidP="00411D19">
            <w:pPr>
              <w:jc w:val="center"/>
              <w:rPr>
                <w:sz w:val="20"/>
                <w:szCs w:val="20"/>
              </w:rPr>
            </w:pPr>
            <w:r w:rsidRPr="00822D36">
              <w:t>30</w:t>
            </w:r>
          </w:p>
        </w:tc>
      </w:tr>
      <w:tr w:rsidR="00411D19" w14:paraId="71751AA4" w14:textId="77777777" w:rsidTr="00411D19">
        <w:tc>
          <w:tcPr>
            <w:tcW w:w="2552" w:type="dxa"/>
          </w:tcPr>
          <w:p w14:paraId="005E6AF7" w14:textId="08894BB4" w:rsidR="00411D19" w:rsidRDefault="00411D19" w:rsidP="00411D19">
            <w:pPr>
              <w:keepNext/>
              <w:keepLines/>
              <w:outlineLvl w:val="1"/>
              <w:rPr>
                <w:rFonts w:eastAsiaTheme="majorEastAsia" w:cstheme="majorBidi"/>
                <w:bCs/>
                <w:sz w:val="20"/>
                <w:szCs w:val="20"/>
              </w:rPr>
            </w:pPr>
            <w:r w:rsidRPr="00A830A0">
              <w:t>NATALIZUMAB</w:t>
            </w:r>
          </w:p>
        </w:tc>
        <w:tc>
          <w:tcPr>
            <w:tcW w:w="3827" w:type="dxa"/>
          </w:tcPr>
          <w:p w14:paraId="413A37A2" w14:textId="5F68D6CA" w:rsidR="00411D19" w:rsidRPr="00AF60C0" w:rsidRDefault="00411D19" w:rsidP="00411D19">
            <w:pPr>
              <w:jc w:val="center"/>
              <w:rPr>
                <w:sz w:val="20"/>
                <w:szCs w:val="20"/>
              </w:rPr>
            </w:pPr>
            <w:r w:rsidRPr="00822D36">
              <w:t>28</w:t>
            </w:r>
          </w:p>
        </w:tc>
      </w:tr>
    </w:tbl>
    <w:p w14:paraId="5404FBDE" w14:textId="77777777" w:rsidR="00411D19" w:rsidRDefault="00411D19" w:rsidP="00411D19">
      <w:pPr>
        <w:tabs>
          <w:tab w:val="left" w:pos="4058"/>
        </w:tabs>
        <w:spacing w:after="0"/>
        <w:rPr>
          <w:rFonts w:eastAsia="Calibri" w:cs="Times New Roman"/>
        </w:rPr>
      </w:pPr>
    </w:p>
    <w:p w14:paraId="5C64BB11" w14:textId="31AB52B6" w:rsidR="003433FC" w:rsidRDefault="003433FC" w:rsidP="00251BFD">
      <w:pPr>
        <w:tabs>
          <w:tab w:val="left" w:pos="4058"/>
        </w:tabs>
        <w:spacing w:after="0"/>
        <w:rPr>
          <w:rFonts w:eastAsia="Calibri" w:cs="Times New Roman"/>
        </w:rPr>
      </w:pPr>
      <w:r>
        <w:rPr>
          <w:rFonts w:eastAsia="Calibri" w:cs="Times New Roman"/>
        </w:rPr>
        <w:t>The data period used in the length of treatment analysis was from January 200</w:t>
      </w:r>
      <w:r w:rsidR="00666EB8">
        <w:rPr>
          <w:rFonts w:eastAsia="Calibri" w:cs="Times New Roman"/>
        </w:rPr>
        <w:t>2</w:t>
      </w:r>
      <w:r>
        <w:rPr>
          <w:rFonts w:eastAsia="Calibri" w:cs="Times New Roman"/>
        </w:rPr>
        <w:t xml:space="preserve"> to March 2015 inclusive (based on date of supply). A patient was deemed to be continuing treatment (i</w:t>
      </w:r>
      <w:r w:rsidR="00251BFD">
        <w:rPr>
          <w:rFonts w:eastAsia="Calibri" w:cs="Times New Roman"/>
        </w:rPr>
        <w:t>.</w:t>
      </w:r>
      <w:r>
        <w:rPr>
          <w:rFonts w:eastAsia="Calibri" w:cs="Times New Roman"/>
        </w:rPr>
        <w:t>e. cen</w:t>
      </w:r>
      <w:r w:rsidR="00251BFD">
        <w:rPr>
          <w:rFonts w:eastAsia="Calibri" w:cs="Times New Roman"/>
        </w:rPr>
        <w:t>sored for the purposes of the Kaplan-Meier</w:t>
      </w:r>
      <w:r>
        <w:rPr>
          <w:rFonts w:eastAsia="Calibri" w:cs="Times New Roman"/>
        </w:rPr>
        <w:t xml:space="preserve"> analysis) at the end of the data period if the supply of their last </w:t>
      </w:r>
      <w:r w:rsidRPr="00246FA2">
        <w:rPr>
          <w:rFonts w:eastAsia="Calibri" w:cs="Times New Roman"/>
        </w:rPr>
        <w:t xml:space="preserve">prescription </w:t>
      </w:r>
      <w:r>
        <w:rPr>
          <w:rFonts w:eastAsia="Calibri" w:cs="Times New Roman"/>
        </w:rPr>
        <w:t>was within 3 x SCDs (which is equivalent to the item coverage end date being within 2 x SCDs) of the end of the data period (i</w:t>
      </w:r>
      <w:r w:rsidR="00251BFD">
        <w:rPr>
          <w:rFonts w:eastAsia="Calibri" w:cs="Times New Roman"/>
        </w:rPr>
        <w:t>.</w:t>
      </w:r>
      <w:r>
        <w:rPr>
          <w:rFonts w:eastAsia="Calibri" w:cs="Times New Roman"/>
        </w:rPr>
        <w:t xml:space="preserve">e. </w:t>
      </w:r>
      <w:r w:rsidR="00251BFD">
        <w:rPr>
          <w:rFonts w:eastAsia="Calibri" w:cs="Times New Roman"/>
        </w:rPr>
        <w:t>31 March 2015</w:t>
      </w:r>
      <w:r>
        <w:rPr>
          <w:rFonts w:eastAsia="Calibri" w:cs="Times New Roman"/>
        </w:rPr>
        <w:t>). Three lengths of treatment were calculated</w:t>
      </w:r>
      <w:r w:rsidR="00251BFD">
        <w:rPr>
          <w:rFonts w:eastAsia="Calibri" w:cs="Times New Roman"/>
        </w:rPr>
        <w:t>:</w:t>
      </w:r>
    </w:p>
    <w:p w14:paraId="1F696188" w14:textId="07ED19E6" w:rsidR="003433FC" w:rsidRDefault="003433FC" w:rsidP="003433FC">
      <w:pPr>
        <w:pStyle w:val="ListParagraph"/>
        <w:numPr>
          <w:ilvl w:val="0"/>
          <w:numId w:val="20"/>
        </w:numPr>
        <w:tabs>
          <w:tab w:val="left" w:pos="4058"/>
        </w:tabs>
        <w:rPr>
          <w:rFonts w:eastAsia="Calibri" w:cs="Times New Roman"/>
        </w:rPr>
      </w:pPr>
      <w:r>
        <w:rPr>
          <w:rFonts w:eastAsia="Calibri" w:cs="Times New Roman"/>
        </w:rPr>
        <w:t xml:space="preserve">the </w:t>
      </w:r>
      <w:r w:rsidRPr="00DB07D2">
        <w:rPr>
          <w:rFonts w:eastAsia="Calibri" w:cs="Times New Roman"/>
        </w:rPr>
        <w:t>first episode of treatment (i</w:t>
      </w:r>
      <w:r w:rsidR="00251BFD">
        <w:rPr>
          <w:rFonts w:eastAsia="Calibri" w:cs="Times New Roman"/>
        </w:rPr>
        <w:t>.</w:t>
      </w:r>
      <w:r w:rsidRPr="00DB07D2">
        <w:rPr>
          <w:rFonts w:eastAsia="Calibri" w:cs="Times New Roman"/>
        </w:rPr>
        <w:t>e. up t</w:t>
      </w:r>
      <w:r>
        <w:rPr>
          <w:rFonts w:eastAsia="Calibri" w:cs="Times New Roman"/>
        </w:rPr>
        <w:t>o the first break in treatment);</w:t>
      </w:r>
    </w:p>
    <w:p w14:paraId="28CF5687" w14:textId="2E0735FE" w:rsidR="003433FC" w:rsidRDefault="003433FC" w:rsidP="003433FC">
      <w:pPr>
        <w:pStyle w:val="ListParagraph"/>
        <w:numPr>
          <w:ilvl w:val="0"/>
          <w:numId w:val="20"/>
        </w:numPr>
        <w:tabs>
          <w:tab w:val="left" w:pos="4058"/>
        </w:tabs>
        <w:rPr>
          <w:rFonts w:eastAsia="Calibri" w:cs="Times New Roman"/>
        </w:rPr>
      </w:pPr>
      <w:r>
        <w:rPr>
          <w:rFonts w:eastAsia="Calibri" w:cs="Times New Roman"/>
        </w:rPr>
        <w:t>all treatment excluding breaks (i</w:t>
      </w:r>
      <w:r w:rsidR="00251BFD">
        <w:rPr>
          <w:rFonts w:eastAsia="Calibri" w:cs="Times New Roman"/>
        </w:rPr>
        <w:t>.</w:t>
      </w:r>
      <w:r>
        <w:rPr>
          <w:rFonts w:eastAsia="Calibri" w:cs="Times New Roman"/>
        </w:rPr>
        <w:t>e. the sum of all episodes); and</w:t>
      </w:r>
    </w:p>
    <w:p w14:paraId="353754C2" w14:textId="5A8FDF92" w:rsidR="003433FC" w:rsidRPr="00DB07D2" w:rsidRDefault="003433FC" w:rsidP="003433FC">
      <w:pPr>
        <w:pStyle w:val="ListParagraph"/>
        <w:numPr>
          <w:ilvl w:val="0"/>
          <w:numId w:val="20"/>
        </w:numPr>
        <w:tabs>
          <w:tab w:val="left" w:pos="4058"/>
        </w:tabs>
        <w:rPr>
          <w:rFonts w:eastAsia="Calibri" w:cs="Times New Roman"/>
        </w:rPr>
      </w:pPr>
      <w:r>
        <w:rPr>
          <w:rFonts w:eastAsia="Calibri" w:cs="Times New Roman"/>
        </w:rPr>
        <w:t>all treatment including breaks (i</w:t>
      </w:r>
      <w:r w:rsidR="00251BFD">
        <w:rPr>
          <w:rFonts w:eastAsia="Calibri" w:cs="Times New Roman"/>
        </w:rPr>
        <w:t>.</w:t>
      </w:r>
      <w:r>
        <w:rPr>
          <w:rFonts w:eastAsia="Calibri" w:cs="Times New Roman"/>
        </w:rPr>
        <w:t xml:space="preserve">e. the time from the first </w:t>
      </w:r>
      <w:r w:rsidRPr="00246FA2">
        <w:rPr>
          <w:rFonts w:eastAsia="Calibri" w:cs="Times New Roman"/>
        </w:rPr>
        <w:t>prescription</w:t>
      </w:r>
      <w:r>
        <w:rPr>
          <w:rFonts w:eastAsia="Calibri" w:cs="Times New Roman"/>
        </w:rPr>
        <w:t xml:space="preserve"> of the first episode to the last </w:t>
      </w:r>
      <w:r w:rsidRPr="00246FA2">
        <w:rPr>
          <w:rFonts w:eastAsia="Calibri" w:cs="Times New Roman"/>
        </w:rPr>
        <w:t xml:space="preserve">prescription </w:t>
      </w:r>
      <w:r>
        <w:rPr>
          <w:rFonts w:eastAsia="Calibri" w:cs="Times New Roman"/>
        </w:rPr>
        <w:t xml:space="preserve">of the last episode plus one SCD </w:t>
      </w:r>
      <w:r w:rsidR="00D95F15">
        <w:rPr>
          <w:rFonts w:eastAsia="Calibri" w:cs="Times New Roman"/>
        </w:rPr>
        <w:t>which is</w:t>
      </w:r>
      <w:r>
        <w:rPr>
          <w:rFonts w:eastAsia="Calibri" w:cs="Times New Roman"/>
        </w:rPr>
        <w:t xml:space="preserve"> the coverage of the last </w:t>
      </w:r>
      <w:r w:rsidRPr="00246FA2">
        <w:rPr>
          <w:rFonts w:eastAsia="Calibri" w:cs="Times New Roman"/>
        </w:rPr>
        <w:t>prescription</w:t>
      </w:r>
      <w:r>
        <w:rPr>
          <w:rFonts w:eastAsia="Calibri" w:cs="Times New Roman"/>
        </w:rPr>
        <w:t>).</w:t>
      </w:r>
    </w:p>
    <w:p w14:paraId="26BB568B" w14:textId="46677AFF" w:rsidR="003433FC" w:rsidRDefault="003433FC" w:rsidP="003433FC">
      <w:pPr>
        <w:rPr>
          <w:rFonts w:eastAsia="Calibri" w:cs="Times New Roman"/>
        </w:rPr>
      </w:pPr>
      <w:r>
        <w:rPr>
          <w:rFonts w:eastAsia="Calibri" w:cs="Times New Roman"/>
        </w:rPr>
        <w:t>When two</w:t>
      </w:r>
      <w:r w:rsidRPr="005525B5">
        <w:rPr>
          <w:rFonts w:eastAsia="Calibri" w:cs="Times New Roman"/>
        </w:rPr>
        <w:t xml:space="preserve"> different strengths</w:t>
      </w:r>
      <w:r>
        <w:rPr>
          <w:rFonts w:eastAsia="Calibri" w:cs="Times New Roman"/>
        </w:rPr>
        <w:t xml:space="preserve"> (i</w:t>
      </w:r>
      <w:r w:rsidR="00D95F15">
        <w:rPr>
          <w:rFonts w:eastAsia="Calibri" w:cs="Times New Roman"/>
        </w:rPr>
        <w:t>.</w:t>
      </w:r>
      <w:r>
        <w:rPr>
          <w:rFonts w:eastAsia="Calibri" w:cs="Times New Roman"/>
        </w:rPr>
        <w:t>e. PBS items)</w:t>
      </w:r>
      <w:r w:rsidRPr="005525B5">
        <w:rPr>
          <w:rFonts w:eastAsia="Calibri" w:cs="Times New Roman"/>
        </w:rPr>
        <w:t xml:space="preserve"> </w:t>
      </w:r>
      <w:r>
        <w:rPr>
          <w:rFonts w:eastAsia="Calibri" w:cs="Times New Roman"/>
        </w:rPr>
        <w:t>of the same drug were</w:t>
      </w:r>
      <w:r w:rsidRPr="005525B5">
        <w:rPr>
          <w:rFonts w:eastAsia="Calibri" w:cs="Times New Roman"/>
        </w:rPr>
        <w:t xml:space="preserve"> supplied on the same day </w:t>
      </w:r>
      <w:r>
        <w:rPr>
          <w:rFonts w:eastAsia="Calibri" w:cs="Times New Roman"/>
        </w:rPr>
        <w:t>it wa</w:t>
      </w:r>
      <w:r w:rsidRPr="005525B5">
        <w:rPr>
          <w:rFonts w:eastAsia="Calibri" w:cs="Times New Roman"/>
        </w:rPr>
        <w:t>s assumed that these strength</w:t>
      </w:r>
      <w:r>
        <w:rPr>
          <w:rFonts w:eastAsia="Calibri" w:cs="Times New Roman"/>
        </w:rPr>
        <w:t>s</w:t>
      </w:r>
      <w:r w:rsidRPr="005525B5">
        <w:rPr>
          <w:rFonts w:eastAsia="Calibri" w:cs="Times New Roman"/>
        </w:rPr>
        <w:t xml:space="preserve"> </w:t>
      </w:r>
      <w:r>
        <w:rPr>
          <w:rFonts w:eastAsia="Calibri" w:cs="Times New Roman"/>
        </w:rPr>
        <w:t>were</w:t>
      </w:r>
      <w:r w:rsidRPr="005525B5">
        <w:rPr>
          <w:rFonts w:eastAsia="Calibri" w:cs="Times New Roman"/>
        </w:rPr>
        <w:t xml:space="preserve"> taken concurrently</w:t>
      </w:r>
      <w:r>
        <w:rPr>
          <w:rFonts w:eastAsia="Calibri" w:cs="Times New Roman"/>
        </w:rPr>
        <w:t xml:space="preserve"> (i</w:t>
      </w:r>
      <w:r w:rsidR="00D95F15">
        <w:rPr>
          <w:rFonts w:eastAsia="Calibri" w:cs="Times New Roman"/>
        </w:rPr>
        <w:t>.</w:t>
      </w:r>
      <w:r>
        <w:rPr>
          <w:rFonts w:eastAsia="Calibri" w:cs="Times New Roman"/>
        </w:rPr>
        <w:t>e. were necessary to achie</w:t>
      </w:r>
      <w:r w:rsidR="00D95F15">
        <w:rPr>
          <w:rFonts w:eastAsia="Calibri" w:cs="Times New Roman"/>
        </w:rPr>
        <w:t>ve the prescribed dose). This was</w:t>
      </w:r>
      <w:r>
        <w:rPr>
          <w:rFonts w:eastAsia="Calibri" w:cs="Times New Roman"/>
        </w:rPr>
        <w:t xml:space="preserve"> not considered </w:t>
      </w:r>
      <w:r w:rsidR="007F5407">
        <w:rPr>
          <w:rFonts w:eastAsia="Calibri" w:cs="Times New Roman"/>
        </w:rPr>
        <w:t xml:space="preserve">to be </w:t>
      </w:r>
      <w:r>
        <w:rPr>
          <w:rFonts w:eastAsia="Calibri" w:cs="Times New Roman"/>
        </w:rPr>
        <w:t>stockpiling.</w:t>
      </w:r>
    </w:p>
    <w:p w14:paraId="7BF3D195" w14:textId="77777777" w:rsidR="003433FC" w:rsidRPr="00BB3170" w:rsidRDefault="003433FC" w:rsidP="00BB3170">
      <w:pPr>
        <w:autoSpaceDE w:val="0"/>
        <w:autoSpaceDN w:val="0"/>
        <w:adjustRightInd w:val="0"/>
        <w:spacing w:after="0"/>
        <w:rPr>
          <w:rFonts w:cs="Calibri Bold Italic+FPEF"/>
          <w:b/>
          <w:bCs/>
          <w:i/>
          <w:iCs/>
          <w:sz w:val="22"/>
          <w:szCs w:val="22"/>
        </w:rPr>
      </w:pPr>
      <w:r w:rsidRPr="00BB3170">
        <w:rPr>
          <w:rFonts w:cs="Calibri Bold Italic+FPEF"/>
          <w:b/>
          <w:bCs/>
          <w:i/>
          <w:iCs/>
          <w:sz w:val="22"/>
          <w:szCs w:val="22"/>
        </w:rPr>
        <w:t>Stockpiling</w:t>
      </w:r>
    </w:p>
    <w:p w14:paraId="00F31DA3" w14:textId="77777777" w:rsidR="00BB3170" w:rsidRDefault="00BB3170" w:rsidP="00BB3170">
      <w:pPr>
        <w:spacing w:after="0"/>
        <w:rPr>
          <w:rFonts w:eastAsia="Calibri" w:cs="Times New Roman"/>
        </w:rPr>
      </w:pPr>
    </w:p>
    <w:p w14:paraId="53BC3F15" w14:textId="12E3B1AF" w:rsidR="003433FC" w:rsidRDefault="008D4EE2" w:rsidP="00BB3170">
      <w:pPr>
        <w:spacing w:after="0"/>
        <w:rPr>
          <w:rFonts w:eastAsia="Calibri" w:cs="Times New Roman"/>
        </w:rPr>
      </w:pPr>
      <w:r>
        <w:rPr>
          <w:rFonts w:eastAsia="Calibri" w:cs="Times New Roman"/>
        </w:rPr>
        <w:t xml:space="preserve">Non-same </w:t>
      </w:r>
      <w:r w:rsidR="003433FC" w:rsidRPr="005525B5">
        <w:rPr>
          <w:rFonts w:eastAsia="Calibri" w:cs="Times New Roman"/>
        </w:rPr>
        <w:t>day stockpiling is when a patient gets the next supply of a drug earlier than expected (i</w:t>
      </w:r>
      <w:r>
        <w:rPr>
          <w:rFonts w:eastAsia="Calibri" w:cs="Times New Roman"/>
        </w:rPr>
        <w:t>.</w:t>
      </w:r>
      <w:r w:rsidR="003433FC" w:rsidRPr="005525B5">
        <w:rPr>
          <w:rFonts w:eastAsia="Calibri" w:cs="Times New Roman"/>
        </w:rPr>
        <w:t xml:space="preserve">e. before the median time to re-supply). This most commonly occurs late in the calendar year when a patient is on the PBS Safety Net. </w:t>
      </w:r>
      <w:r w:rsidR="00D87A37">
        <w:rPr>
          <w:rFonts w:eastAsia="Calibri" w:cs="Times New Roman"/>
        </w:rPr>
        <w:t>By not allowing for this</w:t>
      </w:r>
      <w:r w:rsidR="003433FC" w:rsidRPr="005525B5">
        <w:rPr>
          <w:rFonts w:eastAsia="Calibri" w:cs="Times New Roman"/>
        </w:rPr>
        <w:t xml:space="preserve"> a break in treatment may be imputed for a patient early in the calendar year</w:t>
      </w:r>
      <w:r w:rsidR="00D87A37">
        <w:rPr>
          <w:rFonts w:eastAsia="Calibri" w:cs="Times New Roman"/>
        </w:rPr>
        <w:t xml:space="preserve"> when</w:t>
      </w:r>
      <w:r w:rsidR="003433FC" w:rsidRPr="005525B5">
        <w:rPr>
          <w:rFonts w:eastAsia="Calibri" w:cs="Times New Roman"/>
        </w:rPr>
        <w:t xml:space="preserve"> the patient is simply consuming the stockpiled drug. </w:t>
      </w:r>
      <w:r w:rsidR="00A46D29">
        <w:rPr>
          <w:rFonts w:eastAsia="Calibri" w:cs="Times New Roman"/>
        </w:rPr>
        <w:t xml:space="preserve">Allowing for non-same </w:t>
      </w:r>
      <w:r w:rsidR="003433FC" w:rsidRPr="005525B5">
        <w:rPr>
          <w:rFonts w:eastAsia="Calibri" w:cs="Times New Roman"/>
        </w:rPr>
        <w:t xml:space="preserve">day stockpiling </w:t>
      </w:r>
      <w:r w:rsidR="00A46D29">
        <w:rPr>
          <w:rFonts w:eastAsia="Calibri" w:cs="Times New Roman"/>
        </w:rPr>
        <w:t>could result in a patient consistently having</w:t>
      </w:r>
      <w:r w:rsidR="003433FC" w:rsidRPr="005525B5">
        <w:rPr>
          <w:rFonts w:eastAsia="Calibri" w:cs="Times New Roman"/>
        </w:rPr>
        <w:t xml:space="preserve"> less than </w:t>
      </w:r>
      <w:r w:rsidR="00A46D29">
        <w:rPr>
          <w:rFonts w:eastAsia="Calibri" w:cs="Times New Roman"/>
        </w:rPr>
        <w:t xml:space="preserve">the </w:t>
      </w:r>
      <w:r w:rsidR="003433FC" w:rsidRPr="005525B5">
        <w:rPr>
          <w:rFonts w:eastAsia="Calibri" w:cs="Times New Roman"/>
        </w:rPr>
        <w:t>median time to re-supply (e</w:t>
      </w:r>
      <w:r w:rsidR="00A46D29">
        <w:rPr>
          <w:rFonts w:eastAsia="Calibri" w:cs="Times New Roman"/>
        </w:rPr>
        <w:t>.</w:t>
      </w:r>
      <w:r w:rsidR="003433FC" w:rsidRPr="005525B5">
        <w:rPr>
          <w:rFonts w:eastAsia="Calibri" w:cs="Times New Roman"/>
        </w:rPr>
        <w:t>g. because they have a high prescribed dose) and so the imputed coverage end date gets to be significant further than the real coverage end date. This means a break in tre</w:t>
      </w:r>
      <w:r w:rsidR="00A46D29">
        <w:rPr>
          <w:rFonts w:eastAsia="Calibri" w:cs="Times New Roman"/>
        </w:rPr>
        <w:t>atment may be missed. In this Kaplan-Meier</w:t>
      </w:r>
      <w:r w:rsidR="003433FC" w:rsidRPr="005525B5">
        <w:rPr>
          <w:rFonts w:eastAsia="Calibri" w:cs="Times New Roman"/>
        </w:rPr>
        <w:t xml:space="preserve"> analysis</w:t>
      </w:r>
      <w:r w:rsidR="00A46D29">
        <w:rPr>
          <w:rFonts w:eastAsia="Calibri" w:cs="Times New Roman"/>
        </w:rPr>
        <w:t>,</w:t>
      </w:r>
      <w:r w:rsidR="003433FC" w:rsidRPr="005525B5">
        <w:rPr>
          <w:rFonts w:eastAsia="Calibri" w:cs="Times New Roman"/>
        </w:rPr>
        <w:t xml:space="preserve"> non-same-day stockpiling was not allowed for because the risk of stockpiling of these drugs was considered low</w:t>
      </w:r>
      <w:r w:rsidR="003433FC">
        <w:rPr>
          <w:rFonts w:eastAsia="Calibri" w:cs="Times New Roman"/>
        </w:rPr>
        <w:t>.</w:t>
      </w:r>
    </w:p>
    <w:p w14:paraId="0AE66720" w14:textId="77777777" w:rsidR="007F5407" w:rsidRPr="005525B5" w:rsidRDefault="007F5407" w:rsidP="00BB3170">
      <w:pPr>
        <w:spacing w:after="0"/>
        <w:rPr>
          <w:rFonts w:eastAsia="Calibri" w:cs="Times New Roman"/>
        </w:rPr>
      </w:pPr>
    </w:p>
    <w:p w14:paraId="77CCEF81" w14:textId="78FCEEA1" w:rsidR="003433FC" w:rsidRDefault="00A46E07" w:rsidP="003433FC">
      <w:r>
        <w:rPr>
          <w:rFonts w:eastAsia="Calibri" w:cs="Times New Roman"/>
        </w:rPr>
        <w:t xml:space="preserve">Same </w:t>
      </w:r>
      <w:r w:rsidR="003433FC" w:rsidRPr="005525B5">
        <w:rPr>
          <w:rFonts w:eastAsia="Calibri" w:cs="Times New Roman"/>
        </w:rPr>
        <w:t xml:space="preserve">day stockpiling is deemed to have occurred when there are multiple supplies of the same PBS item on the same day. Supplies of </w:t>
      </w:r>
      <w:r w:rsidR="00327EB3">
        <w:rPr>
          <w:rFonts w:eastAsia="Calibri" w:cs="Times New Roman"/>
        </w:rPr>
        <w:t xml:space="preserve">different strengths on the same </w:t>
      </w:r>
      <w:r w:rsidR="003433FC" w:rsidRPr="005525B5">
        <w:rPr>
          <w:rFonts w:eastAsia="Calibri" w:cs="Times New Roman"/>
        </w:rPr>
        <w:t>day is deemed to be necessary for the supply of the prescribed dose and so</w:t>
      </w:r>
      <w:r w:rsidR="00BF6445">
        <w:rPr>
          <w:rFonts w:eastAsia="Calibri" w:cs="Times New Roman"/>
        </w:rPr>
        <w:t xml:space="preserve"> is</w:t>
      </w:r>
      <w:r w:rsidR="003433FC" w:rsidRPr="005525B5">
        <w:rPr>
          <w:rFonts w:eastAsia="Calibri" w:cs="Times New Roman"/>
        </w:rPr>
        <w:t xml:space="preserve"> not considered to be stockpiling. Multiple supplies of the same strength on the same day are most likely due to stockpiling (i</w:t>
      </w:r>
      <w:r w:rsidR="00BF6445">
        <w:rPr>
          <w:rFonts w:eastAsia="Calibri" w:cs="Times New Roman"/>
        </w:rPr>
        <w:t>.</w:t>
      </w:r>
      <w:r w:rsidR="003433FC" w:rsidRPr="005525B5">
        <w:rPr>
          <w:rFonts w:eastAsia="Calibri" w:cs="Times New Roman"/>
        </w:rPr>
        <w:t>e. if such a quantity were required for the prescribed dose then the prescriber should have requested an inc</w:t>
      </w:r>
      <w:r w:rsidR="00290CF6">
        <w:rPr>
          <w:rFonts w:eastAsia="Calibri" w:cs="Times New Roman"/>
        </w:rPr>
        <w:t xml:space="preserve">reased maximum quantity). Same </w:t>
      </w:r>
      <w:r w:rsidR="003433FC" w:rsidRPr="005525B5">
        <w:rPr>
          <w:rFonts w:eastAsia="Calibri" w:cs="Times New Roman"/>
        </w:rPr>
        <w:t>day stockpiling is taken into account in this analysis.</w:t>
      </w:r>
      <w:r w:rsidR="003433FC">
        <w:t xml:space="preserve"> </w:t>
      </w:r>
    </w:p>
    <w:p w14:paraId="406B1F5A" w14:textId="016B0542" w:rsidR="00585253" w:rsidRPr="003433FC" w:rsidRDefault="00585253" w:rsidP="00585253">
      <w:pPr>
        <w:autoSpaceDE w:val="0"/>
        <w:autoSpaceDN w:val="0"/>
        <w:adjustRightInd w:val="0"/>
        <w:spacing w:after="0"/>
        <w:rPr>
          <w:rFonts w:cs="Calibri Bold Italic+FPEF"/>
          <w:b/>
          <w:bCs/>
          <w:iCs/>
          <w:sz w:val="22"/>
          <w:szCs w:val="22"/>
        </w:rPr>
      </w:pPr>
      <w:r w:rsidRPr="003433FC">
        <w:rPr>
          <w:rFonts w:cs="Calibri Bold Italic+FPEF"/>
          <w:b/>
          <w:bCs/>
          <w:iCs/>
          <w:sz w:val="22"/>
          <w:szCs w:val="22"/>
        </w:rPr>
        <w:t>M</w:t>
      </w:r>
      <w:r>
        <w:rPr>
          <w:rFonts w:cs="Calibri Bold Italic+FPEF"/>
          <w:b/>
          <w:bCs/>
          <w:iCs/>
          <w:sz w:val="22"/>
          <w:szCs w:val="22"/>
        </w:rPr>
        <w:t>ethodology to estimate co-administration</w:t>
      </w:r>
    </w:p>
    <w:p w14:paraId="555138A8" w14:textId="77777777" w:rsidR="00BF6445" w:rsidRDefault="00BF6445" w:rsidP="00585253">
      <w:pPr>
        <w:spacing w:after="0"/>
      </w:pPr>
    </w:p>
    <w:p w14:paraId="4416CC32" w14:textId="13E28AE8" w:rsidR="00585253" w:rsidRPr="003C6919" w:rsidRDefault="00511E05" w:rsidP="00585253">
      <w:pPr>
        <w:spacing w:after="0"/>
        <w:rPr>
          <w:rFonts w:cstheme="minorHAnsi"/>
        </w:rPr>
      </w:pPr>
      <w:r>
        <w:rPr>
          <w:rFonts w:cstheme="minorHAnsi"/>
        </w:rPr>
        <w:t>Co</w:t>
      </w:r>
      <w:r w:rsidR="00585253" w:rsidRPr="003C6919">
        <w:rPr>
          <w:rFonts w:cstheme="minorHAnsi"/>
        </w:rPr>
        <w:t>-administration was estimated from the data in the following way</w:t>
      </w:r>
      <w:r>
        <w:rPr>
          <w:rFonts w:cstheme="minorHAnsi"/>
        </w:rPr>
        <w:t>:</w:t>
      </w:r>
    </w:p>
    <w:p w14:paraId="1DBAD608" w14:textId="77777777" w:rsidR="00585253" w:rsidRDefault="00585253" w:rsidP="00585253">
      <w:pPr>
        <w:spacing w:after="0"/>
        <w:rPr>
          <w:rFonts w:cstheme="minorHAnsi"/>
          <w:lang w:val="en-US"/>
        </w:rPr>
      </w:pPr>
    </w:p>
    <w:p w14:paraId="73794DC0" w14:textId="1E13A94D" w:rsidR="00585253" w:rsidRPr="003C6919" w:rsidRDefault="00585253" w:rsidP="00585253">
      <w:pPr>
        <w:spacing w:after="0"/>
        <w:rPr>
          <w:rFonts w:cstheme="minorHAnsi"/>
          <w:lang w:val="en-US"/>
        </w:rPr>
      </w:pPr>
      <w:r w:rsidRPr="003C6919">
        <w:rPr>
          <w:rFonts w:cstheme="minorHAnsi"/>
          <w:lang w:val="en-US"/>
        </w:rPr>
        <w:t>Step 1: Determine the estimated medication coverage days for</w:t>
      </w:r>
      <w:r w:rsidRPr="00585253">
        <w:rPr>
          <w:rFonts w:cstheme="minorHAnsi"/>
          <w:lang w:val="en-US"/>
        </w:rPr>
        <w:t xml:space="preserve"> each</w:t>
      </w:r>
      <w:r w:rsidRPr="003C6919">
        <w:rPr>
          <w:rFonts w:cstheme="minorHAnsi"/>
          <w:lang w:val="en-US"/>
        </w:rPr>
        <w:t xml:space="preserve"> drug or drug group. </w:t>
      </w:r>
    </w:p>
    <w:p w14:paraId="0FA8B3A4" w14:textId="77777777" w:rsidR="00585253" w:rsidRDefault="00585253" w:rsidP="00585253">
      <w:pPr>
        <w:spacing w:after="0"/>
        <w:rPr>
          <w:rFonts w:cstheme="minorHAnsi"/>
          <w:lang w:val="en-US"/>
        </w:rPr>
      </w:pPr>
      <w:r w:rsidRPr="003C6919">
        <w:rPr>
          <w:rFonts w:cstheme="minorHAnsi"/>
          <w:lang w:val="en-US"/>
        </w:rPr>
        <w:t>This mainly involves detecting breaks in treatment</w:t>
      </w:r>
      <w:r>
        <w:rPr>
          <w:rFonts w:cstheme="minorHAnsi"/>
          <w:lang w:val="en-US"/>
        </w:rPr>
        <w:t>. T</w:t>
      </w:r>
      <w:r w:rsidRPr="003C6919">
        <w:rPr>
          <w:rFonts w:cstheme="minorHAnsi"/>
          <w:lang w:val="en-US"/>
        </w:rPr>
        <w:t xml:space="preserve">he outcome is the start and estimated end date for each episode of treatment for each drug or drug group. </w:t>
      </w:r>
    </w:p>
    <w:p w14:paraId="49864B2E" w14:textId="77777777" w:rsidR="00585253" w:rsidRPr="003C6919" w:rsidRDefault="00585253" w:rsidP="00585253">
      <w:pPr>
        <w:spacing w:after="0"/>
        <w:rPr>
          <w:rFonts w:cstheme="minorHAnsi"/>
          <w:lang w:val="en-US"/>
        </w:rPr>
      </w:pPr>
    </w:p>
    <w:p w14:paraId="66D028F6" w14:textId="717735B0" w:rsidR="00585253" w:rsidRDefault="00585253" w:rsidP="00585253">
      <w:pPr>
        <w:spacing w:after="0"/>
        <w:rPr>
          <w:rFonts w:cstheme="minorHAnsi"/>
          <w:lang w:val="en-US"/>
        </w:rPr>
      </w:pPr>
      <w:r w:rsidRPr="003C6919">
        <w:rPr>
          <w:rFonts w:cstheme="minorHAnsi"/>
          <w:lang w:val="en-US"/>
        </w:rPr>
        <w:t xml:space="preserve">Step 2: Determine the estimated medication coverage days </w:t>
      </w:r>
      <w:r w:rsidRPr="00585253">
        <w:rPr>
          <w:rFonts w:cstheme="minorHAnsi"/>
          <w:lang w:val="en-US"/>
        </w:rPr>
        <w:t>across all</w:t>
      </w:r>
      <w:r w:rsidRPr="003C6919">
        <w:rPr>
          <w:rFonts w:cstheme="minorHAnsi"/>
          <w:lang w:val="en-US"/>
        </w:rPr>
        <w:t xml:space="preserve"> drug and drug group episodes defined in Step 1. The outcome is an estimated treatment regimen for each p</w:t>
      </w:r>
      <w:r>
        <w:rPr>
          <w:rFonts w:cstheme="minorHAnsi"/>
          <w:lang w:val="en-US"/>
        </w:rPr>
        <w:t>atient for every week</w:t>
      </w:r>
      <w:r w:rsidRPr="003C6919">
        <w:rPr>
          <w:rFonts w:cstheme="minorHAnsi"/>
          <w:lang w:val="en-US"/>
        </w:rPr>
        <w:t xml:space="preserve"> in the data period. </w:t>
      </w:r>
    </w:p>
    <w:p w14:paraId="46486F44" w14:textId="77777777" w:rsidR="00585253" w:rsidRDefault="00585253" w:rsidP="00585253">
      <w:pPr>
        <w:spacing w:after="0"/>
        <w:rPr>
          <w:rFonts w:cstheme="minorHAnsi"/>
          <w:lang w:val="en-US"/>
        </w:rPr>
      </w:pPr>
    </w:p>
    <w:p w14:paraId="56B1878D" w14:textId="77777777" w:rsidR="00585253" w:rsidRPr="003C6919" w:rsidRDefault="00585253" w:rsidP="00585253">
      <w:pPr>
        <w:rPr>
          <w:rFonts w:cstheme="minorHAnsi"/>
          <w:lang w:val="en-US"/>
        </w:rPr>
      </w:pPr>
      <w:r w:rsidRPr="003C6919">
        <w:rPr>
          <w:rFonts w:cstheme="minorHAnsi"/>
          <w:lang w:val="en-US"/>
        </w:rPr>
        <w:t>Similar methods have been used for assessing medicine use in Australian populations.</w:t>
      </w:r>
      <w:r w:rsidRPr="003C6919">
        <w:rPr>
          <w:rStyle w:val="FootnoteReference"/>
          <w:rFonts w:cstheme="minorHAnsi"/>
          <w:lang w:val="en-US"/>
        </w:rPr>
        <w:footnoteReference w:id="9"/>
      </w:r>
      <w:r w:rsidRPr="003C6919">
        <w:rPr>
          <w:rFonts w:cstheme="minorHAnsi"/>
          <w:vertAlign w:val="superscript"/>
          <w:lang w:val="en-US"/>
        </w:rPr>
        <w:t>,</w:t>
      </w:r>
      <w:r w:rsidRPr="003C6919">
        <w:rPr>
          <w:rStyle w:val="FootnoteReference"/>
          <w:rFonts w:cstheme="minorHAnsi"/>
          <w:lang w:val="en-US"/>
        </w:rPr>
        <w:footnoteReference w:id="10"/>
      </w:r>
      <w:r w:rsidRPr="003C6919">
        <w:rPr>
          <w:rFonts w:cstheme="minorHAnsi"/>
          <w:lang w:val="en-US"/>
        </w:rPr>
        <w:t xml:space="preserve"> Hallas</w:t>
      </w:r>
      <w:r w:rsidRPr="003C6919">
        <w:rPr>
          <w:rStyle w:val="FootnoteReference"/>
          <w:rFonts w:cstheme="minorHAnsi"/>
          <w:lang w:val="en-US"/>
        </w:rPr>
        <w:footnoteReference w:id="11"/>
      </w:r>
      <w:r w:rsidRPr="003C6919">
        <w:rPr>
          <w:rFonts w:cstheme="minorHAnsi"/>
          <w:lang w:val="en-US"/>
        </w:rPr>
        <w:t xml:space="preserve"> describes the method and provides references to early variants. </w:t>
      </w:r>
    </w:p>
    <w:p w14:paraId="63E159CB" w14:textId="77777777" w:rsidR="00585253" w:rsidRDefault="00585253" w:rsidP="00585253">
      <w:pPr>
        <w:spacing w:after="0"/>
        <w:rPr>
          <w:rFonts w:cstheme="minorHAnsi"/>
          <w:lang w:val="en-US"/>
        </w:rPr>
      </w:pPr>
    </w:p>
    <w:p w14:paraId="3A8B35F4" w14:textId="45F8B9DB" w:rsidR="00445D64" w:rsidRDefault="00445D64" w:rsidP="00445D64">
      <w:r>
        <w:t>Drug treatment regimens we</w:t>
      </w:r>
      <w:r w:rsidRPr="00C52D77">
        <w:t>re estimated</w:t>
      </w:r>
      <w:r>
        <w:t xml:space="preserve"> from prescription supply dates. T</w:t>
      </w:r>
      <w:r w:rsidRPr="00C52D77">
        <w:t xml:space="preserve">he estimated medication coverage days for </w:t>
      </w:r>
      <w:r w:rsidRPr="00445D64">
        <w:t>each</w:t>
      </w:r>
      <w:r w:rsidRPr="00C52D77">
        <w:t xml:space="preserve"> drug </w:t>
      </w:r>
      <w:r>
        <w:t>were determined</w:t>
      </w:r>
      <w:r w:rsidRPr="00C52D77">
        <w:t xml:space="preserve">. This </w:t>
      </w:r>
      <w:r>
        <w:t>involved</w:t>
      </w:r>
      <w:r w:rsidRPr="00C52D77">
        <w:t xml:space="preserve"> detecting bre</w:t>
      </w:r>
      <w:r>
        <w:t>aks in treatment. The outcome was</w:t>
      </w:r>
      <w:r w:rsidRPr="00C52D77">
        <w:t xml:space="preserve"> the start and estimated end date for each episode for each drug or drug group. </w:t>
      </w:r>
    </w:p>
    <w:p w14:paraId="71FEEA10" w14:textId="14C71C14" w:rsidR="00445D64" w:rsidRPr="00C52D77" w:rsidRDefault="000052C4" w:rsidP="00445D64">
      <w:r>
        <w:t>If the</w:t>
      </w:r>
      <w:r w:rsidRPr="00C52D77">
        <w:t xml:space="preserve"> medi</w:t>
      </w:r>
      <w:r>
        <w:t>cation coverage start date falled</w:t>
      </w:r>
      <w:r w:rsidRPr="00C52D77">
        <w:t xml:space="preserve"> in a particular calendar week (</w:t>
      </w:r>
      <w:r>
        <w:t>for prevalent patient analysis)</w:t>
      </w:r>
      <w:r w:rsidRPr="00C52D77">
        <w:t xml:space="preserve"> or week since initiation (for initiation analysis) t</w:t>
      </w:r>
      <w:r>
        <w:t>hen the medication was</w:t>
      </w:r>
      <w:r w:rsidRPr="00C52D77">
        <w:t xml:space="preserve"> deemed to cover that week. The same rule was applied to the medication coverage end date.</w:t>
      </w:r>
    </w:p>
    <w:p w14:paraId="0054301C" w14:textId="77777777" w:rsidR="000052C4" w:rsidRDefault="000052C4" w:rsidP="000052C4">
      <w:pPr>
        <w:spacing w:after="0"/>
      </w:pPr>
      <w:r>
        <w:t>Once estimated drug regimens were determined for every week,   transitions between drugs were computed. These are useful for determining patient behaviour upon initiation of a drug; e.g. A</w:t>
      </w:r>
      <w:r w:rsidRPr="005E6C3B">
        <w:rPr>
          <w:rFonts w:cstheme="minorHAnsi"/>
          <w:lang w:val="en-US"/>
        </w:rPr>
        <w:sym w:font="Wingdings" w:char="F0E0"/>
      </w:r>
      <w:r>
        <w:t>A+B (adding to existing therapy), A</w:t>
      </w:r>
      <w:r w:rsidRPr="005E6C3B">
        <w:rPr>
          <w:rFonts w:cstheme="minorHAnsi"/>
          <w:lang w:val="en-US"/>
        </w:rPr>
        <w:sym w:font="Wingdings" w:char="F0E0"/>
      </w:r>
      <w:r>
        <w:t>B (switching) or None</w:t>
      </w:r>
      <w:r w:rsidRPr="005E6C3B">
        <w:rPr>
          <w:rFonts w:cstheme="minorHAnsi"/>
          <w:lang w:val="en-US"/>
        </w:rPr>
        <w:sym w:font="Wingdings" w:char="F0E0"/>
      </w:r>
      <w:r>
        <w:t>A (starting therapy).</w:t>
      </w:r>
    </w:p>
    <w:p w14:paraId="3419E8B1" w14:textId="77777777" w:rsidR="000052C4" w:rsidRDefault="000052C4" w:rsidP="000052C4">
      <w:pPr>
        <w:spacing w:after="0"/>
      </w:pPr>
    </w:p>
    <w:p w14:paraId="38C64623" w14:textId="566E097C" w:rsidR="000052C4" w:rsidRPr="005E6C3B" w:rsidRDefault="000052C4" w:rsidP="000052C4">
      <w:pPr>
        <w:spacing w:after="0"/>
        <w:rPr>
          <w:rFonts w:cstheme="minorHAnsi"/>
          <w:lang w:val="en-US"/>
        </w:rPr>
      </w:pPr>
      <w:r>
        <w:rPr>
          <w:rFonts w:cstheme="minorHAnsi"/>
          <w:lang w:val="en-US"/>
        </w:rPr>
        <w:t>The transitions can be:</w:t>
      </w:r>
    </w:p>
    <w:p w14:paraId="297D8DC0" w14:textId="77777777" w:rsidR="000052C4" w:rsidRPr="005E6C3B" w:rsidRDefault="000052C4" w:rsidP="000052C4">
      <w:pPr>
        <w:pStyle w:val="ListParagraph"/>
        <w:numPr>
          <w:ilvl w:val="0"/>
          <w:numId w:val="21"/>
        </w:numPr>
        <w:spacing w:after="0"/>
        <w:rPr>
          <w:rFonts w:cstheme="minorHAnsi"/>
          <w:lang w:val="en-US"/>
        </w:rPr>
      </w:pPr>
      <w:r w:rsidRPr="005E6C3B">
        <w:rPr>
          <w:rFonts w:cstheme="minorHAnsi"/>
          <w:lang w:val="en-US"/>
        </w:rPr>
        <w:t xml:space="preserve">previous drug regimen </w:t>
      </w:r>
      <w:r w:rsidRPr="005E6C3B">
        <w:rPr>
          <w:rFonts w:cstheme="minorHAnsi"/>
          <w:lang w:val="en-US"/>
        </w:rPr>
        <w:sym w:font="Wingdings" w:char="F0E0"/>
      </w:r>
      <w:r w:rsidRPr="005E6C3B">
        <w:rPr>
          <w:rFonts w:cstheme="minorHAnsi"/>
          <w:lang w:val="en-US"/>
        </w:rPr>
        <w:t>drug regimen at week x, or</w:t>
      </w:r>
    </w:p>
    <w:p w14:paraId="50B3C93A" w14:textId="77777777" w:rsidR="000052C4" w:rsidRPr="00CC7E61" w:rsidRDefault="000052C4" w:rsidP="000052C4">
      <w:pPr>
        <w:pStyle w:val="ListParagraph"/>
        <w:numPr>
          <w:ilvl w:val="0"/>
          <w:numId w:val="21"/>
        </w:numPr>
        <w:spacing w:after="0"/>
        <w:rPr>
          <w:rFonts w:cstheme="minorHAnsi"/>
          <w:lang w:val="en-US"/>
        </w:rPr>
      </w:pPr>
      <w:r w:rsidRPr="00CC7E61">
        <w:rPr>
          <w:rFonts w:cstheme="minorHAnsi"/>
          <w:lang w:val="en-US"/>
        </w:rPr>
        <w:t>drug regimen at w</w:t>
      </w:r>
      <w:r>
        <w:rPr>
          <w:rFonts w:cstheme="minorHAnsi"/>
          <w:lang w:val="en-US"/>
        </w:rPr>
        <w:t xml:space="preserve">eek -1 </w:t>
      </w:r>
      <w:r w:rsidRPr="005E6C3B">
        <w:rPr>
          <w:rFonts w:cstheme="minorHAnsi"/>
          <w:lang w:val="en-US"/>
        </w:rPr>
        <w:sym w:font="Wingdings" w:char="F0E0"/>
      </w:r>
      <w:r w:rsidRPr="00CC7E61">
        <w:rPr>
          <w:rFonts w:cstheme="minorHAnsi"/>
          <w:lang w:val="en-US"/>
        </w:rPr>
        <w:t>drug regimen at week x</w:t>
      </w:r>
    </w:p>
    <w:p w14:paraId="6100A9C9" w14:textId="77777777" w:rsidR="000052C4" w:rsidRDefault="000052C4" w:rsidP="000052C4">
      <w:pPr>
        <w:spacing w:after="0"/>
        <w:rPr>
          <w:rFonts w:cstheme="minorHAnsi"/>
          <w:lang w:val="en-US"/>
        </w:rPr>
      </w:pPr>
    </w:p>
    <w:p w14:paraId="1C3BA50B" w14:textId="77777777" w:rsidR="000052C4" w:rsidRPr="005E6C3B" w:rsidRDefault="000052C4" w:rsidP="000052C4">
      <w:pPr>
        <w:spacing w:after="0"/>
        <w:rPr>
          <w:rFonts w:cstheme="minorHAnsi"/>
          <w:lang w:val="en-US"/>
        </w:rPr>
      </w:pPr>
      <w:r w:rsidRPr="005E6C3B">
        <w:rPr>
          <w:rFonts w:cstheme="minorHAnsi"/>
          <w:lang w:val="en-US"/>
        </w:rPr>
        <w:t xml:space="preserve">Option A has the advantage that it can be calculated at any week, whereas Option B can only be calculated after initiation (i.e. from week 0). The main advantages of Option B are that it can easily be used to adjust the drug regimen in the first few weeks after initiation to allow for switching when the prior medication is not fully used. That is, if a patient switches from A to B, in the first few weeks after initiation to drug B the drug regimen may be incorrectly estimated to be A+B if the patient still has drug A “on hand” (i.e. some is unused) when drug B is initiated. </w:t>
      </w:r>
    </w:p>
    <w:p w14:paraId="39FA382A" w14:textId="77777777" w:rsidR="000052C4" w:rsidRDefault="000052C4" w:rsidP="000052C4">
      <w:pPr>
        <w:spacing w:after="0"/>
        <w:rPr>
          <w:rFonts w:cstheme="minorHAnsi"/>
          <w:lang w:val="en-US"/>
        </w:rPr>
      </w:pPr>
    </w:p>
    <w:p w14:paraId="37374AD9" w14:textId="77777777" w:rsidR="000052C4" w:rsidRDefault="000052C4" w:rsidP="000052C4">
      <w:pPr>
        <w:spacing w:after="0"/>
        <w:rPr>
          <w:rFonts w:cstheme="minorHAnsi"/>
          <w:lang w:val="en-US"/>
        </w:rPr>
      </w:pPr>
      <w:r w:rsidRPr="005E6C3B">
        <w:rPr>
          <w:rFonts w:cstheme="minorHAnsi"/>
          <w:lang w:val="en-US"/>
        </w:rPr>
        <w:t>The regimen transitions are adjusted so that if a regimen transition corresponding to a switch (e.g. A</w:t>
      </w:r>
      <w:r w:rsidRPr="005E6C3B">
        <w:rPr>
          <w:rFonts w:cstheme="minorHAnsi"/>
          <w:lang w:val="en-US"/>
        </w:rPr>
        <w:sym w:font="Wingdings" w:char="F0E0"/>
      </w:r>
      <w:r w:rsidRPr="005E6C3B">
        <w:rPr>
          <w:rFonts w:cstheme="minorHAnsi"/>
          <w:lang w:val="en-US"/>
        </w:rPr>
        <w:t xml:space="preserve">B) is detected within the first </w:t>
      </w:r>
      <w:r>
        <w:rPr>
          <w:rFonts w:cstheme="minorHAnsi"/>
          <w:lang w:val="en-US"/>
        </w:rPr>
        <w:t>X</w:t>
      </w:r>
      <w:r w:rsidRPr="005E6C3B">
        <w:rPr>
          <w:rFonts w:cstheme="minorHAnsi"/>
          <w:lang w:val="en-US"/>
        </w:rPr>
        <w:t xml:space="preserve"> weeks after initiation (e.g. at week </w:t>
      </w:r>
      <w:r>
        <w:rPr>
          <w:rFonts w:cstheme="minorHAnsi"/>
          <w:lang w:val="en-US"/>
        </w:rPr>
        <w:t>Y</w:t>
      </w:r>
      <w:r w:rsidRPr="005E6C3B">
        <w:rPr>
          <w:rFonts w:cstheme="minorHAnsi"/>
          <w:lang w:val="en-US"/>
        </w:rPr>
        <w:t xml:space="preserve">), then all weeks between the initiation (i.e. week 0) and week </w:t>
      </w:r>
      <w:r>
        <w:rPr>
          <w:rFonts w:cstheme="minorHAnsi"/>
          <w:lang w:val="en-US"/>
        </w:rPr>
        <w:t>Y</w:t>
      </w:r>
      <w:r w:rsidRPr="005E6C3B">
        <w:rPr>
          <w:rFonts w:cstheme="minorHAnsi"/>
          <w:lang w:val="en-US"/>
        </w:rPr>
        <w:t xml:space="preserve"> are modified to the switch transition (i.e. A-B). This means some instances of "A</w:t>
      </w:r>
      <w:r w:rsidRPr="005E6C3B">
        <w:rPr>
          <w:rFonts w:cstheme="minorHAnsi"/>
          <w:lang w:val="en-US"/>
        </w:rPr>
        <w:sym w:font="Wingdings" w:char="F0E0"/>
      </w:r>
      <w:r w:rsidRPr="005E6C3B">
        <w:rPr>
          <w:rFonts w:cstheme="minorHAnsi"/>
          <w:lang w:val="en-US"/>
        </w:rPr>
        <w:t>A+B" (apparent co-administration after a switch) are modified to "A</w:t>
      </w:r>
      <w:r w:rsidRPr="005E6C3B">
        <w:rPr>
          <w:rFonts w:cstheme="minorHAnsi"/>
          <w:lang w:val="en-US"/>
        </w:rPr>
        <w:sym w:font="Wingdings" w:char="F0E0"/>
      </w:r>
      <w:r w:rsidRPr="005E6C3B">
        <w:rPr>
          <w:rFonts w:cstheme="minorHAnsi"/>
          <w:lang w:val="en-US"/>
        </w:rPr>
        <w:t xml:space="preserve">B" from week 0 to week </w:t>
      </w:r>
      <w:r>
        <w:rPr>
          <w:rFonts w:cstheme="minorHAnsi"/>
          <w:lang w:val="en-US"/>
        </w:rPr>
        <w:t>Y</w:t>
      </w:r>
      <w:r w:rsidRPr="005E6C3B">
        <w:rPr>
          <w:rFonts w:cstheme="minorHAnsi"/>
          <w:lang w:val="en-US"/>
        </w:rPr>
        <w:t xml:space="preserve"> (where </w:t>
      </w:r>
      <w:r>
        <w:rPr>
          <w:rFonts w:cstheme="minorHAnsi"/>
          <w:lang w:val="en-US"/>
        </w:rPr>
        <w:t>Y</w:t>
      </w:r>
      <w:r w:rsidRPr="005E6C3B">
        <w:rPr>
          <w:rFonts w:cstheme="minorHAnsi"/>
          <w:lang w:val="en-US"/>
        </w:rPr>
        <w:t xml:space="preserve"> ≤</w:t>
      </w:r>
      <w:r>
        <w:rPr>
          <w:rFonts w:cstheme="minorHAnsi"/>
          <w:lang w:val="en-US"/>
        </w:rPr>
        <w:t xml:space="preserve"> X</w:t>
      </w:r>
      <w:r w:rsidRPr="005E6C3B">
        <w:rPr>
          <w:rFonts w:cstheme="minorHAnsi"/>
          <w:lang w:val="en-US"/>
        </w:rPr>
        <w:t>).</w:t>
      </w:r>
      <w:r>
        <w:rPr>
          <w:rFonts w:cstheme="minorHAnsi"/>
          <w:lang w:val="en-US"/>
        </w:rPr>
        <w:t xml:space="preserve"> The value of X is the 1 week + SCD (expressed in weeks) for the drug or drug group that is being substituted.</w:t>
      </w:r>
    </w:p>
    <w:p w14:paraId="005BC0AA" w14:textId="77777777" w:rsidR="000052C4" w:rsidRPr="005E6C3B" w:rsidRDefault="000052C4" w:rsidP="000052C4">
      <w:pPr>
        <w:spacing w:after="0"/>
        <w:rPr>
          <w:rFonts w:cstheme="minorHAnsi"/>
          <w:lang w:val="en-US"/>
        </w:rPr>
      </w:pPr>
    </w:p>
    <w:p w14:paraId="5F3F34FB" w14:textId="1599D728" w:rsidR="000052C4" w:rsidRDefault="000052C4" w:rsidP="000052C4">
      <w:pPr>
        <w:spacing w:after="0"/>
        <w:rPr>
          <w:rFonts w:cstheme="minorHAnsi"/>
          <w:lang w:val="en-US"/>
        </w:rPr>
      </w:pPr>
      <w:r>
        <w:rPr>
          <w:rFonts w:cstheme="minorHAnsi"/>
          <w:lang w:val="en-US"/>
        </w:rPr>
        <w:t>If</w:t>
      </w:r>
      <w:r w:rsidRPr="005E6C3B">
        <w:rPr>
          <w:rFonts w:cstheme="minorHAnsi"/>
          <w:lang w:val="en-US"/>
        </w:rPr>
        <w:t xml:space="preserve"> </w:t>
      </w:r>
      <w:r>
        <w:rPr>
          <w:rFonts w:cstheme="minorHAnsi"/>
          <w:lang w:val="en-US"/>
        </w:rPr>
        <w:t xml:space="preserve">a drug A </w:t>
      </w:r>
      <w:r w:rsidRPr="005E6C3B">
        <w:rPr>
          <w:rFonts w:cstheme="minorHAnsi"/>
          <w:lang w:val="en-US"/>
        </w:rPr>
        <w:t xml:space="preserve">was supplied 1 day before an initiation to </w:t>
      </w:r>
      <w:r>
        <w:rPr>
          <w:rFonts w:cstheme="minorHAnsi"/>
          <w:lang w:val="en-US"/>
        </w:rPr>
        <w:t>drug B</w:t>
      </w:r>
      <w:r w:rsidRPr="005E6C3B">
        <w:rPr>
          <w:rFonts w:cstheme="minorHAnsi"/>
          <w:lang w:val="en-US"/>
        </w:rPr>
        <w:t xml:space="preserve"> and then there were no further supplies of </w:t>
      </w:r>
      <w:r>
        <w:rPr>
          <w:rFonts w:cstheme="minorHAnsi"/>
          <w:lang w:val="en-US"/>
        </w:rPr>
        <w:t>drug A</w:t>
      </w:r>
      <w:r w:rsidRPr="005E6C3B">
        <w:rPr>
          <w:rFonts w:cstheme="minorHAnsi"/>
          <w:lang w:val="en-US"/>
        </w:rPr>
        <w:t xml:space="preserve">, then there would be apparent co-administration of </w:t>
      </w:r>
      <w:r>
        <w:rPr>
          <w:rFonts w:cstheme="minorHAnsi"/>
          <w:lang w:val="en-US"/>
        </w:rPr>
        <w:t>A</w:t>
      </w:r>
      <w:r w:rsidRPr="005E6C3B">
        <w:rPr>
          <w:rFonts w:cstheme="minorHAnsi"/>
          <w:lang w:val="en-US"/>
        </w:rPr>
        <w:t xml:space="preserve"> and </w:t>
      </w:r>
      <w:r>
        <w:rPr>
          <w:rFonts w:cstheme="minorHAnsi"/>
          <w:lang w:val="en-US"/>
        </w:rPr>
        <w:t>B</w:t>
      </w:r>
      <w:r w:rsidRPr="005E6C3B">
        <w:rPr>
          <w:rFonts w:cstheme="minorHAnsi"/>
          <w:lang w:val="en-US"/>
        </w:rPr>
        <w:t xml:space="preserve"> from week 0 to week </w:t>
      </w:r>
      <w:r>
        <w:rPr>
          <w:rFonts w:cstheme="minorHAnsi"/>
          <w:lang w:val="en-US"/>
        </w:rPr>
        <w:t xml:space="preserve">X-1 and </w:t>
      </w:r>
      <w:r w:rsidRPr="005E6C3B">
        <w:rPr>
          <w:rFonts w:cstheme="minorHAnsi"/>
          <w:lang w:val="en-US"/>
        </w:rPr>
        <w:t xml:space="preserve">in week </w:t>
      </w:r>
      <w:r>
        <w:rPr>
          <w:rFonts w:cstheme="minorHAnsi"/>
          <w:lang w:val="en-US"/>
        </w:rPr>
        <w:t>X</w:t>
      </w:r>
      <w:r w:rsidRPr="005E6C3B">
        <w:rPr>
          <w:rFonts w:cstheme="minorHAnsi"/>
          <w:lang w:val="en-US"/>
        </w:rPr>
        <w:t xml:space="preserve"> the drug regimen would be </w:t>
      </w:r>
      <w:r>
        <w:rPr>
          <w:rFonts w:cstheme="minorHAnsi"/>
          <w:lang w:val="en-US"/>
        </w:rPr>
        <w:t>drug B</w:t>
      </w:r>
      <w:r w:rsidRPr="005E6C3B">
        <w:rPr>
          <w:rFonts w:cstheme="minorHAnsi"/>
          <w:lang w:val="en-US"/>
        </w:rPr>
        <w:t xml:space="preserve"> only and considered a switch</w:t>
      </w:r>
      <w:r>
        <w:rPr>
          <w:rFonts w:cstheme="minorHAnsi"/>
          <w:lang w:val="en-US"/>
        </w:rPr>
        <w:t>. Thus the regimens from weeks 0 to X-1 would be modified to be drug B only</w:t>
      </w:r>
      <w:r w:rsidRPr="005E6C3B">
        <w:rPr>
          <w:rFonts w:cstheme="minorHAnsi"/>
          <w:lang w:val="en-US"/>
        </w:rPr>
        <w:t xml:space="preserve">. If a switch is first detected in week </w:t>
      </w:r>
      <w:r>
        <w:rPr>
          <w:rFonts w:cstheme="minorHAnsi"/>
          <w:lang w:val="en-US"/>
        </w:rPr>
        <w:t xml:space="preserve">X +1 </w:t>
      </w:r>
      <w:r w:rsidRPr="005E6C3B">
        <w:rPr>
          <w:rFonts w:cstheme="minorHAnsi"/>
          <w:lang w:val="en-US"/>
        </w:rPr>
        <w:t xml:space="preserve">then the </w:t>
      </w:r>
      <w:r>
        <w:rPr>
          <w:rFonts w:cstheme="minorHAnsi"/>
          <w:lang w:val="en-US"/>
        </w:rPr>
        <w:t xml:space="preserve">A </w:t>
      </w:r>
      <w:r w:rsidRPr="005E6C3B">
        <w:rPr>
          <w:rFonts w:cstheme="minorHAnsi"/>
          <w:lang w:val="en-US"/>
        </w:rPr>
        <w:t xml:space="preserve">script would have been supplied in week 0 (i.e. at or after initiation to </w:t>
      </w:r>
      <w:r>
        <w:rPr>
          <w:rFonts w:cstheme="minorHAnsi"/>
          <w:lang w:val="en-US"/>
        </w:rPr>
        <w:t>drug B</w:t>
      </w:r>
      <w:r w:rsidRPr="005E6C3B">
        <w:rPr>
          <w:rFonts w:cstheme="minorHAnsi"/>
          <w:lang w:val="en-US"/>
        </w:rPr>
        <w:t>) and this would mean that the tran</w:t>
      </w:r>
      <w:r>
        <w:rPr>
          <w:rFonts w:cstheme="minorHAnsi"/>
          <w:lang w:val="en-US"/>
        </w:rPr>
        <w:t>sition was not a switch</w:t>
      </w:r>
      <w:r w:rsidRPr="005E6C3B">
        <w:rPr>
          <w:rFonts w:cstheme="minorHAnsi"/>
          <w:lang w:val="en-US"/>
        </w:rPr>
        <w:t xml:space="preserve"> but an add</w:t>
      </w:r>
      <w:r>
        <w:rPr>
          <w:rFonts w:cstheme="minorHAnsi"/>
          <w:lang w:val="en-US"/>
        </w:rPr>
        <w:t>ition</w:t>
      </w:r>
      <w:r w:rsidRPr="005E6C3B">
        <w:rPr>
          <w:rFonts w:cstheme="minorHAnsi"/>
          <w:lang w:val="en-US"/>
        </w:rPr>
        <w:t xml:space="preserve">. Thus the logic is only applied to weeks 0 to </w:t>
      </w:r>
      <w:r>
        <w:rPr>
          <w:rFonts w:cstheme="minorHAnsi"/>
          <w:lang w:val="en-US"/>
        </w:rPr>
        <w:t>X</w:t>
      </w:r>
      <w:r w:rsidRPr="005E6C3B">
        <w:rPr>
          <w:rFonts w:cstheme="minorHAnsi"/>
          <w:lang w:val="en-US"/>
        </w:rPr>
        <w:t xml:space="preserve">. </w:t>
      </w:r>
    </w:p>
    <w:p w14:paraId="49DFD998" w14:textId="77777777" w:rsidR="000052C4" w:rsidRPr="005E6C3B" w:rsidRDefault="000052C4" w:rsidP="000052C4">
      <w:pPr>
        <w:spacing w:after="0"/>
        <w:rPr>
          <w:rFonts w:cstheme="minorHAnsi"/>
          <w:lang w:val="en-US"/>
        </w:rPr>
      </w:pPr>
    </w:p>
    <w:p w14:paraId="3AA8C8FA" w14:textId="1461FB0A" w:rsidR="000052C4" w:rsidRPr="005E6C3B" w:rsidRDefault="000052C4" w:rsidP="000052C4">
      <w:pPr>
        <w:spacing w:after="0"/>
        <w:rPr>
          <w:rFonts w:cstheme="minorHAnsi"/>
          <w:lang w:val="en-US"/>
        </w:rPr>
      </w:pPr>
      <w:r>
        <w:rPr>
          <w:rFonts w:cstheme="minorHAnsi"/>
          <w:lang w:val="en-US"/>
        </w:rPr>
        <w:t>A transition was</w:t>
      </w:r>
      <w:r w:rsidRPr="005E6C3B">
        <w:rPr>
          <w:rFonts w:cstheme="minorHAnsi"/>
          <w:lang w:val="en-US"/>
        </w:rPr>
        <w:t xml:space="preserve"> considered a switch if a drug in the regimen prior to ini</w:t>
      </w:r>
      <w:r>
        <w:rPr>
          <w:rFonts w:cstheme="minorHAnsi"/>
          <w:lang w:val="en-US"/>
        </w:rPr>
        <w:t>tiation (the week=-1 regimen) was</w:t>
      </w:r>
      <w:r w:rsidRPr="005E6C3B">
        <w:rPr>
          <w:rFonts w:cstheme="minorHAnsi"/>
          <w:lang w:val="en-US"/>
        </w:rPr>
        <w:t xml:space="preserve"> not in the regimen post initia</w:t>
      </w:r>
      <w:r>
        <w:rPr>
          <w:rFonts w:cstheme="minorHAnsi"/>
          <w:lang w:val="en-US"/>
        </w:rPr>
        <w:t xml:space="preserve">tion (i.e. the week=0 regimen). </w:t>
      </w:r>
      <w:r w:rsidRPr="005E6C3B">
        <w:rPr>
          <w:rFonts w:cstheme="minorHAnsi"/>
          <w:lang w:val="en-US"/>
        </w:rPr>
        <w:t xml:space="preserve">After this transition adjustment, the drug regimens can </w:t>
      </w:r>
      <w:r>
        <w:rPr>
          <w:rFonts w:cstheme="minorHAnsi"/>
          <w:lang w:val="en-US"/>
        </w:rPr>
        <w:t>were</w:t>
      </w:r>
      <w:r w:rsidRPr="005E6C3B">
        <w:rPr>
          <w:rFonts w:cstheme="minorHAnsi"/>
          <w:lang w:val="en-US"/>
        </w:rPr>
        <w:t xml:space="preserve"> adjusted by using the regimen after the arrow in the adjusted regimen transitio</w:t>
      </w:r>
      <w:r>
        <w:rPr>
          <w:rFonts w:cstheme="minorHAnsi"/>
          <w:lang w:val="en-US"/>
        </w:rPr>
        <w:t>n. That is, if a transition got</w:t>
      </w:r>
      <w:r w:rsidRPr="005E6C3B">
        <w:rPr>
          <w:rFonts w:cstheme="minorHAnsi"/>
          <w:lang w:val="en-US"/>
        </w:rPr>
        <w:t xml:space="preserve"> adjusted from A</w:t>
      </w:r>
      <w:r w:rsidRPr="005E6C3B">
        <w:rPr>
          <w:rFonts w:cstheme="minorHAnsi"/>
          <w:lang w:val="en-US"/>
        </w:rPr>
        <w:sym w:font="Wingdings" w:char="F0E0"/>
      </w:r>
      <w:r w:rsidRPr="005E6C3B">
        <w:rPr>
          <w:rFonts w:cstheme="minorHAnsi"/>
          <w:lang w:val="en-US"/>
        </w:rPr>
        <w:t>A+B to A</w:t>
      </w:r>
      <w:r w:rsidRPr="005E6C3B">
        <w:rPr>
          <w:rFonts w:cstheme="minorHAnsi"/>
          <w:lang w:val="en-US"/>
        </w:rPr>
        <w:sym w:font="Wingdings" w:char="F0E0"/>
      </w:r>
      <w:r w:rsidRPr="005E6C3B">
        <w:rPr>
          <w:rFonts w:cstheme="minorHAnsi"/>
          <w:lang w:val="en-US"/>
        </w:rPr>
        <w:t xml:space="preserve">B in week </w:t>
      </w:r>
      <w:r>
        <w:rPr>
          <w:rFonts w:cstheme="minorHAnsi"/>
          <w:lang w:val="en-US"/>
        </w:rPr>
        <w:t>Y</w:t>
      </w:r>
      <w:r w:rsidRPr="005E6C3B">
        <w:rPr>
          <w:rFonts w:cstheme="minorHAnsi"/>
          <w:lang w:val="en-US"/>
        </w:rPr>
        <w:t xml:space="preserve"> then the adjusted drug regimen for week </w:t>
      </w:r>
      <w:r>
        <w:rPr>
          <w:rFonts w:cstheme="minorHAnsi"/>
          <w:lang w:val="en-US"/>
        </w:rPr>
        <w:t>Y</w:t>
      </w:r>
      <w:r w:rsidRPr="005E6C3B">
        <w:rPr>
          <w:rFonts w:cstheme="minorHAnsi"/>
          <w:lang w:val="en-US"/>
        </w:rPr>
        <w:t xml:space="preserve"> ch</w:t>
      </w:r>
      <w:r>
        <w:rPr>
          <w:rFonts w:cstheme="minorHAnsi"/>
          <w:lang w:val="en-US"/>
        </w:rPr>
        <w:t>anged</w:t>
      </w:r>
      <w:r w:rsidRPr="005E6C3B">
        <w:rPr>
          <w:rFonts w:cstheme="minorHAnsi"/>
          <w:lang w:val="en-US"/>
        </w:rPr>
        <w:t xml:space="preserve"> from A+B to B. Thus even though the drug regimen is calculated first, its adjustment is dependent on both the regimen transition and adj</w:t>
      </w:r>
      <w:r>
        <w:rPr>
          <w:rFonts w:cstheme="minorHAnsi"/>
          <w:lang w:val="en-US"/>
        </w:rPr>
        <w:t>usted regimen transition. T</w:t>
      </w:r>
      <w:r w:rsidR="0015667C">
        <w:rPr>
          <w:rFonts w:cstheme="minorHAnsi"/>
          <w:lang w:val="en-US"/>
        </w:rPr>
        <w:t>he sequence of calculation steps</w:t>
      </w:r>
      <w:r>
        <w:rPr>
          <w:rFonts w:cstheme="minorHAnsi"/>
          <w:lang w:val="en-US"/>
        </w:rPr>
        <w:t xml:space="preserve"> </w:t>
      </w:r>
      <w:r w:rsidR="003C626A">
        <w:rPr>
          <w:rFonts w:cstheme="minorHAnsi"/>
          <w:lang w:val="en-US"/>
        </w:rPr>
        <w:t>was</w:t>
      </w:r>
      <w:r>
        <w:rPr>
          <w:rFonts w:cstheme="minorHAnsi"/>
          <w:lang w:val="en-US"/>
        </w:rPr>
        <w:t>:</w:t>
      </w:r>
    </w:p>
    <w:p w14:paraId="7832FF53" w14:textId="77777777" w:rsidR="000052C4" w:rsidRPr="005E6C3B" w:rsidRDefault="000052C4" w:rsidP="000052C4">
      <w:pPr>
        <w:pStyle w:val="ListParagraph"/>
        <w:numPr>
          <w:ilvl w:val="0"/>
          <w:numId w:val="22"/>
        </w:numPr>
        <w:spacing w:after="0"/>
        <w:rPr>
          <w:rFonts w:cstheme="minorHAnsi"/>
          <w:lang w:val="en-US"/>
        </w:rPr>
      </w:pPr>
      <w:r w:rsidRPr="005E6C3B">
        <w:rPr>
          <w:rFonts w:cstheme="minorHAnsi"/>
          <w:lang w:val="en-US"/>
        </w:rPr>
        <w:t>drug regimens</w:t>
      </w:r>
    </w:p>
    <w:p w14:paraId="577A118E" w14:textId="77777777" w:rsidR="000052C4" w:rsidRPr="005E6C3B" w:rsidRDefault="000052C4" w:rsidP="000052C4">
      <w:pPr>
        <w:pStyle w:val="ListParagraph"/>
        <w:numPr>
          <w:ilvl w:val="0"/>
          <w:numId w:val="22"/>
        </w:numPr>
        <w:spacing w:after="0"/>
        <w:rPr>
          <w:rFonts w:cstheme="minorHAnsi"/>
          <w:lang w:val="en-US"/>
        </w:rPr>
      </w:pPr>
      <w:r w:rsidRPr="005E6C3B">
        <w:rPr>
          <w:rFonts w:cstheme="minorHAnsi"/>
          <w:lang w:val="en-US"/>
        </w:rPr>
        <w:t>drug regimen transitions around initiation</w:t>
      </w:r>
    </w:p>
    <w:p w14:paraId="01005EEA" w14:textId="77777777" w:rsidR="000052C4" w:rsidRPr="005E6C3B" w:rsidRDefault="000052C4" w:rsidP="000052C4">
      <w:pPr>
        <w:pStyle w:val="ListParagraph"/>
        <w:numPr>
          <w:ilvl w:val="0"/>
          <w:numId w:val="22"/>
        </w:numPr>
        <w:spacing w:after="0"/>
        <w:rPr>
          <w:rFonts w:cstheme="minorHAnsi"/>
          <w:lang w:val="en-US"/>
        </w:rPr>
      </w:pPr>
      <w:r w:rsidRPr="005E6C3B">
        <w:rPr>
          <w:rFonts w:cstheme="minorHAnsi"/>
          <w:lang w:val="en-US"/>
        </w:rPr>
        <w:t>adjusted drug regimen transitions</w:t>
      </w:r>
    </w:p>
    <w:p w14:paraId="0645E0D2" w14:textId="77777777" w:rsidR="000052C4" w:rsidRDefault="000052C4" w:rsidP="000052C4">
      <w:pPr>
        <w:pStyle w:val="ListParagraph"/>
        <w:numPr>
          <w:ilvl w:val="0"/>
          <w:numId w:val="22"/>
        </w:numPr>
        <w:spacing w:after="0"/>
        <w:rPr>
          <w:rFonts w:cstheme="minorHAnsi"/>
          <w:lang w:val="en-US"/>
        </w:rPr>
      </w:pPr>
      <w:r w:rsidRPr="005E6C3B">
        <w:rPr>
          <w:rFonts w:cstheme="minorHAnsi"/>
          <w:lang w:val="en-US"/>
        </w:rPr>
        <w:t>adjusted drug regimens</w:t>
      </w:r>
    </w:p>
    <w:p w14:paraId="6217DC37" w14:textId="77777777" w:rsidR="000052C4" w:rsidRDefault="000052C4" w:rsidP="000052C4">
      <w:pPr>
        <w:spacing w:after="0"/>
        <w:rPr>
          <w:rFonts w:cstheme="minorHAnsi"/>
        </w:rPr>
      </w:pPr>
    </w:p>
    <w:p w14:paraId="41CE9967" w14:textId="01BEB3E7" w:rsidR="000052C4" w:rsidRDefault="000052C4" w:rsidP="000052C4">
      <w:pPr>
        <w:spacing w:after="0"/>
        <w:rPr>
          <w:rFonts w:cstheme="minorHAnsi"/>
        </w:rPr>
      </w:pPr>
      <w:r w:rsidRPr="004649AB">
        <w:rPr>
          <w:rFonts w:cstheme="minorHAnsi"/>
        </w:rPr>
        <w:t xml:space="preserve">The above adjustment process </w:t>
      </w:r>
      <w:r w:rsidR="007A5228">
        <w:rPr>
          <w:rFonts w:cstheme="minorHAnsi"/>
        </w:rPr>
        <w:t>considers</w:t>
      </w:r>
      <w:r w:rsidRPr="004649AB">
        <w:rPr>
          <w:rFonts w:cstheme="minorHAnsi"/>
        </w:rPr>
        <w:t xml:space="preserve"> drug initiations. If the analysis is for prevalent drug regimens only (i.e. regimens by calendar week and not relative to an initiation date) </w:t>
      </w:r>
      <w:r w:rsidR="007A5228">
        <w:rPr>
          <w:rFonts w:cstheme="minorHAnsi"/>
        </w:rPr>
        <w:t>then the above adjustments were not</w:t>
      </w:r>
      <w:r w:rsidRPr="004649AB">
        <w:rPr>
          <w:rFonts w:cstheme="minorHAnsi"/>
        </w:rPr>
        <w:t xml:space="preserve"> possible. This </w:t>
      </w:r>
      <w:r w:rsidR="006B7D08">
        <w:rPr>
          <w:rFonts w:cstheme="minorHAnsi"/>
        </w:rPr>
        <w:t>was considered to have</w:t>
      </w:r>
      <w:r w:rsidR="007A5228">
        <w:rPr>
          <w:rFonts w:cstheme="minorHAnsi"/>
        </w:rPr>
        <w:t xml:space="preserve"> a minor impact</w:t>
      </w:r>
      <w:r w:rsidRPr="004649AB">
        <w:rPr>
          <w:rFonts w:cstheme="minorHAnsi"/>
        </w:rPr>
        <w:t xml:space="preserve"> as the overestimation of co-administration (e.g. A</w:t>
      </w:r>
      <w:r w:rsidRPr="005E6C3B">
        <w:sym w:font="Wingdings" w:char="F0E0"/>
      </w:r>
      <w:r w:rsidRPr="004649AB">
        <w:rPr>
          <w:rFonts w:cstheme="minorHAnsi"/>
        </w:rPr>
        <w:t>A+B instead of A</w:t>
      </w:r>
      <w:r w:rsidRPr="005E6C3B">
        <w:sym w:font="Wingdings" w:char="F0E0"/>
      </w:r>
      <w:r w:rsidR="006B7D08">
        <w:rPr>
          <w:rFonts w:cstheme="minorHAnsi"/>
        </w:rPr>
        <w:t>B) would be</w:t>
      </w:r>
      <w:r w:rsidRPr="004649AB">
        <w:rPr>
          <w:rFonts w:cstheme="minorHAnsi"/>
        </w:rPr>
        <w:t xml:space="preserve"> greatest in the month after initiation. In a prevalent patient analysis, patient initiations (to any and </w:t>
      </w:r>
      <w:r w:rsidRPr="004649AB">
        <w:rPr>
          <w:rFonts w:cstheme="minorHAnsi"/>
        </w:rPr>
        <w:lastRenderedPageBreak/>
        <w:t>all drugs) are spread out in time (i.e. all patients do not generally initiate in the same week), and so the overestimation is also spread out o</w:t>
      </w:r>
      <w:r w:rsidR="007A5228">
        <w:rPr>
          <w:rFonts w:cstheme="minorHAnsi"/>
        </w:rPr>
        <w:t>ver time and so minimised. In the</w:t>
      </w:r>
      <w:r w:rsidRPr="004649AB">
        <w:rPr>
          <w:rFonts w:cstheme="minorHAnsi"/>
        </w:rPr>
        <w:t xml:space="preserve"> initia</w:t>
      </w:r>
      <w:r w:rsidR="007A5228">
        <w:rPr>
          <w:rFonts w:cstheme="minorHAnsi"/>
        </w:rPr>
        <w:t>ting patient analysis, all over</w:t>
      </w:r>
      <w:r w:rsidRPr="004649AB">
        <w:rPr>
          <w:rFonts w:cstheme="minorHAnsi"/>
        </w:rPr>
        <w:t>estimations occur</w:t>
      </w:r>
      <w:r w:rsidR="007A5228">
        <w:rPr>
          <w:rFonts w:cstheme="minorHAnsi"/>
        </w:rPr>
        <w:t>red</w:t>
      </w:r>
      <w:r w:rsidRPr="004649AB">
        <w:rPr>
          <w:rFonts w:cstheme="minorHAnsi"/>
        </w:rPr>
        <w:t xml:space="preserve"> at the same time (as time is relative to the initiation week) and so the overestimation is significant and so needs </w:t>
      </w:r>
      <w:r w:rsidR="007A5228">
        <w:rPr>
          <w:rFonts w:cstheme="minorHAnsi"/>
        </w:rPr>
        <w:t>to be adjusted for.  For the</w:t>
      </w:r>
      <w:r w:rsidRPr="004649AB">
        <w:rPr>
          <w:rFonts w:cstheme="minorHAnsi"/>
        </w:rPr>
        <w:t xml:space="preserve"> p</w:t>
      </w:r>
      <w:r w:rsidR="007A5228">
        <w:rPr>
          <w:rFonts w:cstheme="minorHAnsi"/>
        </w:rPr>
        <w:t>revalent patient analysis, it would have been</w:t>
      </w:r>
      <w:r w:rsidRPr="004649AB">
        <w:rPr>
          <w:rFonts w:cstheme="minorHAnsi"/>
        </w:rPr>
        <w:t xml:space="preserve"> possible to do an initiatio</w:t>
      </w:r>
      <w:r w:rsidR="007A5228">
        <w:rPr>
          <w:rFonts w:cstheme="minorHAnsi"/>
        </w:rPr>
        <w:t>n analysis for every drug and</w:t>
      </w:r>
      <w:r w:rsidRPr="004649AB">
        <w:rPr>
          <w:rFonts w:cstheme="minorHAnsi"/>
        </w:rPr>
        <w:t xml:space="preserve"> find adjusted drug regimens t</w:t>
      </w:r>
      <w:r w:rsidR="007A5228">
        <w:rPr>
          <w:rFonts w:cstheme="minorHAnsi"/>
        </w:rPr>
        <w:t>hat could</w:t>
      </w:r>
      <w:r w:rsidRPr="004649AB">
        <w:rPr>
          <w:rFonts w:cstheme="minorHAnsi"/>
        </w:rPr>
        <w:t xml:space="preserve"> then be re-expressed in cal</w:t>
      </w:r>
      <w:r w:rsidR="007A5228">
        <w:rPr>
          <w:rFonts w:cstheme="minorHAnsi"/>
        </w:rPr>
        <w:t>endar weeks. In practice this was considered to be too resource intensive and would be</w:t>
      </w:r>
      <w:r w:rsidRPr="004649AB">
        <w:rPr>
          <w:rFonts w:cstheme="minorHAnsi"/>
        </w:rPr>
        <w:t xml:space="preserve"> unlikely to be make a significant difference to the prevalent patient drug regimens.</w:t>
      </w:r>
    </w:p>
    <w:p w14:paraId="35CAAD37" w14:textId="77777777" w:rsidR="007A5228" w:rsidRDefault="007A5228" w:rsidP="000052C4">
      <w:pPr>
        <w:spacing w:after="0"/>
        <w:rPr>
          <w:rFonts w:cstheme="minorHAnsi"/>
        </w:rPr>
      </w:pPr>
    </w:p>
    <w:p w14:paraId="462065F9" w14:textId="1EE637C9" w:rsidR="003C626A" w:rsidRPr="00344683" w:rsidRDefault="006B7D08" w:rsidP="0015667C">
      <w:pPr>
        <w:spacing w:after="0"/>
        <w:rPr>
          <w:rFonts w:cstheme="minorHAnsi"/>
        </w:rPr>
      </w:pPr>
      <w:r>
        <w:rPr>
          <w:rFonts w:cstheme="minorHAnsi"/>
        </w:rPr>
        <w:t>Stockpiling may occur</w:t>
      </w:r>
      <w:r w:rsidR="003C626A" w:rsidRPr="00344683">
        <w:rPr>
          <w:rFonts w:cstheme="minorHAnsi"/>
        </w:rPr>
        <w:t xml:space="preserve"> towards the end of the calendar year when a Safety Net card holder fills prescription</w:t>
      </w:r>
      <w:r>
        <w:rPr>
          <w:rFonts w:cstheme="minorHAnsi"/>
        </w:rPr>
        <w:t>s more frequently than expected</w:t>
      </w:r>
      <w:r w:rsidR="003C626A" w:rsidRPr="00344683">
        <w:rPr>
          <w:rFonts w:cstheme="minorHAnsi"/>
        </w:rPr>
        <w:t xml:space="preserve"> so as to stockpile the medicine and avoid a higher co-payment in the next calendar year when they lose Safety Net eligibility. Stockpiling can also occur at other times of the year. </w:t>
      </w:r>
      <w:r w:rsidR="0015667C">
        <w:rPr>
          <w:rFonts w:cstheme="minorHAnsi"/>
        </w:rPr>
        <w:t>H</w:t>
      </w:r>
      <w:r w:rsidR="003C626A" w:rsidRPr="00344683">
        <w:rPr>
          <w:rFonts w:cstheme="minorHAnsi"/>
        </w:rPr>
        <w:t>igher rates of breaks in episodes around February</w:t>
      </w:r>
      <w:r w:rsidR="0015667C">
        <w:rPr>
          <w:rFonts w:cstheme="minorHAnsi"/>
        </w:rPr>
        <w:t xml:space="preserve"> could occur from </w:t>
      </w:r>
      <w:r w:rsidR="003C626A" w:rsidRPr="00344683">
        <w:rPr>
          <w:rFonts w:cstheme="minorHAnsi"/>
        </w:rPr>
        <w:t>the stockpiling effect and not due to genuine breaks in treatment. Thus the rule to estimate the prescription coverage end date wa</w:t>
      </w:r>
      <w:r w:rsidR="0015667C">
        <w:rPr>
          <w:rFonts w:cstheme="minorHAnsi"/>
        </w:rPr>
        <w:t>s modified to be the greater of:</w:t>
      </w:r>
    </w:p>
    <w:p w14:paraId="63F4DE71" w14:textId="2A014BC1" w:rsidR="003C626A" w:rsidRDefault="003C626A" w:rsidP="0015667C">
      <w:pPr>
        <w:pStyle w:val="ListParagraph"/>
        <w:numPr>
          <w:ilvl w:val="0"/>
          <w:numId w:val="23"/>
        </w:numPr>
        <w:spacing w:after="0"/>
        <w:ind w:left="360"/>
      </w:pPr>
      <w:r w:rsidRPr="00344683">
        <w:t>the predicted coverage end date of the previous prescription plus the st</w:t>
      </w:r>
      <w:r w:rsidR="0015667C">
        <w:t>andard coverage days (SCD);  or</w:t>
      </w:r>
    </w:p>
    <w:p w14:paraId="44067ED9" w14:textId="77777777" w:rsidR="003C626A" w:rsidRDefault="003C626A" w:rsidP="0015667C">
      <w:pPr>
        <w:pStyle w:val="ListParagraph"/>
        <w:numPr>
          <w:ilvl w:val="0"/>
          <w:numId w:val="23"/>
        </w:numPr>
        <w:spacing w:after="0"/>
        <w:ind w:left="360"/>
      </w:pPr>
      <w:r w:rsidRPr="00344683">
        <w:t>the actual refill date of the previous prescription plus the SCD.</w:t>
      </w:r>
    </w:p>
    <w:p w14:paraId="0EC3F72B" w14:textId="77777777" w:rsidR="0015667C" w:rsidRDefault="0015667C" w:rsidP="0015667C">
      <w:pPr>
        <w:spacing w:after="0"/>
      </w:pPr>
    </w:p>
    <w:p w14:paraId="45FFAAE3" w14:textId="5BC36025" w:rsidR="00475D8D" w:rsidRDefault="003C626A" w:rsidP="0015667C">
      <w:pPr>
        <w:spacing w:after="0"/>
      </w:pPr>
      <w:r>
        <w:t>This way of calculating the prescription coverage end date takes into account medication stockpiling (i.e. early supply). The logic of the break r</w:t>
      </w:r>
      <w:r w:rsidR="00475D8D">
        <w:t xml:space="preserve">ule remained unchanged, that is </w:t>
      </w:r>
      <w:r>
        <w:t>a break was where a prescription was supplied 2 x SCD or more after the coverage end date of the previous prescription for the same drug or drug group.</w:t>
      </w:r>
      <w:r w:rsidR="00475D8D">
        <w:t xml:space="preserve"> </w:t>
      </w:r>
      <w:r>
        <w:t xml:space="preserve">Application of this </w:t>
      </w:r>
      <w:r w:rsidR="00475D8D">
        <w:t>refinement reduces</w:t>
      </w:r>
      <w:r>
        <w:t xml:space="preserve"> the extent of seasonality in the number of breaks in episodes.</w:t>
      </w:r>
    </w:p>
    <w:p w14:paraId="714C64F9" w14:textId="77777777" w:rsidR="00475D8D" w:rsidRDefault="00475D8D" w:rsidP="0015667C">
      <w:pPr>
        <w:spacing w:after="0"/>
      </w:pPr>
    </w:p>
    <w:p w14:paraId="10D09907" w14:textId="0A014799" w:rsidR="003C626A" w:rsidRDefault="003C626A" w:rsidP="0015667C">
      <w:pPr>
        <w:spacing w:after="0"/>
      </w:pPr>
      <w:r>
        <w:t>If multiple prescriptions of the same drug (but not the same strength) are supplied on the same day, it was assumed that these were necessary for the prescribed dose for the SCD and not for an extension of coverage.</w:t>
      </w:r>
      <w:r w:rsidR="00511E05">
        <w:t xml:space="preserve"> </w:t>
      </w:r>
      <w:r>
        <w:t>If multiple pr</w:t>
      </w:r>
      <w:r w:rsidR="00475D8D">
        <w:t>escriptions of the same drug are</w:t>
      </w:r>
      <w:r>
        <w:t xml:space="preserve"> supplied it is generally for two different strengths to enable the prescribed dose to be administered. If two prescriptions for the same strength (as opposed to increased quantity for a single script) are supplied, the method assumes this is similar to stockpiling (i.e. same day stockpiling) and the predicted coverage end date i</w:t>
      </w:r>
      <w:r w:rsidR="00475D8D">
        <w:t>s extended to be the greater of:</w:t>
      </w:r>
    </w:p>
    <w:p w14:paraId="2D8B674D" w14:textId="5F3A18A8" w:rsidR="003C626A" w:rsidRDefault="003C626A" w:rsidP="003C626A">
      <w:pPr>
        <w:pStyle w:val="ListParagraph"/>
        <w:numPr>
          <w:ilvl w:val="0"/>
          <w:numId w:val="24"/>
        </w:numPr>
        <w:ind w:left="360"/>
      </w:pPr>
      <w:r>
        <w:t>the predicted coverage end date of the previous</w:t>
      </w:r>
      <w:r w:rsidR="00475D8D">
        <w:t xml:space="preserve"> prescription plus n x SCD; or</w:t>
      </w:r>
    </w:p>
    <w:p w14:paraId="5806D2EE" w14:textId="77777777" w:rsidR="003C626A" w:rsidRDefault="003C626A" w:rsidP="003C626A">
      <w:pPr>
        <w:pStyle w:val="ListParagraph"/>
        <w:numPr>
          <w:ilvl w:val="0"/>
          <w:numId w:val="24"/>
        </w:numPr>
        <w:spacing w:after="0"/>
        <w:ind w:left="360"/>
      </w:pPr>
      <w:r>
        <w:t>the actual refill date of the previous prescription plus n x SCD</w:t>
      </w:r>
    </w:p>
    <w:p w14:paraId="18D6EC20" w14:textId="77777777" w:rsidR="003C626A" w:rsidRDefault="003C626A" w:rsidP="003C626A">
      <w:r>
        <w:t>where n = number of prescriptions on the same day.</w:t>
      </w:r>
    </w:p>
    <w:p w14:paraId="4AB700D1" w14:textId="471D77F9" w:rsidR="003C626A" w:rsidRDefault="003C626A" w:rsidP="003C626A">
      <w:r>
        <w:t>A special case of multiple prescriptions being supplied on the same day is Regulation 24 prescriptions.</w:t>
      </w:r>
      <w:r w:rsidR="00475D8D">
        <w:t xml:space="preserve"> </w:t>
      </w:r>
      <w:r>
        <w:t>If the original and repeat prescriptions were supplied under Reg</w:t>
      </w:r>
      <w:r w:rsidR="00475D8D">
        <w:t xml:space="preserve">ulation 24 on the same day, </w:t>
      </w:r>
      <w:r>
        <w:t>this was assumed to extend the coverage period (i.e. coverage period = prescriptions x SCD).</w:t>
      </w:r>
    </w:p>
    <w:p w14:paraId="57929282" w14:textId="34958E64" w:rsidR="00136DCE" w:rsidRDefault="00136DCE" w:rsidP="00136DCE">
      <w:r>
        <w:t xml:space="preserve">The stockpiling rule could result in the script coverage end date getting considerably ahead of the script supply date. To correct for this, the script coverage rule was changed so that if the script coverage period for drug A included the initiation date for drug B, then the stockpiling rule would not apply to the drug A script (i.e. its coverage would be from its </w:t>
      </w:r>
      <w:r>
        <w:lastRenderedPageBreak/>
        <w:t>supply date to the supply date + SCD). The rationale for this change was that even if the patient has a lot of drug A on hand, the decision by the prescriber to initiate a new drug means that a switch could have occurred.</w:t>
      </w:r>
    </w:p>
    <w:p w14:paraId="766512D6" w14:textId="77777777" w:rsidR="006F5A2B" w:rsidRDefault="006F5A2B" w:rsidP="006F5A2B">
      <w:r>
        <w:t>If the last script in a patients script history is supplied within 2 x SCD of the end of the data period then the treatment is estimated to be continuing at the end of the data period (i.e. the episode coverage end date is set to the end date of the data period). Otherwise the treatment episode is estimated to have stopped and the episode coverage end date is equal to If the last script in a patients script history plus 1 x SCD.</w:t>
      </w:r>
    </w:p>
    <w:p w14:paraId="0AAB9824" w14:textId="10F56D58" w:rsidR="00564395" w:rsidRPr="003433FC" w:rsidRDefault="00564395" w:rsidP="00564395">
      <w:pPr>
        <w:autoSpaceDE w:val="0"/>
        <w:autoSpaceDN w:val="0"/>
        <w:adjustRightInd w:val="0"/>
        <w:spacing w:after="0"/>
        <w:rPr>
          <w:rFonts w:cs="Calibri Bold Italic+FPEF"/>
          <w:b/>
          <w:bCs/>
          <w:iCs/>
          <w:sz w:val="22"/>
          <w:szCs w:val="22"/>
        </w:rPr>
      </w:pPr>
      <w:r>
        <w:t xml:space="preserve">The standard coverage days used in this analysis are summarised in the table above under </w:t>
      </w:r>
      <w:r w:rsidRPr="00564395">
        <w:t>‘</w:t>
      </w:r>
      <w:r w:rsidRPr="00564395">
        <w:rPr>
          <w:rFonts w:cs="Calibri Bold Italic+FPEF"/>
          <w:bCs/>
          <w:iCs/>
          <w:sz w:val="22"/>
          <w:szCs w:val="22"/>
        </w:rPr>
        <w:t>Methodology for Kaplan Meier length of treatment analyses’.</w:t>
      </w:r>
    </w:p>
    <w:p w14:paraId="60E0CF78" w14:textId="2B8F59AF" w:rsidR="00564395" w:rsidRDefault="00564395" w:rsidP="006F5A2B"/>
    <w:p w14:paraId="6CF39471" w14:textId="40EE59F3" w:rsidR="00737CB7" w:rsidRDefault="00737CB7">
      <w:pPr>
        <w:spacing w:line="276" w:lineRule="auto"/>
      </w:pPr>
      <w:r>
        <w:br w:type="page"/>
      </w:r>
    </w:p>
    <w:p w14:paraId="22939423" w14:textId="4D378BE5" w:rsidR="00737CB7" w:rsidRPr="004554CF" w:rsidRDefault="00737CB7" w:rsidP="00737CB7">
      <w:pPr>
        <w:rPr>
          <w:rFonts w:cs="Calibri Bold+FPEF"/>
          <w:b/>
          <w:bCs/>
          <w:sz w:val="22"/>
          <w:szCs w:val="22"/>
        </w:rPr>
      </w:pPr>
      <w:r w:rsidRPr="00AD4B28">
        <w:rPr>
          <w:rFonts w:cstheme="minorHAnsi"/>
          <w:b/>
        </w:rPr>
        <w:lastRenderedPageBreak/>
        <w:t xml:space="preserve">Appendix </w:t>
      </w:r>
      <w:r w:rsidR="00AC4095">
        <w:rPr>
          <w:rFonts w:cstheme="minorHAnsi"/>
          <w:b/>
        </w:rPr>
        <w:t>E</w:t>
      </w:r>
    </w:p>
    <w:p w14:paraId="12A6D01E" w14:textId="3885F5D2" w:rsidR="00737CB7" w:rsidRPr="00BE73CD" w:rsidRDefault="00737CB7" w:rsidP="00737CB7">
      <w:pPr>
        <w:autoSpaceDE w:val="0"/>
        <w:autoSpaceDN w:val="0"/>
        <w:adjustRightInd w:val="0"/>
        <w:spacing w:after="0"/>
        <w:rPr>
          <w:rFonts w:cs="Calibri Bold Italic+FPEF"/>
          <w:b/>
          <w:bCs/>
          <w:iCs/>
        </w:rPr>
      </w:pPr>
      <w:r w:rsidRPr="00BE73CD">
        <w:rPr>
          <w:rFonts w:cs="Calibri Bold Italic+FPEF"/>
          <w:b/>
          <w:bCs/>
          <w:iCs/>
        </w:rPr>
        <w:t>Methodology to estimate prevalent patients receiving natalizumab</w:t>
      </w:r>
    </w:p>
    <w:p w14:paraId="4B137E27" w14:textId="77777777" w:rsidR="00BE73CD" w:rsidRDefault="00BE73CD" w:rsidP="00BE73CD">
      <w:pPr>
        <w:spacing w:after="0"/>
      </w:pPr>
    </w:p>
    <w:p w14:paraId="1F73A6F5" w14:textId="6694D226" w:rsidR="00511EE7" w:rsidRDefault="00511EE7" w:rsidP="003C626A">
      <w:r>
        <w:t>Highly Specialised Drugs data for public hospital supplies only became fully available from July 2013</w:t>
      </w:r>
      <w:r w:rsidR="009C7A96">
        <w:t>, as shown in the following figure for natalizumab:</w:t>
      </w:r>
    </w:p>
    <w:p w14:paraId="40E8BFCB" w14:textId="6F5FFA99" w:rsidR="00A073B5" w:rsidRDefault="00511EE7" w:rsidP="003C626A">
      <w:r>
        <w:rPr>
          <w:noProof/>
        </w:rPr>
        <w:drawing>
          <wp:inline distT="0" distB="0" distL="0" distR="0" wp14:anchorId="501DA137" wp14:editId="26CD6EB9">
            <wp:extent cx="5687695" cy="3456976"/>
            <wp:effectExtent l="0" t="0" r="27305"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634474B" w14:textId="42F0639D" w:rsidR="00737CB7" w:rsidRPr="00511EE7" w:rsidRDefault="00511EE7" w:rsidP="003C626A">
      <w:pPr>
        <w:rPr>
          <w:sz w:val="20"/>
          <w:szCs w:val="20"/>
        </w:rPr>
      </w:pPr>
      <w:r w:rsidRPr="00511EE7">
        <w:rPr>
          <w:sz w:val="20"/>
          <w:szCs w:val="20"/>
        </w:rPr>
        <w:t>Source: DUSC database, August 2015</w:t>
      </w:r>
    </w:p>
    <w:p w14:paraId="7E349977" w14:textId="772418C9" w:rsidR="00511EE7" w:rsidRDefault="006941B7" w:rsidP="003C626A">
      <w:r>
        <w:t>The following methods were used to estimate the number of patients accessing the S100 Public listing of natalizumab to provide indicative figures for the total number of patients using RRMS therapy.</w:t>
      </w:r>
    </w:p>
    <w:p w14:paraId="3ED7D247" w14:textId="05C169A9" w:rsidR="006941B7" w:rsidRPr="00A87CAF" w:rsidRDefault="006941B7" w:rsidP="003C626A">
      <w:pPr>
        <w:rPr>
          <w:b/>
        </w:rPr>
      </w:pPr>
      <w:r w:rsidRPr="00A87CAF">
        <w:rPr>
          <w:b/>
        </w:rPr>
        <w:t xml:space="preserve">Step 1: </w:t>
      </w:r>
      <w:r w:rsidR="00CC21F9">
        <w:rPr>
          <w:b/>
        </w:rPr>
        <w:t>Derivation of</w:t>
      </w:r>
      <w:r w:rsidR="00962B3D" w:rsidRPr="00A87CAF">
        <w:rPr>
          <w:b/>
        </w:rPr>
        <w:t xml:space="preserve"> the number of scripts per patient for the S100 public listing for natalizumab in 2014 as the assumption of scripts per patient before July 2013.</w:t>
      </w:r>
    </w:p>
    <w:p w14:paraId="64952873" w14:textId="72074F49" w:rsidR="00962B3D" w:rsidRDefault="00962B3D" w:rsidP="003C626A">
      <w:r>
        <w:t xml:space="preserve">An analysis of the PBS </w:t>
      </w:r>
      <w:r w:rsidRPr="00962B3D">
        <w:t>DHS Prescription database data</w:t>
      </w:r>
      <w:r w:rsidR="00A87CAF">
        <w:t xml:space="preserve"> identified 1,842 patients received 17,775 S100 public prescriptions. This gave an average of 9.6 scripts per patient.</w:t>
      </w:r>
    </w:p>
    <w:p w14:paraId="4B3CAEB6" w14:textId="0D043342" w:rsidR="00A87CAF" w:rsidRDefault="00164DCC" w:rsidP="003C626A">
      <w:pPr>
        <w:rPr>
          <w:b/>
        </w:rPr>
      </w:pPr>
      <w:r>
        <w:rPr>
          <w:b/>
        </w:rPr>
        <w:t xml:space="preserve">Step 2: </w:t>
      </w:r>
      <w:r w:rsidR="00CC21F9">
        <w:rPr>
          <w:b/>
        </w:rPr>
        <w:t>P</w:t>
      </w:r>
      <w:r w:rsidR="00C964F9">
        <w:rPr>
          <w:b/>
        </w:rPr>
        <w:t>ublic vs private splits for natalizuma</w:t>
      </w:r>
      <w:r w:rsidR="00CC21F9">
        <w:rPr>
          <w:b/>
        </w:rPr>
        <w:t xml:space="preserve">b based on the utilisation of </w:t>
      </w:r>
      <w:r w:rsidR="00C964F9">
        <w:rPr>
          <w:b/>
        </w:rPr>
        <w:t>packs</w:t>
      </w:r>
      <w:r w:rsidR="00CC21F9">
        <w:rPr>
          <w:b/>
        </w:rPr>
        <w:t xml:space="preserve"> was obtained</w:t>
      </w:r>
      <w:r w:rsidR="00C964F9">
        <w:rPr>
          <w:b/>
        </w:rPr>
        <w:t>.</w:t>
      </w:r>
    </w:p>
    <w:tbl>
      <w:tblPr>
        <w:tblW w:w="8200" w:type="dxa"/>
        <w:tblInd w:w="93" w:type="dxa"/>
        <w:tblLook w:val="04A0" w:firstRow="1" w:lastRow="0" w:firstColumn="1" w:lastColumn="0" w:noHBand="0" w:noVBand="1"/>
      </w:tblPr>
      <w:tblGrid>
        <w:gridCol w:w="1480"/>
        <w:gridCol w:w="1120"/>
        <w:gridCol w:w="960"/>
        <w:gridCol w:w="960"/>
        <w:gridCol w:w="960"/>
        <w:gridCol w:w="960"/>
        <w:gridCol w:w="1760"/>
      </w:tblGrid>
      <w:tr w:rsidR="00C964F9" w:rsidRPr="00C964F9" w14:paraId="701A8424" w14:textId="77777777" w:rsidTr="00CC21F9">
        <w:trPr>
          <w:trHeight w:val="330"/>
        </w:trPr>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31AE1AFB" w14:textId="77777777" w:rsidR="00C964F9" w:rsidRPr="00C964F9" w:rsidRDefault="00C964F9" w:rsidP="00CC21F9">
            <w:pPr>
              <w:spacing w:after="0"/>
              <w:jc w:val="center"/>
              <w:rPr>
                <w:rFonts w:ascii="Calibri" w:eastAsia="Times New Roman" w:hAnsi="Calibri" w:cs="Times New Roman"/>
                <w:b/>
                <w:bCs/>
                <w:color w:val="000000"/>
                <w:sz w:val="22"/>
                <w:szCs w:val="22"/>
              </w:rPr>
            </w:pPr>
            <w:r w:rsidRPr="00C964F9">
              <w:rPr>
                <w:rFonts w:ascii="Calibri" w:eastAsia="Times New Roman" w:hAnsi="Calibri" w:cs="Times New Roman"/>
                <w:b/>
                <w:bCs/>
                <w:color w:val="000000"/>
                <w:sz w:val="22"/>
                <w:szCs w:val="22"/>
              </w:rPr>
              <w:t>Script type</w:t>
            </w:r>
          </w:p>
        </w:tc>
        <w:tc>
          <w:tcPr>
            <w:tcW w:w="1120" w:type="dxa"/>
            <w:tcBorders>
              <w:top w:val="single" w:sz="4" w:space="0" w:color="auto"/>
              <w:left w:val="nil"/>
              <w:bottom w:val="single" w:sz="4" w:space="0" w:color="auto"/>
              <w:right w:val="single" w:sz="4" w:space="0" w:color="auto"/>
            </w:tcBorders>
            <w:shd w:val="clear" w:color="auto" w:fill="auto"/>
            <w:noWrap/>
            <w:hideMark/>
          </w:tcPr>
          <w:p w14:paraId="7F4DD6BD" w14:textId="77777777" w:rsidR="00C964F9" w:rsidRPr="00C964F9" w:rsidRDefault="00C964F9" w:rsidP="00CC21F9">
            <w:pPr>
              <w:spacing w:after="0"/>
              <w:jc w:val="center"/>
              <w:rPr>
                <w:rFonts w:ascii="Calibri" w:eastAsia="Times New Roman" w:hAnsi="Calibri" w:cs="Times New Roman"/>
                <w:b/>
                <w:bCs/>
                <w:color w:val="000000"/>
                <w:sz w:val="22"/>
                <w:szCs w:val="22"/>
              </w:rPr>
            </w:pPr>
            <w:r w:rsidRPr="00C964F9">
              <w:rPr>
                <w:rFonts w:ascii="Calibri" w:eastAsia="Times New Roman" w:hAnsi="Calibri" w:cs="Times New Roman"/>
                <w:b/>
                <w:bCs/>
                <w:color w:val="000000"/>
                <w:sz w:val="22"/>
                <w:szCs w:val="22"/>
              </w:rPr>
              <w:t>2008</w:t>
            </w:r>
          </w:p>
        </w:tc>
        <w:tc>
          <w:tcPr>
            <w:tcW w:w="960" w:type="dxa"/>
            <w:tcBorders>
              <w:top w:val="single" w:sz="4" w:space="0" w:color="auto"/>
              <w:left w:val="nil"/>
              <w:bottom w:val="single" w:sz="4" w:space="0" w:color="auto"/>
              <w:right w:val="single" w:sz="4" w:space="0" w:color="auto"/>
            </w:tcBorders>
            <w:shd w:val="clear" w:color="auto" w:fill="auto"/>
            <w:noWrap/>
            <w:hideMark/>
          </w:tcPr>
          <w:p w14:paraId="6833FC68" w14:textId="77777777" w:rsidR="00C964F9" w:rsidRPr="00C964F9" w:rsidRDefault="00C964F9" w:rsidP="00CC21F9">
            <w:pPr>
              <w:spacing w:after="0"/>
              <w:jc w:val="center"/>
              <w:rPr>
                <w:rFonts w:ascii="Calibri" w:eastAsia="Times New Roman" w:hAnsi="Calibri" w:cs="Times New Roman"/>
                <w:b/>
                <w:bCs/>
                <w:color w:val="000000"/>
                <w:sz w:val="22"/>
                <w:szCs w:val="22"/>
              </w:rPr>
            </w:pPr>
            <w:r w:rsidRPr="00C964F9">
              <w:rPr>
                <w:rFonts w:ascii="Calibri" w:eastAsia="Times New Roman" w:hAnsi="Calibri" w:cs="Times New Roman"/>
                <w:b/>
                <w:bCs/>
                <w:color w:val="000000"/>
                <w:sz w:val="22"/>
                <w:szCs w:val="22"/>
              </w:rPr>
              <w:t>2009</w:t>
            </w:r>
          </w:p>
        </w:tc>
        <w:tc>
          <w:tcPr>
            <w:tcW w:w="960" w:type="dxa"/>
            <w:tcBorders>
              <w:top w:val="single" w:sz="4" w:space="0" w:color="auto"/>
              <w:left w:val="nil"/>
              <w:bottom w:val="single" w:sz="4" w:space="0" w:color="auto"/>
              <w:right w:val="single" w:sz="4" w:space="0" w:color="auto"/>
            </w:tcBorders>
            <w:shd w:val="clear" w:color="auto" w:fill="auto"/>
            <w:noWrap/>
            <w:hideMark/>
          </w:tcPr>
          <w:p w14:paraId="2D670344" w14:textId="77777777" w:rsidR="00C964F9" w:rsidRPr="00C964F9" w:rsidRDefault="00C964F9" w:rsidP="00CC21F9">
            <w:pPr>
              <w:spacing w:after="0"/>
              <w:jc w:val="center"/>
              <w:rPr>
                <w:rFonts w:ascii="Calibri" w:eastAsia="Times New Roman" w:hAnsi="Calibri" w:cs="Times New Roman"/>
                <w:b/>
                <w:bCs/>
                <w:color w:val="000000"/>
                <w:sz w:val="22"/>
                <w:szCs w:val="22"/>
              </w:rPr>
            </w:pPr>
            <w:r w:rsidRPr="00C964F9">
              <w:rPr>
                <w:rFonts w:ascii="Calibri" w:eastAsia="Times New Roman" w:hAnsi="Calibri" w:cs="Times New Roman"/>
                <w:b/>
                <w:bCs/>
                <w:color w:val="000000"/>
                <w:sz w:val="22"/>
                <w:szCs w:val="22"/>
              </w:rPr>
              <w:t>2010</w:t>
            </w:r>
          </w:p>
        </w:tc>
        <w:tc>
          <w:tcPr>
            <w:tcW w:w="960" w:type="dxa"/>
            <w:tcBorders>
              <w:top w:val="single" w:sz="4" w:space="0" w:color="auto"/>
              <w:left w:val="nil"/>
              <w:bottom w:val="single" w:sz="4" w:space="0" w:color="auto"/>
              <w:right w:val="single" w:sz="4" w:space="0" w:color="auto"/>
            </w:tcBorders>
            <w:shd w:val="clear" w:color="auto" w:fill="auto"/>
            <w:noWrap/>
            <w:hideMark/>
          </w:tcPr>
          <w:p w14:paraId="63F5073E" w14:textId="77777777" w:rsidR="00C964F9" w:rsidRPr="00C964F9" w:rsidRDefault="00C964F9" w:rsidP="00CC21F9">
            <w:pPr>
              <w:spacing w:after="0"/>
              <w:jc w:val="center"/>
              <w:rPr>
                <w:rFonts w:ascii="Calibri" w:eastAsia="Times New Roman" w:hAnsi="Calibri" w:cs="Times New Roman"/>
                <w:b/>
                <w:bCs/>
                <w:color w:val="000000"/>
                <w:sz w:val="22"/>
                <w:szCs w:val="22"/>
              </w:rPr>
            </w:pPr>
            <w:r w:rsidRPr="00C964F9">
              <w:rPr>
                <w:rFonts w:ascii="Calibri" w:eastAsia="Times New Roman" w:hAnsi="Calibri" w:cs="Times New Roman"/>
                <w:b/>
                <w:bCs/>
                <w:color w:val="000000"/>
                <w:sz w:val="22"/>
                <w:szCs w:val="22"/>
              </w:rPr>
              <w:t>2011</w:t>
            </w:r>
          </w:p>
        </w:tc>
        <w:tc>
          <w:tcPr>
            <w:tcW w:w="960" w:type="dxa"/>
            <w:tcBorders>
              <w:top w:val="single" w:sz="4" w:space="0" w:color="auto"/>
              <w:left w:val="nil"/>
              <w:bottom w:val="single" w:sz="4" w:space="0" w:color="auto"/>
              <w:right w:val="single" w:sz="4" w:space="0" w:color="auto"/>
            </w:tcBorders>
            <w:shd w:val="clear" w:color="auto" w:fill="auto"/>
            <w:noWrap/>
            <w:hideMark/>
          </w:tcPr>
          <w:p w14:paraId="4A23B090" w14:textId="77777777" w:rsidR="00C964F9" w:rsidRPr="00C964F9" w:rsidRDefault="00C964F9" w:rsidP="00CC21F9">
            <w:pPr>
              <w:spacing w:after="0"/>
              <w:jc w:val="center"/>
              <w:rPr>
                <w:rFonts w:ascii="Calibri" w:eastAsia="Times New Roman" w:hAnsi="Calibri" w:cs="Times New Roman"/>
                <w:b/>
                <w:bCs/>
                <w:color w:val="000000"/>
                <w:sz w:val="22"/>
                <w:szCs w:val="22"/>
              </w:rPr>
            </w:pPr>
            <w:r w:rsidRPr="00C964F9">
              <w:rPr>
                <w:rFonts w:ascii="Calibri" w:eastAsia="Times New Roman" w:hAnsi="Calibri" w:cs="Times New Roman"/>
                <w:b/>
                <w:bCs/>
                <w:color w:val="000000"/>
                <w:sz w:val="22"/>
                <w:szCs w:val="22"/>
              </w:rPr>
              <w:t>2012</w:t>
            </w:r>
          </w:p>
        </w:tc>
        <w:tc>
          <w:tcPr>
            <w:tcW w:w="1760" w:type="dxa"/>
            <w:tcBorders>
              <w:top w:val="single" w:sz="4" w:space="0" w:color="auto"/>
              <w:left w:val="nil"/>
              <w:bottom w:val="single" w:sz="4" w:space="0" w:color="auto"/>
              <w:right w:val="single" w:sz="4" w:space="0" w:color="auto"/>
            </w:tcBorders>
            <w:shd w:val="clear" w:color="auto" w:fill="auto"/>
            <w:noWrap/>
            <w:hideMark/>
          </w:tcPr>
          <w:p w14:paraId="752F129C" w14:textId="77777777" w:rsidR="00CC21F9" w:rsidRDefault="00C964F9" w:rsidP="00CC21F9">
            <w:pPr>
              <w:spacing w:after="0"/>
              <w:jc w:val="center"/>
              <w:rPr>
                <w:rFonts w:ascii="Calibri" w:eastAsia="Times New Roman" w:hAnsi="Calibri" w:cs="Times New Roman"/>
                <w:b/>
                <w:bCs/>
                <w:color w:val="000000"/>
                <w:sz w:val="22"/>
                <w:szCs w:val="22"/>
              </w:rPr>
            </w:pPr>
            <w:r w:rsidRPr="00C964F9">
              <w:rPr>
                <w:rFonts w:ascii="Calibri" w:eastAsia="Times New Roman" w:hAnsi="Calibri" w:cs="Times New Roman"/>
                <w:b/>
                <w:bCs/>
                <w:color w:val="000000"/>
                <w:sz w:val="22"/>
                <w:szCs w:val="22"/>
              </w:rPr>
              <w:t>2013</w:t>
            </w:r>
          </w:p>
          <w:p w14:paraId="56395263" w14:textId="0E65BF3B" w:rsidR="00C964F9" w:rsidRPr="00C964F9" w:rsidRDefault="00C964F9" w:rsidP="00CC21F9">
            <w:pPr>
              <w:spacing w:after="0"/>
              <w:jc w:val="center"/>
              <w:rPr>
                <w:rFonts w:ascii="Calibri" w:eastAsia="Times New Roman" w:hAnsi="Calibri" w:cs="Times New Roman"/>
                <w:b/>
                <w:bCs/>
                <w:color w:val="000000"/>
                <w:sz w:val="22"/>
                <w:szCs w:val="22"/>
              </w:rPr>
            </w:pPr>
            <w:r w:rsidRPr="00C964F9">
              <w:rPr>
                <w:rFonts w:ascii="Calibri" w:eastAsia="Times New Roman" w:hAnsi="Calibri" w:cs="Times New Roman"/>
                <w:b/>
                <w:bCs/>
                <w:color w:val="000000"/>
                <w:sz w:val="22"/>
                <w:szCs w:val="22"/>
              </w:rPr>
              <w:t>(to 30 June)</w:t>
            </w:r>
          </w:p>
        </w:tc>
      </w:tr>
      <w:tr w:rsidR="00C964F9" w:rsidRPr="00C964F9" w14:paraId="32290F15" w14:textId="77777777" w:rsidTr="00C964F9">
        <w:trPr>
          <w:trHeight w:val="33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44C53A9" w14:textId="77777777" w:rsidR="00C964F9" w:rsidRPr="00C964F9" w:rsidRDefault="00C964F9" w:rsidP="00C964F9">
            <w:pPr>
              <w:spacing w:after="0"/>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Private</w:t>
            </w:r>
          </w:p>
        </w:tc>
        <w:tc>
          <w:tcPr>
            <w:tcW w:w="1120" w:type="dxa"/>
            <w:tcBorders>
              <w:top w:val="nil"/>
              <w:left w:val="nil"/>
              <w:bottom w:val="single" w:sz="4" w:space="0" w:color="auto"/>
              <w:right w:val="single" w:sz="4" w:space="0" w:color="auto"/>
            </w:tcBorders>
            <w:shd w:val="clear" w:color="auto" w:fill="auto"/>
            <w:noWrap/>
            <w:vAlign w:val="bottom"/>
            <w:hideMark/>
          </w:tcPr>
          <w:p w14:paraId="3F325A87" w14:textId="77777777" w:rsidR="00C964F9" w:rsidRPr="00C964F9" w:rsidRDefault="00C964F9" w:rsidP="00C964F9">
            <w:pPr>
              <w:spacing w:after="0"/>
              <w:jc w:val="right"/>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33%</w:t>
            </w:r>
          </w:p>
        </w:tc>
        <w:tc>
          <w:tcPr>
            <w:tcW w:w="960" w:type="dxa"/>
            <w:tcBorders>
              <w:top w:val="nil"/>
              <w:left w:val="nil"/>
              <w:bottom w:val="single" w:sz="4" w:space="0" w:color="auto"/>
              <w:right w:val="single" w:sz="4" w:space="0" w:color="auto"/>
            </w:tcBorders>
            <w:shd w:val="clear" w:color="auto" w:fill="auto"/>
            <w:noWrap/>
            <w:vAlign w:val="bottom"/>
            <w:hideMark/>
          </w:tcPr>
          <w:p w14:paraId="09C7C89C" w14:textId="77777777" w:rsidR="00C964F9" w:rsidRPr="00C964F9" w:rsidRDefault="00C964F9" w:rsidP="00C964F9">
            <w:pPr>
              <w:spacing w:after="0"/>
              <w:jc w:val="right"/>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28%</w:t>
            </w:r>
          </w:p>
        </w:tc>
        <w:tc>
          <w:tcPr>
            <w:tcW w:w="960" w:type="dxa"/>
            <w:tcBorders>
              <w:top w:val="nil"/>
              <w:left w:val="nil"/>
              <w:bottom w:val="single" w:sz="4" w:space="0" w:color="auto"/>
              <w:right w:val="single" w:sz="4" w:space="0" w:color="auto"/>
            </w:tcBorders>
            <w:shd w:val="clear" w:color="auto" w:fill="auto"/>
            <w:noWrap/>
            <w:vAlign w:val="bottom"/>
            <w:hideMark/>
          </w:tcPr>
          <w:p w14:paraId="5067BACC" w14:textId="77777777" w:rsidR="00C964F9" w:rsidRPr="00C964F9" w:rsidRDefault="00C964F9" w:rsidP="00C964F9">
            <w:pPr>
              <w:spacing w:after="0"/>
              <w:jc w:val="right"/>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14:paraId="367611CE" w14:textId="77777777" w:rsidR="00C964F9" w:rsidRPr="00C964F9" w:rsidRDefault="00C964F9" w:rsidP="00C964F9">
            <w:pPr>
              <w:spacing w:after="0"/>
              <w:jc w:val="right"/>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27%</w:t>
            </w:r>
          </w:p>
        </w:tc>
        <w:tc>
          <w:tcPr>
            <w:tcW w:w="960" w:type="dxa"/>
            <w:tcBorders>
              <w:top w:val="nil"/>
              <w:left w:val="nil"/>
              <w:bottom w:val="single" w:sz="4" w:space="0" w:color="auto"/>
              <w:right w:val="single" w:sz="4" w:space="0" w:color="auto"/>
            </w:tcBorders>
            <w:shd w:val="clear" w:color="auto" w:fill="auto"/>
            <w:noWrap/>
            <w:vAlign w:val="bottom"/>
            <w:hideMark/>
          </w:tcPr>
          <w:p w14:paraId="6A95E2AD" w14:textId="77777777" w:rsidR="00C964F9" w:rsidRPr="00C964F9" w:rsidRDefault="00C964F9" w:rsidP="00C964F9">
            <w:pPr>
              <w:spacing w:after="0"/>
              <w:jc w:val="right"/>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26%</w:t>
            </w:r>
          </w:p>
        </w:tc>
        <w:tc>
          <w:tcPr>
            <w:tcW w:w="1760" w:type="dxa"/>
            <w:tcBorders>
              <w:top w:val="nil"/>
              <w:left w:val="nil"/>
              <w:bottom w:val="single" w:sz="4" w:space="0" w:color="auto"/>
              <w:right w:val="single" w:sz="4" w:space="0" w:color="auto"/>
            </w:tcBorders>
            <w:shd w:val="clear" w:color="auto" w:fill="auto"/>
            <w:noWrap/>
            <w:vAlign w:val="bottom"/>
            <w:hideMark/>
          </w:tcPr>
          <w:p w14:paraId="1325F4B2" w14:textId="77777777" w:rsidR="00C964F9" w:rsidRPr="00C964F9" w:rsidRDefault="00C964F9" w:rsidP="00C964F9">
            <w:pPr>
              <w:spacing w:after="0"/>
              <w:jc w:val="right"/>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27%</w:t>
            </w:r>
          </w:p>
        </w:tc>
      </w:tr>
      <w:tr w:rsidR="00C964F9" w:rsidRPr="00C964F9" w14:paraId="0F3A1088" w14:textId="77777777" w:rsidTr="00C964F9">
        <w:trPr>
          <w:trHeight w:val="33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C3457DE" w14:textId="77777777" w:rsidR="00C964F9" w:rsidRPr="00C964F9" w:rsidRDefault="00C964F9" w:rsidP="00C964F9">
            <w:pPr>
              <w:spacing w:after="0"/>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Public</w:t>
            </w:r>
          </w:p>
        </w:tc>
        <w:tc>
          <w:tcPr>
            <w:tcW w:w="1120" w:type="dxa"/>
            <w:tcBorders>
              <w:top w:val="nil"/>
              <w:left w:val="nil"/>
              <w:bottom w:val="single" w:sz="4" w:space="0" w:color="auto"/>
              <w:right w:val="single" w:sz="4" w:space="0" w:color="auto"/>
            </w:tcBorders>
            <w:shd w:val="clear" w:color="auto" w:fill="auto"/>
            <w:noWrap/>
            <w:vAlign w:val="bottom"/>
            <w:hideMark/>
          </w:tcPr>
          <w:p w14:paraId="2F1BC52D" w14:textId="77777777" w:rsidR="00C964F9" w:rsidRPr="00C964F9" w:rsidRDefault="00C964F9" w:rsidP="00C964F9">
            <w:pPr>
              <w:spacing w:after="0"/>
              <w:jc w:val="right"/>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67%</w:t>
            </w:r>
          </w:p>
        </w:tc>
        <w:tc>
          <w:tcPr>
            <w:tcW w:w="960" w:type="dxa"/>
            <w:tcBorders>
              <w:top w:val="nil"/>
              <w:left w:val="nil"/>
              <w:bottom w:val="single" w:sz="4" w:space="0" w:color="auto"/>
              <w:right w:val="single" w:sz="4" w:space="0" w:color="auto"/>
            </w:tcBorders>
            <w:shd w:val="clear" w:color="auto" w:fill="auto"/>
            <w:noWrap/>
            <w:vAlign w:val="bottom"/>
            <w:hideMark/>
          </w:tcPr>
          <w:p w14:paraId="57682DFB" w14:textId="77777777" w:rsidR="00C964F9" w:rsidRPr="00C964F9" w:rsidRDefault="00C964F9" w:rsidP="00C964F9">
            <w:pPr>
              <w:spacing w:after="0"/>
              <w:jc w:val="right"/>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72%</w:t>
            </w:r>
          </w:p>
        </w:tc>
        <w:tc>
          <w:tcPr>
            <w:tcW w:w="960" w:type="dxa"/>
            <w:tcBorders>
              <w:top w:val="nil"/>
              <w:left w:val="nil"/>
              <w:bottom w:val="single" w:sz="4" w:space="0" w:color="auto"/>
              <w:right w:val="single" w:sz="4" w:space="0" w:color="auto"/>
            </w:tcBorders>
            <w:shd w:val="clear" w:color="auto" w:fill="auto"/>
            <w:noWrap/>
            <w:vAlign w:val="bottom"/>
            <w:hideMark/>
          </w:tcPr>
          <w:p w14:paraId="52B8DFD5" w14:textId="77777777" w:rsidR="00C964F9" w:rsidRPr="00C964F9" w:rsidRDefault="00C964F9" w:rsidP="00C964F9">
            <w:pPr>
              <w:spacing w:after="0"/>
              <w:jc w:val="right"/>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73%</w:t>
            </w:r>
          </w:p>
        </w:tc>
        <w:tc>
          <w:tcPr>
            <w:tcW w:w="960" w:type="dxa"/>
            <w:tcBorders>
              <w:top w:val="nil"/>
              <w:left w:val="nil"/>
              <w:bottom w:val="single" w:sz="4" w:space="0" w:color="auto"/>
              <w:right w:val="single" w:sz="4" w:space="0" w:color="auto"/>
            </w:tcBorders>
            <w:shd w:val="clear" w:color="auto" w:fill="auto"/>
            <w:noWrap/>
            <w:vAlign w:val="bottom"/>
            <w:hideMark/>
          </w:tcPr>
          <w:p w14:paraId="196FCC91" w14:textId="77777777" w:rsidR="00C964F9" w:rsidRPr="00C964F9" w:rsidRDefault="00C964F9" w:rsidP="00C964F9">
            <w:pPr>
              <w:spacing w:after="0"/>
              <w:jc w:val="right"/>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73%</w:t>
            </w:r>
          </w:p>
        </w:tc>
        <w:tc>
          <w:tcPr>
            <w:tcW w:w="960" w:type="dxa"/>
            <w:tcBorders>
              <w:top w:val="nil"/>
              <w:left w:val="nil"/>
              <w:bottom w:val="single" w:sz="4" w:space="0" w:color="auto"/>
              <w:right w:val="single" w:sz="4" w:space="0" w:color="auto"/>
            </w:tcBorders>
            <w:shd w:val="clear" w:color="auto" w:fill="auto"/>
            <w:noWrap/>
            <w:vAlign w:val="bottom"/>
            <w:hideMark/>
          </w:tcPr>
          <w:p w14:paraId="71079683" w14:textId="77777777" w:rsidR="00C964F9" w:rsidRPr="00C964F9" w:rsidRDefault="00C964F9" w:rsidP="00C964F9">
            <w:pPr>
              <w:spacing w:after="0"/>
              <w:jc w:val="right"/>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74%</w:t>
            </w:r>
          </w:p>
        </w:tc>
        <w:tc>
          <w:tcPr>
            <w:tcW w:w="1760" w:type="dxa"/>
            <w:tcBorders>
              <w:top w:val="nil"/>
              <w:left w:val="nil"/>
              <w:bottom w:val="single" w:sz="4" w:space="0" w:color="auto"/>
              <w:right w:val="single" w:sz="4" w:space="0" w:color="auto"/>
            </w:tcBorders>
            <w:shd w:val="clear" w:color="auto" w:fill="auto"/>
            <w:noWrap/>
            <w:vAlign w:val="bottom"/>
            <w:hideMark/>
          </w:tcPr>
          <w:p w14:paraId="4B261680" w14:textId="77777777" w:rsidR="00C964F9" w:rsidRPr="00C964F9" w:rsidRDefault="00C964F9" w:rsidP="00C964F9">
            <w:pPr>
              <w:spacing w:after="0"/>
              <w:jc w:val="right"/>
              <w:rPr>
                <w:rFonts w:ascii="Calibri" w:eastAsia="Times New Roman" w:hAnsi="Calibri" w:cs="Times New Roman"/>
                <w:color w:val="000000"/>
                <w:sz w:val="22"/>
                <w:szCs w:val="22"/>
              </w:rPr>
            </w:pPr>
            <w:r w:rsidRPr="00C964F9">
              <w:rPr>
                <w:rFonts w:ascii="Calibri" w:eastAsia="Times New Roman" w:hAnsi="Calibri" w:cs="Times New Roman"/>
                <w:color w:val="000000"/>
                <w:sz w:val="22"/>
                <w:szCs w:val="22"/>
              </w:rPr>
              <w:t>73%</w:t>
            </w:r>
          </w:p>
        </w:tc>
      </w:tr>
    </w:tbl>
    <w:p w14:paraId="045ECF29" w14:textId="4198F7B0" w:rsidR="00C964F9" w:rsidRPr="00C964F9" w:rsidRDefault="00C964F9" w:rsidP="003C626A">
      <w:pPr>
        <w:rPr>
          <w:sz w:val="20"/>
          <w:szCs w:val="20"/>
        </w:rPr>
      </w:pPr>
      <w:r w:rsidRPr="00C964F9">
        <w:rPr>
          <w:sz w:val="20"/>
          <w:szCs w:val="20"/>
        </w:rPr>
        <w:t>Source: Highly Specialised Drugs database.</w:t>
      </w:r>
    </w:p>
    <w:p w14:paraId="0D73F5A2" w14:textId="77777777" w:rsidR="00CC21F9" w:rsidRDefault="00CC21F9" w:rsidP="005C5EA3">
      <w:pPr>
        <w:spacing w:line="276" w:lineRule="auto"/>
        <w:rPr>
          <w:b/>
        </w:rPr>
      </w:pPr>
    </w:p>
    <w:p w14:paraId="34F78974" w14:textId="42DFA281" w:rsidR="00EF2A21" w:rsidRDefault="00DB54C6" w:rsidP="005C5EA3">
      <w:pPr>
        <w:spacing w:line="276" w:lineRule="auto"/>
        <w:rPr>
          <w:b/>
        </w:rPr>
      </w:pPr>
      <w:r>
        <w:rPr>
          <w:b/>
        </w:rPr>
        <w:lastRenderedPageBreak/>
        <w:t>Step 3: T</w:t>
      </w:r>
      <w:r w:rsidR="00E313A6">
        <w:rPr>
          <w:b/>
        </w:rPr>
        <w:t>he number of prescriptions for p</w:t>
      </w:r>
      <w:r w:rsidR="003403EF">
        <w:rPr>
          <w:b/>
        </w:rPr>
        <w:t xml:space="preserve">ublic patients based on the actual number of prescriptions for </w:t>
      </w:r>
      <w:r w:rsidR="00E313A6">
        <w:rPr>
          <w:b/>
        </w:rPr>
        <w:t xml:space="preserve">S100 </w:t>
      </w:r>
      <w:r w:rsidR="003403EF">
        <w:rPr>
          <w:b/>
        </w:rPr>
        <w:t>private patients</w:t>
      </w:r>
      <w:r>
        <w:rPr>
          <w:b/>
        </w:rPr>
        <w:t xml:space="preserve"> was estimated</w:t>
      </w:r>
      <w:r w:rsidR="003403EF">
        <w:rPr>
          <w:b/>
        </w:rPr>
        <w:t>.</w:t>
      </w:r>
    </w:p>
    <w:p w14:paraId="580ABAD8" w14:textId="01386AC1" w:rsidR="005B4314" w:rsidRDefault="00E313A6" w:rsidP="005C5EA3">
      <w:pPr>
        <w:spacing w:line="276" w:lineRule="auto"/>
      </w:pPr>
      <w:r>
        <w:t>Step 3a – The</w:t>
      </w:r>
      <w:r w:rsidR="005B4314">
        <w:t xml:space="preserve"> number of </w:t>
      </w:r>
      <w:r>
        <w:t xml:space="preserve">S100 </w:t>
      </w:r>
      <w:r w:rsidR="005B4314">
        <w:t xml:space="preserve">private prescriptions for natalizumab per calendar year </w:t>
      </w:r>
      <w:r>
        <w:t>was calculated</w:t>
      </w:r>
      <w:r w:rsidR="00C40AF1">
        <w:t xml:space="preserve"> </w:t>
      </w:r>
      <w:r w:rsidR="005B4314">
        <w:t>(2013 is a part year to 30 June as actual public data became available from July 2013).</w:t>
      </w:r>
    </w:p>
    <w:p w14:paraId="647CE94D" w14:textId="0D3E10E4" w:rsidR="005B4314" w:rsidRDefault="005B4314" w:rsidP="005C5EA3">
      <w:pPr>
        <w:spacing w:line="276" w:lineRule="auto"/>
      </w:pPr>
      <w:r>
        <w:t xml:space="preserve">Step 3b – Using the assumption of 77% of total prescriptions for </w:t>
      </w:r>
      <w:r w:rsidR="00CC21F9">
        <w:t>natalizumab being public from Step 2,</w:t>
      </w:r>
      <w:r>
        <w:t xml:space="preserve"> the estimated number of prescriptions for the S100 public listing of natalizumab</w:t>
      </w:r>
      <w:r w:rsidR="00CC21F9">
        <w:t xml:space="preserve"> was calculated</w:t>
      </w:r>
      <w:r>
        <w:t>. The formula was:</w:t>
      </w:r>
    </w:p>
    <w:p w14:paraId="2113C7EF" w14:textId="05B1801A" w:rsidR="005B4314" w:rsidRDefault="005B4314" w:rsidP="005C5EA3">
      <w:pPr>
        <w:spacing w:line="276" w:lineRule="auto"/>
      </w:pPr>
      <w:r>
        <w:t xml:space="preserve">Estimated Public natalizumab = Actual </w:t>
      </w:r>
      <w:r w:rsidR="00C114A4">
        <w:t>P</w:t>
      </w:r>
      <w:r>
        <w:t xml:space="preserve">rivate scripts x </w:t>
      </w:r>
      <w:r w:rsidR="007D723E">
        <w:t xml:space="preserve">proportion S100 Public </w:t>
      </w:r>
      <w:r>
        <w:t xml:space="preserve">/ </w:t>
      </w:r>
      <w:r w:rsidR="007D723E">
        <w:t>proportion S100 Private</w:t>
      </w:r>
      <w:r>
        <w:t>.</w:t>
      </w:r>
    </w:p>
    <w:p w14:paraId="0006D804" w14:textId="058C0CDD" w:rsidR="005B4314" w:rsidRPr="005B4314" w:rsidRDefault="00741F79" w:rsidP="005C5EA3">
      <w:pPr>
        <w:spacing w:line="276" w:lineRule="auto"/>
      </w:pPr>
      <w:r>
        <w:t>The results are shown in the following table:</w:t>
      </w:r>
    </w:p>
    <w:tbl>
      <w:tblPr>
        <w:tblW w:w="8379" w:type="dxa"/>
        <w:tblInd w:w="93" w:type="dxa"/>
        <w:tblLook w:val="04A0" w:firstRow="1" w:lastRow="0" w:firstColumn="1" w:lastColumn="0" w:noHBand="0" w:noVBand="1"/>
      </w:tblPr>
      <w:tblGrid>
        <w:gridCol w:w="2060"/>
        <w:gridCol w:w="790"/>
        <w:gridCol w:w="851"/>
        <w:gridCol w:w="850"/>
        <w:gridCol w:w="993"/>
        <w:gridCol w:w="992"/>
        <w:gridCol w:w="1843"/>
      </w:tblGrid>
      <w:tr w:rsidR="005B4314" w:rsidRPr="005B4314" w14:paraId="7D97021A" w14:textId="77777777" w:rsidTr="001231A3">
        <w:trPr>
          <w:trHeight w:val="300"/>
        </w:trPr>
        <w:tc>
          <w:tcPr>
            <w:tcW w:w="2060" w:type="dxa"/>
            <w:tcBorders>
              <w:bottom w:val="single" w:sz="4" w:space="0" w:color="auto"/>
              <w:right w:val="single" w:sz="4" w:space="0" w:color="auto"/>
            </w:tcBorders>
            <w:shd w:val="clear" w:color="auto" w:fill="auto"/>
            <w:noWrap/>
            <w:vAlign w:val="bottom"/>
            <w:hideMark/>
          </w:tcPr>
          <w:p w14:paraId="4EB4B8F3" w14:textId="77777777" w:rsidR="005B4314" w:rsidRPr="005B4314" w:rsidRDefault="005B4314" w:rsidP="005B4314">
            <w:pPr>
              <w:spacing w:after="0"/>
              <w:rPr>
                <w:rFonts w:ascii="Calibri" w:eastAsia="Times New Roman" w:hAnsi="Calibri" w:cs="Times New Roman"/>
                <w:color w:val="000000"/>
                <w:sz w:val="22"/>
                <w:szCs w:val="22"/>
              </w:rPr>
            </w:pPr>
            <w:r w:rsidRPr="005B4314">
              <w:rPr>
                <w:rFonts w:ascii="Calibri" w:eastAsia="Times New Roman" w:hAnsi="Calibri" w:cs="Times New Roman"/>
                <w:color w:val="000000"/>
                <w:sz w:val="22"/>
                <w:szCs w:val="22"/>
              </w:rPr>
              <w:t> </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65907F37" w14:textId="77777777" w:rsidR="005B4314" w:rsidRPr="001231A3" w:rsidRDefault="005B4314" w:rsidP="001231A3">
            <w:pPr>
              <w:spacing w:after="0"/>
              <w:jc w:val="center"/>
              <w:rPr>
                <w:rFonts w:ascii="Calibri" w:eastAsia="Times New Roman" w:hAnsi="Calibri" w:cs="Times New Roman"/>
                <w:b/>
                <w:color w:val="000000"/>
                <w:sz w:val="22"/>
                <w:szCs w:val="22"/>
              </w:rPr>
            </w:pPr>
            <w:r w:rsidRPr="001231A3">
              <w:rPr>
                <w:rFonts w:ascii="Calibri" w:eastAsia="Times New Roman" w:hAnsi="Calibri" w:cs="Times New Roman"/>
                <w:b/>
                <w:color w:val="000000"/>
                <w:sz w:val="22"/>
                <w:szCs w:val="22"/>
              </w:rPr>
              <w:t>2008</w:t>
            </w:r>
          </w:p>
          <w:p w14:paraId="062819B9" w14:textId="77777777" w:rsidR="005B4314" w:rsidRPr="001231A3" w:rsidRDefault="005B4314" w:rsidP="001231A3">
            <w:pPr>
              <w:spacing w:after="0"/>
              <w:jc w:val="center"/>
              <w:rPr>
                <w:rFonts w:ascii="Calibri" w:eastAsia="Times New Roman" w:hAnsi="Calibri" w:cs="Times New Roman"/>
                <w:b/>
                <w:color w:val="000000"/>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36D4070" w14:textId="77777777" w:rsidR="005B4314" w:rsidRPr="001231A3" w:rsidRDefault="005B4314" w:rsidP="001231A3">
            <w:pPr>
              <w:spacing w:after="0"/>
              <w:jc w:val="center"/>
              <w:rPr>
                <w:rFonts w:ascii="Calibri" w:eastAsia="Times New Roman" w:hAnsi="Calibri" w:cs="Times New Roman"/>
                <w:b/>
                <w:color w:val="000000"/>
                <w:sz w:val="22"/>
                <w:szCs w:val="22"/>
              </w:rPr>
            </w:pPr>
            <w:r w:rsidRPr="001231A3">
              <w:rPr>
                <w:rFonts w:ascii="Calibri" w:eastAsia="Times New Roman" w:hAnsi="Calibri" w:cs="Times New Roman"/>
                <w:b/>
                <w:color w:val="000000"/>
                <w:sz w:val="22"/>
                <w:szCs w:val="22"/>
              </w:rPr>
              <w:t>2009</w:t>
            </w:r>
          </w:p>
          <w:p w14:paraId="4B6F80B5" w14:textId="77777777" w:rsidR="005B4314" w:rsidRPr="001231A3" w:rsidRDefault="005B4314" w:rsidP="001231A3">
            <w:pPr>
              <w:spacing w:after="0"/>
              <w:jc w:val="center"/>
              <w:rPr>
                <w:rFonts w:ascii="Calibri" w:eastAsia="Times New Roman" w:hAnsi="Calibri" w:cs="Times New Roman"/>
                <w:b/>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14DF243" w14:textId="77777777" w:rsidR="005B4314" w:rsidRPr="001231A3" w:rsidRDefault="005B4314" w:rsidP="001231A3">
            <w:pPr>
              <w:spacing w:after="0"/>
              <w:jc w:val="center"/>
              <w:rPr>
                <w:rFonts w:ascii="Calibri" w:eastAsia="Times New Roman" w:hAnsi="Calibri" w:cs="Times New Roman"/>
                <w:b/>
                <w:color w:val="000000"/>
                <w:sz w:val="22"/>
                <w:szCs w:val="22"/>
              </w:rPr>
            </w:pPr>
            <w:r w:rsidRPr="001231A3">
              <w:rPr>
                <w:rFonts w:ascii="Calibri" w:eastAsia="Times New Roman" w:hAnsi="Calibri" w:cs="Times New Roman"/>
                <w:b/>
                <w:color w:val="000000"/>
                <w:sz w:val="22"/>
                <w:szCs w:val="22"/>
              </w:rPr>
              <w:t>2010</w:t>
            </w:r>
          </w:p>
          <w:p w14:paraId="0FA989EE" w14:textId="77777777" w:rsidR="005B4314" w:rsidRPr="001231A3" w:rsidRDefault="005B4314" w:rsidP="001231A3">
            <w:pPr>
              <w:spacing w:after="0"/>
              <w:jc w:val="center"/>
              <w:rPr>
                <w:rFonts w:ascii="Calibri" w:eastAsia="Times New Roman" w:hAnsi="Calibri" w:cs="Times New Roman"/>
                <w:b/>
                <w:color w:val="000000"/>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653CBA1" w14:textId="77777777" w:rsidR="005B4314" w:rsidRPr="001231A3" w:rsidRDefault="005B4314" w:rsidP="001231A3">
            <w:pPr>
              <w:spacing w:after="0"/>
              <w:jc w:val="center"/>
              <w:rPr>
                <w:rFonts w:ascii="Calibri" w:eastAsia="Times New Roman" w:hAnsi="Calibri" w:cs="Times New Roman"/>
                <w:b/>
                <w:color w:val="000000"/>
                <w:sz w:val="22"/>
                <w:szCs w:val="22"/>
              </w:rPr>
            </w:pPr>
            <w:r w:rsidRPr="001231A3">
              <w:rPr>
                <w:rFonts w:ascii="Calibri" w:eastAsia="Times New Roman" w:hAnsi="Calibri" w:cs="Times New Roman"/>
                <w:b/>
                <w:color w:val="000000"/>
                <w:sz w:val="22"/>
                <w:szCs w:val="22"/>
              </w:rPr>
              <w:t>2011</w:t>
            </w:r>
          </w:p>
          <w:p w14:paraId="761D31B2" w14:textId="77777777" w:rsidR="005B4314" w:rsidRPr="001231A3" w:rsidRDefault="005B4314" w:rsidP="001231A3">
            <w:pPr>
              <w:spacing w:after="0"/>
              <w:jc w:val="center"/>
              <w:rPr>
                <w:rFonts w:ascii="Calibri" w:eastAsia="Times New Roman" w:hAnsi="Calibri" w:cs="Times New Roman"/>
                <w:b/>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7B7D0C8" w14:textId="77777777" w:rsidR="005B4314" w:rsidRPr="001231A3" w:rsidRDefault="005B4314" w:rsidP="001231A3">
            <w:pPr>
              <w:spacing w:after="0"/>
              <w:jc w:val="center"/>
              <w:rPr>
                <w:rFonts w:ascii="Calibri" w:eastAsia="Times New Roman" w:hAnsi="Calibri" w:cs="Times New Roman"/>
                <w:b/>
                <w:color w:val="000000"/>
                <w:sz w:val="22"/>
                <w:szCs w:val="22"/>
              </w:rPr>
            </w:pPr>
            <w:r w:rsidRPr="001231A3">
              <w:rPr>
                <w:rFonts w:ascii="Calibri" w:eastAsia="Times New Roman" w:hAnsi="Calibri" w:cs="Times New Roman"/>
                <w:b/>
                <w:color w:val="000000"/>
                <w:sz w:val="22"/>
                <w:szCs w:val="22"/>
              </w:rPr>
              <w:t>2012</w:t>
            </w:r>
          </w:p>
          <w:p w14:paraId="59086962" w14:textId="77777777" w:rsidR="005B4314" w:rsidRPr="001231A3" w:rsidRDefault="005B4314" w:rsidP="001231A3">
            <w:pPr>
              <w:spacing w:after="0"/>
              <w:jc w:val="center"/>
              <w:rPr>
                <w:rFonts w:ascii="Calibri" w:eastAsia="Times New Roman" w:hAnsi="Calibri" w:cs="Times New Roman"/>
                <w:b/>
                <w:color w:val="000000"/>
                <w:sz w:val="22"/>
                <w:szCs w:val="22"/>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1D154B6" w14:textId="69CD28F6" w:rsidR="005B4314" w:rsidRPr="001231A3" w:rsidRDefault="005B4314" w:rsidP="001231A3">
            <w:pPr>
              <w:spacing w:after="0"/>
              <w:jc w:val="center"/>
              <w:rPr>
                <w:rFonts w:ascii="Calibri" w:eastAsia="Times New Roman" w:hAnsi="Calibri" w:cs="Times New Roman"/>
                <w:b/>
                <w:color w:val="000000"/>
                <w:sz w:val="22"/>
                <w:szCs w:val="22"/>
              </w:rPr>
            </w:pPr>
            <w:r w:rsidRPr="001231A3">
              <w:rPr>
                <w:rFonts w:ascii="Calibri" w:eastAsia="Times New Roman" w:hAnsi="Calibri" w:cs="Times New Roman"/>
                <w:b/>
                <w:color w:val="000000"/>
                <w:sz w:val="22"/>
                <w:szCs w:val="22"/>
              </w:rPr>
              <w:t>2013</w:t>
            </w:r>
          </w:p>
          <w:p w14:paraId="32BFA7D9" w14:textId="2E1789B5" w:rsidR="005B4314" w:rsidRPr="001231A3" w:rsidRDefault="005B4314" w:rsidP="001231A3">
            <w:pPr>
              <w:spacing w:after="0"/>
              <w:jc w:val="center"/>
              <w:rPr>
                <w:rFonts w:ascii="Calibri" w:eastAsia="Times New Roman" w:hAnsi="Calibri" w:cs="Times New Roman"/>
                <w:b/>
                <w:color w:val="000000"/>
                <w:sz w:val="22"/>
                <w:szCs w:val="22"/>
              </w:rPr>
            </w:pPr>
            <w:r w:rsidRPr="001231A3">
              <w:rPr>
                <w:rFonts w:ascii="Calibri" w:eastAsia="Times New Roman" w:hAnsi="Calibri" w:cs="Times New Roman"/>
                <w:b/>
                <w:color w:val="000000"/>
                <w:sz w:val="22"/>
                <w:szCs w:val="22"/>
              </w:rPr>
              <w:t>(to 30 June 2013)</w:t>
            </w:r>
          </w:p>
        </w:tc>
      </w:tr>
      <w:tr w:rsidR="00235A59" w:rsidRPr="005B4314" w14:paraId="696B102B" w14:textId="77777777" w:rsidTr="005B4314">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25388A38" w14:textId="77777777" w:rsidR="00235A59" w:rsidRPr="005B4314" w:rsidRDefault="00235A59" w:rsidP="005B4314">
            <w:pPr>
              <w:spacing w:after="0"/>
              <w:rPr>
                <w:rFonts w:ascii="Calibri" w:eastAsia="Times New Roman" w:hAnsi="Calibri" w:cs="Times New Roman"/>
                <w:color w:val="000000"/>
                <w:sz w:val="22"/>
                <w:szCs w:val="22"/>
              </w:rPr>
            </w:pPr>
            <w:r w:rsidRPr="005B4314">
              <w:rPr>
                <w:rFonts w:ascii="Calibri" w:eastAsia="Times New Roman" w:hAnsi="Calibri" w:cs="Times New Roman"/>
                <w:color w:val="000000"/>
                <w:sz w:val="22"/>
                <w:szCs w:val="22"/>
              </w:rPr>
              <w:t>Public (estimated)</w:t>
            </w:r>
          </w:p>
        </w:tc>
        <w:tc>
          <w:tcPr>
            <w:tcW w:w="790" w:type="dxa"/>
            <w:tcBorders>
              <w:top w:val="nil"/>
              <w:left w:val="nil"/>
              <w:bottom w:val="single" w:sz="4" w:space="0" w:color="auto"/>
              <w:right w:val="single" w:sz="4" w:space="0" w:color="auto"/>
            </w:tcBorders>
            <w:shd w:val="clear" w:color="auto" w:fill="auto"/>
            <w:noWrap/>
            <w:vAlign w:val="bottom"/>
            <w:hideMark/>
          </w:tcPr>
          <w:p w14:paraId="051B5A0B" w14:textId="68D61C3A" w:rsidR="00235A59" w:rsidRPr="005B4314" w:rsidRDefault="00235A59" w:rsidP="005B4314">
            <w:pPr>
              <w:spacing w:after="0"/>
              <w:jc w:val="right"/>
              <w:rPr>
                <w:rFonts w:ascii="Calibri" w:eastAsia="Times New Roman" w:hAnsi="Calibri" w:cs="Times New Roman"/>
                <w:color w:val="000000"/>
                <w:sz w:val="22"/>
                <w:szCs w:val="22"/>
              </w:rPr>
            </w:pPr>
            <w:r>
              <w:rPr>
                <w:rFonts w:ascii="Calibri" w:hAnsi="Calibri"/>
                <w:color w:val="000000"/>
                <w:sz w:val="22"/>
                <w:szCs w:val="22"/>
              </w:rPr>
              <w:t xml:space="preserve">         2,524 </w:t>
            </w:r>
          </w:p>
        </w:tc>
        <w:tc>
          <w:tcPr>
            <w:tcW w:w="851" w:type="dxa"/>
            <w:tcBorders>
              <w:top w:val="nil"/>
              <w:left w:val="nil"/>
              <w:bottom w:val="single" w:sz="4" w:space="0" w:color="auto"/>
              <w:right w:val="single" w:sz="4" w:space="0" w:color="auto"/>
            </w:tcBorders>
            <w:shd w:val="clear" w:color="auto" w:fill="auto"/>
            <w:noWrap/>
            <w:vAlign w:val="bottom"/>
            <w:hideMark/>
          </w:tcPr>
          <w:p w14:paraId="055A075B" w14:textId="7905C1C5" w:rsidR="00235A59" w:rsidRPr="005B4314" w:rsidRDefault="00235A59" w:rsidP="005B4314">
            <w:pPr>
              <w:spacing w:after="0"/>
              <w:jc w:val="right"/>
              <w:rPr>
                <w:rFonts w:ascii="Calibri" w:eastAsia="Times New Roman" w:hAnsi="Calibri" w:cs="Times New Roman"/>
                <w:color w:val="000000"/>
                <w:sz w:val="22"/>
                <w:szCs w:val="22"/>
              </w:rPr>
            </w:pPr>
            <w:r>
              <w:rPr>
                <w:rFonts w:ascii="Calibri" w:hAnsi="Calibri"/>
                <w:color w:val="000000"/>
                <w:sz w:val="22"/>
                <w:szCs w:val="22"/>
              </w:rPr>
              <w:t xml:space="preserve">          8,022 </w:t>
            </w:r>
          </w:p>
        </w:tc>
        <w:tc>
          <w:tcPr>
            <w:tcW w:w="850" w:type="dxa"/>
            <w:tcBorders>
              <w:top w:val="nil"/>
              <w:left w:val="nil"/>
              <w:bottom w:val="single" w:sz="4" w:space="0" w:color="auto"/>
              <w:right w:val="single" w:sz="4" w:space="0" w:color="auto"/>
            </w:tcBorders>
            <w:shd w:val="clear" w:color="auto" w:fill="auto"/>
            <w:noWrap/>
            <w:vAlign w:val="bottom"/>
            <w:hideMark/>
          </w:tcPr>
          <w:p w14:paraId="69D8D9BD" w14:textId="6CE7A790" w:rsidR="00235A59" w:rsidRPr="005B4314" w:rsidRDefault="00235A59" w:rsidP="005B4314">
            <w:pPr>
              <w:spacing w:after="0"/>
              <w:jc w:val="right"/>
              <w:rPr>
                <w:rFonts w:ascii="Calibri" w:eastAsia="Times New Roman" w:hAnsi="Calibri" w:cs="Times New Roman"/>
                <w:color w:val="000000"/>
                <w:sz w:val="22"/>
                <w:szCs w:val="22"/>
              </w:rPr>
            </w:pPr>
            <w:r>
              <w:rPr>
                <w:rFonts w:ascii="Calibri" w:hAnsi="Calibri"/>
                <w:color w:val="000000"/>
                <w:sz w:val="22"/>
                <w:szCs w:val="22"/>
              </w:rPr>
              <w:t xml:space="preserve">        10,781 </w:t>
            </w:r>
          </w:p>
        </w:tc>
        <w:tc>
          <w:tcPr>
            <w:tcW w:w="993" w:type="dxa"/>
            <w:tcBorders>
              <w:top w:val="nil"/>
              <w:left w:val="nil"/>
              <w:bottom w:val="single" w:sz="4" w:space="0" w:color="auto"/>
              <w:right w:val="single" w:sz="4" w:space="0" w:color="auto"/>
            </w:tcBorders>
            <w:shd w:val="clear" w:color="auto" w:fill="auto"/>
            <w:noWrap/>
            <w:vAlign w:val="bottom"/>
            <w:hideMark/>
          </w:tcPr>
          <w:p w14:paraId="3F2623E4" w14:textId="0E14290A" w:rsidR="00235A59" w:rsidRPr="005B4314" w:rsidRDefault="00235A59" w:rsidP="005B4314">
            <w:pPr>
              <w:spacing w:after="0"/>
              <w:jc w:val="right"/>
              <w:rPr>
                <w:rFonts w:ascii="Calibri" w:eastAsia="Times New Roman" w:hAnsi="Calibri" w:cs="Times New Roman"/>
                <w:color w:val="000000"/>
                <w:sz w:val="22"/>
                <w:szCs w:val="22"/>
              </w:rPr>
            </w:pPr>
            <w:r>
              <w:rPr>
                <w:rFonts w:ascii="Calibri" w:hAnsi="Calibri"/>
                <w:color w:val="000000"/>
                <w:sz w:val="22"/>
                <w:szCs w:val="22"/>
              </w:rPr>
              <w:t xml:space="preserve">        13,107 </w:t>
            </w:r>
          </w:p>
        </w:tc>
        <w:tc>
          <w:tcPr>
            <w:tcW w:w="992" w:type="dxa"/>
            <w:tcBorders>
              <w:top w:val="nil"/>
              <w:left w:val="nil"/>
              <w:bottom w:val="single" w:sz="4" w:space="0" w:color="auto"/>
              <w:right w:val="single" w:sz="4" w:space="0" w:color="auto"/>
            </w:tcBorders>
            <w:shd w:val="clear" w:color="auto" w:fill="auto"/>
            <w:noWrap/>
            <w:vAlign w:val="bottom"/>
            <w:hideMark/>
          </w:tcPr>
          <w:p w14:paraId="353BC1D0" w14:textId="36772380" w:rsidR="00235A59" w:rsidRPr="005B4314" w:rsidRDefault="00235A59" w:rsidP="005B4314">
            <w:pPr>
              <w:spacing w:after="0"/>
              <w:jc w:val="right"/>
              <w:rPr>
                <w:rFonts w:ascii="Calibri" w:eastAsia="Times New Roman" w:hAnsi="Calibri" w:cs="Times New Roman"/>
                <w:color w:val="000000"/>
                <w:sz w:val="22"/>
                <w:szCs w:val="22"/>
              </w:rPr>
            </w:pPr>
            <w:r>
              <w:rPr>
                <w:rFonts w:ascii="Calibri" w:hAnsi="Calibri"/>
                <w:color w:val="000000"/>
                <w:sz w:val="22"/>
                <w:szCs w:val="22"/>
              </w:rPr>
              <w:t xml:space="preserve">      14,938 </w:t>
            </w:r>
          </w:p>
        </w:tc>
        <w:tc>
          <w:tcPr>
            <w:tcW w:w="1843" w:type="dxa"/>
            <w:tcBorders>
              <w:top w:val="nil"/>
              <w:left w:val="nil"/>
              <w:bottom w:val="single" w:sz="4" w:space="0" w:color="auto"/>
              <w:right w:val="single" w:sz="4" w:space="0" w:color="auto"/>
            </w:tcBorders>
            <w:shd w:val="clear" w:color="auto" w:fill="auto"/>
            <w:noWrap/>
            <w:vAlign w:val="bottom"/>
            <w:hideMark/>
          </w:tcPr>
          <w:p w14:paraId="50871630" w14:textId="1399A830" w:rsidR="00235A59" w:rsidRPr="005B4314" w:rsidRDefault="00235A59" w:rsidP="005B4314">
            <w:pPr>
              <w:spacing w:after="0"/>
              <w:jc w:val="right"/>
              <w:rPr>
                <w:rFonts w:ascii="Calibri" w:eastAsia="Times New Roman" w:hAnsi="Calibri" w:cs="Times New Roman"/>
                <w:color w:val="000000"/>
                <w:sz w:val="22"/>
                <w:szCs w:val="22"/>
              </w:rPr>
            </w:pPr>
            <w:r>
              <w:rPr>
                <w:rFonts w:ascii="Calibri" w:hAnsi="Calibri"/>
                <w:color w:val="000000"/>
                <w:sz w:val="22"/>
                <w:szCs w:val="22"/>
              </w:rPr>
              <w:t xml:space="preserve">                        7,865 </w:t>
            </w:r>
          </w:p>
        </w:tc>
      </w:tr>
      <w:tr w:rsidR="00235A59" w:rsidRPr="005B4314" w14:paraId="1E41177B" w14:textId="77777777" w:rsidTr="005B4314">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4B582E91" w14:textId="77777777" w:rsidR="00235A59" w:rsidRPr="005B4314" w:rsidRDefault="00235A59" w:rsidP="005B4314">
            <w:pPr>
              <w:spacing w:after="0"/>
              <w:rPr>
                <w:rFonts w:ascii="Calibri" w:eastAsia="Times New Roman" w:hAnsi="Calibri" w:cs="Times New Roman"/>
                <w:color w:val="000000"/>
                <w:sz w:val="22"/>
                <w:szCs w:val="22"/>
              </w:rPr>
            </w:pPr>
            <w:r w:rsidRPr="005B4314">
              <w:rPr>
                <w:rFonts w:ascii="Calibri" w:eastAsia="Times New Roman" w:hAnsi="Calibri" w:cs="Times New Roman"/>
                <w:color w:val="000000"/>
                <w:sz w:val="22"/>
                <w:szCs w:val="22"/>
              </w:rPr>
              <w:t>Private (actual)</w:t>
            </w:r>
          </w:p>
        </w:tc>
        <w:tc>
          <w:tcPr>
            <w:tcW w:w="790" w:type="dxa"/>
            <w:tcBorders>
              <w:top w:val="nil"/>
              <w:left w:val="nil"/>
              <w:bottom w:val="single" w:sz="4" w:space="0" w:color="auto"/>
              <w:right w:val="single" w:sz="4" w:space="0" w:color="auto"/>
            </w:tcBorders>
            <w:shd w:val="clear" w:color="auto" w:fill="auto"/>
            <w:noWrap/>
            <w:vAlign w:val="bottom"/>
            <w:hideMark/>
          </w:tcPr>
          <w:p w14:paraId="10FF4E90" w14:textId="681307D0" w:rsidR="00235A59" w:rsidRPr="005B4314" w:rsidRDefault="00235A59" w:rsidP="005B4314">
            <w:pPr>
              <w:spacing w:after="0"/>
              <w:jc w:val="right"/>
              <w:rPr>
                <w:rFonts w:ascii="Calibri" w:eastAsia="Times New Roman" w:hAnsi="Calibri" w:cs="Times New Roman"/>
                <w:color w:val="000000"/>
                <w:sz w:val="22"/>
                <w:szCs w:val="22"/>
              </w:rPr>
            </w:pPr>
            <w:r>
              <w:rPr>
                <w:rFonts w:ascii="Calibri" w:hAnsi="Calibri"/>
                <w:color w:val="000000"/>
                <w:sz w:val="22"/>
                <w:szCs w:val="22"/>
              </w:rPr>
              <w:t>1</w:t>
            </w:r>
            <w:r w:rsidR="00730BA5">
              <w:rPr>
                <w:rFonts w:ascii="Calibri" w:hAnsi="Calibri"/>
                <w:color w:val="000000"/>
                <w:sz w:val="22"/>
                <w:szCs w:val="22"/>
              </w:rPr>
              <w:t>,</w:t>
            </w:r>
            <w:r>
              <w:rPr>
                <w:rFonts w:ascii="Calibri" w:hAnsi="Calibri"/>
                <w:color w:val="000000"/>
                <w:sz w:val="22"/>
                <w:szCs w:val="22"/>
              </w:rPr>
              <w:t>223</w:t>
            </w:r>
          </w:p>
        </w:tc>
        <w:tc>
          <w:tcPr>
            <w:tcW w:w="851" w:type="dxa"/>
            <w:tcBorders>
              <w:top w:val="nil"/>
              <w:left w:val="nil"/>
              <w:bottom w:val="single" w:sz="4" w:space="0" w:color="auto"/>
              <w:right w:val="single" w:sz="4" w:space="0" w:color="auto"/>
            </w:tcBorders>
            <w:shd w:val="clear" w:color="auto" w:fill="auto"/>
            <w:noWrap/>
            <w:vAlign w:val="bottom"/>
            <w:hideMark/>
          </w:tcPr>
          <w:p w14:paraId="2D75B4A5" w14:textId="3D1FB7E4" w:rsidR="00235A59" w:rsidRPr="005B4314" w:rsidRDefault="00235A59" w:rsidP="005B4314">
            <w:pPr>
              <w:spacing w:after="0"/>
              <w:jc w:val="right"/>
              <w:rPr>
                <w:rFonts w:ascii="Calibri" w:eastAsia="Times New Roman" w:hAnsi="Calibri" w:cs="Times New Roman"/>
                <w:color w:val="000000"/>
                <w:sz w:val="22"/>
                <w:szCs w:val="22"/>
              </w:rPr>
            </w:pPr>
            <w:r>
              <w:rPr>
                <w:rFonts w:ascii="Calibri" w:hAnsi="Calibri"/>
                <w:color w:val="000000"/>
                <w:sz w:val="22"/>
                <w:szCs w:val="22"/>
              </w:rPr>
              <w:t>3</w:t>
            </w:r>
            <w:r w:rsidR="00730BA5">
              <w:rPr>
                <w:rFonts w:ascii="Calibri" w:hAnsi="Calibri"/>
                <w:color w:val="000000"/>
                <w:sz w:val="22"/>
                <w:szCs w:val="22"/>
              </w:rPr>
              <w:t>,</w:t>
            </w:r>
            <w:r>
              <w:rPr>
                <w:rFonts w:ascii="Calibri" w:hAnsi="Calibri"/>
                <w:color w:val="000000"/>
                <w:sz w:val="22"/>
                <w:szCs w:val="22"/>
              </w:rPr>
              <w:t>179</w:t>
            </w:r>
          </w:p>
        </w:tc>
        <w:tc>
          <w:tcPr>
            <w:tcW w:w="850" w:type="dxa"/>
            <w:tcBorders>
              <w:top w:val="nil"/>
              <w:left w:val="nil"/>
              <w:bottom w:val="single" w:sz="4" w:space="0" w:color="auto"/>
              <w:right w:val="single" w:sz="4" w:space="0" w:color="auto"/>
            </w:tcBorders>
            <w:shd w:val="clear" w:color="auto" w:fill="auto"/>
            <w:noWrap/>
            <w:vAlign w:val="bottom"/>
            <w:hideMark/>
          </w:tcPr>
          <w:p w14:paraId="179FD89D" w14:textId="04DE6CF0" w:rsidR="00235A59" w:rsidRPr="005B4314" w:rsidRDefault="00235A59" w:rsidP="005B4314">
            <w:pPr>
              <w:spacing w:after="0"/>
              <w:jc w:val="right"/>
              <w:rPr>
                <w:rFonts w:ascii="Calibri" w:eastAsia="Times New Roman" w:hAnsi="Calibri" w:cs="Times New Roman"/>
                <w:color w:val="000000"/>
                <w:sz w:val="22"/>
                <w:szCs w:val="22"/>
              </w:rPr>
            </w:pPr>
            <w:r>
              <w:rPr>
                <w:rFonts w:ascii="Calibri" w:hAnsi="Calibri"/>
                <w:color w:val="000000"/>
                <w:sz w:val="22"/>
                <w:szCs w:val="22"/>
              </w:rPr>
              <w:t>3</w:t>
            </w:r>
            <w:r w:rsidR="00730BA5">
              <w:rPr>
                <w:rFonts w:ascii="Calibri" w:hAnsi="Calibri"/>
                <w:color w:val="000000"/>
                <w:sz w:val="22"/>
                <w:szCs w:val="22"/>
              </w:rPr>
              <w:t>,</w:t>
            </w:r>
            <w:r>
              <w:rPr>
                <w:rFonts w:ascii="Calibri" w:hAnsi="Calibri"/>
                <w:color w:val="000000"/>
                <w:sz w:val="22"/>
                <w:szCs w:val="22"/>
              </w:rPr>
              <w:t>948</w:t>
            </w:r>
          </w:p>
        </w:tc>
        <w:tc>
          <w:tcPr>
            <w:tcW w:w="993" w:type="dxa"/>
            <w:tcBorders>
              <w:top w:val="nil"/>
              <w:left w:val="nil"/>
              <w:bottom w:val="single" w:sz="4" w:space="0" w:color="auto"/>
              <w:right w:val="single" w:sz="4" w:space="0" w:color="auto"/>
            </w:tcBorders>
            <w:shd w:val="clear" w:color="auto" w:fill="auto"/>
            <w:noWrap/>
            <w:vAlign w:val="bottom"/>
            <w:hideMark/>
          </w:tcPr>
          <w:p w14:paraId="6A45BB20" w14:textId="6405F51F" w:rsidR="00235A59" w:rsidRPr="005B4314" w:rsidRDefault="00235A59" w:rsidP="005B4314">
            <w:pPr>
              <w:spacing w:after="0"/>
              <w:jc w:val="right"/>
              <w:rPr>
                <w:rFonts w:ascii="Calibri" w:eastAsia="Times New Roman" w:hAnsi="Calibri" w:cs="Times New Roman"/>
                <w:color w:val="000000"/>
                <w:sz w:val="22"/>
                <w:szCs w:val="22"/>
              </w:rPr>
            </w:pPr>
            <w:r>
              <w:rPr>
                <w:rFonts w:ascii="Calibri" w:hAnsi="Calibri"/>
                <w:color w:val="000000"/>
                <w:sz w:val="22"/>
                <w:szCs w:val="22"/>
              </w:rPr>
              <w:t>4</w:t>
            </w:r>
            <w:r w:rsidR="00730BA5">
              <w:rPr>
                <w:rFonts w:ascii="Calibri" w:hAnsi="Calibri"/>
                <w:color w:val="000000"/>
                <w:sz w:val="22"/>
                <w:szCs w:val="22"/>
              </w:rPr>
              <w:t>,</w:t>
            </w:r>
            <w:r>
              <w:rPr>
                <w:rFonts w:ascii="Calibri" w:hAnsi="Calibri"/>
                <w:color w:val="000000"/>
                <w:sz w:val="22"/>
                <w:szCs w:val="22"/>
              </w:rPr>
              <w:t>744</w:t>
            </w:r>
          </w:p>
        </w:tc>
        <w:tc>
          <w:tcPr>
            <w:tcW w:w="992" w:type="dxa"/>
            <w:tcBorders>
              <w:top w:val="nil"/>
              <w:left w:val="nil"/>
              <w:bottom w:val="single" w:sz="4" w:space="0" w:color="auto"/>
              <w:right w:val="single" w:sz="4" w:space="0" w:color="auto"/>
            </w:tcBorders>
            <w:shd w:val="clear" w:color="auto" w:fill="auto"/>
            <w:noWrap/>
            <w:vAlign w:val="bottom"/>
            <w:hideMark/>
          </w:tcPr>
          <w:p w14:paraId="1028AE64" w14:textId="5399A078" w:rsidR="00235A59" w:rsidRPr="005B4314" w:rsidRDefault="00235A59" w:rsidP="005B4314">
            <w:pPr>
              <w:spacing w:after="0"/>
              <w:jc w:val="right"/>
              <w:rPr>
                <w:rFonts w:ascii="Calibri" w:eastAsia="Times New Roman" w:hAnsi="Calibri" w:cs="Times New Roman"/>
                <w:color w:val="000000"/>
                <w:sz w:val="22"/>
                <w:szCs w:val="22"/>
              </w:rPr>
            </w:pPr>
            <w:r>
              <w:rPr>
                <w:rFonts w:ascii="Calibri" w:hAnsi="Calibri"/>
                <w:color w:val="000000"/>
                <w:sz w:val="22"/>
                <w:szCs w:val="22"/>
              </w:rPr>
              <w:t>5</w:t>
            </w:r>
            <w:r w:rsidR="00730BA5">
              <w:rPr>
                <w:rFonts w:ascii="Calibri" w:hAnsi="Calibri"/>
                <w:color w:val="000000"/>
                <w:sz w:val="22"/>
                <w:szCs w:val="22"/>
              </w:rPr>
              <w:t>,</w:t>
            </w:r>
            <w:r>
              <w:rPr>
                <w:rFonts w:ascii="Calibri" w:hAnsi="Calibri"/>
                <w:color w:val="000000"/>
                <w:sz w:val="22"/>
                <w:szCs w:val="22"/>
              </w:rPr>
              <w:t>317</w:t>
            </w:r>
          </w:p>
        </w:tc>
        <w:tc>
          <w:tcPr>
            <w:tcW w:w="1843" w:type="dxa"/>
            <w:tcBorders>
              <w:top w:val="nil"/>
              <w:left w:val="nil"/>
              <w:bottom w:val="single" w:sz="4" w:space="0" w:color="auto"/>
              <w:right w:val="single" w:sz="4" w:space="0" w:color="auto"/>
            </w:tcBorders>
            <w:shd w:val="clear" w:color="auto" w:fill="auto"/>
            <w:noWrap/>
            <w:vAlign w:val="bottom"/>
            <w:hideMark/>
          </w:tcPr>
          <w:p w14:paraId="03B6FE29" w14:textId="47ADFF40" w:rsidR="00235A59" w:rsidRPr="005B4314" w:rsidRDefault="00235A59" w:rsidP="005B4314">
            <w:pPr>
              <w:spacing w:after="0"/>
              <w:jc w:val="right"/>
              <w:rPr>
                <w:rFonts w:ascii="Calibri" w:eastAsia="Times New Roman" w:hAnsi="Calibri" w:cs="Times New Roman"/>
                <w:color w:val="000000"/>
                <w:sz w:val="22"/>
                <w:szCs w:val="22"/>
              </w:rPr>
            </w:pPr>
            <w:r>
              <w:rPr>
                <w:rFonts w:ascii="Calibri" w:hAnsi="Calibri"/>
                <w:color w:val="000000"/>
                <w:sz w:val="22"/>
                <w:szCs w:val="22"/>
              </w:rPr>
              <w:t>2</w:t>
            </w:r>
            <w:r w:rsidR="00730BA5">
              <w:rPr>
                <w:rFonts w:ascii="Calibri" w:hAnsi="Calibri"/>
                <w:color w:val="000000"/>
                <w:sz w:val="22"/>
                <w:szCs w:val="22"/>
              </w:rPr>
              <w:t>,</w:t>
            </w:r>
            <w:r>
              <w:rPr>
                <w:rFonts w:ascii="Calibri" w:hAnsi="Calibri"/>
                <w:color w:val="000000"/>
                <w:sz w:val="22"/>
                <w:szCs w:val="22"/>
              </w:rPr>
              <w:t>847</w:t>
            </w:r>
          </w:p>
        </w:tc>
      </w:tr>
    </w:tbl>
    <w:p w14:paraId="0E7B7FE9" w14:textId="77777777" w:rsidR="003403EF" w:rsidRDefault="003403EF" w:rsidP="005C5EA3">
      <w:pPr>
        <w:spacing w:line="276" w:lineRule="auto"/>
        <w:rPr>
          <w:b/>
        </w:rPr>
      </w:pPr>
    </w:p>
    <w:p w14:paraId="5C01179C" w14:textId="56D0B57E" w:rsidR="003403EF" w:rsidRDefault="00DB54C6" w:rsidP="005C5EA3">
      <w:pPr>
        <w:spacing w:line="276" w:lineRule="auto"/>
        <w:rPr>
          <w:b/>
        </w:rPr>
      </w:pPr>
      <w:r>
        <w:rPr>
          <w:b/>
        </w:rPr>
        <w:t>Step 4: T</w:t>
      </w:r>
      <w:r w:rsidR="005752C3">
        <w:rPr>
          <w:b/>
        </w:rPr>
        <w:t>he number of prevalent patients accessing S100 Public natalizumab</w:t>
      </w:r>
      <w:r>
        <w:rPr>
          <w:b/>
        </w:rPr>
        <w:t xml:space="preserve"> was estimated</w:t>
      </w:r>
      <w:r w:rsidR="004868EF">
        <w:rPr>
          <w:b/>
        </w:rPr>
        <w:t>.</w:t>
      </w:r>
    </w:p>
    <w:p w14:paraId="020C0B53" w14:textId="4D9F3D33" w:rsidR="005752C3" w:rsidRDefault="00C40AF1" w:rsidP="005C5EA3">
      <w:pPr>
        <w:spacing w:line="276" w:lineRule="auto"/>
      </w:pPr>
      <w:r>
        <w:t>The</w:t>
      </w:r>
      <w:r w:rsidR="00C272CD">
        <w:t xml:space="preserve"> number of estimated S100 natalizumab prescriptions </w:t>
      </w:r>
      <w:r>
        <w:t xml:space="preserve">was divided </w:t>
      </w:r>
      <w:r w:rsidR="00C272CD">
        <w:t>by the average number of scripts for S100 public natalizumab in 2014 (9.6, from Step 1) to estimate the number of prevalent Public patients, as shown in the following table.</w:t>
      </w:r>
    </w:p>
    <w:tbl>
      <w:tblPr>
        <w:tblW w:w="8460" w:type="dxa"/>
        <w:tblInd w:w="93" w:type="dxa"/>
        <w:tblLook w:val="04A0" w:firstRow="1" w:lastRow="0" w:firstColumn="1" w:lastColumn="0" w:noHBand="0" w:noVBand="1"/>
      </w:tblPr>
      <w:tblGrid>
        <w:gridCol w:w="2700"/>
        <w:gridCol w:w="960"/>
        <w:gridCol w:w="960"/>
        <w:gridCol w:w="960"/>
        <w:gridCol w:w="960"/>
        <w:gridCol w:w="960"/>
        <w:gridCol w:w="960"/>
      </w:tblGrid>
      <w:tr w:rsidR="0074325B" w:rsidRPr="0074325B" w14:paraId="411ADFED" w14:textId="77777777" w:rsidTr="008745C3">
        <w:trPr>
          <w:trHeight w:val="300"/>
        </w:trPr>
        <w:tc>
          <w:tcPr>
            <w:tcW w:w="2700" w:type="dxa"/>
            <w:tcBorders>
              <w:top w:val="nil"/>
              <w:left w:val="nil"/>
              <w:bottom w:val="nil"/>
              <w:right w:val="nil"/>
            </w:tcBorders>
            <w:shd w:val="clear" w:color="auto" w:fill="auto"/>
            <w:noWrap/>
            <w:vAlign w:val="bottom"/>
            <w:hideMark/>
          </w:tcPr>
          <w:p w14:paraId="5752AB82" w14:textId="77777777" w:rsidR="0074325B" w:rsidRPr="0074325B" w:rsidRDefault="0074325B" w:rsidP="0074325B">
            <w:pPr>
              <w:spacing w:after="0"/>
              <w:rPr>
                <w:rFonts w:ascii="Calibri" w:eastAsia="Times New Roman" w:hAnsi="Calibri" w:cs="Times New Roman"/>
                <w:color w:val="000000"/>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98A6D40" w14:textId="77777777" w:rsidR="0074325B" w:rsidRPr="008745C3" w:rsidRDefault="0074325B" w:rsidP="0074325B">
            <w:pPr>
              <w:spacing w:after="0"/>
              <w:jc w:val="right"/>
              <w:rPr>
                <w:rFonts w:ascii="Calibri" w:eastAsia="Times New Roman" w:hAnsi="Calibri" w:cs="Times New Roman"/>
                <w:b/>
                <w:color w:val="000000"/>
                <w:sz w:val="22"/>
                <w:szCs w:val="22"/>
              </w:rPr>
            </w:pPr>
            <w:r w:rsidRPr="008745C3">
              <w:rPr>
                <w:rFonts w:ascii="Calibri" w:eastAsia="Times New Roman" w:hAnsi="Calibri" w:cs="Times New Roman"/>
                <w:b/>
                <w:color w:val="000000"/>
                <w:sz w:val="22"/>
                <w:szCs w:val="22"/>
              </w:rPr>
              <w:t>2008</w:t>
            </w:r>
          </w:p>
        </w:tc>
        <w:tc>
          <w:tcPr>
            <w:tcW w:w="960" w:type="dxa"/>
            <w:tcBorders>
              <w:top w:val="single" w:sz="4" w:space="0" w:color="auto"/>
              <w:left w:val="nil"/>
              <w:bottom w:val="single" w:sz="4" w:space="0" w:color="auto"/>
              <w:right w:val="single" w:sz="4" w:space="0" w:color="auto"/>
            </w:tcBorders>
            <w:shd w:val="clear" w:color="auto" w:fill="auto"/>
            <w:noWrap/>
            <w:hideMark/>
          </w:tcPr>
          <w:p w14:paraId="6E8DED9D" w14:textId="77777777" w:rsidR="0074325B" w:rsidRPr="008745C3" w:rsidRDefault="0074325B" w:rsidP="0074325B">
            <w:pPr>
              <w:spacing w:after="0"/>
              <w:jc w:val="right"/>
              <w:rPr>
                <w:rFonts w:ascii="Calibri" w:eastAsia="Times New Roman" w:hAnsi="Calibri" w:cs="Times New Roman"/>
                <w:b/>
                <w:color w:val="000000"/>
                <w:sz w:val="22"/>
                <w:szCs w:val="22"/>
              </w:rPr>
            </w:pPr>
            <w:r w:rsidRPr="008745C3">
              <w:rPr>
                <w:rFonts w:ascii="Calibri" w:eastAsia="Times New Roman" w:hAnsi="Calibri" w:cs="Times New Roman"/>
                <w:b/>
                <w:color w:val="000000"/>
                <w:sz w:val="22"/>
                <w:szCs w:val="22"/>
              </w:rPr>
              <w:t>2009</w:t>
            </w:r>
          </w:p>
        </w:tc>
        <w:tc>
          <w:tcPr>
            <w:tcW w:w="960" w:type="dxa"/>
            <w:tcBorders>
              <w:top w:val="single" w:sz="4" w:space="0" w:color="auto"/>
              <w:left w:val="nil"/>
              <w:bottom w:val="single" w:sz="4" w:space="0" w:color="auto"/>
              <w:right w:val="single" w:sz="4" w:space="0" w:color="auto"/>
            </w:tcBorders>
            <w:shd w:val="clear" w:color="auto" w:fill="auto"/>
            <w:noWrap/>
            <w:hideMark/>
          </w:tcPr>
          <w:p w14:paraId="55E1972C" w14:textId="77777777" w:rsidR="0074325B" w:rsidRPr="008745C3" w:rsidRDefault="0074325B" w:rsidP="0074325B">
            <w:pPr>
              <w:spacing w:after="0"/>
              <w:jc w:val="right"/>
              <w:rPr>
                <w:rFonts w:ascii="Calibri" w:eastAsia="Times New Roman" w:hAnsi="Calibri" w:cs="Times New Roman"/>
                <w:b/>
                <w:color w:val="000000"/>
                <w:sz w:val="22"/>
                <w:szCs w:val="22"/>
              </w:rPr>
            </w:pPr>
            <w:r w:rsidRPr="008745C3">
              <w:rPr>
                <w:rFonts w:ascii="Calibri" w:eastAsia="Times New Roman" w:hAnsi="Calibri" w:cs="Times New Roman"/>
                <w:b/>
                <w:color w:val="000000"/>
                <w:sz w:val="22"/>
                <w:szCs w:val="22"/>
              </w:rPr>
              <w:t>2010</w:t>
            </w:r>
          </w:p>
        </w:tc>
        <w:tc>
          <w:tcPr>
            <w:tcW w:w="960" w:type="dxa"/>
            <w:tcBorders>
              <w:top w:val="single" w:sz="4" w:space="0" w:color="auto"/>
              <w:left w:val="nil"/>
              <w:bottom w:val="single" w:sz="4" w:space="0" w:color="auto"/>
              <w:right w:val="single" w:sz="4" w:space="0" w:color="auto"/>
            </w:tcBorders>
            <w:shd w:val="clear" w:color="auto" w:fill="auto"/>
            <w:noWrap/>
            <w:hideMark/>
          </w:tcPr>
          <w:p w14:paraId="4A71457B" w14:textId="77777777" w:rsidR="0074325B" w:rsidRPr="008745C3" w:rsidRDefault="0074325B" w:rsidP="0074325B">
            <w:pPr>
              <w:spacing w:after="0"/>
              <w:jc w:val="right"/>
              <w:rPr>
                <w:rFonts w:ascii="Calibri" w:eastAsia="Times New Roman" w:hAnsi="Calibri" w:cs="Times New Roman"/>
                <w:b/>
                <w:color w:val="000000"/>
                <w:sz w:val="22"/>
                <w:szCs w:val="22"/>
              </w:rPr>
            </w:pPr>
            <w:r w:rsidRPr="008745C3">
              <w:rPr>
                <w:rFonts w:ascii="Calibri" w:eastAsia="Times New Roman" w:hAnsi="Calibri" w:cs="Times New Roman"/>
                <w:b/>
                <w:color w:val="000000"/>
                <w:sz w:val="22"/>
                <w:szCs w:val="22"/>
              </w:rPr>
              <w:t>2011</w:t>
            </w:r>
          </w:p>
        </w:tc>
        <w:tc>
          <w:tcPr>
            <w:tcW w:w="960" w:type="dxa"/>
            <w:tcBorders>
              <w:top w:val="single" w:sz="4" w:space="0" w:color="auto"/>
              <w:left w:val="nil"/>
              <w:bottom w:val="single" w:sz="4" w:space="0" w:color="auto"/>
              <w:right w:val="single" w:sz="4" w:space="0" w:color="auto"/>
            </w:tcBorders>
            <w:shd w:val="clear" w:color="auto" w:fill="auto"/>
            <w:noWrap/>
            <w:hideMark/>
          </w:tcPr>
          <w:p w14:paraId="768358FF" w14:textId="77777777" w:rsidR="0074325B" w:rsidRPr="008745C3" w:rsidRDefault="0074325B" w:rsidP="0074325B">
            <w:pPr>
              <w:spacing w:after="0"/>
              <w:jc w:val="right"/>
              <w:rPr>
                <w:rFonts w:ascii="Calibri" w:eastAsia="Times New Roman" w:hAnsi="Calibri" w:cs="Times New Roman"/>
                <w:b/>
                <w:color w:val="000000"/>
                <w:sz w:val="22"/>
                <w:szCs w:val="22"/>
              </w:rPr>
            </w:pPr>
            <w:r w:rsidRPr="008745C3">
              <w:rPr>
                <w:rFonts w:ascii="Calibri" w:eastAsia="Times New Roman" w:hAnsi="Calibri" w:cs="Times New Roman"/>
                <w:b/>
                <w:color w:val="000000"/>
                <w:sz w:val="22"/>
                <w:szCs w:val="22"/>
              </w:rPr>
              <w:t>2012</w:t>
            </w:r>
          </w:p>
        </w:tc>
        <w:tc>
          <w:tcPr>
            <w:tcW w:w="960" w:type="dxa"/>
            <w:tcBorders>
              <w:top w:val="single" w:sz="4" w:space="0" w:color="auto"/>
              <w:left w:val="nil"/>
              <w:bottom w:val="single" w:sz="4" w:space="0" w:color="auto"/>
              <w:right w:val="single" w:sz="4" w:space="0" w:color="auto"/>
            </w:tcBorders>
            <w:shd w:val="clear" w:color="auto" w:fill="auto"/>
            <w:noWrap/>
            <w:hideMark/>
          </w:tcPr>
          <w:p w14:paraId="27FA1C42" w14:textId="60821FC6" w:rsidR="0074325B" w:rsidRPr="008745C3" w:rsidRDefault="0074325B" w:rsidP="0074325B">
            <w:pPr>
              <w:spacing w:after="0"/>
              <w:jc w:val="right"/>
              <w:rPr>
                <w:rFonts w:ascii="Calibri" w:eastAsia="Times New Roman" w:hAnsi="Calibri" w:cs="Times New Roman"/>
                <w:b/>
                <w:color w:val="000000"/>
                <w:sz w:val="22"/>
                <w:szCs w:val="22"/>
              </w:rPr>
            </w:pPr>
            <w:r w:rsidRPr="008745C3">
              <w:rPr>
                <w:rFonts w:ascii="Calibri" w:eastAsia="Times New Roman" w:hAnsi="Calibri" w:cs="Times New Roman"/>
                <w:b/>
                <w:color w:val="000000"/>
                <w:sz w:val="22"/>
                <w:szCs w:val="22"/>
              </w:rPr>
              <w:t>2013</w:t>
            </w:r>
            <w:r w:rsidR="00B55D75" w:rsidRPr="008745C3">
              <w:rPr>
                <w:rFonts w:ascii="Calibri" w:eastAsia="Times New Roman" w:hAnsi="Calibri" w:cs="Times New Roman"/>
                <w:b/>
                <w:color w:val="000000"/>
                <w:sz w:val="22"/>
                <w:szCs w:val="22"/>
              </w:rPr>
              <w:t xml:space="preserve"> (to 30 June)</w:t>
            </w:r>
          </w:p>
        </w:tc>
      </w:tr>
      <w:tr w:rsidR="00B55D75" w:rsidRPr="0074325B" w14:paraId="0F9565A6" w14:textId="77777777" w:rsidTr="0074325B">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D59AB" w14:textId="77777777" w:rsidR="00B55D75" w:rsidRPr="0074325B" w:rsidRDefault="00B55D75" w:rsidP="0074325B">
            <w:pPr>
              <w:spacing w:after="0"/>
              <w:rPr>
                <w:rFonts w:ascii="Calibri" w:eastAsia="Times New Roman" w:hAnsi="Calibri" w:cs="Times New Roman"/>
                <w:color w:val="000000"/>
                <w:sz w:val="22"/>
                <w:szCs w:val="22"/>
              </w:rPr>
            </w:pPr>
            <w:r w:rsidRPr="0074325B">
              <w:rPr>
                <w:rFonts w:ascii="Calibri" w:eastAsia="Times New Roman" w:hAnsi="Calibri" w:cs="Times New Roman"/>
                <w:color w:val="000000"/>
                <w:sz w:val="22"/>
                <w:szCs w:val="22"/>
              </w:rPr>
              <w:t>Estimated Public scripts</w:t>
            </w:r>
          </w:p>
        </w:tc>
        <w:tc>
          <w:tcPr>
            <w:tcW w:w="960" w:type="dxa"/>
            <w:tcBorders>
              <w:top w:val="nil"/>
              <w:left w:val="nil"/>
              <w:bottom w:val="single" w:sz="4" w:space="0" w:color="auto"/>
              <w:right w:val="single" w:sz="4" w:space="0" w:color="auto"/>
            </w:tcBorders>
            <w:shd w:val="clear" w:color="auto" w:fill="auto"/>
            <w:noWrap/>
            <w:vAlign w:val="bottom"/>
            <w:hideMark/>
          </w:tcPr>
          <w:p w14:paraId="7E35D567" w14:textId="6220D81E" w:rsidR="00B55D75" w:rsidRPr="0074325B" w:rsidRDefault="00B55D75" w:rsidP="0074325B">
            <w:pPr>
              <w:spacing w:after="0"/>
              <w:rPr>
                <w:rFonts w:ascii="Calibri" w:eastAsia="Times New Roman" w:hAnsi="Calibri" w:cs="Times New Roman"/>
                <w:color w:val="000000"/>
                <w:sz w:val="22"/>
                <w:szCs w:val="22"/>
              </w:rPr>
            </w:pPr>
            <w:r>
              <w:rPr>
                <w:rFonts w:ascii="Calibri" w:hAnsi="Calibri"/>
                <w:color w:val="000000"/>
                <w:sz w:val="22"/>
                <w:szCs w:val="22"/>
              </w:rPr>
              <w:t xml:space="preserve">         2,524 </w:t>
            </w:r>
          </w:p>
        </w:tc>
        <w:tc>
          <w:tcPr>
            <w:tcW w:w="960" w:type="dxa"/>
            <w:tcBorders>
              <w:top w:val="nil"/>
              <w:left w:val="nil"/>
              <w:bottom w:val="single" w:sz="4" w:space="0" w:color="auto"/>
              <w:right w:val="single" w:sz="4" w:space="0" w:color="auto"/>
            </w:tcBorders>
            <w:shd w:val="clear" w:color="auto" w:fill="auto"/>
            <w:noWrap/>
            <w:vAlign w:val="bottom"/>
            <w:hideMark/>
          </w:tcPr>
          <w:p w14:paraId="7248B9EA" w14:textId="210FE9D7" w:rsidR="00B55D75" w:rsidRPr="0074325B" w:rsidRDefault="00B55D75" w:rsidP="0074325B">
            <w:pPr>
              <w:spacing w:after="0"/>
              <w:rPr>
                <w:rFonts w:ascii="Calibri" w:eastAsia="Times New Roman" w:hAnsi="Calibri" w:cs="Times New Roman"/>
                <w:color w:val="000000"/>
                <w:sz w:val="22"/>
                <w:szCs w:val="22"/>
              </w:rPr>
            </w:pPr>
            <w:r>
              <w:rPr>
                <w:rFonts w:ascii="Calibri" w:hAnsi="Calibri"/>
                <w:color w:val="000000"/>
                <w:sz w:val="22"/>
                <w:szCs w:val="22"/>
              </w:rPr>
              <w:t xml:space="preserve">          8,022 </w:t>
            </w:r>
          </w:p>
        </w:tc>
        <w:tc>
          <w:tcPr>
            <w:tcW w:w="960" w:type="dxa"/>
            <w:tcBorders>
              <w:top w:val="nil"/>
              <w:left w:val="nil"/>
              <w:bottom w:val="single" w:sz="4" w:space="0" w:color="auto"/>
              <w:right w:val="single" w:sz="4" w:space="0" w:color="auto"/>
            </w:tcBorders>
            <w:shd w:val="clear" w:color="auto" w:fill="auto"/>
            <w:noWrap/>
            <w:vAlign w:val="bottom"/>
            <w:hideMark/>
          </w:tcPr>
          <w:p w14:paraId="6B113C9E" w14:textId="7A8AA901" w:rsidR="00B55D75" w:rsidRPr="0074325B" w:rsidRDefault="00B55D75" w:rsidP="0074325B">
            <w:pPr>
              <w:spacing w:after="0"/>
              <w:rPr>
                <w:rFonts w:ascii="Calibri" w:eastAsia="Times New Roman" w:hAnsi="Calibri" w:cs="Times New Roman"/>
                <w:color w:val="000000"/>
                <w:sz w:val="22"/>
                <w:szCs w:val="22"/>
              </w:rPr>
            </w:pPr>
            <w:r>
              <w:rPr>
                <w:rFonts w:ascii="Calibri" w:hAnsi="Calibri"/>
                <w:color w:val="000000"/>
                <w:sz w:val="22"/>
                <w:szCs w:val="22"/>
              </w:rPr>
              <w:t xml:space="preserve">        10,781 </w:t>
            </w:r>
          </w:p>
        </w:tc>
        <w:tc>
          <w:tcPr>
            <w:tcW w:w="960" w:type="dxa"/>
            <w:tcBorders>
              <w:top w:val="nil"/>
              <w:left w:val="nil"/>
              <w:bottom w:val="single" w:sz="4" w:space="0" w:color="auto"/>
              <w:right w:val="single" w:sz="4" w:space="0" w:color="auto"/>
            </w:tcBorders>
            <w:shd w:val="clear" w:color="auto" w:fill="auto"/>
            <w:noWrap/>
            <w:vAlign w:val="bottom"/>
            <w:hideMark/>
          </w:tcPr>
          <w:p w14:paraId="0F4F67EC" w14:textId="34828BA4" w:rsidR="00B55D75" w:rsidRPr="0074325B" w:rsidRDefault="00B55D75" w:rsidP="0074325B">
            <w:pPr>
              <w:spacing w:after="0"/>
              <w:rPr>
                <w:rFonts w:ascii="Calibri" w:eastAsia="Times New Roman" w:hAnsi="Calibri" w:cs="Times New Roman"/>
                <w:color w:val="000000"/>
                <w:sz w:val="22"/>
                <w:szCs w:val="22"/>
              </w:rPr>
            </w:pPr>
            <w:r>
              <w:rPr>
                <w:rFonts w:ascii="Calibri" w:hAnsi="Calibri"/>
                <w:color w:val="000000"/>
                <w:sz w:val="22"/>
                <w:szCs w:val="22"/>
              </w:rPr>
              <w:t xml:space="preserve">        13,107 </w:t>
            </w:r>
          </w:p>
        </w:tc>
        <w:tc>
          <w:tcPr>
            <w:tcW w:w="960" w:type="dxa"/>
            <w:tcBorders>
              <w:top w:val="nil"/>
              <w:left w:val="nil"/>
              <w:bottom w:val="single" w:sz="4" w:space="0" w:color="auto"/>
              <w:right w:val="single" w:sz="4" w:space="0" w:color="auto"/>
            </w:tcBorders>
            <w:shd w:val="clear" w:color="auto" w:fill="auto"/>
            <w:noWrap/>
            <w:vAlign w:val="bottom"/>
            <w:hideMark/>
          </w:tcPr>
          <w:p w14:paraId="74527936" w14:textId="0F33EB39" w:rsidR="00B55D75" w:rsidRPr="0074325B" w:rsidRDefault="00B55D75" w:rsidP="0074325B">
            <w:pPr>
              <w:spacing w:after="0"/>
              <w:rPr>
                <w:rFonts w:ascii="Calibri" w:eastAsia="Times New Roman" w:hAnsi="Calibri" w:cs="Times New Roman"/>
                <w:color w:val="000000"/>
                <w:sz w:val="22"/>
                <w:szCs w:val="22"/>
              </w:rPr>
            </w:pPr>
            <w:r>
              <w:rPr>
                <w:rFonts w:ascii="Calibri" w:hAnsi="Calibri"/>
                <w:color w:val="000000"/>
                <w:sz w:val="22"/>
                <w:szCs w:val="22"/>
              </w:rPr>
              <w:t xml:space="preserve">      14,938 </w:t>
            </w:r>
          </w:p>
        </w:tc>
        <w:tc>
          <w:tcPr>
            <w:tcW w:w="960" w:type="dxa"/>
            <w:tcBorders>
              <w:top w:val="nil"/>
              <w:left w:val="nil"/>
              <w:bottom w:val="single" w:sz="4" w:space="0" w:color="auto"/>
              <w:right w:val="single" w:sz="4" w:space="0" w:color="auto"/>
            </w:tcBorders>
            <w:shd w:val="clear" w:color="auto" w:fill="auto"/>
            <w:noWrap/>
            <w:vAlign w:val="bottom"/>
            <w:hideMark/>
          </w:tcPr>
          <w:p w14:paraId="1B00FA77" w14:textId="55D3989C" w:rsidR="00B55D75" w:rsidRPr="0074325B" w:rsidRDefault="00B55D75" w:rsidP="0074325B">
            <w:pPr>
              <w:spacing w:after="0"/>
              <w:rPr>
                <w:rFonts w:ascii="Calibri" w:eastAsia="Times New Roman" w:hAnsi="Calibri" w:cs="Times New Roman"/>
                <w:color w:val="000000"/>
                <w:sz w:val="22"/>
                <w:szCs w:val="22"/>
              </w:rPr>
            </w:pPr>
            <w:r>
              <w:rPr>
                <w:rFonts w:ascii="Calibri" w:hAnsi="Calibri"/>
                <w:color w:val="000000"/>
                <w:sz w:val="22"/>
                <w:szCs w:val="22"/>
              </w:rPr>
              <w:t xml:space="preserve">                        7,865 </w:t>
            </w:r>
          </w:p>
        </w:tc>
      </w:tr>
      <w:tr w:rsidR="0074325B" w:rsidRPr="0074325B" w14:paraId="6ABD0137" w14:textId="77777777" w:rsidTr="0074325B">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69508B" w14:textId="77777777" w:rsidR="0074325B" w:rsidRPr="0074325B" w:rsidRDefault="0074325B" w:rsidP="0074325B">
            <w:pPr>
              <w:spacing w:after="0"/>
              <w:rPr>
                <w:rFonts w:ascii="Calibri" w:eastAsia="Times New Roman" w:hAnsi="Calibri" w:cs="Times New Roman"/>
                <w:color w:val="000000"/>
                <w:sz w:val="22"/>
                <w:szCs w:val="22"/>
              </w:rPr>
            </w:pPr>
            <w:r w:rsidRPr="0074325B">
              <w:rPr>
                <w:rFonts w:ascii="Calibri" w:eastAsia="Times New Roman" w:hAnsi="Calibri" w:cs="Times New Roman"/>
                <w:color w:val="000000"/>
                <w:sz w:val="22"/>
                <w:szCs w:val="22"/>
              </w:rPr>
              <w:t>Average scripts for patient</w:t>
            </w:r>
          </w:p>
        </w:tc>
        <w:tc>
          <w:tcPr>
            <w:tcW w:w="960" w:type="dxa"/>
            <w:tcBorders>
              <w:top w:val="nil"/>
              <w:left w:val="nil"/>
              <w:bottom w:val="single" w:sz="4" w:space="0" w:color="auto"/>
              <w:right w:val="nil"/>
            </w:tcBorders>
            <w:shd w:val="clear" w:color="auto" w:fill="auto"/>
            <w:noWrap/>
            <w:vAlign w:val="bottom"/>
            <w:hideMark/>
          </w:tcPr>
          <w:p w14:paraId="7043CA05" w14:textId="77777777" w:rsidR="0074325B" w:rsidRPr="0074325B" w:rsidRDefault="0074325B" w:rsidP="0074325B">
            <w:pPr>
              <w:spacing w:after="0"/>
              <w:jc w:val="right"/>
              <w:rPr>
                <w:rFonts w:ascii="Calibri" w:eastAsia="Times New Roman" w:hAnsi="Calibri" w:cs="Times New Roman"/>
                <w:color w:val="000000"/>
                <w:sz w:val="22"/>
                <w:szCs w:val="22"/>
              </w:rPr>
            </w:pPr>
            <w:r w:rsidRPr="0074325B">
              <w:rPr>
                <w:rFonts w:ascii="Calibri" w:eastAsia="Times New Roman" w:hAnsi="Calibri" w:cs="Times New Roman"/>
                <w:color w:val="000000"/>
                <w:sz w:val="22"/>
                <w:szCs w:val="22"/>
              </w:rPr>
              <w:t>9.6</w:t>
            </w:r>
          </w:p>
        </w:tc>
        <w:tc>
          <w:tcPr>
            <w:tcW w:w="960" w:type="dxa"/>
            <w:tcBorders>
              <w:top w:val="nil"/>
              <w:left w:val="nil"/>
              <w:bottom w:val="single" w:sz="4" w:space="0" w:color="auto"/>
              <w:right w:val="nil"/>
            </w:tcBorders>
            <w:shd w:val="clear" w:color="auto" w:fill="auto"/>
            <w:noWrap/>
            <w:vAlign w:val="bottom"/>
            <w:hideMark/>
          </w:tcPr>
          <w:p w14:paraId="73AA26D0" w14:textId="77777777" w:rsidR="0074325B" w:rsidRPr="0074325B" w:rsidRDefault="0074325B" w:rsidP="0074325B">
            <w:pPr>
              <w:spacing w:after="0"/>
              <w:rPr>
                <w:rFonts w:ascii="Calibri" w:eastAsia="Times New Roman" w:hAnsi="Calibri" w:cs="Times New Roman"/>
                <w:color w:val="000000"/>
                <w:sz w:val="22"/>
                <w:szCs w:val="22"/>
              </w:rPr>
            </w:pPr>
            <w:r w:rsidRPr="0074325B">
              <w:rPr>
                <w:rFonts w:ascii="Calibri" w:eastAsia="Times New Roman" w:hAnsi="Calibri" w:cs="Times New Roman"/>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619FE349" w14:textId="77777777" w:rsidR="0074325B" w:rsidRPr="0074325B" w:rsidRDefault="0074325B" w:rsidP="0074325B">
            <w:pPr>
              <w:spacing w:after="0"/>
              <w:rPr>
                <w:rFonts w:ascii="Calibri" w:eastAsia="Times New Roman" w:hAnsi="Calibri" w:cs="Times New Roman"/>
                <w:color w:val="000000"/>
                <w:sz w:val="22"/>
                <w:szCs w:val="22"/>
              </w:rPr>
            </w:pPr>
            <w:r w:rsidRPr="0074325B">
              <w:rPr>
                <w:rFonts w:ascii="Calibri" w:eastAsia="Times New Roman" w:hAnsi="Calibri" w:cs="Times New Roman"/>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4DDF4CBF" w14:textId="77777777" w:rsidR="0074325B" w:rsidRPr="0074325B" w:rsidRDefault="0074325B" w:rsidP="0074325B">
            <w:pPr>
              <w:spacing w:after="0"/>
              <w:rPr>
                <w:rFonts w:ascii="Calibri" w:eastAsia="Times New Roman" w:hAnsi="Calibri" w:cs="Times New Roman"/>
                <w:color w:val="000000"/>
                <w:sz w:val="22"/>
                <w:szCs w:val="22"/>
              </w:rPr>
            </w:pPr>
            <w:r w:rsidRPr="0074325B">
              <w:rPr>
                <w:rFonts w:ascii="Calibri" w:eastAsia="Times New Roman" w:hAnsi="Calibri" w:cs="Times New Roman"/>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0A902471" w14:textId="77777777" w:rsidR="0074325B" w:rsidRPr="0074325B" w:rsidRDefault="0074325B" w:rsidP="0074325B">
            <w:pPr>
              <w:spacing w:after="0"/>
              <w:rPr>
                <w:rFonts w:ascii="Calibri" w:eastAsia="Times New Roman" w:hAnsi="Calibri" w:cs="Times New Roman"/>
                <w:color w:val="000000"/>
                <w:sz w:val="22"/>
                <w:szCs w:val="22"/>
              </w:rPr>
            </w:pPr>
            <w:r w:rsidRPr="0074325B">
              <w:rPr>
                <w:rFonts w:ascii="Calibri" w:eastAsia="Times New Roman" w:hAnsi="Calibri" w:cs="Times New Rom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6D2A97D" w14:textId="77777777" w:rsidR="0074325B" w:rsidRPr="0074325B" w:rsidRDefault="0074325B" w:rsidP="0074325B">
            <w:pPr>
              <w:spacing w:after="0"/>
              <w:rPr>
                <w:rFonts w:ascii="Calibri" w:eastAsia="Times New Roman" w:hAnsi="Calibri" w:cs="Times New Roman"/>
                <w:color w:val="000000"/>
                <w:sz w:val="22"/>
                <w:szCs w:val="22"/>
              </w:rPr>
            </w:pPr>
            <w:r w:rsidRPr="0074325B">
              <w:rPr>
                <w:rFonts w:ascii="Calibri" w:eastAsia="Times New Roman" w:hAnsi="Calibri" w:cs="Times New Roman"/>
                <w:color w:val="000000"/>
                <w:sz w:val="22"/>
                <w:szCs w:val="22"/>
              </w:rPr>
              <w:t> </w:t>
            </w:r>
          </w:p>
        </w:tc>
      </w:tr>
      <w:tr w:rsidR="00B55D75" w:rsidRPr="0074325B" w14:paraId="1C09A1E0" w14:textId="77777777" w:rsidTr="0074325B">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E48EE4" w14:textId="77777777" w:rsidR="00B55D75" w:rsidRPr="0074325B" w:rsidRDefault="00B55D75" w:rsidP="0074325B">
            <w:pPr>
              <w:spacing w:after="0"/>
              <w:rPr>
                <w:rFonts w:ascii="Calibri" w:eastAsia="Times New Roman" w:hAnsi="Calibri" w:cs="Times New Roman"/>
                <w:color w:val="000000"/>
                <w:sz w:val="22"/>
                <w:szCs w:val="22"/>
              </w:rPr>
            </w:pPr>
            <w:r w:rsidRPr="0074325B">
              <w:rPr>
                <w:rFonts w:ascii="Calibri" w:eastAsia="Times New Roman" w:hAnsi="Calibri" w:cs="Times New Roman"/>
                <w:color w:val="000000"/>
                <w:sz w:val="22"/>
                <w:szCs w:val="22"/>
              </w:rPr>
              <w:t>Estimated Public patients</w:t>
            </w:r>
          </w:p>
        </w:tc>
        <w:tc>
          <w:tcPr>
            <w:tcW w:w="960" w:type="dxa"/>
            <w:tcBorders>
              <w:top w:val="nil"/>
              <w:left w:val="nil"/>
              <w:bottom w:val="single" w:sz="4" w:space="0" w:color="auto"/>
              <w:right w:val="single" w:sz="4" w:space="0" w:color="auto"/>
            </w:tcBorders>
            <w:shd w:val="clear" w:color="auto" w:fill="auto"/>
            <w:noWrap/>
            <w:vAlign w:val="bottom"/>
            <w:hideMark/>
          </w:tcPr>
          <w:p w14:paraId="2E4AC0F5" w14:textId="31928DA3" w:rsidR="00B55D75" w:rsidRPr="0074325B" w:rsidRDefault="00B55D75" w:rsidP="0074325B">
            <w:pPr>
              <w:spacing w:after="0"/>
              <w:rPr>
                <w:rFonts w:ascii="Calibri" w:eastAsia="Times New Roman" w:hAnsi="Calibri" w:cs="Times New Roman"/>
                <w:color w:val="000000"/>
                <w:sz w:val="22"/>
                <w:szCs w:val="22"/>
              </w:rPr>
            </w:pPr>
            <w:r>
              <w:rPr>
                <w:rFonts w:ascii="Calibri" w:hAnsi="Calibri"/>
                <w:color w:val="000000"/>
                <w:sz w:val="22"/>
                <w:szCs w:val="22"/>
              </w:rPr>
              <w:t xml:space="preserve">             263 </w:t>
            </w:r>
          </w:p>
        </w:tc>
        <w:tc>
          <w:tcPr>
            <w:tcW w:w="960" w:type="dxa"/>
            <w:tcBorders>
              <w:top w:val="nil"/>
              <w:left w:val="nil"/>
              <w:bottom w:val="single" w:sz="4" w:space="0" w:color="auto"/>
              <w:right w:val="single" w:sz="4" w:space="0" w:color="auto"/>
            </w:tcBorders>
            <w:shd w:val="clear" w:color="auto" w:fill="auto"/>
            <w:noWrap/>
            <w:vAlign w:val="bottom"/>
            <w:hideMark/>
          </w:tcPr>
          <w:p w14:paraId="04D941B6" w14:textId="5E506E72" w:rsidR="00B55D75" w:rsidRPr="0074325B" w:rsidRDefault="00B55D75" w:rsidP="0074325B">
            <w:pPr>
              <w:spacing w:after="0"/>
              <w:rPr>
                <w:rFonts w:ascii="Calibri" w:eastAsia="Times New Roman" w:hAnsi="Calibri" w:cs="Times New Roman"/>
                <w:color w:val="000000"/>
                <w:sz w:val="22"/>
                <w:szCs w:val="22"/>
              </w:rPr>
            </w:pPr>
            <w:r>
              <w:rPr>
                <w:rFonts w:ascii="Calibri" w:hAnsi="Calibri"/>
                <w:color w:val="000000"/>
                <w:sz w:val="22"/>
                <w:szCs w:val="22"/>
              </w:rPr>
              <w:t xml:space="preserve">              836 </w:t>
            </w:r>
          </w:p>
        </w:tc>
        <w:tc>
          <w:tcPr>
            <w:tcW w:w="960" w:type="dxa"/>
            <w:tcBorders>
              <w:top w:val="nil"/>
              <w:left w:val="nil"/>
              <w:bottom w:val="single" w:sz="4" w:space="0" w:color="auto"/>
              <w:right w:val="single" w:sz="4" w:space="0" w:color="auto"/>
            </w:tcBorders>
            <w:shd w:val="clear" w:color="auto" w:fill="auto"/>
            <w:noWrap/>
            <w:vAlign w:val="bottom"/>
            <w:hideMark/>
          </w:tcPr>
          <w:p w14:paraId="1DBA9A44" w14:textId="6762398F" w:rsidR="00B55D75" w:rsidRPr="0074325B" w:rsidRDefault="00B55D75" w:rsidP="0074325B">
            <w:pPr>
              <w:spacing w:after="0"/>
              <w:rPr>
                <w:rFonts w:ascii="Calibri" w:eastAsia="Times New Roman" w:hAnsi="Calibri" w:cs="Times New Roman"/>
                <w:color w:val="000000"/>
                <w:sz w:val="22"/>
                <w:szCs w:val="22"/>
              </w:rPr>
            </w:pPr>
            <w:r>
              <w:rPr>
                <w:rFonts w:ascii="Calibri" w:hAnsi="Calibri"/>
                <w:color w:val="000000"/>
                <w:sz w:val="22"/>
                <w:szCs w:val="22"/>
              </w:rPr>
              <w:t xml:space="preserve">          1,123 </w:t>
            </w:r>
          </w:p>
        </w:tc>
        <w:tc>
          <w:tcPr>
            <w:tcW w:w="960" w:type="dxa"/>
            <w:tcBorders>
              <w:top w:val="nil"/>
              <w:left w:val="nil"/>
              <w:bottom w:val="single" w:sz="4" w:space="0" w:color="auto"/>
              <w:right w:val="single" w:sz="4" w:space="0" w:color="auto"/>
            </w:tcBorders>
            <w:shd w:val="clear" w:color="auto" w:fill="auto"/>
            <w:noWrap/>
            <w:vAlign w:val="bottom"/>
            <w:hideMark/>
          </w:tcPr>
          <w:p w14:paraId="1ABCF08E" w14:textId="3E470C39" w:rsidR="00B55D75" w:rsidRPr="0074325B" w:rsidRDefault="00B55D75" w:rsidP="0074325B">
            <w:pPr>
              <w:spacing w:after="0"/>
              <w:rPr>
                <w:rFonts w:ascii="Calibri" w:eastAsia="Times New Roman" w:hAnsi="Calibri" w:cs="Times New Roman"/>
                <w:color w:val="000000"/>
                <w:sz w:val="22"/>
                <w:szCs w:val="22"/>
              </w:rPr>
            </w:pPr>
            <w:r>
              <w:rPr>
                <w:rFonts w:ascii="Calibri" w:hAnsi="Calibri"/>
                <w:color w:val="000000"/>
                <w:sz w:val="22"/>
                <w:szCs w:val="22"/>
              </w:rPr>
              <w:t xml:space="preserve">           1,365 </w:t>
            </w:r>
          </w:p>
        </w:tc>
        <w:tc>
          <w:tcPr>
            <w:tcW w:w="960" w:type="dxa"/>
            <w:tcBorders>
              <w:top w:val="nil"/>
              <w:left w:val="nil"/>
              <w:bottom w:val="single" w:sz="4" w:space="0" w:color="auto"/>
              <w:right w:val="single" w:sz="4" w:space="0" w:color="auto"/>
            </w:tcBorders>
            <w:shd w:val="clear" w:color="auto" w:fill="auto"/>
            <w:noWrap/>
            <w:vAlign w:val="bottom"/>
            <w:hideMark/>
          </w:tcPr>
          <w:p w14:paraId="5D6546DC" w14:textId="46ACC86A" w:rsidR="00B55D75" w:rsidRPr="0074325B" w:rsidRDefault="00B55D75" w:rsidP="0074325B">
            <w:pPr>
              <w:spacing w:after="0"/>
              <w:rPr>
                <w:rFonts w:ascii="Calibri" w:eastAsia="Times New Roman" w:hAnsi="Calibri" w:cs="Times New Roman"/>
                <w:color w:val="000000"/>
                <w:sz w:val="22"/>
                <w:szCs w:val="22"/>
              </w:rPr>
            </w:pPr>
            <w:r>
              <w:rPr>
                <w:rFonts w:ascii="Calibri" w:hAnsi="Calibri"/>
                <w:color w:val="000000"/>
                <w:sz w:val="22"/>
                <w:szCs w:val="22"/>
              </w:rPr>
              <w:t xml:space="preserve">         1,556 </w:t>
            </w:r>
          </w:p>
        </w:tc>
        <w:tc>
          <w:tcPr>
            <w:tcW w:w="960" w:type="dxa"/>
            <w:tcBorders>
              <w:top w:val="nil"/>
              <w:left w:val="nil"/>
              <w:bottom w:val="single" w:sz="4" w:space="0" w:color="auto"/>
              <w:right w:val="single" w:sz="4" w:space="0" w:color="auto"/>
            </w:tcBorders>
            <w:shd w:val="clear" w:color="auto" w:fill="auto"/>
            <w:noWrap/>
            <w:vAlign w:val="bottom"/>
            <w:hideMark/>
          </w:tcPr>
          <w:p w14:paraId="115C4682" w14:textId="6D915EF3" w:rsidR="00B55D75" w:rsidRPr="0074325B" w:rsidRDefault="00B55D75" w:rsidP="0074325B">
            <w:pPr>
              <w:spacing w:after="0"/>
              <w:rPr>
                <w:rFonts w:ascii="Calibri" w:eastAsia="Times New Roman" w:hAnsi="Calibri" w:cs="Times New Roman"/>
                <w:color w:val="000000"/>
                <w:sz w:val="22"/>
                <w:szCs w:val="22"/>
              </w:rPr>
            </w:pPr>
            <w:r>
              <w:rPr>
                <w:rFonts w:ascii="Calibri" w:hAnsi="Calibri"/>
                <w:color w:val="000000"/>
                <w:sz w:val="22"/>
                <w:szCs w:val="22"/>
              </w:rPr>
              <w:t xml:space="preserve">                           819 </w:t>
            </w:r>
          </w:p>
        </w:tc>
      </w:tr>
    </w:tbl>
    <w:p w14:paraId="66DEECE5" w14:textId="77777777" w:rsidR="00C272CD" w:rsidRDefault="00C272CD" w:rsidP="005C5EA3">
      <w:pPr>
        <w:spacing w:line="276" w:lineRule="auto"/>
      </w:pPr>
    </w:p>
    <w:p w14:paraId="6AE6D7C8" w14:textId="77777777" w:rsidR="00C272CD" w:rsidRPr="005752C3" w:rsidRDefault="00C272CD" w:rsidP="005C5EA3">
      <w:pPr>
        <w:spacing w:line="276" w:lineRule="auto"/>
      </w:pPr>
    </w:p>
    <w:sectPr w:rsidR="00C272CD" w:rsidRPr="005752C3" w:rsidSect="00A065FE">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5922FB" w:rsidRDefault="005922FB" w:rsidP="00A35800">
      <w:r>
        <w:separator/>
      </w:r>
    </w:p>
  </w:endnote>
  <w:endnote w:type="continuationSeparator" w:id="0">
    <w:p w14:paraId="45A4A8C8" w14:textId="77777777" w:rsidR="005922FB" w:rsidRDefault="005922FB"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w:altName w:val="Times New Roman"/>
    <w:charset w:val="00"/>
    <w:family w:val="auto"/>
    <w:pitch w:val="variable"/>
    <w:sig w:usb0="80000063" w:usb1="00000000"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Bold+FPEF">
    <w:panose1 w:val="00000000000000000000"/>
    <w:charset w:val="00"/>
    <w:family w:val="auto"/>
    <w:notTrueType/>
    <w:pitch w:val="default"/>
    <w:sig w:usb0="00000003" w:usb1="00000000" w:usb2="00000000" w:usb3="00000000" w:csb0="00000001" w:csb1="00000000"/>
  </w:font>
  <w:font w:name="Calibri Bold Italic+FPEF">
    <w:panose1 w:val="00000000000000000000"/>
    <w:charset w:val="00"/>
    <w:family w:val="auto"/>
    <w:notTrueType/>
    <w:pitch w:val="default"/>
    <w:sig w:usb0="00000003" w:usb1="00000000" w:usb2="00000000" w:usb3="00000000" w:csb0="00000001" w:csb1="00000000"/>
  </w:font>
  <w:font w:name="Calibri+FPEF">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5922FB" w:rsidRDefault="005922FB"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5922FB" w:rsidRDefault="005922FB"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082579"/>
      <w:docPartObj>
        <w:docPartGallery w:val="Page Numbers (Top of Page)"/>
        <w:docPartUnique/>
      </w:docPartObj>
    </w:sdtPr>
    <w:sdtEndPr/>
    <w:sdtContent>
      <w:p w14:paraId="179A3055" w14:textId="143C02D5" w:rsidR="005922FB" w:rsidRPr="00CB6ABE" w:rsidRDefault="005922FB" w:rsidP="007562A9">
        <w:pPr>
          <w:pStyle w:val="Footer"/>
          <w:jc w:val="center"/>
          <w:rPr>
            <w:i/>
            <w:sz w:val="20"/>
            <w:szCs w:val="20"/>
          </w:rPr>
        </w:pPr>
        <w:r>
          <w:rPr>
            <w:i/>
            <w:sz w:val="20"/>
            <w:szCs w:val="20"/>
          </w:rPr>
          <w:t>Public Release Document, October 2015 DUSC Meeting</w:t>
        </w:r>
      </w:p>
      <w:p w14:paraId="113CFE08" w14:textId="77777777" w:rsidR="005922FB" w:rsidRDefault="005922FB" w:rsidP="007562A9">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9F768D">
          <w:rPr>
            <w:bCs/>
            <w:i/>
            <w:noProof/>
            <w:sz w:val="20"/>
            <w:szCs w:val="20"/>
          </w:rPr>
          <w:t>1</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9F768D">
          <w:rPr>
            <w:bCs/>
            <w:i/>
            <w:noProof/>
            <w:sz w:val="20"/>
            <w:szCs w:val="20"/>
          </w:rPr>
          <w:t>40</w:t>
        </w:r>
        <w:r w:rsidRPr="00CB6ABE">
          <w:rPr>
            <w:bCs/>
            <w:i/>
            <w:sz w:val="20"/>
            <w:szCs w:val="20"/>
          </w:rPr>
          <w:fldChar w:fldCharType="end"/>
        </w:r>
      </w:p>
    </w:sdtContent>
  </w:sdt>
  <w:p w14:paraId="2B456FD0" w14:textId="1F86F60E" w:rsidR="005922FB" w:rsidRPr="007562A9" w:rsidRDefault="005922FB" w:rsidP="007562A9">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89394" w14:textId="77777777" w:rsidR="005922FB" w:rsidRDefault="005922FB" w:rsidP="00EB1D9B">
    <w:pPr>
      <w:pStyle w:val="Footer"/>
      <w:jc w:val="center"/>
      <w:rPr>
        <w:rStyle w:val="PageNumber"/>
      </w:rPr>
    </w:pPr>
    <w:r>
      <w:rPr>
        <w:rStyle w:val="PageNumber"/>
      </w:rPr>
      <w:t>Committee-in-Confidence</w:t>
    </w:r>
  </w:p>
  <w:p w14:paraId="50625FEB" w14:textId="77777777" w:rsidR="005922FB" w:rsidRDefault="005922FB" w:rsidP="00EB1D9B">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44F9CDD2" w14:textId="77777777" w:rsidR="005922FB" w:rsidRDefault="005922FB" w:rsidP="00EB1D9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5922FB" w:rsidRDefault="005922FB" w:rsidP="00A35800">
      <w:r>
        <w:separator/>
      </w:r>
    </w:p>
  </w:footnote>
  <w:footnote w:type="continuationSeparator" w:id="0">
    <w:p w14:paraId="7E2CA1E4" w14:textId="77777777" w:rsidR="005922FB" w:rsidRDefault="005922FB" w:rsidP="00A35800">
      <w:r>
        <w:continuationSeparator/>
      </w:r>
    </w:p>
  </w:footnote>
  <w:footnote w:id="1">
    <w:p w14:paraId="519AE1ED" w14:textId="15877332" w:rsidR="005922FB" w:rsidRDefault="005922FB">
      <w:pPr>
        <w:pStyle w:val="FootnoteText"/>
      </w:pPr>
      <w:r>
        <w:rPr>
          <w:rStyle w:val="FootnoteReference"/>
        </w:rPr>
        <w:footnoteRef/>
      </w:r>
      <w:r>
        <w:t xml:space="preserve"> Alemtuzumab Public Summary Document November 2014. Accessed on 18 August 2015 at: </w:t>
      </w:r>
      <w:r w:rsidRPr="003D6664">
        <w:t>http://www.pbs.gov.au/info/industry/listing/elements/pbac-meetings/psd/2014-11/alemtuzumab-psd-11-2014</w:t>
      </w:r>
    </w:p>
  </w:footnote>
  <w:footnote w:id="2">
    <w:p w14:paraId="063B30EC" w14:textId="1504F08D" w:rsidR="005922FB" w:rsidRDefault="005922FB">
      <w:pPr>
        <w:pStyle w:val="FootnoteText"/>
      </w:pPr>
      <w:r>
        <w:rPr>
          <w:rStyle w:val="FootnoteReference"/>
        </w:rPr>
        <w:footnoteRef/>
      </w:r>
      <w:r>
        <w:t xml:space="preserve"> Peginterferon beta -1a Public Summary Document November 2014. Accessed on 18 August 2015 at: </w:t>
      </w:r>
      <w:r w:rsidRPr="00C33804">
        <w:t>http://www.pbs.gov.au/info/industry/listing/elements/pbac-meetings/psd/2014-11/peginterferon-beta-1a-psd-11-2014</w:t>
      </w:r>
    </w:p>
  </w:footnote>
  <w:footnote w:id="3">
    <w:p w14:paraId="56BCE64F" w14:textId="1F3746CA" w:rsidR="005922FB" w:rsidRDefault="005922FB">
      <w:pPr>
        <w:pStyle w:val="FootnoteText"/>
      </w:pPr>
      <w:r>
        <w:rPr>
          <w:rStyle w:val="FootnoteReference"/>
        </w:rPr>
        <w:footnoteRef/>
      </w:r>
      <w:r>
        <w:t xml:space="preserve"> </w:t>
      </w:r>
      <w:r>
        <w:rPr>
          <w:rFonts w:eastAsia="Calibri" w:cs="Arial"/>
        </w:rPr>
        <w:t xml:space="preserve">Public Summary Document for dimethyl fumarate, July 2013. Available at: </w:t>
      </w:r>
      <w:r w:rsidRPr="00F94AC0">
        <w:rPr>
          <w:rFonts w:eastAsia="Calibri" w:cs="Arial"/>
        </w:rPr>
        <w:t>http://www.pbs.gov.au/info/industry/listing/elements/pbac-meetings/psd/2013-07/dimethyl-fumarate</w:t>
      </w:r>
    </w:p>
  </w:footnote>
  <w:footnote w:id="4">
    <w:p w14:paraId="31FC0344" w14:textId="7640A0A6" w:rsidR="005922FB" w:rsidRDefault="005922FB">
      <w:pPr>
        <w:pStyle w:val="FootnoteText"/>
      </w:pPr>
      <w:r>
        <w:rPr>
          <w:rStyle w:val="FootnoteReference"/>
        </w:rPr>
        <w:footnoteRef/>
      </w:r>
      <w:r>
        <w:t xml:space="preserve"> </w:t>
      </w:r>
      <w:r w:rsidRPr="004458F8">
        <w:rPr>
          <w:rFonts w:cstheme="minorHAnsi"/>
        </w:rPr>
        <w:t xml:space="preserve">Public Summary Document for teriflunomide, </w:t>
      </w:r>
      <w:r>
        <w:rPr>
          <w:rFonts w:cstheme="minorHAnsi"/>
        </w:rPr>
        <w:t xml:space="preserve">November 2012. </w:t>
      </w:r>
      <w:r>
        <w:rPr>
          <w:rFonts w:eastAsia="Calibri" w:cs="Arial"/>
        </w:rPr>
        <w:t xml:space="preserve">Available at: </w:t>
      </w:r>
      <w:r w:rsidRPr="00F94AC0">
        <w:rPr>
          <w:rFonts w:eastAsia="Calibri" w:cs="Arial"/>
        </w:rPr>
        <w:t>http://www.pbs.gov.au/info/industry/listing/elements/pbac-meetings/psd/2012-11/teriflunomide</w:t>
      </w:r>
    </w:p>
  </w:footnote>
  <w:footnote w:id="5">
    <w:p w14:paraId="346EE557" w14:textId="4682BA75" w:rsidR="005922FB" w:rsidRDefault="005922FB">
      <w:pPr>
        <w:pStyle w:val="FootnoteText"/>
      </w:pPr>
      <w:r>
        <w:rPr>
          <w:rStyle w:val="FootnoteReference"/>
        </w:rPr>
        <w:footnoteRef/>
      </w:r>
      <w:r>
        <w:t xml:space="preserve"> </w:t>
      </w:r>
      <w:r w:rsidRPr="004458F8">
        <w:rPr>
          <w:rFonts w:cstheme="minorHAnsi"/>
        </w:rPr>
        <w:t>Public Summary Document for teriflunomide, July 2013</w:t>
      </w:r>
      <w:r>
        <w:rPr>
          <w:rFonts w:cstheme="minorHAnsi"/>
        </w:rPr>
        <w:t xml:space="preserve">. </w:t>
      </w:r>
      <w:r>
        <w:rPr>
          <w:rFonts w:eastAsia="Calibri" w:cs="Arial"/>
        </w:rPr>
        <w:t xml:space="preserve">Available at:  </w:t>
      </w:r>
      <w:r w:rsidRPr="00F94AC0">
        <w:rPr>
          <w:rFonts w:eastAsia="Calibri" w:cs="Arial"/>
        </w:rPr>
        <w:t>http://www.pbs.gov.au/info/industry/listing/elements/pbac-meetings/psd/2013-07/teriflunomide</w:t>
      </w:r>
    </w:p>
  </w:footnote>
  <w:footnote w:id="6">
    <w:p w14:paraId="239F8D62" w14:textId="45C51C50" w:rsidR="005922FB" w:rsidRDefault="005922FB">
      <w:pPr>
        <w:pStyle w:val="FootnoteText"/>
      </w:pPr>
      <w:r>
        <w:rPr>
          <w:rStyle w:val="FootnoteReference"/>
        </w:rPr>
        <w:footnoteRef/>
      </w:r>
      <w:r>
        <w:t xml:space="preserve"> </w:t>
      </w:r>
      <w:r>
        <w:rPr>
          <w:rFonts w:eastAsia="Calibri" w:cs="Arial"/>
        </w:rPr>
        <w:t xml:space="preserve">Public Summary Document for fingolimod, March 2011. Available at: </w:t>
      </w:r>
      <w:r w:rsidRPr="00F94AC0">
        <w:rPr>
          <w:rFonts w:eastAsia="Calibri" w:cs="Arial"/>
        </w:rPr>
        <w:t>http://www.pbs.gov.au/info/industry/listing/elements/pbac-meetings/psd/2011-03/pbac-psd-fingolimod-march11</w:t>
      </w:r>
    </w:p>
  </w:footnote>
  <w:footnote w:id="7">
    <w:p w14:paraId="616EE31C" w14:textId="46557A57" w:rsidR="005922FB" w:rsidRPr="00BC5AE2" w:rsidRDefault="005922FB" w:rsidP="00787722">
      <w:pPr>
        <w:pStyle w:val="FootnoteText"/>
        <w:rPr>
          <w:sz w:val="20"/>
        </w:rPr>
      </w:pPr>
      <w:r w:rsidRPr="00BC5AE2">
        <w:rPr>
          <w:rStyle w:val="FootnoteReference"/>
          <w:sz w:val="20"/>
        </w:rPr>
        <w:footnoteRef/>
      </w:r>
      <w:r w:rsidRPr="00BC5AE2">
        <w:rPr>
          <w:sz w:val="20"/>
        </w:rPr>
        <w:t xml:space="preserve"> PBS statistics</w:t>
      </w:r>
      <w:r>
        <w:rPr>
          <w:sz w:val="20"/>
        </w:rPr>
        <w:t xml:space="preserve">. Australian Government Department of Human Services Medicare. Canberra. Available from </w:t>
      </w:r>
      <w:hyperlink r:id="rId1" w:history="1">
        <w:r>
          <w:rPr>
            <w:rStyle w:val="Hyperlink"/>
            <w:sz w:val="20"/>
          </w:rPr>
          <w:t>http://www.medicareaustralia.gov.au/provider/pbs/stats.jsp</w:t>
        </w:r>
      </w:hyperlink>
      <w:r>
        <w:rPr>
          <w:sz w:val="20"/>
        </w:rPr>
        <w:t>.</w:t>
      </w:r>
    </w:p>
  </w:footnote>
  <w:footnote w:id="8">
    <w:p w14:paraId="66DD7193" w14:textId="29126997" w:rsidR="005922FB" w:rsidRPr="007F628C" w:rsidRDefault="005922FB">
      <w:pPr>
        <w:pStyle w:val="FootnoteText"/>
        <w:rPr>
          <w:sz w:val="20"/>
        </w:rPr>
      </w:pPr>
      <w:r w:rsidRPr="007F628C">
        <w:rPr>
          <w:rStyle w:val="FootnoteReference"/>
          <w:sz w:val="20"/>
        </w:rPr>
        <w:footnoteRef/>
      </w:r>
      <w:r w:rsidRPr="007F628C">
        <w:rPr>
          <w:sz w:val="20"/>
        </w:rPr>
        <w:t xml:space="preserve"> Polman, C.H. et al. Diagnostic Criteria for Multiple Sclerosis: 2010 Revisions to the McDonald Criteria; ANN NEUROL 2011;69:292–302</w:t>
      </w:r>
    </w:p>
  </w:footnote>
  <w:footnote w:id="9">
    <w:p w14:paraId="73A9FD98" w14:textId="77777777" w:rsidR="005922FB" w:rsidRPr="003C6919" w:rsidRDefault="005922FB" w:rsidP="00585253">
      <w:pPr>
        <w:pStyle w:val="FootnoteText"/>
        <w:rPr>
          <w:rFonts w:cstheme="minorHAnsi"/>
          <w:szCs w:val="18"/>
        </w:rPr>
      </w:pPr>
      <w:r w:rsidRPr="003C6919">
        <w:rPr>
          <w:rStyle w:val="FootnoteReference"/>
          <w:rFonts w:cstheme="minorHAnsi"/>
          <w:szCs w:val="18"/>
        </w:rPr>
        <w:footnoteRef/>
      </w:r>
      <w:r w:rsidRPr="003C6919">
        <w:rPr>
          <w:rFonts w:cstheme="minorHAnsi"/>
          <w:szCs w:val="18"/>
        </w:rPr>
        <w:t xml:space="preserve"> Pratt N, Roughead EE, Ramsay E, Salter A, Ryan P 2011 “Risk of hospitalization for hip fracture and pneumonia associated with antipsychotic prescribing in the elderly: a self-controlled case-series analysis in an Australian health care claims database” Drug Saf. 34(7):567-75. doi: 10.2165/11588470-000000000-00000</w:t>
      </w:r>
      <w:r>
        <w:rPr>
          <w:rFonts w:cstheme="minorHAnsi"/>
          <w:szCs w:val="18"/>
        </w:rPr>
        <w:t>.</w:t>
      </w:r>
    </w:p>
  </w:footnote>
  <w:footnote w:id="10">
    <w:p w14:paraId="5B729419" w14:textId="77777777" w:rsidR="005922FB" w:rsidRPr="003C6919" w:rsidRDefault="005922FB" w:rsidP="00585253">
      <w:pPr>
        <w:spacing w:after="0"/>
        <w:rPr>
          <w:rFonts w:cstheme="minorHAnsi"/>
          <w:sz w:val="18"/>
          <w:szCs w:val="18"/>
        </w:rPr>
      </w:pPr>
      <w:r w:rsidRPr="003C6919">
        <w:rPr>
          <w:rStyle w:val="FootnoteReference"/>
          <w:rFonts w:cstheme="minorHAnsi"/>
          <w:sz w:val="18"/>
          <w:szCs w:val="18"/>
        </w:rPr>
        <w:footnoteRef/>
      </w:r>
      <w:r w:rsidRPr="003C6919">
        <w:rPr>
          <w:rFonts w:cstheme="minorHAnsi"/>
          <w:sz w:val="18"/>
          <w:szCs w:val="18"/>
        </w:rPr>
        <w:t xml:space="preserve"> Vitry AI, Roughead EE, Preiss AK, Ryan P, Ramsay EN, Gilbert AL, Caughey GE, Shakib S, Esterman A, Zhang Y, McDermott RA 2010 “Influence of comorbidities on therapeutic progression of diabetes treatment in Australian veterans: a cohort study” PLoS One. 5(11):e14024. do</w:t>
      </w:r>
      <w:r>
        <w:rPr>
          <w:rFonts w:cstheme="minorHAnsi"/>
          <w:sz w:val="18"/>
          <w:szCs w:val="18"/>
        </w:rPr>
        <w:t>i: 10.1371/journal.pone.0014024.</w:t>
      </w:r>
    </w:p>
  </w:footnote>
  <w:footnote w:id="11">
    <w:p w14:paraId="55A861DE" w14:textId="77777777" w:rsidR="005922FB" w:rsidRPr="00063231" w:rsidRDefault="005922FB" w:rsidP="00585253">
      <w:pPr>
        <w:rPr>
          <w:rFonts w:cstheme="minorHAnsi"/>
          <w:b/>
          <w:sz w:val="18"/>
          <w:szCs w:val="18"/>
          <w:lang w:val="en-US"/>
        </w:rPr>
      </w:pPr>
      <w:r w:rsidRPr="003C6919">
        <w:rPr>
          <w:rStyle w:val="FootnoteReference"/>
          <w:rFonts w:cstheme="minorHAnsi"/>
          <w:sz w:val="18"/>
          <w:szCs w:val="18"/>
        </w:rPr>
        <w:footnoteRef/>
      </w:r>
      <w:r w:rsidRPr="003C6919">
        <w:rPr>
          <w:rFonts w:cstheme="minorHAnsi"/>
          <w:sz w:val="18"/>
          <w:szCs w:val="18"/>
        </w:rPr>
        <w:t xml:space="preserve"> Hallas J. 2005 “Drug utilization statistics for individual-level pharmacy dispensing data” Pharmacoepidemiol Drug Saf. 14:455–463. doi: 10.1002/pds.1063</w:t>
      </w:r>
      <w:r>
        <w:rPr>
          <w:rFonts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07B84" w14:textId="6BEA2184" w:rsidR="005922FB" w:rsidRDefault="005922FB" w:rsidP="00FB77FA">
    <w:pPr>
      <w:pStyle w:val="Header"/>
    </w:pPr>
  </w:p>
  <w:p w14:paraId="3A96F15D" w14:textId="77777777" w:rsidR="005922FB" w:rsidRDefault="00592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8FA"/>
    <w:multiLevelType w:val="hybridMultilevel"/>
    <w:tmpl w:val="8CD41E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602252C"/>
    <w:multiLevelType w:val="hybridMultilevel"/>
    <w:tmpl w:val="647C7B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62F5678"/>
    <w:multiLevelType w:val="hybridMultilevel"/>
    <w:tmpl w:val="1A1E5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CAE1209"/>
    <w:multiLevelType w:val="hybridMultilevel"/>
    <w:tmpl w:val="536E16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9852C81"/>
    <w:multiLevelType w:val="multilevel"/>
    <w:tmpl w:val="06E4D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A80650"/>
    <w:multiLevelType w:val="hybridMultilevel"/>
    <w:tmpl w:val="BF70C0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E7B197A"/>
    <w:multiLevelType w:val="hybridMultilevel"/>
    <w:tmpl w:val="20EA2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0A1004B"/>
    <w:multiLevelType w:val="hybridMultilevel"/>
    <w:tmpl w:val="C4FA2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6A24445"/>
    <w:multiLevelType w:val="hybridMultilevel"/>
    <w:tmpl w:val="71C0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A4F42EA"/>
    <w:multiLevelType w:val="hybridMultilevel"/>
    <w:tmpl w:val="815C143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B220000"/>
    <w:multiLevelType w:val="hybridMultilevel"/>
    <w:tmpl w:val="58DA3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EE01593"/>
    <w:multiLevelType w:val="hybridMultilevel"/>
    <w:tmpl w:val="BFE8D2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FAC0437"/>
    <w:multiLevelType w:val="hybridMultilevel"/>
    <w:tmpl w:val="CFE6571C"/>
    <w:lvl w:ilvl="0" w:tplc="1672812A">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3">
    <w:nsid w:val="30667341"/>
    <w:multiLevelType w:val="hybridMultilevel"/>
    <w:tmpl w:val="F3545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7D52ADD"/>
    <w:multiLevelType w:val="hybridMultilevel"/>
    <w:tmpl w:val="3A30C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2753679"/>
    <w:multiLevelType w:val="hybridMultilevel"/>
    <w:tmpl w:val="D76CE8D4"/>
    <w:lvl w:ilvl="0" w:tplc="214497BA">
      <w:numFmt w:val="bullet"/>
      <w:lvlText w:val="-"/>
      <w:lvlJc w:val="left"/>
      <w:pPr>
        <w:ind w:left="1080" w:hanging="360"/>
      </w:pPr>
      <w:rPr>
        <w:rFonts w:ascii="Calibri" w:eastAsiaTheme="minorEastAsia"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47FE3161"/>
    <w:multiLevelType w:val="hybridMultilevel"/>
    <w:tmpl w:val="B2362DE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06A4217"/>
    <w:multiLevelType w:val="hybridMultilevel"/>
    <w:tmpl w:val="27C63D4E"/>
    <w:lvl w:ilvl="0" w:tplc="419A36F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67937E0"/>
    <w:multiLevelType w:val="hybridMultilevel"/>
    <w:tmpl w:val="9112E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A4E36B7"/>
    <w:multiLevelType w:val="hybridMultilevel"/>
    <w:tmpl w:val="6D92F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71F6223"/>
    <w:multiLevelType w:val="hybridMultilevel"/>
    <w:tmpl w:val="6054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7475834"/>
    <w:multiLevelType w:val="hybridMultilevel"/>
    <w:tmpl w:val="0C6E12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6E807C56"/>
    <w:multiLevelType w:val="hybridMultilevel"/>
    <w:tmpl w:val="62A82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1E95A4E"/>
    <w:multiLevelType w:val="hybridMultilevel"/>
    <w:tmpl w:val="3FCE1D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44B2376"/>
    <w:multiLevelType w:val="hybridMultilevel"/>
    <w:tmpl w:val="3F2619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84D033C"/>
    <w:multiLevelType w:val="multilevel"/>
    <w:tmpl w:val="2C56470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8511E72"/>
    <w:multiLevelType w:val="hybridMultilevel"/>
    <w:tmpl w:val="3A8C5EAA"/>
    <w:lvl w:ilvl="0" w:tplc="214497BA">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B801FEF"/>
    <w:multiLevelType w:val="hybridMultilevel"/>
    <w:tmpl w:val="AA8AE8DE"/>
    <w:lvl w:ilvl="0" w:tplc="7A880F1A">
      <w:numFmt w:val="bullet"/>
      <w:lvlText w:val="-"/>
      <w:lvlJc w:val="left"/>
      <w:pPr>
        <w:ind w:left="720" w:hanging="360"/>
      </w:pPr>
      <w:rPr>
        <w:rFonts w:ascii="Calibri" w:eastAsiaTheme="minorEastAsia" w:hAnsi="Calibri" w:cs="Baskerville"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13"/>
  </w:num>
  <w:num w:numId="4">
    <w:abstractNumId w:val="11"/>
  </w:num>
  <w:num w:numId="5">
    <w:abstractNumId w:val="2"/>
  </w:num>
  <w:num w:numId="6">
    <w:abstractNumId w:val="28"/>
  </w:num>
  <w:num w:numId="7">
    <w:abstractNumId w:val="29"/>
  </w:num>
  <w:num w:numId="8">
    <w:abstractNumId w:val="23"/>
  </w:num>
  <w:num w:numId="9">
    <w:abstractNumId w:val="4"/>
  </w:num>
  <w:num w:numId="10">
    <w:abstractNumId w:val="7"/>
  </w:num>
  <w:num w:numId="11">
    <w:abstractNumId w:val="26"/>
  </w:num>
  <w:num w:numId="12">
    <w:abstractNumId w:val="16"/>
  </w:num>
  <w:num w:numId="13">
    <w:abstractNumId w:val="5"/>
  </w:num>
  <w:num w:numId="14">
    <w:abstractNumId w:val="12"/>
  </w:num>
  <w:num w:numId="15">
    <w:abstractNumId w:val="9"/>
  </w:num>
  <w:num w:numId="16">
    <w:abstractNumId w:val="27"/>
  </w:num>
  <w:num w:numId="17">
    <w:abstractNumId w:val="20"/>
  </w:num>
  <w:num w:numId="18">
    <w:abstractNumId w:val="1"/>
  </w:num>
  <w:num w:numId="19">
    <w:abstractNumId w:val="22"/>
  </w:num>
  <w:num w:numId="20">
    <w:abstractNumId w:val="10"/>
  </w:num>
  <w:num w:numId="21">
    <w:abstractNumId w:val="17"/>
  </w:num>
  <w:num w:numId="22">
    <w:abstractNumId w:val="3"/>
  </w:num>
  <w:num w:numId="23">
    <w:abstractNumId w:val="21"/>
  </w:num>
  <w:num w:numId="24">
    <w:abstractNumId w:val="8"/>
  </w:num>
  <w:num w:numId="25">
    <w:abstractNumId w:val="19"/>
  </w:num>
  <w:num w:numId="26">
    <w:abstractNumId w:val="0"/>
  </w:num>
  <w:num w:numId="27">
    <w:abstractNumId w:val="18"/>
  </w:num>
  <w:num w:numId="28">
    <w:abstractNumId w:val="6"/>
  </w:num>
  <w:num w:numId="29">
    <w:abstractNumId w:val="2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0294"/>
    <w:rsid w:val="00000393"/>
    <w:rsid w:val="0000072C"/>
    <w:rsid w:val="000014B8"/>
    <w:rsid w:val="000016B1"/>
    <w:rsid w:val="00001BEA"/>
    <w:rsid w:val="00001D02"/>
    <w:rsid w:val="00001E32"/>
    <w:rsid w:val="00002192"/>
    <w:rsid w:val="00002935"/>
    <w:rsid w:val="000029D2"/>
    <w:rsid w:val="00002C4A"/>
    <w:rsid w:val="00002E44"/>
    <w:rsid w:val="00003238"/>
    <w:rsid w:val="000038FC"/>
    <w:rsid w:val="00003952"/>
    <w:rsid w:val="000039A6"/>
    <w:rsid w:val="000039CA"/>
    <w:rsid w:val="00003DBF"/>
    <w:rsid w:val="00004457"/>
    <w:rsid w:val="00004504"/>
    <w:rsid w:val="00004E06"/>
    <w:rsid w:val="00004EB4"/>
    <w:rsid w:val="000052C4"/>
    <w:rsid w:val="00005C4F"/>
    <w:rsid w:val="00006602"/>
    <w:rsid w:val="0000678F"/>
    <w:rsid w:val="00006DFB"/>
    <w:rsid w:val="00007326"/>
    <w:rsid w:val="00007429"/>
    <w:rsid w:val="000074F8"/>
    <w:rsid w:val="0000789A"/>
    <w:rsid w:val="00010080"/>
    <w:rsid w:val="0001136B"/>
    <w:rsid w:val="000115BE"/>
    <w:rsid w:val="00011819"/>
    <w:rsid w:val="00011B6F"/>
    <w:rsid w:val="00011C73"/>
    <w:rsid w:val="00012ED6"/>
    <w:rsid w:val="00013BD0"/>
    <w:rsid w:val="000154A3"/>
    <w:rsid w:val="0001599D"/>
    <w:rsid w:val="00015B03"/>
    <w:rsid w:val="00016B6D"/>
    <w:rsid w:val="00017523"/>
    <w:rsid w:val="00020234"/>
    <w:rsid w:val="00020DC4"/>
    <w:rsid w:val="00020E73"/>
    <w:rsid w:val="00021129"/>
    <w:rsid w:val="00021BBC"/>
    <w:rsid w:val="000221F5"/>
    <w:rsid w:val="00022256"/>
    <w:rsid w:val="000235E4"/>
    <w:rsid w:val="00023EB4"/>
    <w:rsid w:val="000247DF"/>
    <w:rsid w:val="0002498C"/>
    <w:rsid w:val="00024EF4"/>
    <w:rsid w:val="000257ED"/>
    <w:rsid w:val="000259B1"/>
    <w:rsid w:val="00025B18"/>
    <w:rsid w:val="00026427"/>
    <w:rsid w:val="000278B9"/>
    <w:rsid w:val="00027C93"/>
    <w:rsid w:val="000303A0"/>
    <w:rsid w:val="00030907"/>
    <w:rsid w:val="00030B9D"/>
    <w:rsid w:val="0003100E"/>
    <w:rsid w:val="0003137D"/>
    <w:rsid w:val="00032CB4"/>
    <w:rsid w:val="0003305E"/>
    <w:rsid w:val="0003349F"/>
    <w:rsid w:val="0003382F"/>
    <w:rsid w:val="00033966"/>
    <w:rsid w:val="00033986"/>
    <w:rsid w:val="00034485"/>
    <w:rsid w:val="00034DE8"/>
    <w:rsid w:val="00034F59"/>
    <w:rsid w:val="0003501F"/>
    <w:rsid w:val="00035521"/>
    <w:rsid w:val="000355B1"/>
    <w:rsid w:val="00035FDC"/>
    <w:rsid w:val="0003615A"/>
    <w:rsid w:val="000371A0"/>
    <w:rsid w:val="000373C3"/>
    <w:rsid w:val="000374B2"/>
    <w:rsid w:val="00037AB4"/>
    <w:rsid w:val="00040868"/>
    <w:rsid w:val="00040DC3"/>
    <w:rsid w:val="0004133D"/>
    <w:rsid w:val="00041352"/>
    <w:rsid w:val="0004172F"/>
    <w:rsid w:val="00041779"/>
    <w:rsid w:val="00041BC0"/>
    <w:rsid w:val="000420D4"/>
    <w:rsid w:val="000435BF"/>
    <w:rsid w:val="000438A7"/>
    <w:rsid w:val="000438DA"/>
    <w:rsid w:val="00043BF8"/>
    <w:rsid w:val="00043D21"/>
    <w:rsid w:val="00044D53"/>
    <w:rsid w:val="00046268"/>
    <w:rsid w:val="000464CA"/>
    <w:rsid w:val="000465B0"/>
    <w:rsid w:val="0004721F"/>
    <w:rsid w:val="000511D9"/>
    <w:rsid w:val="00051848"/>
    <w:rsid w:val="00051B54"/>
    <w:rsid w:val="000524E3"/>
    <w:rsid w:val="00053883"/>
    <w:rsid w:val="0005469D"/>
    <w:rsid w:val="000546BE"/>
    <w:rsid w:val="00054EAE"/>
    <w:rsid w:val="000553A4"/>
    <w:rsid w:val="000554F0"/>
    <w:rsid w:val="000556F3"/>
    <w:rsid w:val="0005574D"/>
    <w:rsid w:val="000568BC"/>
    <w:rsid w:val="00057A51"/>
    <w:rsid w:val="0006025B"/>
    <w:rsid w:val="00060477"/>
    <w:rsid w:val="00060DA4"/>
    <w:rsid w:val="00060E1E"/>
    <w:rsid w:val="00061254"/>
    <w:rsid w:val="00061C33"/>
    <w:rsid w:val="00061C9D"/>
    <w:rsid w:val="00062340"/>
    <w:rsid w:val="00063999"/>
    <w:rsid w:val="00063D3F"/>
    <w:rsid w:val="00065294"/>
    <w:rsid w:val="00065363"/>
    <w:rsid w:val="0006558A"/>
    <w:rsid w:val="00065687"/>
    <w:rsid w:val="00066984"/>
    <w:rsid w:val="00066BC3"/>
    <w:rsid w:val="00066DB8"/>
    <w:rsid w:val="00066FC8"/>
    <w:rsid w:val="000671B9"/>
    <w:rsid w:val="00067FBC"/>
    <w:rsid w:val="0007071F"/>
    <w:rsid w:val="000707EC"/>
    <w:rsid w:val="00070BAD"/>
    <w:rsid w:val="00070EE6"/>
    <w:rsid w:val="000711B7"/>
    <w:rsid w:val="000717D5"/>
    <w:rsid w:val="00071A47"/>
    <w:rsid w:val="00071CEC"/>
    <w:rsid w:val="00071D64"/>
    <w:rsid w:val="00072036"/>
    <w:rsid w:val="000721DC"/>
    <w:rsid w:val="00072A1D"/>
    <w:rsid w:val="00072AFD"/>
    <w:rsid w:val="0007388C"/>
    <w:rsid w:val="00074AD5"/>
    <w:rsid w:val="00074E73"/>
    <w:rsid w:val="00075CE6"/>
    <w:rsid w:val="00076006"/>
    <w:rsid w:val="000764E4"/>
    <w:rsid w:val="000767B5"/>
    <w:rsid w:val="000768C0"/>
    <w:rsid w:val="00076CB6"/>
    <w:rsid w:val="000777D0"/>
    <w:rsid w:val="00077AF2"/>
    <w:rsid w:val="00077C04"/>
    <w:rsid w:val="00080DD3"/>
    <w:rsid w:val="00080EC9"/>
    <w:rsid w:val="00081266"/>
    <w:rsid w:val="00081398"/>
    <w:rsid w:val="00081737"/>
    <w:rsid w:val="0008296C"/>
    <w:rsid w:val="00083692"/>
    <w:rsid w:val="000837B5"/>
    <w:rsid w:val="00083905"/>
    <w:rsid w:val="00084041"/>
    <w:rsid w:val="00084C1A"/>
    <w:rsid w:val="00084CB8"/>
    <w:rsid w:val="0008540A"/>
    <w:rsid w:val="0008575C"/>
    <w:rsid w:val="0008591D"/>
    <w:rsid w:val="000866FB"/>
    <w:rsid w:val="00086E8F"/>
    <w:rsid w:val="000876BC"/>
    <w:rsid w:val="0009041D"/>
    <w:rsid w:val="00090AA3"/>
    <w:rsid w:val="00090B3B"/>
    <w:rsid w:val="00090F35"/>
    <w:rsid w:val="00091753"/>
    <w:rsid w:val="00091923"/>
    <w:rsid w:val="000922F1"/>
    <w:rsid w:val="0009236D"/>
    <w:rsid w:val="00092522"/>
    <w:rsid w:val="00092735"/>
    <w:rsid w:val="0009393B"/>
    <w:rsid w:val="00093BC5"/>
    <w:rsid w:val="00094926"/>
    <w:rsid w:val="00094DCF"/>
    <w:rsid w:val="000950F6"/>
    <w:rsid w:val="00095DE6"/>
    <w:rsid w:val="000965B2"/>
    <w:rsid w:val="00096B46"/>
    <w:rsid w:val="00096EA8"/>
    <w:rsid w:val="000974A2"/>
    <w:rsid w:val="00097717"/>
    <w:rsid w:val="000A03B5"/>
    <w:rsid w:val="000A06DC"/>
    <w:rsid w:val="000A13B4"/>
    <w:rsid w:val="000A1871"/>
    <w:rsid w:val="000A1877"/>
    <w:rsid w:val="000A1C4D"/>
    <w:rsid w:val="000A1E2D"/>
    <w:rsid w:val="000A242B"/>
    <w:rsid w:val="000A259E"/>
    <w:rsid w:val="000A277F"/>
    <w:rsid w:val="000A2C2F"/>
    <w:rsid w:val="000A2D94"/>
    <w:rsid w:val="000A2EDD"/>
    <w:rsid w:val="000A2EE3"/>
    <w:rsid w:val="000A3042"/>
    <w:rsid w:val="000A3998"/>
    <w:rsid w:val="000A4192"/>
    <w:rsid w:val="000A4DDF"/>
    <w:rsid w:val="000A505C"/>
    <w:rsid w:val="000A5271"/>
    <w:rsid w:val="000A571D"/>
    <w:rsid w:val="000A6562"/>
    <w:rsid w:val="000A6AFF"/>
    <w:rsid w:val="000A6F7B"/>
    <w:rsid w:val="000A73FC"/>
    <w:rsid w:val="000A7A1E"/>
    <w:rsid w:val="000A7A75"/>
    <w:rsid w:val="000A7E96"/>
    <w:rsid w:val="000B0146"/>
    <w:rsid w:val="000B01F6"/>
    <w:rsid w:val="000B020E"/>
    <w:rsid w:val="000B0773"/>
    <w:rsid w:val="000B0C20"/>
    <w:rsid w:val="000B0D1B"/>
    <w:rsid w:val="000B0D95"/>
    <w:rsid w:val="000B0EAE"/>
    <w:rsid w:val="000B1925"/>
    <w:rsid w:val="000B1B05"/>
    <w:rsid w:val="000B2970"/>
    <w:rsid w:val="000B2EB6"/>
    <w:rsid w:val="000B2F39"/>
    <w:rsid w:val="000B3037"/>
    <w:rsid w:val="000B3513"/>
    <w:rsid w:val="000B3B1C"/>
    <w:rsid w:val="000B3C28"/>
    <w:rsid w:val="000B4007"/>
    <w:rsid w:val="000B4EA6"/>
    <w:rsid w:val="000B4FA4"/>
    <w:rsid w:val="000B5D68"/>
    <w:rsid w:val="000B7028"/>
    <w:rsid w:val="000B796C"/>
    <w:rsid w:val="000C018C"/>
    <w:rsid w:val="000C03AC"/>
    <w:rsid w:val="000C0E62"/>
    <w:rsid w:val="000C1696"/>
    <w:rsid w:val="000C17F6"/>
    <w:rsid w:val="000C1A1F"/>
    <w:rsid w:val="000C1BEF"/>
    <w:rsid w:val="000C1C0A"/>
    <w:rsid w:val="000C2187"/>
    <w:rsid w:val="000C238D"/>
    <w:rsid w:val="000C283F"/>
    <w:rsid w:val="000C29CC"/>
    <w:rsid w:val="000C3238"/>
    <w:rsid w:val="000C327F"/>
    <w:rsid w:val="000C412F"/>
    <w:rsid w:val="000C43E5"/>
    <w:rsid w:val="000C44C4"/>
    <w:rsid w:val="000C4529"/>
    <w:rsid w:val="000C46BB"/>
    <w:rsid w:val="000C5AA2"/>
    <w:rsid w:val="000C5C11"/>
    <w:rsid w:val="000C68A6"/>
    <w:rsid w:val="000C6BD5"/>
    <w:rsid w:val="000C7269"/>
    <w:rsid w:val="000C76C0"/>
    <w:rsid w:val="000C77C2"/>
    <w:rsid w:val="000C78BD"/>
    <w:rsid w:val="000C7D8B"/>
    <w:rsid w:val="000C7E44"/>
    <w:rsid w:val="000D0B6C"/>
    <w:rsid w:val="000D0F20"/>
    <w:rsid w:val="000D1114"/>
    <w:rsid w:val="000D1F6B"/>
    <w:rsid w:val="000D3182"/>
    <w:rsid w:val="000D3D08"/>
    <w:rsid w:val="000D40E8"/>
    <w:rsid w:val="000D47B0"/>
    <w:rsid w:val="000D5C89"/>
    <w:rsid w:val="000D5E02"/>
    <w:rsid w:val="000D681C"/>
    <w:rsid w:val="000D6B5C"/>
    <w:rsid w:val="000D7217"/>
    <w:rsid w:val="000D77A2"/>
    <w:rsid w:val="000D78CD"/>
    <w:rsid w:val="000D7A2E"/>
    <w:rsid w:val="000D7CCC"/>
    <w:rsid w:val="000E07A6"/>
    <w:rsid w:val="000E0E2B"/>
    <w:rsid w:val="000E1060"/>
    <w:rsid w:val="000E233A"/>
    <w:rsid w:val="000E25BF"/>
    <w:rsid w:val="000E29CC"/>
    <w:rsid w:val="000E2D37"/>
    <w:rsid w:val="000E3160"/>
    <w:rsid w:val="000E3604"/>
    <w:rsid w:val="000E4279"/>
    <w:rsid w:val="000E479D"/>
    <w:rsid w:val="000E485D"/>
    <w:rsid w:val="000E4DF3"/>
    <w:rsid w:val="000E63BF"/>
    <w:rsid w:val="000E6495"/>
    <w:rsid w:val="000E64D1"/>
    <w:rsid w:val="000E65E8"/>
    <w:rsid w:val="000E67F8"/>
    <w:rsid w:val="000E728D"/>
    <w:rsid w:val="000E7599"/>
    <w:rsid w:val="000E7896"/>
    <w:rsid w:val="000E78E1"/>
    <w:rsid w:val="000E7C4B"/>
    <w:rsid w:val="000F061A"/>
    <w:rsid w:val="000F06A6"/>
    <w:rsid w:val="000F0D76"/>
    <w:rsid w:val="000F0F37"/>
    <w:rsid w:val="000F13A2"/>
    <w:rsid w:val="000F16B2"/>
    <w:rsid w:val="000F1EC8"/>
    <w:rsid w:val="000F2F51"/>
    <w:rsid w:val="000F3546"/>
    <w:rsid w:val="000F3A51"/>
    <w:rsid w:val="000F4B9B"/>
    <w:rsid w:val="000F5897"/>
    <w:rsid w:val="000F5D18"/>
    <w:rsid w:val="000F6DCC"/>
    <w:rsid w:val="000F6F27"/>
    <w:rsid w:val="000F78AB"/>
    <w:rsid w:val="000F7D47"/>
    <w:rsid w:val="000F7F68"/>
    <w:rsid w:val="001003EC"/>
    <w:rsid w:val="00100B50"/>
    <w:rsid w:val="00100C7F"/>
    <w:rsid w:val="00100E50"/>
    <w:rsid w:val="00101A46"/>
    <w:rsid w:val="00101CD8"/>
    <w:rsid w:val="00101DB4"/>
    <w:rsid w:val="00102615"/>
    <w:rsid w:val="00102873"/>
    <w:rsid w:val="00102AD1"/>
    <w:rsid w:val="00102E89"/>
    <w:rsid w:val="00103744"/>
    <w:rsid w:val="00103945"/>
    <w:rsid w:val="001042E7"/>
    <w:rsid w:val="001045B8"/>
    <w:rsid w:val="001048FF"/>
    <w:rsid w:val="00104D2D"/>
    <w:rsid w:val="001054CA"/>
    <w:rsid w:val="0010567F"/>
    <w:rsid w:val="00106001"/>
    <w:rsid w:val="00106027"/>
    <w:rsid w:val="001062D7"/>
    <w:rsid w:val="00106860"/>
    <w:rsid w:val="0010713D"/>
    <w:rsid w:val="0010745D"/>
    <w:rsid w:val="00107D02"/>
    <w:rsid w:val="0011033F"/>
    <w:rsid w:val="0011152A"/>
    <w:rsid w:val="001117C7"/>
    <w:rsid w:val="00111A18"/>
    <w:rsid w:val="0011210B"/>
    <w:rsid w:val="001121F3"/>
    <w:rsid w:val="001127A9"/>
    <w:rsid w:val="001127E0"/>
    <w:rsid w:val="00113D74"/>
    <w:rsid w:val="00114136"/>
    <w:rsid w:val="001144E4"/>
    <w:rsid w:val="00114CB9"/>
    <w:rsid w:val="00114EF1"/>
    <w:rsid w:val="0011505E"/>
    <w:rsid w:val="00115953"/>
    <w:rsid w:val="00115BD2"/>
    <w:rsid w:val="00116BFE"/>
    <w:rsid w:val="00116EE4"/>
    <w:rsid w:val="001170B7"/>
    <w:rsid w:val="00117567"/>
    <w:rsid w:val="001177B2"/>
    <w:rsid w:val="00117C5C"/>
    <w:rsid w:val="00117F02"/>
    <w:rsid w:val="001202A9"/>
    <w:rsid w:val="00120BEA"/>
    <w:rsid w:val="001211E0"/>
    <w:rsid w:val="00122B77"/>
    <w:rsid w:val="00122EA4"/>
    <w:rsid w:val="001231A3"/>
    <w:rsid w:val="0012330E"/>
    <w:rsid w:val="00123F7F"/>
    <w:rsid w:val="001240A4"/>
    <w:rsid w:val="0012416C"/>
    <w:rsid w:val="001241EF"/>
    <w:rsid w:val="00124F00"/>
    <w:rsid w:val="0012586E"/>
    <w:rsid w:val="00126076"/>
    <w:rsid w:val="00126638"/>
    <w:rsid w:val="00126D16"/>
    <w:rsid w:val="001272B8"/>
    <w:rsid w:val="001273E8"/>
    <w:rsid w:val="001276CA"/>
    <w:rsid w:val="00127779"/>
    <w:rsid w:val="00130527"/>
    <w:rsid w:val="001306EC"/>
    <w:rsid w:val="001308D4"/>
    <w:rsid w:val="00130E06"/>
    <w:rsid w:val="00131161"/>
    <w:rsid w:val="00131678"/>
    <w:rsid w:val="00131763"/>
    <w:rsid w:val="001317AF"/>
    <w:rsid w:val="00131E4A"/>
    <w:rsid w:val="0013253C"/>
    <w:rsid w:val="001325E1"/>
    <w:rsid w:val="0013278F"/>
    <w:rsid w:val="00132A50"/>
    <w:rsid w:val="00132C62"/>
    <w:rsid w:val="00132CDF"/>
    <w:rsid w:val="0013314F"/>
    <w:rsid w:val="00133B20"/>
    <w:rsid w:val="00133C28"/>
    <w:rsid w:val="00133D11"/>
    <w:rsid w:val="001340FB"/>
    <w:rsid w:val="00134442"/>
    <w:rsid w:val="001357A0"/>
    <w:rsid w:val="001361C9"/>
    <w:rsid w:val="0013641B"/>
    <w:rsid w:val="001368A9"/>
    <w:rsid w:val="00136DCE"/>
    <w:rsid w:val="00136EA8"/>
    <w:rsid w:val="00137668"/>
    <w:rsid w:val="00137950"/>
    <w:rsid w:val="00137AB7"/>
    <w:rsid w:val="00140515"/>
    <w:rsid w:val="00140A92"/>
    <w:rsid w:val="00140CEA"/>
    <w:rsid w:val="00141511"/>
    <w:rsid w:val="0014154C"/>
    <w:rsid w:val="00141D40"/>
    <w:rsid w:val="00141F8A"/>
    <w:rsid w:val="001420B3"/>
    <w:rsid w:val="00142755"/>
    <w:rsid w:val="00143556"/>
    <w:rsid w:val="001438E3"/>
    <w:rsid w:val="00143E7A"/>
    <w:rsid w:val="0014497B"/>
    <w:rsid w:val="00144FA2"/>
    <w:rsid w:val="00145274"/>
    <w:rsid w:val="00145292"/>
    <w:rsid w:val="0014720C"/>
    <w:rsid w:val="00147626"/>
    <w:rsid w:val="00147AD5"/>
    <w:rsid w:val="001518ED"/>
    <w:rsid w:val="00151E19"/>
    <w:rsid w:val="001520BF"/>
    <w:rsid w:val="001523D3"/>
    <w:rsid w:val="00152E99"/>
    <w:rsid w:val="0015383B"/>
    <w:rsid w:val="00153C6F"/>
    <w:rsid w:val="00153D61"/>
    <w:rsid w:val="00154802"/>
    <w:rsid w:val="0015502F"/>
    <w:rsid w:val="001555D4"/>
    <w:rsid w:val="001556A1"/>
    <w:rsid w:val="001557B1"/>
    <w:rsid w:val="0015667C"/>
    <w:rsid w:val="001566F9"/>
    <w:rsid w:val="0015687F"/>
    <w:rsid w:val="0015691C"/>
    <w:rsid w:val="00156FEB"/>
    <w:rsid w:val="00157070"/>
    <w:rsid w:val="001578F2"/>
    <w:rsid w:val="00157CEB"/>
    <w:rsid w:val="0016019E"/>
    <w:rsid w:val="00160D8B"/>
    <w:rsid w:val="00160FFA"/>
    <w:rsid w:val="0016100B"/>
    <w:rsid w:val="00161403"/>
    <w:rsid w:val="00161D3F"/>
    <w:rsid w:val="00162B0D"/>
    <w:rsid w:val="00162B2F"/>
    <w:rsid w:val="00162BBF"/>
    <w:rsid w:val="0016305E"/>
    <w:rsid w:val="0016340A"/>
    <w:rsid w:val="001645B6"/>
    <w:rsid w:val="00164791"/>
    <w:rsid w:val="00164DCC"/>
    <w:rsid w:val="0016507B"/>
    <w:rsid w:val="001658B0"/>
    <w:rsid w:val="00165B1F"/>
    <w:rsid w:val="00165DB6"/>
    <w:rsid w:val="001665ED"/>
    <w:rsid w:val="00166782"/>
    <w:rsid w:val="00166969"/>
    <w:rsid w:val="00166C57"/>
    <w:rsid w:val="001671F6"/>
    <w:rsid w:val="001676A4"/>
    <w:rsid w:val="00167752"/>
    <w:rsid w:val="00170B1A"/>
    <w:rsid w:val="00171507"/>
    <w:rsid w:val="00171635"/>
    <w:rsid w:val="0017193F"/>
    <w:rsid w:val="00171C19"/>
    <w:rsid w:val="0017250E"/>
    <w:rsid w:val="00172F1D"/>
    <w:rsid w:val="001741A2"/>
    <w:rsid w:val="00174380"/>
    <w:rsid w:val="00174A02"/>
    <w:rsid w:val="001753F3"/>
    <w:rsid w:val="00175D7E"/>
    <w:rsid w:val="0017630C"/>
    <w:rsid w:val="001763EB"/>
    <w:rsid w:val="00177AE1"/>
    <w:rsid w:val="00177DCF"/>
    <w:rsid w:val="00180B0D"/>
    <w:rsid w:val="00180D35"/>
    <w:rsid w:val="00180EDF"/>
    <w:rsid w:val="00180F10"/>
    <w:rsid w:val="00180F5E"/>
    <w:rsid w:val="0018129D"/>
    <w:rsid w:val="00183287"/>
    <w:rsid w:val="0018404F"/>
    <w:rsid w:val="001841C3"/>
    <w:rsid w:val="00185696"/>
    <w:rsid w:val="001857FC"/>
    <w:rsid w:val="00185ACD"/>
    <w:rsid w:val="0018601F"/>
    <w:rsid w:val="00186BA4"/>
    <w:rsid w:val="00186EF5"/>
    <w:rsid w:val="001875EE"/>
    <w:rsid w:val="001878AA"/>
    <w:rsid w:val="0019023F"/>
    <w:rsid w:val="001905AE"/>
    <w:rsid w:val="0019098C"/>
    <w:rsid w:val="00190BC5"/>
    <w:rsid w:val="00191643"/>
    <w:rsid w:val="00191755"/>
    <w:rsid w:val="00192050"/>
    <w:rsid w:val="00192A8B"/>
    <w:rsid w:val="001930BD"/>
    <w:rsid w:val="0019399D"/>
    <w:rsid w:val="0019489B"/>
    <w:rsid w:val="00194DC2"/>
    <w:rsid w:val="00195970"/>
    <w:rsid w:val="001959ED"/>
    <w:rsid w:val="00195B3C"/>
    <w:rsid w:val="00196081"/>
    <w:rsid w:val="00196D08"/>
    <w:rsid w:val="001972EB"/>
    <w:rsid w:val="00197A44"/>
    <w:rsid w:val="00197B5E"/>
    <w:rsid w:val="001A0A78"/>
    <w:rsid w:val="001A0ED6"/>
    <w:rsid w:val="001A1958"/>
    <w:rsid w:val="001A2309"/>
    <w:rsid w:val="001A24C7"/>
    <w:rsid w:val="001A2707"/>
    <w:rsid w:val="001A2D35"/>
    <w:rsid w:val="001A30BF"/>
    <w:rsid w:val="001A37ED"/>
    <w:rsid w:val="001A3BF2"/>
    <w:rsid w:val="001A40CF"/>
    <w:rsid w:val="001A4147"/>
    <w:rsid w:val="001A41B6"/>
    <w:rsid w:val="001A55F8"/>
    <w:rsid w:val="001A61E4"/>
    <w:rsid w:val="001A6594"/>
    <w:rsid w:val="001A6B15"/>
    <w:rsid w:val="001A7FFD"/>
    <w:rsid w:val="001B0264"/>
    <w:rsid w:val="001B0374"/>
    <w:rsid w:val="001B07A8"/>
    <w:rsid w:val="001B09EE"/>
    <w:rsid w:val="001B0FBE"/>
    <w:rsid w:val="001B178C"/>
    <w:rsid w:val="001B184F"/>
    <w:rsid w:val="001B2A10"/>
    <w:rsid w:val="001B2B9C"/>
    <w:rsid w:val="001B2D20"/>
    <w:rsid w:val="001B2F1C"/>
    <w:rsid w:val="001B324A"/>
    <w:rsid w:val="001B363B"/>
    <w:rsid w:val="001B36A2"/>
    <w:rsid w:val="001B480E"/>
    <w:rsid w:val="001B4A01"/>
    <w:rsid w:val="001B5715"/>
    <w:rsid w:val="001B5B86"/>
    <w:rsid w:val="001B5D37"/>
    <w:rsid w:val="001B61C6"/>
    <w:rsid w:val="001B62D7"/>
    <w:rsid w:val="001B6738"/>
    <w:rsid w:val="001B77BF"/>
    <w:rsid w:val="001B7A68"/>
    <w:rsid w:val="001C0029"/>
    <w:rsid w:val="001C0D95"/>
    <w:rsid w:val="001C10EB"/>
    <w:rsid w:val="001C123E"/>
    <w:rsid w:val="001C180B"/>
    <w:rsid w:val="001C1A8C"/>
    <w:rsid w:val="001C1B48"/>
    <w:rsid w:val="001C1E54"/>
    <w:rsid w:val="001C1FF4"/>
    <w:rsid w:val="001C2112"/>
    <w:rsid w:val="001C2273"/>
    <w:rsid w:val="001C23E1"/>
    <w:rsid w:val="001C2F7B"/>
    <w:rsid w:val="001C2FA9"/>
    <w:rsid w:val="001C2FC8"/>
    <w:rsid w:val="001C4016"/>
    <w:rsid w:val="001C4524"/>
    <w:rsid w:val="001C4776"/>
    <w:rsid w:val="001C4F31"/>
    <w:rsid w:val="001C5641"/>
    <w:rsid w:val="001C5ABE"/>
    <w:rsid w:val="001C683A"/>
    <w:rsid w:val="001C6B18"/>
    <w:rsid w:val="001C6E1B"/>
    <w:rsid w:val="001D1C6D"/>
    <w:rsid w:val="001D1F8A"/>
    <w:rsid w:val="001D246D"/>
    <w:rsid w:val="001D3164"/>
    <w:rsid w:val="001D3236"/>
    <w:rsid w:val="001D39CB"/>
    <w:rsid w:val="001D3F73"/>
    <w:rsid w:val="001D519B"/>
    <w:rsid w:val="001D519C"/>
    <w:rsid w:val="001D59F2"/>
    <w:rsid w:val="001D5A3B"/>
    <w:rsid w:val="001D644F"/>
    <w:rsid w:val="001D658C"/>
    <w:rsid w:val="001D6639"/>
    <w:rsid w:val="001D677E"/>
    <w:rsid w:val="001D6CBC"/>
    <w:rsid w:val="001D7CAE"/>
    <w:rsid w:val="001E0D95"/>
    <w:rsid w:val="001E2484"/>
    <w:rsid w:val="001E31A6"/>
    <w:rsid w:val="001E3335"/>
    <w:rsid w:val="001E3872"/>
    <w:rsid w:val="001E3F52"/>
    <w:rsid w:val="001E4096"/>
    <w:rsid w:val="001E422F"/>
    <w:rsid w:val="001E4CAB"/>
    <w:rsid w:val="001E4D14"/>
    <w:rsid w:val="001E4F72"/>
    <w:rsid w:val="001E51CA"/>
    <w:rsid w:val="001E57CF"/>
    <w:rsid w:val="001E5E8B"/>
    <w:rsid w:val="001E6026"/>
    <w:rsid w:val="001E7C9C"/>
    <w:rsid w:val="001E7EFF"/>
    <w:rsid w:val="001F00BB"/>
    <w:rsid w:val="001F06DC"/>
    <w:rsid w:val="001F084B"/>
    <w:rsid w:val="001F08FA"/>
    <w:rsid w:val="001F0A75"/>
    <w:rsid w:val="001F0F62"/>
    <w:rsid w:val="001F12E0"/>
    <w:rsid w:val="001F29CD"/>
    <w:rsid w:val="001F2BAA"/>
    <w:rsid w:val="001F2C44"/>
    <w:rsid w:val="001F2F3E"/>
    <w:rsid w:val="001F32A1"/>
    <w:rsid w:val="001F3442"/>
    <w:rsid w:val="001F3D13"/>
    <w:rsid w:val="001F4906"/>
    <w:rsid w:val="001F4B44"/>
    <w:rsid w:val="001F4FD2"/>
    <w:rsid w:val="001F5238"/>
    <w:rsid w:val="001F57A3"/>
    <w:rsid w:val="001F5A7C"/>
    <w:rsid w:val="001F6192"/>
    <w:rsid w:val="001F61AB"/>
    <w:rsid w:val="001F653B"/>
    <w:rsid w:val="001F7474"/>
    <w:rsid w:val="001F7655"/>
    <w:rsid w:val="001F7721"/>
    <w:rsid w:val="001F78AB"/>
    <w:rsid w:val="002003C8"/>
    <w:rsid w:val="0020074B"/>
    <w:rsid w:val="002008E7"/>
    <w:rsid w:val="002009AB"/>
    <w:rsid w:val="002013C3"/>
    <w:rsid w:val="0020197C"/>
    <w:rsid w:val="00201BEB"/>
    <w:rsid w:val="00202949"/>
    <w:rsid w:val="00202E44"/>
    <w:rsid w:val="00204AAA"/>
    <w:rsid w:val="0020522B"/>
    <w:rsid w:val="002055EA"/>
    <w:rsid w:val="00205613"/>
    <w:rsid w:val="0020638B"/>
    <w:rsid w:val="002066C1"/>
    <w:rsid w:val="002067EF"/>
    <w:rsid w:val="00206F4A"/>
    <w:rsid w:val="002071BB"/>
    <w:rsid w:val="002071DC"/>
    <w:rsid w:val="00207E03"/>
    <w:rsid w:val="00207FBC"/>
    <w:rsid w:val="002101A8"/>
    <w:rsid w:val="00210B68"/>
    <w:rsid w:val="002110E0"/>
    <w:rsid w:val="00211100"/>
    <w:rsid w:val="0021145D"/>
    <w:rsid w:val="00212C63"/>
    <w:rsid w:val="00212D97"/>
    <w:rsid w:val="002131AC"/>
    <w:rsid w:val="00213907"/>
    <w:rsid w:val="00213B5D"/>
    <w:rsid w:val="00213DD8"/>
    <w:rsid w:val="00214013"/>
    <w:rsid w:val="0021446F"/>
    <w:rsid w:val="00214B3F"/>
    <w:rsid w:val="00215046"/>
    <w:rsid w:val="002156ED"/>
    <w:rsid w:val="00215F35"/>
    <w:rsid w:val="002164AC"/>
    <w:rsid w:val="002167CA"/>
    <w:rsid w:val="00216927"/>
    <w:rsid w:val="0021694B"/>
    <w:rsid w:val="00216CDD"/>
    <w:rsid w:val="002177F1"/>
    <w:rsid w:val="00217DEB"/>
    <w:rsid w:val="0022114A"/>
    <w:rsid w:val="00221273"/>
    <w:rsid w:val="0022142B"/>
    <w:rsid w:val="002220CE"/>
    <w:rsid w:val="00222971"/>
    <w:rsid w:val="00222C87"/>
    <w:rsid w:val="0022306E"/>
    <w:rsid w:val="00223619"/>
    <w:rsid w:val="00224185"/>
    <w:rsid w:val="00224CDD"/>
    <w:rsid w:val="0022548D"/>
    <w:rsid w:val="00225524"/>
    <w:rsid w:val="002255A4"/>
    <w:rsid w:val="00226751"/>
    <w:rsid w:val="00226CD3"/>
    <w:rsid w:val="00227D4C"/>
    <w:rsid w:val="0023025B"/>
    <w:rsid w:val="00230B21"/>
    <w:rsid w:val="00230B93"/>
    <w:rsid w:val="00230CA4"/>
    <w:rsid w:val="00230DB7"/>
    <w:rsid w:val="002313CF"/>
    <w:rsid w:val="00232A69"/>
    <w:rsid w:val="00232C3E"/>
    <w:rsid w:val="002339AF"/>
    <w:rsid w:val="002339E3"/>
    <w:rsid w:val="0023486D"/>
    <w:rsid w:val="00234B07"/>
    <w:rsid w:val="00234CAB"/>
    <w:rsid w:val="00235A59"/>
    <w:rsid w:val="00235DB3"/>
    <w:rsid w:val="00236204"/>
    <w:rsid w:val="0023665F"/>
    <w:rsid w:val="00236983"/>
    <w:rsid w:val="002370CE"/>
    <w:rsid w:val="00237253"/>
    <w:rsid w:val="00237BA7"/>
    <w:rsid w:val="00240102"/>
    <w:rsid w:val="00241915"/>
    <w:rsid w:val="00241C83"/>
    <w:rsid w:val="00241C8B"/>
    <w:rsid w:val="002422D7"/>
    <w:rsid w:val="00242D60"/>
    <w:rsid w:val="00243311"/>
    <w:rsid w:val="00245F99"/>
    <w:rsid w:val="00246C6F"/>
    <w:rsid w:val="00247A8D"/>
    <w:rsid w:val="00247AA6"/>
    <w:rsid w:val="00247B40"/>
    <w:rsid w:val="002502D5"/>
    <w:rsid w:val="00250339"/>
    <w:rsid w:val="002505A2"/>
    <w:rsid w:val="00250911"/>
    <w:rsid w:val="0025120B"/>
    <w:rsid w:val="002518D7"/>
    <w:rsid w:val="00251BFD"/>
    <w:rsid w:val="00251EF1"/>
    <w:rsid w:val="00251FFA"/>
    <w:rsid w:val="0025221C"/>
    <w:rsid w:val="0025261A"/>
    <w:rsid w:val="00252948"/>
    <w:rsid w:val="00252F8C"/>
    <w:rsid w:val="00253287"/>
    <w:rsid w:val="00253BEB"/>
    <w:rsid w:val="00253F8E"/>
    <w:rsid w:val="0025464F"/>
    <w:rsid w:val="0025484D"/>
    <w:rsid w:val="00254B87"/>
    <w:rsid w:val="00255017"/>
    <w:rsid w:val="00255822"/>
    <w:rsid w:val="00255C78"/>
    <w:rsid w:val="00255DC4"/>
    <w:rsid w:val="00255F29"/>
    <w:rsid w:val="002561A8"/>
    <w:rsid w:val="00256A23"/>
    <w:rsid w:val="0025700E"/>
    <w:rsid w:val="00257522"/>
    <w:rsid w:val="00260129"/>
    <w:rsid w:val="00260300"/>
    <w:rsid w:val="00260B4B"/>
    <w:rsid w:val="0026106B"/>
    <w:rsid w:val="00262087"/>
    <w:rsid w:val="00262568"/>
    <w:rsid w:val="00262668"/>
    <w:rsid w:val="00262A87"/>
    <w:rsid w:val="00262B91"/>
    <w:rsid w:val="00262BD0"/>
    <w:rsid w:val="00262EFE"/>
    <w:rsid w:val="002639DB"/>
    <w:rsid w:val="00263A6A"/>
    <w:rsid w:val="002640CA"/>
    <w:rsid w:val="002642AF"/>
    <w:rsid w:val="002642EB"/>
    <w:rsid w:val="00264AF1"/>
    <w:rsid w:val="0026530C"/>
    <w:rsid w:val="00265B48"/>
    <w:rsid w:val="00266000"/>
    <w:rsid w:val="002664DB"/>
    <w:rsid w:val="00266757"/>
    <w:rsid w:val="00266DD7"/>
    <w:rsid w:val="0026716C"/>
    <w:rsid w:val="002672C7"/>
    <w:rsid w:val="0026737E"/>
    <w:rsid w:val="00267A64"/>
    <w:rsid w:val="00267ED6"/>
    <w:rsid w:val="002702BE"/>
    <w:rsid w:val="00270D12"/>
    <w:rsid w:val="00271C18"/>
    <w:rsid w:val="002732BC"/>
    <w:rsid w:val="00273BB1"/>
    <w:rsid w:val="00273D91"/>
    <w:rsid w:val="00274364"/>
    <w:rsid w:val="00274679"/>
    <w:rsid w:val="0027502A"/>
    <w:rsid w:val="00275226"/>
    <w:rsid w:val="00275266"/>
    <w:rsid w:val="00275462"/>
    <w:rsid w:val="00275CB2"/>
    <w:rsid w:val="00277353"/>
    <w:rsid w:val="00277FFC"/>
    <w:rsid w:val="002801BF"/>
    <w:rsid w:val="0028048B"/>
    <w:rsid w:val="00280A9E"/>
    <w:rsid w:val="00280AB7"/>
    <w:rsid w:val="00280FBF"/>
    <w:rsid w:val="0028128A"/>
    <w:rsid w:val="00281AE0"/>
    <w:rsid w:val="00282433"/>
    <w:rsid w:val="00283501"/>
    <w:rsid w:val="002835E7"/>
    <w:rsid w:val="0028399C"/>
    <w:rsid w:val="00284328"/>
    <w:rsid w:val="002843F8"/>
    <w:rsid w:val="002848F7"/>
    <w:rsid w:val="00285B3F"/>
    <w:rsid w:val="0028673A"/>
    <w:rsid w:val="002869DA"/>
    <w:rsid w:val="002869E3"/>
    <w:rsid w:val="00287F80"/>
    <w:rsid w:val="00290285"/>
    <w:rsid w:val="00290CF6"/>
    <w:rsid w:val="00290DA7"/>
    <w:rsid w:val="00290F1E"/>
    <w:rsid w:val="00291E2A"/>
    <w:rsid w:val="00292424"/>
    <w:rsid w:val="0029269D"/>
    <w:rsid w:val="002933C6"/>
    <w:rsid w:val="00293B5D"/>
    <w:rsid w:val="00293BA6"/>
    <w:rsid w:val="00293E2C"/>
    <w:rsid w:val="0029466E"/>
    <w:rsid w:val="00294FCF"/>
    <w:rsid w:val="00295410"/>
    <w:rsid w:val="00295FC4"/>
    <w:rsid w:val="00296026"/>
    <w:rsid w:val="0029668A"/>
    <w:rsid w:val="0029764F"/>
    <w:rsid w:val="00297B26"/>
    <w:rsid w:val="002A0592"/>
    <w:rsid w:val="002A0F10"/>
    <w:rsid w:val="002A10F0"/>
    <w:rsid w:val="002A12B7"/>
    <w:rsid w:val="002A13EC"/>
    <w:rsid w:val="002A143F"/>
    <w:rsid w:val="002A1483"/>
    <w:rsid w:val="002A1A0A"/>
    <w:rsid w:val="002A1CD6"/>
    <w:rsid w:val="002A1EEF"/>
    <w:rsid w:val="002A1F64"/>
    <w:rsid w:val="002A281F"/>
    <w:rsid w:val="002A2973"/>
    <w:rsid w:val="002A34D2"/>
    <w:rsid w:val="002A39F6"/>
    <w:rsid w:val="002A5990"/>
    <w:rsid w:val="002A5C1C"/>
    <w:rsid w:val="002A5CD2"/>
    <w:rsid w:val="002A6453"/>
    <w:rsid w:val="002A68F4"/>
    <w:rsid w:val="002A6D9F"/>
    <w:rsid w:val="002A70B5"/>
    <w:rsid w:val="002A79B4"/>
    <w:rsid w:val="002A7E16"/>
    <w:rsid w:val="002B0236"/>
    <w:rsid w:val="002B0291"/>
    <w:rsid w:val="002B066E"/>
    <w:rsid w:val="002B0E95"/>
    <w:rsid w:val="002B1537"/>
    <w:rsid w:val="002B1EA4"/>
    <w:rsid w:val="002B22B9"/>
    <w:rsid w:val="002B249E"/>
    <w:rsid w:val="002B2B8D"/>
    <w:rsid w:val="002B3136"/>
    <w:rsid w:val="002B3F35"/>
    <w:rsid w:val="002B461C"/>
    <w:rsid w:val="002B47F1"/>
    <w:rsid w:val="002B4AB1"/>
    <w:rsid w:val="002B4F1F"/>
    <w:rsid w:val="002B5320"/>
    <w:rsid w:val="002B5509"/>
    <w:rsid w:val="002B5FD4"/>
    <w:rsid w:val="002B64D0"/>
    <w:rsid w:val="002B6B8E"/>
    <w:rsid w:val="002B7881"/>
    <w:rsid w:val="002B78FB"/>
    <w:rsid w:val="002B7E80"/>
    <w:rsid w:val="002C04B3"/>
    <w:rsid w:val="002C0DCA"/>
    <w:rsid w:val="002C0E4A"/>
    <w:rsid w:val="002C104F"/>
    <w:rsid w:val="002C1257"/>
    <w:rsid w:val="002C1A1B"/>
    <w:rsid w:val="002C2686"/>
    <w:rsid w:val="002C26E3"/>
    <w:rsid w:val="002C372B"/>
    <w:rsid w:val="002C3E61"/>
    <w:rsid w:val="002C3F6A"/>
    <w:rsid w:val="002C41E4"/>
    <w:rsid w:val="002C583D"/>
    <w:rsid w:val="002C5CD0"/>
    <w:rsid w:val="002C5F4F"/>
    <w:rsid w:val="002C61F9"/>
    <w:rsid w:val="002C65F5"/>
    <w:rsid w:val="002C6ABA"/>
    <w:rsid w:val="002C6E0C"/>
    <w:rsid w:val="002C6E4E"/>
    <w:rsid w:val="002C6ECA"/>
    <w:rsid w:val="002C6F7F"/>
    <w:rsid w:val="002C7C18"/>
    <w:rsid w:val="002D085A"/>
    <w:rsid w:val="002D0AF5"/>
    <w:rsid w:val="002D16D4"/>
    <w:rsid w:val="002D1B97"/>
    <w:rsid w:val="002D22AE"/>
    <w:rsid w:val="002D3102"/>
    <w:rsid w:val="002D368F"/>
    <w:rsid w:val="002D37DC"/>
    <w:rsid w:val="002D3ACC"/>
    <w:rsid w:val="002D42DA"/>
    <w:rsid w:val="002D439F"/>
    <w:rsid w:val="002D58D9"/>
    <w:rsid w:val="002D5935"/>
    <w:rsid w:val="002D5FFC"/>
    <w:rsid w:val="002D629A"/>
    <w:rsid w:val="002D6624"/>
    <w:rsid w:val="002D6855"/>
    <w:rsid w:val="002D6A14"/>
    <w:rsid w:val="002D71D4"/>
    <w:rsid w:val="002D7EBC"/>
    <w:rsid w:val="002E06DD"/>
    <w:rsid w:val="002E07FB"/>
    <w:rsid w:val="002E0C8C"/>
    <w:rsid w:val="002E0CB5"/>
    <w:rsid w:val="002E1B55"/>
    <w:rsid w:val="002E1DD9"/>
    <w:rsid w:val="002E22C1"/>
    <w:rsid w:val="002E2360"/>
    <w:rsid w:val="002E276C"/>
    <w:rsid w:val="002E2F4A"/>
    <w:rsid w:val="002E3337"/>
    <w:rsid w:val="002E47C9"/>
    <w:rsid w:val="002E512A"/>
    <w:rsid w:val="002E5151"/>
    <w:rsid w:val="002E515F"/>
    <w:rsid w:val="002E5221"/>
    <w:rsid w:val="002E55EA"/>
    <w:rsid w:val="002E5A5D"/>
    <w:rsid w:val="002E5AEF"/>
    <w:rsid w:val="002E61A2"/>
    <w:rsid w:val="002E61C5"/>
    <w:rsid w:val="002E628D"/>
    <w:rsid w:val="002E6E85"/>
    <w:rsid w:val="002E71EE"/>
    <w:rsid w:val="002E7309"/>
    <w:rsid w:val="002E7B1B"/>
    <w:rsid w:val="002F0B9D"/>
    <w:rsid w:val="002F0DE9"/>
    <w:rsid w:val="002F1049"/>
    <w:rsid w:val="002F1A57"/>
    <w:rsid w:val="002F2FD6"/>
    <w:rsid w:val="002F31E4"/>
    <w:rsid w:val="002F340A"/>
    <w:rsid w:val="002F3426"/>
    <w:rsid w:val="002F3693"/>
    <w:rsid w:val="002F3C0D"/>
    <w:rsid w:val="002F3C28"/>
    <w:rsid w:val="002F3DF2"/>
    <w:rsid w:val="002F3F18"/>
    <w:rsid w:val="002F45EC"/>
    <w:rsid w:val="002F46BC"/>
    <w:rsid w:val="002F4937"/>
    <w:rsid w:val="002F49A8"/>
    <w:rsid w:val="002F4AC7"/>
    <w:rsid w:val="002F4EF9"/>
    <w:rsid w:val="002F4FFC"/>
    <w:rsid w:val="002F52A4"/>
    <w:rsid w:val="002F536C"/>
    <w:rsid w:val="002F594C"/>
    <w:rsid w:val="002F5D2D"/>
    <w:rsid w:val="002F61CA"/>
    <w:rsid w:val="002F624C"/>
    <w:rsid w:val="002F6528"/>
    <w:rsid w:val="002F6FF9"/>
    <w:rsid w:val="002F70FE"/>
    <w:rsid w:val="002F76E7"/>
    <w:rsid w:val="002F7722"/>
    <w:rsid w:val="00300071"/>
    <w:rsid w:val="003002A0"/>
    <w:rsid w:val="0030069D"/>
    <w:rsid w:val="00301487"/>
    <w:rsid w:val="00301593"/>
    <w:rsid w:val="00301697"/>
    <w:rsid w:val="00301808"/>
    <w:rsid w:val="00301996"/>
    <w:rsid w:val="003019A3"/>
    <w:rsid w:val="00301A71"/>
    <w:rsid w:val="00301C15"/>
    <w:rsid w:val="00301C50"/>
    <w:rsid w:val="00302FEB"/>
    <w:rsid w:val="003034E9"/>
    <w:rsid w:val="00303A4D"/>
    <w:rsid w:val="00303B0B"/>
    <w:rsid w:val="00303C2F"/>
    <w:rsid w:val="00303EE3"/>
    <w:rsid w:val="0030424C"/>
    <w:rsid w:val="003045C1"/>
    <w:rsid w:val="0030462D"/>
    <w:rsid w:val="00304A48"/>
    <w:rsid w:val="00304C20"/>
    <w:rsid w:val="0030502F"/>
    <w:rsid w:val="003050B2"/>
    <w:rsid w:val="00305941"/>
    <w:rsid w:val="00306070"/>
    <w:rsid w:val="003061F4"/>
    <w:rsid w:val="003076F5"/>
    <w:rsid w:val="00310ADD"/>
    <w:rsid w:val="00310BEF"/>
    <w:rsid w:val="003119C6"/>
    <w:rsid w:val="00311E55"/>
    <w:rsid w:val="00311F35"/>
    <w:rsid w:val="003120BF"/>
    <w:rsid w:val="0031237A"/>
    <w:rsid w:val="00312E0B"/>
    <w:rsid w:val="00312E3C"/>
    <w:rsid w:val="003132BD"/>
    <w:rsid w:val="003134C0"/>
    <w:rsid w:val="0031367D"/>
    <w:rsid w:val="00314370"/>
    <w:rsid w:val="00314D17"/>
    <w:rsid w:val="00315290"/>
    <w:rsid w:val="003165E7"/>
    <w:rsid w:val="0031725F"/>
    <w:rsid w:val="00317827"/>
    <w:rsid w:val="00317868"/>
    <w:rsid w:val="00317959"/>
    <w:rsid w:val="00320376"/>
    <w:rsid w:val="003206D9"/>
    <w:rsid w:val="00320707"/>
    <w:rsid w:val="003210E1"/>
    <w:rsid w:val="0032165E"/>
    <w:rsid w:val="003216A9"/>
    <w:rsid w:val="003219ED"/>
    <w:rsid w:val="003227EA"/>
    <w:rsid w:val="0032357D"/>
    <w:rsid w:val="00323812"/>
    <w:rsid w:val="00323CFB"/>
    <w:rsid w:val="00324008"/>
    <w:rsid w:val="00324734"/>
    <w:rsid w:val="00324B80"/>
    <w:rsid w:val="003256E1"/>
    <w:rsid w:val="003260B0"/>
    <w:rsid w:val="003267C4"/>
    <w:rsid w:val="00326961"/>
    <w:rsid w:val="0032707E"/>
    <w:rsid w:val="0032793A"/>
    <w:rsid w:val="00327A26"/>
    <w:rsid w:val="00327EB3"/>
    <w:rsid w:val="00330030"/>
    <w:rsid w:val="0033038A"/>
    <w:rsid w:val="003303F6"/>
    <w:rsid w:val="003304B1"/>
    <w:rsid w:val="00330919"/>
    <w:rsid w:val="00330A76"/>
    <w:rsid w:val="00330B67"/>
    <w:rsid w:val="00331391"/>
    <w:rsid w:val="00332117"/>
    <w:rsid w:val="003327E9"/>
    <w:rsid w:val="0033285F"/>
    <w:rsid w:val="00332BB7"/>
    <w:rsid w:val="00332EE2"/>
    <w:rsid w:val="00333955"/>
    <w:rsid w:val="003339A5"/>
    <w:rsid w:val="00333C08"/>
    <w:rsid w:val="00333E7C"/>
    <w:rsid w:val="00334A83"/>
    <w:rsid w:val="00334DBF"/>
    <w:rsid w:val="00334DC6"/>
    <w:rsid w:val="00334DF3"/>
    <w:rsid w:val="00336399"/>
    <w:rsid w:val="00336750"/>
    <w:rsid w:val="003367A5"/>
    <w:rsid w:val="00336988"/>
    <w:rsid w:val="00336FF7"/>
    <w:rsid w:val="003370D0"/>
    <w:rsid w:val="0033748D"/>
    <w:rsid w:val="0033755D"/>
    <w:rsid w:val="00337C60"/>
    <w:rsid w:val="00337E71"/>
    <w:rsid w:val="003403EF"/>
    <w:rsid w:val="00340D5C"/>
    <w:rsid w:val="00340F95"/>
    <w:rsid w:val="00341042"/>
    <w:rsid w:val="00341196"/>
    <w:rsid w:val="00341F72"/>
    <w:rsid w:val="00342495"/>
    <w:rsid w:val="00342658"/>
    <w:rsid w:val="00342A7F"/>
    <w:rsid w:val="0034312D"/>
    <w:rsid w:val="00343209"/>
    <w:rsid w:val="0034323E"/>
    <w:rsid w:val="003433FC"/>
    <w:rsid w:val="00343FD6"/>
    <w:rsid w:val="00344477"/>
    <w:rsid w:val="003448CA"/>
    <w:rsid w:val="00344A1A"/>
    <w:rsid w:val="00345F95"/>
    <w:rsid w:val="003461FB"/>
    <w:rsid w:val="00346C46"/>
    <w:rsid w:val="003476CE"/>
    <w:rsid w:val="00347B8D"/>
    <w:rsid w:val="003512E2"/>
    <w:rsid w:val="00351408"/>
    <w:rsid w:val="00351662"/>
    <w:rsid w:val="0035228F"/>
    <w:rsid w:val="00352AB0"/>
    <w:rsid w:val="003531ED"/>
    <w:rsid w:val="00353475"/>
    <w:rsid w:val="0035490B"/>
    <w:rsid w:val="003555AC"/>
    <w:rsid w:val="003559DC"/>
    <w:rsid w:val="00355C94"/>
    <w:rsid w:val="0035602A"/>
    <w:rsid w:val="003565B1"/>
    <w:rsid w:val="003567D3"/>
    <w:rsid w:val="003567EC"/>
    <w:rsid w:val="0035705C"/>
    <w:rsid w:val="00357D64"/>
    <w:rsid w:val="00357E32"/>
    <w:rsid w:val="00357EAA"/>
    <w:rsid w:val="003606F0"/>
    <w:rsid w:val="00360A08"/>
    <w:rsid w:val="00360A16"/>
    <w:rsid w:val="00360C12"/>
    <w:rsid w:val="00361426"/>
    <w:rsid w:val="00361AEA"/>
    <w:rsid w:val="003621FC"/>
    <w:rsid w:val="003624BF"/>
    <w:rsid w:val="00362B14"/>
    <w:rsid w:val="00362CB8"/>
    <w:rsid w:val="003637FB"/>
    <w:rsid w:val="00363E01"/>
    <w:rsid w:val="003642E0"/>
    <w:rsid w:val="00364796"/>
    <w:rsid w:val="00364D21"/>
    <w:rsid w:val="00365FF2"/>
    <w:rsid w:val="00366401"/>
    <w:rsid w:val="00366E62"/>
    <w:rsid w:val="0037074B"/>
    <w:rsid w:val="00370CA9"/>
    <w:rsid w:val="00370DEC"/>
    <w:rsid w:val="003719F8"/>
    <w:rsid w:val="00371F33"/>
    <w:rsid w:val="003723F6"/>
    <w:rsid w:val="00372AB7"/>
    <w:rsid w:val="00374328"/>
    <w:rsid w:val="00374360"/>
    <w:rsid w:val="003747BA"/>
    <w:rsid w:val="003753F6"/>
    <w:rsid w:val="003755FD"/>
    <w:rsid w:val="00375A9A"/>
    <w:rsid w:val="0037614D"/>
    <w:rsid w:val="00376594"/>
    <w:rsid w:val="00377263"/>
    <w:rsid w:val="0037730D"/>
    <w:rsid w:val="00377BA0"/>
    <w:rsid w:val="00377C4E"/>
    <w:rsid w:val="00381019"/>
    <w:rsid w:val="00381827"/>
    <w:rsid w:val="003819B0"/>
    <w:rsid w:val="00381D67"/>
    <w:rsid w:val="003821C9"/>
    <w:rsid w:val="003823BF"/>
    <w:rsid w:val="003827D6"/>
    <w:rsid w:val="00382F05"/>
    <w:rsid w:val="00383141"/>
    <w:rsid w:val="00383856"/>
    <w:rsid w:val="00383BC0"/>
    <w:rsid w:val="0038424D"/>
    <w:rsid w:val="00384A9A"/>
    <w:rsid w:val="003859ED"/>
    <w:rsid w:val="00385B72"/>
    <w:rsid w:val="00386070"/>
    <w:rsid w:val="0039017F"/>
    <w:rsid w:val="00390D20"/>
    <w:rsid w:val="003918AE"/>
    <w:rsid w:val="00391A5B"/>
    <w:rsid w:val="00391A8F"/>
    <w:rsid w:val="0039250F"/>
    <w:rsid w:val="00392551"/>
    <w:rsid w:val="00394188"/>
    <w:rsid w:val="0039426A"/>
    <w:rsid w:val="0039439B"/>
    <w:rsid w:val="00394523"/>
    <w:rsid w:val="0039495C"/>
    <w:rsid w:val="00394FA2"/>
    <w:rsid w:val="00395F64"/>
    <w:rsid w:val="003962E3"/>
    <w:rsid w:val="0039705F"/>
    <w:rsid w:val="0039712A"/>
    <w:rsid w:val="00397579"/>
    <w:rsid w:val="00397686"/>
    <w:rsid w:val="003A074E"/>
    <w:rsid w:val="003A08F9"/>
    <w:rsid w:val="003A0E6D"/>
    <w:rsid w:val="003A0EE8"/>
    <w:rsid w:val="003A0F27"/>
    <w:rsid w:val="003A13DF"/>
    <w:rsid w:val="003A1666"/>
    <w:rsid w:val="003A172D"/>
    <w:rsid w:val="003A1C4B"/>
    <w:rsid w:val="003A2287"/>
    <w:rsid w:val="003A22C5"/>
    <w:rsid w:val="003A297E"/>
    <w:rsid w:val="003A2D61"/>
    <w:rsid w:val="003A32A2"/>
    <w:rsid w:val="003A3305"/>
    <w:rsid w:val="003A4025"/>
    <w:rsid w:val="003A481D"/>
    <w:rsid w:val="003A49BD"/>
    <w:rsid w:val="003A4D2F"/>
    <w:rsid w:val="003A500C"/>
    <w:rsid w:val="003A55FE"/>
    <w:rsid w:val="003A6235"/>
    <w:rsid w:val="003A6B58"/>
    <w:rsid w:val="003A6BC7"/>
    <w:rsid w:val="003A6E24"/>
    <w:rsid w:val="003A745D"/>
    <w:rsid w:val="003A7BBD"/>
    <w:rsid w:val="003B0535"/>
    <w:rsid w:val="003B0628"/>
    <w:rsid w:val="003B0901"/>
    <w:rsid w:val="003B0939"/>
    <w:rsid w:val="003B0BC0"/>
    <w:rsid w:val="003B0C06"/>
    <w:rsid w:val="003B0FBB"/>
    <w:rsid w:val="003B17B0"/>
    <w:rsid w:val="003B1CF3"/>
    <w:rsid w:val="003B2145"/>
    <w:rsid w:val="003B226E"/>
    <w:rsid w:val="003B2486"/>
    <w:rsid w:val="003B2815"/>
    <w:rsid w:val="003B2F02"/>
    <w:rsid w:val="003B3467"/>
    <w:rsid w:val="003B4317"/>
    <w:rsid w:val="003B4EBD"/>
    <w:rsid w:val="003B5006"/>
    <w:rsid w:val="003B6039"/>
    <w:rsid w:val="003B60CA"/>
    <w:rsid w:val="003B6107"/>
    <w:rsid w:val="003B65E8"/>
    <w:rsid w:val="003B6D5B"/>
    <w:rsid w:val="003B6DE4"/>
    <w:rsid w:val="003B7433"/>
    <w:rsid w:val="003C0066"/>
    <w:rsid w:val="003C00E7"/>
    <w:rsid w:val="003C10AE"/>
    <w:rsid w:val="003C1595"/>
    <w:rsid w:val="003C2649"/>
    <w:rsid w:val="003C28C7"/>
    <w:rsid w:val="003C30C7"/>
    <w:rsid w:val="003C361B"/>
    <w:rsid w:val="003C3E78"/>
    <w:rsid w:val="003C4105"/>
    <w:rsid w:val="003C4333"/>
    <w:rsid w:val="003C449A"/>
    <w:rsid w:val="003C46EE"/>
    <w:rsid w:val="003C54DB"/>
    <w:rsid w:val="003C5748"/>
    <w:rsid w:val="003C5D1E"/>
    <w:rsid w:val="003C5E01"/>
    <w:rsid w:val="003C6040"/>
    <w:rsid w:val="003C616A"/>
    <w:rsid w:val="003C626A"/>
    <w:rsid w:val="003C6A2A"/>
    <w:rsid w:val="003C715D"/>
    <w:rsid w:val="003C734E"/>
    <w:rsid w:val="003C73F1"/>
    <w:rsid w:val="003D0023"/>
    <w:rsid w:val="003D0B1B"/>
    <w:rsid w:val="003D0CFE"/>
    <w:rsid w:val="003D11DE"/>
    <w:rsid w:val="003D1328"/>
    <w:rsid w:val="003D176C"/>
    <w:rsid w:val="003D1B07"/>
    <w:rsid w:val="003D1B94"/>
    <w:rsid w:val="003D1B9B"/>
    <w:rsid w:val="003D1FC7"/>
    <w:rsid w:val="003D20FF"/>
    <w:rsid w:val="003D32C9"/>
    <w:rsid w:val="003D33D9"/>
    <w:rsid w:val="003D3638"/>
    <w:rsid w:val="003D367E"/>
    <w:rsid w:val="003D3833"/>
    <w:rsid w:val="003D3E64"/>
    <w:rsid w:val="003D4AD8"/>
    <w:rsid w:val="003D577B"/>
    <w:rsid w:val="003D601A"/>
    <w:rsid w:val="003D6532"/>
    <w:rsid w:val="003D6664"/>
    <w:rsid w:val="003D679A"/>
    <w:rsid w:val="003D72B5"/>
    <w:rsid w:val="003D7857"/>
    <w:rsid w:val="003D785B"/>
    <w:rsid w:val="003D79AC"/>
    <w:rsid w:val="003D7C99"/>
    <w:rsid w:val="003D7ECB"/>
    <w:rsid w:val="003D7F63"/>
    <w:rsid w:val="003E002F"/>
    <w:rsid w:val="003E01A0"/>
    <w:rsid w:val="003E0414"/>
    <w:rsid w:val="003E065B"/>
    <w:rsid w:val="003E0C7D"/>
    <w:rsid w:val="003E1A8A"/>
    <w:rsid w:val="003E1E56"/>
    <w:rsid w:val="003E21C8"/>
    <w:rsid w:val="003E2322"/>
    <w:rsid w:val="003E234F"/>
    <w:rsid w:val="003E2B82"/>
    <w:rsid w:val="003E3098"/>
    <w:rsid w:val="003E3854"/>
    <w:rsid w:val="003E3E30"/>
    <w:rsid w:val="003E423C"/>
    <w:rsid w:val="003E42F7"/>
    <w:rsid w:val="003E43FC"/>
    <w:rsid w:val="003E478F"/>
    <w:rsid w:val="003E4903"/>
    <w:rsid w:val="003E5186"/>
    <w:rsid w:val="003E55F3"/>
    <w:rsid w:val="003E5861"/>
    <w:rsid w:val="003E5ACB"/>
    <w:rsid w:val="003E6139"/>
    <w:rsid w:val="003E6B0B"/>
    <w:rsid w:val="003E6C7E"/>
    <w:rsid w:val="003E74A0"/>
    <w:rsid w:val="003E74B7"/>
    <w:rsid w:val="003F0246"/>
    <w:rsid w:val="003F05D7"/>
    <w:rsid w:val="003F08F7"/>
    <w:rsid w:val="003F0B7B"/>
    <w:rsid w:val="003F0CDD"/>
    <w:rsid w:val="003F0F86"/>
    <w:rsid w:val="003F10B9"/>
    <w:rsid w:val="003F1271"/>
    <w:rsid w:val="003F1DEF"/>
    <w:rsid w:val="003F1E92"/>
    <w:rsid w:val="003F212A"/>
    <w:rsid w:val="003F3264"/>
    <w:rsid w:val="003F342A"/>
    <w:rsid w:val="003F3442"/>
    <w:rsid w:val="003F354D"/>
    <w:rsid w:val="003F3B11"/>
    <w:rsid w:val="003F3C6A"/>
    <w:rsid w:val="003F3F03"/>
    <w:rsid w:val="003F4574"/>
    <w:rsid w:val="003F46A1"/>
    <w:rsid w:val="003F4775"/>
    <w:rsid w:val="003F48FC"/>
    <w:rsid w:val="003F4D7B"/>
    <w:rsid w:val="003F5390"/>
    <w:rsid w:val="003F5446"/>
    <w:rsid w:val="003F6287"/>
    <w:rsid w:val="003F6573"/>
    <w:rsid w:val="003F6BD3"/>
    <w:rsid w:val="003F6C6F"/>
    <w:rsid w:val="003F6CD2"/>
    <w:rsid w:val="003F73BC"/>
    <w:rsid w:val="003F75C4"/>
    <w:rsid w:val="003F77BB"/>
    <w:rsid w:val="003F7933"/>
    <w:rsid w:val="003F7967"/>
    <w:rsid w:val="004002F3"/>
    <w:rsid w:val="00400F1B"/>
    <w:rsid w:val="004015F3"/>
    <w:rsid w:val="00401712"/>
    <w:rsid w:val="00401CDC"/>
    <w:rsid w:val="00401F79"/>
    <w:rsid w:val="00402161"/>
    <w:rsid w:val="00402208"/>
    <w:rsid w:val="004022A5"/>
    <w:rsid w:val="00402EEC"/>
    <w:rsid w:val="0040349E"/>
    <w:rsid w:val="0040364E"/>
    <w:rsid w:val="00403837"/>
    <w:rsid w:val="00403BDF"/>
    <w:rsid w:val="00404483"/>
    <w:rsid w:val="00404A34"/>
    <w:rsid w:val="00404A70"/>
    <w:rsid w:val="004052D9"/>
    <w:rsid w:val="0040545A"/>
    <w:rsid w:val="0040547D"/>
    <w:rsid w:val="00405CAF"/>
    <w:rsid w:val="00405D51"/>
    <w:rsid w:val="00405DC1"/>
    <w:rsid w:val="00405FD2"/>
    <w:rsid w:val="004061A6"/>
    <w:rsid w:val="0040637D"/>
    <w:rsid w:val="004063D3"/>
    <w:rsid w:val="0040732F"/>
    <w:rsid w:val="004074B5"/>
    <w:rsid w:val="004102D0"/>
    <w:rsid w:val="00410A0A"/>
    <w:rsid w:val="004116DD"/>
    <w:rsid w:val="00411C7D"/>
    <w:rsid w:val="00411D19"/>
    <w:rsid w:val="00411ED6"/>
    <w:rsid w:val="00412D48"/>
    <w:rsid w:val="00412E49"/>
    <w:rsid w:val="004133D5"/>
    <w:rsid w:val="00413A54"/>
    <w:rsid w:val="00413BB3"/>
    <w:rsid w:val="00413D01"/>
    <w:rsid w:val="00413F5B"/>
    <w:rsid w:val="004143C6"/>
    <w:rsid w:val="00415936"/>
    <w:rsid w:val="00415F97"/>
    <w:rsid w:val="00416074"/>
    <w:rsid w:val="0041654A"/>
    <w:rsid w:val="004169E5"/>
    <w:rsid w:val="004171D2"/>
    <w:rsid w:val="00417272"/>
    <w:rsid w:val="0042104F"/>
    <w:rsid w:val="00421257"/>
    <w:rsid w:val="00421B29"/>
    <w:rsid w:val="00421CCA"/>
    <w:rsid w:val="00421EC4"/>
    <w:rsid w:val="004228A5"/>
    <w:rsid w:val="00422D9E"/>
    <w:rsid w:val="004234CF"/>
    <w:rsid w:val="004237C9"/>
    <w:rsid w:val="0042380E"/>
    <w:rsid w:val="00423C0E"/>
    <w:rsid w:val="004244B2"/>
    <w:rsid w:val="004244BA"/>
    <w:rsid w:val="00424932"/>
    <w:rsid w:val="00424B22"/>
    <w:rsid w:val="00424F5A"/>
    <w:rsid w:val="00424F65"/>
    <w:rsid w:val="004257D5"/>
    <w:rsid w:val="00425991"/>
    <w:rsid w:val="00426203"/>
    <w:rsid w:val="00426D0F"/>
    <w:rsid w:val="00426DF7"/>
    <w:rsid w:val="0042786A"/>
    <w:rsid w:val="00427DCF"/>
    <w:rsid w:val="00430AF5"/>
    <w:rsid w:val="004311E5"/>
    <w:rsid w:val="00431604"/>
    <w:rsid w:val="00433515"/>
    <w:rsid w:val="004351A9"/>
    <w:rsid w:val="0043551B"/>
    <w:rsid w:val="0043555E"/>
    <w:rsid w:val="00435C14"/>
    <w:rsid w:val="004364DE"/>
    <w:rsid w:val="00436AD3"/>
    <w:rsid w:val="00437F80"/>
    <w:rsid w:val="00440596"/>
    <w:rsid w:val="004405D2"/>
    <w:rsid w:val="004407F6"/>
    <w:rsid w:val="00440A01"/>
    <w:rsid w:val="00440AC5"/>
    <w:rsid w:val="00440C2B"/>
    <w:rsid w:val="0044121B"/>
    <w:rsid w:val="004412E9"/>
    <w:rsid w:val="0044136C"/>
    <w:rsid w:val="00441D40"/>
    <w:rsid w:val="00441DC6"/>
    <w:rsid w:val="00442D34"/>
    <w:rsid w:val="00442FE4"/>
    <w:rsid w:val="00443115"/>
    <w:rsid w:val="00443683"/>
    <w:rsid w:val="00443D5A"/>
    <w:rsid w:val="0044425B"/>
    <w:rsid w:val="004443F0"/>
    <w:rsid w:val="004446C0"/>
    <w:rsid w:val="00444829"/>
    <w:rsid w:val="0044495A"/>
    <w:rsid w:val="00444CE2"/>
    <w:rsid w:val="00444FE0"/>
    <w:rsid w:val="004450C4"/>
    <w:rsid w:val="004458F8"/>
    <w:rsid w:val="00445C1F"/>
    <w:rsid w:val="00445D64"/>
    <w:rsid w:val="00445DE3"/>
    <w:rsid w:val="00446622"/>
    <w:rsid w:val="004468CC"/>
    <w:rsid w:val="00446E31"/>
    <w:rsid w:val="00447DA2"/>
    <w:rsid w:val="00450C33"/>
    <w:rsid w:val="00450DF3"/>
    <w:rsid w:val="0045117B"/>
    <w:rsid w:val="00451281"/>
    <w:rsid w:val="00451F5E"/>
    <w:rsid w:val="00452DB9"/>
    <w:rsid w:val="00453F28"/>
    <w:rsid w:val="004544B4"/>
    <w:rsid w:val="0045468A"/>
    <w:rsid w:val="00454A2D"/>
    <w:rsid w:val="004554CF"/>
    <w:rsid w:val="004555C3"/>
    <w:rsid w:val="004558A7"/>
    <w:rsid w:val="00455948"/>
    <w:rsid w:val="004564CF"/>
    <w:rsid w:val="004570B2"/>
    <w:rsid w:val="004573C5"/>
    <w:rsid w:val="00457C76"/>
    <w:rsid w:val="0046014D"/>
    <w:rsid w:val="0046039A"/>
    <w:rsid w:val="0046039C"/>
    <w:rsid w:val="00460BC3"/>
    <w:rsid w:val="00460DD7"/>
    <w:rsid w:val="00460FEC"/>
    <w:rsid w:val="004615C1"/>
    <w:rsid w:val="0046171A"/>
    <w:rsid w:val="00461A13"/>
    <w:rsid w:val="00461AB5"/>
    <w:rsid w:val="00461C26"/>
    <w:rsid w:val="004629A0"/>
    <w:rsid w:val="00462FE4"/>
    <w:rsid w:val="00463337"/>
    <w:rsid w:val="0046345C"/>
    <w:rsid w:val="00463A6C"/>
    <w:rsid w:val="004641B2"/>
    <w:rsid w:val="00464705"/>
    <w:rsid w:val="0046679E"/>
    <w:rsid w:val="0046689E"/>
    <w:rsid w:val="00466BF5"/>
    <w:rsid w:val="00466C37"/>
    <w:rsid w:val="00466C5A"/>
    <w:rsid w:val="00466E57"/>
    <w:rsid w:val="00467612"/>
    <w:rsid w:val="00467C8F"/>
    <w:rsid w:val="00470022"/>
    <w:rsid w:val="00470B35"/>
    <w:rsid w:val="004712DA"/>
    <w:rsid w:val="00471311"/>
    <w:rsid w:val="004716AB"/>
    <w:rsid w:val="00471A7D"/>
    <w:rsid w:val="00472CFF"/>
    <w:rsid w:val="00472D77"/>
    <w:rsid w:val="004738D4"/>
    <w:rsid w:val="004738DA"/>
    <w:rsid w:val="004746D6"/>
    <w:rsid w:val="00474758"/>
    <w:rsid w:val="00474952"/>
    <w:rsid w:val="00474E2F"/>
    <w:rsid w:val="00474FD2"/>
    <w:rsid w:val="00475090"/>
    <w:rsid w:val="00475B93"/>
    <w:rsid w:val="00475D8D"/>
    <w:rsid w:val="00475DC3"/>
    <w:rsid w:val="00476308"/>
    <w:rsid w:val="0047644F"/>
    <w:rsid w:val="00477153"/>
    <w:rsid w:val="0047754B"/>
    <w:rsid w:val="00477704"/>
    <w:rsid w:val="004777C1"/>
    <w:rsid w:val="00480103"/>
    <w:rsid w:val="004802FF"/>
    <w:rsid w:val="00480371"/>
    <w:rsid w:val="004804F3"/>
    <w:rsid w:val="00481108"/>
    <w:rsid w:val="00482342"/>
    <w:rsid w:val="0048264B"/>
    <w:rsid w:val="004827D9"/>
    <w:rsid w:val="00482BFF"/>
    <w:rsid w:val="00482CAA"/>
    <w:rsid w:val="00483828"/>
    <w:rsid w:val="00483C72"/>
    <w:rsid w:val="004841A4"/>
    <w:rsid w:val="00484A92"/>
    <w:rsid w:val="00484D22"/>
    <w:rsid w:val="00485829"/>
    <w:rsid w:val="004858CF"/>
    <w:rsid w:val="0048626A"/>
    <w:rsid w:val="0048684E"/>
    <w:rsid w:val="004868EF"/>
    <w:rsid w:val="004870AC"/>
    <w:rsid w:val="00487181"/>
    <w:rsid w:val="004873A9"/>
    <w:rsid w:val="0048785B"/>
    <w:rsid w:val="00490136"/>
    <w:rsid w:val="0049042B"/>
    <w:rsid w:val="004904CC"/>
    <w:rsid w:val="00490700"/>
    <w:rsid w:val="00490A71"/>
    <w:rsid w:val="00490EBF"/>
    <w:rsid w:val="004915C9"/>
    <w:rsid w:val="004917AD"/>
    <w:rsid w:val="004918F0"/>
    <w:rsid w:val="00491BF5"/>
    <w:rsid w:val="004921C5"/>
    <w:rsid w:val="004924BA"/>
    <w:rsid w:val="00492697"/>
    <w:rsid w:val="00493A13"/>
    <w:rsid w:val="00493E5C"/>
    <w:rsid w:val="00494707"/>
    <w:rsid w:val="00494BCD"/>
    <w:rsid w:val="00494C74"/>
    <w:rsid w:val="00495498"/>
    <w:rsid w:val="0049796F"/>
    <w:rsid w:val="00497F6C"/>
    <w:rsid w:val="004A066F"/>
    <w:rsid w:val="004A0A21"/>
    <w:rsid w:val="004A0B16"/>
    <w:rsid w:val="004A1246"/>
    <w:rsid w:val="004A2066"/>
    <w:rsid w:val="004A247F"/>
    <w:rsid w:val="004A26E2"/>
    <w:rsid w:val="004A2764"/>
    <w:rsid w:val="004A3416"/>
    <w:rsid w:val="004A3672"/>
    <w:rsid w:val="004A3BA5"/>
    <w:rsid w:val="004A458E"/>
    <w:rsid w:val="004A4F63"/>
    <w:rsid w:val="004A517B"/>
    <w:rsid w:val="004A55E2"/>
    <w:rsid w:val="004A58B8"/>
    <w:rsid w:val="004A6312"/>
    <w:rsid w:val="004A669E"/>
    <w:rsid w:val="004A66D8"/>
    <w:rsid w:val="004A67C3"/>
    <w:rsid w:val="004A6D44"/>
    <w:rsid w:val="004A7283"/>
    <w:rsid w:val="004A7288"/>
    <w:rsid w:val="004A74E3"/>
    <w:rsid w:val="004B1DD7"/>
    <w:rsid w:val="004B1E49"/>
    <w:rsid w:val="004B23E7"/>
    <w:rsid w:val="004B29E0"/>
    <w:rsid w:val="004B2CA7"/>
    <w:rsid w:val="004B3015"/>
    <w:rsid w:val="004B306F"/>
    <w:rsid w:val="004B3806"/>
    <w:rsid w:val="004B43FE"/>
    <w:rsid w:val="004B4433"/>
    <w:rsid w:val="004B4608"/>
    <w:rsid w:val="004B471B"/>
    <w:rsid w:val="004B5130"/>
    <w:rsid w:val="004B51E2"/>
    <w:rsid w:val="004B5B29"/>
    <w:rsid w:val="004B5CDF"/>
    <w:rsid w:val="004B6249"/>
    <w:rsid w:val="004B632B"/>
    <w:rsid w:val="004B651E"/>
    <w:rsid w:val="004B6A92"/>
    <w:rsid w:val="004B6B86"/>
    <w:rsid w:val="004B6C4D"/>
    <w:rsid w:val="004B6CAF"/>
    <w:rsid w:val="004B6E49"/>
    <w:rsid w:val="004B71DC"/>
    <w:rsid w:val="004B7C77"/>
    <w:rsid w:val="004B7CB5"/>
    <w:rsid w:val="004B7F8E"/>
    <w:rsid w:val="004C04E8"/>
    <w:rsid w:val="004C0C79"/>
    <w:rsid w:val="004C1A8F"/>
    <w:rsid w:val="004C233E"/>
    <w:rsid w:val="004C240A"/>
    <w:rsid w:val="004C2A1A"/>
    <w:rsid w:val="004C2E4C"/>
    <w:rsid w:val="004C3186"/>
    <w:rsid w:val="004C318C"/>
    <w:rsid w:val="004C4CCA"/>
    <w:rsid w:val="004C5042"/>
    <w:rsid w:val="004C5D65"/>
    <w:rsid w:val="004C6A40"/>
    <w:rsid w:val="004C6DC5"/>
    <w:rsid w:val="004C74DB"/>
    <w:rsid w:val="004C7B6F"/>
    <w:rsid w:val="004C7D4F"/>
    <w:rsid w:val="004D0C89"/>
    <w:rsid w:val="004D122B"/>
    <w:rsid w:val="004D1242"/>
    <w:rsid w:val="004D166D"/>
    <w:rsid w:val="004D1699"/>
    <w:rsid w:val="004D1B77"/>
    <w:rsid w:val="004D2C4A"/>
    <w:rsid w:val="004D37B3"/>
    <w:rsid w:val="004D3E1A"/>
    <w:rsid w:val="004D4821"/>
    <w:rsid w:val="004D48EB"/>
    <w:rsid w:val="004D4D24"/>
    <w:rsid w:val="004D4F2D"/>
    <w:rsid w:val="004D52AC"/>
    <w:rsid w:val="004D56B2"/>
    <w:rsid w:val="004D6099"/>
    <w:rsid w:val="004D65AC"/>
    <w:rsid w:val="004D6C8A"/>
    <w:rsid w:val="004D6CA1"/>
    <w:rsid w:val="004D7DE5"/>
    <w:rsid w:val="004E0DB3"/>
    <w:rsid w:val="004E140B"/>
    <w:rsid w:val="004E2A36"/>
    <w:rsid w:val="004E2D59"/>
    <w:rsid w:val="004E380E"/>
    <w:rsid w:val="004E4065"/>
    <w:rsid w:val="004E41E0"/>
    <w:rsid w:val="004E4290"/>
    <w:rsid w:val="004E42AA"/>
    <w:rsid w:val="004E45CC"/>
    <w:rsid w:val="004E48CF"/>
    <w:rsid w:val="004E5331"/>
    <w:rsid w:val="004E542E"/>
    <w:rsid w:val="004E582D"/>
    <w:rsid w:val="004E59CC"/>
    <w:rsid w:val="004E5BA8"/>
    <w:rsid w:val="004E63F8"/>
    <w:rsid w:val="004E6974"/>
    <w:rsid w:val="004E7898"/>
    <w:rsid w:val="004E79C6"/>
    <w:rsid w:val="004F096A"/>
    <w:rsid w:val="004F0D12"/>
    <w:rsid w:val="004F111A"/>
    <w:rsid w:val="004F2C68"/>
    <w:rsid w:val="004F327C"/>
    <w:rsid w:val="004F38C9"/>
    <w:rsid w:val="004F3EC0"/>
    <w:rsid w:val="004F3F72"/>
    <w:rsid w:val="004F4056"/>
    <w:rsid w:val="004F41AB"/>
    <w:rsid w:val="004F4C08"/>
    <w:rsid w:val="004F4E21"/>
    <w:rsid w:val="004F5513"/>
    <w:rsid w:val="004F587F"/>
    <w:rsid w:val="004F5DBD"/>
    <w:rsid w:val="004F6109"/>
    <w:rsid w:val="004F6242"/>
    <w:rsid w:val="004F63A3"/>
    <w:rsid w:val="004F63DC"/>
    <w:rsid w:val="004F7AD7"/>
    <w:rsid w:val="004F7FA4"/>
    <w:rsid w:val="005011E3"/>
    <w:rsid w:val="0050160B"/>
    <w:rsid w:val="00501E83"/>
    <w:rsid w:val="00501E95"/>
    <w:rsid w:val="005025CE"/>
    <w:rsid w:val="0050275E"/>
    <w:rsid w:val="0050299C"/>
    <w:rsid w:val="00502D48"/>
    <w:rsid w:val="00503998"/>
    <w:rsid w:val="00504363"/>
    <w:rsid w:val="005056FC"/>
    <w:rsid w:val="00505BC6"/>
    <w:rsid w:val="00505F19"/>
    <w:rsid w:val="0050614A"/>
    <w:rsid w:val="0050623B"/>
    <w:rsid w:val="00506512"/>
    <w:rsid w:val="00506720"/>
    <w:rsid w:val="00506CC9"/>
    <w:rsid w:val="005072A7"/>
    <w:rsid w:val="005076C1"/>
    <w:rsid w:val="00507D5B"/>
    <w:rsid w:val="00507E33"/>
    <w:rsid w:val="00507EFD"/>
    <w:rsid w:val="005103D9"/>
    <w:rsid w:val="005103DA"/>
    <w:rsid w:val="00510580"/>
    <w:rsid w:val="00510925"/>
    <w:rsid w:val="00510A54"/>
    <w:rsid w:val="00510C4D"/>
    <w:rsid w:val="00510DD3"/>
    <w:rsid w:val="00510EDF"/>
    <w:rsid w:val="00511177"/>
    <w:rsid w:val="00511CE1"/>
    <w:rsid w:val="00511DA6"/>
    <w:rsid w:val="00511E05"/>
    <w:rsid w:val="00511EE7"/>
    <w:rsid w:val="00512320"/>
    <w:rsid w:val="00512F66"/>
    <w:rsid w:val="0051312B"/>
    <w:rsid w:val="0051318F"/>
    <w:rsid w:val="00513B61"/>
    <w:rsid w:val="00514167"/>
    <w:rsid w:val="00514CAC"/>
    <w:rsid w:val="005154EC"/>
    <w:rsid w:val="00515582"/>
    <w:rsid w:val="005156CA"/>
    <w:rsid w:val="00515A22"/>
    <w:rsid w:val="00516127"/>
    <w:rsid w:val="00516A5F"/>
    <w:rsid w:val="00516DFD"/>
    <w:rsid w:val="00517014"/>
    <w:rsid w:val="00517D42"/>
    <w:rsid w:val="00517EFC"/>
    <w:rsid w:val="00517F30"/>
    <w:rsid w:val="00520395"/>
    <w:rsid w:val="00520696"/>
    <w:rsid w:val="00520C53"/>
    <w:rsid w:val="00521F50"/>
    <w:rsid w:val="005224D8"/>
    <w:rsid w:val="00522C96"/>
    <w:rsid w:val="00522CA9"/>
    <w:rsid w:val="00522CE7"/>
    <w:rsid w:val="00522F16"/>
    <w:rsid w:val="00523BD9"/>
    <w:rsid w:val="0052434A"/>
    <w:rsid w:val="00525F00"/>
    <w:rsid w:val="00527231"/>
    <w:rsid w:val="005278EF"/>
    <w:rsid w:val="00530BDA"/>
    <w:rsid w:val="00530D8D"/>
    <w:rsid w:val="00530EC5"/>
    <w:rsid w:val="00531263"/>
    <w:rsid w:val="00531577"/>
    <w:rsid w:val="005319AA"/>
    <w:rsid w:val="00531BBA"/>
    <w:rsid w:val="00531F20"/>
    <w:rsid w:val="00532B98"/>
    <w:rsid w:val="00533016"/>
    <w:rsid w:val="005339F6"/>
    <w:rsid w:val="00533B6B"/>
    <w:rsid w:val="00533CB1"/>
    <w:rsid w:val="005350AC"/>
    <w:rsid w:val="00535F92"/>
    <w:rsid w:val="00536512"/>
    <w:rsid w:val="0053679F"/>
    <w:rsid w:val="00536847"/>
    <w:rsid w:val="00536BBC"/>
    <w:rsid w:val="00536F86"/>
    <w:rsid w:val="0054121D"/>
    <w:rsid w:val="005414B7"/>
    <w:rsid w:val="00541B17"/>
    <w:rsid w:val="00541E51"/>
    <w:rsid w:val="00542A62"/>
    <w:rsid w:val="005431FE"/>
    <w:rsid w:val="005434AE"/>
    <w:rsid w:val="005446E9"/>
    <w:rsid w:val="005449F2"/>
    <w:rsid w:val="00544DB5"/>
    <w:rsid w:val="00544F96"/>
    <w:rsid w:val="0054561B"/>
    <w:rsid w:val="00545A73"/>
    <w:rsid w:val="00545B46"/>
    <w:rsid w:val="00546079"/>
    <w:rsid w:val="00546963"/>
    <w:rsid w:val="00546A25"/>
    <w:rsid w:val="00546F2D"/>
    <w:rsid w:val="00547461"/>
    <w:rsid w:val="00547669"/>
    <w:rsid w:val="0055014E"/>
    <w:rsid w:val="0055069F"/>
    <w:rsid w:val="00550EB2"/>
    <w:rsid w:val="005511F3"/>
    <w:rsid w:val="00552F1C"/>
    <w:rsid w:val="00553565"/>
    <w:rsid w:val="00554307"/>
    <w:rsid w:val="00554480"/>
    <w:rsid w:val="00554E31"/>
    <w:rsid w:val="00555149"/>
    <w:rsid w:val="00555380"/>
    <w:rsid w:val="005553DE"/>
    <w:rsid w:val="005555A8"/>
    <w:rsid w:val="00556300"/>
    <w:rsid w:val="005565F0"/>
    <w:rsid w:val="005566F1"/>
    <w:rsid w:val="00556723"/>
    <w:rsid w:val="00557C19"/>
    <w:rsid w:val="00557F6A"/>
    <w:rsid w:val="005608EC"/>
    <w:rsid w:val="00561720"/>
    <w:rsid w:val="00561A03"/>
    <w:rsid w:val="00561C90"/>
    <w:rsid w:val="00561E20"/>
    <w:rsid w:val="00561E9A"/>
    <w:rsid w:val="00561F6E"/>
    <w:rsid w:val="00562593"/>
    <w:rsid w:val="0056377C"/>
    <w:rsid w:val="00563797"/>
    <w:rsid w:val="00563807"/>
    <w:rsid w:val="00563909"/>
    <w:rsid w:val="00563A5F"/>
    <w:rsid w:val="00564395"/>
    <w:rsid w:val="005648BB"/>
    <w:rsid w:val="00565C00"/>
    <w:rsid w:val="005663C8"/>
    <w:rsid w:val="00566C81"/>
    <w:rsid w:val="005670E4"/>
    <w:rsid w:val="0056713D"/>
    <w:rsid w:val="00570051"/>
    <w:rsid w:val="00570DAA"/>
    <w:rsid w:val="00570F47"/>
    <w:rsid w:val="005730F2"/>
    <w:rsid w:val="00573466"/>
    <w:rsid w:val="0057355E"/>
    <w:rsid w:val="005738D5"/>
    <w:rsid w:val="00573BDE"/>
    <w:rsid w:val="00573C8E"/>
    <w:rsid w:val="00573C95"/>
    <w:rsid w:val="00574974"/>
    <w:rsid w:val="00574FBF"/>
    <w:rsid w:val="005751AE"/>
    <w:rsid w:val="005752C3"/>
    <w:rsid w:val="00575D9B"/>
    <w:rsid w:val="0057661F"/>
    <w:rsid w:val="00576B0B"/>
    <w:rsid w:val="00576B14"/>
    <w:rsid w:val="00576F4B"/>
    <w:rsid w:val="005772C2"/>
    <w:rsid w:val="005773B2"/>
    <w:rsid w:val="005776A5"/>
    <w:rsid w:val="005778AA"/>
    <w:rsid w:val="005803CA"/>
    <w:rsid w:val="00580572"/>
    <w:rsid w:val="0058077D"/>
    <w:rsid w:val="0058087B"/>
    <w:rsid w:val="0058350C"/>
    <w:rsid w:val="00583DAC"/>
    <w:rsid w:val="00585253"/>
    <w:rsid w:val="00585DEC"/>
    <w:rsid w:val="005862B9"/>
    <w:rsid w:val="00586BA1"/>
    <w:rsid w:val="00586C87"/>
    <w:rsid w:val="00586F00"/>
    <w:rsid w:val="005870C1"/>
    <w:rsid w:val="00587724"/>
    <w:rsid w:val="00587B21"/>
    <w:rsid w:val="00587CDD"/>
    <w:rsid w:val="0059009D"/>
    <w:rsid w:val="0059015A"/>
    <w:rsid w:val="005902FE"/>
    <w:rsid w:val="005904CD"/>
    <w:rsid w:val="005908FD"/>
    <w:rsid w:val="00591512"/>
    <w:rsid w:val="005917A3"/>
    <w:rsid w:val="00591A79"/>
    <w:rsid w:val="00591CD6"/>
    <w:rsid w:val="005922FB"/>
    <w:rsid w:val="0059234C"/>
    <w:rsid w:val="00592811"/>
    <w:rsid w:val="00592C52"/>
    <w:rsid w:val="0059362E"/>
    <w:rsid w:val="00593860"/>
    <w:rsid w:val="005938BA"/>
    <w:rsid w:val="005939CF"/>
    <w:rsid w:val="005957A8"/>
    <w:rsid w:val="0059614C"/>
    <w:rsid w:val="00596F20"/>
    <w:rsid w:val="005972E0"/>
    <w:rsid w:val="005A0068"/>
    <w:rsid w:val="005A10CA"/>
    <w:rsid w:val="005A1421"/>
    <w:rsid w:val="005A27C3"/>
    <w:rsid w:val="005A2FE4"/>
    <w:rsid w:val="005A3882"/>
    <w:rsid w:val="005A3ED9"/>
    <w:rsid w:val="005A45A4"/>
    <w:rsid w:val="005A4DC0"/>
    <w:rsid w:val="005A5279"/>
    <w:rsid w:val="005A571D"/>
    <w:rsid w:val="005A601E"/>
    <w:rsid w:val="005A658D"/>
    <w:rsid w:val="005A6599"/>
    <w:rsid w:val="005A6D31"/>
    <w:rsid w:val="005A7026"/>
    <w:rsid w:val="005A79E9"/>
    <w:rsid w:val="005A7F58"/>
    <w:rsid w:val="005B01EA"/>
    <w:rsid w:val="005B1393"/>
    <w:rsid w:val="005B14F6"/>
    <w:rsid w:val="005B17DA"/>
    <w:rsid w:val="005B180C"/>
    <w:rsid w:val="005B238E"/>
    <w:rsid w:val="005B25DC"/>
    <w:rsid w:val="005B3C94"/>
    <w:rsid w:val="005B3FF7"/>
    <w:rsid w:val="005B4314"/>
    <w:rsid w:val="005B47B9"/>
    <w:rsid w:val="005B48B4"/>
    <w:rsid w:val="005B4CCD"/>
    <w:rsid w:val="005B5216"/>
    <w:rsid w:val="005B52FF"/>
    <w:rsid w:val="005B53AD"/>
    <w:rsid w:val="005B565C"/>
    <w:rsid w:val="005B5691"/>
    <w:rsid w:val="005B5840"/>
    <w:rsid w:val="005B5859"/>
    <w:rsid w:val="005B5F61"/>
    <w:rsid w:val="005B66FF"/>
    <w:rsid w:val="005B67A7"/>
    <w:rsid w:val="005B779E"/>
    <w:rsid w:val="005B7DF6"/>
    <w:rsid w:val="005C1226"/>
    <w:rsid w:val="005C21B9"/>
    <w:rsid w:val="005C3759"/>
    <w:rsid w:val="005C3F16"/>
    <w:rsid w:val="005C40AC"/>
    <w:rsid w:val="005C4158"/>
    <w:rsid w:val="005C50F6"/>
    <w:rsid w:val="005C5D7E"/>
    <w:rsid w:val="005C5EA3"/>
    <w:rsid w:val="005C5F86"/>
    <w:rsid w:val="005C6166"/>
    <w:rsid w:val="005C622C"/>
    <w:rsid w:val="005C6380"/>
    <w:rsid w:val="005C6661"/>
    <w:rsid w:val="005C754C"/>
    <w:rsid w:val="005D0525"/>
    <w:rsid w:val="005D0CEA"/>
    <w:rsid w:val="005D0EC3"/>
    <w:rsid w:val="005D1D7A"/>
    <w:rsid w:val="005D1EC2"/>
    <w:rsid w:val="005D276D"/>
    <w:rsid w:val="005D3021"/>
    <w:rsid w:val="005D354D"/>
    <w:rsid w:val="005D3927"/>
    <w:rsid w:val="005D40AB"/>
    <w:rsid w:val="005D4511"/>
    <w:rsid w:val="005D4A47"/>
    <w:rsid w:val="005D4AEA"/>
    <w:rsid w:val="005D4EF1"/>
    <w:rsid w:val="005D593D"/>
    <w:rsid w:val="005D5A81"/>
    <w:rsid w:val="005D5BBC"/>
    <w:rsid w:val="005D73FC"/>
    <w:rsid w:val="005D756F"/>
    <w:rsid w:val="005D76EA"/>
    <w:rsid w:val="005D7FFC"/>
    <w:rsid w:val="005E08A0"/>
    <w:rsid w:val="005E10F0"/>
    <w:rsid w:val="005E147D"/>
    <w:rsid w:val="005E154D"/>
    <w:rsid w:val="005E19A1"/>
    <w:rsid w:val="005E1C98"/>
    <w:rsid w:val="005E1D3E"/>
    <w:rsid w:val="005E22C2"/>
    <w:rsid w:val="005E244C"/>
    <w:rsid w:val="005E2598"/>
    <w:rsid w:val="005E2C80"/>
    <w:rsid w:val="005E31A4"/>
    <w:rsid w:val="005E4159"/>
    <w:rsid w:val="005E43A9"/>
    <w:rsid w:val="005E44E1"/>
    <w:rsid w:val="005E4B5A"/>
    <w:rsid w:val="005E4EB4"/>
    <w:rsid w:val="005E4F39"/>
    <w:rsid w:val="005E4F55"/>
    <w:rsid w:val="005E5481"/>
    <w:rsid w:val="005E58FC"/>
    <w:rsid w:val="005E5B36"/>
    <w:rsid w:val="005E7772"/>
    <w:rsid w:val="005E7B00"/>
    <w:rsid w:val="005F185C"/>
    <w:rsid w:val="005F1E8B"/>
    <w:rsid w:val="005F29BB"/>
    <w:rsid w:val="005F2B24"/>
    <w:rsid w:val="005F2EAE"/>
    <w:rsid w:val="005F3206"/>
    <w:rsid w:val="005F3E2A"/>
    <w:rsid w:val="005F4252"/>
    <w:rsid w:val="005F42C5"/>
    <w:rsid w:val="005F4470"/>
    <w:rsid w:val="005F4CB4"/>
    <w:rsid w:val="005F574A"/>
    <w:rsid w:val="005F582A"/>
    <w:rsid w:val="005F5AF9"/>
    <w:rsid w:val="005F5B08"/>
    <w:rsid w:val="005F64F5"/>
    <w:rsid w:val="005F6AA4"/>
    <w:rsid w:val="005F6B3D"/>
    <w:rsid w:val="005F7364"/>
    <w:rsid w:val="005F7775"/>
    <w:rsid w:val="005F7CA2"/>
    <w:rsid w:val="005F7F41"/>
    <w:rsid w:val="005F7FF3"/>
    <w:rsid w:val="006004C1"/>
    <w:rsid w:val="00600D39"/>
    <w:rsid w:val="00600DF2"/>
    <w:rsid w:val="006014F1"/>
    <w:rsid w:val="00601A0C"/>
    <w:rsid w:val="00601BB3"/>
    <w:rsid w:val="00602115"/>
    <w:rsid w:val="00602CD4"/>
    <w:rsid w:val="00602FD4"/>
    <w:rsid w:val="00602FEF"/>
    <w:rsid w:val="006034D1"/>
    <w:rsid w:val="006038B9"/>
    <w:rsid w:val="00604BC3"/>
    <w:rsid w:val="00604E32"/>
    <w:rsid w:val="00604EDB"/>
    <w:rsid w:val="006054DA"/>
    <w:rsid w:val="0060656E"/>
    <w:rsid w:val="00606C45"/>
    <w:rsid w:val="00607229"/>
    <w:rsid w:val="00607579"/>
    <w:rsid w:val="00607D82"/>
    <w:rsid w:val="00610DFF"/>
    <w:rsid w:val="006120C3"/>
    <w:rsid w:val="006120CE"/>
    <w:rsid w:val="006121AA"/>
    <w:rsid w:val="00612C0B"/>
    <w:rsid w:val="006133FB"/>
    <w:rsid w:val="0061346C"/>
    <w:rsid w:val="006139BA"/>
    <w:rsid w:val="00613EE0"/>
    <w:rsid w:val="00614375"/>
    <w:rsid w:val="00614A8A"/>
    <w:rsid w:val="0061524F"/>
    <w:rsid w:val="00615317"/>
    <w:rsid w:val="00615B7C"/>
    <w:rsid w:val="00617051"/>
    <w:rsid w:val="0061731D"/>
    <w:rsid w:val="00617693"/>
    <w:rsid w:val="00617990"/>
    <w:rsid w:val="00617ABD"/>
    <w:rsid w:val="0062028D"/>
    <w:rsid w:val="00620933"/>
    <w:rsid w:val="00620A85"/>
    <w:rsid w:val="00621535"/>
    <w:rsid w:val="006215D3"/>
    <w:rsid w:val="00621914"/>
    <w:rsid w:val="00621AF8"/>
    <w:rsid w:val="00621C91"/>
    <w:rsid w:val="00622619"/>
    <w:rsid w:val="006226B3"/>
    <w:rsid w:val="00622E72"/>
    <w:rsid w:val="00623DF9"/>
    <w:rsid w:val="006246C8"/>
    <w:rsid w:val="006250BF"/>
    <w:rsid w:val="0062580F"/>
    <w:rsid w:val="0062583B"/>
    <w:rsid w:val="0062677C"/>
    <w:rsid w:val="0062681E"/>
    <w:rsid w:val="00626886"/>
    <w:rsid w:val="006268E7"/>
    <w:rsid w:val="0063045C"/>
    <w:rsid w:val="00630C3C"/>
    <w:rsid w:val="00630D49"/>
    <w:rsid w:val="006311DB"/>
    <w:rsid w:val="00631413"/>
    <w:rsid w:val="006319B9"/>
    <w:rsid w:val="00631CA5"/>
    <w:rsid w:val="00631DA3"/>
    <w:rsid w:val="006327AB"/>
    <w:rsid w:val="00632B90"/>
    <w:rsid w:val="00632BB6"/>
    <w:rsid w:val="00633875"/>
    <w:rsid w:val="00633911"/>
    <w:rsid w:val="006339F5"/>
    <w:rsid w:val="00633A80"/>
    <w:rsid w:val="00633C7B"/>
    <w:rsid w:val="00633E5E"/>
    <w:rsid w:val="00633E7D"/>
    <w:rsid w:val="006340DF"/>
    <w:rsid w:val="006341C6"/>
    <w:rsid w:val="00634A1B"/>
    <w:rsid w:val="00634F2F"/>
    <w:rsid w:val="00635963"/>
    <w:rsid w:val="0063631C"/>
    <w:rsid w:val="0063665A"/>
    <w:rsid w:val="006368B3"/>
    <w:rsid w:val="00636A22"/>
    <w:rsid w:val="00637841"/>
    <w:rsid w:val="00637935"/>
    <w:rsid w:val="00640002"/>
    <w:rsid w:val="006406FE"/>
    <w:rsid w:val="00640AEA"/>
    <w:rsid w:val="006411DE"/>
    <w:rsid w:val="00641557"/>
    <w:rsid w:val="006419BB"/>
    <w:rsid w:val="0064208D"/>
    <w:rsid w:val="006423E9"/>
    <w:rsid w:val="00642939"/>
    <w:rsid w:val="00642E58"/>
    <w:rsid w:val="0064304F"/>
    <w:rsid w:val="0064374B"/>
    <w:rsid w:val="00644107"/>
    <w:rsid w:val="00644ED4"/>
    <w:rsid w:val="00645E8C"/>
    <w:rsid w:val="00646367"/>
    <w:rsid w:val="0064643E"/>
    <w:rsid w:val="0064692C"/>
    <w:rsid w:val="00647042"/>
    <w:rsid w:val="0064738B"/>
    <w:rsid w:val="00647627"/>
    <w:rsid w:val="00647680"/>
    <w:rsid w:val="006479F5"/>
    <w:rsid w:val="00650004"/>
    <w:rsid w:val="00650454"/>
    <w:rsid w:val="00651523"/>
    <w:rsid w:val="00651741"/>
    <w:rsid w:val="00651BE0"/>
    <w:rsid w:val="006525D0"/>
    <w:rsid w:val="006537D9"/>
    <w:rsid w:val="00653AC2"/>
    <w:rsid w:val="006542AD"/>
    <w:rsid w:val="006542C8"/>
    <w:rsid w:val="00654848"/>
    <w:rsid w:val="00654FBA"/>
    <w:rsid w:val="00654FCD"/>
    <w:rsid w:val="00655B68"/>
    <w:rsid w:val="00660710"/>
    <w:rsid w:val="006615A3"/>
    <w:rsid w:val="006615DC"/>
    <w:rsid w:val="00661A36"/>
    <w:rsid w:val="00661E33"/>
    <w:rsid w:val="00662071"/>
    <w:rsid w:val="006622DB"/>
    <w:rsid w:val="0066231E"/>
    <w:rsid w:val="0066272C"/>
    <w:rsid w:val="00662BA5"/>
    <w:rsid w:val="00662E7B"/>
    <w:rsid w:val="0066310D"/>
    <w:rsid w:val="00663841"/>
    <w:rsid w:val="00663CC7"/>
    <w:rsid w:val="006645AF"/>
    <w:rsid w:val="00664742"/>
    <w:rsid w:val="0066483F"/>
    <w:rsid w:val="00664AD2"/>
    <w:rsid w:val="00664B0A"/>
    <w:rsid w:val="00664E96"/>
    <w:rsid w:val="00664F10"/>
    <w:rsid w:val="00665DEF"/>
    <w:rsid w:val="00666712"/>
    <w:rsid w:val="00666928"/>
    <w:rsid w:val="00666EB8"/>
    <w:rsid w:val="0066723B"/>
    <w:rsid w:val="006675BB"/>
    <w:rsid w:val="00667B07"/>
    <w:rsid w:val="00670111"/>
    <w:rsid w:val="0067011D"/>
    <w:rsid w:val="00670287"/>
    <w:rsid w:val="00670420"/>
    <w:rsid w:val="006714BD"/>
    <w:rsid w:val="00671CA0"/>
    <w:rsid w:val="006723FE"/>
    <w:rsid w:val="006726DA"/>
    <w:rsid w:val="006731A6"/>
    <w:rsid w:val="006733EA"/>
    <w:rsid w:val="006734A5"/>
    <w:rsid w:val="00673C11"/>
    <w:rsid w:val="00673CEC"/>
    <w:rsid w:val="0067407A"/>
    <w:rsid w:val="00674098"/>
    <w:rsid w:val="00674AE6"/>
    <w:rsid w:val="00674B62"/>
    <w:rsid w:val="006750B1"/>
    <w:rsid w:val="00675903"/>
    <w:rsid w:val="00675BB1"/>
    <w:rsid w:val="00675C63"/>
    <w:rsid w:val="00676EDE"/>
    <w:rsid w:val="006773B8"/>
    <w:rsid w:val="006777B4"/>
    <w:rsid w:val="00680224"/>
    <w:rsid w:val="00681070"/>
    <w:rsid w:val="00682091"/>
    <w:rsid w:val="006822BD"/>
    <w:rsid w:val="00682B1F"/>
    <w:rsid w:val="0068300B"/>
    <w:rsid w:val="006832EF"/>
    <w:rsid w:val="00683849"/>
    <w:rsid w:val="0068418A"/>
    <w:rsid w:val="0068418C"/>
    <w:rsid w:val="00684660"/>
    <w:rsid w:val="00684E5F"/>
    <w:rsid w:val="006856AE"/>
    <w:rsid w:val="006858C2"/>
    <w:rsid w:val="00686A05"/>
    <w:rsid w:val="00687019"/>
    <w:rsid w:val="006874C4"/>
    <w:rsid w:val="00687896"/>
    <w:rsid w:val="00687E2D"/>
    <w:rsid w:val="006901AC"/>
    <w:rsid w:val="0069084C"/>
    <w:rsid w:val="006911CF"/>
    <w:rsid w:val="006924AB"/>
    <w:rsid w:val="00692A9D"/>
    <w:rsid w:val="00692B4C"/>
    <w:rsid w:val="00692FE3"/>
    <w:rsid w:val="006938F1"/>
    <w:rsid w:val="006939D5"/>
    <w:rsid w:val="00693B22"/>
    <w:rsid w:val="00693BEB"/>
    <w:rsid w:val="006941B7"/>
    <w:rsid w:val="006941E7"/>
    <w:rsid w:val="00694716"/>
    <w:rsid w:val="00694957"/>
    <w:rsid w:val="006949DD"/>
    <w:rsid w:val="00694D5E"/>
    <w:rsid w:val="006A091C"/>
    <w:rsid w:val="006A116A"/>
    <w:rsid w:val="006A2046"/>
    <w:rsid w:val="006A24A9"/>
    <w:rsid w:val="006A264F"/>
    <w:rsid w:val="006A3870"/>
    <w:rsid w:val="006A3CF2"/>
    <w:rsid w:val="006A4018"/>
    <w:rsid w:val="006A419D"/>
    <w:rsid w:val="006A4281"/>
    <w:rsid w:val="006A443A"/>
    <w:rsid w:val="006A44F5"/>
    <w:rsid w:val="006A4853"/>
    <w:rsid w:val="006A5073"/>
    <w:rsid w:val="006A5201"/>
    <w:rsid w:val="006A5687"/>
    <w:rsid w:val="006A5B26"/>
    <w:rsid w:val="006A5C6F"/>
    <w:rsid w:val="006A6291"/>
    <w:rsid w:val="006A6BB2"/>
    <w:rsid w:val="006A7127"/>
    <w:rsid w:val="006A73D7"/>
    <w:rsid w:val="006A78FF"/>
    <w:rsid w:val="006B0317"/>
    <w:rsid w:val="006B03D7"/>
    <w:rsid w:val="006B0D8D"/>
    <w:rsid w:val="006B1106"/>
    <w:rsid w:val="006B17D1"/>
    <w:rsid w:val="006B1F71"/>
    <w:rsid w:val="006B2CC6"/>
    <w:rsid w:val="006B36B5"/>
    <w:rsid w:val="006B39C4"/>
    <w:rsid w:val="006B3CA9"/>
    <w:rsid w:val="006B3CAA"/>
    <w:rsid w:val="006B4200"/>
    <w:rsid w:val="006B44E6"/>
    <w:rsid w:val="006B4537"/>
    <w:rsid w:val="006B45EF"/>
    <w:rsid w:val="006B467A"/>
    <w:rsid w:val="006B4F7F"/>
    <w:rsid w:val="006B50AC"/>
    <w:rsid w:val="006B50F6"/>
    <w:rsid w:val="006B52C1"/>
    <w:rsid w:val="006B5D65"/>
    <w:rsid w:val="006B6287"/>
    <w:rsid w:val="006B709B"/>
    <w:rsid w:val="006B73DF"/>
    <w:rsid w:val="006B7D08"/>
    <w:rsid w:val="006C0272"/>
    <w:rsid w:val="006C0933"/>
    <w:rsid w:val="006C0D35"/>
    <w:rsid w:val="006C0D82"/>
    <w:rsid w:val="006C0FAE"/>
    <w:rsid w:val="006C16FB"/>
    <w:rsid w:val="006C19BB"/>
    <w:rsid w:val="006C24DB"/>
    <w:rsid w:val="006C2F94"/>
    <w:rsid w:val="006C31A8"/>
    <w:rsid w:val="006C341C"/>
    <w:rsid w:val="006C447A"/>
    <w:rsid w:val="006C4B13"/>
    <w:rsid w:val="006C5920"/>
    <w:rsid w:val="006C5FA5"/>
    <w:rsid w:val="006C606A"/>
    <w:rsid w:val="006C7384"/>
    <w:rsid w:val="006D106E"/>
    <w:rsid w:val="006D1520"/>
    <w:rsid w:val="006D155D"/>
    <w:rsid w:val="006D16C6"/>
    <w:rsid w:val="006D1B38"/>
    <w:rsid w:val="006D1D1D"/>
    <w:rsid w:val="006D23B1"/>
    <w:rsid w:val="006D259F"/>
    <w:rsid w:val="006D2C1C"/>
    <w:rsid w:val="006D2D3D"/>
    <w:rsid w:val="006D3E8D"/>
    <w:rsid w:val="006D453C"/>
    <w:rsid w:val="006D4777"/>
    <w:rsid w:val="006D4E03"/>
    <w:rsid w:val="006D53E4"/>
    <w:rsid w:val="006D552E"/>
    <w:rsid w:val="006D5534"/>
    <w:rsid w:val="006D5A83"/>
    <w:rsid w:val="006D5DF6"/>
    <w:rsid w:val="006D5ED3"/>
    <w:rsid w:val="006D5FE8"/>
    <w:rsid w:val="006D611C"/>
    <w:rsid w:val="006D6F01"/>
    <w:rsid w:val="006D739A"/>
    <w:rsid w:val="006D7FCA"/>
    <w:rsid w:val="006E0181"/>
    <w:rsid w:val="006E023E"/>
    <w:rsid w:val="006E0A39"/>
    <w:rsid w:val="006E0E15"/>
    <w:rsid w:val="006E1F9C"/>
    <w:rsid w:val="006E2241"/>
    <w:rsid w:val="006E260B"/>
    <w:rsid w:val="006E2AC1"/>
    <w:rsid w:val="006E2B2F"/>
    <w:rsid w:val="006E2E24"/>
    <w:rsid w:val="006E2F07"/>
    <w:rsid w:val="006E33EF"/>
    <w:rsid w:val="006E34DE"/>
    <w:rsid w:val="006E3E0D"/>
    <w:rsid w:val="006E4222"/>
    <w:rsid w:val="006E4791"/>
    <w:rsid w:val="006E50F2"/>
    <w:rsid w:val="006E55C8"/>
    <w:rsid w:val="006E5C70"/>
    <w:rsid w:val="006E6668"/>
    <w:rsid w:val="006E66F7"/>
    <w:rsid w:val="006E6CB3"/>
    <w:rsid w:val="006E72F9"/>
    <w:rsid w:val="006E7392"/>
    <w:rsid w:val="006E7630"/>
    <w:rsid w:val="006E7CD9"/>
    <w:rsid w:val="006E7EA1"/>
    <w:rsid w:val="006F07BA"/>
    <w:rsid w:val="006F0895"/>
    <w:rsid w:val="006F0BAB"/>
    <w:rsid w:val="006F0BDD"/>
    <w:rsid w:val="006F12EB"/>
    <w:rsid w:val="006F142D"/>
    <w:rsid w:val="006F147B"/>
    <w:rsid w:val="006F14DA"/>
    <w:rsid w:val="006F171B"/>
    <w:rsid w:val="006F1839"/>
    <w:rsid w:val="006F1BB6"/>
    <w:rsid w:val="006F2C5A"/>
    <w:rsid w:val="006F31CD"/>
    <w:rsid w:val="006F3A42"/>
    <w:rsid w:val="006F4220"/>
    <w:rsid w:val="006F5273"/>
    <w:rsid w:val="006F57B5"/>
    <w:rsid w:val="006F58B4"/>
    <w:rsid w:val="006F5A2B"/>
    <w:rsid w:val="006F619C"/>
    <w:rsid w:val="006F680D"/>
    <w:rsid w:val="006F6E0E"/>
    <w:rsid w:val="006F7811"/>
    <w:rsid w:val="006F7D32"/>
    <w:rsid w:val="006F7F5F"/>
    <w:rsid w:val="007000F6"/>
    <w:rsid w:val="00700BED"/>
    <w:rsid w:val="00700C4E"/>
    <w:rsid w:val="00701701"/>
    <w:rsid w:val="00701FD1"/>
    <w:rsid w:val="00702322"/>
    <w:rsid w:val="00704510"/>
    <w:rsid w:val="0070527C"/>
    <w:rsid w:val="00705DAD"/>
    <w:rsid w:val="0070665F"/>
    <w:rsid w:val="0070729C"/>
    <w:rsid w:val="00707ED5"/>
    <w:rsid w:val="00710341"/>
    <w:rsid w:val="007106DC"/>
    <w:rsid w:val="00710B7C"/>
    <w:rsid w:val="0071146C"/>
    <w:rsid w:val="007116BC"/>
    <w:rsid w:val="0071195B"/>
    <w:rsid w:val="00711983"/>
    <w:rsid w:val="0071260A"/>
    <w:rsid w:val="0071272D"/>
    <w:rsid w:val="00712FF4"/>
    <w:rsid w:val="007133E5"/>
    <w:rsid w:val="0071352B"/>
    <w:rsid w:val="00713A84"/>
    <w:rsid w:val="00713D9C"/>
    <w:rsid w:val="00713E64"/>
    <w:rsid w:val="00713EF9"/>
    <w:rsid w:val="00713FC8"/>
    <w:rsid w:val="0071445D"/>
    <w:rsid w:val="00714B9A"/>
    <w:rsid w:val="00714E26"/>
    <w:rsid w:val="00715480"/>
    <w:rsid w:val="00715689"/>
    <w:rsid w:val="00715777"/>
    <w:rsid w:val="0071650B"/>
    <w:rsid w:val="0071683C"/>
    <w:rsid w:val="0071684A"/>
    <w:rsid w:val="0071760B"/>
    <w:rsid w:val="007176BB"/>
    <w:rsid w:val="00717A12"/>
    <w:rsid w:val="00720566"/>
    <w:rsid w:val="00721065"/>
    <w:rsid w:val="0072109B"/>
    <w:rsid w:val="00721D2A"/>
    <w:rsid w:val="00722881"/>
    <w:rsid w:val="00722B4A"/>
    <w:rsid w:val="00722FD0"/>
    <w:rsid w:val="00723F1B"/>
    <w:rsid w:val="007244B7"/>
    <w:rsid w:val="00724512"/>
    <w:rsid w:val="0072477A"/>
    <w:rsid w:val="007247B9"/>
    <w:rsid w:val="00724BA0"/>
    <w:rsid w:val="00724EB6"/>
    <w:rsid w:val="007255F2"/>
    <w:rsid w:val="00726770"/>
    <w:rsid w:val="00726A83"/>
    <w:rsid w:val="00727131"/>
    <w:rsid w:val="0072755A"/>
    <w:rsid w:val="00727782"/>
    <w:rsid w:val="00727CD8"/>
    <w:rsid w:val="00727D85"/>
    <w:rsid w:val="00727EAA"/>
    <w:rsid w:val="00727EF1"/>
    <w:rsid w:val="00730392"/>
    <w:rsid w:val="00730B50"/>
    <w:rsid w:val="00730BA5"/>
    <w:rsid w:val="00730F76"/>
    <w:rsid w:val="0073172F"/>
    <w:rsid w:val="0073266D"/>
    <w:rsid w:val="007328E1"/>
    <w:rsid w:val="00732FFF"/>
    <w:rsid w:val="0073320B"/>
    <w:rsid w:val="00733533"/>
    <w:rsid w:val="007346C7"/>
    <w:rsid w:val="00734887"/>
    <w:rsid w:val="00734898"/>
    <w:rsid w:val="00734D37"/>
    <w:rsid w:val="00736041"/>
    <w:rsid w:val="0073608A"/>
    <w:rsid w:val="007362ED"/>
    <w:rsid w:val="00736A6A"/>
    <w:rsid w:val="00736D65"/>
    <w:rsid w:val="00736E4F"/>
    <w:rsid w:val="00737493"/>
    <w:rsid w:val="0073786E"/>
    <w:rsid w:val="00737BD3"/>
    <w:rsid w:val="00737CB7"/>
    <w:rsid w:val="007401A8"/>
    <w:rsid w:val="00740577"/>
    <w:rsid w:val="007408C7"/>
    <w:rsid w:val="0074153D"/>
    <w:rsid w:val="00741F79"/>
    <w:rsid w:val="00742602"/>
    <w:rsid w:val="00742F6D"/>
    <w:rsid w:val="0074325B"/>
    <w:rsid w:val="00743599"/>
    <w:rsid w:val="00744385"/>
    <w:rsid w:val="00744A8A"/>
    <w:rsid w:val="00744D64"/>
    <w:rsid w:val="00744DFC"/>
    <w:rsid w:val="0074502A"/>
    <w:rsid w:val="00746478"/>
    <w:rsid w:val="0074695D"/>
    <w:rsid w:val="0074705E"/>
    <w:rsid w:val="00747143"/>
    <w:rsid w:val="00747429"/>
    <w:rsid w:val="00747FE4"/>
    <w:rsid w:val="00750EE4"/>
    <w:rsid w:val="007512FD"/>
    <w:rsid w:val="00751640"/>
    <w:rsid w:val="00751747"/>
    <w:rsid w:val="007518B7"/>
    <w:rsid w:val="00751F0D"/>
    <w:rsid w:val="00751FA7"/>
    <w:rsid w:val="0075226B"/>
    <w:rsid w:val="00752AD8"/>
    <w:rsid w:val="00752B5A"/>
    <w:rsid w:val="00752C7F"/>
    <w:rsid w:val="00753027"/>
    <w:rsid w:val="0075345F"/>
    <w:rsid w:val="00753DE1"/>
    <w:rsid w:val="00754F67"/>
    <w:rsid w:val="00754F76"/>
    <w:rsid w:val="00755628"/>
    <w:rsid w:val="00755649"/>
    <w:rsid w:val="007562A9"/>
    <w:rsid w:val="00756413"/>
    <w:rsid w:val="00756B8E"/>
    <w:rsid w:val="00756BB5"/>
    <w:rsid w:val="00757927"/>
    <w:rsid w:val="0076046C"/>
    <w:rsid w:val="00760556"/>
    <w:rsid w:val="0076089A"/>
    <w:rsid w:val="007608AE"/>
    <w:rsid w:val="00761699"/>
    <w:rsid w:val="007620B3"/>
    <w:rsid w:val="0076236D"/>
    <w:rsid w:val="007626E6"/>
    <w:rsid w:val="007627E8"/>
    <w:rsid w:val="007628CE"/>
    <w:rsid w:val="007633CA"/>
    <w:rsid w:val="007636FE"/>
    <w:rsid w:val="00764149"/>
    <w:rsid w:val="0076480F"/>
    <w:rsid w:val="00764DCA"/>
    <w:rsid w:val="00764FD2"/>
    <w:rsid w:val="00765089"/>
    <w:rsid w:val="00765A80"/>
    <w:rsid w:val="00765DCD"/>
    <w:rsid w:val="007660EF"/>
    <w:rsid w:val="007667C6"/>
    <w:rsid w:val="00766B6C"/>
    <w:rsid w:val="00767252"/>
    <w:rsid w:val="00767380"/>
    <w:rsid w:val="007673E0"/>
    <w:rsid w:val="00767E0E"/>
    <w:rsid w:val="00770384"/>
    <w:rsid w:val="007703BF"/>
    <w:rsid w:val="00770899"/>
    <w:rsid w:val="00770E4F"/>
    <w:rsid w:val="00771363"/>
    <w:rsid w:val="00771399"/>
    <w:rsid w:val="0077229B"/>
    <w:rsid w:val="007724CB"/>
    <w:rsid w:val="0077331D"/>
    <w:rsid w:val="0077416C"/>
    <w:rsid w:val="007743B4"/>
    <w:rsid w:val="007745BA"/>
    <w:rsid w:val="0077460A"/>
    <w:rsid w:val="00774BA5"/>
    <w:rsid w:val="00774F93"/>
    <w:rsid w:val="00775760"/>
    <w:rsid w:val="00775AE9"/>
    <w:rsid w:val="00775F9B"/>
    <w:rsid w:val="00776399"/>
    <w:rsid w:val="00776598"/>
    <w:rsid w:val="007765C9"/>
    <w:rsid w:val="00776CA5"/>
    <w:rsid w:val="00776CCD"/>
    <w:rsid w:val="00776F56"/>
    <w:rsid w:val="007778F1"/>
    <w:rsid w:val="007779E8"/>
    <w:rsid w:val="0078005D"/>
    <w:rsid w:val="0078021C"/>
    <w:rsid w:val="00780329"/>
    <w:rsid w:val="00780A0F"/>
    <w:rsid w:val="00780C00"/>
    <w:rsid w:val="00781AEE"/>
    <w:rsid w:val="00781DFE"/>
    <w:rsid w:val="0078234F"/>
    <w:rsid w:val="00783A2C"/>
    <w:rsid w:val="00783F08"/>
    <w:rsid w:val="00784600"/>
    <w:rsid w:val="00784835"/>
    <w:rsid w:val="007859EA"/>
    <w:rsid w:val="00785AA6"/>
    <w:rsid w:val="00785DB9"/>
    <w:rsid w:val="00786354"/>
    <w:rsid w:val="00787722"/>
    <w:rsid w:val="007878A3"/>
    <w:rsid w:val="007900AC"/>
    <w:rsid w:val="0079041A"/>
    <w:rsid w:val="00791613"/>
    <w:rsid w:val="0079277E"/>
    <w:rsid w:val="00792FCA"/>
    <w:rsid w:val="00793255"/>
    <w:rsid w:val="007939F2"/>
    <w:rsid w:val="00793F4D"/>
    <w:rsid w:val="0079488F"/>
    <w:rsid w:val="0079497E"/>
    <w:rsid w:val="00794F02"/>
    <w:rsid w:val="00795604"/>
    <w:rsid w:val="007957BB"/>
    <w:rsid w:val="00795C5D"/>
    <w:rsid w:val="007961B4"/>
    <w:rsid w:val="007965D3"/>
    <w:rsid w:val="007966E8"/>
    <w:rsid w:val="00796949"/>
    <w:rsid w:val="00796E84"/>
    <w:rsid w:val="00796FB0"/>
    <w:rsid w:val="00797053"/>
    <w:rsid w:val="007971D1"/>
    <w:rsid w:val="00797EF3"/>
    <w:rsid w:val="007A0B62"/>
    <w:rsid w:val="007A0C1D"/>
    <w:rsid w:val="007A1A1A"/>
    <w:rsid w:val="007A1A77"/>
    <w:rsid w:val="007A1B04"/>
    <w:rsid w:val="007A2B6C"/>
    <w:rsid w:val="007A2C80"/>
    <w:rsid w:val="007A305E"/>
    <w:rsid w:val="007A4170"/>
    <w:rsid w:val="007A5228"/>
    <w:rsid w:val="007A59E2"/>
    <w:rsid w:val="007A6E91"/>
    <w:rsid w:val="007B0363"/>
    <w:rsid w:val="007B0D01"/>
    <w:rsid w:val="007B15A4"/>
    <w:rsid w:val="007B167E"/>
    <w:rsid w:val="007B20F7"/>
    <w:rsid w:val="007B24EE"/>
    <w:rsid w:val="007B321F"/>
    <w:rsid w:val="007B3DEA"/>
    <w:rsid w:val="007B4704"/>
    <w:rsid w:val="007B4999"/>
    <w:rsid w:val="007B4F7F"/>
    <w:rsid w:val="007B4FEB"/>
    <w:rsid w:val="007B51B2"/>
    <w:rsid w:val="007B53D7"/>
    <w:rsid w:val="007B5C75"/>
    <w:rsid w:val="007B5E75"/>
    <w:rsid w:val="007B63F8"/>
    <w:rsid w:val="007B73A7"/>
    <w:rsid w:val="007B7777"/>
    <w:rsid w:val="007B7E68"/>
    <w:rsid w:val="007C0268"/>
    <w:rsid w:val="007C0626"/>
    <w:rsid w:val="007C0672"/>
    <w:rsid w:val="007C0F7E"/>
    <w:rsid w:val="007C126C"/>
    <w:rsid w:val="007C148A"/>
    <w:rsid w:val="007C160B"/>
    <w:rsid w:val="007C1BE8"/>
    <w:rsid w:val="007C1CAA"/>
    <w:rsid w:val="007C21BE"/>
    <w:rsid w:val="007C2571"/>
    <w:rsid w:val="007C270F"/>
    <w:rsid w:val="007C3365"/>
    <w:rsid w:val="007C3C6F"/>
    <w:rsid w:val="007C3F58"/>
    <w:rsid w:val="007C403A"/>
    <w:rsid w:val="007C4CFC"/>
    <w:rsid w:val="007C5143"/>
    <w:rsid w:val="007C5A4D"/>
    <w:rsid w:val="007C5E20"/>
    <w:rsid w:val="007C5EB8"/>
    <w:rsid w:val="007C6205"/>
    <w:rsid w:val="007C6823"/>
    <w:rsid w:val="007C6959"/>
    <w:rsid w:val="007C73C8"/>
    <w:rsid w:val="007C79EF"/>
    <w:rsid w:val="007C7F88"/>
    <w:rsid w:val="007D1704"/>
    <w:rsid w:val="007D1A85"/>
    <w:rsid w:val="007D2324"/>
    <w:rsid w:val="007D2F14"/>
    <w:rsid w:val="007D3156"/>
    <w:rsid w:val="007D3393"/>
    <w:rsid w:val="007D3CF9"/>
    <w:rsid w:val="007D3F10"/>
    <w:rsid w:val="007D4D51"/>
    <w:rsid w:val="007D4F25"/>
    <w:rsid w:val="007D55C5"/>
    <w:rsid w:val="007D5A59"/>
    <w:rsid w:val="007D5B42"/>
    <w:rsid w:val="007D6107"/>
    <w:rsid w:val="007D67B4"/>
    <w:rsid w:val="007D6949"/>
    <w:rsid w:val="007D6D51"/>
    <w:rsid w:val="007D6E64"/>
    <w:rsid w:val="007D7070"/>
    <w:rsid w:val="007D723E"/>
    <w:rsid w:val="007E0423"/>
    <w:rsid w:val="007E11C7"/>
    <w:rsid w:val="007E1226"/>
    <w:rsid w:val="007E13B1"/>
    <w:rsid w:val="007E1614"/>
    <w:rsid w:val="007E1663"/>
    <w:rsid w:val="007E17A0"/>
    <w:rsid w:val="007E1807"/>
    <w:rsid w:val="007E1F28"/>
    <w:rsid w:val="007E251C"/>
    <w:rsid w:val="007E2576"/>
    <w:rsid w:val="007E26CC"/>
    <w:rsid w:val="007E284A"/>
    <w:rsid w:val="007E384A"/>
    <w:rsid w:val="007E38A6"/>
    <w:rsid w:val="007E3F28"/>
    <w:rsid w:val="007E406D"/>
    <w:rsid w:val="007E4247"/>
    <w:rsid w:val="007E477B"/>
    <w:rsid w:val="007E4D7A"/>
    <w:rsid w:val="007E5043"/>
    <w:rsid w:val="007E54D3"/>
    <w:rsid w:val="007E5682"/>
    <w:rsid w:val="007E5E8B"/>
    <w:rsid w:val="007E77AD"/>
    <w:rsid w:val="007E7E30"/>
    <w:rsid w:val="007F015E"/>
    <w:rsid w:val="007F117F"/>
    <w:rsid w:val="007F1C18"/>
    <w:rsid w:val="007F27DF"/>
    <w:rsid w:val="007F31CC"/>
    <w:rsid w:val="007F3AA7"/>
    <w:rsid w:val="007F3AF7"/>
    <w:rsid w:val="007F3C46"/>
    <w:rsid w:val="007F4544"/>
    <w:rsid w:val="007F45C4"/>
    <w:rsid w:val="007F4677"/>
    <w:rsid w:val="007F48E5"/>
    <w:rsid w:val="007F4AAE"/>
    <w:rsid w:val="007F4ABF"/>
    <w:rsid w:val="007F4B6C"/>
    <w:rsid w:val="007F5069"/>
    <w:rsid w:val="007F5407"/>
    <w:rsid w:val="007F5B77"/>
    <w:rsid w:val="007F6024"/>
    <w:rsid w:val="007F628C"/>
    <w:rsid w:val="007F62B7"/>
    <w:rsid w:val="007F638F"/>
    <w:rsid w:val="007F6859"/>
    <w:rsid w:val="007F6A8B"/>
    <w:rsid w:val="007F704E"/>
    <w:rsid w:val="007F737E"/>
    <w:rsid w:val="007F7CEA"/>
    <w:rsid w:val="00800D1E"/>
    <w:rsid w:val="00801501"/>
    <w:rsid w:val="008018E4"/>
    <w:rsid w:val="008019B3"/>
    <w:rsid w:val="008019FD"/>
    <w:rsid w:val="00801BEE"/>
    <w:rsid w:val="00802662"/>
    <w:rsid w:val="0080269C"/>
    <w:rsid w:val="00802FFA"/>
    <w:rsid w:val="00803517"/>
    <w:rsid w:val="0080393F"/>
    <w:rsid w:val="00803CBE"/>
    <w:rsid w:val="00804968"/>
    <w:rsid w:val="00804BF3"/>
    <w:rsid w:val="00804EDB"/>
    <w:rsid w:val="00805724"/>
    <w:rsid w:val="008059C5"/>
    <w:rsid w:val="008059F6"/>
    <w:rsid w:val="00805ACE"/>
    <w:rsid w:val="00806541"/>
    <w:rsid w:val="008067C5"/>
    <w:rsid w:val="008072A4"/>
    <w:rsid w:val="00807843"/>
    <w:rsid w:val="0081022D"/>
    <w:rsid w:val="00810588"/>
    <w:rsid w:val="008105DB"/>
    <w:rsid w:val="008107AC"/>
    <w:rsid w:val="00810D63"/>
    <w:rsid w:val="00810DA2"/>
    <w:rsid w:val="00811639"/>
    <w:rsid w:val="00811AE9"/>
    <w:rsid w:val="00813174"/>
    <w:rsid w:val="008134AD"/>
    <w:rsid w:val="00813EED"/>
    <w:rsid w:val="00814076"/>
    <w:rsid w:val="008142B4"/>
    <w:rsid w:val="008146DC"/>
    <w:rsid w:val="00814D49"/>
    <w:rsid w:val="00814F68"/>
    <w:rsid w:val="0081520E"/>
    <w:rsid w:val="00815BB6"/>
    <w:rsid w:val="00816995"/>
    <w:rsid w:val="00816FE6"/>
    <w:rsid w:val="008177ED"/>
    <w:rsid w:val="00817FFA"/>
    <w:rsid w:val="00820471"/>
    <w:rsid w:val="00820964"/>
    <w:rsid w:val="00821367"/>
    <w:rsid w:val="008214EA"/>
    <w:rsid w:val="0082279C"/>
    <w:rsid w:val="0082284A"/>
    <w:rsid w:val="00822D1A"/>
    <w:rsid w:val="00823325"/>
    <w:rsid w:val="0082387B"/>
    <w:rsid w:val="00823D44"/>
    <w:rsid w:val="008241AC"/>
    <w:rsid w:val="008245A9"/>
    <w:rsid w:val="008245C6"/>
    <w:rsid w:val="0082499F"/>
    <w:rsid w:val="00824C51"/>
    <w:rsid w:val="00825011"/>
    <w:rsid w:val="00825F60"/>
    <w:rsid w:val="00826828"/>
    <w:rsid w:val="008268A3"/>
    <w:rsid w:val="00830AFB"/>
    <w:rsid w:val="00831631"/>
    <w:rsid w:val="00831FB7"/>
    <w:rsid w:val="00832324"/>
    <w:rsid w:val="00832436"/>
    <w:rsid w:val="00832636"/>
    <w:rsid w:val="008327CE"/>
    <w:rsid w:val="00832D35"/>
    <w:rsid w:val="00832EF9"/>
    <w:rsid w:val="0083385A"/>
    <w:rsid w:val="0083460B"/>
    <w:rsid w:val="00834B47"/>
    <w:rsid w:val="00834DD8"/>
    <w:rsid w:val="00834F10"/>
    <w:rsid w:val="00834F87"/>
    <w:rsid w:val="00834FE9"/>
    <w:rsid w:val="00835579"/>
    <w:rsid w:val="00836564"/>
    <w:rsid w:val="008367D1"/>
    <w:rsid w:val="00836F14"/>
    <w:rsid w:val="0083740F"/>
    <w:rsid w:val="008376E6"/>
    <w:rsid w:val="008376FD"/>
    <w:rsid w:val="00837A2B"/>
    <w:rsid w:val="00837A2F"/>
    <w:rsid w:val="00837B7E"/>
    <w:rsid w:val="00837C66"/>
    <w:rsid w:val="008408A4"/>
    <w:rsid w:val="00840E7A"/>
    <w:rsid w:val="0084148D"/>
    <w:rsid w:val="008426F0"/>
    <w:rsid w:val="008429FC"/>
    <w:rsid w:val="008430D8"/>
    <w:rsid w:val="008434EF"/>
    <w:rsid w:val="00843909"/>
    <w:rsid w:val="008439C0"/>
    <w:rsid w:val="00843BD5"/>
    <w:rsid w:val="00844389"/>
    <w:rsid w:val="0084479A"/>
    <w:rsid w:val="00844DBE"/>
    <w:rsid w:val="00844EC2"/>
    <w:rsid w:val="0084517B"/>
    <w:rsid w:val="00845B0F"/>
    <w:rsid w:val="00845D2B"/>
    <w:rsid w:val="008460FD"/>
    <w:rsid w:val="008464F2"/>
    <w:rsid w:val="00846C62"/>
    <w:rsid w:val="00846FA3"/>
    <w:rsid w:val="00846FD6"/>
    <w:rsid w:val="008473F6"/>
    <w:rsid w:val="00847786"/>
    <w:rsid w:val="008478C4"/>
    <w:rsid w:val="00847CFA"/>
    <w:rsid w:val="0085045D"/>
    <w:rsid w:val="0085080B"/>
    <w:rsid w:val="00850818"/>
    <w:rsid w:val="00850918"/>
    <w:rsid w:val="00850B16"/>
    <w:rsid w:val="00850B6F"/>
    <w:rsid w:val="0085166C"/>
    <w:rsid w:val="00851997"/>
    <w:rsid w:val="008519E9"/>
    <w:rsid w:val="00851BCD"/>
    <w:rsid w:val="00852059"/>
    <w:rsid w:val="00852C2D"/>
    <w:rsid w:val="00852CD9"/>
    <w:rsid w:val="00852E7B"/>
    <w:rsid w:val="00852FDB"/>
    <w:rsid w:val="00853888"/>
    <w:rsid w:val="00853FF7"/>
    <w:rsid w:val="00854047"/>
    <w:rsid w:val="00854489"/>
    <w:rsid w:val="00854500"/>
    <w:rsid w:val="0085519B"/>
    <w:rsid w:val="008559C9"/>
    <w:rsid w:val="00855ACF"/>
    <w:rsid w:val="00857D08"/>
    <w:rsid w:val="008602D0"/>
    <w:rsid w:val="00860765"/>
    <w:rsid w:val="00860B2E"/>
    <w:rsid w:val="008614B3"/>
    <w:rsid w:val="00861562"/>
    <w:rsid w:val="0086169B"/>
    <w:rsid w:val="008624F3"/>
    <w:rsid w:val="00863001"/>
    <w:rsid w:val="008637B0"/>
    <w:rsid w:val="0086443D"/>
    <w:rsid w:val="008650AD"/>
    <w:rsid w:val="008650F3"/>
    <w:rsid w:val="0086524F"/>
    <w:rsid w:val="00865C6B"/>
    <w:rsid w:val="00865E4A"/>
    <w:rsid w:val="0086625A"/>
    <w:rsid w:val="00866516"/>
    <w:rsid w:val="008703A0"/>
    <w:rsid w:val="00870D9A"/>
    <w:rsid w:val="0087113E"/>
    <w:rsid w:val="0087172E"/>
    <w:rsid w:val="00872676"/>
    <w:rsid w:val="00872A63"/>
    <w:rsid w:val="00873528"/>
    <w:rsid w:val="00873653"/>
    <w:rsid w:val="008737EB"/>
    <w:rsid w:val="00873FFF"/>
    <w:rsid w:val="0087443C"/>
    <w:rsid w:val="008745C3"/>
    <w:rsid w:val="008746DF"/>
    <w:rsid w:val="00874BA0"/>
    <w:rsid w:val="008750D6"/>
    <w:rsid w:val="00875758"/>
    <w:rsid w:val="0087592E"/>
    <w:rsid w:val="008759F7"/>
    <w:rsid w:val="00875B65"/>
    <w:rsid w:val="00876231"/>
    <w:rsid w:val="00877917"/>
    <w:rsid w:val="00877AFA"/>
    <w:rsid w:val="00877BA6"/>
    <w:rsid w:val="00877CAB"/>
    <w:rsid w:val="008800A2"/>
    <w:rsid w:val="008809C7"/>
    <w:rsid w:val="00880D34"/>
    <w:rsid w:val="00880DD7"/>
    <w:rsid w:val="00880E4C"/>
    <w:rsid w:val="008813BF"/>
    <w:rsid w:val="00883369"/>
    <w:rsid w:val="0088347C"/>
    <w:rsid w:val="00883630"/>
    <w:rsid w:val="0088369D"/>
    <w:rsid w:val="008837FC"/>
    <w:rsid w:val="00884382"/>
    <w:rsid w:val="00884A03"/>
    <w:rsid w:val="00884BA2"/>
    <w:rsid w:val="00884BDF"/>
    <w:rsid w:val="00884C72"/>
    <w:rsid w:val="00884ECD"/>
    <w:rsid w:val="00885823"/>
    <w:rsid w:val="0088694E"/>
    <w:rsid w:val="00886FA0"/>
    <w:rsid w:val="00887615"/>
    <w:rsid w:val="00887E2C"/>
    <w:rsid w:val="008902FE"/>
    <w:rsid w:val="0089036A"/>
    <w:rsid w:val="00890C2B"/>
    <w:rsid w:val="00890F3D"/>
    <w:rsid w:val="008910EB"/>
    <w:rsid w:val="008914F6"/>
    <w:rsid w:val="00891DE7"/>
    <w:rsid w:val="008923F8"/>
    <w:rsid w:val="0089285A"/>
    <w:rsid w:val="00892B6A"/>
    <w:rsid w:val="008935B8"/>
    <w:rsid w:val="00893AC3"/>
    <w:rsid w:val="00893BD0"/>
    <w:rsid w:val="008943C3"/>
    <w:rsid w:val="00894D54"/>
    <w:rsid w:val="0089559B"/>
    <w:rsid w:val="008965F3"/>
    <w:rsid w:val="008969B6"/>
    <w:rsid w:val="00897515"/>
    <w:rsid w:val="008977BE"/>
    <w:rsid w:val="008A0330"/>
    <w:rsid w:val="008A11D5"/>
    <w:rsid w:val="008A181D"/>
    <w:rsid w:val="008A1B76"/>
    <w:rsid w:val="008A2237"/>
    <w:rsid w:val="008A26B3"/>
    <w:rsid w:val="008A28A2"/>
    <w:rsid w:val="008A2BA4"/>
    <w:rsid w:val="008A2BF2"/>
    <w:rsid w:val="008A3222"/>
    <w:rsid w:val="008A331E"/>
    <w:rsid w:val="008A3610"/>
    <w:rsid w:val="008A3E0E"/>
    <w:rsid w:val="008A3E10"/>
    <w:rsid w:val="008A4A7C"/>
    <w:rsid w:val="008A4DE2"/>
    <w:rsid w:val="008A4FD8"/>
    <w:rsid w:val="008A528F"/>
    <w:rsid w:val="008A5551"/>
    <w:rsid w:val="008A5721"/>
    <w:rsid w:val="008A576E"/>
    <w:rsid w:val="008A5E46"/>
    <w:rsid w:val="008A640E"/>
    <w:rsid w:val="008A6A25"/>
    <w:rsid w:val="008A6B32"/>
    <w:rsid w:val="008A7069"/>
    <w:rsid w:val="008A7510"/>
    <w:rsid w:val="008A7642"/>
    <w:rsid w:val="008A7F65"/>
    <w:rsid w:val="008B16E2"/>
    <w:rsid w:val="008B17FF"/>
    <w:rsid w:val="008B1921"/>
    <w:rsid w:val="008B1A43"/>
    <w:rsid w:val="008B1E23"/>
    <w:rsid w:val="008B1F21"/>
    <w:rsid w:val="008B24C5"/>
    <w:rsid w:val="008B262C"/>
    <w:rsid w:val="008B291B"/>
    <w:rsid w:val="008B2946"/>
    <w:rsid w:val="008B32EB"/>
    <w:rsid w:val="008B35A0"/>
    <w:rsid w:val="008B364B"/>
    <w:rsid w:val="008B3C6E"/>
    <w:rsid w:val="008B41D1"/>
    <w:rsid w:val="008B4B18"/>
    <w:rsid w:val="008B4C0F"/>
    <w:rsid w:val="008B52B2"/>
    <w:rsid w:val="008B5DD3"/>
    <w:rsid w:val="008B63A4"/>
    <w:rsid w:val="008B687C"/>
    <w:rsid w:val="008B68F4"/>
    <w:rsid w:val="008B6F5E"/>
    <w:rsid w:val="008B7546"/>
    <w:rsid w:val="008B781D"/>
    <w:rsid w:val="008C0673"/>
    <w:rsid w:val="008C08B7"/>
    <w:rsid w:val="008C0FD0"/>
    <w:rsid w:val="008C14A9"/>
    <w:rsid w:val="008C177E"/>
    <w:rsid w:val="008C1AAB"/>
    <w:rsid w:val="008C2616"/>
    <w:rsid w:val="008C2E5A"/>
    <w:rsid w:val="008C2F9C"/>
    <w:rsid w:val="008C3530"/>
    <w:rsid w:val="008C35F6"/>
    <w:rsid w:val="008C3939"/>
    <w:rsid w:val="008C3ACD"/>
    <w:rsid w:val="008C3F52"/>
    <w:rsid w:val="008C40D6"/>
    <w:rsid w:val="008C4160"/>
    <w:rsid w:val="008C442F"/>
    <w:rsid w:val="008C4D4E"/>
    <w:rsid w:val="008C528F"/>
    <w:rsid w:val="008C58F7"/>
    <w:rsid w:val="008C5B67"/>
    <w:rsid w:val="008C6631"/>
    <w:rsid w:val="008C6D99"/>
    <w:rsid w:val="008C7558"/>
    <w:rsid w:val="008C794C"/>
    <w:rsid w:val="008C7D84"/>
    <w:rsid w:val="008D045B"/>
    <w:rsid w:val="008D0B23"/>
    <w:rsid w:val="008D0CB8"/>
    <w:rsid w:val="008D0DD1"/>
    <w:rsid w:val="008D0FA7"/>
    <w:rsid w:val="008D13F4"/>
    <w:rsid w:val="008D1B2C"/>
    <w:rsid w:val="008D1E2B"/>
    <w:rsid w:val="008D20EC"/>
    <w:rsid w:val="008D249B"/>
    <w:rsid w:val="008D281B"/>
    <w:rsid w:val="008D2EBC"/>
    <w:rsid w:val="008D34E1"/>
    <w:rsid w:val="008D385E"/>
    <w:rsid w:val="008D39A3"/>
    <w:rsid w:val="008D3EC5"/>
    <w:rsid w:val="008D3F0A"/>
    <w:rsid w:val="008D48DB"/>
    <w:rsid w:val="008D4EE2"/>
    <w:rsid w:val="008D4FB7"/>
    <w:rsid w:val="008D568A"/>
    <w:rsid w:val="008D5EBA"/>
    <w:rsid w:val="008D625D"/>
    <w:rsid w:val="008D65C6"/>
    <w:rsid w:val="008D6B23"/>
    <w:rsid w:val="008D6C88"/>
    <w:rsid w:val="008D6CCA"/>
    <w:rsid w:val="008D789A"/>
    <w:rsid w:val="008E03CE"/>
    <w:rsid w:val="008E0875"/>
    <w:rsid w:val="008E08DD"/>
    <w:rsid w:val="008E1F25"/>
    <w:rsid w:val="008E214D"/>
    <w:rsid w:val="008E2465"/>
    <w:rsid w:val="008E2E39"/>
    <w:rsid w:val="008E2E61"/>
    <w:rsid w:val="008E356D"/>
    <w:rsid w:val="008E3F08"/>
    <w:rsid w:val="008E3F7C"/>
    <w:rsid w:val="008E40E6"/>
    <w:rsid w:val="008E4AA8"/>
    <w:rsid w:val="008E4B86"/>
    <w:rsid w:val="008E4C17"/>
    <w:rsid w:val="008E4CE1"/>
    <w:rsid w:val="008E566A"/>
    <w:rsid w:val="008E5A3A"/>
    <w:rsid w:val="008E65CC"/>
    <w:rsid w:val="008E65E8"/>
    <w:rsid w:val="008E6624"/>
    <w:rsid w:val="008E6EB7"/>
    <w:rsid w:val="008E75D4"/>
    <w:rsid w:val="008E7F44"/>
    <w:rsid w:val="008F00BE"/>
    <w:rsid w:val="008F04E9"/>
    <w:rsid w:val="008F0852"/>
    <w:rsid w:val="008F0EFC"/>
    <w:rsid w:val="008F17C7"/>
    <w:rsid w:val="008F19A2"/>
    <w:rsid w:val="008F1EF9"/>
    <w:rsid w:val="008F2542"/>
    <w:rsid w:val="008F2643"/>
    <w:rsid w:val="008F2B05"/>
    <w:rsid w:val="008F2C42"/>
    <w:rsid w:val="008F31D5"/>
    <w:rsid w:val="008F350B"/>
    <w:rsid w:val="008F3691"/>
    <w:rsid w:val="008F3817"/>
    <w:rsid w:val="008F4459"/>
    <w:rsid w:val="008F4911"/>
    <w:rsid w:val="008F49CF"/>
    <w:rsid w:val="008F4D87"/>
    <w:rsid w:val="008F53A9"/>
    <w:rsid w:val="008F5B2F"/>
    <w:rsid w:val="008F6048"/>
    <w:rsid w:val="008F690A"/>
    <w:rsid w:val="008F6EE7"/>
    <w:rsid w:val="008F7051"/>
    <w:rsid w:val="008F70BA"/>
    <w:rsid w:val="008F7366"/>
    <w:rsid w:val="008F7841"/>
    <w:rsid w:val="00900190"/>
    <w:rsid w:val="009004FC"/>
    <w:rsid w:val="0090095D"/>
    <w:rsid w:val="009009D8"/>
    <w:rsid w:val="00900D14"/>
    <w:rsid w:val="00901068"/>
    <w:rsid w:val="00901138"/>
    <w:rsid w:val="0090195D"/>
    <w:rsid w:val="009028BE"/>
    <w:rsid w:val="00902F32"/>
    <w:rsid w:val="00902FD0"/>
    <w:rsid w:val="009030A0"/>
    <w:rsid w:val="00903A40"/>
    <w:rsid w:val="00904C3B"/>
    <w:rsid w:val="009053D3"/>
    <w:rsid w:val="00905D04"/>
    <w:rsid w:val="00905D95"/>
    <w:rsid w:val="00905F0F"/>
    <w:rsid w:val="00905FC0"/>
    <w:rsid w:val="00906610"/>
    <w:rsid w:val="009076C4"/>
    <w:rsid w:val="009077F2"/>
    <w:rsid w:val="009104A2"/>
    <w:rsid w:val="009108E3"/>
    <w:rsid w:val="009108FD"/>
    <w:rsid w:val="009127D6"/>
    <w:rsid w:val="0091280F"/>
    <w:rsid w:val="0091296B"/>
    <w:rsid w:val="00912B3F"/>
    <w:rsid w:val="00912EDA"/>
    <w:rsid w:val="009132DF"/>
    <w:rsid w:val="009134DA"/>
    <w:rsid w:val="0091357B"/>
    <w:rsid w:val="0091380E"/>
    <w:rsid w:val="0091400E"/>
    <w:rsid w:val="009141D6"/>
    <w:rsid w:val="00914206"/>
    <w:rsid w:val="009144C3"/>
    <w:rsid w:val="00915065"/>
    <w:rsid w:val="009164EC"/>
    <w:rsid w:val="00916778"/>
    <w:rsid w:val="00916DD0"/>
    <w:rsid w:val="00917BA2"/>
    <w:rsid w:val="009202FF"/>
    <w:rsid w:val="009204AF"/>
    <w:rsid w:val="00920623"/>
    <w:rsid w:val="00920775"/>
    <w:rsid w:val="00921237"/>
    <w:rsid w:val="00921672"/>
    <w:rsid w:val="00921905"/>
    <w:rsid w:val="00921B38"/>
    <w:rsid w:val="009223B5"/>
    <w:rsid w:val="0092292F"/>
    <w:rsid w:val="00922B7B"/>
    <w:rsid w:val="0092360E"/>
    <w:rsid w:val="0092381E"/>
    <w:rsid w:val="00923A58"/>
    <w:rsid w:val="00923C9B"/>
    <w:rsid w:val="00923E5A"/>
    <w:rsid w:val="0092422F"/>
    <w:rsid w:val="00924A30"/>
    <w:rsid w:val="00924B3A"/>
    <w:rsid w:val="00925499"/>
    <w:rsid w:val="009255D9"/>
    <w:rsid w:val="0092609F"/>
    <w:rsid w:val="00926929"/>
    <w:rsid w:val="00926B8E"/>
    <w:rsid w:val="0092754F"/>
    <w:rsid w:val="009276FE"/>
    <w:rsid w:val="00927837"/>
    <w:rsid w:val="009301A7"/>
    <w:rsid w:val="009301BB"/>
    <w:rsid w:val="00930451"/>
    <w:rsid w:val="0093073A"/>
    <w:rsid w:val="00930D63"/>
    <w:rsid w:val="0093111F"/>
    <w:rsid w:val="00931751"/>
    <w:rsid w:val="009319FF"/>
    <w:rsid w:val="00931A2A"/>
    <w:rsid w:val="00931E32"/>
    <w:rsid w:val="00932003"/>
    <w:rsid w:val="0093237E"/>
    <w:rsid w:val="00932610"/>
    <w:rsid w:val="00932BF3"/>
    <w:rsid w:val="009335D7"/>
    <w:rsid w:val="0093386E"/>
    <w:rsid w:val="00933A0C"/>
    <w:rsid w:val="00934346"/>
    <w:rsid w:val="009344F7"/>
    <w:rsid w:val="00934A0A"/>
    <w:rsid w:val="00935689"/>
    <w:rsid w:val="0093599D"/>
    <w:rsid w:val="00935F0C"/>
    <w:rsid w:val="009376B9"/>
    <w:rsid w:val="00937868"/>
    <w:rsid w:val="009379E6"/>
    <w:rsid w:val="009403B5"/>
    <w:rsid w:val="00940C81"/>
    <w:rsid w:val="00940E14"/>
    <w:rsid w:val="00941C54"/>
    <w:rsid w:val="009428B3"/>
    <w:rsid w:val="009429DC"/>
    <w:rsid w:val="00942D65"/>
    <w:rsid w:val="00942D7F"/>
    <w:rsid w:val="00943C4F"/>
    <w:rsid w:val="00943D00"/>
    <w:rsid w:val="00943D4A"/>
    <w:rsid w:val="00943EC9"/>
    <w:rsid w:val="009441FA"/>
    <w:rsid w:val="00944765"/>
    <w:rsid w:val="0094483F"/>
    <w:rsid w:val="00944D94"/>
    <w:rsid w:val="009450C1"/>
    <w:rsid w:val="0094568B"/>
    <w:rsid w:val="00945DCC"/>
    <w:rsid w:val="00945FC2"/>
    <w:rsid w:val="00946BA3"/>
    <w:rsid w:val="00946CAF"/>
    <w:rsid w:val="00947412"/>
    <w:rsid w:val="009476DF"/>
    <w:rsid w:val="00950F1F"/>
    <w:rsid w:val="00951084"/>
    <w:rsid w:val="009529A3"/>
    <w:rsid w:val="00952C84"/>
    <w:rsid w:val="00953B41"/>
    <w:rsid w:val="00953D36"/>
    <w:rsid w:val="00955073"/>
    <w:rsid w:val="009558C0"/>
    <w:rsid w:val="009558EA"/>
    <w:rsid w:val="00955B61"/>
    <w:rsid w:val="0095711A"/>
    <w:rsid w:val="0095769B"/>
    <w:rsid w:val="00957887"/>
    <w:rsid w:val="009579C0"/>
    <w:rsid w:val="00957F52"/>
    <w:rsid w:val="00960BEB"/>
    <w:rsid w:val="00961BD0"/>
    <w:rsid w:val="00961E6D"/>
    <w:rsid w:val="00962B3D"/>
    <w:rsid w:val="009631CC"/>
    <w:rsid w:val="009634BD"/>
    <w:rsid w:val="00963C90"/>
    <w:rsid w:val="009641C6"/>
    <w:rsid w:val="00964DE3"/>
    <w:rsid w:val="00964F5F"/>
    <w:rsid w:val="0096530C"/>
    <w:rsid w:val="0096591E"/>
    <w:rsid w:val="00965BF9"/>
    <w:rsid w:val="00965F66"/>
    <w:rsid w:val="0096617B"/>
    <w:rsid w:val="009661AD"/>
    <w:rsid w:val="009663B6"/>
    <w:rsid w:val="00966844"/>
    <w:rsid w:val="00966AF7"/>
    <w:rsid w:val="0096719E"/>
    <w:rsid w:val="00970457"/>
    <w:rsid w:val="009704F5"/>
    <w:rsid w:val="00971902"/>
    <w:rsid w:val="00971DF0"/>
    <w:rsid w:val="0097204E"/>
    <w:rsid w:val="009721C8"/>
    <w:rsid w:val="009723B6"/>
    <w:rsid w:val="00972B07"/>
    <w:rsid w:val="00972B4B"/>
    <w:rsid w:val="00972CB1"/>
    <w:rsid w:val="0097408E"/>
    <w:rsid w:val="009748F5"/>
    <w:rsid w:val="00974BC9"/>
    <w:rsid w:val="009753D2"/>
    <w:rsid w:val="0097591F"/>
    <w:rsid w:val="0097658A"/>
    <w:rsid w:val="009769E3"/>
    <w:rsid w:val="0097703F"/>
    <w:rsid w:val="009770C5"/>
    <w:rsid w:val="00977153"/>
    <w:rsid w:val="0097719C"/>
    <w:rsid w:val="00977A71"/>
    <w:rsid w:val="00977FE7"/>
    <w:rsid w:val="00980286"/>
    <w:rsid w:val="009805CF"/>
    <w:rsid w:val="009835C2"/>
    <w:rsid w:val="00983BC0"/>
    <w:rsid w:val="00983D5A"/>
    <w:rsid w:val="00984E53"/>
    <w:rsid w:val="00985AD2"/>
    <w:rsid w:val="00985B43"/>
    <w:rsid w:val="00985D71"/>
    <w:rsid w:val="00985E1A"/>
    <w:rsid w:val="00985E63"/>
    <w:rsid w:val="0098639D"/>
    <w:rsid w:val="00986532"/>
    <w:rsid w:val="00986662"/>
    <w:rsid w:val="009900C3"/>
    <w:rsid w:val="0099014D"/>
    <w:rsid w:val="0099055F"/>
    <w:rsid w:val="00991317"/>
    <w:rsid w:val="00991382"/>
    <w:rsid w:val="0099142F"/>
    <w:rsid w:val="00991BDB"/>
    <w:rsid w:val="009921CA"/>
    <w:rsid w:val="009928CE"/>
    <w:rsid w:val="009941B3"/>
    <w:rsid w:val="0099439A"/>
    <w:rsid w:val="00994CFF"/>
    <w:rsid w:val="00995177"/>
    <w:rsid w:val="00995B90"/>
    <w:rsid w:val="009961A8"/>
    <w:rsid w:val="0099628C"/>
    <w:rsid w:val="00996629"/>
    <w:rsid w:val="00996FEC"/>
    <w:rsid w:val="0099716D"/>
    <w:rsid w:val="00997266"/>
    <w:rsid w:val="00997356"/>
    <w:rsid w:val="00997929"/>
    <w:rsid w:val="00997974"/>
    <w:rsid w:val="00997A30"/>
    <w:rsid w:val="00997AE8"/>
    <w:rsid w:val="009A02EA"/>
    <w:rsid w:val="009A05BC"/>
    <w:rsid w:val="009A0811"/>
    <w:rsid w:val="009A0B9E"/>
    <w:rsid w:val="009A11A1"/>
    <w:rsid w:val="009A1E25"/>
    <w:rsid w:val="009A2A81"/>
    <w:rsid w:val="009A2E8D"/>
    <w:rsid w:val="009A30BD"/>
    <w:rsid w:val="009A342E"/>
    <w:rsid w:val="009A3470"/>
    <w:rsid w:val="009A39C5"/>
    <w:rsid w:val="009A40D7"/>
    <w:rsid w:val="009A42E7"/>
    <w:rsid w:val="009A43E6"/>
    <w:rsid w:val="009A4CD6"/>
    <w:rsid w:val="009A4F26"/>
    <w:rsid w:val="009A4FAF"/>
    <w:rsid w:val="009A52D1"/>
    <w:rsid w:val="009A5976"/>
    <w:rsid w:val="009A5B92"/>
    <w:rsid w:val="009A5F9C"/>
    <w:rsid w:val="009A654F"/>
    <w:rsid w:val="009A7613"/>
    <w:rsid w:val="009A7785"/>
    <w:rsid w:val="009A785E"/>
    <w:rsid w:val="009A78C4"/>
    <w:rsid w:val="009A7A19"/>
    <w:rsid w:val="009A7AD2"/>
    <w:rsid w:val="009A7E5C"/>
    <w:rsid w:val="009B013B"/>
    <w:rsid w:val="009B042F"/>
    <w:rsid w:val="009B064F"/>
    <w:rsid w:val="009B071F"/>
    <w:rsid w:val="009B09FA"/>
    <w:rsid w:val="009B0C61"/>
    <w:rsid w:val="009B0E62"/>
    <w:rsid w:val="009B13DF"/>
    <w:rsid w:val="009B2077"/>
    <w:rsid w:val="009B20A8"/>
    <w:rsid w:val="009B274A"/>
    <w:rsid w:val="009B28C8"/>
    <w:rsid w:val="009B31F4"/>
    <w:rsid w:val="009B3370"/>
    <w:rsid w:val="009B36DB"/>
    <w:rsid w:val="009B3E10"/>
    <w:rsid w:val="009B3E8F"/>
    <w:rsid w:val="009B4A53"/>
    <w:rsid w:val="009B4D5E"/>
    <w:rsid w:val="009B4F73"/>
    <w:rsid w:val="009B6038"/>
    <w:rsid w:val="009B72BE"/>
    <w:rsid w:val="009B74B8"/>
    <w:rsid w:val="009B7506"/>
    <w:rsid w:val="009C007D"/>
    <w:rsid w:val="009C0156"/>
    <w:rsid w:val="009C04FA"/>
    <w:rsid w:val="009C0886"/>
    <w:rsid w:val="009C0D22"/>
    <w:rsid w:val="009C11B4"/>
    <w:rsid w:val="009C129F"/>
    <w:rsid w:val="009C1723"/>
    <w:rsid w:val="009C178F"/>
    <w:rsid w:val="009C18AE"/>
    <w:rsid w:val="009C1913"/>
    <w:rsid w:val="009C2610"/>
    <w:rsid w:val="009C2A1E"/>
    <w:rsid w:val="009C359E"/>
    <w:rsid w:val="009C35F2"/>
    <w:rsid w:val="009C4C5B"/>
    <w:rsid w:val="009C513E"/>
    <w:rsid w:val="009C543B"/>
    <w:rsid w:val="009C5EEF"/>
    <w:rsid w:val="009C6533"/>
    <w:rsid w:val="009C6A4D"/>
    <w:rsid w:val="009C6BF4"/>
    <w:rsid w:val="009C7A96"/>
    <w:rsid w:val="009C7C49"/>
    <w:rsid w:val="009D0509"/>
    <w:rsid w:val="009D0A75"/>
    <w:rsid w:val="009D0B31"/>
    <w:rsid w:val="009D1396"/>
    <w:rsid w:val="009D17B9"/>
    <w:rsid w:val="009D2373"/>
    <w:rsid w:val="009D2549"/>
    <w:rsid w:val="009D2674"/>
    <w:rsid w:val="009D26FD"/>
    <w:rsid w:val="009D27F6"/>
    <w:rsid w:val="009D2AB1"/>
    <w:rsid w:val="009D2C32"/>
    <w:rsid w:val="009D3AB7"/>
    <w:rsid w:val="009D4883"/>
    <w:rsid w:val="009D574B"/>
    <w:rsid w:val="009D698D"/>
    <w:rsid w:val="009D6CDD"/>
    <w:rsid w:val="009D6DAF"/>
    <w:rsid w:val="009D7AE8"/>
    <w:rsid w:val="009D7B6B"/>
    <w:rsid w:val="009E01BC"/>
    <w:rsid w:val="009E05F0"/>
    <w:rsid w:val="009E064A"/>
    <w:rsid w:val="009E0666"/>
    <w:rsid w:val="009E081E"/>
    <w:rsid w:val="009E1972"/>
    <w:rsid w:val="009E1A4B"/>
    <w:rsid w:val="009E1AF0"/>
    <w:rsid w:val="009E1DC8"/>
    <w:rsid w:val="009E21A7"/>
    <w:rsid w:val="009E22A5"/>
    <w:rsid w:val="009E2338"/>
    <w:rsid w:val="009E2767"/>
    <w:rsid w:val="009E2A12"/>
    <w:rsid w:val="009E30B3"/>
    <w:rsid w:val="009E30E3"/>
    <w:rsid w:val="009E33BE"/>
    <w:rsid w:val="009E346A"/>
    <w:rsid w:val="009E34CF"/>
    <w:rsid w:val="009E35F2"/>
    <w:rsid w:val="009E3D75"/>
    <w:rsid w:val="009E3E3B"/>
    <w:rsid w:val="009E408C"/>
    <w:rsid w:val="009E5734"/>
    <w:rsid w:val="009E5834"/>
    <w:rsid w:val="009E59A8"/>
    <w:rsid w:val="009E5C54"/>
    <w:rsid w:val="009E5E3B"/>
    <w:rsid w:val="009E64FE"/>
    <w:rsid w:val="009E720D"/>
    <w:rsid w:val="009E7C14"/>
    <w:rsid w:val="009F1EFF"/>
    <w:rsid w:val="009F2402"/>
    <w:rsid w:val="009F2EF3"/>
    <w:rsid w:val="009F3001"/>
    <w:rsid w:val="009F31B8"/>
    <w:rsid w:val="009F37D9"/>
    <w:rsid w:val="009F3A87"/>
    <w:rsid w:val="009F3C46"/>
    <w:rsid w:val="009F42AD"/>
    <w:rsid w:val="009F43EF"/>
    <w:rsid w:val="009F44B2"/>
    <w:rsid w:val="009F4B13"/>
    <w:rsid w:val="009F4C4A"/>
    <w:rsid w:val="009F4DB7"/>
    <w:rsid w:val="009F4F5A"/>
    <w:rsid w:val="009F50C6"/>
    <w:rsid w:val="009F512C"/>
    <w:rsid w:val="009F53CB"/>
    <w:rsid w:val="009F541C"/>
    <w:rsid w:val="009F69F4"/>
    <w:rsid w:val="009F6F9B"/>
    <w:rsid w:val="009F71C2"/>
    <w:rsid w:val="009F757E"/>
    <w:rsid w:val="009F768D"/>
    <w:rsid w:val="00A000A4"/>
    <w:rsid w:val="00A00B4F"/>
    <w:rsid w:val="00A00DAE"/>
    <w:rsid w:val="00A016F5"/>
    <w:rsid w:val="00A01871"/>
    <w:rsid w:val="00A01BEB"/>
    <w:rsid w:val="00A01E32"/>
    <w:rsid w:val="00A02D07"/>
    <w:rsid w:val="00A02F98"/>
    <w:rsid w:val="00A035FB"/>
    <w:rsid w:val="00A03659"/>
    <w:rsid w:val="00A047F5"/>
    <w:rsid w:val="00A0565E"/>
    <w:rsid w:val="00A05831"/>
    <w:rsid w:val="00A05854"/>
    <w:rsid w:val="00A05EDD"/>
    <w:rsid w:val="00A06408"/>
    <w:rsid w:val="00A065FE"/>
    <w:rsid w:val="00A066D3"/>
    <w:rsid w:val="00A06953"/>
    <w:rsid w:val="00A06985"/>
    <w:rsid w:val="00A06A32"/>
    <w:rsid w:val="00A073B5"/>
    <w:rsid w:val="00A073B7"/>
    <w:rsid w:val="00A07D8A"/>
    <w:rsid w:val="00A07F6B"/>
    <w:rsid w:val="00A102F8"/>
    <w:rsid w:val="00A103ED"/>
    <w:rsid w:val="00A10502"/>
    <w:rsid w:val="00A108F8"/>
    <w:rsid w:val="00A10F87"/>
    <w:rsid w:val="00A1104C"/>
    <w:rsid w:val="00A11A35"/>
    <w:rsid w:val="00A11AC1"/>
    <w:rsid w:val="00A12B7D"/>
    <w:rsid w:val="00A12CC4"/>
    <w:rsid w:val="00A132B6"/>
    <w:rsid w:val="00A133D7"/>
    <w:rsid w:val="00A13433"/>
    <w:rsid w:val="00A13610"/>
    <w:rsid w:val="00A1362D"/>
    <w:rsid w:val="00A1367D"/>
    <w:rsid w:val="00A13790"/>
    <w:rsid w:val="00A13879"/>
    <w:rsid w:val="00A13C60"/>
    <w:rsid w:val="00A13CEF"/>
    <w:rsid w:val="00A13FF3"/>
    <w:rsid w:val="00A140EA"/>
    <w:rsid w:val="00A14808"/>
    <w:rsid w:val="00A14AB1"/>
    <w:rsid w:val="00A15014"/>
    <w:rsid w:val="00A15888"/>
    <w:rsid w:val="00A1591C"/>
    <w:rsid w:val="00A1602D"/>
    <w:rsid w:val="00A16A9F"/>
    <w:rsid w:val="00A17659"/>
    <w:rsid w:val="00A17836"/>
    <w:rsid w:val="00A17A79"/>
    <w:rsid w:val="00A2079D"/>
    <w:rsid w:val="00A212C8"/>
    <w:rsid w:val="00A21973"/>
    <w:rsid w:val="00A2213C"/>
    <w:rsid w:val="00A226A6"/>
    <w:rsid w:val="00A2306C"/>
    <w:rsid w:val="00A231CA"/>
    <w:rsid w:val="00A2322C"/>
    <w:rsid w:val="00A23338"/>
    <w:rsid w:val="00A23794"/>
    <w:rsid w:val="00A23ACA"/>
    <w:rsid w:val="00A24B78"/>
    <w:rsid w:val="00A25047"/>
    <w:rsid w:val="00A25854"/>
    <w:rsid w:val="00A25C2C"/>
    <w:rsid w:val="00A260EE"/>
    <w:rsid w:val="00A265E0"/>
    <w:rsid w:val="00A26D93"/>
    <w:rsid w:val="00A26DBF"/>
    <w:rsid w:val="00A2716B"/>
    <w:rsid w:val="00A30025"/>
    <w:rsid w:val="00A303D9"/>
    <w:rsid w:val="00A30714"/>
    <w:rsid w:val="00A309FD"/>
    <w:rsid w:val="00A315A2"/>
    <w:rsid w:val="00A3240F"/>
    <w:rsid w:val="00A32DDB"/>
    <w:rsid w:val="00A32FE9"/>
    <w:rsid w:val="00A3344F"/>
    <w:rsid w:val="00A334E6"/>
    <w:rsid w:val="00A335FC"/>
    <w:rsid w:val="00A3494F"/>
    <w:rsid w:val="00A34E04"/>
    <w:rsid w:val="00A356BE"/>
    <w:rsid w:val="00A35738"/>
    <w:rsid w:val="00A35800"/>
    <w:rsid w:val="00A358CF"/>
    <w:rsid w:val="00A35994"/>
    <w:rsid w:val="00A35B8B"/>
    <w:rsid w:val="00A35FE1"/>
    <w:rsid w:val="00A366F7"/>
    <w:rsid w:val="00A367DB"/>
    <w:rsid w:val="00A371F3"/>
    <w:rsid w:val="00A376C6"/>
    <w:rsid w:val="00A377F7"/>
    <w:rsid w:val="00A37F2A"/>
    <w:rsid w:val="00A404C9"/>
    <w:rsid w:val="00A4146E"/>
    <w:rsid w:val="00A41D87"/>
    <w:rsid w:val="00A428B4"/>
    <w:rsid w:val="00A42A8B"/>
    <w:rsid w:val="00A438F8"/>
    <w:rsid w:val="00A443BB"/>
    <w:rsid w:val="00A44F4C"/>
    <w:rsid w:val="00A45510"/>
    <w:rsid w:val="00A45E95"/>
    <w:rsid w:val="00A46047"/>
    <w:rsid w:val="00A464C9"/>
    <w:rsid w:val="00A46D29"/>
    <w:rsid w:val="00A46E07"/>
    <w:rsid w:val="00A478E1"/>
    <w:rsid w:val="00A47E45"/>
    <w:rsid w:val="00A50DDA"/>
    <w:rsid w:val="00A51F9B"/>
    <w:rsid w:val="00A529C0"/>
    <w:rsid w:val="00A52F70"/>
    <w:rsid w:val="00A53580"/>
    <w:rsid w:val="00A53789"/>
    <w:rsid w:val="00A53E07"/>
    <w:rsid w:val="00A541A0"/>
    <w:rsid w:val="00A54521"/>
    <w:rsid w:val="00A55113"/>
    <w:rsid w:val="00A55685"/>
    <w:rsid w:val="00A5583B"/>
    <w:rsid w:val="00A562F7"/>
    <w:rsid w:val="00A563AB"/>
    <w:rsid w:val="00A563D3"/>
    <w:rsid w:val="00A56AFE"/>
    <w:rsid w:val="00A57399"/>
    <w:rsid w:val="00A57AD0"/>
    <w:rsid w:val="00A57D12"/>
    <w:rsid w:val="00A6042F"/>
    <w:rsid w:val="00A6071F"/>
    <w:rsid w:val="00A61AC3"/>
    <w:rsid w:val="00A640FB"/>
    <w:rsid w:val="00A64A62"/>
    <w:rsid w:val="00A64F51"/>
    <w:rsid w:val="00A65870"/>
    <w:rsid w:val="00A663AA"/>
    <w:rsid w:val="00A669D7"/>
    <w:rsid w:val="00A6742D"/>
    <w:rsid w:val="00A67BE5"/>
    <w:rsid w:val="00A67DD3"/>
    <w:rsid w:val="00A7020F"/>
    <w:rsid w:val="00A70803"/>
    <w:rsid w:val="00A70CAC"/>
    <w:rsid w:val="00A71AA5"/>
    <w:rsid w:val="00A71CA2"/>
    <w:rsid w:val="00A72054"/>
    <w:rsid w:val="00A722E5"/>
    <w:rsid w:val="00A72306"/>
    <w:rsid w:val="00A723B1"/>
    <w:rsid w:val="00A7253F"/>
    <w:rsid w:val="00A7427E"/>
    <w:rsid w:val="00A74615"/>
    <w:rsid w:val="00A74705"/>
    <w:rsid w:val="00A74798"/>
    <w:rsid w:val="00A75935"/>
    <w:rsid w:val="00A76268"/>
    <w:rsid w:val="00A76562"/>
    <w:rsid w:val="00A767C8"/>
    <w:rsid w:val="00A76823"/>
    <w:rsid w:val="00A77094"/>
    <w:rsid w:val="00A772CD"/>
    <w:rsid w:val="00A7774F"/>
    <w:rsid w:val="00A77C14"/>
    <w:rsid w:val="00A77E8E"/>
    <w:rsid w:val="00A80008"/>
    <w:rsid w:val="00A801CA"/>
    <w:rsid w:val="00A80568"/>
    <w:rsid w:val="00A8137E"/>
    <w:rsid w:val="00A8158B"/>
    <w:rsid w:val="00A8198A"/>
    <w:rsid w:val="00A81AD2"/>
    <w:rsid w:val="00A81B26"/>
    <w:rsid w:val="00A8224B"/>
    <w:rsid w:val="00A82435"/>
    <w:rsid w:val="00A8249F"/>
    <w:rsid w:val="00A82D84"/>
    <w:rsid w:val="00A83231"/>
    <w:rsid w:val="00A83A85"/>
    <w:rsid w:val="00A84478"/>
    <w:rsid w:val="00A84514"/>
    <w:rsid w:val="00A84868"/>
    <w:rsid w:val="00A84CAD"/>
    <w:rsid w:val="00A85C08"/>
    <w:rsid w:val="00A85F04"/>
    <w:rsid w:val="00A861F6"/>
    <w:rsid w:val="00A863B9"/>
    <w:rsid w:val="00A86DFB"/>
    <w:rsid w:val="00A877E9"/>
    <w:rsid w:val="00A87CAF"/>
    <w:rsid w:val="00A901DE"/>
    <w:rsid w:val="00A90345"/>
    <w:rsid w:val="00A906AD"/>
    <w:rsid w:val="00A90BE8"/>
    <w:rsid w:val="00A90E50"/>
    <w:rsid w:val="00A90FBA"/>
    <w:rsid w:val="00A911A0"/>
    <w:rsid w:val="00A9154D"/>
    <w:rsid w:val="00A92C47"/>
    <w:rsid w:val="00A93DFA"/>
    <w:rsid w:val="00A945D5"/>
    <w:rsid w:val="00A94D41"/>
    <w:rsid w:val="00A959AB"/>
    <w:rsid w:val="00A95CB6"/>
    <w:rsid w:val="00A963E1"/>
    <w:rsid w:val="00A96D65"/>
    <w:rsid w:val="00A96E43"/>
    <w:rsid w:val="00A96F0E"/>
    <w:rsid w:val="00A97866"/>
    <w:rsid w:val="00A9796C"/>
    <w:rsid w:val="00AA049B"/>
    <w:rsid w:val="00AA100A"/>
    <w:rsid w:val="00AA1552"/>
    <w:rsid w:val="00AA16DA"/>
    <w:rsid w:val="00AA193C"/>
    <w:rsid w:val="00AA245F"/>
    <w:rsid w:val="00AA2D98"/>
    <w:rsid w:val="00AA3DE9"/>
    <w:rsid w:val="00AA3ECA"/>
    <w:rsid w:val="00AA4265"/>
    <w:rsid w:val="00AA476E"/>
    <w:rsid w:val="00AA485A"/>
    <w:rsid w:val="00AA4A4A"/>
    <w:rsid w:val="00AA530C"/>
    <w:rsid w:val="00AA5363"/>
    <w:rsid w:val="00AA58C3"/>
    <w:rsid w:val="00AA60BD"/>
    <w:rsid w:val="00AA614B"/>
    <w:rsid w:val="00AA62F1"/>
    <w:rsid w:val="00AA6B6B"/>
    <w:rsid w:val="00AA6EDD"/>
    <w:rsid w:val="00AA6FC0"/>
    <w:rsid w:val="00AA7452"/>
    <w:rsid w:val="00AA7602"/>
    <w:rsid w:val="00AB076A"/>
    <w:rsid w:val="00AB084E"/>
    <w:rsid w:val="00AB132D"/>
    <w:rsid w:val="00AB14FC"/>
    <w:rsid w:val="00AB1BFD"/>
    <w:rsid w:val="00AB1C81"/>
    <w:rsid w:val="00AB2C07"/>
    <w:rsid w:val="00AB3326"/>
    <w:rsid w:val="00AB3733"/>
    <w:rsid w:val="00AB375D"/>
    <w:rsid w:val="00AB38C4"/>
    <w:rsid w:val="00AB4153"/>
    <w:rsid w:val="00AB451E"/>
    <w:rsid w:val="00AB4561"/>
    <w:rsid w:val="00AB531A"/>
    <w:rsid w:val="00AB567D"/>
    <w:rsid w:val="00AB57C4"/>
    <w:rsid w:val="00AB5B85"/>
    <w:rsid w:val="00AB62AB"/>
    <w:rsid w:val="00AB6365"/>
    <w:rsid w:val="00AB693F"/>
    <w:rsid w:val="00AB70E6"/>
    <w:rsid w:val="00AB74BD"/>
    <w:rsid w:val="00AB7B1C"/>
    <w:rsid w:val="00AB7C71"/>
    <w:rsid w:val="00AC0D68"/>
    <w:rsid w:val="00AC0D7A"/>
    <w:rsid w:val="00AC27CB"/>
    <w:rsid w:val="00AC350C"/>
    <w:rsid w:val="00AC4095"/>
    <w:rsid w:val="00AC5136"/>
    <w:rsid w:val="00AC5345"/>
    <w:rsid w:val="00AC5695"/>
    <w:rsid w:val="00AC62E3"/>
    <w:rsid w:val="00AC699D"/>
    <w:rsid w:val="00AC72AC"/>
    <w:rsid w:val="00AC732E"/>
    <w:rsid w:val="00AC7D20"/>
    <w:rsid w:val="00AD121A"/>
    <w:rsid w:val="00AD1333"/>
    <w:rsid w:val="00AD1570"/>
    <w:rsid w:val="00AD170B"/>
    <w:rsid w:val="00AD1A94"/>
    <w:rsid w:val="00AD262B"/>
    <w:rsid w:val="00AD301D"/>
    <w:rsid w:val="00AD3203"/>
    <w:rsid w:val="00AD4A14"/>
    <w:rsid w:val="00AD4AA0"/>
    <w:rsid w:val="00AD4AA7"/>
    <w:rsid w:val="00AD4B28"/>
    <w:rsid w:val="00AD4DAE"/>
    <w:rsid w:val="00AD5A7F"/>
    <w:rsid w:val="00AD69AC"/>
    <w:rsid w:val="00AD6B87"/>
    <w:rsid w:val="00AD6BAA"/>
    <w:rsid w:val="00AD6F72"/>
    <w:rsid w:val="00AD7D39"/>
    <w:rsid w:val="00AD7E6C"/>
    <w:rsid w:val="00AE0123"/>
    <w:rsid w:val="00AE03B8"/>
    <w:rsid w:val="00AE0BD7"/>
    <w:rsid w:val="00AE154A"/>
    <w:rsid w:val="00AE1618"/>
    <w:rsid w:val="00AE177A"/>
    <w:rsid w:val="00AE1AD5"/>
    <w:rsid w:val="00AE1BFB"/>
    <w:rsid w:val="00AE1C52"/>
    <w:rsid w:val="00AE1C9E"/>
    <w:rsid w:val="00AE2581"/>
    <w:rsid w:val="00AE28D5"/>
    <w:rsid w:val="00AE2C4E"/>
    <w:rsid w:val="00AE2F4D"/>
    <w:rsid w:val="00AE3EBC"/>
    <w:rsid w:val="00AE3FEC"/>
    <w:rsid w:val="00AE5087"/>
    <w:rsid w:val="00AE50F6"/>
    <w:rsid w:val="00AE50FD"/>
    <w:rsid w:val="00AE5209"/>
    <w:rsid w:val="00AE573F"/>
    <w:rsid w:val="00AE6125"/>
    <w:rsid w:val="00AE644F"/>
    <w:rsid w:val="00AE6A24"/>
    <w:rsid w:val="00AE7070"/>
    <w:rsid w:val="00AE7363"/>
    <w:rsid w:val="00AE7487"/>
    <w:rsid w:val="00AE7E5D"/>
    <w:rsid w:val="00AF0830"/>
    <w:rsid w:val="00AF083E"/>
    <w:rsid w:val="00AF0B81"/>
    <w:rsid w:val="00AF1322"/>
    <w:rsid w:val="00AF159B"/>
    <w:rsid w:val="00AF2352"/>
    <w:rsid w:val="00AF2431"/>
    <w:rsid w:val="00AF2544"/>
    <w:rsid w:val="00AF26FB"/>
    <w:rsid w:val="00AF293E"/>
    <w:rsid w:val="00AF31B4"/>
    <w:rsid w:val="00AF35C9"/>
    <w:rsid w:val="00AF363D"/>
    <w:rsid w:val="00AF3963"/>
    <w:rsid w:val="00AF3C16"/>
    <w:rsid w:val="00AF4797"/>
    <w:rsid w:val="00AF4A40"/>
    <w:rsid w:val="00AF4A9D"/>
    <w:rsid w:val="00AF5254"/>
    <w:rsid w:val="00AF5465"/>
    <w:rsid w:val="00AF54A2"/>
    <w:rsid w:val="00AF5EAE"/>
    <w:rsid w:val="00AF70C6"/>
    <w:rsid w:val="00AF7389"/>
    <w:rsid w:val="00AF788C"/>
    <w:rsid w:val="00AF7FE0"/>
    <w:rsid w:val="00B00EE6"/>
    <w:rsid w:val="00B01406"/>
    <w:rsid w:val="00B01518"/>
    <w:rsid w:val="00B0188D"/>
    <w:rsid w:val="00B01F3F"/>
    <w:rsid w:val="00B0234A"/>
    <w:rsid w:val="00B02444"/>
    <w:rsid w:val="00B027A4"/>
    <w:rsid w:val="00B0359C"/>
    <w:rsid w:val="00B03A5D"/>
    <w:rsid w:val="00B05310"/>
    <w:rsid w:val="00B05448"/>
    <w:rsid w:val="00B05DCA"/>
    <w:rsid w:val="00B05EE9"/>
    <w:rsid w:val="00B064C6"/>
    <w:rsid w:val="00B06995"/>
    <w:rsid w:val="00B06D99"/>
    <w:rsid w:val="00B079D8"/>
    <w:rsid w:val="00B07CF0"/>
    <w:rsid w:val="00B07E17"/>
    <w:rsid w:val="00B1031A"/>
    <w:rsid w:val="00B10ABD"/>
    <w:rsid w:val="00B10B4D"/>
    <w:rsid w:val="00B110BE"/>
    <w:rsid w:val="00B11A70"/>
    <w:rsid w:val="00B11E4C"/>
    <w:rsid w:val="00B1258C"/>
    <w:rsid w:val="00B12870"/>
    <w:rsid w:val="00B129CB"/>
    <w:rsid w:val="00B131EC"/>
    <w:rsid w:val="00B137BB"/>
    <w:rsid w:val="00B13849"/>
    <w:rsid w:val="00B13F48"/>
    <w:rsid w:val="00B14843"/>
    <w:rsid w:val="00B1489D"/>
    <w:rsid w:val="00B151D4"/>
    <w:rsid w:val="00B1550A"/>
    <w:rsid w:val="00B158D6"/>
    <w:rsid w:val="00B15CE2"/>
    <w:rsid w:val="00B167F6"/>
    <w:rsid w:val="00B16D33"/>
    <w:rsid w:val="00B1731A"/>
    <w:rsid w:val="00B1738E"/>
    <w:rsid w:val="00B17640"/>
    <w:rsid w:val="00B1773B"/>
    <w:rsid w:val="00B17A0B"/>
    <w:rsid w:val="00B17AB6"/>
    <w:rsid w:val="00B17D80"/>
    <w:rsid w:val="00B204E0"/>
    <w:rsid w:val="00B205FA"/>
    <w:rsid w:val="00B20955"/>
    <w:rsid w:val="00B2242C"/>
    <w:rsid w:val="00B2269E"/>
    <w:rsid w:val="00B22839"/>
    <w:rsid w:val="00B22CE3"/>
    <w:rsid w:val="00B238E0"/>
    <w:rsid w:val="00B23C37"/>
    <w:rsid w:val="00B23C7D"/>
    <w:rsid w:val="00B23DD0"/>
    <w:rsid w:val="00B23E2B"/>
    <w:rsid w:val="00B249AA"/>
    <w:rsid w:val="00B24DDE"/>
    <w:rsid w:val="00B263F4"/>
    <w:rsid w:val="00B27959"/>
    <w:rsid w:val="00B27A28"/>
    <w:rsid w:val="00B27E9D"/>
    <w:rsid w:val="00B305EE"/>
    <w:rsid w:val="00B30833"/>
    <w:rsid w:val="00B30867"/>
    <w:rsid w:val="00B30901"/>
    <w:rsid w:val="00B30D85"/>
    <w:rsid w:val="00B30F94"/>
    <w:rsid w:val="00B31D08"/>
    <w:rsid w:val="00B31EF1"/>
    <w:rsid w:val="00B32237"/>
    <w:rsid w:val="00B324D2"/>
    <w:rsid w:val="00B3275B"/>
    <w:rsid w:val="00B32D23"/>
    <w:rsid w:val="00B32F3F"/>
    <w:rsid w:val="00B331C4"/>
    <w:rsid w:val="00B336FC"/>
    <w:rsid w:val="00B33A01"/>
    <w:rsid w:val="00B33AE1"/>
    <w:rsid w:val="00B33CF3"/>
    <w:rsid w:val="00B3427C"/>
    <w:rsid w:val="00B342F3"/>
    <w:rsid w:val="00B34383"/>
    <w:rsid w:val="00B34553"/>
    <w:rsid w:val="00B34936"/>
    <w:rsid w:val="00B3523C"/>
    <w:rsid w:val="00B35E94"/>
    <w:rsid w:val="00B3628F"/>
    <w:rsid w:val="00B36296"/>
    <w:rsid w:val="00B372FF"/>
    <w:rsid w:val="00B37958"/>
    <w:rsid w:val="00B37D2E"/>
    <w:rsid w:val="00B407DE"/>
    <w:rsid w:val="00B40E32"/>
    <w:rsid w:val="00B41091"/>
    <w:rsid w:val="00B41116"/>
    <w:rsid w:val="00B41BD3"/>
    <w:rsid w:val="00B41CF3"/>
    <w:rsid w:val="00B41E80"/>
    <w:rsid w:val="00B42C77"/>
    <w:rsid w:val="00B42CD4"/>
    <w:rsid w:val="00B4320A"/>
    <w:rsid w:val="00B43A20"/>
    <w:rsid w:val="00B43F2C"/>
    <w:rsid w:val="00B44615"/>
    <w:rsid w:val="00B446BA"/>
    <w:rsid w:val="00B4488E"/>
    <w:rsid w:val="00B449C5"/>
    <w:rsid w:val="00B44B5C"/>
    <w:rsid w:val="00B44C62"/>
    <w:rsid w:val="00B44F05"/>
    <w:rsid w:val="00B461A0"/>
    <w:rsid w:val="00B46778"/>
    <w:rsid w:val="00B46854"/>
    <w:rsid w:val="00B46C49"/>
    <w:rsid w:val="00B4743B"/>
    <w:rsid w:val="00B477D4"/>
    <w:rsid w:val="00B479DE"/>
    <w:rsid w:val="00B51005"/>
    <w:rsid w:val="00B51117"/>
    <w:rsid w:val="00B511A5"/>
    <w:rsid w:val="00B51621"/>
    <w:rsid w:val="00B5175C"/>
    <w:rsid w:val="00B51AE3"/>
    <w:rsid w:val="00B5246C"/>
    <w:rsid w:val="00B5385D"/>
    <w:rsid w:val="00B53FA9"/>
    <w:rsid w:val="00B540C7"/>
    <w:rsid w:val="00B541E7"/>
    <w:rsid w:val="00B546A4"/>
    <w:rsid w:val="00B5473C"/>
    <w:rsid w:val="00B54FE0"/>
    <w:rsid w:val="00B5504C"/>
    <w:rsid w:val="00B551C6"/>
    <w:rsid w:val="00B55D75"/>
    <w:rsid w:val="00B55EB3"/>
    <w:rsid w:val="00B55ED5"/>
    <w:rsid w:val="00B55F9E"/>
    <w:rsid w:val="00B5604E"/>
    <w:rsid w:val="00B561B9"/>
    <w:rsid w:val="00B561CB"/>
    <w:rsid w:val="00B56742"/>
    <w:rsid w:val="00B567F3"/>
    <w:rsid w:val="00B56B9D"/>
    <w:rsid w:val="00B56DA5"/>
    <w:rsid w:val="00B60564"/>
    <w:rsid w:val="00B608F2"/>
    <w:rsid w:val="00B62635"/>
    <w:rsid w:val="00B62AD1"/>
    <w:rsid w:val="00B62B58"/>
    <w:rsid w:val="00B6364B"/>
    <w:rsid w:val="00B63A9B"/>
    <w:rsid w:val="00B63EB3"/>
    <w:rsid w:val="00B640E1"/>
    <w:rsid w:val="00B640F1"/>
    <w:rsid w:val="00B64929"/>
    <w:rsid w:val="00B64B72"/>
    <w:rsid w:val="00B657E7"/>
    <w:rsid w:val="00B663C7"/>
    <w:rsid w:val="00B667B2"/>
    <w:rsid w:val="00B66C4E"/>
    <w:rsid w:val="00B66E3A"/>
    <w:rsid w:val="00B66EA6"/>
    <w:rsid w:val="00B67183"/>
    <w:rsid w:val="00B6774F"/>
    <w:rsid w:val="00B67C12"/>
    <w:rsid w:val="00B702EF"/>
    <w:rsid w:val="00B71264"/>
    <w:rsid w:val="00B7139C"/>
    <w:rsid w:val="00B7238C"/>
    <w:rsid w:val="00B72493"/>
    <w:rsid w:val="00B7275D"/>
    <w:rsid w:val="00B727CE"/>
    <w:rsid w:val="00B7291F"/>
    <w:rsid w:val="00B73052"/>
    <w:rsid w:val="00B733B0"/>
    <w:rsid w:val="00B74260"/>
    <w:rsid w:val="00B7435F"/>
    <w:rsid w:val="00B74511"/>
    <w:rsid w:val="00B74E3D"/>
    <w:rsid w:val="00B74FBA"/>
    <w:rsid w:val="00B75378"/>
    <w:rsid w:val="00B75E7F"/>
    <w:rsid w:val="00B75EE2"/>
    <w:rsid w:val="00B76805"/>
    <w:rsid w:val="00B77BCB"/>
    <w:rsid w:val="00B77C51"/>
    <w:rsid w:val="00B77D6E"/>
    <w:rsid w:val="00B80122"/>
    <w:rsid w:val="00B80CE7"/>
    <w:rsid w:val="00B8164E"/>
    <w:rsid w:val="00B816C6"/>
    <w:rsid w:val="00B81F95"/>
    <w:rsid w:val="00B82816"/>
    <w:rsid w:val="00B834E6"/>
    <w:rsid w:val="00B834FD"/>
    <w:rsid w:val="00B838F5"/>
    <w:rsid w:val="00B83C5D"/>
    <w:rsid w:val="00B83C8D"/>
    <w:rsid w:val="00B847C0"/>
    <w:rsid w:val="00B84A79"/>
    <w:rsid w:val="00B8532D"/>
    <w:rsid w:val="00B85C8A"/>
    <w:rsid w:val="00B8623C"/>
    <w:rsid w:val="00B87C99"/>
    <w:rsid w:val="00B87F8B"/>
    <w:rsid w:val="00B90752"/>
    <w:rsid w:val="00B90E0B"/>
    <w:rsid w:val="00B9120F"/>
    <w:rsid w:val="00B918E1"/>
    <w:rsid w:val="00B91C4B"/>
    <w:rsid w:val="00B91E2C"/>
    <w:rsid w:val="00B924A4"/>
    <w:rsid w:val="00B93C03"/>
    <w:rsid w:val="00B93E80"/>
    <w:rsid w:val="00B9448D"/>
    <w:rsid w:val="00B94AC4"/>
    <w:rsid w:val="00B94E95"/>
    <w:rsid w:val="00B95367"/>
    <w:rsid w:val="00B95440"/>
    <w:rsid w:val="00B95687"/>
    <w:rsid w:val="00B95744"/>
    <w:rsid w:val="00B95A2B"/>
    <w:rsid w:val="00B95DB8"/>
    <w:rsid w:val="00B964FB"/>
    <w:rsid w:val="00B968C9"/>
    <w:rsid w:val="00B96AE4"/>
    <w:rsid w:val="00B96BC7"/>
    <w:rsid w:val="00B96D28"/>
    <w:rsid w:val="00B96E55"/>
    <w:rsid w:val="00B979D8"/>
    <w:rsid w:val="00B97E37"/>
    <w:rsid w:val="00BA006E"/>
    <w:rsid w:val="00BA02A9"/>
    <w:rsid w:val="00BA0621"/>
    <w:rsid w:val="00BA0983"/>
    <w:rsid w:val="00BA0C53"/>
    <w:rsid w:val="00BA12E5"/>
    <w:rsid w:val="00BA1416"/>
    <w:rsid w:val="00BA19EA"/>
    <w:rsid w:val="00BA20C6"/>
    <w:rsid w:val="00BA29DC"/>
    <w:rsid w:val="00BA2BC1"/>
    <w:rsid w:val="00BA3275"/>
    <w:rsid w:val="00BA3CD2"/>
    <w:rsid w:val="00BA3DE9"/>
    <w:rsid w:val="00BA3F6C"/>
    <w:rsid w:val="00BA529A"/>
    <w:rsid w:val="00BA5798"/>
    <w:rsid w:val="00BA589B"/>
    <w:rsid w:val="00BA628A"/>
    <w:rsid w:val="00BA676D"/>
    <w:rsid w:val="00BA6818"/>
    <w:rsid w:val="00BA68A7"/>
    <w:rsid w:val="00BA6FFB"/>
    <w:rsid w:val="00BA7F91"/>
    <w:rsid w:val="00BB0201"/>
    <w:rsid w:val="00BB030E"/>
    <w:rsid w:val="00BB03F3"/>
    <w:rsid w:val="00BB0774"/>
    <w:rsid w:val="00BB0CA8"/>
    <w:rsid w:val="00BB0D1A"/>
    <w:rsid w:val="00BB1310"/>
    <w:rsid w:val="00BB1863"/>
    <w:rsid w:val="00BB1D3B"/>
    <w:rsid w:val="00BB224C"/>
    <w:rsid w:val="00BB3170"/>
    <w:rsid w:val="00BB31AC"/>
    <w:rsid w:val="00BB38AE"/>
    <w:rsid w:val="00BB3BB7"/>
    <w:rsid w:val="00BB3D1C"/>
    <w:rsid w:val="00BB3F33"/>
    <w:rsid w:val="00BB4088"/>
    <w:rsid w:val="00BB4AC3"/>
    <w:rsid w:val="00BB4ED3"/>
    <w:rsid w:val="00BB524A"/>
    <w:rsid w:val="00BB5316"/>
    <w:rsid w:val="00BB5AED"/>
    <w:rsid w:val="00BB60F8"/>
    <w:rsid w:val="00BB6BF3"/>
    <w:rsid w:val="00BB7222"/>
    <w:rsid w:val="00BB73CD"/>
    <w:rsid w:val="00BB7525"/>
    <w:rsid w:val="00BB75DB"/>
    <w:rsid w:val="00BB7E75"/>
    <w:rsid w:val="00BC0957"/>
    <w:rsid w:val="00BC125B"/>
    <w:rsid w:val="00BC1414"/>
    <w:rsid w:val="00BC1566"/>
    <w:rsid w:val="00BC171A"/>
    <w:rsid w:val="00BC188F"/>
    <w:rsid w:val="00BC1F5F"/>
    <w:rsid w:val="00BC24CD"/>
    <w:rsid w:val="00BC35ED"/>
    <w:rsid w:val="00BC3ED6"/>
    <w:rsid w:val="00BC4192"/>
    <w:rsid w:val="00BC42F5"/>
    <w:rsid w:val="00BC4303"/>
    <w:rsid w:val="00BC4917"/>
    <w:rsid w:val="00BC591C"/>
    <w:rsid w:val="00BC652B"/>
    <w:rsid w:val="00BC6A07"/>
    <w:rsid w:val="00BC7167"/>
    <w:rsid w:val="00BC72A2"/>
    <w:rsid w:val="00BD02D8"/>
    <w:rsid w:val="00BD05E8"/>
    <w:rsid w:val="00BD0825"/>
    <w:rsid w:val="00BD08A4"/>
    <w:rsid w:val="00BD1090"/>
    <w:rsid w:val="00BD1449"/>
    <w:rsid w:val="00BD15D9"/>
    <w:rsid w:val="00BD1D31"/>
    <w:rsid w:val="00BD2825"/>
    <w:rsid w:val="00BD2A71"/>
    <w:rsid w:val="00BD2D6E"/>
    <w:rsid w:val="00BD34B3"/>
    <w:rsid w:val="00BD4104"/>
    <w:rsid w:val="00BD4B92"/>
    <w:rsid w:val="00BD5008"/>
    <w:rsid w:val="00BD53CA"/>
    <w:rsid w:val="00BD58A6"/>
    <w:rsid w:val="00BD5DDF"/>
    <w:rsid w:val="00BD5F7B"/>
    <w:rsid w:val="00BD64E5"/>
    <w:rsid w:val="00BD651A"/>
    <w:rsid w:val="00BD65DF"/>
    <w:rsid w:val="00BD6830"/>
    <w:rsid w:val="00BD69FE"/>
    <w:rsid w:val="00BD7311"/>
    <w:rsid w:val="00BD73E6"/>
    <w:rsid w:val="00BD7A12"/>
    <w:rsid w:val="00BD7C55"/>
    <w:rsid w:val="00BE0039"/>
    <w:rsid w:val="00BE0819"/>
    <w:rsid w:val="00BE0945"/>
    <w:rsid w:val="00BE1253"/>
    <w:rsid w:val="00BE14E0"/>
    <w:rsid w:val="00BE1AAE"/>
    <w:rsid w:val="00BE1BAF"/>
    <w:rsid w:val="00BE299E"/>
    <w:rsid w:val="00BE2BFC"/>
    <w:rsid w:val="00BE2E9A"/>
    <w:rsid w:val="00BE2F66"/>
    <w:rsid w:val="00BE3198"/>
    <w:rsid w:val="00BE33B1"/>
    <w:rsid w:val="00BE350E"/>
    <w:rsid w:val="00BE36D8"/>
    <w:rsid w:val="00BE3BD4"/>
    <w:rsid w:val="00BE405A"/>
    <w:rsid w:val="00BE43A0"/>
    <w:rsid w:val="00BE44E7"/>
    <w:rsid w:val="00BE4612"/>
    <w:rsid w:val="00BE58C8"/>
    <w:rsid w:val="00BE6B7C"/>
    <w:rsid w:val="00BE6C4B"/>
    <w:rsid w:val="00BE719E"/>
    <w:rsid w:val="00BE73CD"/>
    <w:rsid w:val="00BE76EE"/>
    <w:rsid w:val="00BE7DD3"/>
    <w:rsid w:val="00BE7E93"/>
    <w:rsid w:val="00BF0087"/>
    <w:rsid w:val="00BF0694"/>
    <w:rsid w:val="00BF12F1"/>
    <w:rsid w:val="00BF135F"/>
    <w:rsid w:val="00BF238E"/>
    <w:rsid w:val="00BF2B3F"/>
    <w:rsid w:val="00BF2CA5"/>
    <w:rsid w:val="00BF347C"/>
    <w:rsid w:val="00BF4266"/>
    <w:rsid w:val="00BF449E"/>
    <w:rsid w:val="00BF44E4"/>
    <w:rsid w:val="00BF44E5"/>
    <w:rsid w:val="00BF4689"/>
    <w:rsid w:val="00BF4880"/>
    <w:rsid w:val="00BF4C35"/>
    <w:rsid w:val="00BF5550"/>
    <w:rsid w:val="00BF583A"/>
    <w:rsid w:val="00BF5B4D"/>
    <w:rsid w:val="00BF6031"/>
    <w:rsid w:val="00BF606B"/>
    <w:rsid w:val="00BF6152"/>
    <w:rsid w:val="00BF643B"/>
    <w:rsid w:val="00BF6445"/>
    <w:rsid w:val="00BF6709"/>
    <w:rsid w:val="00BF6E38"/>
    <w:rsid w:val="00BF7073"/>
    <w:rsid w:val="00BF7808"/>
    <w:rsid w:val="00BF7CD4"/>
    <w:rsid w:val="00C0015D"/>
    <w:rsid w:val="00C0076F"/>
    <w:rsid w:val="00C016B7"/>
    <w:rsid w:val="00C01812"/>
    <w:rsid w:val="00C01963"/>
    <w:rsid w:val="00C0243B"/>
    <w:rsid w:val="00C02F9C"/>
    <w:rsid w:val="00C02FEB"/>
    <w:rsid w:val="00C03120"/>
    <w:rsid w:val="00C038DE"/>
    <w:rsid w:val="00C03DA6"/>
    <w:rsid w:val="00C03E1B"/>
    <w:rsid w:val="00C043B7"/>
    <w:rsid w:val="00C04D3C"/>
    <w:rsid w:val="00C05659"/>
    <w:rsid w:val="00C0565C"/>
    <w:rsid w:val="00C05988"/>
    <w:rsid w:val="00C05AB6"/>
    <w:rsid w:val="00C065E7"/>
    <w:rsid w:val="00C06C94"/>
    <w:rsid w:val="00C06DE0"/>
    <w:rsid w:val="00C070F3"/>
    <w:rsid w:val="00C07BB7"/>
    <w:rsid w:val="00C07BC8"/>
    <w:rsid w:val="00C10074"/>
    <w:rsid w:val="00C10405"/>
    <w:rsid w:val="00C10F12"/>
    <w:rsid w:val="00C114A4"/>
    <w:rsid w:val="00C11588"/>
    <w:rsid w:val="00C1197D"/>
    <w:rsid w:val="00C11CB5"/>
    <w:rsid w:val="00C12003"/>
    <w:rsid w:val="00C12911"/>
    <w:rsid w:val="00C12BEB"/>
    <w:rsid w:val="00C13258"/>
    <w:rsid w:val="00C13C28"/>
    <w:rsid w:val="00C14437"/>
    <w:rsid w:val="00C144C0"/>
    <w:rsid w:val="00C1498A"/>
    <w:rsid w:val="00C14D2F"/>
    <w:rsid w:val="00C15A68"/>
    <w:rsid w:val="00C15AC7"/>
    <w:rsid w:val="00C16580"/>
    <w:rsid w:val="00C169CC"/>
    <w:rsid w:val="00C16D89"/>
    <w:rsid w:val="00C1770D"/>
    <w:rsid w:val="00C178B9"/>
    <w:rsid w:val="00C17B7E"/>
    <w:rsid w:val="00C20210"/>
    <w:rsid w:val="00C205F4"/>
    <w:rsid w:val="00C20E37"/>
    <w:rsid w:val="00C21242"/>
    <w:rsid w:val="00C213DB"/>
    <w:rsid w:val="00C21915"/>
    <w:rsid w:val="00C219AF"/>
    <w:rsid w:val="00C21F31"/>
    <w:rsid w:val="00C21FE8"/>
    <w:rsid w:val="00C22005"/>
    <w:rsid w:val="00C2235F"/>
    <w:rsid w:val="00C2248E"/>
    <w:rsid w:val="00C225BD"/>
    <w:rsid w:val="00C23268"/>
    <w:rsid w:val="00C23678"/>
    <w:rsid w:val="00C23ADE"/>
    <w:rsid w:val="00C240A1"/>
    <w:rsid w:val="00C24155"/>
    <w:rsid w:val="00C24459"/>
    <w:rsid w:val="00C245EA"/>
    <w:rsid w:val="00C24726"/>
    <w:rsid w:val="00C248EE"/>
    <w:rsid w:val="00C2622D"/>
    <w:rsid w:val="00C26BCA"/>
    <w:rsid w:val="00C26DBF"/>
    <w:rsid w:val="00C27164"/>
    <w:rsid w:val="00C272CD"/>
    <w:rsid w:val="00C30043"/>
    <w:rsid w:val="00C306BA"/>
    <w:rsid w:val="00C30761"/>
    <w:rsid w:val="00C30988"/>
    <w:rsid w:val="00C30C38"/>
    <w:rsid w:val="00C31287"/>
    <w:rsid w:val="00C3166B"/>
    <w:rsid w:val="00C3171B"/>
    <w:rsid w:val="00C317A6"/>
    <w:rsid w:val="00C31F94"/>
    <w:rsid w:val="00C32071"/>
    <w:rsid w:val="00C3256B"/>
    <w:rsid w:val="00C3335A"/>
    <w:rsid w:val="00C333F1"/>
    <w:rsid w:val="00C33804"/>
    <w:rsid w:val="00C34671"/>
    <w:rsid w:val="00C35766"/>
    <w:rsid w:val="00C35B49"/>
    <w:rsid w:val="00C35C44"/>
    <w:rsid w:val="00C35CAE"/>
    <w:rsid w:val="00C35F1F"/>
    <w:rsid w:val="00C36084"/>
    <w:rsid w:val="00C36E36"/>
    <w:rsid w:val="00C372BF"/>
    <w:rsid w:val="00C37665"/>
    <w:rsid w:val="00C376FC"/>
    <w:rsid w:val="00C37E36"/>
    <w:rsid w:val="00C37EEB"/>
    <w:rsid w:val="00C40AF1"/>
    <w:rsid w:val="00C4111B"/>
    <w:rsid w:val="00C4114C"/>
    <w:rsid w:val="00C41246"/>
    <w:rsid w:val="00C41D52"/>
    <w:rsid w:val="00C42983"/>
    <w:rsid w:val="00C42B79"/>
    <w:rsid w:val="00C42BF3"/>
    <w:rsid w:val="00C42F01"/>
    <w:rsid w:val="00C434D5"/>
    <w:rsid w:val="00C43A56"/>
    <w:rsid w:val="00C444BE"/>
    <w:rsid w:val="00C4490D"/>
    <w:rsid w:val="00C44BE9"/>
    <w:rsid w:val="00C45316"/>
    <w:rsid w:val="00C45CC3"/>
    <w:rsid w:val="00C45E5F"/>
    <w:rsid w:val="00C45FC4"/>
    <w:rsid w:val="00C4646A"/>
    <w:rsid w:val="00C4672C"/>
    <w:rsid w:val="00C46EB0"/>
    <w:rsid w:val="00C47533"/>
    <w:rsid w:val="00C47758"/>
    <w:rsid w:val="00C478A0"/>
    <w:rsid w:val="00C500E8"/>
    <w:rsid w:val="00C5158F"/>
    <w:rsid w:val="00C51877"/>
    <w:rsid w:val="00C53329"/>
    <w:rsid w:val="00C535D4"/>
    <w:rsid w:val="00C5394F"/>
    <w:rsid w:val="00C544D2"/>
    <w:rsid w:val="00C5481A"/>
    <w:rsid w:val="00C55523"/>
    <w:rsid w:val="00C555F3"/>
    <w:rsid w:val="00C560E1"/>
    <w:rsid w:val="00C569A4"/>
    <w:rsid w:val="00C56B9E"/>
    <w:rsid w:val="00C57A4C"/>
    <w:rsid w:val="00C60311"/>
    <w:rsid w:val="00C60BEE"/>
    <w:rsid w:val="00C61EAA"/>
    <w:rsid w:val="00C62267"/>
    <w:rsid w:val="00C62D3F"/>
    <w:rsid w:val="00C63A8C"/>
    <w:rsid w:val="00C63C7B"/>
    <w:rsid w:val="00C63D40"/>
    <w:rsid w:val="00C6411C"/>
    <w:rsid w:val="00C64C49"/>
    <w:rsid w:val="00C6501C"/>
    <w:rsid w:val="00C654A9"/>
    <w:rsid w:val="00C6561C"/>
    <w:rsid w:val="00C65EF4"/>
    <w:rsid w:val="00C66CA5"/>
    <w:rsid w:val="00C6752E"/>
    <w:rsid w:val="00C67922"/>
    <w:rsid w:val="00C67C48"/>
    <w:rsid w:val="00C67C74"/>
    <w:rsid w:val="00C70248"/>
    <w:rsid w:val="00C70533"/>
    <w:rsid w:val="00C70C89"/>
    <w:rsid w:val="00C710D6"/>
    <w:rsid w:val="00C71433"/>
    <w:rsid w:val="00C714D0"/>
    <w:rsid w:val="00C71504"/>
    <w:rsid w:val="00C718EF"/>
    <w:rsid w:val="00C72606"/>
    <w:rsid w:val="00C72D73"/>
    <w:rsid w:val="00C73026"/>
    <w:rsid w:val="00C734B8"/>
    <w:rsid w:val="00C73F2D"/>
    <w:rsid w:val="00C743EC"/>
    <w:rsid w:val="00C74711"/>
    <w:rsid w:val="00C74D72"/>
    <w:rsid w:val="00C759D2"/>
    <w:rsid w:val="00C75A66"/>
    <w:rsid w:val="00C75EE6"/>
    <w:rsid w:val="00C76316"/>
    <w:rsid w:val="00C76757"/>
    <w:rsid w:val="00C76E58"/>
    <w:rsid w:val="00C774D3"/>
    <w:rsid w:val="00C7758D"/>
    <w:rsid w:val="00C77972"/>
    <w:rsid w:val="00C77CFA"/>
    <w:rsid w:val="00C809C1"/>
    <w:rsid w:val="00C80B06"/>
    <w:rsid w:val="00C80F1D"/>
    <w:rsid w:val="00C80FDD"/>
    <w:rsid w:val="00C815E1"/>
    <w:rsid w:val="00C82A88"/>
    <w:rsid w:val="00C82E90"/>
    <w:rsid w:val="00C83124"/>
    <w:rsid w:val="00C83289"/>
    <w:rsid w:val="00C83656"/>
    <w:rsid w:val="00C83A82"/>
    <w:rsid w:val="00C83FEB"/>
    <w:rsid w:val="00C844B5"/>
    <w:rsid w:val="00C844D0"/>
    <w:rsid w:val="00C84A6B"/>
    <w:rsid w:val="00C84BC6"/>
    <w:rsid w:val="00C84CB3"/>
    <w:rsid w:val="00C85028"/>
    <w:rsid w:val="00C858C7"/>
    <w:rsid w:val="00C86366"/>
    <w:rsid w:val="00C866F8"/>
    <w:rsid w:val="00C869E2"/>
    <w:rsid w:val="00C872F8"/>
    <w:rsid w:val="00C87657"/>
    <w:rsid w:val="00C876D3"/>
    <w:rsid w:val="00C877C4"/>
    <w:rsid w:val="00C87B00"/>
    <w:rsid w:val="00C90596"/>
    <w:rsid w:val="00C90CC2"/>
    <w:rsid w:val="00C90CFE"/>
    <w:rsid w:val="00C9120A"/>
    <w:rsid w:val="00C915C0"/>
    <w:rsid w:val="00C91B0D"/>
    <w:rsid w:val="00C91C6F"/>
    <w:rsid w:val="00C9306D"/>
    <w:rsid w:val="00C93322"/>
    <w:rsid w:val="00C9333D"/>
    <w:rsid w:val="00C93850"/>
    <w:rsid w:val="00C93A66"/>
    <w:rsid w:val="00C93EA1"/>
    <w:rsid w:val="00C943C3"/>
    <w:rsid w:val="00C9451D"/>
    <w:rsid w:val="00C94810"/>
    <w:rsid w:val="00C94E07"/>
    <w:rsid w:val="00C94E8C"/>
    <w:rsid w:val="00C955B7"/>
    <w:rsid w:val="00C955E9"/>
    <w:rsid w:val="00C95757"/>
    <w:rsid w:val="00C95A41"/>
    <w:rsid w:val="00C964F9"/>
    <w:rsid w:val="00C973C1"/>
    <w:rsid w:val="00C9761F"/>
    <w:rsid w:val="00C9799E"/>
    <w:rsid w:val="00CA0223"/>
    <w:rsid w:val="00CA04F4"/>
    <w:rsid w:val="00CA0641"/>
    <w:rsid w:val="00CA0C11"/>
    <w:rsid w:val="00CA0E7D"/>
    <w:rsid w:val="00CA1474"/>
    <w:rsid w:val="00CA25F1"/>
    <w:rsid w:val="00CA2DCC"/>
    <w:rsid w:val="00CA3425"/>
    <w:rsid w:val="00CA3CD2"/>
    <w:rsid w:val="00CA3CF7"/>
    <w:rsid w:val="00CA3F3E"/>
    <w:rsid w:val="00CA48AF"/>
    <w:rsid w:val="00CA4B86"/>
    <w:rsid w:val="00CA514D"/>
    <w:rsid w:val="00CA569E"/>
    <w:rsid w:val="00CA5752"/>
    <w:rsid w:val="00CA5956"/>
    <w:rsid w:val="00CA5F45"/>
    <w:rsid w:val="00CA6901"/>
    <w:rsid w:val="00CA694D"/>
    <w:rsid w:val="00CA69BF"/>
    <w:rsid w:val="00CA6D67"/>
    <w:rsid w:val="00CA750C"/>
    <w:rsid w:val="00CB037B"/>
    <w:rsid w:val="00CB0DEE"/>
    <w:rsid w:val="00CB0F52"/>
    <w:rsid w:val="00CB143C"/>
    <w:rsid w:val="00CB173C"/>
    <w:rsid w:val="00CB18B0"/>
    <w:rsid w:val="00CB2692"/>
    <w:rsid w:val="00CB2B04"/>
    <w:rsid w:val="00CB2D73"/>
    <w:rsid w:val="00CB35D2"/>
    <w:rsid w:val="00CB3CCF"/>
    <w:rsid w:val="00CB430D"/>
    <w:rsid w:val="00CB4447"/>
    <w:rsid w:val="00CB50DD"/>
    <w:rsid w:val="00CB5BC3"/>
    <w:rsid w:val="00CB617A"/>
    <w:rsid w:val="00CB6959"/>
    <w:rsid w:val="00CB6B78"/>
    <w:rsid w:val="00CB725C"/>
    <w:rsid w:val="00CB76D1"/>
    <w:rsid w:val="00CB7800"/>
    <w:rsid w:val="00CB794A"/>
    <w:rsid w:val="00CB7BFA"/>
    <w:rsid w:val="00CB7FBF"/>
    <w:rsid w:val="00CC0382"/>
    <w:rsid w:val="00CC0D23"/>
    <w:rsid w:val="00CC0D49"/>
    <w:rsid w:val="00CC10DA"/>
    <w:rsid w:val="00CC1BF6"/>
    <w:rsid w:val="00CC21F9"/>
    <w:rsid w:val="00CC2CA2"/>
    <w:rsid w:val="00CC3436"/>
    <w:rsid w:val="00CC39FC"/>
    <w:rsid w:val="00CC45CE"/>
    <w:rsid w:val="00CC4AA9"/>
    <w:rsid w:val="00CC4B44"/>
    <w:rsid w:val="00CC4BE1"/>
    <w:rsid w:val="00CC4F91"/>
    <w:rsid w:val="00CC5292"/>
    <w:rsid w:val="00CC566C"/>
    <w:rsid w:val="00CC580C"/>
    <w:rsid w:val="00CC5B47"/>
    <w:rsid w:val="00CC7155"/>
    <w:rsid w:val="00CC7FE4"/>
    <w:rsid w:val="00CD0482"/>
    <w:rsid w:val="00CD0895"/>
    <w:rsid w:val="00CD0C31"/>
    <w:rsid w:val="00CD1440"/>
    <w:rsid w:val="00CD1AFA"/>
    <w:rsid w:val="00CD2152"/>
    <w:rsid w:val="00CD2312"/>
    <w:rsid w:val="00CD2D8B"/>
    <w:rsid w:val="00CD2E13"/>
    <w:rsid w:val="00CD315D"/>
    <w:rsid w:val="00CD38F7"/>
    <w:rsid w:val="00CD3DF7"/>
    <w:rsid w:val="00CD4357"/>
    <w:rsid w:val="00CD49A7"/>
    <w:rsid w:val="00CD54C6"/>
    <w:rsid w:val="00CD5641"/>
    <w:rsid w:val="00CD5941"/>
    <w:rsid w:val="00CD5C92"/>
    <w:rsid w:val="00CD6109"/>
    <w:rsid w:val="00CD6B16"/>
    <w:rsid w:val="00CD6E09"/>
    <w:rsid w:val="00CD73CF"/>
    <w:rsid w:val="00CD7469"/>
    <w:rsid w:val="00CD78F4"/>
    <w:rsid w:val="00CE01F7"/>
    <w:rsid w:val="00CE155B"/>
    <w:rsid w:val="00CE1AA4"/>
    <w:rsid w:val="00CE1BF9"/>
    <w:rsid w:val="00CE1C71"/>
    <w:rsid w:val="00CE2BA6"/>
    <w:rsid w:val="00CE2C19"/>
    <w:rsid w:val="00CE2C97"/>
    <w:rsid w:val="00CE3604"/>
    <w:rsid w:val="00CE41CF"/>
    <w:rsid w:val="00CE4CEF"/>
    <w:rsid w:val="00CE5865"/>
    <w:rsid w:val="00CE6F64"/>
    <w:rsid w:val="00CE7030"/>
    <w:rsid w:val="00CE7043"/>
    <w:rsid w:val="00CE7798"/>
    <w:rsid w:val="00CE77A8"/>
    <w:rsid w:val="00CF0E18"/>
    <w:rsid w:val="00CF14A1"/>
    <w:rsid w:val="00CF15E4"/>
    <w:rsid w:val="00CF1663"/>
    <w:rsid w:val="00CF19B1"/>
    <w:rsid w:val="00CF1E28"/>
    <w:rsid w:val="00CF1F95"/>
    <w:rsid w:val="00CF210F"/>
    <w:rsid w:val="00CF21B8"/>
    <w:rsid w:val="00CF2812"/>
    <w:rsid w:val="00CF34D5"/>
    <w:rsid w:val="00CF3C3B"/>
    <w:rsid w:val="00CF3D99"/>
    <w:rsid w:val="00CF3F29"/>
    <w:rsid w:val="00CF4018"/>
    <w:rsid w:val="00CF403A"/>
    <w:rsid w:val="00CF40A1"/>
    <w:rsid w:val="00CF4BE1"/>
    <w:rsid w:val="00CF4ED6"/>
    <w:rsid w:val="00CF5621"/>
    <w:rsid w:val="00CF6F66"/>
    <w:rsid w:val="00CF6F67"/>
    <w:rsid w:val="00CF7291"/>
    <w:rsid w:val="00CF7542"/>
    <w:rsid w:val="00CF7720"/>
    <w:rsid w:val="00CF7E5E"/>
    <w:rsid w:val="00D0036A"/>
    <w:rsid w:val="00D00A90"/>
    <w:rsid w:val="00D0106D"/>
    <w:rsid w:val="00D015CF"/>
    <w:rsid w:val="00D01DBF"/>
    <w:rsid w:val="00D02211"/>
    <w:rsid w:val="00D02E70"/>
    <w:rsid w:val="00D02FF2"/>
    <w:rsid w:val="00D0376A"/>
    <w:rsid w:val="00D03D8D"/>
    <w:rsid w:val="00D0418C"/>
    <w:rsid w:val="00D04835"/>
    <w:rsid w:val="00D049E8"/>
    <w:rsid w:val="00D05CA1"/>
    <w:rsid w:val="00D06282"/>
    <w:rsid w:val="00D06447"/>
    <w:rsid w:val="00D06D19"/>
    <w:rsid w:val="00D07B87"/>
    <w:rsid w:val="00D07BBA"/>
    <w:rsid w:val="00D07F88"/>
    <w:rsid w:val="00D10141"/>
    <w:rsid w:val="00D10409"/>
    <w:rsid w:val="00D104D5"/>
    <w:rsid w:val="00D10884"/>
    <w:rsid w:val="00D10B00"/>
    <w:rsid w:val="00D11B48"/>
    <w:rsid w:val="00D127C8"/>
    <w:rsid w:val="00D12AD7"/>
    <w:rsid w:val="00D12C6B"/>
    <w:rsid w:val="00D12C75"/>
    <w:rsid w:val="00D13A13"/>
    <w:rsid w:val="00D13AF7"/>
    <w:rsid w:val="00D13C30"/>
    <w:rsid w:val="00D13F17"/>
    <w:rsid w:val="00D14000"/>
    <w:rsid w:val="00D1407A"/>
    <w:rsid w:val="00D14237"/>
    <w:rsid w:val="00D14616"/>
    <w:rsid w:val="00D14F74"/>
    <w:rsid w:val="00D151EB"/>
    <w:rsid w:val="00D1524F"/>
    <w:rsid w:val="00D15CC5"/>
    <w:rsid w:val="00D160FE"/>
    <w:rsid w:val="00D1618D"/>
    <w:rsid w:val="00D168AE"/>
    <w:rsid w:val="00D16AE5"/>
    <w:rsid w:val="00D16FE0"/>
    <w:rsid w:val="00D17500"/>
    <w:rsid w:val="00D179F8"/>
    <w:rsid w:val="00D17F2C"/>
    <w:rsid w:val="00D200CF"/>
    <w:rsid w:val="00D2055D"/>
    <w:rsid w:val="00D20C27"/>
    <w:rsid w:val="00D21DF4"/>
    <w:rsid w:val="00D21E08"/>
    <w:rsid w:val="00D21E0E"/>
    <w:rsid w:val="00D220DF"/>
    <w:rsid w:val="00D236FF"/>
    <w:rsid w:val="00D23ACD"/>
    <w:rsid w:val="00D23DF8"/>
    <w:rsid w:val="00D2407F"/>
    <w:rsid w:val="00D24970"/>
    <w:rsid w:val="00D253BF"/>
    <w:rsid w:val="00D26000"/>
    <w:rsid w:val="00D264B1"/>
    <w:rsid w:val="00D264C7"/>
    <w:rsid w:val="00D2680D"/>
    <w:rsid w:val="00D26DBF"/>
    <w:rsid w:val="00D270E9"/>
    <w:rsid w:val="00D27650"/>
    <w:rsid w:val="00D27792"/>
    <w:rsid w:val="00D27CF8"/>
    <w:rsid w:val="00D27F69"/>
    <w:rsid w:val="00D3054A"/>
    <w:rsid w:val="00D30719"/>
    <w:rsid w:val="00D325AA"/>
    <w:rsid w:val="00D328E1"/>
    <w:rsid w:val="00D32A8E"/>
    <w:rsid w:val="00D32AE5"/>
    <w:rsid w:val="00D32BF0"/>
    <w:rsid w:val="00D330AC"/>
    <w:rsid w:val="00D3353B"/>
    <w:rsid w:val="00D335CD"/>
    <w:rsid w:val="00D34041"/>
    <w:rsid w:val="00D34816"/>
    <w:rsid w:val="00D3492C"/>
    <w:rsid w:val="00D35433"/>
    <w:rsid w:val="00D360BE"/>
    <w:rsid w:val="00D36536"/>
    <w:rsid w:val="00D36B7A"/>
    <w:rsid w:val="00D3704A"/>
    <w:rsid w:val="00D371F0"/>
    <w:rsid w:val="00D3738D"/>
    <w:rsid w:val="00D373FE"/>
    <w:rsid w:val="00D37BB9"/>
    <w:rsid w:val="00D404D9"/>
    <w:rsid w:val="00D40507"/>
    <w:rsid w:val="00D40602"/>
    <w:rsid w:val="00D4140D"/>
    <w:rsid w:val="00D41DB4"/>
    <w:rsid w:val="00D41F9C"/>
    <w:rsid w:val="00D42493"/>
    <w:rsid w:val="00D427FA"/>
    <w:rsid w:val="00D42DBA"/>
    <w:rsid w:val="00D432D5"/>
    <w:rsid w:val="00D43A63"/>
    <w:rsid w:val="00D443BA"/>
    <w:rsid w:val="00D44844"/>
    <w:rsid w:val="00D448DB"/>
    <w:rsid w:val="00D44ADA"/>
    <w:rsid w:val="00D44EEC"/>
    <w:rsid w:val="00D453D2"/>
    <w:rsid w:val="00D4587E"/>
    <w:rsid w:val="00D46722"/>
    <w:rsid w:val="00D46AB8"/>
    <w:rsid w:val="00D47492"/>
    <w:rsid w:val="00D47C5A"/>
    <w:rsid w:val="00D50218"/>
    <w:rsid w:val="00D502DC"/>
    <w:rsid w:val="00D513CF"/>
    <w:rsid w:val="00D51758"/>
    <w:rsid w:val="00D51AB8"/>
    <w:rsid w:val="00D51F5F"/>
    <w:rsid w:val="00D520F7"/>
    <w:rsid w:val="00D52372"/>
    <w:rsid w:val="00D52424"/>
    <w:rsid w:val="00D52CF8"/>
    <w:rsid w:val="00D52E15"/>
    <w:rsid w:val="00D54EB2"/>
    <w:rsid w:val="00D5531B"/>
    <w:rsid w:val="00D559A4"/>
    <w:rsid w:val="00D561CE"/>
    <w:rsid w:val="00D561FE"/>
    <w:rsid w:val="00D5689E"/>
    <w:rsid w:val="00D569AA"/>
    <w:rsid w:val="00D56F62"/>
    <w:rsid w:val="00D570EB"/>
    <w:rsid w:val="00D57301"/>
    <w:rsid w:val="00D57DF6"/>
    <w:rsid w:val="00D57FD9"/>
    <w:rsid w:val="00D601E5"/>
    <w:rsid w:val="00D603FD"/>
    <w:rsid w:val="00D604EF"/>
    <w:rsid w:val="00D60F57"/>
    <w:rsid w:val="00D637D7"/>
    <w:rsid w:val="00D64431"/>
    <w:rsid w:val="00D64E5D"/>
    <w:rsid w:val="00D650CE"/>
    <w:rsid w:val="00D65718"/>
    <w:rsid w:val="00D6578C"/>
    <w:rsid w:val="00D673BD"/>
    <w:rsid w:val="00D67597"/>
    <w:rsid w:val="00D67CDA"/>
    <w:rsid w:val="00D70AB4"/>
    <w:rsid w:val="00D70E3F"/>
    <w:rsid w:val="00D710BA"/>
    <w:rsid w:val="00D71783"/>
    <w:rsid w:val="00D718F6"/>
    <w:rsid w:val="00D72330"/>
    <w:rsid w:val="00D72381"/>
    <w:rsid w:val="00D724CD"/>
    <w:rsid w:val="00D72574"/>
    <w:rsid w:val="00D72FFF"/>
    <w:rsid w:val="00D740C7"/>
    <w:rsid w:val="00D75382"/>
    <w:rsid w:val="00D75BC7"/>
    <w:rsid w:val="00D76227"/>
    <w:rsid w:val="00D76BE3"/>
    <w:rsid w:val="00D771A6"/>
    <w:rsid w:val="00D7727C"/>
    <w:rsid w:val="00D80CD6"/>
    <w:rsid w:val="00D81818"/>
    <w:rsid w:val="00D8197D"/>
    <w:rsid w:val="00D82D7A"/>
    <w:rsid w:val="00D82E8C"/>
    <w:rsid w:val="00D830A3"/>
    <w:rsid w:val="00D83211"/>
    <w:rsid w:val="00D8363D"/>
    <w:rsid w:val="00D838D1"/>
    <w:rsid w:val="00D83C7C"/>
    <w:rsid w:val="00D84130"/>
    <w:rsid w:val="00D84723"/>
    <w:rsid w:val="00D84EC7"/>
    <w:rsid w:val="00D85319"/>
    <w:rsid w:val="00D85595"/>
    <w:rsid w:val="00D85AA0"/>
    <w:rsid w:val="00D85ED9"/>
    <w:rsid w:val="00D862E2"/>
    <w:rsid w:val="00D87351"/>
    <w:rsid w:val="00D8758B"/>
    <w:rsid w:val="00D875D7"/>
    <w:rsid w:val="00D876F1"/>
    <w:rsid w:val="00D87A37"/>
    <w:rsid w:val="00D87DBF"/>
    <w:rsid w:val="00D902D6"/>
    <w:rsid w:val="00D903EC"/>
    <w:rsid w:val="00D91654"/>
    <w:rsid w:val="00D928BB"/>
    <w:rsid w:val="00D92A85"/>
    <w:rsid w:val="00D9304B"/>
    <w:rsid w:val="00D93ED9"/>
    <w:rsid w:val="00D94BDF"/>
    <w:rsid w:val="00D94C71"/>
    <w:rsid w:val="00D950FA"/>
    <w:rsid w:val="00D95721"/>
    <w:rsid w:val="00D95C20"/>
    <w:rsid w:val="00D95F15"/>
    <w:rsid w:val="00D96DA2"/>
    <w:rsid w:val="00DA04CE"/>
    <w:rsid w:val="00DA0926"/>
    <w:rsid w:val="00DA0B46"/>
    <w:rsid w:val="00DA10BF"/>
    <w:rsid w:val="00DA12B5"/>
    <w:rsid w:val="00DA2102"/>
    <w:rsid w:val="00DA2344"/>
    <w:rsid w:val="00DA300A"/>
    <w:rsid w:val="00DA30E7"/>
    <w:rsid w:val="00DA42E0"/>
    <w:rsid w:val="00DA4543"/>
    <w:rsid w:val="00DA4708"/>
    <w:rsid w:val="00DA4D30"/>
    <w:rsid w:val="00DA5651"/>
    <w:rsid w:val="00DA5F30"/>
    <w:rsid w:val="00DA6424"/>
    <w:rsid w:val="00DA6A7D"/>
    <w:rsid w:val="00DA74ED"/>
    <w:rsid w:val="00DA7813"/>
    <w:rsid w:val="00DA7D09"/>
    <w:rsid w:val="00DB0AC7"/>
    <w:rsid w:val="00DB0BC6"/>
    <w:rsid w:val="00DB1D46"/>
    <w:rsid w:val="00DB1E2F"/>
    <w:rsid w:val="00DB2169"/>
    <w:rsid w:val="00DB2207"/>
    <w:rsid w:val="00DB25F5"/>
    <w:rsid w:val="00DB29A0"/>
    <w:rsid w:val="00DB2EC0"/>
    <w:rsid w:val="00DB33BF"/>
    <w:rsid w:val="00DB3497"/>
    <w:rsid w:val="00DB3F2F"/>
    <w:rsid w:val="00DB438B"/>
    <w:rsid w:val="00DB44F3"/>
    <w:rsid w:val="00DB4BD1"/>
    <w:rsid w:val="00DB54C6"/>
    <w:rsid w:val="00DB550E"/>
    <w:rsid w:val="00DB5BF0"/>
    <w:rsid w:val="00DB5E46"/>
    <w:rsid w:val="00DB6126"/>
    <w:rsid w:val="00DB68C8"/>
    <w:rsid w:val="00DB68DC"/>
    <w:rsid w:val="00DB6F26"/>
    <w:rsid w:val="00DB71A7"/>
    <w:rsid w:val="00DC096B"/>
    <w:rsid w:val="00DC0FBC"/>
    <w:rsid w:val="00DC1D27"/>
    <w:rsid w:val="00DC1FE5"/>
    <w:rsid w:val="00DC24C8"/>
    <w:rsid w:val="00DC2965"/>
    <w:rsid w:val="00DC2A5E"/>
    <w:rsid w:val="00DC3781"/>
    <w:rsid w:val="00DC3CD0"/>
    <w:rsid w:val="00DC3EDA"/>
    <w:rsid w:val="00DC44CC"/>
    <w:rsid w:val="00DC49E9"/>
    <w:rsid w:val="00DC4CDA"/>
    <w:rsid w:val="00DC4E4C"/>
    <w:rsid w:val="00DC4F28"/>
    <w:rsid w:val="00DC54B2"/>
    <w:rsid w:val="00DC6759"/>
    <w:rsid w:val="00DC69DE"/>
    <w:rsid w:val="00DC6C53"/>
    <w:rsid w:val="00DC788D"/>
    <w:rsid w:val="00DC7F4A"/>
    <w:rsid w:val="00DD0489"/>
    <w:rsid w:val="00DD0626"/>
    <w:rsid w:val="00DD194E"/>
    <w:rsid w:val="00DD1B01"/>
    <w:rsid w:val="00DD1BDB"/>
    <w:rsid w:val="00DD1CB7"/>
    <w:rsid w:val="00DD200E"/>
    <w:rsid w:val="00DD2650"/>
    <w:rsid w:val="00DD2664"/>
    <w:rsid w:val="00DD2680"/>
    <w:rsid w:val="00DD270E"/>
    <w:rsid w:val="00DD2D99"/>
    <w:rsid w:val="00DD2EB4"/>
    <w:rsid w:val="00DD386A"/>
    <w:rsid w:val="00DD3A54"/>
    <w:rsid w:val="00DD3C0C"/>
    <w:rsid w:val="00DD413E"/>
    <w:rsid w:val="00DD4ACC"/>
    <w:rsid w:val="00DD4D65"/>
    <w:rsid w:val="00DD5042"/>
    <w:rsid w:val="00DD5BBB"/>
    <w:rsid w:val="00DD63DC"/>
    <w:rsid w:val="00DD6725"/>
    <w:rsid w:val="00DD6737"/>
    <w:rsid w:val="00DD740E"/>
    <w:rsid w:val="00DD7858"/>
    <w:rsid w:val="00DD7C4B"/>
    <w:rsid w:val="00DE0B96"/>
    <w:rsid w:val="00DE11D5"/>
    <w:rsid w:val="00DE129A"/>
    <w:rsid w:val="00DE168E"/>
    <w:rsid w:val="00DE1A8D"/>
    <w:rsid w:val="00DE1B6F"/>
    <w:rsid w:val="00DE21AD"/>
    <w:rsid w:val="00DE2E25"/>
    <w:rsid w:val="00DE3BEA"/>
    <w:rsid w:val="00DE3CB9"/>
    <w:rsid w:val="00DE4C95"/>
    <w:rsid w:val="00DE616D"/>
    <w:rsid w:val="00DE65D1"/>
    <w:rsid w:val="00DE6D0E"/>
    <w:rsid w:val="00DE6E21"/>
    <w:rsid w:val="00DE70D3"/>
    <w:rsid w:val="00DE7CAC"/>
    <w:rsid w:val="00DE7EBD"/>
    <w:rsid w:val="00DF03B3"/>
    <w:rsid w:val="00DF06C0"/>
    <w:rsid w:val="00DF0B13"/>
    <w:rsid w:val="00DF0E71"/>
    <w:rsid w:val="00DF11A3"/>
    <w:rsid w:val="00DF1725"/>
    <w:rsid w:val="00DF197D"/>
    <w:rsid w:val="00DF1CF8"/>
    <w:rsid w:val="00DF23B7"/>
    <w:rsid w:val="00DF2EB8"/>
    <w:rsid w:val="00DF3950"/>
    <w:rsid w:val="00DF3A5F"/>
    <w:rsid w:val="00DF3FE5"/>
    <w:rsid w:val="00DF45CD"/>
    <w:rsid w:val="00DF4A94"/>
    <w:rsid w:val="00DF4D8A"/>
    <w:rsid w:val="00DF4F82"/>
    <w:rsid w:val="00DF5492"/>
    <w:rsid w:val="00DF5B5A"/>
    <w:rsid w:val="00DF663A"/>
    <w:rsid w:val="00DF6E36"/>
    <w:rsid w:val="00DF7040"/>
    <w:rsid w:val="00DF7133"/>
    <w:rsid w:val="00DF7B42"/>
    <w:rsid w:val="00E001BF"/>
    <w:rsid w:val="00E006A1"/>
    <w:rsid w:val="00E00D44"/>
    <w:rsid w:val="00E00FF5"/>
    <w:rsid w:val="00E01E70"/>
    <w:rsid w:val="00E0217E"/>
    <w:rsid w:val="00E02750"/>
    <w:rsid w:val="00E02C01"/>
    <w:rsid w:val="00E02C74"/>
    <w:rsid w:val="00E02F34"/>
    <w:rsid w:val="00E03FA2"/>
    <w:rsid w:val="00E04C91"/>
    <w:rsid w:val="00E052A5"/>
    <w:rsid w:val="00E05854"/>
    <w:rsid w:val="00E0586A"/>
    <w:rsid w:val="00E05F5B"/>
    <w:rsid w:val="00E066C3"/>
    <w:rsid w:val="00E06B68"/>
    <w:rsid w:val="00E07307"/>
    <w:rsid w:val="00E0778F"/>
    <w:rsid w:val="00E07B09"/>
    <w:rsid w:val="00E10A41"/>
    <w:rsid w:val="00E10EDB"/>
    <w:rsid w:val="00E10F96"/>
    <w:rsid w:val="00E112AD"/>
    <w:rsid w:val="00E11EB3"/>
    <w:rsid w:val="00E11FC3"/>
    <w:rsid w:val="00E1222D"/>
    <w:rsid w:val="00E12630"/>
    <w:rsid w:val="00E1264B"/>
    <w:rsid w:val="00E12CD8"/>
    <w:rsid w:val="00E13315"/>
    <w:rsid w:val="00E1353A"/>
    <w:rsid w:val="00E13757"/>
    <w:rsid w:val="00E13CB9"/>
    <w:rsid w:val="00E13F5E"/>
    <w:rsid w:val="00E142A6"/>
    <w:rsid w:val="00E15131"/>
    <w:rsid w:val="00E1518C"/>
    <w:rsid w:val="00E1564B"/>
    <w:rsid w:val="00E16570"/>
    <w:rsid w:val="00E171F8"/>
    <w:rsid w:val="00E17569"/>
    <w:rsid w:val="00E17E9A"/>
    <w:rsid w:val="00E208A0"/>
    <w:rsid w:val="00E20DE0"/>
    <w:rsid w:val="00E228DD"/>
    <w:rsid w:val="00E22BCF"/>
    <w:rsid w:val="00E234BB"/>
    <w:rsid w:val="00E234E4"/>
    <w:rsid w:val="00E23B14"/>
    <w:rsid w:val="00E24853"/>
    <w:rsid w:val="00E24F5C"/>
    <w:rsid w:val="00E25A77"/>
    <w:rsid w:val="00E25FAC"/>
    <w:rsid w:val="00E26908"/>
    <w:rsid w:val="00E26983"/>
    <w:rsid w:val="00E27F29"/>
    <w:rsid w:val="00E30F71"/>
    <w:rsid w:val="00E3110C"/>
    <w:rsid w:val="00E3123C"/>
    <w:rsid w:val="00E31243"/>
    <w:rsid w:val="00E313A6"/>
    <w:rsid w:val="00E316F5"/>
    <w:rsid w:val="00E31945"/>
    <w:rsid w:val="00E31D61"/>
    <w:rsid w:val="00E31E5D"/>
    <w:rsid w:val="00E32434"/>
    <w:rsid w:val="00E329AD"/>
    <w:rsid w:val="00E32C6E"/>
    <w:rsid w:val="00E332F2"/>
    <w:rsid w:val="00E3336F"/>
    <w:rsid w:val="00E34147"/>
    <w:rsid w:val="00E34C55"/>
    <w:rsid w:val="00E34D44"/>
    <w:rsid w:val="00E35050"/>
    <w:rsid w:val="00E3505A"/>
    <w:rsid w:val="00E3554C"/>
    <w:rsid w:val="00E369F7"/>
    <w:rsid w:val="00E36D4E"/>
    <w:rsid w:val="00E37545"/>
    <w:rsid w:val="00E375F3"/>
    <w:rsid w:val="00E37A37"/>
    <w:rsid w:val="00E37F3A"/>
    <w:rsid w:val="00E40550"/>
    <w:rsid w:val="00E40917"/>
    <w:rsid w:val="00E40D6F"/>
    <w:rsid w:val="00E40DB1"/>
    <w:rsid w:val="00E411F0"/>
    <w:rsid w:val="00E42200"/>
    <w:rsid w:val="00E42388"/>
    <w:rsid w:val="00E42A04"/>
    <w:rsid w:val="00E42E27"/>
    <w:rsid w:val="00E43291"/>
    <w:rsid w:val="00E43866"/>
    <w:rsid w:val="00E43ECD"/>
    <w:rsid w:val="00E44331"/>
    <w:rsid w:val="00E4480F"/>
    <w:rsid w:val="00E44B2E"/>
    <w:rsid w:val="00E44EBB"/>
    <w:rsid w:val="00E45B9F"/>
    <w:rsid w:val="00E47290"/>
    <w:rsid w:val="00E5003F"/>
    <w:rsid w:val="00E50843"/>
    <w:rsid w:val="00E50A90"/>
    <w:rsid w:val="00E50C6A"/>
    <w:rsid w:val="00E5159C"/>
    <w:rsid w:val="00E51962"/>
    <w:rsid w:val="00E52520"/>
    <w:rsid w:val="00E5291D"/>
    <w:rsid w:val="00E5335B"/>
    <w:rsid w:val="00E54253"/>
    <w:rsid w:val="00E5439F"/>
    <w:rsid w:val="00E5448D"/>
    <w:rsid w:val="00E544BB"/>
    <w:rsid w:val="00E5478A"/>
    <w:rsid w:val="00E54959"/>
    <w:rsid w:val="00E54D81"/>
    <w:rsid w:val="00E54E0B"/>
    <w:rsid w:val="00E5519E"/>
    <w:rsid w:val="00E55211"/>
    <w:rsid w:val="00E56098"/>
    <w:rsid w:val="00E564F7"/>
    <w:rsid w:val="00E56640"/>
    <w:rsid w:val="00E56A91"/>
    <w:rsid w:val="00E572BE"/>
    <w:rsid w:val="00E57BA6"/>
    <w:rsid w:val="00E57D9F"/>
    <w:rsid w:val="00E57ED8"/>
    <w:rsid w:val="00E60E68"/>
    <w:rsid w:val="00E613A5"/>
    <w:rsid w:val="00E61BCE"/>
    <w:rsid w:val="00E6240E"/>
    <w:rsid w:val="00E62ACA"/>
    <w:rsid w:val="00E62D62"/>
    <w:rsid w:val="00E62DE4"/>
    <w:rsid w:val="00E62EF8"/>
    <w:rsid w:val="00E63007"/>
    <w:rsid w:val="00E63A66"/>
    <w:rsid w:val="00E64CC0"/>
    <w:rsid w:val="00E655DB"/>
    <w:rsid w:val="00E665F3"/>
    <w:rsid w:val="00E66B95"/>
    <w:rsid w:val="00E66C4A"/>
    <w:rsid w:val="00E67399"/>
    <w:rsid w:val="00E677DD"/>
    <w:rsid w:val="00E6786B"/>
    <w:rsid w:val="00E67B1E"/>
    <w:rsid w:val="00E67E3E"/>
    <w:rsid w:val="00E700F4"/>
    <w:rsid w:val="00E7032C"/>
    <w:rsid w:val="00E7040A"/>
    <w:rsid w:val="00E707D2"/>
    <w:rsid w:val="00E710DC"/>
    <w:rsid w:val="00E71C0F"/>
    <w:rsid w:val="00E721BF"/>
    <w:rsid w:val="00E72772"/>
    <w:rsid w:val="00E735A9"/>
    <w:rsid w:val="00E73764"/>
    <w:rsid w:val="00E73803"/>
    <w:rsid w:val="00E73A88"/>
    <w:rsid w:val="00E74BE3"/>
    <w:rsid w:val="00E74DDE"/>
    <w:rsid w:val="00E7555A"/>
    <w:rsid w:val="00E76482"/>
    <w:rsid w:val="00E76594"/>
    <w:rsid w:val="00E76A8C"/>
    <w:rsid w:val="00E76EAD"/>
    <w:rsid w:val="00E77143"/>
    <w:rsid w:val="00E77634"/>
    <w:rsid w:val="00E77877"/>
    <w:rsid w:val="00E8058E"/>
    <w:rsid w:val="00E80B5D"/>
    <w:rsid w:val="00E80BAB"/>
    <w:rsid w:val="00E81324"/>
    <w:rsid w:val="00E82436"/>
    <w:rsid w:val="00E8293C"/>
    <w:rsid w:val="00E83583"/>
    <w:rsid w:val="00E8391F"/>
    <w:rsid w:val="00E843CC"/>
    <w:rsid w:val="00E8449E"/>
    <w:rsid w:val="00E845C2"/>
    <w:rsid w:val="00E84F08"/>
    <w:rsid w:val="00E852C9"/>
    <w:rsid w:val="00E85481"/>
    <w:rsid w:val="00E85528"/>
    <w:rsid w:val="00E8587D"/>
    <w:rsid w:val="00E85E62"/>
    <w:rsid w:val="00E86AFA"/>
    <w:rsid w:val="00E86D42"/>
    <w:rsid w:val="00E86F8D"/>
    <w:rsid w:val="00E87164"/>
    <w:rsid w:val="00E87209"/>
    <w:rsid w:val="00E8723D"/>
    <w:rsid w:val="00E873F8"/>
    <w:rsid w:val="00E87B0E"/>
    <w:rsid w:val="00E87B98"/>
    <w:rsid w:val="00E87CBC"/>
    <w:rsid w:val="00E90539"/>
    <w:rsid w:val="00E90725"/>
    <w:rsid w:val="00E90885"/>
    <w:rsid w:val="00E90EDB"/>
    <w:rsid w:val="00E91153"/>
    <w:rsid w:val="00E91558"/>
    <w:rsid w:val="00E91704"/>
    <w:rsid w:val="00E91C03"/>
    <w:rsid w:val="00E92141"/>
    <w:rsid w:val="00E92DBC"/>
    <w:rsid w:val="00E92E73"/>
    <w:rsid w:val="00E92F4E"/>
    <w:rsid w:val="00E93156"/>
    <w:rsid w:val="00E93E0B"/>
    <w:rsid w:val="00E93EA2"/>
    <w:rsid w:val="00E941B9"/>
    <w:rsid w:val="00E951C1"/>
    <w:rsid w:val="00E95F03"/>
    <w:rsid w:val="00E95F87"/>
    <w:rsid w:val="00E9666D"/>
    <w:rsid w:val="00E96729"/>
    <w:rsid w:val="00E96ABF"/>
    <w:rsid w:val="00E97719"/>
    <w:rsid w:val="00E97AD6"/>
    <w:rsid w:val="00E97D59"/>
    <w:rsid w:val="00EA0227"/>
    <w:rsid w:val="00EA0874"/>
    <w:rsid w:val="00EA08BC"/>
    <w:rsid w:val="00EA0DCE"/>
    <w:rsid w:val="00EA16EF"/>
    <w:rsid w:val="00EA1CBF"/>
    <w:rsid w:val="00EA22CF"/>
    <w:rsid w:val="00EA248D"/>
    <w:rsid w:val="00EA29FA"/>
    <w:rsid w:val="00EA2CA2"/>
    <w:rsid w:val="00EA3488"/>
    <w:rsid w:val="00EA357D"/>
    <w:rsid w:val="00EA3A9A"/>
    <w:rsid w:val="00EA41D4"/>
    <w:rsid w:val="00EA4475"/>
    <w:rsid w:val="00EA4887"/>
    <w:rsid w:val="00EA4968"/>
    <w:rsid w:val="00EA54E6"/>
    <w:rsid w:val="00EA628B"/>
    <w:rsid w:val="00EA639B"/>
    <w:rsid w:val="00EA645F"/>
    <w:rsid w:val="00EA6622"/>
    <w:rsid w:val="00EA6711"/>
    <w:rsid w:val="00EA67D5"/>
    <w:rsid w:val="00EA6DED"/>
    <w:rsid w:val="00EA6FB9"/>
    <w:rsid w:val="00EA7095"/>
    <w:rsid w:val="00EA75DE"/>
    <w:rsid w:val="00EB0F9E"/>
    <w:rsid w:val="00EB11EB"/>
    <w:rsid w:val="00EB1B36"/>
    <w:rsid w:val="00EB1D9B"/>
    <w:rsid w:val="00EB24AA"/>
    <w:rsid w:val="00EB24BD"/>
    <w:rsid w:val="00EB27A6"/>
    <w:rsid w:val="00EB2927"/>
    <w:rsid w:val="00EB3068"/>
    <w:rsid w:val="00EB3221"/>
    <w:rsid w:val="00EB33E0"/>
    <w:rsid w:val="00EB386B"/>
    <w:rsid w:val="00EB44E0"/>
    <w:rsid w:val="00EB4CB2"/>
    <w:rsid w:val="00EB4DF8"/>
    <w:rsid w:val="00EB5125"/>
    <w:rsid w:val="00EB5207"/>
    <w:rsid w:val="00EB5438"/>
    <w:rsid w:val="00EB5E1F"/>
    <w:rsid w:val="00EB65DE"/>
    <w:rsid w:val="00EB67EA"/>
    <w:rsid w:val="00EB6C07"/>
    <w:rsid w:val="00EC028D"/>
    <w:rsid w:val="00EC0566"/>
    <w:rsid w:val="00EC05E7"/>
    <w:rsid w:val="00EC0D01"/>
    <w:rsid w:val="00EC2426"/>
    <w:rsid w:val="00EC2441"/>
    <w:rsid w:val="00EC274E"/>
    <w:rsid w:val="00EC417F"/>
    <w:rsid w:val="00EC4754"/>
    <w:rsid w:val="00EC5333"/>
    <w:rsid w:val="00EC53BE"/>
    <w:rsid w:val="00EC55B9"/>
    <w:rsid w:val="00EC576B"/>
    <w:rsid w:val="00EC587F"/>
    <w:rsid w:val="00EC6229"/>
    <w:rsid w:val="00EC658D"/>
    <w:rsid w:val="00EC75FB"/>
    <w:rsid w:val="00ED100A"/>
    <w:rsid w:val="00ED242E"/>
    <w:rsid w:val="00ED247E"/>
    <w:rsid w:val="00ED292D"/>
    <w:rsid w:val="00ED2E0D"/>
    <w:rsid w:val="00ED33EF"/>
    <w:rsid w:val="00ED444B"/>
    <w:rsid w:val="00ED633B"/>
    <w:rsid w:val="00ED6A89"/>
    <w:rsid w:val="00ED77E5"/>
    <w:rsid w:val="00ED79E3"/>
    <w:rsid w:val="00EE001B"/>
    <w:rsid w:val="00EE0097"/>
    <w:rsid w:val="00EE06F0"/>
    <w:rsid w:val="00EE081D"/>
    <w:rsid w:val="00EE0AE2"/>
    <w:rsid w:val="00EE0E96"/>
    <w:rsid w:val="00EE1026"/>
    <w:rsid w:val="00EE1710"/>
    <w:rsid w:val="00EE1C5B"/>
    <w:rsid w:val="00EE2D03"/>
    <w:rsid w:val="00EE2E5A"/>
    <w:rsid w:val="00EE3231"/>
    <w:rsid w:val="00EE3F09"/>
    <w:rsid w:val="00EE41E5"/>
    <w:rsid w:val="00EE478C"/>
    <w:rsid w:val="00EE4A10"/>
    <w:rsid w:val="00EE4B11"/>
    <w:rsid w:val="00EE4C20"/>
    <w:rsid w:val="00EE4F14"/>
    <w:rsid w:val="00EE57A5"/>
    <w:rsid w:val="00EE5E7E"/>
    <w:rsid w:val="00EE5ECA"/>
    <w:rsid w:val="00EE65ED"/>
    <w:rsid w:val="00EE7E58"/>
    <w:rsid w:val="00EF0143"/>
    <w:rsid w:val="00EF1CF2"/>
    <w:rsid w:val="00EF1EC8"/>
    <w:rsid w:val="00EF1F82"/>
    <w:rsid w:val="00EF23C7"/>
    <w:rsid w:val="00EF2512"/>
    <w:rsid w:val="00EF2647"/>
    <w:rsid w:val="00EF26F1"/>
    <w:rsid w:val="00EF2A21"/>
    <w:rsid w:val="00EF3072"/>
    <w:rsid w:val="00EF38C3"/>
    <w:rsid w:val="00EF3BD4"/>
    <w:rsid w:val="00EF3C36"/>
    <w:rsid w:val="00EF40F2"/>
    <w:rsid w:val="00EF4693"/>
    <w:rsid w:val="00EF49DF"/>
    <w:rsid w:val="00EF4A90"/>
    <w:rsid w:val="00EF4E97"/>
    <w:rsid w:val="00EF5B52"/>
    <w:rsid w:val="00EF6274"/>
    <w:rsid w:val="00EF6927"/>
    <w:rsid w:val="00EF6D4C"/>
    <w:rsid w:val="00EF7450"/>
    <w:rsid w:val="00EF7457"/>
    <w:rsid w:val="00EF7986"/>
    <w:rsid w:val="00F000AC"/>
    <w:rsid w:val="00F010F5"/>
    <w:rsid w:val="00F014C6"/>
    <w:rsid w:val="00F017D5"/>
    <w:rsid w:val="00F01BB6"/>
    <w:rsid w:val="00F01C17"/>
    <w:rsid w:val="00F02108"/>
    <w:rsid w:val="00F0261B"/>
    <w:rsid w:val="00F02B05"/>
    <w:rsid w:val="00F03BA4"/>
    <w:rsid w:val="00F0432E"/>
    <w:rsid w:val="00F04388"/>
    <w:rsid w:val="00F04805"/>
    <w:rsid w:val="00F050F6"/>
    <w:rsid w:val="00F056B2"/>
    <w:rsid w:val="00F05B79"/>
    <w:rsid w:val="00F062B6"/>
    <w:rsid w:val="00F06403"/>
    <w:rsid w:val="00F069AE"/>
    <w:rsid w:val="00F0785B"/>
    <w:rsid w:val="00F10F4F"/>
    <w:rsid w:val="00F12417"/>
    <w:rsid w:val="00F12BBD"/>
    <w:rsid w:val="00F133AD"/>
    <w:rsid w:val="00F1367E"/>
    <w:rsid w:val="00F143D9"/>
    <w:rsid w:val="00F147FB"/>
    <w:rsid w:val="00F14F6F"/>
    <w:rsid w:val="00F151FA"/>
    <w:rsid w:val="00F15517"/>
    <w:rsid w:val="00F16552"/>
    <w:rsid w:val="00F16585"/>
    <w:rsid w:val="00F1660A"/>
    <w:rsid w:val="00F16B51"/>
    <w:rsid w:val="00F16EA1"/>
    <w:rsid w:val="00F2186E"/>
    <w:rsid w:val="00F21E40"/>
    <w:rsid w:val="00F2269A"/>
    <w:rsid w:val="00F22E3E"/>
    <w:rsid w:val="00F230B2"/>
    <w:rsid w:val="00F23324"/>
    <w:rsid w:val="00F23956"/>
    <w:rsid w:val="00F245A7"/>
    <w:rsid w:val="00F2474F"/>
    <w:rsid w:val="00F250E0"/>
    <w:rsid w:val="00F26098"/>
    <w:rsid w:val="00F26159"/>
    <w:rsid w:val="00F26D62"/>
    <w:rsid w:val="00F27089"/>
    <w:rsid w:val="00F305C4"/>
    <w:rsid w:val="00F30BD1"/>
    <w:rsid w:val="00F30E5D"/>
    <w:rsid w:val="00F30FB4"/>
    <w:rsid w:val="00F3103B"/>
    <w:rsid w:val="00F31C0C"/>
    <w:rsid w:val="00F333C0"/>
    <w:rsid w:val="00F33A98"/>
    <w:rsid w:val="00F33C58"/>
    <w:rsid w:val="00F33E18"/>
    <w:rsid w:val="00F346DC"/>
    <w:rsid w:val="00F35160"/>
    <w:rsid w:val="00F360EF"/>
    <w:rsid w:val="00F3682D"/>
    <w:rsid w:val="00F36B42"/>
    <w:rsid w:val="00F37875"/>
    <w:rsid w:val="00F4016E"/>
    <w:rsid w:val="00F408C2"/>
    <w:rsid w:val="00F409AF"/>
    <w:rsid w:val="00F40A9D"/>
    <w:rsid w:val="00F40D58"/>
    <w:rsid w:val="00F413CA"/>
    <w:rsid w:val="00F41A8B"/>
    <w:rsid w:val="00F42192"/>
    <w:rsid w:val="00F424A0"/>
    <w:rsid w:val="00F427E4"/>
    <w:rsid w:val="00F43539"/>
    <w:rsid w:val="00F439D3"/>
    <w:rsid w:val="00F43A78"/>
    <w:rsid w:val="00F44109"/>
    <w:rsid w:val="00F44E6B"/>
    <w:rsid w:val="00F44EBB"/>
    <w:rsid w:val="00F45108"/>
    <w:rsid w:val="00F454D1"/>
    <w:rsid w:val="00F456CE"/>
    <w:rsid w:val="00F45B4C"/>
    <w:rsid w:val="00F45D85"/>
    <w:rsid w:val="00F46032"/>
    <w:rsid w:val="00F46494"/>
    <w:rsid w:val="00F466AB"/>
    <w:rsid w:val="00F46755"/>
    <w:rsid w:val="00F46835"/>
    <w:rsid w:val="00F470CC"/>
    <w:rsid w:val="00F47E79"/>
    <w:rsid w:val="00F50E44"/>
    <w:rsid w:val="00F52085"/>
    <w:rsid w:val="00F52197"/>
    <w:rsid w:val="00F535F4"/>
    <w:rsid w:val="00F5378B"/>
    <w:rsid w:val="00F5388F"/>
    <w:rsid w:val="00F54170"/>
    <w:rsid w:val="00F54688"/>
    <w:rsid w:val="00F54B50"/>
    <w:rsid w:val="00F54FA7"/>
    <w:rsid w:val="00F55C9C"/>
    <w:rsid w:val="00F55E67"/>
    <w:rsid w:val="00F561F4"/>
    <w:rsid w:val="00F562CE"/>
    <w:rsid w:val="00F5714A"/>
    <w:rsid w:val="00F57543"/>
    <w:rsid w:val="00F579F9"/>
    <w:rsid w:val="00F57D23"/>
    <w:rsid w:val="00F57E11"/>
    <w:rsid w:val="00F601A7"/>
    <w:rsid w:val="00F6057E"/>
    <w:rsid w:val="00F6074C"/>
    <w:rsid w:val="00F60ADE"/>
    <w:rsid w:val="00F61141"/>
    <w:rsid w:val="00F61476"/>
    <w:rsid w:val="00F6250A"/>
    <w:rsid w:val="00F62A9F"/>
    <w:rsid w:val="00F62B80"/>
    <w:rsid w:val="00F62D58"/>
    <w:rsid w:val="00F6354C"/>
    <w:rsid w:val="00F63D1B"/>
    <w:rsid w:val="00F63D9F"/>
    <w:rsid w:val="00F64564"/>
    <w:rsid w:val="00F654B5"/>
    <w:rsid w:val="00F65813"/>
    <w:rsid w:val="00F65F6E"/>
    <w:rsid w:val="00F66763"/>
    <w:rsid w:val="00F66EB7"/>
    <w:rsid w:val="00F67254"/>
    <w:rsid w:val="00F677E3"/>
    <w:rsid w:val="00F67A1D"/>
    <w:rsid w:val="00F7000F"/>
    <w:rsid w:val="00F70C90"/>
    <w:rsid w:val="00F71022"/>
    <w:rsid w:val="00F712AC"/>
    <w:rsid w:val="00F724AB"/>
    <w:rsid w:val="00F728B3"/>
    <w:rsid w:val="00F72BEB"/>
    <w:rsid w:val="00F72E12"/>
    <w:rsid w:val="00F72E3D"/>
    <w:rsid w:val="00F73152"/>
    <w:rsid w:val="00F73E00"/>
    <w:rsid w:val="00F74C9A"/>
    <w:rsid w:val="00F75D6F"/>
    <w:rsid w:val="00F7690E"/>
    <w:rsid w:val="00F76E72"/>
    <w:rsid w:val="00F76F5E"/>
    <w:rsid w:val="00F76FE0"/>
    <w:rsid w:val="00F7702F"/>
    <w:rsid w:val="00F77AA8"/>
    <w:rsid w:val="00F80066"/>
    <w:rsid w:val="00F8060F"/>
    <w:rsid w:val="00F80775"/>
    <w:rsid w:val="00F8080B"/>
    <w:rsid w:val="00F80BCA"/>
    <w:rsid w:val="00F818CA"/>
    <w:rsid w:val="00F81D6B"/>
    <w:rsid w:val="00F82546"/>
    <w:rsid w:val="00F827E6"/>
    <w:rsid w:val="00F82E93"/>
    <w:rsid w:val="00F82E9D"/>
    <w:rsid w:val="00F83025"/>
    <w:rsid w:val="00F830CC"/>
    <w:rsid w:val="00F83CF8"/>
    <w:rsid w:val="00F84B87"/>
    <w:rsid w:val="00F853A4"/>
    <w:rsid w:val="00F85C8B"/>
    <w:rsid w:val="00F85EAC"/>
    <w:rsid w:val="00F863E6"/>
    <w:rsid w:val="00F8687A"/>
    <w:rsid w:val="00F869A1"/>
    <w:rsid w:val="00F86DFB"/>
    <w:rsid w:val="00F87263"/>
    <w:rsid w:val="00F87578"/>
    <w:rsid w:val="00F87602"/>
    <w:rsid w:val="00F87C1C"/>
    <w:rsid w:val="00F87E96"/>
    <w:rsid w:val="00F90C29"/>
    <w:rsid w:val="00F90CB9"/>
    <w:rsid w:val="00F920D0"/>
    <w:rsid w:val="00F921B7"/>
    <w:rsid w:val="00F922E9"/>
    <w:rsid w:val="00F92EAD"/>
    <w:rsid w:val="00F92EC5"/>
    <w:rsid w:val="00F93FEF"/>
    <w:rsid w:val="00F943FC"/>
    <w:rsid w:val="00F94492"/>
    <w:rsid w:val="00F94AC0"/>
    <w:rsid w:val="00F95C49"/>
    <w:rsid w:val="00F960D4"/>
    <w:rsid w:val="00F9693A"/>
    <w:rsid w:val="00F96AD1"/>
    <w:rsid w:val="00F96E71"/>
    <w:rsid w:val="00F97108"/>
    <w:rsid w:val="00F9721B"/>
    <w:rsid w:val="00F9722C"/>
    <w:rsid w:val="00F97482"/>
    <w:rsid w:val="00F97770"/>
    <w:rsid w:val="00F97A91"/>
    <w:rsid w:val="00F97E26"/>
    <w:rsid w:val="00FA019A"/>
    <w:rsid w:val="00FA06B5"/>
    <w:rsid w:val="00FA0B89"/>
    <w:rsid w:val="00FA1229"/>
    <w:rsid w:val="00FA1F6C"/>
    <w:rsid w:val="00FA20ED"/>
    <w:rsid w:val="00FA2E69"/>
    <w:rsid w:val="00FA36B7"/>
    <w:rsid w:val="00FA4686"/>
    <w:rsid w:val="00FA4CE8"/>
    <w:rsid w:val="00FA502B"/>
    <w:rsid w:val="00FA50CE"/>
    <w:rsid w:val="00FA522C"/>
    <w:rsid w:val="00FA5289"/>
    <w:rsid w:val="00FA591E"/>
    <w:rsid w:val="00FA5CD9"/>
    <w:rsid w:val="00FA638D"/>
    <w:rsid w:val="00FA69C2"/>
    <w:rsid w:val="00FA6A72"/>
    <w:rsid w:val="00FA7897"/>
    <w:rsid w:val="00FB0F15"/>
    <w:rsid w:val="00FB1064"/>
    <w:rsid w:val="00FB11BD"/>
    <w:rsid w:val="00FB1967"/>
    <w:rsid w:val="00FB2709"/>
    <w:rsid w:val="00FB32B9"/>
    <w:rsid w:val="00FB428C"/>
    <w:rsid w:val="00FB4757"/>
    <w:rsid w:val="00FB4A2B"/>
    <w:rsid w:val="00FB4D15"/>
    <w:rsid w:val="00FB5F8F"/>
    <w:rsid w:val="00FB6249"/>
    <w:rsid w:val="00FB690E"/>
    <w:rsid w:val="00FB6EB5"/>
    <w:rsid w:val="00FB77FA"/>
    <w:rsid w:val="00FB7903"/>
    <w:rsid w:val="00FB7F70"/>
    <w:rsid w:val="00FC0E36"/>
    <w:rsid w:val="00FC1921"/>
    <w:rsid w:val="00FC19BE"/>
    <w:rsid w:val="00FC1D84"/>
    <w:rsid w:val="00FC30B1"/>
    <w:rsid w:val="00FC356A"/>
    <w:rsid w:val="00FC36D7"/>
    <w:rsid w:val="00FC3FA3"/>
    <w:rsid w:val="00FC4268"/>
    <w:rsid w:val="00FC4947"/>
    <w:rsid w:val="00FC49DB"/>
    <w:rsid w:val="00FC4A73"/>
    <w:rsid w:val="00FC50D1"/>
    <w:rsid w:val="00FC559C"/>
    <w:rsid w:val="00FC57BA"/>
    <w:rsid w:val="00FC599D"/>
    <w:rsid w:val="00FC5EAE"/>
    <w:rsid w:val="00FC6508"/>
    <w:rsid w:val="00FC6750"/>
    <w:rsid w:val="00FC708A"/>
    <w:rsid w:val="00FD0AB0"/>
    <w:rsid w:val="00FD0D3E"/>
    <w:rsid w:val="00FD142D"/>
    <w:rsid w:val="00FD178A"/>
    <w:rsid w:val="00FD18F1"/>
    <w:rsid w:val="00FD1B52"/>
    <w:rsid w:val="00FD1BD1"/>
    <w:rsid w:val="00FD1CC2"/>
    <w:rsid w:val="00FD1CFD"/>
    <w:rsid w:val="00FD212B"/>
    <w:rsid w:val="00FD24EE"/>
    <w:rsid w:val="00FD2707"/>
    <w:rsid w:val="00FD2846"/>
    <w:rsid w:val="00FD2E3D"/>
    <w:rsid w:val="00FD32EF"/>
    <w:rsid w:val="00FD32F4"/>
    <w:rsid w:val="00FD62F5"/>
    <w:rsid w:val="00FD6794"/>
    <w:rsid w:val="00FD7561"/>
    <w:rsid w:val="00FD7622"/>
    <w:rsid w:val="00FE0135"/>
    <w:rsid w:val="00FE093A"/>
    <w:rsid w:val="00FE0E31"/>
    <w:rsid w:val="00FE164E"/>
    <w:rsid w:val="00FE1B72"/>
    <w:rsid w:val="00FE1DA4"/>
    <w:rsid w:val="00FE23A4"/>
    <w:rsid w:val="00FE2522"/>
    <w:rsid w:val="00FE262D"/>
    <w:rsid w:val="00FE32A4"/>
    <w:rsid w:val="00FE32BA"/>
    <w:rsid w:val="00FE32DF"/>
    <w:rsid w:val="00FE32FC"/>
    <w:rsid w:val="00FE3981"/>
    <w:rsid w:val="00FE3C53"/>
    <w:rsid w:val="00FE429E"/>
    <w:rsid w:val="00FE487A"/>
    <w:rsid w:val="00FE4962"/>
    <w:rsid w:val="00FE4CC8"/>
    <w:rsid w:val="00FE5342"/>
    <w:rsid w:val="00FE5BC9"/>
    <w:rsid w:val="00FE6064"/>
    <w:rsid w:val="00FE6403"/>
    <w:rsid w:val="00FE645A"/>
    <w:rsid w:val="00FE695A"/>
    <w:rsid w:val="00FE6E95"/>
    <w:rsid w:val="00FF03EA"/>
    <w:rsid w:val="00FF06D5"/>
    <w:rsid w:val="00FF071E"/>
    <w:rsid w:val="00FF0E8B"/>
    <w:rsid w:val="00FF1FDD"/>
    <w:rsid w:val="00FF20A0"/>
    <w:rsid w:val="00FF2D9F"/>
    <w:rsid w:val="00FF3905"/>
    <w:rsid w:val="00FF3FB5"/>
    <w:rsid w:val="00FF432E"/>
    <w:rsid w:val="00FF4691"/>
    <w:rsid w:val="00FF49E7"/>
    <w:rsid w:val="00FF53B8"/>
    <w:rsid w:val="00FF55B7"/>
    <w:rsid w:val="00FF5806"/>
    <w:rsid w:val="00FF5DC5"/>
    <w:rsid w:val="00FF6420"/>
    <w:rsid w:val="00FF642B"/>
    <w:rsid w:val="00FF6ADA"/>
    <w:rsid w:val="00FF6C5D"/>
    <w:rsid w:val="00FF71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804BF3"/>
    <w:rPr>
      <w:color w:val="0000FF"/>
      <w:u w:val="single"/>
    </w:rPr>
  </w:style>
  <w:style w:type="paragraph" w:customStyle="1" w:styleId="DepartmentalHeading3">
    <w:name w:val="Departmental Heading 3"/>
    <w:basedOn w:val="Heading3"/>
    <w:rsid w:val="00DA04CE"/>
    <w:pPr>
      <w:keepNext/>
      <w:spacing w:after="60"/>
    </w:pPr>
    <w:rPr>
      <w:rFonts w:ascii="Arial" w:eastAsia="Times New Roman" w:hAnsi="Arial" w:cs="Times New Roman"/>
      <w:b w:val="0"/>
      <w:i/>
      <w:sz w:val="24"/>
      <w:szCs w:val="20"/>
    </w:rPr>
  </w:style>
  <w:style w:type="paragraph" w:customStyle="1" w:styleId="TableText">
    <w:name w:val="Table Text"/>
    <w:basedOn w:val="Normal"/>
    <w:qFormat/>
    <w:rsid w:val="00002C4A"/>
    <w:pPr>
      <w:spacing w:before="80" w:after="80"/>
    </w:pPr>
    <w:rPr>
      <w:rFonts w:ascii="Arial" w:eastAsia="Times New Roman" w:hAnsi="Arial" w:cs="Times New Roman"/>
      <w:sz w:val="20"/>
      <w:szCs w:val="22"/>
    </w:rPr>
  </w:style>
  <w:style w:type="character" w:styleId="SubtleEmphasis">
    <w:name w:val="Subtle Emphasis"/>
    <w:basedOn w:val="DefaultParagraphFont"/>
    <w:uiPriority w:val="19"/>
    <w:qFormat/>
    <w:rsid w:val="00F57D23"/>
    <w:rPr>
      <w:rFonts w:ascii="Arial" w:hAnsi="Arial"/>
      <w:i w:val="0"/>
      <w:iCs/>
      <w:color w:val="auto"/>
      <w:spacing w:val="0"/>
      <w:sz w:val="20"/>
    </w:rPr>
  </w:style>
  <w:style w:type="paragraph" w:styleId="ListParagraph">
    <w:name w:val="List Paragraph"/>
    <w:basedOn w:val="Normal"/>
    <w:link w:val="ListParagraphChar"/>
    <w:uiPriority w:val="34"/>
    <w:qFormat/>
    <w:rsid w:val="009F3A87"/>
    <w:pPr>
      <w:ind w:left="720"/>
      <w:contextualSpacing/>
    </w:pPr>
  </w:style>
  <w:style w:type="paragraph" w:customStyle="1" w:styleId="PBSNormal">
    <w:name w:val="PBS Normal"/>
    <w:basedOn w:val="Normal"/>
    <w:link w:val="PBSNormalChar"/>
    <w:rsid w:val="003D367E"/>
    <w:pPr>
      <w:spacing w:after="150" w:line="340" w:lineRule="exact"/>
    </w:pPr>
    <w:rPr>
      <w:rFonts w:ascii="Candara" w:eastAsia="Times New Roman" w:hAnsi="Candara" w:cs="Times New Roman"/>
      <w:szCs w:val="20"/>
    </w:rPr>
  </w:style>
  <w:style w:type="character" w:customStyle="1" w:styleId="PBSNormalChar">
    <w:name w:val="PBS Normal Char"/>
    <w:basedOn w:val="DefaultParagraphFont"/>
    <w:link w:val="PBSNormal"/>
    <w:rsid w:val="003D367E"/>
    <w:rPr>
      <w:rFonts w:ascii="Candara" w:eastAsia="Times New Roman" w:hAnsi="Candara" w:cs="Times New Roman"/>
      <w:sz w:val="24"/>
      <w:szCs w:val="20"/>
    </w:rPr>
  </w:style>
  <w:style w:type="character" w:customStyle="1" w:styleId="A8">
    <w:name w:val="A8"/>
    <w:uiPriority w:val="99"/>
    <w:rsid w:val="008A28A2"/>
    <w:rPr>
      <w:rFonts w:ascii="HelveticaNeue Condensed" w:hAnsi="HelveticaNeue Condensed" w:cs="HelveticaNeue Condensed"/>
      <w:color w:val="000000"/>
      <w:sz w:val="15"/>
      <w:szCs w:val="15"/>
    </w:rPr>
  </w:style>
  <w:style w:type="paragraph" w:customStyle="1" w:styleId="Default">
    <w:name w:val="Default"/>
    <w:rsid w:val="009344F7"/>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72"/>
    <w:rsid w:val="00653AC2"/>
    <w:rPr>
      <w:sz w:val="24"/>
      <w:szCs w:val="24"/>
    </w:rPr>
  </w:style>
  <w:style w:type="character" w:styleId="PlaceholderText">
    <w:name w:val="Placeholder Text"/>
    <w:basedOn w:val="DefaultParagraphFont"/>
    <w:uiPriority w:val="99"/>
    <w:semiHidden/>
    <w:rsid w:val="009F1EFF"/>
    <w:rPr>
      <w:color w:val="808080"/>
    </w:rPr>
  </w:style>
  <w:style w:type="table" w:styleId="LightList-Accent6">
    <w:name w:val="Light List Accent 6"/>
    <w:basedOn w:val="TableNormal"/>
    <w:uiPriority w:val="61"/>
    <w:rsid w:val="00020E73"/>
    <w:pPr>
      <w:spacing w:after="0" w:line="240" w:lineRule="auto"/>
    </w:pPr>
    <w:rPr>
      <w:rFonts w:ascii="Times New Roman" w:eastAsiaTheme="minorHAnsi" w:hAnsi="Times New Roman"/>
      <w:sz w:val="24"/>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IntenseReference">
    <w:name w:val="Intense Reference"/>
    <w:basedOn w:val="DefaultParagraphFont"/>
    <w:uiPriority w:val="32"/>
    <w:qFormat/>
    <w:rsid w:val="00366E62"/>
    <w:rPr>
      <w:b/>
      <w:bCs/>
      <w:i/>
      <w:smallCaps/>
      <w:color w:val="C0504D" w:themeColor="accent2"/>
      <w:spacing w:val="5"/>
      <w:u w:val="none"/>
    </w:rPr>
  </w:style>
  <w:style w:type="paragraph" w:customStyle="1" w:styleId="PBACBullets">
    <w:name w:val="PBAC Bullets"/>
    <w:basedOn w:val="Normal"/>
    <w:qFormat/>
    <w:rsid w:val="00602115"/>
    <w:pPr>
      <w:numPr>
        <w:numId w:val="30"/>
      </w:numPr>
      <w:spacing w:before="240" w:after="60"/>
      <w:ind w:left="357" w:hanging="357"/>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804BF3"/>
    <w:rPr>
      <w:color w:val="0000FF"/>
      <w:u w:val="single"/>
    </w:rPr>
  </w:style>
  <w:style w:type="paragraph" w:customStyle="1" w:styleId="DepartmentalHeading3">
    <w:name w:val="Departmental Heading 3"/>
    <w:basedOn w:val="Heading3"/>
    <w:rsid w:val="00DA04CE"/>
    <w:pPr>
      <w:keepNext/>
      <w:spacing w:after="60"/>
    </w:pPr>
    <w:rPr>
      <w:rFonts w:ascii="Arial" w:eastAsia="Times New Roman" w:hAnsi="Arial" w:cs="Times New Roman"/>
      <w:b w:val="0"/>
      <w:i/>
      <w:sz w:val="24"/>
      <w:szCs w:val="20"/>
    </w:rPr>
  </w:style>
  <w:style w:type="paragraph" w:customStyle="1" w:styleId="TableText">
    <w:name w:val="Table Text"/>
    <w:basedOn w:val="Normal"/>
    <w:qFormat/>
    <w:rsid w:val="00002C4A"/>
    <w:pPr>
      <w:spacing w:before="80" w:after="80"/>
    </w:pPr>
    <w:rPr>
      <w:rFonts w:ascii="Arial" w:eastAsia="Times New Roman" w:hAnsi="Arial" w:cs="Times New Roman"/>
      <w:sz w:val="20"/>
      <w:szCs w:val="22"/>
    </w:rPr>
  </w:style>
  <w:style w:type="character" w:styleId="SubtleEmphasis">
    <w:name w:val="Subtle Emphasis"/>
    <w:basedOn w:val="DefaultParagraphFont"/>
    <w:uiPriority w:val="19"/>
    <w:qFormat/>
    <w:rsid w:val="00F57D23"/>
    <w:rPr>
      <w:rFonts w:ascii="Arial" w:hAnsi="Arial"/>
      <w:i w:val="0"/>
      <w:iCs/>
      <w:color w:val="auto"/>
      <w:spacing w:val="0"/>
      <w:sz w:val="20"/>
    </w:rPr>
  </w:style>
  <w:style w:type="paragraph" w:styleId="ListParagraph">
    <w:name w:val="List Paragraph"/>
    <w:basedOn w:val="Normal"/>
    <w:link w:val="ListParagraphChar"/>
    <w:uiPriority w:val="34"/>
    <w:qFormat/>
    <w:rsid w:val="009F3A87"/>
    <w:pPr>
      <w:ind w:left="720"/>
      <w:contextualSpacing/>
    </w:pPr>
  </w:style>
  <w:style w:type="paragraph" w:customStyle="1" w:styleId="PBSNormal">
    <w:name w:val="PBS Normal"/>
    <w:basedOn w:val="Normal"/>
    <w:link w:val="PBSNormalChar"/>
    <w:rsid w:val="003D367E"/>
    <w:pPr>
      <w:spacing w:after="150" w:line="340" w:lineRule="exact"/>
    </w:pPr>
    <w:rPr>
      <w:rFonts w:ascii="Candara" w:eastAsia="Times New Roman" w:hAnsi="Candara" w:cs="Times New Roman"/>
      <w:szCs w:val="20"/>
    </w:rPr>
  </w:style>
  <w:style w:type="character" w:customStyle="1" w:styleId="PBSNormalChar">
    <w:name w:val="PBS Normal Char"/>
    <w:basedOn w:val="DefaultParagraphFont"/>
    <w:link w:val="PBSNormal"/>
    <w:rsid w:val="003D367E"/>
    <w:rPr>
      <w:rFonts w:ascii="Candara" w:eastAsia="Times New Roman" w:hAnsi="Candara" w:cs="Times New Roman"/>
      <w:sz w:val="24"/>
      <w:szCs w:val="20"/>
    </w:rPr>
  </w:style>
  <w:style w:type="character" w:customStyle="1" w:styleId="A8">
    <w:name w:val="A8"/>
    <w:uiPriority w:val="99"/>
    <w:rsid w:val="008A28A2"/>
    <w:rPr>
      <w:rFonts w:ascii="HelveticaNeue Condensed" w:hAnsi="HelveticaNeue Condensed" w:cs="HelveticaNeue Condensed"/>
      <w:color w:val="000000"/>
      <w:sz w:val="15"/>
      <w:szCs w:val="15"/>
    </w:rPr>
  </w:style>
  <w:style w:type="paragraph" w:customStyle="1" w:styleId="Default">
    <w:name w:val="Default"/>
    <w:rsid w:val="009344F7"/>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72"/>
    <w:rsid w:val="00653AC2"/>
    <w:rPr>
      <w:sz w:val="24"/>
      <w:szCs w:val="24"/>
    </w:rPr>
  </w:style>
  <w:style w:type="character" w:styleId="PlaceholderText">
    <w:name w:val="Placeholder Text"/>
    <w:basedOn w:val="DefaultParagraphFont"/>
    <w:uiPriority w:val="99"/>
    <w:semiHidden/>
    <w:rsid w:val="009F1EFF"/>
    <w:rPr>
      <w:color w:val="808080"/>
    </w:rPr>
  </w:style>
  <w:style w:type="table" w:styleId="LightList-Accent6">
    <w:name w:val="Light List Accent 6"/>
    <w:basedOn w:val="TableNormal"/>
    <w:uiPriority w:val="61"/>
    <w:rsid w:val="00020E73"/>
    <w:pPr>
      <w:spacing w:after="0" w:line="240" w:lineRule="auto"/>
    </w:pPr>
    <w:rPr>
      <w:rFonts w:ascii="Times New Roman" w:eastAsiaTheme="minorHAnsi" w:hAnsi="Times New Roman"/>
      <w:sz w:val="24"/>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IntenseReference">
    <w:name w:val="Intense Reference"/>
    <w:basedOn w:val="DefaultParagraphFont"/>
    <w:uiPriority w:val="32"/>
    <w:qFormat/>
    <w:rsid w:val="00366E62"/>
    <w:rPr>
      <w:b/>
      <w:bCs/>
      <w:i/>
      <w:smallCaps/>
      <w:color w:val="C0504D" w:themeColor="accent2"/>
      <w:spacing w:val="5"/>
      <w:u w:val="none"/>
    </w:rPr>
  </w:style>
  <w:style w:type="paragraph" w:customStyle="1" w:styleId="PBACBullets">
    <w:name w:val="PBAC Bullets"/>
    <w:basedOn w:val="Normal"/>
    <w:qFormat/>
    <w:rsid w:val="00602115"/>
    <w:pPr>
      <w:numPr>
        <w:numId w:val="30"/>
      </w:numPr>
      <w:spacing w:before="240" w:after="60"/>
      <w:ind w:left="357" w:hanging="357"/>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449">
      <w:bodyDiv w:val="1"/>
      <w:marLeft w:val="0"/>
      <w:marRight w:val="0"/>
      <w:marTop w:val="0"/>
      <w:marBottom w:val="0"/>
      <w:divBdr>
        <w:top w:val="none" w:sz="0" w:space="0" w:color="auto"/>
        <w:left w:val="none" w:sz="0" w:space="0" w:color="auto"/>
        <w:bottom w:val="none" w:sz="0" w:space="0" w:color="auto"/>
        <w:right w:val="none" w:sz="0" w:space="0" w:color="auto"/>
      </w:divBdr>
      <w:divsChild>
        <w:div w:id="1830364489">
          <w:marLeft w:val="0"/>
          <w:marRight w:val="0"/>
          <w:marTop w:val="240"/>
          <w:marBottom w:val="480"/>
          <w:divBdr>
            <w:top w:val="none" w:sz="0" w:space="0" w:color="auto"/>
            <w:left w:val="none" w:sz="0" w:space="0" w:color="auto"/>
            <w:bottom w:val="none" w:sz="0" w:space="0" w:color="auto"/>
            <w:right w:val="none" w:sz="0" w:space="0" w:color="auto"/>
          </w:divBdr>
          <w:divsChild>
            <w:div w:id="30885866">
              <w:marLeft w:val="0"/>
              <w:marRight w:val="0"/>
              <w:marTop w:val="0"/>
              <w:marBottom w:val="0"/>
              <w:divBdr>
                <w:top w:val="none" w:sz="0" w:space="0" w:color="auto"/>
                <w:left w:val="none" w:sz="0" w:space="0" w:color="auto"/>
                <w:bottom w:val="none" w:sz="0" w:space="0" w:color="auto"/>
                <w:right w:val="none" w:sz="0" w:space="0" w:color="auto"/>
              </w:divBdr>
              <w:divsChild>
                <w:div w:id="2115587088">
                  <w:marLeft w:val="0"/>
                  <w:marRight w:val="0"/>
                  <w:marTop w:val="0"/>
                  <w:marBottom w:val="0"/>
                  <w:divBdr>
                    <w:top w:val="none" w:sz="0" w:space="0" w:color="auto"/>
                    <w:left w:val="none" w:sz="0" w:space="0" w:color="auto"/>
                    <w:bottom w:val="none" w:sz="0" w:space="0" w:color="auto"/>
                    <w:right w:val="none" w:sz="0" w:space="0" w:color="auto"/>
                  </w:divBdr>
                  <w:divsChild>
                    <w:div w:id="834148737">
                      <w:marLeft w:val="0"/>
                      <w:marRight w:val="0"/>
                      <w:marTop w:val="0"/>
                      <w:marBottom w:val="0"/>
                      <w:divBdr>
                        <w:top w:val="none" w:sz="0" w:space="0" w:color="auto"/>
                        <w:left w:val="none" w:sz="0" w:space="0" w:color="auto"/>
                        <w:bottom w:val="none" w:sz="0" w:space="0" w:color="auto"/>
                        <w:right w:val="none" w:sz="0" w:space="0" w:color="auto"/>
                      </w:divBdr>
                      <w:divsChild>
                        <w:div w:id="2110851544">
                          <w:marLeft w:val="0"/>
                          <w:marRight w:val="0"/>
                          <w:marTop w:val="0"/>
                          <w:marBottom w:val="0"/>
                          <w:divBdr>
                            <w:top w:val="none" w:sz="0" w:space="0" w:color="auto"/>
                            <w:left w:val="none" w:sz="0" w:space="0" w:color="auto"/>
                            <w:bottom w:val="none" w:sz="0" w:space="0" w:color="auto"/>
                            <w:right w:val="none" w:sz="0" w:space="0" w:color="auto"/>
                          </w:divBdr>
                          <w:divsChild>
                            <w:div w:id="19428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87987">
      <w:bodyDiv w:val="1"/>
      <w:marLeft w:val="0"/>
      <w:marRight w:val="0"/>
      <w:marTop w:val="0"/>
      <w:marBottom w:val="0"/>
      <w:divBdr>
        <w:top w:val="none" w:sz="0" w:space="0" w:color="auto"/>
        <w:left w:val="none" w:sz="0" w:space="0" w:color="auto"/>
        <w:bottom w:val="none" w:sz="0" w:space="0" w:color="auto"/>
        <w:right w:val="none" w:sz="0" w:space="0" w:color="auto"/>
      </w:divBdr>
    </w:div>
    <w:div w:id="94133455">
      <w:bodyDiv w:val="1"/>
      <w:marLeft w:val="0"/>
      <w:marRight w:val="0"/>
      <w:marTop w:val="0"/>
      <w:marBottom w:val="0"/>
      <w:divBdr>
        <w:top w:val="none" w:sz="0" w:space="0" w:color="auto"/>
        <w:left w:val="none" w:sz="0" w:space="0" w:color="auto"/>
        <w:bottom w:val="none" w:sz="0" w:space="0" w:color="auto"/>
        <w:right w:val="none" w:sz="0" w:space="0" w:color="auto"/>
      </w:divBdr>
      <w:divsChild>
        <w:div w:id="297229946">
          <w:marLeft w:val="0"/>
          <w:marRight w:val="0"/>
          <w:marTop w:val="240"/>
          <w:marBottom w:val="480"/>
          <w:divBdr>
            <w:top w:val="none" w:sz="0" w:space="0" w:color="auto"/>
            <w:left w:val="none" w:sz="0" w:space="0" w:color="auto"/>
            <w:bottom w:val="none" w:sz="0" w:space="0" w:color="auto"/>
            <w:right w:val="none" w:sz="0" w:space="0" w:color="auto"/>
          </w:divBdr>
          <w:divsChild>
            <w:div w:id="122621556">
              <w:marLeft w:val="0"/>
              <w:marRight w:val="0"/>
              <w:marTop w:val="0"/>
              <w:marBottom w:val="0"/>
              <w:divBdr>
                <w:top w:val="none" w:sz="0" w:space="0" w:color="auto"/>
                <w:left w:val="none" w:sz="0" w:space="0" w:color="auto"/>
                <w:bottom w:val="none" w:sz="0" w:space="0" w:color="auto"/>
                <w:right w:val="none" w:sz="0" w:space="0" w:color="auto"/>
              </w:divBdr>
              <w:divsChild>
                <w:div w:id="1111779459">
                  <w:marLeft w:val="0"/>
                  <w:marRight w:val="0"/>
                  <w:marTop w:val="0"/>
                  <w:marBottom w:val="0"/>
                  <w:divBdr>
                    <w:top w:val="none" w:sz="0" w:space="0" w:color="auto"/>
                    <w:left w:val="none" w:sz="0" w:space="0" w:color="auto"/>
                    <w:bottom w:val="none" w:sz="0" w:space="0" w:color="auto"/>
                    <w:right w:val="none" w:sz="0" w:space="0" w:color="auto"/>
                  </w:divBdr>
                  <w:divsChild>
                    <w:div w:id="15806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17416">
      <w:bodyDiv w:val="1"/>
      <w:marLeft w:val="0"/>
      <w:marRight w:val="0"/>
      <w:marTop w:val="0"/>
      <w:marBottom w:val="0"/>
      <w:divBdr>
        <w:top w:val="none" w:sz="0" w:space="0" w:color="auto"/>
        <w:left w:val="none" w:sz="0" w:space="0" w:color="auto"/>
        <w:bottom w:val="none" w:sz="0" w:space="0" w:color="auto"/>
        <w:right w:val="none" w:sz="0" w:space="0" w:color="auto"/>
      </w:divBdr>
    </w:div>
    <w:div w:id="277296402">
      <w:bodyDiv w:val="1"/>
      <w:marLeft w:val="0"/>
      <w:marRight w:val="0"/>
      <w:marTop w:val="0"/>
      <w:marBottom w:val="0"/>
      <w:divBdr>
        <w:top w:val="none" w:sz="0" w:space="0" w:color="auto"/>
        <w:left w:val="none" w:sz="0" w:space="0" w:color="auto"/>
        <w:bottom w:val="none" w:sz="0" w:space="0" w:color="auto"/>
        <w:right w:val="none" w:sz="0" w:space="0" w:color="auto"/>
      </w:divBdr>
    </w:div>
    <w:div w:id="298270361">
      <w:bodyDiv w:val="1"/>
      <w:marLeft w:val="0"/>
      <w:marRight w:val="0"/>
      <w:marTop w:val="0"/>
      <w:marBottom w:val="0"/>
      <w:divBdr>
        <w:top w:val="none" w:sz="0" w:space="0" w:color="auto"/>
        <w:left w:val="none" w:sz="0" w:space="0" w:color="auto"/>
        <w:bottom w:val="none" w:sz="0" w:space="0" w:color="auto"/>
        <w:right w:val="none" w:sz="0" w:space="0" w:color="auto"/>
      </w:divBdr>
    </w:div>
    <w:div w:id="309136075">
      <w:bodyDiv w:val="1"/>
      <w:marLeft w:val="0"/>
      <w:marRight w:val="0"/>
      <w:marTop w:val="0"/>
      <w:marBottom w:val="0"/>
      <w:divBdr>
        <w:top w:val="none" w:sz="0" w:space="0" w:color="auto"/>
        <w:left w:val="none" w:sz="0" w:space="0" w:color="auto"/>
        <w:bottom w:val="none" w:sz="0" w:space="0" w:color="auto"/>
        <w:right w:val="none" w:sz="0" w:space="0" w:color="auto"/>
      </w:divBdr>
      <w:divsChild>
        <w:div w:id="1941571818">
          <w:marLeft w:val="0"/>
          <w:marRight w:val="0"/>
          <w:marTop w:val="0"/>
          <w:marBottom w:val="0"/>
          <w:divBdr>
            <w:top w:val="none" w:sz="0" w:space="0" w:color="auto"/>
            <w:left w:val="none" w:sz="0" w:space="0" w:color="auto"/>
            <w:bottom w:val="none" w:sz="0" w:space="0" w:color="auto"/>
            <w:right w:val="none" w:sz="0" w:space="0" w:color="auto"/>
          </w:divBdr>
          <w:divsChild>
            <w:div w:id="869026591">
              <w:marLeft w:val="0"/>
              <w:marRight w:val="0"/>
              <w:marTop w:val="0"/>
              <w:marBottom w:val="0"/>
              <w:divBdr>
                <w:top w:val="none" w:sz="0" w:space="0" w:color="auto"/>
                <w:left w:val="none" w:sz="0" w:space="0" w:color="auto"/>
                <w:bottom w:val="none" w:sz="0" w:space="0" w:color="auto"/>
                <w:right w:val="none" w:sz="0" w:space="0" w:color="auto"/>
              </w:divBdr>
              <w:divsChild>
                <w:div w:id="1114791397">
                  <w:marLeft w:val="150"/>
                  <w:marRight w:val="150"/>
                  <w:marTop w:val="0"/>
                  <w:marBottom w:val="0"/>
                  <w:divBdr>
                    <w:top w:val="none" w:sz="0" w:space="0" w:color="auto"/>
                    <w:left w:val="none" w:sz="0" w:space="0" w:color="auto"/>
                    <w:bottom w:val="none" w:sz="0" w:space="0" w:color="auto"/>
                    <w:right w:val="none" w:sz="0" w:space="0" w:color="auto"/>
                  </w:divBdr>
                  <w:divsChild>
                    <w:div w:id="1853883524">
                      <w:marLeft w:val="0"/>
                      <w:marRight w:val="0"/>
                      <w:marTop w:val="0"/>
                      <w:marBottom w:val="0"/>
                      <w:divBdr>
                        <w:top w:val="none" w:sz="0" w:space="0" w:color="auto"/>
                        <w:left w:val="none" w:sz="0" w:space="0" w:color="auto"/>
                        <w:bottom w:val="none" w:sz="0" w:space="0" w:color="auto"/>
                        <w:right w:val="none" w:sz="0" w:space="0" w:color="auto"/>
                      </w:divBdr>
                      <w:divsChild>
                        <w:div w:id="594704031">
                          <w:marLeft w:val="0"/>
                          <w:marRight w:val="0"/>
                          <w:marTop w:val="0"/>
                          <w:marBottom w:val="0"/>
                          <w:divBdr>
                            <w:top w:val="none" w:sz="0" w:space="0" w:color="auto"/>
                            <w:left w:val="none" w:sz="0" w:space="0" w:color="auto"/>
                            <w:bottom w:val="none" w:sz="0" w:space="0" w:color="auto"/>
                            <w:right w:val="none" w:sz="0" w:space="0" w:color="auto"/>
                          </w:divBdr>
                          <w:divsChild>
                            <w:div w:id="15083680">
                              <w:marLeft w:val="0"/>
                              <w:marRight w:val="0"/>
                              <w:marTop w:val="0"/>
                              <w:marBottom w:val="0"/>
                              <w:divBdr>
                                <w:top w:val="none" w:sz="0" w:space="0" w:color="auto"/>
                                <w:left w:val="none" w:sz="0" w:space="0" w:color="auto"/>
                                <w:bottom w:val="none" w:sz="0" w:space="0" w:color="auto"/>
                                <w:right w:val="none" w:sz="0" w:space="0" w:color="auto"/>
                              </w:divBdr>
                              <w:divsChild>
                                <w:div w:id="68890968">
                                  <w:marLeft w:val="0"/>
                                  <w:marRight w:val="0"/>
                                  <w:marTop w:val="0"/>
                                  <w:marBottom w:val="0"/>
                                  <w:divBdr>
                                    <w:top w:val="none" w:sz="0" w:space="0" w:color="auto"/>
                                    <w:left w:val="none" w:sz="0" w:space="0" w:color="auto"/>
                                    <w:bottom w:val="none" w:sz="0" w:space="0" w:color="auto"/>
                                    <w:right w:val="none" w:sz="0" w:space="0" w:color="auto"/>
                                  </w:divBdr>
                                  <w:divsChild>
                                    <w:div w:id="373238670">
                                      <w:marLeft w:val="0"/>
                                      <w:marRight w:val="0"/>
                                      <w:marTop w:val="0"/>
                                      <w:marBottom w:val="0"/>
                                      <w:divBdr>
                                        <w:top w:val="none" w:sz="0" w:space="0" w:color="auto"/>
                                        <w:left w:val="none" w:sz="0" w:space="0" w:color="auto"/>
                                        <w:bottom w:val="none" w:sz="0" w:space="0" w:color="auto"/>
                                        <w:right w:val="none" w:sz="0" w:space="0" w:color="auto"/>
                                      </w:divBdr>
                                      <w:divsChild>
                                        <w:div w:id="1519926373">
                                          <w:marLeft w:val="0"/>
                                          <w:marRight w:val="0"/>
                                          <w:marTop w:val="0"/>
                                          <w:marBottom w:val="0"/>
                                          <w:divBdr>
                                            <w:top w:val="none" w:sz="0" w:space="0" w:color="auto"/>
                                            <w:left w:val="none" w:sz="0" w:space="0" w:color="auto"/>
                                            <w:bottom w:val="none" w:sz="0" w:space="0" w:color="auto"/>
                                            <w:right w:val="none" w:sz="0" w:space="0" w:color="auto"/>
                                          </w:divBdr>
                                          <w:divsChild>
                                            <w:div w:id="664555364">
                                              <w:marLeft w:val="0"/>
                                              <w:marRight w:val="0"/>
                                              <w:marTop w:val="0"/>
                                              <w:marBottom w:val="0"/>
                                              <w:divBdr>
                                                <w:top w:val="none" w:sz="0" w:space="0" w:color="auto"/>
                                                <w:left w:val="none" w:sz="0" w:space="0" w:color="auto"/>
                                                <w:bottom w:val="none" w:sz="0" w:space="0" w:color="auto"/>
                                                <w:right w:val="none" w:sz="0" w:space="0" w:color="auto"/>
                                              </w:divBdr>
                                              <w:divsChild>
                                                <w:div w:id="935595443">
                                                  <w:marLeft w:val="0"/>
                                                  <w:marRight w:val="0"/>
                                                  <w:marTop w:val="0"/>
                                                  <w:marBottom w:val="0"/>
                                                  <w:divBdr>
                                                    <w:top w:val="none" w:sz="0" w:space="0" w:color="auto"/>
                                                    <w:left w:val="none" w:sz="0" w:space="0" w:color="auto"/>
                                                    <w:bottom w:val="none" w:sz="0" w:space="0" w:color="auto"/>
                                                    <w:right w:val="none" w:sz="0" w:space="0" w:color="auto"/>
                                                  </w:divBdr>
                                                  <w:divsChild>
                                                    <w:div w:id="549610801">
                                                      <w:marLeft w:val="0"/>
                                                      <w:marRight w:val="0"/>
                                                      <w:marTop w:val="0"/>
                                                      <w:marBottom w:val="0"/>
                                                      <w:divBdr>
                                                        <w:top w:val="none" w:sz="0" w:space="0" w:color="auto"/>
                                                        <w:left w:val="none" w:sz="0" w:space="0" w:color="auto"/>
                                                        <w:bottom w:val="none" w:sz="0" w:space="0" w:color="auto"/>
                                                        <w:right w:val="none" w:sz="0" w:space="0" w:color="auto"/>
                                                      </w:divBdr>
                                                      <w:divsChild>
                                                        <w:div w:id="409158902">
                                                          <w:marLeft w:val="0"/>
                                                          <w:marRight w:val="0"/>
                                                          <w:marTop w:val="0"/>
                                                          <w:marBottom w:val="0"/>
                                                          <w:divBdr>
                                                            <w:top w:val="none" w:sz="0" w:space="0" w:color="auto"/>
                                                            <w:left w:val="none" w:sz="0" w:space="0" w:color="auto"/>
                                                            <w:bottom w:val="none" w:sz="0" w:space="0" w:color="auto"/>
                                                            <w:right w:val="none" w:sz="0" w:space="0" w:color="auto"/>
                                                          </w:divBdr>
                                                          <w:divsChild>
                                                            <w:div w:id="360981230">
                                                              <w:marLeft w:val="0"/>
                                                              <w:marRight w:val="0"/>
                                                              <w:marTop w:val="0"/>
                                                              <w:marBottom w:val="0"/>
                                                              <w:divBdr>
                                                                <w:top w:val="none" w:sz="0" w:space="0" w:color="auto"/>
                                                                <w:left w:val="none" w:sz="0" w:space="0" w:color="auto"/>
                                                                <w:bottom w:val="none" w:sz="0" w:space="0" w:color="auto"/>
                                                                <w:right w:val="none" w:sz="0" w:space="0" w:color="auto"/>
                                                              </w:divBdr>
                                                              <w:divsChild>
                                                                <w:div w:id="12448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23497534">
      <w:bodyDiv w:val="1"/>
      <w:marLeft w:val="0"/>
      <w:marRight w:val="0"/>
      <w:marTop w:val="0"/>
      <w:marBottom w:val="0"/>
      <w:divBdr>
        <w:top w:val="none" w:sz="0" w:space="0" w:color="auto"/>
        <w:left w:val="none" w:sz="0" w:space="0" w:color="auto"/>
        <w:bottom w:val="none" w:sz="0" w:space="0" w:color="auto"/>
        <w:right w:val="none" w:sz="0" w:space="0" w:color="auto"/>
      </w:divBdr>
    </w:div>
    <w:div w:id="450824156">
      <w:bodyDiv w:val="1"/>
      <w:marLeft w:val="0"/>
      <w:marRight w:val="0"/>
      <w:marTop w:val="0"/>
      <w:marBottom w:val="0"/>
      <w:divBdr>
        <w:top w:val="none" w:sz="0" w:space="0" w:color="auto"/>
        <w:left w:val="none" w:sz="0" w:space="0" w:color="auto"/>
        <w:bottom w:val="none" w:sz="0" w:space="0" w:color="auto"/>
        <w:right w:val="none" w:sz="0" w:space="0" w:color="auto"/>
      </w:divBdr>
    </w:div>
    <w:div w:id="451677909">
      <w:bodyDiv w:val="1"/>
      <w:marLeft w:val="0"/>
      <w:marRight w:val="0"/>
      <w:marTop w:val="0"/>
      <w:marBottom w:val="0"/>
      <w:divBdr>
        <w:top w:val="none" w:sz="0" w:space="0" w:color="auto"/>
        <w:left w:val="none" w:sz="0" w:space="0" w:color="auto"/>
        <w:bottom w:val="none" w:sz="0" w:space="0" w:color="auto"/>
        <w:right w:val="none" w:sz="0" w:space="0" w:color="auto"/>
      </w:divBdr>
    </w:div>
    <w:div w:id="485975099">
      <w:bodyDiv w:val="1"/>
      <w:marLeft w:val="0"/>
      <w:marRight w:val="0"/>
      <w:marTop w:val="0"/>
      <w:marBottom w:val="0"/>
      <w:divBdr>
        <w:top w:val="none" w:sz="0" w:space="0" w:color="auto"/>
        <w:left w:val="none" w:sz="0" w:space="0" w:color="auto"/>
        <w:bottom w:val="none" w:sz="0" w:space="0" w:color="auto"/>
        <w:right w:val="none" w:sz="0" w:space="0" w:color="auto"/>
      </w:divBdr>
    </w:div>
    <w:div w:id="488668189">
      <w:bodyDiv w:val="1"/>
      <w:marLeft w:val="0"/>
      <w:marRight w:val="0"/>
      <w:marTop w:val="0"/>
      <w:marBottom w:val="0"/>
      <w:divBdr>
        <w:top w:val="none" w:sz="0" w:space="0" w:color="auto"/>
        <w:left w:val="none" w:sz="0" w:space="0" w:color="auto"/>
        <w:bottom w:val="none" w:sz="0" w:space="0" w:color="auto"/>
        <w:right w:val="none" w:sz="0" w:space="0" w:color="auto"/>
      </w:divBdr>
      <w:divsChild>
        <w:div w:id="558397703">
          <w:marLeft w:val="0"/>
          <w:marRight w:val="0"/>
          <w:marTop w:val="240"/>
          <w:marBottom w:val="480"/>
          <w:divBdr>
            <w:top w:val="none" w:sz="0" w:space="0" w:color="auto"/>
            <w:left w:val="none" w:sz="0" w:space="0" w:color="auto"/>
            <w:bottom w:val="none" w:sz="0" w:space="0" w:color="auto"/>
            <w:right w:val="none" w:sz="0" w:space="0" w:color="auto"/>
          </w:divBdr>
          <w:divsChild>
            <w:div w:id="2063166232">
              <w:marLeft w:val="0"/>
              <w:marRight w:val="0"/>
              <w:marTop w:val="0"/>
              <w:marBottom w:val="0"/>
              <w:divBdr>
                <w:top w:val="none" w:sz="0" w:space="0" w:color="auto"/>
                <w:left w:val="none" w:sz="0" w:space="0" w:color="auto"/>
                <w:bottom w:val="none" w:sz="0" w:space="0" w:color="auto"/>
                <w:right w:val="none" w:sz="0" w:space="0" w:color="auto"/>
              </w:divBdr>
              <w:divsChild>
                <w:div w:id="860047295">
                  <w:marLeft w:val="0"/>
                  <w:marRight w:val="0"/>
                  <w:marTop w:val="0"/>
                  <w:marBottom w:val="0"/>
                  <w:divBdr>
                    <w:top w:val="none" w:sz="0" w:space="0" w:color="auto"/>
                    <w:left w:val="none" w:sz="0" w:space="0" w:color="auto"/>
                    <w:bottom w:val="none" w:sz="0" w:space="0" w:color="auto"/>
                    <w:right w:val="none" w:sz="0" w:space="0" w:color="auto"/>
                  </w:divBdr>
                  <w:divsChild>
                    <w:div w:id="17799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79559">
      <w:bodyDiv w:val="1"/>
      <w:marLeft w:val="0"/>
      <w:marRight w:val="0"/>
      <w:marTop w:val="0"/>
      <w:marBottom w:val="0"/>
      <w:divBdr>
        <w:top w:val="none" w:sz="0" w:space="0" w:color="auto"/>
        <w:left w:val="none" w:sz="0" w:space="0" w:color="auto"/>
        <w:bottom w:val="none" w:sz="0" w:space="0" w:color="auto"/>
        <w:right w:val="none" w:sz="0" w:space="0" w:color="auto"/>
      </w:divBdr>
    </w:div>
    <w:div w:id="589697962">
      <w:bodyDiv w:val="1"/>
      <w:marLeft w:val="0"/>
      <w:marRight w:val="0"/>
      <w:marTop w:val="0"/>
      <w:marBottom w:val="0"/>
      <w:divBdr>
        <w:top w:val="none" w:sz="0" w:space="0" w:color="auto"/>
        <w:left w:val="none" w:sz="0" w:space="0" w:color="auto"/>
        <w:bottom w:val="none" w:sz="0" w:space="0" w:color="auto"/>
        <w:right w:val="none" w:sz="0" w:space="0" w:color="auto"/>
      </w:divBdr>
    </w:div>
    <w:div w:id="616259137">
      <w:bodyDiv w:val="1"/>
      <w:marLeft w:val="0"/>
      <w:marRight w:val="0"/>
      <w:marTop w:val="0"/>
      <w:marBottom w:val="0"/>
      <w:divBdr>
        <w:top w:val="none" w:sz="0" w:space="0" w:color="auto"/>
        <w:left w:val="none" w:sz="0" w:space="0" w:color="auto"/>
        <w:bottom w:val="none" w:sz="0" w:space="0" w:color="auto"/>
        <w:right w:val="none" w:sz="0" w:space="0" w:color="auto"/>
      </w:divBdr>
      <w:divsChild>
        <w:div w:id="1861312456">
          <w:marLeft w:val="0"/>
          <w:marRight w:val="0"/>
          <w:marTop w:val="0"/>
          <w:marBottom w:val="0"/>
          <w:divBdr>
            <w:top w:val="none" w:sz="0" w:space="0" w:color="auto"/>
            <w:left w:val="none" w:sz="0" w:space="0" w:color="auto"/>
            <w:bottom w:val="none" w:sz="0" w:space="0" w:color="auto"/>
            <w:right w:val="none" w:sz="0" w:space="0" w:color="auto"/>
          </w:divBdr>
          <w:divsChild>
            <w:div w:id="1924023931">
              <w:marLeft w:val="0"/>
              <w:marRight w:val="0"/>
              <w:marTop w:val="0"/>
              <w:marBottom w:val="0"/>
              <w:divBdr>
                <w:top w:val="none" w:sz="0" w:space="0" w:color="auto"/>
                <w:left w:val="none" w:sz="0" w:space="0" w:color="auto"/>
                <w:bottom w:val="none" w:sz="0" w:space="0" w:color="auto"/>
                <w:right w:val="none" w:sz="0" w:space="0" w:color="auto"/>
              </w:divBdr>
              <w:divsChild>
                <w:div w:id="1412505231">
                  <w:marLeft w:val="0"/>
                  <w:marRight w:val="0"/>
                  <w:marTop w:val="0"/>
                  <w:marBottom w:val="0"/>
                  <w:divBdr>
                    <w:top w:val="none" w:sz="0" w:space="0" w:color="auto"/>
                    <w:left w:val="none" w:sz="0" w:space="0" w:color="auto"/>
                    <w:bottom w:val="none" w:sz="0" w:space="0" w:color="auto"/>
                    <w:right w:val="none" w:sz="0" w:space="0" w:color="auto"/>
                  </w:divBdr>
                  <w:divsChild>
                    <w:div w:id="1055440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42799">
      <w:bodyDiv w:val="1"/>
      <w:marLeft w:val="0"/>
      <w:marRight w:val="0"/>
      <w:marTop w:val="0"/>
      <w:marBottom w:val="0"/>
      <w:divBdr>
        <w:top w:val="none" w:sz="0" w:space="0" w:color="auto"/>
        <w:left w:val="none" w:sz="0" w:space="0" w:color="auto"/>
        <w:bottom w:val="none" w:sz="0" w:space="0" w:color="auto"/>
        <w:right w:val="none" w:sz="0" w:space="0" w:color="auto"/>
      </w:divBdr>
    </w:div>
    <w:div w:id="670566942">
      <w:bodyDiv w:val="1"/>
      <w:marLeft w:val="0"/>
      <w:marRight w:val="0"/>
      <w:marTop w:val="0"/>
      <w:marBottom w:val="0"/>
      <w:divBdr>
        <w:top w:val="none" w:sz="0" w:space="0" w:color="auto"/>
        <w:left w:val="none" w:sz="0" w:space="0" w:color="auto"/>
        <w:bottom w:val="none" w:sz="0" w:space="0" w:color="auto"/>
        <w:right w:val="none" w:sz="0" w:space="0" w:color="auto"/>
      </w:divBdr>
    </w:div>
    <w:div w:id="704984898">
      <w:bodyDiv w:val="1"/>
      <w:marLeft w:val="0"/>
      <w:marRight w:val="0"/>
      <w:marTop w:val="0"/>
      <w:marBottom w:val="0"/>
      <w:divBdr>
        <w:top w:val="none" w:sz="0" w:space="0" w:color="auto"/>
        <w:left w:val="none" w:sz="0" w:space="0" w:color="auto"/>
        <w:bottom w:val="none" w:sz="0" w:space="0" w:color="auto"/>
        <w:right w:val="none" w:sz="0" w:space="0" w:color="auto"/>
      </w:divBdr>
    </w:div>
    <w:div w:id="767504521">
      <w:bodyDiv w:val="1"/>
      <w:marLeft w:val="0"/>
      <w:marRight w:val="0"/>
      <w:marTop w:val="0"/>
      <w:marBottom w:val="0"/>
      <w:divBdr>
        <w:top w:val="none" w:sz="0" w:space="0" w:color="auto"/>
        <w:left w:val="none" w:sz="0" w:space="0" w:color="auto"/>
        <w:bottom w:val="none" w:sz="0" w:space="0" w:color="auto"/>
        <w:right w:val="none" w:sz="0" w:space="0" w:color="auto"/>
      </w:divBdr>
    </w:div>
    <w:div w:id="780563868">
      <w:bodyDiv w:val="1"/>
      <w:marLeft w:val="0"/>
      <w:marRight w:val="0"/>
      <w:marTop w:val="0"/>
      <w:marBottom w:val="0"/>
      <w:divBdr>
        <w:top w:val="none" w:sz="0" w:space="0" w:color="auto"/>
        <w:left w:val="none" w:sz="0" w:space="0" w:color="auto"/>
        <w:bottom w:val="none" w:sz="0" w:space="0" w:color="auto"/>
        <w:right w:val="none" w:sz="0" w:space="0" w:color="auto"/>
      </w:divBdr>
      <w:divsChild>
        <w:div w:id="96557937">
          <w:marLeft w:val="0"/>
          <w:marRight w:val="0"/>
          <w:marTop w:val="240"/>
          <w:marBottom w:val="480"/>
          <w:divBdr>
            <w:top w:val="none" w:sz="0" w:space="0" w:color="auto"/>
            <w:left w:val="none" w:sz="0" w:space="0" w:color="auto"/>
            <w:bottom w:val="none" w:sz="0" w:space="0" w:color="auto"/>
            <w:right w:val="none" w:sz="0" w:space="0" w:color="auto"/>
          </w:divBdr>
          <w:divsChild>
            <w:div w:id="2127236857">
              <w:marLeft w:val="0"/>
              <w:marRight w:val="0"/>
              <w:marTop w:val="0"/>
              <w:marBottom w:val="0"/>
              <w:divBdr>
                <w:top w:val="none" w:sz="0" w:space="0" w:color="auto"/>
                <w:left w:val="none" w:sz="0" w:space="0" w:color="auto"/>
                <w:bottom w:val="none" w:sz="0" w:space="0" w:color="auto"/>
                <w:right w:val="none" w:sz="0" w:space="0" w:color="auto"/>
              </w:divBdr>
              <w:divsChild>
                <w:div w:id="1514219252">
                  <w:marLeft w:val="0"/>
                  <w:marRight w:val="0"/>
                  <w:marTop w:val="0"/>
                  <w:marBottom w:val="0"/>
                  <w:divBdr>
                    <w:top w:val="none" w:sz="0" w:space="0" w:color="auto"/>
                    <w:left w:val="none" w:sz="0" w:space="0" w:color="auto"/>
                    <w:bottom w:val="none" w:sz="0" w:space="0" w:color="auto"/>
                    <w:right w:val="none" w:sz="0" w:space="0" w:color="auto"/>
                  </w:divBdr>
                  <w:divsChild>
                    <w:div w:id="12796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2788">
      <w:bodyDiv w:val="1"/>
      <w:marLeft w:val="0"/>
      <w:marRight w:val="0"/>
      <w:marTop w:val="0"/>
      <w:marBottom w:val="0"/>
      <w:divBdr>
        <w:top w:val="none" w:sz="0" w:space="0" w:color="auto"/>
        <w:left w:val="none" w:sz="0" w:space="0" w:color="auto"/>
        <w:bottom w:val="none" w:sz="0" w:space="0" w:color="auto"/>
        <w:right w:val="none" w:sz="0" w:space="0" w:color="auto"/>
      </w:divBdr>
      <w:divsChild>
        <w:div w:id="1840341107">
          <w:marLeft w:val="0"/>
          <w:marRight w:val="0"/>
          <w:marTop w:val="240"/>
          <w:marBottom w:val="480"/>
          <w:divBdr>
            <w:top w:val="none" w:sz="0" w:space="0" w:color="auto"/>
            <w:left w:val="none" w:sz="0" w:space="0" w:color="auto"/>
            <w:bottom w:val="none" w:sz="0" w:space="0" w:color="auto"/>
            <w:right w:val="none" w:sz="0" w:space="0" w:color="auto"/>
          </w:divBdr>
          <w:divsChild>
            <w:div w:id="1417088491">
              <w:marLeft w:val="0"/>
              <w:marRight w:val="0"/>
              <w:marTop w:val="0"/>
              <w:marBottom w:val="0"/>
              <w:divBdr>
                <w:top w:val="none" w:sz="0" w:space="0" w:color="auto"/>
                <w:left w:val="none" w:sz="0" w:space="0" w:color="auto"/>
                <w:bottom w:val="none" w:sz="0" w:space="0" w:color="auto"/>
                <w:right w:val="none" w:sz="0" w:space="0" w:color="auto"/>
              </w:divBdr>
              <w:divsChild>
                <w:div w:id="1341662686">
                  <w:marLeft w:val="0"/>
                  <w:marRight w:val="0"/>
                  <w:marTop w:val="0"/>
                  <w:marBottom w:val="0"/>
                  <w:divBdr>
                    <w:top w:val="none" w:sz="0" w:space="0" w:color="auto"/>
                    <w:left w:val="none" w:sz="0" w:space="0" w:color="auto"/>
                    <w:bottom w:val="none" w:sz="0" w:space="0" w:color="auto"/>
                    <w:right w:val="none" w:sz="0" w:space="0" w:color="auto"/>
                  </w:divBdr>
                  <w:divsChild>
                    <w:div w:id="6370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02385">
      <w:bodyDiv w:val="1"/>
      <w:marLeft w:val="0"/>
      <w:marRight w:val="0"/>
      <w:marTop w:val="0"/>
      <w:marBottom w:val="0"/>
      <w:divBdr>
        <w:top w:val="none" w:sz="0" w:space="0" w:color="auto"/>
        <w:left w:val="none" w:sz="0" w:space="0" w:color="auto"/>
        <w:bottom w:val="none" w:sz="0" w:space="0" w:color="auto"/>
        <w:right w:val="none" w:sz="0" w:space="0" w:color="auto"/>
      </w:divBdr>
    </w:div>
    <w:div w:id="829642427">
      <w:bodyDiv w:val="1"/>
      <w:marLeft w:val="0"/>
      <w:marRight w:val="0"/>
      <w:marTop w:val="0"/>
      <w:marBottom w:val="0"/>
      <w:divBdr>
        <w:top w:val="none" w:sz="0" w:space="0" w:color="auto"/>
        <w:left w:val="none" w:sz="0" w:space="0" w:color="auto"/>
        <w:bottom w:val="none" w:sz="0" w:space="0" w:color="auto"/>
        <w:right w:val="none" w:sz="0" w:space="0" w:color="auto"/>
      </w:divBdr>
    </w:div>
    <w:div w:id="970479004">
      <w:bodyDiv w:val="1"/>
      <w:marLeft w:val="0"/>
      <w:marRight w:val="0"/>
      <w:marTop w:val="0"/>
      <w:marBottom w:val="0"/>
      <w:divBdr>
        <w:top w:val="none" w:sz="0" w:space="0" w:color="auto"/>
        <w:left w:val="none" w:sz="0" w:space="0" w:color="auto"/>
        <w:bottom w:val="none" w:sz="0" w:space="0" w:color="auto"/>
        <w:right w:val="none" w:sz="0" w:space="0" w:color="auto"/>
      </w:divBdr>
    </w:div>
    <w:div w:id="973831991">
      <w:bodyDiv w:val="1"/>
      <w:marLeft w:val="0"/>
      <w:marRight w:val="0"/>
      <w:marTop w:val="0"/>
      <w:marBottom w:val="0"/>
      <w:divBdr>
        <w:top w:val="none" w:sz="0" w:space="0" w:color="auto"/>
        <w:left w:val="none" w:sz="0" w:space="0" w:color="auto"/>
        <w:bottom w:val="none" w:sz="0" w:space="0" w:color="auto"/>
        <w:right w:val="none" w:sz="0" w:space="0" w:color="auto"/>
      </w:divBdr>
    </w:div>
    <w:div w:id="1010915656">
      <w:bodyDiv w:val="1"/>
      <w:marLeft w:val="0"/>
      <w:marRight w:val="0"/>
      <w:marTop w:val="0"/>
      <w:marBottom w:val="0"/>
      <w:divBdr>
        <w:top w:val="none" w:sz="0" w:space="0" w:color="auto"/>
        <w:left w:val="none" w:sz="0" w:space="0" w:color="auto"/>
        <w:bottom w:val="none" w:sz="0" w:space="0" w:color="auto"/>
        <w:right w:val="none" w:sz="0" w:space="0" w:color="auto"/>
      </w:divBdr>
    </w:div>
    <w:div w:id="1114516733">
      <w:bodyDiv w:val="1"/>
      <w:marLeft w:val="0"/>
      <w:marRight w:val="0"/>
      <w:marTop w:val="0"/>
      <w:marBottom w:val="0"/>
      <w:divBdr>
        <w:top w:val="none" w:sz="0" w:space="0" w:color="auto"/>
        <w:left w:val="none" w:sz="0" w:space="0" w:color="auto"/>
        <w:bottom w:val="none" w:sz="0" w:space="0" w:color="auto"/>
        <w:right w:val="none" w:sz="0" w:space="0" w:color="auto"/>
      </w:divBdr>
    </w:div>
    <w:div w:id="1141272561">
      <w:bodyDiv w:val="1"/>
      <w:marLeft w:val="0"/>
      <w:marRight w:val="0"/>
      <w:marTop w:val="0"/>
      <w:marBottom w:val="0"/>
      <w:divBdr>
        <w:top w:val="none" w:sz="0" w:space="0" w:color="auto"/>
        <w:left w:val="none" w:sz="0" w:space="0" w:color="auto"/>
        <w:bottom w:val="none" w:sz="0" w:space="0" w:color="auto"/>
        <w:right w:val="none" w:sz="0" w:space="0" w:color="auto"/>
      </w:divBdr>
    </w:div>
    <w:div w:id="1248611813">
      <w:bodyDiv w:val="1"/>
      <w:marLeft w:val="0"/>
      <w:marRight w:val="0"/>
      <w:marTop w:val="0"/>
      <w:marBottom w:val="0"/>
      <w:divBdr>
        <w:top w:val="none" w:sz="0" w:space="0" w:color="auto"/>
        <w:left w:val="none" w:sz="0" w:space="0" w:color="auto"/>
        <w:bottom w:val="none" w:sz="0" w:space="0" w:color="auto"/>
        <w:right w:val="none" w:sz="0" w:space="0" w:color="auto"/>
      </w:divBdr>
    </w:div>
    <w:div w:id="1462309072">
      <w:bodyDiv w:val="1"/>
      <w:marLeft w:val="0"/>
      <w:marRight w:val="0"/>
      <w:marTop w:val="0"/>
      <w:marBottom w:val="0"/>
      <w:divBdr>
        <w:top w:val="none" w:sz="0" w:space="0" w:color="auto"/>
        <w:left w:val="none" w:sz="0" w:space="0" w:color="auto"/>
        <w:bottom w:val="none" w:sz="0" w:space="0" w:color="auto"/>
        <w:right w:val="none" w:sz="0" w:space="0" w:color="auto"/>
      </w:divBdr>
    </w:div>
    <w:div w:id="1473018045">
      <w:bodyDiv w:val="1"/>
      <w:marLeft w:val="0"/>
      <w:marRight w:val="0"/>
      <w:marTop w:val="0"/>
      <w:marBottom w:val="0"/>
      <w:divBdr>
        <w:top w:val="none" w:sz="0" w:space="0" w:color="auto"/>
        <w:left w:val="none" w:sz="0" w:space="0" w:color="auto"/>
        <w:bottom w:val="none" w:sz="0" w:space="0" w:color="auto"/>
        <w:right w:val="none" w:sz="0" w:space="0" w:color="auto"/>
      </w:divBdr>
    </w:div>
    <w:div w:id="1622809044">
      <w:bodyDiv w:val="1"/>
      <w:marLeft w:val="0"/>
      <w:marRight w:val="0"/>
      <w:marTop w:val="0"/>
      <w:marBottom w:val="0"/>
      <w:divBdr>
        <w:top w:val="none" w:sz="0" w:space="0" w:color="auto"/>
        <w:left w:val="none" w:sz="0" w:space="0" w:color="auto"/>
        <w:bottom w:val="none" w:sz="0" w:space="0" w:color="auto"/>
        <w:right w:val="none" w:sz="0" w:space="0" w:color="auto"/>
      </w:divBdr>
      <w:divsChild>
        <w:div w:id="571890770">
          <w:marLeft w:val="0"/>
          <w:marRight w:val="0"/>
          <w:marTop w:val="240"/>
          <w:marBottom w:val="480"/>
          <w:divBdr>
            <w:top w:val="none" w:sz="0" w:space="0" w:color="auto"/>
            <w:left w:val="none" w:sz="0" w:space="0" w:color="auto"/>
            <w:bottom w:val="none" w:sz="0" w:space="0" w:color="auto"/>
            <w:right w:val="none" w:sz="0" w:space="0" w:color="auto"/>
          </w:divBdr>
          <w:divsChild>
            <w:div w:id="338047971">
              <w:marLeft w:val="0"/>
              <w:marRight w:val="0"/>
              <w:marTop w:val="0"/>
              <w:marBottom w:val="0"/>
              <w:divBdr>
                <w:top w:val="none" w:sz="0" w:space="0" w:color="auto"/>
                <w:left w:val="none" w:sz="0" w:space="0" w:color="auto"/>
                <w:bottom w:val="none" w:sz="0" w:space="0" w:color="auto"/>
                <w:right w:val="none" w:sz="0" w:space="0" w:color="auto"/>
              </w:divBdr>
              <w:divsChild>
                <w:div w:id="1894731652">
                  <w:marLeft w:val="0"/>
                  <w:marRight w:val="0"/>
                  <w:marTop w:val="0"/>
                  <w:marBottom w:val="0"/>
                  <w:divBdr>
                    <w:top w:val="none" w:sz="0" w:space="0" w:color="auto"/>
                    <w:left w:val="none" w:sz="0" w:space="0" w:color="auto"/>
                    <w:bottom w:val="none" w:sz="0" w:space="0" w:color="auto"/>
                    <w:right w:val="none" w:sz="0" w:space="0" w:color="auto"/>
                  </w:divBdr>
                  <w:divsChild>
                    <w:div w:id="4539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603992">
      <w:bodyDiv w:val="1"/>
      <w:marLeft w:val="0"/>
      <w:marRight w:val="0"/>
      <w:marTop w:val="0"/>
      <w:marBottom w:val="0"/>
      <w:divBdr>
        <w:top w:val="none" w:sz="0" w:space="0" w:color="auto"/>
        <w:left w:val="none" w:sz="0" w:space="0" w:color="auto"/>
        <w:bottom w:val="none" w:sz="0" w:space="0" w:color="auto"/>
        <w:right w:val="none" w:sz="0" w:space="0" w:color="auto"/>
      </w:divBdr>
    </w:div>
    <w:div w:id="1727872463">
      <w:bodyDiv w:val="1"/>
      <w:marLeft w:val="0"/>
      <w:marRight w:val="0"/>
      <w:marTop w:val="0"/>
      <w:marBottom w:val="0"/>
      <w:divBdr>
        <w:top w:val="none" w:sz="0" w:space="0" w:color="auto"/>
        <w:left w:val="none" w:sz="0" w:space="0" w:color="auto"/>
        <w:bottom w:val="none" w:sz="0" w:space="0" w:color="auto"/>
        <w:right w:val="none" w:sz="0" w:space="0" w:color="auto"/>
      </w:divBdr>
      <w:divsChild>
        <w:div w:id="2000234068">
          <w:marLeft w:val="0"/>
          <w:marRight w:val="0"/>
          <w:marTop w:val="240"/>
          <w:marBottom w:val="480"/>
          <w:divBdr>
            <w:top w:val="none" w:sz="0" w:space="0" w:color="auto"/>
            <w:left w:val="none" w:sz="0" w:space="0" w:color="auto"/>
            <w:bottom w:val="none" w:sz="0" w:space="0" w:color="auto"/>
            <w:right w:val="none" w:sz="0" w:space="0" w:color="auto"/>
          </w:divBdr>
          <w:divsChild>
            <w:div w:id="1791320557">
              <w:marLeft w:val="0"/>
              <w:marRight w:val="0"/>
              <w:marTop w:val="0"/>
              <w:marBottom w:val="0"/>
              <w:divBdr>
                <w:top w:val="none" w:sz="0" w:space="0" w:color="auto"/>
                <w:left w:val="none" w:sz="0" w:space="0" w:color="auto"/>
                <w:bottom w:val="none" w:sz="0" w:space="0" w:color="auto"/>
                <w:right w:val="none" w:sz="0" w:space="0" w:color="auto"/>
              </w:divBdr>
              <w:divsChild>
                <w:div w:id="747460037">
                  <w:marLeft w:val="0"/>
                  <w:marRight w:val="0"/>
                  <w:marTop w:val="0"/>
                  <w:marBottom w:val="0"/>
                  <w:divBdr>
                    <w:top w:val="none" w:sz="0" w:space="0" w:color="auto"/>
                    <w:left w:val="none" w:sz="0" w:space="0" w:color="auto"/>
                    <w:bottom w:val="none" w:sz="0" w:space="0" w:color="auto"/>
                    <w:right w:val="none" w:sz="0" w:space="0" w:color="auto"/>
                  </w:divBdr>
                  <w:divsChild>
                    <w:div w:id="347567146">
                      <w:marLeft w:val="0"/>
                      <w:marRight w:val="0"/>
                      <w:marTop w:val="0"/>
                      <w:marBottom w:val="0"/>
                      <w:divBdr>
                        <w:top w:val="none" w:sz="0" w:space="0" w:color="auto"/>
                        <w:left w:val="none" w:sz="0" w:space="0" w:color="auto"/>
                        <w:bottom w:val="none" w:sz="0" w:space="0" w:color="auto"/>
                        <w:right w:val="none" w:sz="0" w:space="0" w:color="auto"/>
                      </w:divBdr>
                      <w:divsChild>
                        <w:div w:id="672536782">
                          <w:marLeft w:val="0"/>
                          <w:marRight w:val="0"/>
                          <w:marTop w:val="0"/>
                          <w:marBottom w:val="0"/>
                          <w:divBdr>
                            <w:top w:val="none" w:sz="0" w:space="0" w:color="auto"/>
                            <w:left w:val="none" w:sz="0" w:space="0" w:color="auto"/>
                            <w:bottom w:val="none" w:sz="0" w:space="0" w:color="auto"/>
                            <w:right w:val="none" w:sz="0" w:space="0" w:color="auto"/>
                          </w:divBdr>
                          <w:divsChild>
                            <w:div w:id="12124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435003">
      <w:bodyDiv w:val="1"/>
      <w:marLeft w:val="0"/>
      <w:marRight w:val="0"/>
      <w:marTop w:val="0"/>
      <w:marBottom w:val="0"/>
      <w:divBdr>
        <w:top w:val="none" w:sz="0" w:space="0" w:color="auto"/>
        <w:left w:val="none" w:sz="0" w:space="0" w:color="auto"/>
        <w:bottom w:val="none" w:sz="0" w:space="0" w:color="auto"/>
        <w:right w:val="none" w:sz="0" w:space="0" w:color="auto"/>
      </w:divBdr>
    </w:div>
    <w:div w:id="1770851083">
      <w:bodyDiv w:val="1"/>
      <w:marLeft w:val="0"/>
      <w:marRight w:val="0"/>
      <w:marTop w:val="0"/>
      <w:marBottom w:val="0"/>
      <w:divBdr>
        <w:top w:val="none" w:sz="0" w:space="0" w:color="auto"/>
        <w:left w:val="none" w:sz="0" w:space="0" w:color="auto"/>
        <w:bottom w:val="none" w:sz="0" w:space="0" w:color="auto"/>
        <w:right w:val="none" w:sz="0" w:space="0" w:color="auto"/>
      </w:divBdr>
    </w:div>
    <w:div w:id="1807700065">
      <w:bodyDiv w:val="1"/>
      <w:marLeft w:val="0"/>
      <w:marRight w:val="0"/>
      <w:marTop w:val="0"/>
      <w:marBottom w:val="0"/>
      <w:divBdr>
        <w:top w:val="none" w:sz="0" w:space="0" w:color="auto"/>
        <w:left w:val="none" w:sz="0" w:space="0" w:color="auto"/>
        <w:bottom w:val="none" w:sz="0" w:space="0" w:color="auto"/>
        <w:right w:val="none" w:sz="0" w:space="0" w:color="auto"/>
      </w:divBdr>
    </w:div>
    <w:div w:id="1812626358">
      <w:bodyDiv w:val="1"/>
      <w:marLeft w:val="0"/>
      <w:marRight w:val="0"/>
      <w:marTop w:val="0"/>
      <w:marBottom w:val="0"/>
      <w:divBdr>
        <w:top w:val="none" w:sz="0" w:space="0" w:color="auto"/>
        <w:left w:val="none" w:sz="0" w:space="0" w:color="auto"/>
        <w:bottom w:val="none" w:sz="0" w:space="0" w:color="auto"/>
        <w:right w:val="none" w:sz="0" w:space="0" w:color="auto"/>
      </w:divBdr>
    </w:div>
    <w:div w:id="1872254829">
      <w:bodyDiv w:val="1"/>
      <w:marLeft w:val="0"/>
      <w:marRight w:val="0"/>
      <w:marTop w:val="0"/>
      <w:marBottom w:val="0"/>
      <w:divBdr>
        <w:top w:val="none" w:sz="0" w:space="0" w:color="auto"/>
        <w:left w:val="none" w:sz="0" w:space="0" w:color="auto"/>
        <w:bottom w:val="none" w:sz="0" w:space="0" w:color="auto"/>
        <w:right w:val="none" w:sz="0" w:space="0" w:color="auto"/>
      </w:divBdr>
    </w:div>
    <w:div w:id="1939604056">
      <w:bodyDiv w:val="1"/>
      <w:marLeft w:val="0"/>
      <w:marRight w:val="0"/>
      <w:marTop w:val="0"/>
      <w:marBottom w:val="0"/>
      <w:divBdr>
        <w:top w:val="none" w:sz="0" w:space="0" w:color="auto"/>
        <w:left w:val="none" w:sz="0" w:space="0" w:color="auto"/>
        <w:bottom w:val="none" w:sz="0" w:space="0" w:color="auto"/>
        <w:right w:val="none" w:sz="0" w:space="0" w:color="auto"/>
      </w:divBdr>
    </w:div>
    <w:div w:id="1980725521">
      <w:bodyDiv w:val="1"/>
      <w:marLeft w:val="0"/>
      <w:marRight w:val="0"/>
      <w:marTop w:val="0"/>
      <w:marBottom w:val="0"/>
      <w:divBdr>
        <w:top w:val="none" w:sz="0" w:space="0" w:color="auto"/>
        <w:left w:val="none" w:sz="0" w:space="0" w:color="auto"/>
        <w:bottom w:val="none" w:sz="0" w:space="0" w:color="auto"/>
        <w:right w:val="none" w:sz="0" w:space="0" w:color="auto"/>
      </w:divBdr>
    </w:div>
    <w:div w:id="2006199391">
      <w:bodyDiv w:val="1"/>
      <w:marLeft w:val="0"/>
      <w:marRight w:val="0"/>
      <w:marTop w:val="0"/>
      <w:marBottom w:val="0"/>
      <w:divBdr>
        <w:top w:val="none" w:sz="0" w:space="0" w:color="auto"/>
        <w:left w:val="none" w:sz="0" w:space="0" w:color="auto"/>
        <w:bottom w:val="none" w:sz="0" w:space="0" w:color="auto"/>
        <w:right w:val="none" w:sz="0" w:space="0" w:color="auto"/>
      </w:divBdr>
    </w:div>
    <w:div w:id="2026713947">
      <w:bodyDiv w:val="1"/>
      <w:marLeft w:val="0"/>
      <w:marRight w:val="0"/>
      <w:marTop w:val="0"/>
      <w:marBottom w:val="0"/>
      <w:divBdr>
        <w:top w:val="none" w:sz="0" w:space="0" w:color="auto"/>
        <w:left w:val="none" w:sz="0" w:space="0" w:color="auto"/>
        <w:bottom w:val="none" w:sz="0" w:space="0" w:color="auto"/>
        <w:right w:val="none" w:sz="0" w:space="0" w:color="auto"/>
      </w:divBdr>
    </w:div>
    <w:div w:id="2029675723">
      <w:bodyDiv w:val="1"/>
      <w:marLeft w:val="0"/>
      <w:marRight w:val="0"/>
      <w:marTop w:val="0"/>
      <w:marBottom w:val="0"/>
      <w:divBdr>
        <w:top w:val="none" w:sz="0" w:space="0" w:color="auto"/>
        <w:left w:val="none" w:sz="0" w:space="0" w:color="auto"/>
        <w:bottom w:val="none" w:sz="0" w:space="0" w:color="auto"/>
        <w:right w:val="none" w:sz="0" w:space="0" w:color="auto"/>
      </w:divBdr>
    </w:div>
    <w:div w:id="2048337463">
      <w:bodyDiv w:val="1"/>
      <w:marLeft w:val="0"/>
      <w:marRight w:val="0"/>
      <w:marTop w:val="0"/>
      <w:marBottom w:val="0"/>
      <w:divBdr>
        <w:top w:val="none" w:sz="0" w:space="0" w:color="auto"/>
        <w:left w:val="none" w:sz="0" w:space="0" w:color="auto"/>
        <w:bottom w:val="none" w:sz="0" w:space="0" w:color="auto"/>
        <w:right w:val="none" w:sz="0" w:space="0" w:color="auto"/>
      </w:divBdr>
    </w:div>
    <w:div w:id="2085637396">
      <w:bodyDiv w:val="1"/>
      <w:marLeft w:val="0"/>
      <w:marRight w:val="0"/>
      <w:marTop w:val="0"/>
      <w:marBottom w:val="0"/>
      <w:divBdr>
        <w:top w:val="none" w:sz="0" w:space="0" w:color="auto"/>
        <w:left w:val="none" w:sz="0" w:space="0" w:color="auto"/>
        <w:bottom w:val="none" w:sz="0" w:space="0" w:color="auto"/>
        <w:right w:val="none" w:sz="0" w:space="0" w:color="auto"/>
      </w:divBdr>
    </w:div>
    <w:div w:id="2096783079">
      <w:bodyDiv w:val="1"/>
      <w:marLeft w:val="0"/>
      <w:marRight w:val="0"/>
      <w:marTop w:val="0"/>
      <w:marBottom w:val="0"/>
      <w:divBdr>
        <w:top w:val="none" w:sz="0" w:space="0" w:color="auto"/>
        <w:left w:val="none" w:sz="0" w:space="0" w:color="auto"/>
        <w:bottom w:val="none" w:sz="0" w:space="0" w:color="auto"/>
        <w:right w:val="none" w:sz="0" w:space="0" w:color="auto"/>
      </w:divBdr>
    </w:div>
    <w:div w:id="210332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www.ncbi.nlm.nih.gov/pubmed/2419557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pbs.gov.au/info/industry/listing/elements/pbac-meetings/psd/2012-11/teriflunomide"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ncbi.nlm.nih.gov/pubmed/?term=Havrdova%20E%5BAuthor%5D&amp;cauthor=true&amp;cauthor_uid=2419557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cbi.nlm.nih.gov/pubmed/?term=Fox%20RJ%5BAuthor%5D&amp;cauthor=true&amp;cauthor_uid=24195574" TargetMode="External"/><Relationship Id="rId20" Type="http://schemas.openxmlformats.org/officeDocument/2006/relationships/hyperlink" Target="http://www.pbs.gov.au/info/industry/listing/elements/pbac-meetings/psd/2011-03/pbac-psd-fingolimod-march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cbi.nlm.nih.gov/pubmed/?term=Hutchinson%20M%5BAuthor%5D&amp;cauthor=true&amp;cauthor_uid=24195574"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pbs.gov.au/info/industry/listing/elements/pbac-meetings/psd/2013-07/dimethyl-fumarate" TargetMode="External"/><Relationship Id="rId4" Type="http://schemas.microsoft.com/office/2007/relationships/stylesWithEffects" Target="stylesWithEffects.xml"/><Relationship Id="rId9" Type="http://schemas.openxmlformats.org/officeDocument/2006/relationships/hyperlink" Target="http://www.pbs.gov.au/info/reviews/authority-required-listings" TargetMode="External"/><Relationship Id="rId14" Type="http://schemas.openxmlformats.org/officeDocument/2006/relationships/image" Target="media/image4.png"/><Relationship Id="rId22" Type="http://schemas.openxmlformats.org/officeDocument/2006/relationships/hyperlink" Target="http://www.pbs.gov.au/info/industry/listing/elements/pbac-meetings/psd/2013-07/teriflunomide" TargetMode="External"/><Relationship Id="rId27"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5\D871%20-%20mutliple%20sclerosis%2012%20mth%20PvA\HSD%20data_31%20Aug%202015%20v2.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entral.health\DFSGroupData\Sites\CO1\CO\PBD\PEB\EVAL\DUSC\DUSC%20Documents\Predicted%20vs%20actual%20usage\PvA%20-%202015%20Oct\Multiple%20sclerosis\Natalizumab%20information%20product_28%20Aug%202015.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[HSD data_31 Aug 2015 v2.xlsx]Sheet1!PivotTable3</c:name>
    <c:fmtId val="10"/>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spPr>
          <a:ln w="25400">
            <a:noFill/>
          </a:ln>
        </c:spPr>
        <c:marker>
          <c:symbol val="none"/>
        </c:marker>
      </c:pivotFmt>
      <c:pivotFmt>
        <c:idx val="5"/>
        <c:spPr>
          <a:ln w="25400">
            <a:noFill/>
          </a:ln>
        </c:spPr>
        <c:marker>
          <c:symbol val="none"/>
        </c:marker>
      </c:pivotFmt>
      <c:pivotFmt>
        <c:idx val="6"/>
        <c:spPr>
          <a:ln w="25400">
            <a:noFill/>
          </a:ln>
        </c:spPr>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s>
    <c:plotArea>
      <c:layout>
        <c:manualLayout>
          <c:layoutTarget val="inner"/>
          <c:xMode val="edge"/>
          <c:yMode val="edge"/>
          <c:x val="0.11625652321098054"/>
          <c:y val="2.3262420801654544E-2"/>
          <c:w val="0.82458310801602064"/>
          <c:h val="0.8427674035085172"/>
        </c:manualLayout>
      </c:layout>
      <c:areaChart>
        <c:grouping val="stacked"/>
        <c:varyColors val="0"/>
        <c:ser>
          <c:idx val="0"/>
          <c:order val="0"/>
          <c:tx>
            <c:strRef>
              <c:f>Sheet1!$B$1:$B$3</c:f>
              <c:strCache>
                <c:ptCount val="1"/>
                <c:pt idx="0">
                  <c:v>NATALIZUMAB - Private</c:v>
                </c:pt>
              </c:strCache>
            </c:strRef>
          </c:tx>
          <c:cat>
            <c:strRef>
              <c:f>Sheet1!$A$4:$A$30</c:f>
              <c:strCache>
                <c:ptCount val="26"/>
                <c:pt idx="0">
                  <c:v>2008Q3</c:v>
                </c:pt>
                <c:pt idx="1">
                  <c:v>2008Q4</c:v>
                </c:pt>
                <c:pt idx="2">
                  <c:v>2009Q1</c:v>
                </c:pt>
                <c:pt idx="3">
                  <c:v>2009Q2</c:v>
                </c:pt>
                <c:pt idx="4">
                  <c:v>2009Q3</c:v>
                </c:pt>
                <c:pt idx="5">
                  <c:v>2009Q4</c:v>
                </c:pt>
                <c:pt idx="6">
                  <c:v>2010Q1</c:v>
                </c:pt>
                <c:pt idx="7">
                  <c:v>2010Q2</c:v>
                </c:pt>
                <c:pt idx="8">
                  <c:v>2010Q3</c:v>
                </c:pt>
                <c:pt idx="9">
                  <c:v>2010Q4</c:v>
                </c:pt>
                <c:pt idx="10">
                  <c:v>2011Q1</c:v>
                </c:pt>
                <c:pt idx="11">
                  <c:v>2011Q2</c:v>
                </c:pt>
                <c:pt idx="12">
                  <c:v>2011Q3</c:v>
                </c:pt>
                <c:pt idx="13">
                  <c:v>2011Q4</c:v>
                </c:pt>
                <c:pt idx="14">
                  <c:v>2012Q1</c:v>
                </c:pt>
                <c:pt idx="15">
                  <c:v>2012Q2</c:v>
                </c:pt>
                <c:pt idx="16">
                  <c:v>2012Q3</c:v>
                </c:pt>
                <c:pt idx="17">
                  <c:v>2012Q4</c:v>
                </c:pt>
                <c:pt idx="18">
                  <c:v>2013Q1</c:v>
                </c:pt>
                <c:pt idx="19">
                  <c:v>2013Q2</c:v>
                </c:pt>
                <c:pt idx="20">
                  <c:v>2013Q3</c:v>
                </c:pt>
                <c:pt idx="21">
                  <c:v>2013Q4</c:v>
                </c:pt>
                <c:pt idx="22">
                  <c:v>2014Q1</c:v>
                </c:pt>
                <c:pt idx="23">
                  <c:v>2014Q2</c:v>
                </c:pt>
                <c:pt idx="24">
                  <c:v>2014Q3</c:v>
                </c:pt>
                <c:pt idx="25">
                  <c:v>2014Q4</c:v>
                </c:pt>
              </c:strCache>
            </c:strRef>
          </c:cat>
          <c:val>
            <c:numRef>
              <c:f>Sheet1!$B$4:$B$30</c:f>
              <c:numCache>
                <c:formatCode>General</c:formatCode>
                <c:ptCount val="26"/>
                <c:pt idx="0">
                  <c:v>566</c:v>
                </c:pt>
                <c:pt idx="1">
                  <c:v>668</c:v>
                </c:pt>
                <c:pt idx="2">
                  <c:v>717</c:v>
                </c:pt>
                <c:pt idx="3">
                  <c:v>767</c:v>
                </c:pt>
                <c:pt idx="4">
                  <c:v>872</c:v>
                </c:pt>
                <c:pt idx="5">
                  <c:v>879</c:v>
                </c:pt>
                <c:pt idx="6">
                  <c:v>906</c:v>
                </c:pt>
                <c:pt idx="7">
                  <c:v>939</c:v>
                </c:pt>
                <c:pt idx="8">
                  <c:v>1035</c:v>
                </c:pt>
                <c:pt idx="9">
                  <c:v>1090</c:v>
                </c:pt>
                <c:pt idx="10">
                  <c:v>1151</c:v>
                </c:pt>
                <c:pt idx="11">
                  <c:v>1178</c:v>
                </c:pt>
                <c:pt idx="12">
                  <c:v>1229</c:v>
                </c:pt>
                <c:pt idx="13">
                  <c:v>1223</c:v>
                </c:pt>
                <c:pt idx="14">
                  <c:v>1295</c:v>
                </c:pt>
                <c:pt idx="15">
                  <c:v>1290</c:v>
                </c:pt>
                <c:pt idx="16">
                  <c:v>1388</c:v>
                </c:pt>
                <c:pt idx="17">
                  <c:v>1369</c:v>
                </c:pt>
                <c:pt idx="18">
                  <c:v>1369</c:v>
                </c:pt>
                <c:pt idx="19">
                  <c:v>1465</c:v>
                </c:pt>
                <c:pt idx="20">
                  <c:v>1475</c:v>
                </c:pt>
                <c:pt idx="21">
                  <c:v>1381</c:v>
                </c:pt>
                <c:pt idx="22">
                  <c:v>1241</c:v>
                </c:pt>
                <c:pt idx="23">
                  <c:v>1348</c:v>
                </c:pt>
                <c:pt idx="24">
                  <c:v>1339</c:v>
                </c:pt>
                <c:pt idx="25">
                  <c:v>1346</c:v>
                </c:pt>
              </c:numCache>
            </c:numRef>
          </c:val>
        </c:ser>
        <c:ser>
          <c:idx val="1"/>
          <c:order val="1"/>
          <c:tx>
            <c:strRef>
              <c:f>Sheet1!$C$1:$C$3</c:f>
              <c:strCache>
                <c:ptCount val="1"/>
                <c:pt idx="0">
                  <c:v>NATALIZUMAB - Public</c:v>
                </c:pt>
              </c:strCache>
            </c:strRef>
          </c:tx>
          <c:cat>
            <c:strRef>
              <c:f>Sheet1!$A$4:$A$30</c:f>
              <c:strCache>
                <c:ptCount val="26"/>
                <c:pt idx="0">
                  <c:v>2008Q3</c:v>
                </c:pt>
                <c:pt idx="1">
                  <c:v>2008Q4</c:v>
                </c:pt>
                <c:pt idx="2">
                  <c:v>2009Q1</c:v>
                </c:pt>
                <c:pt idx="3">
                  <c:v>2009Q2</c:v>
                </c:pt>
                <c:pt idx="4">
                  <c:v>2009Q3</c:v>
                </c:pt>
                <c:pt idx="5">
                  <c:v>2009Q4</c:v>
                </c:pt>
                <c:pt idx="6">
                  <c:v>2010Q1</c:v>
                </c:pt>
                <c:pt idx="7">
                  <c:v>2010Q2</c:v>
                </c:pt>
                <c:pt idx="8">
                  <c:v>2010Q3</c:v>
                </c:pt>
                <c:pt idx="9">
                  <c:v>2010Q4</c:v>
                </c:pt>
                <c:pt idx="10">
                  <c:v>2011Q1</c:v>
                </c:pt>
                <c:pt idx="11">
                  <c:v>2011Q2</c:v>
                </c:pt>
                <c:pt idx="12">
                  <c:v>2011Q3</c:v>
                </c:pt>
                <c:pt idx="13">
                  <c:v>2011Q4</c:v>
                </c:pt>
                <c:pt idx="14">
                  <c:v>2012Q1</c:v>
                </c:pt>
                <c:pt idx="15">
                  <c:v>2012Q2</c:v>
                </c:pt>
                <c:pt idx="16">
                  <c:v>2012Q3</c:v>
                </c:pt>
                <c:pt idx="17">
                  <c:v>2012Q4</c:v>
                </c:pt>
                <c:pt idx="18">
                  <c:v>2013Q1</c:v>
                </c:pt>
                <c:pt idx="19">
                  <c:v>2013Q2</c:v>
                </c:pt>
                <c:pt idx="20">
                  <c:v>2013Q3</c:v>
                </c:pt>
                <c:pt idx="21">
                  <c:v>2013Q4</c:v>
                </c:pt>
                <c:pt idx="22">
                  <c:v>2014Q1</c:v>
                </c:pt>
                <c:pt idx="23">
                  <c:v>2014Q2</c:v>
                </c:pt>
                <c:pt idx="24">
                  <c:v>2014Q3</c:v>
                </c:pt>
                <c:pt idx="25">
                  <c:v>2014Q4</c:v>
                </c:pt>
              </c:strCache>
            </c:strRef>
          </c:cat>
          <c:val>
            <c:numRef>
              <c:f>Sheet1!$C$4:$C$30</c:f>
              <c:numCache>
                <c:formatCode>General</c:formatCode>
                <c:ptCount val="26"/>
                <c:pt idx="0">
                  <c:v>1124</c:v>
                </c:pt>
                <c:pt idx="1">
                  <c:v>1434</c:v>
                </c:pt>
                <c:pt idx="2">
                  <c:v>1584</c:v>
                </c:pt>
                <c:pt idx="3">
                  <c:v>2051</c:v>
                </c:pt>
                <c:pt idx="4">
                  <c:v>2236</c:v>
                </c:pt>
                <c:pt idx="5">
                  <c:v>2366</c:v>
                </c:pt>
                <c:pt idx="6">
                  <c:v>2459</c:v>
                </c:pt>
                <c:pt idx="7">
                  <c:v>2570</c:v>
                </c:pt>
                <c:pt idx="8">
                  <c:v>2795</c:v>
                </c:pt>
                <c:pt idx="9">
                  <c:v>3022</c:v>
                </c:pt>
                <c:pt idx="10">
                  <c:v>3138</c:v>
                </c:pt>
                <c:pt idx="11">
                  <c:v>3280</c:v>
                </c:pt>
                <c:pt idx="12">
                  <c:v>3473</c:v>
                </c:pt>
                <c:pt idx="13">
                  <c:v>3323</c:v>
                </c:pt>
                <c:pt idx="14">
                  <c:v>3585</c:v>
                </c:pt>
                <c:pt idx="15">
                  <c:v>3609</c:v>
                </c:pt>
                <c:pt idx="16">
                  <c:v>3826</c:v>
                </c:pt>
                <c:pt idx="17">
                  <c:v>3997</c:v>
                </c:pt>
                <c:pt idx="18">
                  <c:v>3894</c:v>
                </c:pt>
                <c:pt idx="19">
                  <c:v>3932</c:v>
                </c:pt>
                <c:pt idx="20">
                  <c:v>4152</c:v>
                </c:pt>
                <c:pt idx="21">
                  <c:v>4268</c:v>
                </c:pt>
                <c:pt idx="22">
                  <c:v>4188</c:v>
                </c:pt>
                <c:pt idx="23">
                  <c:v>4417</c:v>
                </c:pt>
                <c:pt idx="24">
                  <c:v>4539</c:v>
                </c:pt>
                <c:pt idx="25">
                  <c:v>4717</c:v>
                </c:pt>
              </c:numCache>
            </c:numRef>
          </c:val>
        </c:ser>
        <c:dLbls>
          <c:showLegendKey val="0"/>
          <c:showVal val="0"/>
          <c:showCatName val="0"/>
          <c:showSerName val="0"/>
          <c:showPercent val="0"/>
          <c:showBubbleSize val="0"/>
        </c:dLbls>
        <c:axId val="86131072"/>
        <c:axId val="86132608"/>
      </c:areaChart>
      <c:catAx>
        <c:axId val="86131072"/>
        <c:scaling>
          <c:orientation val="minMax"/>
        </c:scaling>
        <c:delete val="0"/>
        <c:axPos val="b"/>
        <c:majorTickMark val="out"/>
        <c:minorTickMark val="none"/>
        <c:tickLblPos val="nextTo"/>
        <c:txPr>
          <a:bodyPr rot="-5400000" vert="horz"/>
          <a:lstStyle/>
          <a:p>
            <a:pPr>
              <a:defRPr b="0"/>
            </a:pPr>
            <a:endParaRPr lang="en-US"/>
          </a:p>
        </c:txPr>
        <c:crossAx val="86132608"/>
        <c:crosses val="autoZero"/>
        <c:auto val="1"/>
        <c:lblAlgn val="ctr"/>
        <c:lblOffset val="100"/>
        <c:noMultiLvlLbl val="0"/>
      </c:catAx>
      <c:valAx>
        <c:axId val="86132608"/>
        <c:scaling>
          <c:orientation val="minMax"/>
        </c:scaling>
        <c:delete val="0"/>
        <c:axPos val="l"/>
        <c:majorGridlines/>
        <c:title>
          <c:tx>
            <c:rich>
              <a:bodyPr rot="-5400000" vert="horz"/>
              <a:lstStyle/>
              <a:p>
                <a:pPr>
                  <a:defRPr b="0"/>
                </a:pPr>
                <a:r>
                  <a:rPr lang="en-AU" b="0"/>
                  <a:t>Number</a:t>
                </a:r>
                <a:r>
                  <a:rPr lang="en-AU" b="0" baseline="0"/>
                  <a:t> of packs</a:t>
                </a:r>
                <a:endParaRPr lang="en-AU" b="0"/>
              </a:p>
            </c:rich>
          </c:tx>
          <c:layout/>
          <c:overlay val="0"/>
        </c:title>
        <c:numFmt formatCode="General" sourceLinked="1"/>
        <c:majorTickMark val="out"/>
        <c:minorTickMark val="none"/>
        <c:tickLblPos val="nextTo"/>
        <c:crossAx val="86131072"/>
        <c:crosses val="autoZero"/>
        <c:crossBetween val="midCat"/>
      </c:valAx>
    </c:plotArea>
    <c:legend>
      <c:legendPos val="r"/>
      <c:layout>
        <c:manualLayout>
          <c:xMode val="edge"/>
          <c:yMode val="edge"/>
          <c:x val="0.10085378771069763"/>
          <c:y val="3.9104894541888605E-2"/>
          <c:w val="0.40551172309491462"/>
          <c:h val="7.5776013451757718E-2"/>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spPr>
          <a:ln w="25400">
            <a:noFill/>
          </a:ln>
        </c:spPr>
        <c:marker>
          <c:symbol val="none"/>
        </c:marker>
      </c:pivotFmt>
      <c:pivotFmt>
        <c:idx val="31"/>
        <c:spPr>
          <a:ln w="25400">
            <a:noFill/>
          </a:ln>
        </c:spPr>
        <c:marker>
          <c:symbol val="none"/>
        </c:marker>
      </c:pivotFmt>
      <c:pivotFmt>
        <c:idx val="32"/>
        <c:marker>
          <c:symbol val="none"/>
        </c:marker>
      </c:pivotFmt>
      <c:pivotFmt>
        <c:idx val="33"/>
        <c:spPr>
          <a:ln w="25400">
            <a:noFill/>
          </a:ln>
        </c:spPr>
        <c:marker>
          <c:symbol val="none"/>
        </c:marker>
      </c:pivotFmt>
      <c:pivotFmt>
        <c:idx val="34"/>
        <c:spPr>
          <a:ln w="25400">
            <a:noFill/>
          </a:ln>
        </c:spPr>
        <c:marker>
          <c:symbol val="none"/>
        </c:marker>
      </c:pivotFmt>
      <c:pivotFmt>
        <c:idx val="35"/>
        <c:spPr>
          <a:ln w="25400">
            <a:noFill/>
          </a:ln>
        </c:spPr>
        <c:marker>
          <c:symbol val="none"/>
        </c:marker>
      </c:pivotFmt>
      <c:pivotFmt>
        <c:idx val="36"/>
        <c:spPr>
          <a:ln w="25400">
            <a:noFill/>
          </a:ln>
        </c:spPr>
        <c:marker>
          <c:symbol val="none"/>
        </c:marker>
      </c:pivotFmt>
      <c:pivotFmt>
        <c:idx val="37"/>
        <c:spPr>
          <a:ln w="25400">
            <a:noFill/>
          </a:ln>
        </c:spPr>
        <c:marker>
          <c:symbol val="none"/>
        </c:marker>
      </c:pivotFmt>
      <c:pivotFmt>
        <c:idx val="38"/>
        <c:spPr>
          <a:ln w="25400">
            <a:noFill/>
          </a:ln>
        </c:spPr>
        <c:marker>
          <c:symbol val="none"/>
        </c:marker>
      </c:pivotFmt>
      <c:pivotFmt>
        <c:idx val="39"/>
        <c:spPr>
          <a:ln w="25400">
            <a:noFill/>
          </a:ln>
        </c:spPr>
        <c:marker>
          <c:symbol val="none"/>
        </c:marker>
      </c:pivotFmt>
      <c:pivotFmt>
        <c:idx val="40"/>
        <c:spPr>
          <a:ln w="25400">
            <a:noFill/>
          </a:ln>
        </c:spPr>
        <c:marker>
          <c:symbol val="none"/>
        </c:marker>
      </c:pivotFmt>
      <c:pivotFmt>
        <c:idx val="41"/>
        <c:spPr>
          <a:ln w="25400">
            <a:noFill/>
          </a:ln>
        </c:spPr>
        <c:marker>
          <c:symbol val="none"/>
        </c:marker>
      </c:pivotFmt>
      <c:pivotFmt>
        <c:idx val="42"/>
        <c:spPr>
          <a:ln w="25400">
            <a:noFill/>
          </a:ln>
        </c:spPr>
        <c:marker>
          <c:symbol val="none"/>
        </c:marker>
      </c:pivotFmt>
      <c:pivotFmt>
        <c:idx val="43"/>
        <c:spPr>
          <a:ln w="25400">
            <a:noFill/>
          </a:ln>
        </c:spPr>
        <c:marker>
          <c:symbol val="none"/>
        </c:marker>
      </c:pivotFmt>
      <c:pivotFmt>
        <c:idx val="44"/>
        <c:spPr>
          <a:ln w="25400">
            <a:noFill/>
          </a:ln>
        </c:spPr>
        <c:marker>
          <c:symbol val="none"/>
        </c:marker>
      </c:pivotFmt>
      <c:pivotFmt>
        <c:idx val="45"/>
        <c:spPr>
          <a:ln w="25400">
            <a:noFill/>
          </a:ln>
        </c:spPr>
        <c:marker>
          <c:symbol val="none"/>
        </c:marker>
      </c:pivotFmt>
      <c:pivotFmt>
        <c:idx val="46"/>
        <c:spPr>
          <a:ln w="25400">
            <a:noFill/>
          </a:ln>
        </c:spPr>
        <c:marker>
          <c:symbol val="none"/>
        </c:marker>
      </c:pivotFmt>
      <c:pivotFmt>
        <c:idx val="47"/>
        <c:spPr>
          <a:ln w="25400">
            <a:noFill/>
          </a:ln>
        </c:spPr>
        <c:marker>
          <c:symbol val="none"/>
        </c:marker>
      </c:pivotFmt>
      <c:pivotFmt>
        <c:idx val="48"/>
        <c:spPr>
          <a:ln w="25400">
            <a:noFill/>
          </a:ln>
        </c:spPr>
        <c:marker>
          <c:symbol val="none"/>
        </c:marker>
      </c:pivotFmt>
      <c:pivotFmt>
        <c:idx val="49"/>
        <c:spPr>
          <a:ln w="25400">
            <a:noFill/>
          </a:ln>
        </c:spPr>
        <c:marker>
          <c:symbol val="none"/>
        </c:marker>
      </c:pivotFmt>
      <c:pivotFmt>
        <c:idx val="50"/>
        <c:spPr>
          <a:ln w="25400">
            <a:noFill/>
          </a:ln>
        </c:spPr>
        <c:marker>
          <c:symbol val="none"/>
        </c:marker>
      </c:pivotFmt>
      <c:pivotFmt>
        <c:idx val="51"/>
        <c:spPr>
          <a:ln w="25400">
            <a:noFill/>
          </a:ln>
        </c:spPr>
        <c:marker>
          <c:symbol val="none"/>
        </c:marker>
      </c:pivotFmt>
      <c:pivotFmt>
        <c:idx val="52"/>
        <c:spPr>
          <a:ln w="25400">
            <a:noFill/>
          </a:ln>
        </c:spPr>
        <c:marker>
          <c:symbol val="none"/>
        </c:marker>
      </c:pivotFmt>
      <c:pivotFmt>
        <c:idx val="53"/>
        <c:spPr>
          <a:ln w="25400">
            <a:noFill/>
          </a:ln>
        </c:spPr>
        <c:marker>
          <c:symbol val="none"/>
        </c:marker>
      </c:pivotFmt>
      <c:pivotFmt>
        <c:idx val="54"/>
        <c:marker>
          <c:symbol val="none"/>
        </c:marker>
      </c:pivotFmt>
      <c:pivotFmt>
        <c:idx val="55"/>
        <c:spPr>
          <a:ln w="25400">
            <a:noFill/>
          </a:ln>
        </c:spPr>
        <c:marker>
          <c:symbol val="none"/>
        </c:marker>
      </c:pivotFmt>
      <c:pivotFmt>
        <c:idx val="56"/>
        <c:spPr>
          <a:ln w="25400">
            <a:noFill/>
          </a:ln>
        </c:spPr>
        <c:marker>
          <c:symbol val="none"/>
        </c:marker>
      </c:pivotFmt>
    </c:pivotFmts>
    <c:plotArea>
      <c:layout/>
      <c:areaChart>
        <c:grouping val="stacked"/>
        <c:varyColors val="0"/>
        <c:ser>
          <c:idx val="0"/>
          <c:order val="0"/>
          <c:tx>
            <c:v>S100 - Private</c:v>
          </c:tx>
          <c:cat>
            <c:strLit>
              <c:ptCount val="21"/>
              <c:pt idx="0">
                <c:v>2010 Q1</c:v>
              </c:pt>
              <c:pt idx="1">
                <c:v>2010 Q2</c:v>
              </c:pt>
              <c:pt idx="2">
                <c:v>2010 Q3</c:v>
              </c:pt>
              <c:pt idx="3">
                <c:v>2010 Q4</c:v>
              </c:pt>
              <c:pt idx="4">
                <c:v>2011 Q1</c:v>
              </c:pt>
              <c:pt idx="5">
                <c:v>2011 Q2</c:v>
              </c:pt>
              <c:pt idx="6">
                <c:v>2011 Q3</c:v>
              </c:pt>
              <c:pt idx="7">
                <c:v>2011 Q4</c:v>
              </c:pt>
              <c:pt idx="8">
                <c:v>2012 Q1</c:v>
              </c:pt>
              <c:pt idx="9">
                <c:v>2012 Q2</c:v>
              </c:pt>
              <c:pt idx="10">
                <c:v>2012 Q3</c:v>
              </c:pt>
              <c:pt idx="11">
                <c:v>2012 Q4</c:v>
              </c:pt>
              <c:pt idx="12">
                <c:v>2013 Q1</c:v>
              </c:pt>
              <c:pt idx="13">
                <c:v>2013 Q2</c:v>
              </c:pt>
              <c:pt idx="14">
                <c:v>2013 Q3</c:v>
              </c:pt>
              <c:pt idx="15">
                <c:v>2013 Q4</c:v>
              </c:pt>
              <c:pt idx="16">
                <c:v>2014 Q1</c:v>
              </c:pt>
              <c:pt idx="17">
                <c:v>2014 Q2</c:v>
              </c:pt>
              <c:pt idx="18">
                <c:v>2014 Q3</c:v>
              </c:pt>
              <c:pt idx="19">
                <c:v>2014 Q4</c:v>
              </c:pt>
              <c:pt idx="20">
                <c:v>2015 Q1</c:v>
              </c:pt>
            </c:strLit>
          </c:cat>
          <c:val>
            <c:numLit>
              <c:formatCode>General</c:formatCode>
              <c:ptCount val="21"/>
              <c:pt idx="0">
                <c:v>903</c:v>
              </c:pt>
              <c:pt idx="1">
                <c:v>928</c:v>
              </c:pt>
              <c:pt idx="2">
                <c:v>1030</c:v>
              </c:pt>
              <c:pt idx="3">
                <c:v>1086</c:v>
              </c:pt>
              <c:pt idx="4">
                <c:v>1144</c:v>
              </c:pt>
              <c:pt idx="5">
                <c:v>1168</c:v>
              </c:pt>
              <c:pt idx="6">
                <c:v>1225</c:v>
              </c:pt>
              <c:pt idx="7">
                <c:v>1219</c:v>
              </c:pt>
              <c:pt idx="8">
                <c:v>1294</c:v>
              </c:pt>
              <c:pt idx="9">
                <c:v>1287</c:v>
              </c:pt>
              <c:pt idx="10">
                <c:v>1385</c:v>
              </c:pt>
              <c:pt idx="11">
                <c:v>1363</c:v>
              </c:pt>
              <c:pt idx="12">
                <c:v>1366</c:v>
              </c:pt>
              <c:pt idx="13">
                <c:v>1456</c:v>
              </c:pt>
              <c:pt idx="14">
                <c:v>1469</c:v>
              </c:pt>
              <c:pt idx="15">
                <c:v>1378</c:v>
              </c:pt>
              <c:pt idx="16">
                <c:v>1238</c:v>
              </c:pt>
              <c:pt idx="17">
                <c:v>1346</c:v>
              </c:pt>
              <c:pt idx="18">
                <c:v>1337</c:v>
              </c:pt>
              <c:pt idx="19">
                <c:v>1345</c:v>
              </c:pt>
              <c:pt idx="20">
                <c:v>1386</c:v>
              </c:pt>
            </c:numLit>
          </c:val>
        </c:ser>
        <c:ser>
          <c:idx val="1"/>
          <c:order val="1"/>
          <c:tx>
            <c:v>S100 - Public</c:v>
          </c:tx>
          <c:spPr>
            <a:ln w="25400">
              <a:noFill/>
            </a:ln>
          </c:spPr>
          <c:cat>
            <c:strLit>
              <c:ptCount val="21"/>
              <c:pt idx="0">
                <c:v>2010 Q1</c:v>
              </c:pt>
              <c:pt idx="1">
                <c:v>2010 Q2</c:v>
              </c:pt>
              <c:pt idx="2">
                <c:v>2010 Q3</c:v>
              </c:pt>
              <c:pt idx="3">
                <c:v>2010 Q4</c:v>
              </c:pt>
              <c:pt idx="4">
                <c:v>2011 Q1</c:v>
              </c:pt>
              <c:pt idx="5">
                <c:v>2011 Q2</c:v>
              </c:pt>
              <c:pt idx="6">
                <c:v>2011 Q3</c:v>
              </c:pt>
              <c:pt idx="7">
                <c:v>2011 Q4</c:v>
              </c:pt>
              <c:pt idx="8">
                <c:v>2012 Q1</c:v>
              </c:pt>
              <c:pt idx="9">
                <c:v>2012 Q2</c:v>
              </c:pt>
              <c:pt idx="10">
                <c:v>2012 Q3</c:v>
              </c:pt>
              <c:pt idx="11">
                <c:v>2012 Q4</c:v>
              </c:pt>
              <c:pt idx="12">
                <c:v>2013 Q1</c:v>
              </c:pt>
              <c:pt idx="13">
                <c:v>2013 Q2</c:v>
              </c:pt>
              <c:pt idx="14">
                <c:v>2013 Q3</c:v>
              </c:pt>
              <c:pt idx="15">
                <c:v>2013 Q4</c:v>
              </c:pt>
              <c:pt idx="16">
                <c:v>2014 Q1</c:v>
              </c:pt>
              <c:pt idx="17">
                <c:v>2014 Q2</c:v>
              </c:pt>
              <c:pt idx="18">
                <c:v>2014 Q3</c:v>
              </c:pt>
              <c:pt idx="19">
                <c:v>2014 Q4</c:v>
              </c:pt>
              <c:pt idx="20">
                <c:v>2015 Q1</c:v>
              </c:pt>
            </c:strLit>
          </c:cat>
          <c:val>
            <c:numLit>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4152</c:v>
              </c:pt>
              <c:pt idx="15">
                <c:v>4268</c:v>
              </c:pt>
              <c:pt idx="16">
                <c:v>4188</c:v>
              </c:pt>
              <c:pt idx="17">
                <c:v>4417</c:v>
              </c:pt>
              <c:pt idx="18">
                <c:v>4539</c:v>
              </c:pt>
              <c:pt idx="19">
                <c:v>4717</c:v>
              </c:pt>
              <c:pt idx="20">
                <c:v>4777</c:v>
              </c:pt>
            </c:numLit>
          </c:val>
        </c:ser>
        <c:dLbls>
          <c:showLegendKey val="0"/>
          <c:showVal val="0"/>
          <c:showCatName val="0"/>
          <c:showSerName val="0"/>
          <c:showPercent val="0"/>
          <c:showBubbleSize val="0"/>
        </c:dLbls>
        <c:axId val="102962304"/>
        <c:axId val="102963840"/>
      </c:areaChart>
      <c:catAx>
        <c:axId val="102962304"/>
        <c:scaling>
          <c:orientation val="minMax"/>
        </c:scaling>
        <c:delete val="0"/>
        <c:axPos val="b"/>
        <c:numFmt formatCode="General" sourceLinked="1"/>
        <c:majorTickMark val="none"/>
        <c:minorTickMark val="none"/>
        <c:tickLblPos val="nextTo"/>
        <c:txPr>
          <a:bodyPr rot="-5400000" vert="horz"/>
          <a:lstStyle/>
          <a:p>
            <a:pPr>
              <a:defRPr b="0"/>
            </a:pPr>
            <a:endParaRPr lang="en-US"/>
          </a:p>
        </c:txPr>
        <c:crossAx val="102963840"/>
        <c:crosses val="autoZero"/>
        <c:auto val="0"/>
        <c:lblAlgn val="ctr"/>
        <c:lblOffset val="100"/>
        <c:noMultiLvlLbl val="0"/>
      </c:catAx>
      <c:valAx>
        <c:axId val="102963840"/>
        <c:scaling>
          <c:orientation val="minMax"/>
        </c:scaling>
        <c:delete val="0"/>
        <c:axPos val="l"/>
        <c:majorGridlines/>
        <c:title>
          <c:tx>
            <c:rich>
              <a:bodyPr rot="-5400000" vert="horz"/>
              <a:lstStyle/>
              <a:p>
                <a:pPr>
                  <a:defRPr b="0"/>
                </a:pPr>
                <a:r>
                  <a:rPr lang="en-AU" b="0"/>
                  <a:t>Number</a:t>
                </a:r>
                <a:r>
                  <a:rPr lang="en-AU" b="0" baseline="0"/>
                  <a:t> of prescriptions  for natalizumab</a:t>
                </a:r>
                <a:endParaRPr lang="en-AU" b="0"/>
              </a:p>
            </c:rich>
          </c:tx>
          <c:layout/>
          <c:overlay val="0"/>
        </c:title>
        <c:numFmt formatCode="#,##0" sourceLinked="0"/>
        <c:majorTickMark val="none"/>
        <c:minorTickMark val="none"/>
        <c:tickLblPos val="nextTo"/>
        <c:txPr>
          <a:bodyPr rot="0" vert="horz"/>
          <a:lstStyle/>
          <a:p>
            <a:pPr>
              <a:defRPr/>
            </a:pPr>
            <a:endParaRPr lang="en-US"/>
          </a:p>
        </c:txPr>
        <c:crossAx val="102962304"/>
        <c:crosses val="autoZero"/>
        <c:crossBetween val="midCat"/>
      </c:valAx>
    </c:plotArea>
    <c:legend>
      <c:legendPos val="r"/>
      <c:layout/>
      <c:overlay val="0"/>
      <c:txPr>
        <a:bodyPr/>
        <a:lstStyle/>
        <a:p>
          <a:pPr>
            <a:defRPr sz="900"/>
          </a:pPr>
          <a:endParaRPr lang="en-US"/>
        </a:p>
      </c:txPr>
    </c:legend>
    <c:plotVisOnly val="1"/>
    <c:dispBlanksAs val="gap"/>
    <c:showDLblsOverMax val="0"/>
  </c:chart>
  <c:externalData r:id="rId2">
    <c:autoUpdate val="0"/>
  </c:externalData>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E27AB-E71C-4121-B9B5-D07F49E8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11887</Words>
  <Characters>67761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2015-10-30T05:25:00Z</dcterms:created>
  <dcterms:modified xsi:type="dcterms:W3CDTF">2016-02-21T22:24:00Z</dcterms:modified>
</cp:coreProperties>
</file>