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A3C130" w14:textId="51F07A14" w:rsidR="00832324" w:rsidRDefault="00280A9E" w:rsidP="00823D44">
      <w:pPr>
        <w:pStyle w:val="Title"/>
        <w:spacing w:before="480" w:after="0"/>
      </w:pPr>
      <w:proofErr w:type="spellStart"/>
      <w:r>
        <w:t>Romiplostim</w:t>
      </w:r>
      <w:proofErr w:type="spellEnd"/>
      <w:r>
        <w:t xml:space="preserve"> and </w:t>
      </w:r>
      <w:proofErr w:type="spellStart"/>
      <w:r>
        <w:t>eltrombopag</w:t>
      </w:r>
      <w:proofErr w:type="spellEnd"/>
      <w:r w:rsidR="001E0773">
        <w:t xml:space="preserve"> for idiopathic thrombocytopenic </w:t>
      </w:r>
      <w:proofErr w:type="spellStart"/>
      <w:r w:rsidR="001E0773">
        <w:t>purpura</w:t>
      </w:r>
      <w:proofErr w:type="spellEnd"/>
      <w:r w:rsidR="001C4016">
        <w:t xml:space="preserve">: </w:t>
      </w:r>
      <w:r>
        <w:t xml:space="preserve">predicted versus actual </w:t>
      </w:r>
      <w:r w:rsidR="001C4016">
        <w:t>a</w:t>
      </w:r>
      <w:r>
        <w:t>nalysis</w:t>
      </w:r>
    </w:p>
    <w:p w14:paraId="68F00614" w14:textId="799F8740" w:rsidR="00736041" w:rsidRDefault="009053D3" w:rsidP="00823D44">
      <w:pPr>
        <w:pStyle w:val="Heading1"/>
      </w:pPr>
      <w:r>
        <w:t>D</w:t>
      </w:r>
      <w:r w:rsidR="00832324" w:rsidRPr="0063631C">
        <w:t xml:space="preserve">rug utilisation sub-committee </w:t>
      </w:r>
      <w:r w:rsidR="00832324">
        <w:t>(DUSC)</w:t>
      </w:r>
    </w:p>
    <w:p w14:paraId="78148839" w14:textId="2CB69B86" w:rsidR="009053D3" w:rsidRPr="000C46BB" w:rsidRDefault="00280A9E" w:rsidP="00823D44">
      <w:pPr>
        <w:pStyle w:val="Heading2"/>
      </w:pPr>
      <w:r>
        <w:t>June 2015</w:t>
      </w:r>
    </w:p>
    <w:p w14:paraId="1494B8AD" w14:textId="77777777" w:rsidR="005C6661" w:rsidRDefault="005C6661" w:rsidP="00E9170D">
      <w:pPr>
        <w:pStyle w:val="Heading3"/>
      </w:pPr>
      <w:r>
        <w:t>Abstract</w:t>
      </w:r>
    </w:p>
    <w:p w14:paraId="287D7939" w14:textId="77777777" w:rsidR="005C6661" w:rsidRPr="00366EEC" w:rsidRDefault="005C6661" w:rsidP="00E9170D">
      <w:pPr>
        <w:pStyle w:val="Heading2"/>
      </w:pPr>
      <w:r w:rsidRPr="00366EEC">
        <w:t>Purpose</w:t>
      </w:r>
    </w:p>
    <w:p w14:paraId="06AE017A" w14:textId="545B3505" w:rsidR="00816C31" w:rsidRDefault="00CF2812" w:rsidP="005C6661">
      <w:pPr>
        <w:pStyle w:val="NoSpacing"/>
      </w:pPr>
      <w:proofErr w:type="gramStart"/>
      <w:r>
        <w:t xml:space="preserve">To examine the utilisation of </w:t>
      </w:r>
      <w:r w:rsidR="00C01BB0">
        <w:t xml:space="preserve">the </w:t>
      </w:r>
      <w:proofErr w:type="spellStart"/>
      <w:r w:rsidR="005E4B5A">
        <w:t>thrombopoietin</w:t>
      </w:r>
      <w:proofErr w:type="spellEnd"/>
      <w:r w:rsidR="005E4B5A">
        <w:t xml:space="preserve"> receptor agonists (TRA</w:t>
      </w:r>
      <w:r w:rsidR="000E7965">
        <w:t>s</w:t>
      </w:r>
      <w:r w:rsidR="005E4B5A">
        <w:t xml:space="preserve">), </w:t>
      </w:r>
      <w:proofErr w:type="spellStart"/>
      <w:r>
        <w:t>romiplostim</w:t>
      </w:r>
      <w:proofErr w:type="spellEnd"/>
      <w:r>
        <w:t xml:space="preserve"> and </w:t>
      </w:r>
      <w:proofErr w:type="spellStart"/>
      <w:r>
        <w:t>eltrombopag</w:t>
      </w:r>
      <w:proofErr w:type="spellEnd"/>
      <w:r w:rsidR="005E4B5A">
        <w:t>,</w:t>
      </w:r>
      <w:r>
        <w:t xml:space="preserve"> for idiopathic thrombocytopenic </w:t>
      </w:r>
      <w:proofErr w:type="spellStart"/>
      <w:r>
        <w:t>purpura</w:t>
      </w:r>
      <w:proofErr w:type="spellEnd"/>
      <w:r>
        <w:t xml:space="preserve"> </w:t>
      </w:r>
      <w:r w:rsidR="002D3665">
        <w:t>(ITP).</w:t>
      </w:r>
      <w:proofErr w:type="gramEnd"/>
      <w:r w:rsidR="001E0773">
        <w:t xml:space="preserve">  The Pharmaceutical Benefits Advisory Committee (PBAC) requested review of these agents once data for three years of use were available.</w:t>
      </w:r>
    </w:p>
    <w:p w14:paraId="6EF9015E" w14:textId="77777777" w:rsidR="00366EEC" w:rsidRPr="00366EEC" w:rsidRDefault="00366EEC" w:rsidP="00E9170D">
      <w:pPr>
        <w:pStyle w:val="Heading2"/>
      </w:pPr>
      <w:r w:rsidRPr="00366EEC">
        <w:t>Date of listing on PBS</w:t>
      </w:r>
    </w:p>
    <w:p w14:paraId="710ED599" w14:textId="3AF367FE" w:rsidR="00366EEC" w:rsidRPr="00816C31" w:rsidRDefault="00816C31" w:rsidP="00816C31">
      <w:pPr>
        <w:pStyle w:val="ListParagraph"/>
        <w:numPr>
          <w:ilvl w:val="0"/>
          <w:numId w:val="15"/>
        </w:numPr>
        <w:spacing w:after="0"/>
      </w:pPr>
      <w:proofErr w:type="spellStart"/>
      <w:r w:rsidRPr="00816C31">
        <w:t>Romiplostim</w:t>
      </w:r>
      <w:proofErr w:type="spellEnd"/>
      <w:r w:rsidRPr="00816C31">
        <w:t xml:space="preserve"> – 1 April 2011.</w:t>
      </w:r>
    </w:p>
    <w:p w14:paraId="1BB2F1D0" w14:textId="0A895F85" w:rsidR="00816C31" w:rsidRPr="00816C31" w:rsidRDefault="00816C31" w:rsidP="00816C31">
      <w:pPr>
        <w:pStyle w:val="ListParagraph"/>
        <w:numPr>
          <w:ilvl w:val="0"/>
          <w:numId w:val="15"/>
        </w:numPr>
        <w:spacing w:after="0"/>
      </w:pPr>
      <w:proofErr w:type="spellStart"/>
      <w:r>
        <w:t>Eltrombopag</w:t>
      </w:r>
      <w:proofErr w:type="spellEnd"/>
      <w:r>
        <w:t xml:space="preserve"> – 1 </w:t>
      </w:r>
      <w:r w:rsidR="004B18ED">
        <w:t>November</w:t>
      </w:r>
      <w:r>
        <w:t xml:space="preserve"> 2011.</w:t>
      </w:r>
    </w:p>
    <w:p w14:paraId="526743BB" w14:textId="77777777" w:rsidR="005C6661" w:rsidRPr="00366EEC" w:rsidRDefault="005C6661" w:rsidP="00E9170D">
      <w:pPr>
        <w:pStyle w:val="Heading2"/>
      </w:pPr>
      <w:r w:rsidRPr="00366EEC">
        <w:t>Data Source / methodology</w:t>
      </w:r>
    </w:p>
    <w:p w14:paraId="2FCC2EBD" w14:textId="6E4C8B59" w:rsidR="003134C0" w:rsidRPr="003134C0" w:rsidRDefault="00017523" w:rsidP="007951E8">
      <w:proofErr w:type="gramStart"/>
      <w:r>
        <w:t>Authority approvals data and p</w:t>
      </w:r>
      <w:r w:rsidR="00587CDD" w:rsidRPr="00587CDD">
        <w:t>rescription data from the Department of Human Services</w:t>
      </w:r>
      <w:r w:rsidR="00C20E37">
        <w:t xml:space="preserve"> (DHS</w:t>
      </w:r>
      <w:r w:rsidR="0018129D">
        <w:t>).</w:t>
      </w:r>
      <w:proofErr w:type="gramEnd"/>
      <w:r w:rsidR="0018129D">
        <w:t xml:space="preserve"> </w:t>
      </w:r>
      <w:r w:rsidR="00B3427C">
        <w:t>Data w</w:t>
      </w:r>
      <w:r w:rsidR="000E7965">
        <w:t>ere</w:t>
      </w:r>
      <w:r w:rsidR="00B3427C">
        <w:t xml:space="preserve"> extracted from </w:t>
      </w:r>
      <w:r w:rsidR="00E9666D">
        <w:t>the date of listing</w:t>
      </w:r>
      <w:r w:rsidR="00FC30B1">
        <w:t xml:space="preserve"> </w:t>
      </w:r>
      <w:r w:rsidR="00C872F8">
        <w:t xml:space="preserve">(April 2011) </w:t>
      </w:r>
      <w:r w:rsidR="00E9666D">
        <w:t>to the most current</w:t>
      </w:r>
      <w:r w:rsidR="00A54521">
        <w:t>ly</w:t>
      </w:r>
      <w:r w:rsidR="00E9666D">
        <w:t xml:space="preserve"> available data (December 2014).</w:t>
      </w:r>
      <w:r w:rsidR="00587CDD" w:rsidRPr="00587CDD">
        <w:t xml:space="preserve"> </w:t>
      </w:r>
      <w:r>
        <w:t>Prescription data was based on the date of supply.</w:t>
      </w:r>
    </w:p>
    <w:p w14:paraId="2DA54A31" w14:textId="77777777" w:rsidR="00366EEC" w:rsidRPr="00366EEC" w:rsidRDefault="00366EEC" w:rsidP="00E9170D">
      <w:pPr>
        <w:pStyle w:val="Heading2"/>
      </w:pPr>
      <w:r w:rsidRPr="00366EEC">
        <w:t>Key Findings</w:t>
      </w:r>
    </w:p>
    <w:p w14:paraId="663217CD" w14:textId="101EF8A8" w:rsidR="004002F3" w:rsidRPr="002400A2" w:rsidRDefault="00626886" w:rsidP="001F00BB">
      <w:pPr>
        <w:pStyle w:val="NoSpacing"/>
        <w:numPr>
          <w:ilvl w:val="0"/>
          <w:numId w:val="3"/>
        </w:numPr>
      </w:pPr>
      <w:r>
        <w:t>The total of 303</w:t>
      </w:r>
      <w:r w:rsidR="00586C87">
        <w:t xml:space="preserve"> patients supplied with TRA therapy in the first year of listing (April 2011 to </w:t>
      </w:r>
      <w:r>
        <w:t xml:space="preserve">March 2012) was </w:t>
      </w:r>
      <w:r w:rsidR="00A67D59" w:rsidRPr="00A67D59">
        <w:rPr>
          <w:highlight w:val="black"/>
        </w:rPr>
        <w:t>XX</w:t>
      </w:r>
      <w:r w:rsidR="00586C87" w:rsidRPr="002400A2">
        <w:t xml:space="preserve">% less than </w:t>
      </w:r>
      <w:r w:rsidR="003F7933" w:rsidRPr="002400A2">
        <w:t>projected</w:t>
      </w:r>
      <w:r w:rsidR="00C11146">
        <w:t xml:space="preserve"> (</w:t>
      </w:r>
      <w:r w:rsidR="00C11146" w:rsidRPr="00C11146">
        <w:rPr>
          <w:color w:val="000000" w:themeColor="text1"/>
          <w:highlight w:val="black"/>
        </w:rPr>
        <w:t>XXX</w:t>
      </w:r>
      <w:r w:rsidR="00D71783" w:rsidRPr="00C11146">
        <w:rPr>
          <w:color w:val="000000" w:themeColor="text1"/>
        </w:rPr>
        <w:t xml:space="preserve"> </w:t>
      </w:r>
      <w:r w:rsidR="00D71783" w:rsidRPr="002400A2">
        <w:t>patients)</w:t>
      </w:r>
      <w:r w:rsidR="00586C87" w:rsidRPr="002400A2">
        <w:t xml:space="preserve">. </w:t>
      </w:r>
      <w:r w:rsidR="00894D54" w:rsidRPr="002400A2">
        <w:t>The</w:t>
      </w:r>
      <w:r w:rsidR="00D71783" w:rsidRPr="002400A2">
        <w:t xml:space="preserve"> actual total number of patients was more than predicted</w:t>
      </w:r>
      <w:r w:rsidRPr="002400A2">
        <w:t xml:space="preserve"> in the thi</w:t>
      </w:r>
      <w:r w:rsidR="00D71783" w:rsidRPr="002400A2">
        <w:t xml:space="preserve">rd year of listing (506 vs. </w:t>
      </w:r>
      <w:r w:rsidR="00C11146" w:rsidRPr="00C11146">
        <w:rPr>
          <w:highlight w:val="black"/>
        </w:rPr>
        <w:t>XXX</w:t>
      </w:r>
      <w:r w:rsidR="00D71783" w:rsidRPr="002400A2">
        <w:t>, respectively</w:t>
      </w:r>
      <w:r w:rsidR="00586C87" w:rsidRPr="002400A2">
        <w:t xml:space="preserve">). </w:t>
      </w:r>
    </w:p>
    <w:p w14:paraId="399E6E57" w14:textId="38BB0D93" w:rsidR="00FF2D9F" w:rsidRDefault="00F97770" w:rsidP="00FF2D9F">
      <w:pPr>
        <w:pStyle w:val="NoSpacing"/>
        <w:numPr>
          <w:ilvl w:val="0"/>
          <w:numId w:val="3"/>
        </w:numPr>
      </w:pPr>
      <w:r w:rsidRPr="002400A2">
        <w:t xml:space="preserve">The financial estimates for </w:t>
      </w:r>
      <w:proofErr w:type="spellStart"/>
      <w:r w:rsidRPr="002400A2">
        <w:t>eltrombopag</w:t>
      </w:r>
      <w:proofErr w:type="spellEnd"/>
      <w:r w:rsidRPr="002400A2">
        <w:t xml:space="preserve"> were </w:t>
      </w:r>
      <w:r w:rsidR="006A264F" w:rsidRPr="002400A2">
        <w:t>sensitive to</w:t>
      </w:r>
      <w:r w:rsidRPr="002400A2">
        <w:t xml:space="preserve"> the proportional use of its maximal dose (75 mg). </w:t>
      </w:r>
      <w:r w:rsidR="00A12B7D" w:rsidRPr="002400A2">
        <w:t xml:space="preserve">The actual mean daily dose for continuers (54 mg) was similar to the </w:t>
      </w:r>
      <w:r w:rsidR="00120BEA" w:rsidRPr="002400A2">
        <w:t>predicted average doses of 58 mg for splenectomised and 56 mg for</w:t>
      </w:r>
      <w:r w:rsidR="00120BEA">
        <w:t xml:space="preserve"> non-</w:t>
      </w:r>
      <w:r w:rsidR="00A12B7D">
        <w:t xml:space="preserve">splenectomised patients. The actual mean daily dose for initiators (45 mg) was lower than </w:t>
      </w:r>
      <w:r w:rsidR="0044136C">
        <w:t>the</w:t>
      </w:r>
      <w:r w:rsidR="00CE7043">
        <w:t xml:space="preserve"> predicted doses</w:t>
      </w:r>
      <w:r w:rsidR="00A12B7D">
        <w:t>.</w:t>
      </w:r>
    </w:p>
    <w:p w14:paraId="4103178F" w14:textId="098AD71D" w:rsidR="00961E6D" w:rsidRDefault="00961E6D" w:rsidP="001F00BB">
      <w:pPr>
        <w:pStyle w:val="NoSpacing"/>
        <w:numPr>
          <w:ilvl w:val="0"/>
          <w:numId w:val="3"/>
        </w:numPr>
      </w:pPr>
      <w:r>
        <w:t xml:space="preserve">The majority of patients </w:t>
      </w:r>
      <w:r w:rsidR="000E7965">
        <w:t>remained</w:t>
      </w:r>
      <w:r>
        <w:t xml:space="preserve"> on </w:t>
      </w:r>
      <w:r w:rsidR="005E43A9">
        <w:t xml:space="preserve">TRA </w:t>
      </w:r>
      <w:r>
        <w:t xml:space="preserve">treatment for </w:t>
      </w:r>
      <w:r w:rsidR="009E346A">
        <w:t>more than a year</w:t>
      </w:r>
      <w:r w:rsidR="00AE644F">
        <w:t xml:space="preserve"> </w:t>
      </w:r>
      <w:r>
        <w:t xml:space="preserve">(mean duration of 1.1 years for </w:t>
      </w:r>
      <w:proofErr w:type="spellStart"/>
      <w:r>
        <w:t>romiplostim</w:t>
      </w:r>
      <w:proofErr w:type="spellEnd"/>
      <w:r>
        <w:t xml:space="preserve"> and 1.5 years for </w:t>
      </w:r>
      <w:proofErr w:type="spellStart"/>
      <w:r>
        <w:t>eltrombopag</w:t>
      </w:r>
      <w:proofErr w:type="spellEnd"/>
      <w:r>
        <w:t>).</w:t>
      </w:r>
    </w:p>
    <w:p w14:paraId="63DC602A" w14:textId="2E6B2344" w:rsidR="0099716D" w:rsidRDefault="003B4EBD" w:rsidP="001F00BB">
      <w:pPr>
        <w:pStyle w:val="NoSpacing"/>
        <w:numPr>
          <w:ilvl w:val="0"/>
          <w:numId w:val="3"/>
        </w:numPr>
      </w:pPr>
      <w:r>
        <w:lastRenderedPageBreak/>
        <w:t xml:space="preserve">Of the 147 patients initiating on </w:t>
      </w:r>
      <w:r w:rsidR="00F31C0C">
        <w:t xml:space="preserve">PBS subsidised </w:t>
      </w:r>
      <w:r>
        <w:t xml:space="preserve">TRA therapy during the first year of listing (April 2011 to March 2012), 60 patients (41%) switched from their initial therapy. </w:t>
      </w:r>
      <w:r w:rsidR="006D5DF6">
        <w:t xml:space="preserve">Sixty eight of </w:t>
      </w:r>
      <w:r w:rsidR="00822D1A">
        <w:t xml:space="preserve">the </w:t>
      </w:r>
      <w:r w:rsidR="006423E9">
        <w:t xml:space="preserve">147 </w:t>
      </w:r>
      <w:r w:rsidR="006D5DF6">
        <w:t xml:space="preserve">patients </w:t>
      </w:r>
      <w:r w:rsidR="006423E9">
        <w:t xml:space="preserve">initiating in Year 1 </w:t>
      </w:r>
      <w:r w:rsidR="006D5DF6">
        <w:t>were grandfathered. T</w:t>
      </w:r>
      <w:r w:rsidR="006D4777">
        <w:t xml:space="preserve">he mean time on TRA therapy </w:t>
      </w:r>
      <w:r w:rsidR="00D3353B">
        <w:t>was</w:t>
      </w:r>
      <w:r w:rsidR="006D4777">
        <w:t xml:space="preserve"> slightly longer for patients who switched </w:t>
      </w:r>
      <w:r w:rsidR="000E7965">
        <w:t xml:space="preserve">treatment </w:t>
      </w:r>
      <w:r w:rsidR="001645B6">
        <w:t>(</w:t>
      </w:r>
      <w:r w:rsidR="006D4777">
        <w:t>1.5 years)</w:t>
      </w:r>
      <w:r w:rsidR="006D5DF6">
        <w:t xml:space="preserve"> or who were grandfathered (1.4 years) compared to all initiators (1.3 years).</w:t>
      </w:r>
      <w:r w:rsidR="0099716D">
        <w:t xml:space="preserve"> </w:t>
      </w:r>
    </w:p>
    <w:p w14:paraId="1F751CF0" w14:textId="40FF841A" w:rsidR="002835E7" w:rsidRDefault="00561E9A" w:rsidP="00CE41CF">
      <w:pPr>
        <w:pStyle w:val="NoSpacing"/>
        <w:numPr>
          <w:ilvl w:val="0"/>
          <w:numId w:val="3"/>
        </w:numPr>
      </w:pPr>
      <w:r>
        <w:t>The PBS and RPBS (R/PBS) actual expenditure on TRA therapy has been significantly less than predicted</w:t>
      </w:r>
      <w:r w:rsidR="00D30719">
        <w:t xml:space="preserve"> during the first three years of listing</w:t>
      </w:r>
      <w:r w:rsidR="00CE41CF">
        <w:t xml:space="preserve">. </w:t>
      </w:r>
    </w:p>
    <w:p w14:paraId="4E6A693A" w14:textId="77777777" w:rsidR="000E7965" w:rsidRDefault="000E7965">
      <w:pPr>
        <w:spacing w:line="276" w:lineRule="auto"/>
        <w:rPr>
          <w:b/>
          <w:sz w:val="32"/>
          <w:szCs w:val="32"/>
        </w:rPr>
      </w:pPr>
      <w:r>
        <w:rPr>
          <w:i/>
          <w:sz w:val="32"/>
          <w:szCs w:val="32"/>
        </w:rPr>
        <w:br w:type="page"/>
      </w:r>
    </w:p>
    <w:p w14:paraId="5B262047" w14:textId="043FB6B3" w:rsidR="00E677DD" w:rsidRPr="00EA0227" w:rsidRDefault="00E677DD" w:rsidP="00EA0227">
      <w:pPr>
        <w:pStyle w:val="Heading2"/>
        <w:rPr>
          <w:i w:val="0"/>
          <w:sz w:val="32"/>
          <w:szCs w:val="32"/>
        </w:rPr>
      </w:pPr>
      <w:r w:rsidRPr="00EA0227">
        <w:rPr>
          <w:i w:val="0"/>
          <w:sz w:val="32"/>
          <w:szCs w:val="32"/>
        </w:rPr>
        <w:lastRenderedPageBreak/>
        <w:t xml:space="preserve">Purpose </w:t>
      </w:r>
    </w:p>
    <w:p w14:paraId="52494285" w14:textId="751EF36C" w:rsidR="00DE6E21" w:rsidRDefault="000B6064" w:rsidP="00B90A9E">
      <w:pPr>
        <w:pStyle w:val="NoSpacing"/>
      </w:pPr>
      <w:proofErr w:type="gramStart"/>
      <w:r>
        <w:t xml:space="preserve">To examine the utilisation of the </w:t>
      </w:r>
      <w:proofErr w:type="spellStart"/>
      <w:r>
        <w:t>thrombopoietin</w:t>
      </w:r>
      <w:proofErr w:type="spellEnd"/>
      <w:r>
        <w:t xml:space="preserve"> receptor agonists (TRAs), </w:t>
      </w:r>
      <w:proofErr w:type="spellStart"/>
      <w:r>
        <w:t>romiplostim</w:t>
      </w:r>
      <w:proofErr w:type="spellEnd"/>
      <w:r>
        <w:t xml:space="preserve"> and </w:t>
      </w:r>
      <w:proofErr w:type="spellStart"/>
      <w:r>
        <w:t>eltrombopag</w:t>
      </w:r>
      <w:proofErr w:type="spellEnd"/>
      <w:r>
        <w:t xml:space="preserve">, for idiopathic thrombocytopenic </w:t>
      </w:r>
      <w:proofErr w:type="spellStart"/>
      <w:r>
        <w:t>purpura</w:t>
      </w:r>
      <w:proofErr w:type="spellEnd"/>
      <w:r>
        <w:t xml:space="preserve"> (ITP).</w:t>
      </w:r>
      <w:proofErr w:type="gramEnd"/>
      <w:r>
        <w:t xml:space="preserve">  The Pharmaceutical Benefits Advisory Committee (PBAC) requested review of these agents once data for three years of use were available.</w:t>
      </w:r>
    </w:p>
    <w:p w14:paraId="0A7F0B57" w14:textId="034D22D5" w:rsidR="006537D9" w:rsidRPr="00EA0227" w:rsidRDefault="00736041" w:rsidP="00EA0227">
      <w:pPr>
        <w:pStyle w:val="Heading2"/>
        <w:rPr>
          <w:i w:val="0"/>
          <w:sz w:val="32"/>
          <w:szCs w:val="32"/>
        </w:rPr>
      </w:pPr>
      <w:r w:rsidRPr="00EA0227">
        <w:rPr>
          <w:i w:val="0"/>
          <w:sz w:val="32"/>
          <w:szCs w:val="32"/>
        </w:rPr>
        <w:t>Background</w:t>
      </w:r>
    </w:p>
    <w:p w14:paraId="0183A567" w14:textId="413DF87B" w:rsidR="007247B9" w:rsidRDefault="007247B9" w:rsidP="00FE645A">
      <w:pPr>
        <w:pStyle w:val="Heading3"/>
      </w:pPr>
      <w:r>
        <w:t>Pharmacology</w:t>
      </w:r>
    </w:p>
    <w:p w14:paraId="19978D81" w14:textId="73197C59" w:rsidR="00EB24AA" w:rsidRPr="00823D44" w:rsidRDefault="00EB24AA" w:rsidP="00C70C89">
      <w:proofErr w:type="spellStart"/>
      <w:r w:rsidRPr="00823D44">
        <w:t>Thrombopoietin</w:t>
      </w:r>
      <w:proofErr w:type="spellEnd"/>
      <w:r w:rsidRPr="00823D44">
        <w:t xml:space="preserve"> is involved in platelet production. </w:t>
      </w:r>
      <w:proofErr w:type="spellStart"/>
      <w:r w:rsidRPr="00823D44">
        <w:t>Romiplostim</w:t>
      </w:r>
      <w:proofErr w:type="spellEnd"/>
      <w:r w:rsidRPr="00823D44">
        <w:t xml:space="preserve"> and </w:t>
      </w:r>
      <w:proofErr w:type="spellStart"/>
      <w:r w:rsidRPr="00823D44">
        <w:t>eltrombopag</w:t>
      </w:r>
      <w:proofErr w:type="spellEnd"/>
      <w:r w:rsidRPr="00823D44">
        <w:t xml:space="preserve"> are </w:t>
      </w:r>
      <w:proofErr w:type="spellStart"/>
      <w:r w:rsidRPr="00823D44">
        <w:t>thrombopoietin</w:t>
      </w:r>
      <w:proofErr w:type="spellEnd"/>
      <w:r w:rsidRPr="00823D44">
        <w:t xml:space="preserve"> receptor agonists which act to increase platelet production. </w:t>
      </w:r>
    </w:p>
    <w:p w14:paraId="69EC4E00" w14:textId="4C81137D" w:rsidR="00EB24AA" w:rsidRPr="00823D44" w:rsidRDefault="00C70C89" w:rsidP="00C70C89">
      <w:proofErr w:type="spellStart"/>
      <w:r w:rsidRPr="00823D44">
        <w:t>Romiplostim</w:t>
      </w:r>
      <w:proofErr w:type="spellEnd"/>
      <w:r w:rsidRPr="00823D44">
        <w:t xml:space="preserve"> is an Fc-peptide fusion protein that signals and activates intracellular transcriptional pathways via the </w:t>
      </w:r>
      <w:proofErr w:type="spellStart"/>
      <w:r w:rsidRPr="00823D44">
        <w:t>thrombopoietin</w:t>
      </w:r>
      <w:proofErr w:type="spellEnd"/>
      <w:r w:rsidRPr="00823D44">
        <w:t xml:space="preserve"> receptor</w:t>
      </w:r>
      <w:r w:rsidR="00EB24AA" w:rsidRPr="00823D44">
        <w:t xml:space="preserve">. </w:t>
      </w:r>
    </w:p>
    <w:p w14:paraId="78E04C17" w14:textId="4254E487" w:rsidR="00C70C89" w:rsidRPr="00823D44" w:rsidRDefault="00EB24AA" w:rsidP="00C70C89">
      <w:proofErr w:type="spellStart"/>
      <w:r w:rsidRPr="00823D44">
        <w:t>Eltrombopag</w:t>
      </w:r>
      <w:proofErr w:type="spellEnd"/>
      <w:r w:rsidRPr="00823D44">
        <w:t xml:space="preserve"> interacts with the transmembrane domain of the </w:t>
      </w:r>
      <w:proofErr w:type="spellStart"/>
      <w:r w:rsidRPr="00823D44">
        <w:t>thrombopoietin</w:t>
      </w:r>
      <w:proofErr w:type="spellEnd"/>
      <w:r w:rsidRPr="00823D44">
        <w:t xml:space="preserve"> receptor to initiate </w:t>
      </w:r>
      <w:r w:rsidR="00552F1C" w:rsidRPr="00823D44">
        <w:t>signalling</w:t>
      </w:r>
      <w:r w:rsidRPr="00823D44">
        <w:t xml:space="preserve"> cascades similar but not identical to that of endogenous </w:t>
      </w:r>
      <w:proofErr w:type="spellStart"/>
      <w:r w:rsidRPr="00823D44">
        <w:t>thrombopoietin</w:t>
      </w:r>
      <w:proofErr w:type="spellEnd"/>
      <w:r w:rsidRPr="00823D44">
        <w:t>.</w:t>
      </w:r>
      <w:r w:rsidR="00C70C89" w:rsidRPr="00823D44">
        <w:t xml:space="preserve"> </w:t>
      </w:r>
    </w:p>
    <w:p w14:paraId="7D7F15E3" w14:textId="77777777" w:rsidR="00823C5C" w:rsidRDefault="00823C5C" w:rsidP="00823C5C">
      <w:pPr>
        <w:pStyle w:val="Heading3"/>
      </w:pPr>
      <w:r w:rsidRPr="00DE260E">
        <w:t>Therapeutic Goods Administration (TGA) approved indications</w:t>
      </w:r>
    </w:p>
    <w:p w14:paraId="41448D30" w14:textId="4B7BD539" w:rsidR="00B249AA" w:rsidRPr="00B249AA" w:rsidRDefault="00B249AA" w:rsidP="00264AF1">
      <w:pPr>
        <w:autoSpaceDE w:val="0"/>
        <w:autoSpaceDN w:val="0"/>
        <w:adjustRightInd w:val="0"/>
      </w:pPr>
      <w:proofErr w:type="spellStart"/>
      <w:r w:rsidRPr="00B249AA">
        <w:t>Romiplostim</w:t>
      </w:r>
      <w:proofErr w:type="spellEnd"/>
      <w:r w:rsidRPr="00B249AA">
        <w:t xml:space="preserve"> is indicated for treatment of thrombocytopenia in adult patients with chronic immune (idiopathic</w:t>
      </w:r>
      <w:r w:rsidR="0082387B">
        <w:t xml:space="preserve">) thrombocytopenic </w:t>
      </w:r>
      <w:proofErr w:type="spellStart"/>
      <w:r w:rsidR="0082387B">
        <w:t>purpura</w:t>
      </w:r>
      <w:proofErr w:type="spellEnd"/>
      <w:r w:rsidRPr="00B249AA">
        <w:t>: (1) who are</w:t>
      </w:r>
      <w:r w:rsidR="00670111">
        <w:t xml:space="preserve"> </w:t>
      </w:r>
      <w:r w:rsidRPr="00B249AA">
        <w:t xml:space="preserve">non-splenectomised and have had an inadequate response, or are intolerant, to corticosteroids and immunoglobulins; </w:t>
      </w:r>
      <w:r w:rsidR="000C44C4">
        <w:t xml:space="preserve">and </w:t>
      </w:r>
      <w:r w:rsidRPr="00B249AA">
        <w:t xml:space="preserve">(2) who are splenectomised and have had an inadequate response to </w:t>
      </w:r>
      <w:r w:rsidRPr="00F8687A">
        <w:t>splenectomy.</w:t>
      </w:r>
    </w:p>
    <w:p w14:paraId="23A80652" w14:textId="5B04367C" w:rsidR="00721D2A" w:rsidRPr="00721D2A" w:rsidRDefault="00721D2A" w:rsidP="00264AF1">
      <w:pPr>
        <w:autoSpaceDE w:val="0"/>
        <w:autoSpaceDN w:val="0"/>
        <w:adjustRightInd w:val="0"/>
      </w:pPr>
      <w:proofErr w:type="spellStart"/>
      <w:r w:rsidRPr="00721D2A">
        <w:t>Eltrombopag</w:t>
      </w:r>
      <w:proofErr w:type="spellEnd"/>
      <w:r w:rsidRPr="00721D2A">
        <w:t xml:space="preserve"> is indicated for the treatment of adult patients with chronic immune (idiopathic) thrombocytopeni</w:t>
      </w:r>
      <w:r w:rsidR="0082387B">
        <w:t xml:space="preserve">c </w:t>
      </w:r>
      <w:proofErr w:type="spellStart"/>
      <w:r w:rsidR="0082387B">
        <w:t>purpura</w:t>
      </w:r>
      <w:proofErr w:type="spellEnd"/>
      <w:r w:rsidR="0082387B">
        <w:t xml:space="preserve"> </w:t>
      </w:r>
      <w:r>
        <w:t xml:space="preserve">who have had an </w:t>
      </w:r>
      <w:r w:rsidRPr="00721D2A">
        <w:t xml:space="preserve">inadequate response or are intolerant to corticosteroids and </w:t>
      </w:r>
      <w:r w:rsidRPr="00F8687A">
        <w:t>immunoglobulins.</w:t>
      </w:r>
    </w:p>
    <w:p w14:paraId="15E919C1" w14:textId="1B3BA560" w:rsidR="006B709B" w:rsidRDefault="006B709B" w:rsidP="00FE645A">
      <w:pPr>
        <w:pStyle w:val="Heading3"/>
      </w:pPr>
      <w:r>
        <w:t>Dosage and administration</w:t>
      </w:r>
    </w:p>
    <w:p w14:paraId="44F35F6C" w14:textId="0C3F0846" w:rsidR="00AB3733" w:rsidRDefault="00B1258C" w:rsidP="00617051">
      <w:r>
        <w:t>Table 1</w:t>
      </w:r>
      <w:r w:rsidR="00617051" w:rsidRPr="00617051">
        <w:t xml:space="preserve"> summarises the dosage and administration for </w:t>
      </w:r>
      <w:proofErr w:type="spellStart"/>
      <w:r w:rsidR="00617051" w:rsidRPr="00617051">
        <w:t>romiplostim</w:t>
      </w:r>
      <w:proofErr w:type="spellEnd"/>
      <w:r w:rsidR="00617051" w:rsidRPr="00617051">
        <w:t xml:space="preserve"> and </w:t>
      </w:r>
      <w:proofErr w:type="spellStart"/>
      <w:r w:rsidR="00617051" w:rsidRPr="00617051">
        <w:t>eltrombopag</w:t>
      </w:r>
      <w:proofErr w:type="spellEnd"/>
      <w:r w:rsidR="00617051" w:rsidRPr="00617051">
        <w:t>.</w:t>
      </w:r>
    </w:p>
    <w:p w14:paraId="51E22FB7" w14:textId="04B42064" w:rsidR="003370D0" w:rsidRPr="00C245EA" w:rsidRDefault="00264AF1" w:rsidP="001A7D34">
      <w:pPr>
        <w:pStyle w:val="Tableheading"/>
        <w:jc w:val="left"/>
        <w:rPr>
          <w:highlight w:val="yellow"/>
        </w:rPr>
      </w:pPr>
      <w:r>
        <w:t>Table 1</w:t>
      </w:r>
      <w:r w:rsidR="003370D0" w:rsidRPr="00213DD8">
        <w:t xml:space="preserve">: </w:t>
      </w:r>
      <w:r w:rsidR="00213DD8" w:rsidRPr="00213DD8">
        <w:t>Dosage and administration of medicines used to treat idiopathic</w:t>
      </w:r>
      <w:r w:rsidR="00213DD8">
        <w:t xml:space="preserve"> </w:t>
      </w:r>
      <w:r w:rsidR="00213DD8" w:rsidRPr="00721D2A">
        <w:t>thrombocytopeni</w:t>
      </w:r>
      <w:r w:rsidR="00213DD8">
        <w:t xml:space="preserve">c </w:t>
      </w:r>
      <w:proofErr w:type="spellStart"/>
      <w:r w:rsidR="00213DD8">
        <w:t>purpura</w:t>
      </w:r>
      <w:proofErr w:type="spellEnd"/>
    </w:p>
    <w:tbl>
      <w:tblPr>
        <w:tblStyle w:val="TableGrid"/>
        <w:tblW w:w="9180" w:type="dxa"/>
        <w:tblLook w:val="04A0" w:firstRow="1" w:lastRow="0" w:firstColumn="1" w:lastColumn="0" w:noHBand="0" w:noVBand="1"/>
        <w:tblCaption w:val="Table 1"/>
        <w:tblDescription w:val="Summary of dosage and administration of PBS medicines used to treat idiopathic thrombocytopenic purpura"/>
      </w:tblPr>
      <w:tblGrid>
        <w:gridCol w:w="2660"/>
        <w:gridCol w:w="1984"/>
        <w:gridCol w:w="4536"/>
      </w:tblGrid>
      <w:tr w:rsidR="00AB3733" w:rsidRPr="00A35800" w14:paraId="17C962C4" w14:textId="77777777" w:rsidTr="003461FB">
        <w:trPr>
          <w:tblHeader/>
        </w:trPr>
        <w:tc>
          <w:tcPr>
            <w:tcW w:w="2660" w:type="dxa"/>
            <w:shd w:val="clear" w:color="auto" w:fill="BFBFBF" w:themeFill="background1" w:themeFillShade="BF"/>
          </w:tcPr>
          <w:p w14:paraId="4C67179E" w14:textId="77777777" w:rsidR="00AB3733" w:rsidRPr="00A35800" w:rsidRDefault="00AB3733" w:rsidP="00A35800">
            <w:pPr>
              <w:pStyle w:val="Tableheading"/>
              <w:rPr>
                <w:sz w:val="20"/>
                <w:szCs w:val="20"/>
              </w:rPr>
            </w:pPr>
            <w:r w:rsidRPr="00A35800">
              <w:rPr>
                <w:sz w:val="20"/>
                <w:szCs w:val="20"/>
              </w:rPr>
              <w:t>Brand name and sponsor</w:t>
            </w:r>
          </w:p>
        </w:tc>
        <w:tc>
          <w:tcPr>
            <w:tcW w:w="1984" w:type="dxa"/>
            <w:shd w:val="clear" w:color="auto" w:fill="BFBFBF" w:themeFill="background1" w:themeFillShade="BF"/>
          </w:tcPr>
          <w:p w14:paraId="2A01F4BF" w14:textId="77777777" w:rsidR="00AB3733" w:rsidRPr="00A35800" w:rsidRDefault="00AB3733" w:rsidP="00A35800">
            <w:pPr>
              <w:pStyle w:val="Tableheading"/>
              <w:rPr>
                <w:sz w:val="20"/>
                <w:szCs w:val="20"/>
              </w:rPr>
            </w:pPr>
            <w:r w:rsidRPr="00A35800">
              <w:rPr>
                <w:sz w:val="20"/>
                <w:szCs w:val="20"/>
              </w:rPr>
              <w:t>Product</w:t>
            </w:r>
          </w:p>
        </w:tc>
        <w:tc>
          <w:tcPr>
            <w:tcW w:w="4536" w:type="dxa"/>
            <w:shd w:val="clear" w:color="auto" w:fill="BFBFBF" w:themeFill="background1" w:themeFillShade="BF"/>
          </w:tcPr>
          <w:p w14:paraId="28170FE4" w14:textId="77777777" w:rsidR="00AB3733" w:rsidRPr="00A35800" w:rsidRDefault="00AB3733" w:rsidP="00A35800">
            <w:pPr>
              <w:pStyle w:val="Tableheading"/>
              <w:rPr>
                <w:sz w:val="20"/>
                <w:szCs w:val="20"/>
              </w:rPr>
            </w:pPr>
            <w:r w:rsidRPr="00A35800">
              <w:rPr>
                <w:sz w:val="20"/>
                <w:szCs w:val="20"/>
              </w:rPr>
              <w:t xml:space="preserve">Dose and frequency of administration </w:t>
            </w:r>
          </w:p>
        </w:tc>
      </w:tr>
      <w:tr w:rsidR="00AB3733" w:rsidRPr="00A35800" w14:paraId="348A165B" w14:textId="77777777" w:rsidTr="003461FB">
        <w:tc>
          <w:tcPr>
            <w:tcW w:w="2660" w:type="dxa"/>
          </w:tcPr>
          <w:p w14:paraId="2375B749" w14:textId="1772FC7C" w:rsidR="003461FB" w:rsidRPr="00BD65DF" w:rsidRDefault="0033526A" w:rsidP="003461FB">
            <w:pPr>
              <w:pStyle w:val="Tablewriting"/>
              <w:rPr>
                <w:rFonts w:cstheme="minorBidi"/>
                <w:color w:val="auto"/>
              </w:rPr>
            </w:pPr>
            <w:proofErr w:type="spellStart"/>
            <w:r>
              <w:rPr>
                <w:rFonts w:cstheme="minorBidi"/>
                <w:color w:val="auto"/>
              </w:rPr>
              <w:t>Np</w:t>
            </w:r>
            <w:r w:rsidR="003461FB" w:rsidRPr="00BD65DF">
              <w:rPr>
                <w:rFonts w:cstheme="minorBidi"/>
                <w:color w:val="auto"/>
              </w:rPr>
              <w:t>late</w:t>
            </w:r>
            <w:proofErr w:type="spellEnd"/>
            <w:r w:rsidR="003461FB" w:rsidRPr="00BD65DF">
              <w:rPr>
                <w:rFonts w:cstheme="minorBidi"/>
                <w:color w:val="auto"/>
              </w:rPr>
              <w:t xml:space="preserve"> </w:t>
            </w:r>
          </w:p>
          <w:p w14:paraId="23DEB0E0" w14:textId="76052DC1" w:rsidR="00AB3733" w:rsidRPr="00BD65DF" w:rsidRDefault="003461FB" w:rsidP="003461FB">
            <w:pPr>
              <w:pStyle w:val="Tablewriting"/>
              <w:rPr>
                <w:rFonts w:cstheme="minorBidi"/>
                <w:color w:val="auto"/>
              </w:rPr>
            </w:pPr>
            <w:r w:rsidRPr="00BD65DF">
              <w:rPr>
                <w:rFonts w:cstheme="minorBidi"/>
                <w:color w:val="auto"/>
              </w:rPr>
              <w:t>(Amgen Australia Pty Limited)</w:t>
            </w:r>
          </w:p>
        </w:tc>
        <w:tc>
          <w:tcPr>
            <w:tcW w:w="1984" w:type="dxa"/>
          </w:tcPr>
          <w:p w14:paraId="313459A4" w14:textId="3FB934D5" w:rsidR="00AB3733" w:rsidRPr="00BD65DF" w:rsidRDefault="003461FB" w:rsidP="00A35800">
            <w:pPr>
              <w:pStyle w:val="Tablewriting"/>
              <w:rPr>
                <w:rFonts w:cstheme="minorBidi"/>
                <w:color w:val="auto"/>
              </w:rPr>
            </w:pPr>
            <w:proofErr w:type="spellStart"/>
            <w:r w:rsidRPr="00BD65DF">
              <w:rPr>
                <w:rFonts w:cstheme="minorBidi"/>
                <w:color w:val="auto"/>
              </w:rPr>
              <w:t>Romiplostim</w:t>
            </w:r>
            <w:proofErr w:type="spellEnd"/>
          </w:p>
        </w:tc>
        <w:tc>
          <w:tcPr>
            <w:tcW w:w="4536" w:type="dxa"/>
          </w:tcPr>
          <w:p w14:paraId="04425320" w14:textId="7D0E926A" w:rsidR="00FC50D1" w:rsidRPr="00081737" w:rsidRDefault="00FC50D1" w:rsidP="00A35800">
            <w:pPr>
              <w:pStyle w:val="Tablewriting"/>
            </w:pPr>
            <w:proofErr w:type="spellStart"/>
            <w:r w:rsidRPr="00081737">
              <w:t>Romiplostim</w:t>
            </w:r>
            <w:proofErr w:type="spellEnd"/>
            <w:r w:rsidRPr="00081737">
              <w:t xml:space="preserve"> is administered weekly as a subcutaneous injection with dose adjustments based upon the platelet count response.</w:t>
            </w:r>
          </w:p>
          <w:p w14:paraId="5BD7A22C" w14:textId="20895C01" w:rsidR="00FC50D1" w:rsidRPr="00081737" w:rsidRDefault="00FC50D1" w:rsidP="00A35800">
            <w:pPr>
              <w:pStyle w:val="Tablewriting"/>
            </w:pPr>
            <w:r w:rsidRPr="00081737">
              <w:t xml:space="preserve">The initial dose for </w:t>
            </w:r>
            <w:proofErr w:type="spellStart"/>
            <w:r w:rsidRPr="00081737">
              <w:t>romiplostim</w:t>
            </w:r>
            <w:proofErr w:type="spellEnd"/>
            <w:r w:rsidRPr="00081737">
              <w:t xml:space="preserve"> is 1 </w:t>
            </w:r>
            <w:r w:rsidR="00D6299C">
              <w:t>micro</w:t>
            </w:r>
            <w:r w:rsidRPr="00081737">
              <w:t>g</w:t>
            </w:r>
            <w:r w:rsidR="00D6299C">
              <w:t>ram</w:t>
            </w:r>
            <w:r w:rsidRPr="00081737">
              <w:t>/kg, based on actual body weight.</w:t>
            </w:r>
          </w:p>
          <w:p w14:paraId="405FC15E" w14:textId="27A8EB8F" w:rsidR="00AB3733" w:rsidRPr="00081737" w:rsidRDefault="00FC50D1" w:rsidP="00BF3B09">
            <w:pPr>
              <w:pStyle w:val="Tablewriting"/>
              <w:rPr>
                <w:sz w:val="22"/>
                <w:szCs w:val="22"/>
              </w:rPr>
            </w:pPr>
            <w:r w:rsidRPr="00081737">
              <w:t xml:space="preserve">The weekly dose of </w:t>
            </w:r>
            <w:proofErr w:type="spellStart"/>
            <w:r w:rsidRPr="00081737">
              <w:t>romiplostim</w:t>
            </w:r>
            <w:proofErr w:type="spellEnd"/>
            <w:r w:rsidRPr="00081737">
              <w:t xml:space="preserve"> is adjusted by increments of 1 </w:t>
            </w:r>
            <w:r w:rsidR="00BF3B09">
              <w:t>micro</w:t>
            </w:r>
            <w:r w:rsidRPr="00081737">
              <w:t>g</w:t>
            </w:r>
            <w:r w:rsidR="007A4F8A">
              <w:t>r</w:t>
            </w:r>
            <w:r w:rsidR="00BF3B09">
              <w:t>am</w:t>
            </w:r>
            <w:r w:rsidRPr="00081737">
              <w:t xml:space="preserve">/kg until the patient achieves a platelet count </w:t>
            </w:r>
            <w:r w:rsidRPr="00081737">
              <w:rPr>
                <w:rFonts w:ascii="Calibri" w:hAnsi="Calibri"/>
              </w:rPr>
              <w:t>≥</w:t>
            </w:r>
            <w:r w:rsidRPr="00081737">
              <w:t xml:space="preserve"> 50 x 109/L, but </w:t>
            </w:r>
            <w:r w:rsidRPr="00081737">
              <w:rPr>
                <w:rFonts w:ascii="Calibri" w:hAnsi="Calibri"/>
              </w:rPr>
              <w:t>≤</w:t>
            </w:r>
            <w:r w:rsidRPr="00081737">
              <w:t xml:space="preserve"> 200 x 109/L. The platelet count is assessed weekly until a stable platelet count (</w:t>
            </w:r>
            <w:r w:rsidRPr="00081737">
              <w:rPr>
                <w:rFonts w:ascii="Calibri" w:hAnsi="Calibri"/>
              </w:rPr>
              <w:t>≥</w:t>
            </w:r>
            <w:r w:rsidRPr="00081737">
              <w:t xml:space="preserve"> 50 x 109/L for at least 4 weeks without dose adjustment) has been achieved. </w:t>
            </w:r>
            <w:r w:rsidR="00E87164" w:rsidRPr="00081737">
              <w:lastRenderedPageBreak/>
              <w:t xml:space="preserve">The </w:t>
            </w:r>
            <w:r w:rsidRPr="00081737">
              <w:t xml:space="preserve">maximum weekly dose </w:t>
            </w:r>
            <w:r w:rsidR="00E87164" w:rsidRPr="00081737">
              <w:t xml:space="preserve">should not exceed </w:t>
            </w:r>
            <w:r w:rsidRPr="00081737">
              <w:t xml:space="preserve">of 10 </w:t>
            </w:r>
            <w:r w:rsidR="00724AC4">
              <w:t>micro</w:t>
            </w:r>
            <w:r w:rsidRPr="00081737">
              <w:t>g</w:t>
            </w:r>
            <w:r w:rsidR="00724AC4">
              <w:t>ram</w:t>
            </w:r>
            <w:r w:rsidRPr="00081737">
              <w:t>/kg.</w:t>
            </w:r>
          </w:p>
        </w:tc>
      </w:tr>
      <w:tr w:rsidR="006A5C6F" w:rsidRPr="00A35800" w14:paraId="4F4D199C" w14:textId="77777777" w:rsidTr="003461FB">
        <w:tc>
          <w:tcPr>
            <w:tcW w:w="2660" w:type="dxa"/>
          </w:tcPr>
          <w:p w14:paraId="10273A6A" w14:textId="77777777" w:rsidR="00993BE1" w:rsidRDefault="003461FB" w:rsidP="00A35800">
            <w:pPr>
              <w:pStyle w:val="Tablewriting"/>
              <w:rPr>
                <w:rFonts w:cstheme="minorBidi"/>
                <w:color w:val="auto"/>
              </w:rPr>
            </w:pPr>
            <w:proofErr w:type="spellStart"/>
            <w:r w:rsidRPr="00BD65DF">
              <w:rPr>
                <w:rFonts w:cstheme="minorBidi"/>
                <w:color w:val="auto"/>
              </w:rPr>
              <w:lastRenderedPageBreak/>
              <w:t>Revolade</w:t>
            </w:r>
            <w:proofErr w:type="spellEnd"/>
            <w:r w:rsidRPr="00BD65DF">
              <w:rPr>
                <w:rFonts w:cstheme="minorBidi"/>
                <w:color w:val="auto"/>
              </w:rPr>
              <w:t xml:space="preserve"> </w:t>
            </w:r>
          </w:p>
          <w:p w14:paraId="24D36F30" w14:textId="4BF8BD1D" w:rsidR="006A5C6F" w:rsidRPr="00BD65DF" w:rsidRDefault="003461FB" w:rsidP="00A35800">
            <w:pPr>
              <w:pStyle w:val="Tablewriting"/>
              <w:rPr>
                <w:rFonts w:cstheme="minorBidi"/>
                <w:color w:val="auto"/>
              </w:rPr>
            </w:pPr>
            <w:r w:rsidRPr="00BD65DF">
              <w:rPr>
                <w:rFonts w:cstheme="minorBidi"/>
                <w:color w:val="auto"/>
              </w:rPr>
              <w:t>(</w:t>
            </w:r>
            <w:r w:rsidR="00993BE1" w:rsidRPr="00993BE1">
              <w:rPr>
                <w:rFonts w:cstheme="minorBidi"/>
                <w:color w:val="auto"/>
              </w:rPr>
              <w:t>Novartis Pharmaceuticals Australia Pty Limited</w:t>
            </w:r>
            <w:r w:rsidRPr="00BD65DF">
              <w:rPr>
                <w:rFonts w:cstheme="minorBidi"/>
                <w:color w:val="auto"/>
              </w:rPr>
              <w:t>)</w:t>
            </w:r>
          </w:p>
        </w:tc>
        <w:tc>
          <w:tcPr>
            <w:tcW w:w="1984" w:type="dxa"/>
          </w:tcPr>
          <w:p w14:paraId="5E5D4B18" w14:textId="6D2CB7D9" w:rsidR="006A5C6F" w:rsidRPr="00BD65DF" w:rsidRDefault="003461FB" w:rsidP="00A35800">
            <w:pPr>
              <w:pStyle w:val="Tablewriting"/>
              <w:rPr>
                <w:rFonts w:cstheme="minorBidi"/>
                <w:color w:val="auto"/>
              </w:rPr>
            </w:pPr>
            <w:proofErr w:type="spellStart"/>
            <w:r w:rsidRPr="00BD65DF">
              <w:rPr>
                <w:rFonts w:cstheme="minorBidi"/>
                <w:color w:val="auto"/>
              </w:rPr>
              <w:t>Eltrombopag</w:t>
            </w:r>
            <w:proofErr w:type="spellEnd"/>
          </w:p>
        </w:tc>
        <w:tc>
          <w:tcPr>
            <w:tcW w:w="4536" w:type="dxa"/>
          </w:tcPr>
          <w:p w14:paraId="0441FEBF" w14:textId="5711A0A0" w:rsidR="002D085A" w:rsidRPr="00BB7E75" w:rsidRDefault="0018601F" w:rsidP="002055EA">
            <w:pPr>
              <w:pStyle w:val="Tablewriting"/>
            </w:pPr>
            <w:proofErr w:type="spellStart"/>
            <w:r>
              <w:t>Eltrombopag</w:t>
            </w:r>
            <w:proofErr w:type="spellEnd"/>
            <w:r>
              <w:t xml:space="preserve"> is administered orally.</w:t>
            </w:r>
            <w:r w:rsidR="00E85528">
              <w:t xml:space="preserve"> </w:t>
            </w:r>
            <w:r>
              <w:t>D</w:t>
            </w:r>
            <w:r w:rsidR="002055EA" w:rsidRPr="00BB7E75">
              <w:t xml:space="preserve">osing regimens are individualised based on the patient’s platelet counts. </w:t>
            </w:r>
          </w:p>
          <w:p w14:paraId="54737AFA" w14:textId="5A4BF3BD" w:rsidR="002D085A" w:rsidRPr="00BB7E75" w:rsidRDefault="002D085A" w:rsidP="002055EA">
            <w:pPr>
              <w:pStyle w:val="Tablewriting"/>
            </w:pPr>
            <w:r w:rsidRPr="00BB7E75">
              <w:t>The recommended starting dose of REVOLADE is 50 mg once daily.</w:t>
            </w:r>
          </w:p>
          <w:p w14:paraId="34B13E19" w14:textId="77777777" w:rsidR="002D085A" w:rsidRPr="00BB7E75" w:rsidRDefault="002D085A" w:rsidP="002055EA">
            <w:pPr>
              <w:pStyle w:val="Tablewriting"/>
            </w:pPr>
            <w:r w:rsidRPr="00BB7E75">
              <w:t>For patients of East Asian ancestry (e.g. Chinese Japanese, Taiwanese, Korean or Thai), REVOLADE should be initiated at a reduced dose of 25 mg once daily.</w:t>
            </w:r>
          </w:p>
          <w:p w14:paraId="3C16BC93" w14:textId="3A9389E1" w:rsidR="002D085A" w:rsidRPr="00BD65DF" w:rsidRDefault="00AA476E" w:rsidP="002D085A">
            <w:pPr>
              <w:pStyle w:val="Tablewriting"/>
              <w:rPr>
                <w:rFonts w:cstheme="minorBidi"/>
                <w:color w:val="auto"/>
              </w:rPr>
            </w:pPr>
            <w:r>
              <w:t>After initiating REVOLADE,</w:t>
            </w:r>
            <w:r w:rsidR="002D085A" w:rsidRPr="00BB7E75">
              <w:t xml:space="preserve"> the dose is adjusted to achieve and maintain a platelet count ≥ 50,000/</w:t>
            </w:r>
            <w:proofErr w:type="spellStart"/>
            <w:r w:rsidR="002D085A" w:rsidRPr="00BB7E75">
              <w:t>μl</w:t>
            </w:r>
            <w:proofErr w:type="spellEnd"/>
            <w:r w:rsidR="002D085A" w:rsidRPr="00BB7E75">
              <w:t xml:space="preserve"> as necessary to reduce the risk for </w:t>
            </w:r>
            <w:r w:rsidR="00552F1C" w:rsidRPr="00BB7E75">
              <w:t xml:space="preserve">bleeding. </w:t>
            </w:r>
            <w:r w:rsidR="002D085A" w:rsidRPr="00BB7E75">
              <w:t>The maximum daily dose is 75 mg.</w:t>
            </w:r>
          </w:p>
        </w:tc>
      </w:tr>
    </w:tbl>
    <w:p w14:paraId="08559CD9" w14:textId="1DA3CB75" w:rsidR="00A35800" w:rsidRPr="00D64E5D" w:rsidRDefault="003370D0" w:rsidP="00A35800">
      <w:pPr>
        <w:pStyle w:val="Notes"/>
      </w:pPr>
      <w:r w:rsidRPr="00D64E5D">
        <w:t>Source:</w:t>
      </w:r>
      <w:r w:rsidR="00D64E5D" w:rsidRPr="00D64E5D">
        <w:t xml:space="preserve"> Product Information for </w:t>
      </w:r>
      <w:proofErr w:type="spellStart"/>
      <w:r w:rsidR="00D64E5D" w:rsidRPr="00D64E5D">
        <w:t>romiplostim</w:t>
      </w:r>
      <w:proofErr w:type="spellEnd"/>
      <w:r w:rsidR="00D64E5D" w:rsidRPr="00D64E5D">
        <w:t xml:space="preserve"> and </w:t>
      </w:r>
      <w:proofErr w:type="spellStart"/>
      <w:r w:rsidR="00D64E5D" w:rsidRPr="00D64E5D">
        <w:t>eltrombopag</w:t>
      </w:r>
      <w:proofErr w:type="spellEnd"/>
      <w:r w:rsidR="00D64E5D" w:rsidRPr="00D64E5D">
        <w:t>.</w:t>
      </w:r>
    </w:p>
    <w:p w14:paraId="337D0FBB" w14:textId="608B8871" w:rsidR="006B709B" w:rsidRPr="002F61CA" w:rsidRDefault="006B709B" w:rsidP="00A35800">
      <w:r w:rsidRPr="002F61CA">
        <w:t xml:space="preserve">The current Product Information (PI) and Consumer Medicine Information (CMI) are available from </w:t>
      </w:r>
      <w:hyperlink r:id="rId9" w:history="1">
        <w:r w:rsidR="009B4BEE" w:rsidRPr="00BA5C2A">
          <w:rPr>
            <w:rStyle w:val="Hyperlink"/>
          </w:rPr>
          <w:t>the TGA (Product Information)</w:t>
        </w:r>
      </w:hyperlink>
      <w:r w:rsidR="009B4BEE" w:rsidRPr="009B4BEE">
        <w:t xml:space="preserve"> and </w:t>
      </w:r>
      <w:hyperlink r:id="rId10" w:history="1">
        <w:r w:rsidR="009B4BEE" w:rsidRPr="00185A6C">
          <w:rPr>
            <w:rStyle w:val="Hyperlink"/>
          </w:rPr>
          <w:t>the TGA (Consumer Medicines Information)</w:t>
        </w:r>
      </w:hyperlink>
      <w:r w:rsidR="009B4BEE" w:rsidRPr="009B4BEE">
        <w:t>.</w:t>
      </w:r>
    </w:p>
    <w:p w14:paraId="143CC403" w14:textId="5A441729" w:rsidR="001420B3" w:rsidRPr="007247B9" w:rsidRDefault="001420B3" w:rsidP="00FE645A">
      <w:pPr>
        <w:pStyle w:val="Heading3"/>
      </w:pPr>
      <w:r w:rsidRPr="007247B9">
        <w:t>Clinical situation</w:t>
      </w:r>
    </w:p>
    <w:p w14:paraId="2DF7CEC8" w14:textId="3702389B" w:rsidR="00C70C89" w:rsidRDefault="00C70C89" w:rsidP="00C70C89">
      <w:r w:rsidRPr="00F43906">
        <w:t>Chronic</w:t>
      </w:r>
      <w:r>
        <w:t xml:space="preserve"> ITP</w:t>
      </w:r>
      <w:r w:rsidRPr="00F43906">
        <w:t xml:space="preserve"> is a long-term autoimmune disorder characterised by persistently low platelet counts (thrombocytopenia) and cutaneous and mucosal bleeding.  Bleeding can range from mild (bruising and </w:t>
      </w:r>
      <w:proofErr w:type="spellStart"/>
      <w:r w:rsidRPr="00F43906">
        <w:t>purpura</w:t>
      </w:r>
      <w:proofErr w:type="spellEnd"/>
      <w:r w:rsidRPr="00F43906">
        <w:t xml:space="preserve">) to severe (intracranial or gastrointestinal haemorrhage) and can sometimes result in death.  The major therapeutic goal for ITP is to increase </w:t>
      </w:r>
      <w:r w:rsidR="001C2FC8">
        <w:t xml:space="preserve">the </w:t>
      </w:r>
      <w:r w:rsidRPr="00F43906">
        <w:t>platelet count to a safe level while minimising treatment-related toxicity</w:t>
      </w:r>
      <w:r w:rsidR="00C44BE9">
        <w:t xml:space="preserve"> (American Society of Haematology Guidelines, 2011)</w:t>
      </w:r>
      <w:r w:rsidR="00C44BE9" w:rsidRPr="00F43906">
        <w:t>.</w:t>
      </w:r>
      <w:r w:rsidR="00C44BE9">
        <w:t xml:space="preserve">  </w:t>
      </w:r>
    </w:p>
    <w:p w14:paraId="32457720" w14:textId="17E9338D" w:rsidR="00C70C89" w:rsidRDefault="0018601F" w:rsidP="00C70C89">
      <w:r w:rsidRPr="000A3604">
        <w:t xml:space="preserve">The majority of patients with chronic ITP only need watching and occasional intervention with steroids.  </w:t>
      </w:r>
      <w:r w:rsidR="00C70C89">
        <w:t>First-line treatment typically involves corticosteroids for asymptomatic patients with low platelet counts or with mild bleeding symptoms, and high-dose corticosteroids, i</w:t>
      </w:r>
      <w:r w:rsidR="00C70C89" w:rsidRPr="00D36DA2">
        <w:t xml:space="preserve">ntravenous immunoglobulin </w:t>
      </w:r>
      <w:r w:rsidR="00C70C89">
        <w:t>(</w:t>
      </w:r>
      <w:proofErr w:type="spellStart"/>
      <w:r w:rsidR="00C70C89">
        <w:t>IVIg</w:t>
      </w:r>
      <w:proofErr w:type="spellEnd"/>
      <w:r w:rsidR="00C70C89">
        <w:t>) and/or platelet transfusions for patients with clinically significant bleeding</w:t>
      </w:r>
      <w:r w:rsidR="00BF6152">
        <w:t xml:space="preserve"> </w:t>
      </w:r>
      <w:r w:rsidR="00C44BE9">
        <w:t>(American Society of Haematology Guidelines, 2011)</w:t>
      </w:r>
      <w:r w:rsidR="00C70C89">
        <w:t>.  Splenectomy is recommended as second-line therapy</w:t>
      </w:r>
      <w:r w:rsidR="00C44BE9">
        <w:t xml:space="preserve"> (American Society of Haematology Guidelines, 2011)</w:t>
      </w:r>
      <w:r w:rsidR="00C44BE9" w:rsidRPr="00F43906">
        <w:t>.</w:t>
      </w:r>
      <w:r w:rsidR="00C44BE9">
        <w:t xml:space="preserve">  </w:t>
      </w:r>
      <w:r w:rsidR="00C70C89">
        <w:t xml:space="preserve"> </w:t>
      </w:r>
      <w:r w:rsidRPr="000A3604">
        <w:t xml:space="preserve">Splenectomy is historically the most effective treatment for recurrent ITP severe enough to warrant intervention. </w:t>
      </w:r>
      <w:r w:rsidR="00C70C89">
        <w:t xml:space="preserve"> </w:t>
      </w:r>
    </w:p>
    <w:p w14:paraId="7A81CB70" w14:textId="59F1D118" w:rsidR="006A5C6F" w:rsidRDefault="006A5C6F" w:rsidP="00A35800">
      <w:r w:rsidRPr="006A5C6F">
        <w:t xml:space="preserve">Those contraindicated or refractory to splenectomy may revisit high dose steroids and </w:t>
      </w:r>
      <w:proofErr w:type="spellStart"/>
      <w:r w:rsidRPr="006A5C6F">
        <w:t>IVIg</w:t>
      </w:r>
      <w:proofErr w:type="spellEnd"/>
      <w:r w:rsidRPr="006A5C6F">
        <w:t xml:space="preserve"> or take a range of other drugs that are not specifically indicated for ITP such as azathioprine, rituximab, anti-D, </w:t>
      </w:r>
      <w:proofErr w:type="spellStart"/>
      <w:r w:rsidRPr="006A5C6F">
        <w:t>danazol</w:t>
      </w:r>
      <w:proofErr w:type="spellEnd"/>
      <w:r w:rsidRPr="006A5C6F">
        <w:t xml:space="preserve"> and cyclophosphamide. </w:t>
      </w:r>
      <w:proofErr w:type="spellStart"/>
      <w:r w:rsidR="00A96F0E">
        <w:t>Romiplostim</w:t>
      </w:r>
      <w:proofErr w:type="spellEnd"/>
      <w:r w:rsidR="00A96F0E">
        <w:t xml:space="preserve"> and </w:t>
      </w:r>
      <w:proofErr w:type="spellStart"/>
      <w:r w:rsidR="00024EF4">
        <w:t>eltrombopag</w:t>
      </w:r>
      <w:proofErr w:type="spellEnd"/>
      <w:r w:rsidR="00024EF4">
        <w:t xml:space="preserve"> </w:t>
      </w:r>
      <w:r w:rsidRPr="006A5C6F">
        <w:t xml:space="preserve">provide an alternative to these less frequently used drugs for those patients that are refractory to steroids, </w:t>
      </w:r>
      <w:proofErr w:type="spellStart"/>
      <w:r w:rsidRPr="006A5C6F">
        <w:t>IVIg</w:t>
      </w:r>
      <w:proofErr w:type="spellEnd"/>
      <w:r w:rsidRPr="006A5C6F">
        <w:t xml:space="preserve"> and splenectomy</w:t>
      </w:r>
      <w:r>
        <w:t xml:space="preserve">. </w:t>
      </w:r>
    </w:p>
    <w:p w14:paraId="5B589A67" w14:textId="77777777" w:rsidR="0027207B" w:rsidRDefault="0027207B" w:rsidP="00A35800"/>
    <w:p w14:paraId="46E2BB42" w14:textId="47667D19" w:rsidR="00DF0B13" w:rsidRPr="007247B9" w:rsidRDefault="00DF0B13" w:rsidP="00FE645A">
      <w:pPr>
        <w:pStyle w:val="Heading3"/>
      </w:pPr>
      <w:r w:rsidRPr="007247B9">
        <w:lastRenderedPageBreak/>
        <w:t>PBS listing details</w:t>
      </w:r>
    </w:p>
    <w:p w14:paraId="1FCC9CA2" w14:textId="216B34C6" w:rsidR="005D0CEA" w:rsidRPr="005D0CEA" w:rsidRDefault="005D0CEA" w:rsidP="00A35800">
      <w:proofErr w:type="spellStart"/>
      <w:r w:rsidRPr="005D0CEA">
        <w:t>Romiplostim</w:t>
      </w:r>
      <w:proofErr w:type="spellEnd"/>
      <w:r w:rsidRPr="005D0CEA">
        <w:t xml:space="preserve"> and </w:t>
      </w:r>
      <w:proofErr w:type="spellStart"/>
      <w:r w:rsidRPr="005D0CEA">
        <w:t>eltrombopag</w:t>
      </w:r>
      <w:proofErr w:type="spellEnd"/>
      <w:r w:rsidRPr="005D0CEA">
        <w:t xml:space="preserve"> are Section 100</w:t>
      </w:r>
      <w:r w:rsidR="000E7965">
        <w:t xml:space="preserve"> (S100)</w:t>
      </w:r>
      <w:r w:rsidRPr="005D0CEA">
        <w:t xml:space="preserve"> Authority </w:t>
      </w:r>
      <w:proofErr w:type="gramStart"/>
      <w:r w:rsidRPr="005D0CEA">
        <w:t>Required</w:t>
      </w:r>
      <w:proofErr w:type="gramEnd"/>
      <w:r w:rsidRPr="005D0CEA">
        <w:t xml:space="preserve"> listings. </w:t>
      </w:r>
    </w:p>
    <w:p w14:paraId="07A1AEF3" w14:textId="4D199618" w:rsidR="005D0CEA" w:rsidRPr="005D0CEA" w:rsidRDefault="005D0CEA" w:rsidP="00A35800">
      <w:r w:rsidRPr="005D0CEA">
        <w:t xml:space="preserve">The listing details for </w:t>
      </w:r>
      <w:proofErr w:type="spellStart"/>
      <w:r w:rsidR="004E48CF">
        <w:t>romiplostim</w:t>
      </w:r>
      <w:proofErr w:type="spellEnd"/>
      <w:r w:rsidR="004E48CF">
        <w:t xml:space="preserve"> and </w:t>
      </w:r>
      <w:proofErr w:type="spellStart"/>
      <w:r w:rsidR="004E48CF">
        <w:t>eltrombopag</w:t>
      </w:r>
      <w:proofErr w:type="spellEnd"/>
      <w:r w:rsidRPr="005D0CEA">
        <w:t xml:space="preserve"> </w:t>
      </w:r>
      <w:r w:rsidR="004E48CF">
        <w:t xml:space="preserve">as at March 2015 </w:t>
      </w:r>
      <w:r w:rsidRPr="005D0CEA">
        <w:t>are summarised in Table</w:t>
      </w:r>
      <w:r w:rsidR="004E48CF">
        <w:t>s</w:t>
      </w:r>
      <w:r w:rsidR="00B1258C">
        <w:t xml:space="preserve"> 2 and 3</w:t>
      </w:r>
      <w:r w:rsidRPr="005D0CEA">
        <w:t xml:space="preserve">, </w:t>
      </w:r>
      <w:r w:rsidR="004E48CF">
        <w:t>respectively</w:t>
      </w:r>
      <w:r w:rsidRPr="005D0CEA">
        <w:t>.</w:t>
      </w:r>
    </w:p>
    <w:p w14:paraId="1D47784A" w14:textId="6B2EE7AC" w:rsidR="001420B3" w:rsidRPr="001420B3" w:rsidRDefault="00B1258C" w:rsidP="001A7D34">
      <w:pPr>
        <w:pStyle w:val="Tableheading"/>
        <w:jc w:val="left"/>
      </w:pPr>
      <w:r>
        <w:t>Table 2</w:t>
      </w:r>
      <w:r w:rsidR="001420B3" w:rsidRPr="001420B3">
        <w:t xml:space="preserve">: </w:t>
      </w:r>
      <w:r w:rsidR="009663B6">
        <w:t>PB</w:t>
      </w:r>
      <w:r w:rsidR="00D151EB">
        <w:t>S listing</w:t>
      </w:r>
      <w:r w:rsidR="00804BF3">
        <w:t xml:space="preserve">s of </w:t>
      </w:r>
      <w:proofErr w:type="spellStart"/>
      <w:r w:rsidR="00804BF3">
        <w:t>romiplostim</w:t>
      </w:r>
      <w:proofErr w:type="spellEnd"/>
      <w:r w:rsidR="00472D77">
        <w:t xml:space="preserve"> (as at 1 March 2015)</w:t>
      </w:r>
    </w:p>
    <w:tbl>
      <w:tblPr>
        <w:tblStyle w:val="TableGrid"/>
        <w:tblW w:w="9064" w:type="dxa"/>
        <w:tblLayout w:type="fixed"/>
        <w:tblLook w:val="04A0" w:firstRow="1" w:lastRow="0" w:firstColumn="1" w:lastColumn="0" w:noHBand="0" w:noVBand="1"/>
        <w:tblCaption w:val="Table 2"/>
        <w:tblDescription w:val="Summary of PBS listings for romiplostim"/>
      </w:tblPr>
      <w:tblGrid>
        <w:gridCol w:w="1101"/>
        <w:gridCol w:w="2268"/>
        <w:gridCol w:w="1417"/>
        <w:gridCol w:w="851"/>
        <w:gridCol w:w="1323"/>
        <w:gridCol w:w="2104"/>
      </w:tblGrid>
      <w:tr w:rsidR="0093111F" w:rsidRPr="00A35800" w14:paraId="6AA19A37" w14:textId="77777777" w:rsidTr="001F29CD">
        <w:trPr>
          <w:trHeight w:val="694"/>
          <w:tblHeader/>
        </w:trPr>
        <w:tc>
          <w:tcPr>
            <w:tcW w:w="1101" w:type="dxa"/>
            <w:shd w:val="clear" w:color="auto" w:fill="BFBFBF" w:themeFill="background1" w:themeFillShade="BF"/>
          </w:tcPr>
          <w:p w14:paraId="56A3DEA0" w14:textId="77777777" w:rsidR="0093111F" w:rsidRPr="00A35800" w:rsidRDefault="0093111F" w:rsidP="00A35800">
            <w:pPr>
              <w:pStyle w:val="Tableheading"/>
              <w:rPr>
                <w:sz w:val="20"/>
                <w:szCs w:val="20"/>
              </w:rPr>
            </w:pPr>
            <w:r w:rsidRPr="00A35800">
              <w:rPr>
                <w:sz w:val="20"/>
                <w:szCs w:val="20"/>
              </w:rPr>
              <w:t>Item</w:t>
            </w:r>
          </w:p>
        </w:tc>
        <w:tc>
          <w:tcPr>
            <w:tcW w:w="2268" w:type="dxa"/>
            <w:shd w:val="clear" w:color="auto" w:fill="BFBFBF" w:themeFill="background1" w:themeFillShade="BF"/>
          </w:tcPr>
          <w:p w14:paraId="67A07252" w14:textId="77777777" w:rsidR="0093111F" w:rsidRPr="00A35800" w:rsidRDefault="0093111F" w:rsidP="00A35800">
            <w:pPr>
              <w:pStyle w:val="Tableheading"/>
              <w:rPr>
                <w:sz w:val="20"/>
                <w:szCs w:val="20"/>
              </w:rPr>
            </w:pPr>
            <w:r w:rsidRPr="00A35800">
              <w:rPr>
                <w:sz w:val="20"/>
                <w:szCs w:val="20"/>
              </w:rPr>
              <w:t>Name, form &amp; strength, pack size</w:t>
            </w:r>
          </w:p>
        </w:tc>
        <w:tc>
          <w:tcPr>
            <w:tcW w:w="1417" w:type="dxa"/>
            <w:shd w:val="clear" w:color="auto" w:fill="BFBFBF" w:themeFill="background1" w:themeFillShade="BF"/>
          </w:tcPr>
          <w:p w14:paraId="080BD4D9" w14:textId="58C2C9C9" w:rsidR="00F062B6" w:rsidRDefault="0093111F" w:rsidP="00A35800">
            <w:pPr>
              <w:pStyle w:val="Tableheading"/>
              <w:rPr>
                <w:sz w:val="20"/>
                <w:szCs w:val="20"/>
              </w:rPr>
            </w:pPr>
            <w:r w:rsidRPr="00A35800">
              <w:rPr>
                <w:sz w:val="20"/>
                <w:szCs w:val="20"/>
              </w:rPr>
              <w:t>Max</w:t>
            </w:r>
            <w:r w:rsidR="00A13C60" w:rsidRPr="00A35800">
              <w:rPr>
                <w:sz w:val="20"/>
                <w:szCs w:val="20"/>
              </w:rPr>
              <w:t xml:space="preserve">. </w:t>
            </w:r>
            <w:r w:rsidR="00BE2BFC">
              <w:rPr>
                <w:sz w:val="20"/>
                <w:szCs w:val="20"/>
              </w:rPr>
              <w:t>qty</w:t>
            </w:r>
            <w:r w:rsidRPr="00A35800">
              <w:rPr>
                <w:sz w:val="20"/>
                <w:szCs w:val="20"/>
              </w:rPr>
              <w:t>.</w:t>
            </w:r>
          </w:p>
          <w:p w14:paraId="114E9799" w14:textId="343F5F02" w:rsidR="0093111F" w:rsidRPr="00A35800" w:rsidRDefault="00F062B6" w:rsidP="00A35800">
            <w:pPr>
              <w:pStyle w:val="Tableheading"/>
              <w:rPr>
                <w:sz w:val="20"/>
                <w:szCs w:val="20"/>
              </w:rPr>
            </w:pPr>
            <w:r>
              <w:rPr>
                <w:sz w:val="20"/>
                <w:szCs w:val="20"/>
              </w:rPr>
              <w:t>Packs / Unit</w:t>
            </w:r>
            <w:r w:rsidR="00FD0D3E">
              <w:rPr>
                <w:sz w:val="20"/>
                <w:szCs w:val="20"/>
              </w:rPr>
              <w:t>s</w:t>
            </w:r>
            <w:r w:rsidR="0093111F" w:rsidRPr="00A35800">
              <w:rPr>
                <w:sz w:val="20"/>
                <w:szCs w:val="20"/>
              </w:rPr>
              <w:t xml:space="preserve"> </w:t>
            </w:r>
          </w:p>
        </w:tc>
        <w:tc>
          <w:tcPr>
            <w:tcW w:w="851" w:type="dxa"/>
            <w:shd w:val="clear" w:color="auto" w:fill="BFBFBF" w:themeFill="background1" w:themeFillShade="BF"/>
          </w:tcPr>
          <w:p w14:paraId="0F1A79F7" w14:textId="77777777" w:rsidR="0093111F" w:rsidRPr="00A35800" w:rsidRDefault="0093111F" w:rsidP="00A35800">
            <w:pPr>
              <w:pStyle w:val="Tableheading"/>
              <w:rPr>
                <w:sz w:val="20"/>
                <w:szCs w:val="20"/>
              </w:rPr>
            </w:pPr>
            <w:proofErr w:type="spellStart"/>
            <w:r w:rsidRPr="00A35800">
              <w:rPr>
                <w:sz w:val="20"/>
                <w:szCs w:val="20"/>
              </w:rPr>
              <w:t>Rpts</w:t>
            </w:r>
            <w:proofErr w:type="spellEnd"/>
            <w:r w:rsidRPr="00A35800">
              <w:rPr>
                <w:sz w:val="20"/>
                <w:szCs w:val="20"/>
              </w:rPr>
              <w:t xml:space="preserve"> </w:t>
            </w:r>
          </w:p>
        </w:tc>
        <w:tc>
          <w:tcPr>
            <w:tcW w:w="1323" w:type="dxa"/>
            <w:shd w:val="clear" w:color="auto" w:fill="BFBFBF" w:themeFill="background1" w:themeFillShade="BF"/>
          </w:tcPr>
          <w:p w14:paraId="05C5A0BF" w14:textId="77777777" w:rsidR="0093111F" w:rsidRPr="00A35800" w:rsidRDefault="0093111F" w:rsidP="00A35800">
            <w:pPr>
              <w:pStyle w:val="Tableheading"/>
              <w:rPr>
                <w:sz w:val="20"/>
                <w:szCs w:val="20"/>
              </w:rPr>
            </w:pPr>
            <w:r w:rsidRPr="00A35800">
              <w:rPr>
                <w:sz w:val="20"/>
                <w:szCs w:val="20"/>
              </w:rPr>
              <w:t>DPMQ</w:t>
            </w:r>
          </w:p>
        </w:tc>
        <w:tc>
          <w:tcPr>
            <w:tcW w:w="2104" w:type="dxa"/>
            <w:shd w:val="clear" w:color="auto" w:fill="BFBFBF" w:themeFill="background1" w:themeFillShade="BF"/>
          </w:tcPr>
          <w:p w14:paraId="09B472B7" w14:textId="77777777" w:rsidR="0093111F" w:rsidRPr="00A35800" w:rsidRDefault="0093111F" w:rsidP="00A35800">
            <w:pPr>
              <w:pStyle w:val="Tableheading"/>
              <w:rPr>
                <w:sz w:val="20"/>
                <w:szCs w:val="20"/>
              </w:rPr>
            </w:pPr>
            <w:r w:rsidRPr="00A35800">
              <w:rPr>
                <w:sz w:val="20"/>
                <w:szCs w:val="20"/>
              </w:rPr>
              <w:t>Brand name and manufacturer</w:t>
            </w:r>
          </w:p>
        </w:tc>
      </w:tr>
      <w:tr w:rsidR="00804BF3" w:rsidRPr="00A35800" w14:paraId="2AF9D84B" w14:textId="77777777" w:rsidTr="00D20C27">
        <w:trPr>
          <w:trHeight w:val="552"/>
          <w:tblHeader/>
        </w:trPr>
        <w:tc>
          <w:tcPr>
            <w:tcW w:w="1101" w:type="dxa"/>
            <w:shd w:val="clear" w:color="auto" w:fill="auto"/>
          </w:tcPr>
          <w:p w14:paraId="5DCAABEA" w14:textId="77777777" w:rsidR="00804BF3" w:rsidRPr="00B1258C" w:rsidRDefault="00AA2EDA" w:rsidP="001F29CD">
            <w:pPr>
              <w:pStyle w:val="Tablewriting"/>
              <w:jc w:val="center"/>
              <w:rPr>
                <w:color w:val="000000" w:themeColor="text1"/>
              </w:rPr>
            </w:pPr>
            <w:hyperlink r:id="rId11" w:tooltip="9696h" w:history="1">
              <w:r w:rsidR="00804BF3" w:rsidRPr="00B1258C">
                <w:rPr>
                  <w:rStyle w:val="Hyperlink"/>
                  <w:color w:val="000000" w:themeColor="text1"/>
                  <w:u w:val="none"/>
                </w:rPr>
                <w:t>9696H</w:t>
              </w:r>
            </w:hyperlink>
          </w:p>
          <w:p w14:paraId="0A3E3442" w14:textId="43321563" w:rsidR="001F29CD" w:rsidRPr="00B1258C" w:rsidRDefault="001F29CD" w:rsidP="001F29CD">
            <w:pPr>
              <w:pStyle w:val="Tablewriting"/>
              <w:jc w:val="center"/>
              <w:rPr>
                <w:color w:val="000000" w:themeColor="text1"/>
              </w:rPr>
            </w:pPr>
            <w:r w:rsidRPr="00B1258C">
              <w:rPr>
                <w:color w:val="000000" w:themeColor="text1"/>
              </w:rPr>
              <w:t>(Public)</w:t>
            </w:r>
          </w:p>
        </w:tc>
        <w:tc>
          <w:tcPr>
            <w:tcW w:w="2268" w:type="dxa"/>
            <w:shd w:val="clear" w:color="auto" w:fill="auto"/>
          </w:tcPr>
          <w:p w14:paraId="0F676F51" w14:textId="50EFCB5F" w:rsidR="00804BF3" w:rsidRPr="00B1258C" w:rsidRDefault="002C3E61" w:rsidP="00A35800">
            <w:pPr>
              <w:pStyle w:val="Tablewriting"/>
            </w:pPr>
            <w:proofErr w:type="spellStart"/>
            <w:r w:rsidRPr="00B1258C">
              <w:t>R</w:t>
            </w:r>
            <w:r w:rsidR="00804BF3" w:rsidRPr="00B1258C">
              <w:t>omiplostim</w:t>
            </w:r>
            <w:proofErr w:type="spellEnd"/>
            <w:r w:rsidR="00804BF3" w:rsidRPr="00B1258C">
              <w:t xml:space="preserve"> 250 microgram injection, 1 x 250 microgram vial</w:t>
            </w:r>
          </w:p>
        </w:tc>
        <w:tc>
          <w:tcPr>
            <w:tcW w:w="1417" w:type="dxa"/>
            <w:shd w:val="clear" w:color="auto" w:fill="auto"/>
          </w:tcPr>
          <w:p w14:paraId="0E2637C4" w14:textId="77516D08" w:rsidR="00804BF3" w:rsidRPr="00B1258C" w:rsidRDefault="00804BF3" w:rsidP="002C3E61">
            <w:pPr>
              <w:pStyle w:val="Tablewriting"/>
              <w:jc w:val="center"/>
            </w:pPr>
            <w:r w:rsidRPr="00B1258C">
              <w:rPr>
                <w:rFonts w:cs="Arial"/>
                <w:color w:val="222222"/>
              </w:rPr>
              <w:t>1</w:t>
            </w:r>
            <w:r w:rsidR="00F062B6" w:rsidRPr="00B1258C">
              <w:rPr>
                <w:rFonts w:cs="Arial"/>
                <w:color w:val="222222"/>
              </w:rPr>
              <w:t>/1</w:t>
            </w:r>
          </w:p>
        </w:tc>
        <w:tc>
          <w:tcPr>
            <w:tcW w:w="851" w:type="dxa"/>
            <w:shd w:val="clear" w:color="auto" w:fill="auto"/>
          </w:tcPr>
          <w:p w14:paraId="6B361CAA" w14:textId="0B1B4EE1" w:rsidR="00804BF3" w:rsidRPr="00B1258C" w:rsidRDefault="00804BF3" w:rsidP="002C3E61">
            <w:pPr>
              <w:pStyle w:val="Tablewriting"/>
              <w:jc w:val="center"/>
            </w:pPr>
            <w:r w:rsidRPr="00B1258C">
              <w:rPr>
                <w:rFonts w:cs="Arial"/>
                <w:color w:val="222222"/>
              </w:rPr>
              <w:t>0</w:t>
            </w:r>
          </w:p>
        </w:tc>
        <w:tc>
          <w:tcPr>
            <w:tcW w:w="1323" w:type="dxa"/>
            <w:shd w:val="clear" w:color="auto" w:fill="auto"/>
          </w:tcPr>
          <w:p w14:paraId="15F68405" w14:textId="7C89F241" w:rsidR="00804BF3" w:rsidRPr="00B1258C" w:rsidRDefault="00804BF3" w:rsidP="002C3E61">
            <w:pPr>
              <w:pStyle w:val="Tablewriting"/>
              <w:jc w:val="center"/>
            </w:pPr>
            <w:r w:rsidRPr="00B1258C">
              <w:rPr>
                <w:rFonts w:cs="Arial"/>
                <w:color w:val="222222"/>
              </w:rPr>
              <w:t>$977.50</w:t>
            </w:r>
          </w:p>
        </w:tc>
        <w:tc>
          <w:tcPr>
            <w:tcW w:w="2104" w:type="dxa"/>
            <w:shd w:val="clear" w:color="auto" w:fill="auto"/>
          </w:tcPr>
          <w:p w14:paraId="15354EAC" w14:textId="198786A6" w:rsidR="009B13DF" w:rsidRPr="00B1258C" w:rsidRDefault="0033526A" w:rsidP="00A35800">
            <w:pPr>
              <w:pStyle w:val="Tablewriting"/>
            </w:pPr>
            <w:proofErr w:type="spellStart"/>
            <w:r>
              <w:t>Np</w:t>
            </w:r>
            <w:r w:rsidR="00E97719" w:rsidRPr="00B1258C">
              <w:t>late</w:t>
            </w:r>
            <w:proofErr w:type="spellEnd"/>
            <w:r w:rsidR="00804BF3" w:rsidRPr="00B1258C">
              <w:t xml:space="preserve"> </w:t>
            </w:r>
          </w:p>
          <w:p w14:paraId="2D337AC6" w14:textId="3917E757" w:rsidR="00804BF3" w:rsidRPr="00B1258C" w:rsidRDefault="00E97719" w:rsidP="00A35800">
            <w:pPr>
              <w:pStyle w:val="Tablewriting"/>
            </w:pPr>
            <w:r w:rsidRPr="00B1258C">
              <w:t>(</w:t>
            </w:r>
            <w:r w:rsidR="00804BF3" w:rsidRPr="00B1258C">
              <w:t>Amgen Australia Pty Limited</w:t>
            </w:r>
            <w:r w:rsidRPr="00B1258C">
              <w:t>)</w:t>
            </w:r>
          </w:p>
        </w:tc>
      </w:tr>
      <w:tr w:rsidR="00E97719" w:rsidRPr="00A35800" w14:paraId="5A26F6DA" w14:textId="77777777" w:rsidTr="00D20C27">
        <w:trPr>
          <w:trHeight w:val="546"/>
          <w:tblHeader/>
        </w:trPr>
        <w:tc>
          <w:tcPr>
            <w:tcW w:w="1101" w:type="dxa"/>
            <w:shd w:val="clear" w:color="auto" w:fill="auto"/>
          </w:tcPr>
          <w:p w14:paraId="736B4796" w14:textId="77777777" w:rsidR="00E97719" w:rsidRPr="00B1258C" w:rsidRDefault="00AA2EDA" w:rsidP="001F29CD">
            <w:pPr>
              <w:pStyle w:val="Tablewriting"/>
              <w:jc w:val="center"/>
              <w:rPr>
                <w:color w:val="000000" w:themeColor="text1"/>
              </w:rPr>
            </w:pPr>
            <w:hyperlink r:id="rId12" w:tooltip="9697j" w:history="1">
              <w:r w:rsidR="00E97719" w:rsidRPr="00B1258C">
                <w:rPr>
                  <w:rStyle w:val="Hyperlink"/>
                  <w:color w:val="000000" w:themeColor="text1"/>
                  <w:u w:val="none"/>
                </w:rPr>
                <w:t>9697J</w:t>
              </w:r>
            </w:hyperlink>
          </w:p>
          <w:p w14:paraId="76F26606" w14:textId="75A63069" w:rsidR="001F29CD" w:rsidRPr="00B1258C" w:rsidRDefault="001F29CD" w:rsidP="001F29CD">
            <w:pPr>
              <w:pStyle w:val="Tablewriting"/>
              <w:jc w:val="center"/>
              <w:rPr>
                <w:color w:val="000000" w:themeColor="text1"/>
              </w:rPr>
            </w:pPr>
            <w:r w:rsidRPr="00B1258C">
              <w:rPr>
                <w:color w:val="000000" w:themeColor="text1"/>
              </w:rPr>
              <w:t>(Private)</w:t>
            </w:r>
          </w:p>
        </w:tc>
        <w:tc>
          <w:tcPr>
            <w:tcW w:w="2268" w:type="dxa"/>
            <w:shd w:val="clear" w:color="auto" w:fill="auto"/>
          </w:tcPr>
          <w:p w14:paraId="4C40F7E7" w14:textId="06AAA938" w:rsidR="00E97719" w:rsidRPr="00B1258C" w:rsidRDefault="002C3E61" w:rsidP="00A35800">
            <w:pPr>
              <w:pStyle w:val="Tablewriting"/>
            </w:pPr>
            <w:proofErr w:type="spellStart"/>
            <w:r w:rsidRPr="00B1258C">
              <w:t>R</w:t>
            </w:r>
            <w:r w:rsidR="00E97719" w:rsidRPr="00B1258C">
              <w:t>omiplostim</w:t>
            </w:r>
            <w:proofErr w:type="spellEnd"/>
            <w:r w:rsidR="00E97719" w:rsidRPr="00B1258C">
              <w:t xml:space="preserve"> 250 microgram injection, 1 x 250 microgram vial</w:t>
            </w:r>
          </w:p>
        </w:tc>
        <w:tc>
          <w:tcPr>
            <w:tcW w:w="1417" w:type="dxa"/>
            <w:shd w:val="clear" w:color="auto" w:fill="auto"/>
          </w:tcPr>
          <w:p w14:paraId="73733F58" w14:textId="316B1734" w:rsidR="00E97719" w:rsidRPr="00B1258C" w:rsidRDefault="00F062B6" w:rsidP="002C3E61">
            <w:pPr>
              <w:pStyle w:val="Tablewriting"/>
              <w:jc w:val="center"/>
            </w:pPr>
            <w:r w:rsidRPr="00B1258C">
              <w:rPr>
                <w:rFonts w:cs="Arial"/>
                <w:color w:val="222222"/>
              </w:rPr>
              <w:t>1/1</w:t>
            </w:r>
          </w:p>
        </w:tc>
        <w:tc>
          <w:tcPr>
            <w:tcW w:w="851" w:type="dxa"/>
            <w:shd w:val="clear" w:color="auto" w:fill="auto"/>
          </w:tcPr>
          <w:p w14:paraId="2751F86C" w14:textId="31ADB740" w:rsidR="00E97719" w:rsidRPr="00B1258C" w:rsidRDefault="00E97719" w:rsidP="002C3E61">
            <w:pPr>
              <w:pStyle w:val="Tablewriting"/>
              <w:jc w:val="center"/>
            </w:pPr>
            <w:r w:rsidRPr="00B1258C">
              <w:rPr>
                <w:rFonts w:cs="Arial"/>
                <w:color w:val="222222"/>
              </w:rPr>
              <w:t>0</w:t>
            </w:r>
          </w:p>
        </w:tc>
        <w:tc>
          <w:tcPr>
            <w:tcW w:w="1323" w:type="dxa"/>
            <w:shd w:val="clear" w:color="auto" w:fill="auto"/>
          </w:tcPr>
          <w:p w14:paraId="0EB41EFB" w14:textId="531FB501" w:rsidR="00E97719" w:rsidRPr="00B1258C" w:rsidRDefault="00E97719" w:rsidP="002C3E61">
            <w:pPr>
              <w:pStyle w:val="Tablewriting"/>
              <w:jc w:val="center"/>
            </w:pPr>
            <w:r w:rsidRPr="00B1258C">
              <w:rPr>
                <w:rFonts w:cs="Arial"/>
                <w:color w:val="222222"/>
              </w:rPr>
              <w:t>$1,023.36</w:t>
            </w:r>
          </w:p>
        </w:tc>
        <w:tc>
          <w:tcPr>
            <w:tcW w:w="2104" w:type="dxa"/>
            <w:shd w:val="clear" w:color="auto" w:fill="auto"/>
          </w:tcPr>
          <w:p w14:paraId="6512B9B0" w14:textId="5CF1D890" w:rsidR="009B13DF" w:rsidRPr="00B1258C" w:rsidRDefault="0033526A" w:rsidP="00A35800">
            <w:pPr>
              <w:pStyle w:val="Tablewriting"/>
            </w:pPr>
            <w:proofErr w:type="spellStart"/>
            <w:r>
              <w:t>Np</w:t>
            </w:r>
            <w:r w:rsidR="00E97719" w:rsidRPr="00B1258C">
              <w:t>late</w:t>
            </w:r>
            <w:proofErr w:type="spellEnd"/>
            <w:r w:rsidR="00E97719" w:rsidRPr="00B1258C">
              <w:t xml:space="preserve"> </w:t>
            </w:r>
          </w:p>
          <w:p w14:paraId="2F152B32" w14:textId="1A6A80E9" w:rsidR="00E97719" w:rsidRPr="00B1258C" w:rsidRDefault="00E97719" w:rsidP="00A35800">
            <w:pPr>
              <w:pStyle w:val="Tablewriting"/>
            </w:pPr>
            <w:r w:rsidRPr="00B1258C">
              <w:t>(Amgen Australia Pty Limited)</w:t>
            </w:r>
          </w:p>
        </w:tc>
      </w:tr>
      <w:tr w:rsidR="00E97719" w:rsidRPr="00A35800" w14:paraId="3EE59AFB" w14:textId="77777777" w:rsidTr="00D20C27">
        <w:trPr>
          <w:trHeight w:val="546"/>
          <w:tblHeader/>
        </w:trPr>
        <w:tc>
          <w:tcPr>
            <w:tcW w:w="1101" w:type="dxa"/>
            <w:shd w:val="clear" w:color="auto" w:fill="auto"/>
          </w:tcPr>
          <w:p w14:paraId="039C3425" w14:textId="77777777" w:rsidR="00E97719" w:rsidRPr="00B1258C" w:rsidRDefault="00AA2EDA" w:rsidP="001F29CD">
            <w:pPr>
              <w:pStyle w:val="Tablewriting"/>
              <w:jc w:val="center"/>
              <w:rPr>
                <w:color w:val="000000" w:themeColor="text1"/>
              </w:rPr>
            </w:pPr>
            <w:hyperlink r:id="rId13" w:tooltip="9698k" w:history="1">
              <w:r w:rsidR="00E97719" w:rsidRPr="00B1258C">
                <w:rPr>
                  <w:rStyle w:val="Hyperlink"/>
                  <w:color w:val="000000" w:themeColor="text1"/>
                  <w:u w:val="none"/>
                </w:rPr>
                <w:t>9698K</w:t>
              </w:r>
            </w:hyperlink>
          </w:p>
          <w:p w14:paraId="509E98A1" w14:textId="1A8916A2" w:rsidR="001F29CD" w:rsidRPr="00B1258C" w:rsidRDefault="001F29CD" w:rsidP="001F29CD">
            <w:pPr>
              <w:pStyle w:val="Tablewriting"/>
              <w:jc w:val="center"/>
              <w:rPr>
                <w:color w:val="000000" w:themeColor="text1"/>
              </w:rPr>
            </w:pPr>
            <w:r w:rsidRPr="00B1258C">
              <w:rPr>
                <w:color w:val="000000" w:themeColor="text1"/>
              </w:rPr>
              <w:t>(Public)</w:t>
            </w:r>
          </w:p>
        </w:tc>
        <w:tc>
          <w:tcPr>
            <w:tcW w:w="2268" w:type="dxa"/>
            <w:shd w:val="clear" w:color="auto" w:fill="auto"/>
          </w:tcPr>
          <w:p w14:paraId="6F524189" w14:textId="66BB222C" w:rsidR="00E97719" w:rsidRPr="00B1258C" w:rsidRDefault="002C3E61" w:rsidP="00A35800">
            <w:pPr>
              <w:pStyle w:val="Tablewriting"/>
            </w:pPr>
            <w:proofErr w:type="spellStart"/>
            <w:r w:rsidRPr="00B1258C">
              <w:t>R</w:t>
            </w:r>
            <w:r w:rsidR="00E97719" w:rsidRPr="00B1258C">
              <w:t>omiplostim</w:t>
            </w:r>
            <w:proofErr w:type="spellEnd"/>
            <w:r w:rsidR="00E97719" w:rsidRPr="00B1258C">
              <w:t xml:space="preserve"> 500 microgram injection, 1 x 500 microgram vial</w:t>
            </w:r>
          </w:p>
        </w:tc>
        <w:tc>
          <w:tcPr>
            <w:tcW w:w="1417" w:type="dxa"/>
            <w:shd w:val="clear" w:color="auto" w:fill="auto"/>
          </w:tcPr>
          <w:p w14:paraId="41A917EF" w14:textId="07EDFC29" w:rsidR="00E97719" w:rsidRPr="00B1258C" w:rsidRDefault="00F062B6" w:rsidP="002C3E61">
            <w:pPr>
              <w:pStyle w:val="Tablewriting"/>
              <w:jc w:val="center"/>
            </w:pPr>
            <w:r w:rsidRPr="00B1258C">
              <w:rPr>
                <w:rFonts w:cs="Arial"/>
                <w:color w:val="222222"/>
              </w:rPr>
              <w:t>1/1</w:t>
            </w:r>
          </w:p>
        </w:tc>
        <w:tc>
          <w:tcPr>
            <w:tcW w:w="851" w:type="dxa"/>
            <w:shd w:val="clear" w:color="auto" w:fill="auto"/>
          </w:tcPr>
          <w:p w14:paraId="0F080CB6" w14:textId="705BDDDA" w:rsidR="00E97719" w:rsidRPr="00B1258C" w:rsidRDefault="00E97719" w:rsidP="002C3E61">
            <w:pPr>
              <w:pStyle w:val="Tablewriting"/>
              <w:jc w:val="center"/>
            </w:pPr>
            <w:r w:rsidRPr="00B1258C">
              <w:rPr>
                <w:rFonts w:cs="Arial"/>
                <w:color w:val="222222"/>
              </w:rPr>
              <w:t>0</w:t>
            </w:r>
          </w:p>
        </w:tc>
        <w:tc>
          <w:tcPr>
            <w:tcW w:w="1323" w:type="dxa"/>
            <w:shd w:val="clear" w:color="auto" w:fill="auto"/>
          </w:tcPr>
          <w:p w14:paraId="42DC5046" w14:textId="026FB7EA" w:rsidR="00E97719" w:rsidRPr="00B1258C" w:rsidRDefault="00E97719" w:rsidP="002C3E61">
            <w:pPr>
              <w:pStyle w:val="Tablewriting"/>
              <w:jc w:val="center"/>
            </w:pPr>
            <w:r w:rsidRPr="00B1258C">
              <w:rPr>
                <w:rFonts w:cs="Arial"/>
                <w:color w:val="222222"/>
              </w:rPr>
              <w:t>$1,955.00</w:t>
            </w:r>
          </w:p>
        </w:tc>
        <w:tc>
          <w:tcPr>
            <w:tcW w:w="2104" w:type="dxa"/>
            <w:shd w:val="clear" w:color="auto" w:fill="auto"/>
          </w:tcPr>
          <w:p w14:paraId="02E03AAC" w14:textId="71E3E3BB" w:rsidR="009B13DF" w:rsidRPr="00B1258C" w:rsidRDefault="0033526A" w:rsidP="00A35800">
            <w:pPr>
              <w:pStyle w:val="Tablewriting"/>
            </w:pPr>
            <w:proofErr w:type="spellStart"/>
            <w:r>
              <w:t>Np</w:t>
            </w:r>
            <w:r w:rsidR="00E97719" w:rsidRPr="00B1258C">
              <w:t>late</w:t>
            </w:r>
            <w:proofErr w:type="spellEnd"/>
            <w:r w:rsidR="00E97719" w:rsidRPr="00B1258C">
              <w:t xml:space="preserve"> </w:t>
            </w:r>
          </w:p>
          <w:p w14:paraId="19006313" w14:textId="6F378BA8" w:rsidR="00E97719" w:rsidRPr="00B1258C" w:rsidRDefault="00E97719" w:rsidP="00A35800">
            <w:pPr>
              <w:pStyle w:val="Tablewriting"/>
            </w:pPr>
            <w:r w:rsidRPr="00B1258C">
              <w:t>(Amgen Australia Pty Limited)</w:t>
            </w:r>
          </w:p>
        </w:tc>
      </w:tr>
      <w:tr w:rsidR="00E97719" w:rsidRPr="00A35800" w14:paraId="6C18AA23" w14:textId="77777777" w:rsidTr="00D20C27">
        <w:trPr>
          <w:trHeight w:val="546"/>
          <w:tblHeader/>
        </w:trPr>
        <w:tc>
          <w:tcPr>
            <w:tcW w:w="1101" w:type="dxa"/>
            <w:shd w:val="clear" w:color="auto" w:fill="auto"/>
          </w:tcPr>
          <w:p w14:paraId="1835F841" w14:textId="77777777" w:rsidR="00E97719" w:rsidRPr="00B1258C" w:rsidRDefault="00AA2EDA" w:rsidP="001F29CD">
            <w:pPr>
              <w:pStyle w:val="Tablewriting"/>
              <w:jc w:val="center"/>
              <w:rPr>
                <w:color w:val="000000" w:themeColor="text1"/>
              </w:rPr>
            </w:pPr>
            <w:hyperlink r:id="rId14" w:tooltip="9699l" w:history="1">
              <w:r w:rsidR="00E97719" w:rsidRPr="00B1258C">
                <w:rPr>
                  <w:rStyle w:val="Hyperlink"/>
                  <w:color w:val="000000" w:themeColor="text1"/>
                  <w:u w:val="none"/>
                </w:rPr>
                <w:t>9699L</w:t>
              </w:r>
            </w:hyperlink>
          </w:p>
          <w:p w14:paraId="0977692D" w14:textId="6981A051" w:rsidR="001F29CD" w:rsidRPr="00B1258C" w:rsidRDefault="001F29CD" w:rsidP="001F29CD">
            <w:pPr>
              <w:pStyle w:val="Tablewriting"/>
              <w:jc w:val="center"/>
              <w:rPr>
                <w:color w:val="000000" w:themeColor="text1"/>
              </w:rPr>
            </w:pPr>
            <w:r w:rsidRPr="00B1258C">
              <w:rPr>
                <w:color w:val="000000" w:themeColor="text1"/>
              </w:rPr>
              <w:t>(Private)</w:t>
            </w:r>
          </w:p>
        </w:tc>
        <w:tc>
          <w:tcPr>
            <w:tcW w:w="2268" w:type="dxa"/>
            <w:shd w:val="clear" w:color="auto" w:fill="auto"/>
          </w:tcPr>
          <w:p w14:paraId="450A9C98" w14:textId="0637AABB" w:rsidR="00E97719" w:rsidRPr="00B1258C" w:rsidRDefault="002C3E61" w:rsidP="00A35800">
            <w:pPr>
              <w:pStyle w:val="Tablewriting"/>
            </w:pPr>
            <w:proofErr w:type="spellStart"/>
            <w:r w:rsidRPr="00B1258C">
              <w:t>R</w:t>
            </w:r>
            <w:r w:rsidR="00E97719" w:rsidRPr="00B1258C">
              <w:t>omiplostim</w:t>
            </w:r>
            <w:proofErr w:type="spellEnd"/>
            <w:r w:rsidR="00E97719" w:rsidRPr="00B1258C">
              <w:t xml:space="preserve"> 500 microgram injection, 1 x 500 microgram vial</w:t>
            </w:r>
          </w:p>
        </w:tc>
        <w:tc>
          <w:tcPr>
            <w:tcW w:w="1417" w:type="dxa"/>
            <w:shd w:val="clear" w:color="auto" w:fill="auto"/>
          </w:tcPr>
          <w:p w14:paraId="4326445E" w14:textId="2F828FD2" w:rsidR="00E97719" w:rsidRPr="00B1258C" w:rsidRDefault="00F062B6" w:rsidP="002C3E61">
            <w:pPr>
              <w:pStyle w:val="Tablewriting"/>
              <w:jc w:val="center"/>
            </w:pPr>
            <w:r w:rsidRPr="00B1258C">
              <w:rPr>
                <w:rFonts w:cs="Arial"/>
                <w:color w:val="222222"/>
              </w:rPr>
              <w:t>1/1</w:t>
            </w:r>
          </w:p>
        </w:tc>
        <w:tc>
          <w:tcPr>
            <w:tcW w:w="851" w:type="dxa"/>
            <w:shd w:val="clear" w:color="auto" w:fill="auto"/>
          </w:tcPr>
          <w:p w14:paraId="2E199920" w14:textId="0F5AD89A" w:rsidR="00E97719" w:rsidRPr="00B1258C" w:rsidRDefault="00E97719" w:rsidP="002C3E61">
            <w:pPr>
              <w:pStyle w:val="Tablewriting"/>
              <w:jc w:val="center"/>
            </w:pPr>
            <w:r w:rsidRPr="00B1258C">
              <w:rPr>
                <w:rFonts w:cs="Arial"/>
                <w:color w:val="222222"/>
              </w:rPr>
              <w:t>0</w:t>
            </w:r>
          </w:p>
        </w:tc>
        <w:tc>
          <w:tcPr>
            <w:tcW w:w="1323" w:type="dxa"/>
            <w:shd w:val="clear" w:color="auto" w:fill="auto"/>
          </w:tcPr>
          <w:p w14:paraId="27142556" w14:textId="12EF499A" w:rsidR="00E97719" w:rsidRPr="00B1258C" w:rsidRDefault="00E97719" w:rsidP="002C3E61">
            <w:pPr>
              <w:pStyle w:val="Tablewriting"/>
              <w:jc w:val="center"/>
            </w:pPr>
            <w:r w:rsidRPr="00B1258C">
              <w:rPr>
                <w:rFonts w:cs="Arial"/>
                <w:color w:val="222222"/>
              </w:rPr>
              <w:t>$2,001.76</w:t>
            </w:r>
          </w:p>
        </w:tc>
        <w:tc>
          <w:tcPr>
            <w:tcW w:w="2104" w:type="dxa"/>
            <w:shd w:val="clear" w:color="auto" w:fill="auto"/>
          </w:tcPr>
          <w:p w14:paraId="40F5AE8F" w14:textId="03B0D35B" w:rsidR="009B13DF" w:rsidRPr="00B1258C" w:rsidRDefault="0033526A" w:rsidP="00A35800">
            <w:pPr>
              <w:pStyle w:val="Tablewriting"/>
            </w:pPr>
            <w:proofErr w:type="spellStart"/>
            <w:r>
              <w:t>Np</w:t>
            </w:r>
            <w:r w:rsidR="00E97719" w:rsidRPr="00B1258C">
              <w:t>late</w:t>
            </w:r>
            <w:proofErr w:type="spellEnd"/>
            <w:r w:rsidR="00E97719" w:rsidRPr="00B1258C">
              <w:t xml:space="preserve"> </w:t>
            </w:r>
          </w:p>
          <w:p w14:paraId="4AE91D5F" w14:textId="2C367E64" w:rsidR="00E97719" w:rsidRPr="00B1258C" w:rsidRDefault="00E97719" w:rsidP="00A35800">
            <w:pPr>
              <w:pStyle w:val="Tablewriting"/>
            </w:pPr>
            <w:r w:rsidRPr="00B1258C">
              <w:t>(Amgen Australia Pty Limited)</w:t>
            </w:r>
          </w:p>
        </w:tc>
      </w:tr>
    </w:tbl>
    <w:p w14:paraId="1183F151" w14:textId="7133DCD2" w:rsidR="007247B9" w:rsidRDefault="0029668A" w:rsidP="00BB1D3B">
      <w:pPr>
        <w:pStyle w:val="Notes"/>
      </w:pPr>
      <w:r w:rsidRPr="00A35800">
        <w:t xml:space="preserve">Source: </w:t>
      </w:r>
      <w:r>
        <w:t xml:space="preserve">  </w:t>
      </w:r>
      <w:bookmarkStart w:id="0" w:name="_GoBack"/>
      <w:bookmarkEnd w:id="0"/>
      <w:r w:rsidR="00375053">
        <w:t>Accessed on 3 March 2015 from the</w:t>
      </w:r>
      <w:r>
        <w:t xml:space="preserve"> </w:t>
      </w:r>
      <w:hyperlink r:id="rId15" w:history="1">
        <w:r w:rsidR="00375053">
          <w:rPr>
            <w:rStyle w:val="Hyperlink"/>
          </w:rPr>
          <w:t>PBS website</w:t>
        </w:r>
      </w:hyperlink>
      <w:r w:rsidR="0011210B">
        <w:t>.</w:t>
      </w:r>
    </w:p>
    <w:p w14:paraId="1E34ED7F" w14:textId="2D8B90CC" w:rsidR="00D06447" w:rsidRPr="00B7238C" w:rsidRDefault="0056377C" w:rsidP="006D2263">
      <w:pPr>
        <w:spacing w:after="0"/>
      </w:pPr>
      <w:r w:rsidRPr="00B7238C">
        <w:t xml:space="preserve">As </w:t>
      </w:r>
      <w:r w:rsidR="00D06447" w:rsidRPr="00B7238C">
        <w:t xml:space="preserve">the </w:t>
      </w:r>
      <w:proofErr w:type="spellStart"/>
      <w:r w:rsidRPr="00B7238C">
        <w:t>romiplostim</w:t>
      </w:r>
      <w:proofErr w:type="spellEnd"/>
      <w:r w:rsidRPr="00B7238C">
        <w:t xml:space="preserve"> </w:t>
      </w:r>
      <w:r w:rsidR="00D06447" w:rsidRPr="00B7238C">
        <w:t xml:space="preserve">dose is based on </w:t>
      </w:r>
      <w:r w:rsidR="000A13B4" w:rsidRPr="00B7238C">
        <w:t xml:space="preserve">weight </w:t>
      </w:r>
      <w:r w:rsidR="00D06447" w:rsidRPr="00B7238C">
        <w:t xml:space="preserve">and </w:t>
      </w:r>
      <w:r w:rsidR="00E93E0B" w:rsidRPr="00B7238C">
        <w:t>platelet count</w:t>
      </w:r>
      <w:r w:rsidR="00C20E37">
        <w:t xml:space="preserve"> (see T</w:t>
      </w:r>
      <w:r w:rsidR="00D06447" w:rsidRPr="00B7238C">
        <w:t>able 1)</w:t>
      </w:r>
      <w:r w:rsidR="000A13B4" w:rsidRPr="00B7238C">
        <w:t xml:space="preserve">, the prescriber requests the appropriate </w:t>
      </w:r>
      <w:r w:rsidRPr="00B7238C">
        <w:t>quantity and number of repeats</w:t>
      </w:r>
      <w:r w:rsidR="000A13B4" w:rsidRPr="00B7238C">
        <w:t xml:space="preserve"> at the time of the authority application. DHS will authorise</w:t>
      </w:r>
      <w:r w:rsidR="00D06447" w:rsidRPr="00B7238C">
        <w:t xml:space="preserve"> a maximum of:</w:t>
      </w:r>
    </w:p>
    <w:p w14:paraId="6B877215" w14:textId="3C8D83C5" w:rsidR="00D06447" w:rsidRPr="00B7238C" w:rsidRDefault="00D06447" w:rsidP="006D2263">
      <w:pPr>
        <w:pStyle w:val="ListParagraph"/>
        <w:numPr>
          <w:ilvl w:val="0"/>
          <w:numId w:val="19"/>
        </w:numPr>
        <w:spacing w:after="0"/>
        <w:ind w:left="426" w:hanging="426"/>
      </w:pPr>
      <w:r w:rsidRPr="00B7238C">
        <w:t>one</w:t>
      </w:r>
      <w:r w:rsidR="000A13B4" w:rsidRPr="00B7238C">
        <w:t xml:space="preserve"> treatment</w:t>
      </w:r>
      <w:r w:rsidR="00DB6F26" w:rsidRPr="00B7238C">
        <w:t xml:space="preserve"> at a dose of 1mcg/kg</w:t>
      </w:r>
      <w:r w:rsidR="000A13B4" w:rsidRPr="00B7238C">
        <w:t xml:space="preserve"> and up to 1 repeat </w:t>
      </w:r>
      <w:r w:rsidRPr="00B7238C">
        <w:t xml:space="preserve">, for </w:t>
      </w:r>
      <w:r w:rsidR="000F06A6">
        <w:t xml:space="preserve">the </w:t>
      </w:r>
      <w:r w:rsidRPr="00B7238C">
        <w:t>first prescription;</w:t>
      </w:r>
    </w:p>
    <w:p w14:paraId="26037DD3" w14:textId="39E77ED1" w:rsidR="0011210B" w:rsidRPr="00B7238C" w:rsidRDefault="00D06447" w:rsidP="006D2263">
      <w:pPr>
        <w:pStyle w:val="ListParagraph"/>
        <w:numPr>
          <w:ilvl w:val="0"/>
          <w:numId w:val="19"/>
        </w:numPr>
        <w:spacing w:after="0"/>
        <w:ind w:left="426" w:hanging="426"/>
      </w:pPr>
      <w:r w:rsidRPr="00B7238C">
        <w:t xml:space="preserve">one treatment and up to one repeat in the </w:t>
      </w:r>
      <w:r w:rsidR="00E93E0B" w:rsidRPr="00B7238C">
        <w:t xml:space="preserve">remaining </w:t>
      </w:r>
      <w:r w:rsidRPr="00B7238C">
        <w:t>dose titration period</w:t>
      </w:r>
      <w:r w:rsidR="00E93E0B" w:rsidRPr="00B7238C">
        <w:t>;</w:t>
      </w:r>
    </w:p>
    <w:p w14:paraId="6C069970" w14:textId="1C04EEFD" w:rsidR="00E93E0B" w:rsidRPr="00B7238C" w:rsidRDefault="00E93E0B" w:rsidP="006D2263">
      <w:pPr>
        <w:pStyle w:val="ListParagraph"/>
        <w:numPr>
          <w:ilvl w:val="0"/>
          <w:numId w:val="19"/>
        </w:numPr>
        <w:spacing w:after="0"/>
        <w:ind w:left="426" w:hanging="426"/>
      </w:pPr>
      <w:r w:rsidRPr="00B7238C">
        <w:t xml:space="preserve">once </w:t>
      </w:r>
      <w:r w:rsidR="000F06A6">
        <w:t xml:space="preserve">the </w:t>
      </w:r>
      <w:r w:rsidRPr="00B7238C">
        <w:t>dose has been stable for 4 weeks, up to 4 treatments and up to 4 repeats (within the first 24 weeks of treatment)</w:t>
      </w:r>
      <w:r w:rsidR="00B7238C" w:rsidRPr="00B7238C">
        <w:t>; and</w:t>
      </w:r>
    </w:p>
    <w:p w14:paraId="1CE5E0A3" w14:textId="3701EEF1" w:rsidR="00E93E0B" w:rsidRDefault="00E93E0B" w:rsidP="006D2263">
      <w:pPr>
        <w:pStyle w:val="ListParagraph"/>
        <w:numPr>
          <w:ilvl w:val="0"/>
          <w:numId w:val="19"/>
        </w:numPr>
        <w:spacing w:after="0"/>
        <w:ind w:left="426" w:hanging="426"/>
      </w:pPr>
      <w:proofErr w:type="gramStart"/>
      <w:r w:rsidRPr="00B7238C">
        <w:t>up</w:t>
      </w:r>
      <w:proofErr w:type="gramEnd"/>
      <w:r w:rsidRPr="00B7238C">
        <w:t xml:space="preserve"> to 4 treatments and up to 5 repeats for continuing treatment in responders.</w:t>
      </w:r>
    </w:p>
    <w:p w14:paraId="257BA400" w14:textId="134F6394" w:rsidR="001A7D34" w:rsidRDefault="001A7D34">
      <w:pPr>
        <w:spacing w:line="276" w:lineRule="auto"/>
        <w:rPr>
          <w:rFonts w:cs="Baskerville"/>
        </w:rPr>
      </w:pPr>
      <w:r>
        <w:br w:type="page"/>
      </w:r>
    </w:p>
    <w:p w14:paraId="1A9134DA" w14:textId="36CDB874" w:rsidR="00804BF3" w:rsidRPr="001420B3" w:rsidRDefault="00B1258C" w:rsidP="001A7D34">
      <w:pPr>
        <w:pStyle w:val="Tableheading"/>
        <w:jc w:val="left"/>
      </w:pPr>
      <w:r>
        <w:lastRenderedPageBreak/>
        <w:t>Table 3</w:t>
      </w:r>
      <w:r w:rsidR="00804BF3" w:rsidRPr="001420B3">
        <w:t xml:space="preserve">: </w:t>
      </w:r>
      <w:r w:rsidR="00804BF3">
        <w:t xml:space="preserve">PBS listings of </w:t>
      </w:r>
      <w:proofErr w:type="spellStart"/>
      <w:r w:rsidR="00804BF3">
        <w:t>eltrombopag</w:t>
      </w:r>
      <w:proofErr w:type="spellEnd"/>
      <w:r w:rsidR="00472D77">
        <w:t xml:space="preserve"> (as at 1 March 2015)</w:t>
      </w:r>
    </w:p>
    <w:tbl>
      <w:tblPr>
        <w:tblStyle w:val="TableGrid"/>
        <w:tblW w:w="9064" w:type="dxa"/>
        <w:tblLayout w:type="fixed"/>
        <w:tblLook w:val="04A0" w:firstRow="1" w:lastRow="0" w:firstColumn="1" w:lastColumn="0" w:noHBand="0" w:noVBand="1"/>
        <w:tblCaption w:val="Table 3"/>
        <w:tblDescription w:val="Summary of PBS listings for eltrombopag"/>
      </w:tblPr>
      <w:tblGrid>
        <w:gridCol w:w="969"/>
        <w:gridCol w:w="2400"/>
        <w:gridCol w:w="1417"/>
        <w:gridCol w:w="851"/>
        <w:gridCol w:w="1323"/>
        <w:gridCol w:w="2104"/>
      </w:tblGrid>
      <w:tr w:rsidR="00804BF3" w:rsidRPr="00A35800" w14:paraId="543897DD" w14:textId="77777777" w:rsidTr="002400A2">
        <w:trPr>
          <w:trHeight w:val="694"/>
          <w:tblHeader/>
        </w:trPr>
        <w:tc>
          <w:tcPr>
            <w:tcW w:w="969" w:type="dxa"/>
            <w:shd w:val="clear" w:color="auto" w:fill="BFBFBF" w:themeFill="background1" w:themeFillShade="BF"/>
          </w:tcPr>
          <w:p w14:paraId="4FA548E4" w14:textId="77777777" w:rsidR="00804BF3" w:rsidRPr="00A35800" w:rsidRDefault="00804BF3" w:rsidP="001B0264">
            <w:pPr>
              <w:pStyle w:val="Tableheading"/>
              <w:rPr>
                <w:sz w:val="20"/>
                <w:szCs w:val="20"/>
              </w:rPr>
            </w:pPr>
            <w:r w:rsidRPr="00A35800">
              <w:rPr>
                <w:sz w:val="20"/>
                <w:szCs w:val="20"/>
              </w:rPr>
              <w:t>Item</w:t>
            </w:r>
          </w:p>
        </w:tc>
        <w:tc>
          <w:tcPr>
            <w:tcW w:w="2400" w:type="dxa"/>
            <w:shd w:val="clear" w:color="auto" w:fill="BFBFBF" w:themeFill="background1" w:themeFillShade="BF"/>
          </w:tcPr>
          <w:p w14:paraId="12EA276D" w14:textId="77777777" w:rsidR="00804BF3" w:rsidRPr="00A35800" w:rsidRDefault="00804BF3" w:rsidP="001B0264">
            <w:pPr>
              <w:pStyle w:val="Tableheading"/>
              <w:rPr>
                <w:sz w:val="20"/>
                <w:szCs w:val="20"/>
              </w:rPr>
            </w:pPr>
            <w:r w:rsidRPr="00A35800">
              <w:rPr>
                <w:sz w:val="20"/>
                <w:szCs w:val="20"/>
              </w:rPr>
              <w:t>Name, form &amp; strength, pack size</w:t>
            </w:r>
          </w:p>
        </w:tc>
        <w:tc>
          <w:tcPr>
            <w:tcW w:w="1417" w:type="dxa"/>
            <w:shd w:val="clear" w:color="auto" w:fill="BFBFBF" w:themeFill="background1" w:themeFillShade="BF"/>
          </w:tcPr>
          <w:p w14:paraId="3ABD80BD" w14:textId="77777777" w:rsidR="00BE2BFC" w:rsidRDefault="00BE2BFC" w:rsidP="00BE2BFC">
            <w:pPr>
              <w:pStyle w:val="Tableheading"/>
              <w:rPr>
                <w:sz w:val="20"/>
                <w:szCs w:val="20"/>
              </w:rPr>
            </w:pPr>
            <w:r w:rsidRPr="00A35800">
              <w:rPr>
                <w:sz w:val="20"/>
                <w:szCs w:val="20"/>
              </w:rPr>
              <w:t xml:space="preserve">Max. </w:t>
            </w:r>
            <w:r>
              <w:rPr>
                <w:sz w:val="20"/>
                <w:szCs w:val="20"/>
              </w:rPr>
              <w:t>qty</w:t>
            </w:r>
            <w:r w:rsidRPr="00A35800">
              <w:rPr>
                <w:sz w:val="20"/>
                <w:szCs w:val="20"/>
              </w:rPr>
              <w:t>.</w:t>
            </w:r>
          </w:p>
          <w:p w14:paraId="3BF736D9" w14:textId="7E2CA67D" w:rsidR="00804BF3" w:rsidRPr="00A35800" w:rsidRDefault="00BE2BFC" w:rsidP="00BE2BFC">
            <w:pPr>
              <w:pStyle w:val="Tableheading"/>
              <w:rPr>
                <w:sz w:val="20"/>
                <w:szCs w:val="20"/>
              </w:rPr>
            </w:pPr>
            <w:r>
              <w:rPr>
                <w:sz w:val="20"/>
                <w:szCs w:val="20"/>
              </w:rPr>
              <w:t>Packs / Unit</w:t>
            </w:r>
            <w:r w:rsidR="00FD0D3E">
              <w:rPr>
                <w:sz w:val="20"/>
                <w:szCs w:val="20"/>
              </w:rPr>
              <w:t>s</w:t>
            </w:r>
          </w:p>
        </w:tc>
        <w:tc>
          <w:tcPr>
            <w:tcW w:w="851" w:type="dxa"/>
            <w:shd w:val="clear" w:color="auto" w:fill="BFBFBF" w:themeFill="background1" w:themeFillShade="BF"/>
          </w:tcPr>
          <w:p w14:paraId="15FFE9CB" w14:textId="77777777" w:rsidR="00804BF3" w:rsidRPr="00A35800" w:rsidRDefault="00804BF3" w:rsidP="001B0264">
            <w:pPr>
              <w:pStyle w:val="Tableheading"/>
              <w:rPr>
                <w:sz w:val="20"/>
                <w:szCs w:val="20"/>
              </w:rPr>
            </w:pPr>
            <w:proofErr w:type="spellStart"/>
            <w:r w:rsidRPr="00A35800">
              <w:rPr>
                <w:sz w:val="20"/>
                <w:szCs w:val="20"/>
              </w:rPr>
              <w:t>Rpts</w:t>
            </w:r>
            <w:proofErr w:type="spellEnd"/>
            <w:r w:rsidRPr="00A35800">
              <w:rPr>
                <w:sz w:val="20"/>
                <w:szCs w:val="20"/>
              </w:rPr>
              <w:t xml:space="preserve"> </w:t>
            </w:r>
          </w:p>
        </w:tc>
        <w:tc>
          <w:tcPr>
            <w:tcW w:w="1323" w:type="dxa"/>
            <w:shd w:val="clear" w:color="auto" w:fill="BFBFBF" w:themeFill="background1" w:themeFillShade="BF"/>
          </w:tcPr>
          <w:p w14:paraId="15B8C4C0" w14:textId="77777777" w:rsidR="00804BF3" w:rsidRPr="00A35800" w:rsidRDefault="00804BF3" w:rsidP="001B0264">
            <w:pPr>
              <w:pStyle w:val="Tableheading"/>
              <w:rPr>
                <w:sz w:val="20"/>
                <w:szCs w:val="20"/>
              </w:rPr>
            </w:pPr>
            <w:r w:rsidRPr="00A35800">
              <w:rPr>
                <w:sz w:val="20"/>
                <w:szCs w:val="20"/>
              </w:rPr>
              <w:t>DPMQ</w:t>
            </w:r>
          </w:p>
        </w:tc>
        <w:tc>
          <w:tcPr>
            <w:tcW w:w="2104" w:type="dxa"/>
            <w:shd w:val="clear" w:color="auto" w:fill="BFBFBF" w:themeFill="background1" w:themeFillShade="BF"/>
          </w:tcPr>
          <w:p w14:paraId="6C60AF79" w14:textId="77777777" w:rsidR="00804BF3" w:rsidRPr="00A35800" w:rsidRDefault="00804BF3" w:rsidP="001B0264">
            <w:pPr>
              <w:pStyle w:val="Tableheading"/>
              <w:rPr>
                <w:sz w:val="20"/>
                <w:szCs w:val="20"/>
              </w:rPr>
            </w:pPr>
            <w:r w:rsidRPr="00A35800">
              <w:rPr>
                <w:sz w:val="20"/>
                <w:szCs w:val="20"/>
              </w:rPr>
              <w:t>Brand name and manufacturer</w:t>
            </w:r>
          </w:p>
        </w:tc>
      </w:tr>
      <w:tr w:rsidR="00BE2BFC" w:rsidRPr="00A35800" w14:paraId="430D93FC" w14:textId="77777777" w:rsidTr="002400A2">
        <w:trPr>
          <w:trHeight w:val="552"/>
        </w:trPr>
        <w:tc>
          <w:tcPr>
            <w:tcW w:w="969" w:type="dxa"/>
            <w:shd w:val="clear" w:color="auto" w:fill="auto"/>
          </w:tcPr>
          <w:p w14:paraId="6040786E" w14:textId="77777777" w:rsidR="00BE2BFC" w:rsidRDefault="00AA2EDA" w:rsidP="00BE2BFC">
            <w:pPr>
              <w:pStyle w:val="Tablewriting"/>
              <w:jc w:val="center"/>
              <w:rPr>
                <w:rStyle w:val="Hyperlink"/>
                <w:rFonts w:ascii="Calibri" w:hAnsi="Calibri"/>
                <w:color w:val="000000" w:themeColor="text1"/>
                <w:u w:val="none"/>
              </w:rPr>
            </w:pPr>
            <w:hyperlink r:id="rId16" w:tooltip="5825n" w:history="1">
              <w:r w:rsidR="00BE2BFC" w:rsidRPr="000711B7">
                <w:rPr>
                  <w:rStyle w:val="Hyperlink"/>
                  <w:rFonts w:ascii="Calibri" w:hAnsi="Calibri"/>
                  <w:color w:val="000000" w:themeColor="text1"/>
                  <w:u w:val="none"/>
                </w:rPr>
                <w:t>5825N</w:t>
              </w:r>
            </w:hyperlink>
          </w:p>
          <w:p w14:paraId="1A26CA23" w14:textId="24590F12" w:rsidR="005751AE" w:rsidRPr="000711B7" w:rsidRDefault="005751AE" w:rsidP="00BE2BFC">
            <w:pPr>
              <w:pStyle w:val="Tablewriting"/>
              <w:jc w:val="center"/>
              <w:rPr>
                <w:rStyle w:val="Hyperlink"/>
                <w:rFonts w:ascii="Calibri" w:hAnsi="Calibri"/>
                <w:color w:val="000000" w:themeColor="text1"/>
                <w:u w:val="none"/>
              </w:rPr>
            </w:pPr>
            <w:r>
              <w:rPr>
                <w:rStyle w:val="Hyperlink"/>
                <w:rFonts w:ascii="Calibri" w:hAnsi="Calibri"/>
                <w:color w:val="000000" w:themeColor="text1"/>
                <w:u w:val="none"/>
              </w:rPr>
              <w:t>(Public)</w:t>
            </w:r>
          </w:p>
        </w:tc>
        <w:tc>
          <w:tcPr>
            <w:tcW w:w="2400" w:type="dxa"/>
            <w:shd w:val="clear" w:color="auto" w:fill="auto"/>
          </w:tcPr>
          <w:p w14:paraId="5D2553D1" w14:textId="25D05E67" w:rsidR="00BE2BFC" w:rsidRPr="000711B7" w:rsidRDefault="00BE2BFC" w:rsidP="00BE2BFC">
            <w:pPr>
              <w:pStyle w:val="Tablewriting"/>
              <w:rPr>
                <w:rStyle w:val="Hyperlink"/>
                <w:rFonts w:ascii="Calibri" w:hAnsi="Calibri"/>
                <w:color w:val="000000" w:themeColor="text1"/>
                <w:u w:val="none"/>
              </w:rPr>
            </w:pPr>
            <w:proofErr w:type="spellStart"/>
            <w:r w:rsidRPr="000711B7">
              <w:rPr>
                <w:rStyle w:val="Hyperlink"/>
                <w:rFonts w:ascii="Calibri" w:hAnsi="Calibri"/>
                <w:color w:val="000000" w:themeColor="text1"/>
                <w:u w:val="none"/>
              </w:rPr>
              <w:t>Eltrombopag</w:t>
            </w:r>
            <w:proofErr w:type="spellEnd"/>
            <w:r w:rsidRPr="000711B7">
              <w:rPr>
                <w:rStyle w:val="Hyperlink"/>
                <w:rFonts w:ascii="Calibri" w:hAnsi="Calibri"/>
                <w:color w:val="000000" w:themeColor="text1"/>
                <w:u w:val="none"/>
              </w:rPr>
              <w:t xml:space="preserve"> 25 mg tablet, 28</w:t>
            </w:r>
          </w:p>
        </w:tc>
        <w:tc>
          <w:tcPr>
            <w:tcW w:w="1417" w:type="dxa"/>
            <w:shd w:val="clear" w:color="auto" w:fill="auto"/>
          </w:tcPr>
          <w:p w14:paraId="7C0D4E1E" w14:textId="1DAF879D" w:rsidR="00BE2BFC" w:rsidRPr="000711B7" w:rsidRDefault="00BE2BFC" w:rsidP="00BE2BFC">
            <w:pPr>
              <w:pStyle w:val="Tablewriting"/>
              <w:jc w:val="center"/>
              <w:rPr>
                <w:rStyle w:val="Hyperlink"/>
                <w:rFonts w:ascii="Calibri" w:hAnsi="Calibri"/>
                <w:color w:val="000000" w:themeColor="text1"/>
                <w:u w:val="none"/>
              </w:rPr>
            </w:pPr>
            <w:r w:rsidRPr="000711B7">
              <w:rPr>
                <w:rStyle w:val="Hyperlink"/>
                <w:rFonts w:ascii="Calibri" w:hAnsi="Calibri"/>
                <w:color w:val="000000" w:themeColor="text1"/>
                <w:u w:val="none"/>
              </w:rPr>
              <w:t>1/28</w:t>
            </w:r>
          </w:p>
        </w:tc>
        <w:tc>
          <w:tcPr>
            <w:tcW w:w="851" w:type="dxa"/>
            <w:shd w:val="clear" w:color="auto" w:fill="auto"/>
          </w:tcPr>
          <w:p w14:paraId="257AC2E5" w14:textId="7178F8CC" w:rsidR="00BE2BFC" w:rsidRPr="000711B7" w:rsidRDefault="00BE2BFC" w:rsidP="00BE2BFC">
            <w:pPr>
              <w:pStyle w:val="Tablewriting"/>
              <w:jc w:val="center"/>
              <w:rPr>
                <w:rStyle w:val="Hyperlink"/>
                <w:rFonts w:ascii="Calibri" w:hAnsi="Calibri"/>
                <w:color w:val="000000" w:themeColor="text1"/>
                <w:u w:val="none"/>
              </w:rPr>
            </w:pPr>
            <w:r w:rsidRPr="000711B7">
              <w:rPr>
                <w:rStyle w:val="Hyperlink"/>
                <w:rFonts w:ascii="Calibri" w:hAnsi="Calibri"/>
                <w:color w:val="000000" w:themeColor="text1"/>
                <w:u w:val="none"/>
              </w:rPr>
              <w:t>5</w:t>
            </w:r>
          </w:p>
        </w:tc>
        <w:tc>
          <w:tcPr>
            <w:tcW w:w="1323" w:type="dxa"/>
            <w:shd w:val="clear" w:color="auto" w:fill="auto"/>
          </w:tcPr>
          <w:p w14:paraId="7193978A" w14:textId="0B69A965" w:rsidR="00BE2BFC" w:rsidRPr="000711B7" w:rsidRDefault="00BE2BFC" w:rsidP="00BE2BFC">
            <w:pPr>
              <w:pStyle w:val="Tablewriting"/>
              <w:jc w:val="center"/>
              <w:rPr>
                <w:rStyle w:val="Hyperlink"/>
                <w:rFonts w:ascii="Calibri" w:hAnsi="Calibri"/>
                <w:color w:val="000000" w:themeColor="text1"/>
                <w:u w:val="none"/>
              </w:rPr>
            </w:pPr>
            <w:r w:rsidRPr="000711B7">
              <w:rPr>
                <w:rStyle w:val="Hyperlink"/>
                <w:rFonts w:ascii="Calibri" w:hAnsi="Calibri"/>
                <w:color w:val="000000" w:themeColor="text1"/>
                <w:u w:val="none"/>
              </w:rPr>
              <w:t>$1,512.00</w:t>
            </w:r>
          </w:p>
        </w:tc>
        <w:tc>
          <w:tcPr>
            <w:tcW w:w="2104" w:type="dxa"/>
            <w:shd w:val="clear" w:color="auto" w:fill="auto"/>
          </w:tcPr>
          <w:p w14:paraId="6D8A4139" w14:textId="77777777" w:rsidR="00D273F2" w:rsidRDefault="00BE2BFC" w:rsidP="00B8623C">
            <w:pPr>
              <w:pStyle w:val="Tablewriting"/>
              <w:rPr>
                <w:rStyle w:val="Hyperlink"/>
                <w:rFonts w:ascii="Calibri" w:hAnsi="Calibri"/>
                <w:color w:val="000000" w:themeColor="text1"/>
                <w:u w:val="none"/>
              </w:rPr>
            </w:pPr>
            <w:proofErr w:type="spellStart"/>
            <w:r w:rsidRPr="000711B7">
              <w:rPr>
                <w:rStyle w:val="Hyperlink"/>
                <w:rFonts w:ascii="Calibri" w:hAnsi="Calibri"/>
                <w:color w:val="000000" w:themeColor="text1"/>
                <w:u w:val="none"/>
              </w:rPr>
              <w:t>Revolade</w:t>
            </w:r>
            <w:proofErr w:type="spellEnd"/>
          </w:p>
          <w:p w14:paraId="46298CDB" w14:textId="6BF52BF4" w:rsidR="00BE2BFC" w:rsidRPr="000711B7" w:rsidRDefault="00BE2BFC" w:rsidP="00B8623C">
            <w:pPr>
              <w:pStyle w:val="Tablewriting"/>
              <w:rPr>
                <w:rStyle w:val="Hyperlink"/>
                <w:rFonts w:ascii="Calibri" w:hAnsi="Calibri"/>
                <w:color w:val="000000" w:themeColor="text1"/>
                <w:u w:val="none"/>
              </w:rPr>
            </w:pPr>
            <w:r w:rsidRPr="000711B7">
              <w:rPr>
                <w:rStyle w:val="Hyperlink"/>
                <w:rFonts w:ascii="Calibri" w:hAnsi="Calibri"/>
                <w:color w:val="000000" w:themeColor="text1"/>
                <w:u w:val="none"/>
              </w:rPr>
              <w:t xml:space="preserve"> (</w:t>
            </w:r>
            <w:r w:rsidR="00D273F2" w:rsidRPr="00993BE1">
              <w:rPr>
                <w:rFonts w:cstheme="minorBidi"/>
                <w:color w:val="auto"/>
              </w:rPr>
              <w:t>Novartis Pharmaceuticals Australia Pty Limited</w:t>
            </w:r>
            <w:r w:rsidRPr="000711B7">
              <w:rPr>
                <w:rStyle w:val="Hyperlink"/>
                <w:rFonts w:ascii="Calibri" w:hAnsi="Calibri"/>
                <w:color w:val="000000" w:themeColor="text1"/>
                <w:u w:val="none"/>
              </w:rPr>
              <w:t>)</w:t>
            </w:r>
          </w:p>
        </w:tc>
      </w:tr>
      <w:tr w:rsidR="00BE2BFC" w:rsidRPr="00A35800" w14:paraId="58BF1539" w14:textId="77777777" w:rsidTr="002400A2">
        <w:trPr>
          <w:trHeight w:val="546"/>
        </w:trPr>
        <w:tc>
          <w:tcPr>
            <w:tcW w:w="969" w:type="dxa"/>
            <w:shd w:val="clear" w:color="auto" w:fill="auto"/>
          </w:tcPr>
          <w:p w14:paraId="07A3E9BA" w14:textId="77777777" w:rsidR="00BE2BFC" w:rsidRDefault="00AA2EDA" w:rsidP="00BE2BFC">
            <w:pPr>
              <w:pStyle w:val="Tablewriting"/>
              <w:jc w:val="center"/>
              <w:rPr>
                <w:rStyle w:val="Hyperlink"/>
                <w:rFonts w:ascii="Calibri" w:hAnsi="Calibri"/>
                <w:color w:val="000000" w:themeColor="text1"/>
                <w:u w:val="none"/>
              </w:rPr>
            </w:pPr>
            <w:hyperlink r:id="rId17" w:tooltip="5827q" w:history="1">
              <w:r w:rsidR="00BE2BFC" w:rsidRPr="000711B7">
                <w:rPr>
                  <w:rStyle w:val="Hyperlink"/>
                  <w:rFonts w:ascii="Calibri" w:hAnsi="Calibri"/>
                  <w:color w:val="000000" w:themeColor="text1"/>
                  <w:u w:val="none"/>
                </w:rPr>
                <w:t>5827Q</w:t>
              </w:r>
            </w:hyperlink>
          </w:p>
          <w:p w14:paraId="7AF30FFF" w14:textId="364A4349" w:rsidR="005751AE" w:rsidRPr="000711B7" w:rsidRDefault="005751AE" w:rsidP="00BE2BFC">
            <w:pPr>
              <w:pStyle w:val="Tablewriting"/>
              <w:jc w:val="center"/>
              <w:rPr>
                <w:rStyle w:val="Hyperlink"/>
                <w:rFonts w:ascii="Calibri" w:hAnsi="Calibri"/>
                <w:color w:val="000000" w:themeColor="text1"/>
                <w:u w:val="none"/>
              </w:rPr>
            </w:pPr>
            <w:r>
              <w:rPr>
                <w:rStyle w:val="Hyperlink"/>
                <w:rFonts w:ascii="Calibri" w:hAnsi="Calibri"/>
                <w:color w:val="000000" w:themeColor="text1"/>
                <w:u w:val="none"/>
              </w:rPr>
              <w:t>(Private)</w:t>
            </w:r>
          </w:p>
        </w:tc>
        <w:tc>
          <w:tcPr>
            <w:tcW w:w="2400" w:type="dxa"/>
            <w:shd w:val="clear" w:color="auto" w:fill="auto"/>
          </w:tcPr>
          <w:p w14:paraId="59B9A797" w14:textId="4EA90EDB" w:rsidR="00BE2BFC" w:rsidRPr="000711B7" w:rsidRDefault="00BE2BFC" w:rsidP="00BE2BFC">
            <w:pPr>
              <w:pStyle w:val="Tablewriting"/>
              <w:rPr>
                <w:rStyle w:val="Hyperlink"/>
                <w:rFonts w:ascii="Calibri" w:hAnsi="Calibri"/>
                <w:color w:val="000000" w:themeColor="text1"/>
                <w:u w:val="none"/>
              </w:rPr>
            </w:pPr>
            <w:proofErr w:type="spellStart"/>
            <w:r w:rsidRPr="000711B7">
              <w:rPr>
                <w:rStyle w:val="Hyperlink"/>
                <w:rFonts w:ascii="Calibri" w:hAnsi="Calibri"/>
                <w:color w:val="000000" w:themeColor="text1"/>
                <w:u w:val="none"/>
              </w:rPr>
              <w:t>Eltrombopag</w:t>
            </w:r>
            <w:proofErr w:type="spellEnd"/>
            <w:r w:rsidRPr="000711B7">
              <w:rPr>
                <w:rStyle w:val="Hyperlink"/>
                <w:rFonts w:ascii="Calibri" w:hAnsi="Calibri"/>
                <w:color w:val="000000" w:themeColor="text1"/>
                <w:u w:val="none"/>
              </w:rPr>
              <w:t xml:space="preserve"> 25 mg tablet, 28</w:t>
            </w:r>
          </w:p>
        </w:tc>
        <w:tc>
          <w:tcPr>
            <w:tcW w:w="1417" w:type="dxa"/>
            <w:shd w:val="clear" w:color="auto" w:fill="auto"/>
          </w:tcPr>
          <w:p w14:paraId="425F32BB" w14:textId="126ABC01" w:rsidR="00BE2BFC" w:rsidRPr="000711B7" w:rsidRDefault="00BE2BFC" w:rsidP="00BE2BFC">
            <w:pPr>
              <w:pStyle w:val="Tablewriting"/>
              <w:jc w:val="center"/>
              <w:rPr>
                <w:rStyle w:val="Hyperlink"/>
                <w:rFonts w:ascii="Calibri" w:hAnsi="Calibri"/>
                <w:color w:val="000000" w:themeColor="text1"/>
                <w:u w:val="none"/>
              </w:rPr>
            </w:pPr>
            <w:r w:rsidRPr="000711B7">
              <w:rPr>
                <w:rStyle w:val="Hyperlink"/>
                <w:rFonts w:ascii="Calibri" w:hAnsi="Calibri"/>
                <w:color w:val="000000" w:themeColor="text1"/>
                <w:u w:val="none"/>
              </w:rPr>
              <w:t>1/28</w:t>
            </w:r>
          </w:p>
        </w:tc>
        <w:tc>
          <w:tcPr>
            <w:tcW w:w="851" w:type="dxa"/>
            <w:shd w:val="clear" w:color="auto" w:fill="auto"/>
          </w:tcPr>
          <w:p w14:paraId="592A18D5" w14:textId="48ED964E" w:rsidR="00BE2BFC" w:rsidRPr="000711B7" w:rsidRDefault="00BE2BFC" w:rsidP="00BE2BFC">
            <w:pPr>
              <w:pStyle w:val="Tablewriting"/>
              <w:jc w:val="center"/>
              <w:rPr>
                <w:rStyle w:val="Hyperlink"/>
                <w:rFonts w:ascii="Calibri" w:hAnsi="Calibri"/>
                <w:color w:val="000000" w:themeColor="text1"/>
                <w:u w:val="none"/>
              </w:rPr>
            </w:pPr>
            <w:r w:rsidRPr="000711B7">
              <w:rPr>
                <w:rStyle w:val="Hyperlink"/>
                <w:rFonts w:ascii="Calibri" w:hAnsi="Calibri"/>
                <w:color w:val="000000" w:themeColor="text1"/>
                <w:u w:val="none"/>
              </w:rPr>
              <w:t>5</w:t>
            </w:r>
          </w:p>
        </w:tc>
        <w:tc>
          <w:tcPr>
            <w:tcW w:w="1323" w:type="dxa"/>
            <w:shd w:val="clear" w:color="auto" w:fill="auto"/>
          </w:tcPr>
          <w:p w14:paraId="3F07889B" w14:textId="6F944295" w:rsidR="00BE2BFC" w:rsidRPr="000711B7" w:rsidRDefault="00BE2BFC" w:rsidP="00BE2BFC">
            <w:pPr>
              <w:pStyle w:val="Tablewriting"/>
              <w:jc w:val="center"/>
              <w:rPr>
                <w:rStyle w:val="Hyperlink"/>
                <w:rFonts w:ascii="Calibri" w:hAnsi="Calibri"/>
                <w:color w:val="000000" w:themeColor="text1"/>
                <w:u w:val="none"/>
              </w:rPr>
            </w:pPr>
            <w:r w:rsidRPr="000711B7">
              <w:rPr>
                <w:rStyle w:val="Hyperlink"/>
                <w:rFonts w:ascii="Calibri" w:hAnsi="Calibri"/>
                <w:color w:val="000000" w:themeColor="text1"/>
                <w:u w:val="none"/>
              </w:rPr>
              <w:t>$1,558.76</w:t>
            </w:r>
          </w:p>
        </w:tc>
        <w:tc>
          <w:tcPr>
            <w:tcW w:w="2104" w:type="dxa"/>
            <w:shd w:val="clear" w:color="auto" w:fill="auto"/>
          </w:tcPr>
          <w:p w14:paraId="717E483B" w14:textId="77777777" w:rsidR="00D273F2" w:rsidRDefault="00D273F2" w:rsidP="00D273F2">
            <w:pPr>
              <w:pStyle w:val="Tablewriting"/>
              <w:rPr>
                <w:rStyle w:val="Hyperlink"/>
                <w:rFonts w:ascii="Calibri" w:hAnsi="Calibri"/>
                <w:color w:val="000000" w:themeColor="text1"/>
                <w:u w:val="none"/>
              </w:rPr>
            </w:pPr>
            <w:proofErr w:type="spellStart"/>
            <w:r w:rsidRPr="000711B7">
              <w:rPr>
                <w:rStyle w:val="Hyperlink"/>
                <w:rFonts w:ascii="Calibri" w:hAnsi="Calibri"/>
                <w:color w:val="000000" w:themeColor="text1"/>
                <w:u w:val="none"/>
              </w:rPr>
              <w:t>Revolade</w:t>
            </w:r>
            <w:proofErr w:type="spellEnd"/>
          </w:p>
          <w:p w14:paraId="1F108B5C" w14:textId="14A5E09E" w:rsidR="00BE2BFC" w:rsidRPr="000711B7" w:rsidRDefault="00D273F2" w:rsidP="00D273F2">
            <w:pPr>
              <w:pStyle w:val="Tablewriting"/>
              <w:rPr>
                <w:rStyle w:val="Hyperlink"/>
                <w:rFonts w:ascii="Calibri" w:hAnsi="Calibri"/>
                <w:color w:val="000000" w:themeColor="text1"/>
                <w:u w:val="none"/>
              </w:rPr>
            </w:pPr>
            <w:r w:rsidRPr="000711B7">
              <w:rPr>
                <w:rStyle w:val="Hyperlink"/>
                <w:rFonts w:ascii="Calibri" w:hAnsi="Calibri"/>
                <w:color w:val="000000" w:themeColor="text1"/>
                <w:u w:val="none"/>
              </w:rPr>
              <w:t xml:space="preserve"> (</w:t>
            </w:r>
            <w:r w:rsidRPr="00993BE1">
              <w:rPr>
                <w:rFonts w:cstheme="minorBidi"/>
                <w:color w:val="auto"/>
              </w:rPr>
              <w:t>Novartis Pharmaceuticals Australia Pty Limited</w:t>
            </w:r>
            <w:r w:rsidRPr="000711B7">
              <w:rPr>
                <w:rStyle w:val="Hyperlink"/>
                <w:rFonts w:ascii="Calibri" w:hAnsi="Calibri"/>
                <w:color w:val="000000" w:themeColor="text1"/>
                <w:u w:val="none"/>
              </w:rPr>
              <w:t>)</w:t>
            </w:r>
          </w:p>
        </w:tc>
      </w:tr>
      <w:tr w:rsidR="00BE2BFC" w:rsidRPr="00A35800" w14:paraId="20DE637A" w14:textId="77777777" w:rsidTr="002400A2">
        <w:trPr>
          <w:trHeight w:val="546"/>
        </w:trPr>
        <w:tc>
          <w:tcPr>
            <w:tcW w:w="969" w:type="dxa"/>
            <w:shd w:val="clear" w:color="auto" w:fill="auto"/>
          </w:tcPr>
          <w:p w14:paraId="6BB175E5" w14:textId="77777777" w:rsidR="00BE2BFC" w:rsidRDefault="00AA2EDA" w:rsidP="00BE2BFC">
            <w:pPr>
              <w:pStyle w:val="Tablewriting"/>
              <w:jc w:val="center"/>
              <w:rPr>
                <w:rStyle w:val="Hyperlink"/>
                <w:rFonts w:ascii="Calibri" w:hAnsi="Calibri"/>
                <w:color w:val="000000" w:themeColor="text1"/>
                <w:u w:val="none"/>
              </w:rPr>
            </w:pPr>
            <w:hyperlink r:id="rId18" w:tooltip="5826p" w:history="1">
              <w:r w:rsidR="00BE2BFC" w:rsidRPr="000711B7">
                <w:rPr>
                  <w:rStyle w:val="Hyperlink"/>
                  <w:rFonts w:ascii="Calibri" w:hAnsi="Calibri"/>
                  <w:color w:val="000000" w:themeColor="text1"/>
                  <w:u w:val="none"/>
                </w:rPr>
                <w:t>5826P</w:t>
              </w:r>
            </w:hyperlink>
          </w:p>
          <w:p w14:paraId="31BFD09B" w14:textId="1204B241" w:rsidR="005751AE" w:rsidRPr="000711B7" w:rsidRDefault="005751AE" w:rsidP="00BE2BFC">
            <w:pPr>
              <w:pStyle w:val="Tablewriting"/>
              <w:jc w:val="center"/>
              <w:rPr>
                <w:rStyle w:val="Hyperlink"/>
                <w:rFonts w:ascii="Calibri" w:hAnsi="Calibri"/>
                <w:color w:val="000000" w:themeColor="text1"/>
                <w:u w:val="none"/>
              </w:rPr>
            </w:pPr>
            <w:r>
              <w:rPr>
                <w:rStyle w:val="Hyperlink"/>
                <w:rFonts w:ascii="Calibri" w:hAnsi="Calibri"/>
                <w:color w:val="000000" w:themeColor="text1"/>
                <w:u w:val="none"/>
              </w:rPr>
              <w:t>(Public)</w:t>
            </w:r>
          </w:p>
        </w:tc>
        <w:tc>
          <w:tcPr>
            <w:tcW w:w="2400" w:type="dxa"/>
            <w:shd w:val="clear" w:color="auto" w:fill="auto"/>
          </w:tcPr>
          <w:p w14:paraId="26B28F18" w14:textId="46FBEE28" w:rsidR="00BE2BFC" w:rsidRPr="000711B7" w:rsidRDefault="00BE2BFC" w:rsidP="00BE2BFC">
            <w:pPr>
              <w:pStyle w:val="Tablewriting"/>
              <w:rPr>
                <w:rStyle w:val="Hyperlink"/>
                <w:rFonts w:ascii="Calibri" w:hAnsi="Calibri"/>
                <w:color w:val="000000" w:themeColor="text1"/>
                <w:u w:val="none"/>
              </w:rPr>
            </w:pPr>
            <w:proofErr w:type="spellStart"/>
            <w:r w:rsidRPr="000711B7">
              <w:rPr>
                <w:rStyle w:val="Hyperlink"/>
                <w:rFonts w:ascii="Calibri" w:hAnsi="Calibri"/>
                <w:color w:val="000000" w:themeColor="text1"/>
                <w:u w:val="none"/>
              </w:rPr>
              <w:t>Eltrombopag</w:t>
            </w:r>
            <w:proofErr w:type="spellEnd"/>
            <w:r w:rsidRPr="000711B7">
              <w:rPr>
                <w:rStyle w:val="Hyperlink"/>
                <w:rFonts w:ascii="Calibri" w:hAnsi="Calibri"/>
                <w:color w:val="000000" w:themeColor="text1"/>
                <w:u w:val="none"/>
              </w:rPr>
              <w:t xml:space="preserve"> 50 mg tablet, 28</w:t>
            </w:r>
          </w:p>
        </w:tc>
        <w:tc>
          <w:tcPr>
            <w:tcW w:w="1417" w:type="dxa"/>
            <w:shd w:val="clear" w:color="auto" w:fill="auto"/>
          </w:tcPr>
          <w:p w14:paraId="2B285BD2" w14:textId="5CB325C5" w:rsidR="00BE2BFC" w:rsidRPr="000711B7" w:rsidRDefault="00BE2BFC" w:rsidP="00BE2BFC">
            <w:pPr>
              <w:pStyle w:val="Tablewriting"/>
              <w:jc w:val="center"/>
              <w:rPr>
                <w:rStyle w:val="Hyperlink"/>
                <w:rFonts w:ascii="Calibri" w:hAnsi="Calibri"/>
                <w:color w:val="000000" w:themeColor="text1"/>
                <w:u w:val="none"/>
              </w:rPr>
            </w:pPr>
            <w:r w:rsidRPr="000711B7">
              <w:rPr>
                <w:rStyle w:val="Hyperlink"/>
                <w:rFonts w:ascii="Calibri" w:hAnsi="Calibri"/>
                <w:color w:val="000000" w:themeColor="text1"/>
                <w:u w:val="none"/>
              </w:rPr>
              <w:t>1/28</w:t>
            </w:r>
          </w:p>
        </w:tc>
        <w:tc>
          <w:tcPr>
            <w:tcW w:w="851" w:type="dxa"/>
            <w:shd w:val="clear" w:color="auto" w:fill="auto"/>
          </w:tcPr>
          <w:p w14:paraId="4657416F" w14:textId="5DAC1343" w:rsidR="00BE2BFC" w:rsidRPr="000711B7" w:rsidRDefault="00BE2BFC" w:rsidP="00BE2BFC">
            <w:pPr>
              <w:pStyle w:val="Tablewriting"/>
              <w:jc w:val="center"/>
              <w:rPr>
                <w:rStyle w:val="Hyperlink"/>
                <w:rFonts w:ascii="Calibri" w:hAnsi="Calibri"/>
                <w:color w:val="000000" w:themeColor="text1"/>
                <w:u w:val="none"/>
              </w:rPr>
            </w:pPr>
            <w:r w:rsidRPr="000711B7">
              <w:rPr>
                <w:rStyle w:val="Hyperlink"/>
                <w:rFonts w:ascii="Calibri" w:hAnsi="Calibri"/>
                <w:color w:val="000000" w:themeColor="text1"/>
                <w:u w:val="none"/>
              </w:rPr>
              <w:t>5</w:t>
            </w:r>
          </w:p>
        </w:tc>
        <w:tc>
          <w:tcPr>
            <w:tcW w:w="1323" w:type="dxa"/>
            <w:shd w:val="clear" w:color="auto" w:fill="auto"/>
          </w:tcPr>
          <w:p w14:paraId="1C76175E" w14:textId="25CB457E" w:rsidR="00BE2BFC" w:rsidRPr="000711B7" w:rsidRDefault="00BE2BFC" w:rsidP="00BE2BFC">
            <w:pPr>
              <w:pStyle w:val="Tablewriting"/>
              <w:jc w:val="center"/>
              <w:rPr>
                <w:rStyle w:val="Hyperlink"/>
                <w:rFonts w:ascii="Calibri" w:hAnsi="Calibri"/>
                <w:color w:val="000000" w:themeColor="text1"/>
                <w:u w:val="none"/>
              </w:rPr>
            </w:pPr>
            <w:r w:rsidRPr="000711B7">
              <w:rPr>
                <w:rStyle w:val="Hyperlink"/>
                <w:rFonts w:ascii="Calibri" w:hAnsi="Calibri"/>
                <w:color w:val="000000" w:themeColor="text1"/>
                <w:u w:val="none"/>
              </w:rPr>
              <w:t>$3,024.00</w:t>
            </w:r>
          </w:p>
        </w:tc>
        <w:tc>
          <w:tcPr>
            <w:tcW w:w="2104" w:type="dxa"/>
            <w:shd w:val="clear" w:color="auto" w:fill="auto"/>
          </w:tcPr>
          <w:p w14:paraId="2DA63BFE" w14:textId="77777777" w:rsidR="00D273F2" w:rsidRDefault="00D273F2" w:rsidP="00D273F2">
            <w:pPr>
              <w:pStyle w:val="Tablewriting"/>
              <w:rPr>
                <w:rStyle w:val="Hyperlink"/>
                <w:rFonts w:ascii="Calibri" w:hAnsi="Calibri"/>
                <w:color w:val="000000" w:themeColor="text1"/>
                <w:u w:val="none"/>
              </w:rPr>
            </w:pPr>
            <w:proofErr w:type="spellStart"/>
            <w:r w:rsidRPr="000711B7">
              <w:rPr>
                <w:rStyle w:val="Hyperlink"/>
                <w:rFonts w:ascii="Calibri" w:hAnsi="Calibri"/>
                <w:color w:val="000000" w:themeColor="text1"/>
                <w:u w:val="none"/>
              </w:rPr>
              <w:t>Revolade</w:t>
            </w:r>
            <w:proofErr w:type="spellEnd"/>
          </w:p>
          <w:p w14:paraId="796B3508" w14:textId="5D5847BA" w:rsidR="00BE2BFC" w:rsidRPr="000711B7" w:rsidRDefault="00D273F2" w:rsidP="00D273F2">
            <w:pPr>
              <w:pStyle w:val="Tablewriting"/>
              <w:rPr>
                <w:rStyle w:val="Hyperlink"/>
                <w:rFonts w:ascii="Calibri" w:hAnsi="Calibri"/>
                <w:color w:val="000000" w:themeColor="text1"/>
                <w:u w:val="none"/>
              </w:rPr>
            </w:pPr>
            <w:r w:rsidRPr="000711B7">
              <w:rPr>
                <w:rStyle w:val="Hyperlink"/>
                <w:rFonts w:ascii="Calibri" w:hAnsi="Calibri"/>
                <w:color w:val="000000" w:themeColor="text1"/>
                <w:u w:val="none"/>
              </w:rPr>
              <w:t xml:space="preserve"> (</w:t>
            </w:r>
            <w:r w:rsidRPr="00993BE1">
              <w:rPr>
                <w:rFonts w:cstheme="minorBidi"/>
                <w:color w:val="auto"/>
              </w:rPr>
              <w:t>Novartis Pharmaceuticals Australia Pty Limited</w:t>
            </w:r>
            <w:r w:rsidRPr="000711B7">
              <w:rPr>
                <w:rStyle w:val="Hyperlink"/>
                <w:rFonts w:ascii="Calibri" w:hAnsi="Calibri"/>
                <w:color w:val="000000" w:themeColor="text1"/>
                <w:u w:val="none"/>
              </w:rPr>
              <w:t>)</w:t>
            </w:r>
          </w:p>
        </w:tc>
      </w:tr>
      <w:tr w:rsidR="00BE2BFC" w:rsidRPr="00A35800" w14:paraId="22D332F3" w14:textId="77777777" w:rsidTr="002400A2">
        <w:trPr>
          <w:trHeight w:val="546"/>
        </w:trPr>
        <w:tc>
          <w:tcPr>
            <w:tcW w:w="969" w:type="dxa"/>
            <w:shd w:val="clear" w:color="auto" w:fill="auto"/>
          </w:tcPr>
          <w:p w14:paraId="1300D897" w14:textId="77777777" w:rsidR="00BE2BFC" w:rsidRDefault="00AA2EDA" w:rsidP="00BE2BFC">
            <w:pPr>
              <w:pStyle w:val="Tablewriting"/>
              <w:jc w:val="center"/>
              <w:rPr>
                <w:rStyle w:val="Hyperlink"/>
                <w:rFonts w:ascii="Calibri" w:hAnsi="Calibri"/>
                <w:color w:val="000000" w:themeColor="text1"/>
                <w:u w:val="none"/>
              </w:rPr>
            </w:pPr>
            <w:hyperlink r:id="rId19" w:tooltip="5828r" w:history="1">
              <w:r w:rsidR="00BE2BFC" w:rsidRPr="000711B7">
                <w:rPr>
                  <w:rStyle w:val="Hyperlink"/>
                  <w:rFonts w:ascii="Calibri" w:hAnsi="Calibri"/>
                  <w:color w:val="000000" w:themeColor="text1"/>
                  <w:u w:val="none"/>
                </w:rPr>
                <w:t>5828R</w:t>
              </w:r>
            </w:hyperlink>
          </w:p>
          <w:p w14:paraId="0E9B04A2" w14:textId="2281CCDC" w:rsidR="005751AE" w:rsidRPr="000711B7" w:rsidRDefault="005751AE" w:rsidP="00BE2BFC">
            <w:pPr>
              <w:pStyle w:val="Tablewriting"/>
              <w:jc w:val="center"/>
              <w:rPr>
                <w:rStyle w:val="Hyperlink"/>
                <w:rFonts w:ascii="Calibri" w:hAnsi="Calibri"/>
                <w:color w:val="000000" w:themeColor="text1"/>
                <w:u w:val="none"/>
              </w:rPr>
            </w:pPr>
            <w:r>
              <w:rPr>
                <w:rStyle w:val="Hyperlink"/>
                <w:rFonts w:ascii="Calibri" w:hAnsi="Calibri"/>
                <w:color w:val="000000" w:themeColor="text1"/>
                <w:u w:val="none"/>
              </w:rPr>
              <w:t>(Private)</w:t>
            </w:r>
          </w:p>
        </w:tc>
        <w:tc>
          <w:tcPr>
            <w:tcW w:w="2400" w:type="dxa"/>
            <w:shd w:val="clear" w:color="auto" w:fill="auto"/>
          </w:tcPr>
          <w:p w14:paraId="6C0D6F00" w14:textId="09C0E19A" w:rsidR="00BE2BFC" w:rsidRPr="000711B7" w:rsidRDefault="00BE2BFC" w:rsidP="00BE2BFC">
            <w:pPr>
              <w:pStyle w:val="Tablewriting"/>
              <w:rPr>
                <w:rStyle w:val="Hyperlink"/>
                <w:rFonts w:ascii="Calibri" w:hAnsi="Calibri"/>
                <w:color w:val="000000" w:themeColor="text1"/>
                <w:u w:val="none"/>
              </w:rPr>
            </w:pPr>
            <w:proofErr w:type="spellStart"/>
            <w:r w:rsidRPr="000711B7">
              <w:rPr>
                <w:rStyle w:val="Hyperlink"/>
                <w:rFonts w:ascii="Calibri" w:hAnsi="Calibri"/>
                <w:color w:val="000000" w:themeColor="text1"/>
                <w:u w:val="none"/>
              </w:rPr>
              <w:t>Eltrombopag</w:t>
            </w:r>
            <w:proofErr w:type="spellEnd"/>
            <w:r w:rsidRPr="000711B7">
              <w:rPr>
                <w:rStyle w:val="Hyperlink"/>
                <w:rFonts w:ascii="Calibri" w:hAnsi="Calibri"/>
                <w:color w:val="000000" w:themeColor="text1"/>
                <w:u w:val="none"/>
              </w:rPr>
              <w:t xml:space="preserve"> 50 mg tablet, 28</w:t>
            </w:r>
          </w:p>
        </w:tc>
        <w:tc>
          <w:tcPr>
            <w:tcW w:w="1417" w:type="dxa"/>
            <w:shd w:val="clear" w:color="auto" w:fill="auto"/>
          </w:tcPr>
          <w:p w14:paraId="5A683D06" w14:textId="6A434F90" w:rsidR="00BE2BFC" w:rsidRPr="000711B7" w:rsidRDefault="00BE2BFC" w:rsidP="00BE2BFC">
            <w:pPr>
              <w:pStyle w:val="Tablewriting"/>
              <w:jc w:val="center"/>
              <w:rPr>
                <w:rStyle w:val="Hyperlink"/>
                <w:rFonts w:ascii="Calibri" w:hAnsi="Calibri"/>
                <w:color w:val="000000" w:themeColor="text1"/>
                <w:u w:val="none"/>
              </w:rPr>
            </w:pPr>
            <w:r w:rsidRPr="000711B7">
              <w:rPr>
                <w:rStyle w:val="Hyperlink"/>
                <w:rFonts w:ascii="Calibri" w:hAnsi="Calibri"/>
                <w:color w:val="000000" w:themeColor="text1"/>
                <w:u w:val="none"/>
              </w:rPr>
              <w:t>1/28</w:t>
            </w:r>
          </w:p>
        </w:tc>
        <w:tc>
          <w:tcPr>
            <w:tcW w:w="851" w:type="dxa"/>
            <w:shd w:val="clear" w:color="auto" w:fill="auto"/>
          </w:tcPr>
          <w:p w14:paraId="6BF9E9EA" w14:textId="2D6BE4E1" w:rsidR="00BE2BFC" w:rsidRPr="000711B7" w:rsidRDefault="00BE2BFC" w:rsidP="00BE2BFC">
            <w:pPr>
              <w:pStyle w:val="Tablewriting"/>
              <w:jc w:val="center"/>
              <w:rPr>
                <w:rStyle w:val="Hyperlink"/>
                <w:rFonts w:ascii="Calibri" w:hAnsi="Calibri"/>
                <w:color w:val="000000" w:themeColor="text1"/>
                <w:u w:val="none"/>
              </w:rPr>
            </w:pPr>
            <w:r w:rsidRPr="000711B7">
              <w:rPr>
                <w:rStyle w:val="Hyperlink"/>
                <w:rFonts w:ascii="Calibri" w:hAnsi="Calibri"/>
                <w:color w:val="000000" w:themeColor="text1"/>
                <w:u w:val="none"/>
              </w:rPr>
              <w:t>5</w:t>
            </w:r>
          </w:p>
        </w:tc>
        <w:tc>
          <w:tcPr>
            <w:tcW w:w="1323" w:type="dxa"/>
            <w:shd w:val="clear" w:color="auto" w:fill="auto"/>
          </w:tcPr>
          <w:p w14:paraId="6D8FB4EF" w14:textId="0235B3E4" w:rsidR="00BE2BFC" w:rsidRPr="000711B7" w:rsidRDefault="00BE2BFC" w:rsidP="00BE2BFC">
            <w:pPr>
              <w:pStyle w:val="Tablewriting"/>
              <w:jc w:val="center"/>
              <w:rPr>
                <w:rStyle w:val="Hyperlink"/>
                <w:rFonts w:ascii="Calibri" w:hAnsi="Calibri"/>
                <w:color w:val="000000" w:themeColor="text1"/>
                <w:u w:val="none"/>
              </w:rPr>
            </w:pPr>
            <w:r w:rsidRPr="000711B7">
              <w:rPr>
                <w:rStyle w:val="Hyperlink"/>
                <w:rFonts w:ascii="Calibri" w:hAnsi="Calibri"/>
                <w:color w:val="000000" w:themeColor="text1"/>
                <w:u w:val="none"/>
              </w:rPr>
              <w:t>$3,070.76</w:t>
            </w:r>
          </w:p>
        </w:tc>
        <w:tc>
          <w:tcPr>
            <w:tcW w:w="2104" w:type="dxa"/>
            <w:shd w:val="clear" w:color="auto" w:fill="auto"/>
          </w:tcPr>
          <w:p w14:paraId="77CFF702" w14:textId="77777777" w:rsidR="00D273F2" w:rsidRDefault="00D273F2" w:rsidP="00D273F2">
            <w:pPr>
              <w:pStyle w:val="Tablewriting"/>
              <w:rPr>
                <w:rStyle w:val="Hyperlink"/>
                <w:rFonts w:ascii="Calibri" w:hAnsi="Calibri"/>
                <w:color w:val="000000" w:themeColor="text1"/>
                <w:u w:val="none"/>
              </w:rPr>
            </w:pPr>
            <w:proofErr w:type="spellStart"/>
            <w:r w:rsidRPr="000711B7">
              <w:rPr>
                <w:rStyle w:val="Hyperlink"/>
                <w:rFonts w:ascii="Calibri" w:hAnsi="Calibri"/>
                <w:color w:val="000000" w:themeColor="text1"/>
                <w:u w:val="none"/>
              </w:rPr>
              <w:t>Revolade</w:t>
            </w:r>
            <w:proofErr w:type="spellEnd"/>
          </w:p>
          <w:p w14:paraId="3D1D29A3" w14:textId="0043F221" w:rsidR="00BE2BFC" w:rsidRPr="000711B7" w:rsidRDefault="00D273F2" w:rsidP="00D273F2">
            <w:pPr>
              <w:pStyle w:val="Tablewriting"/>
              <w:rPr>
                <w:rStyle w:val="Hyperlink"/>
                <w:rFonts w:ascii="Calibri" w:hAnsi="Calibri"/>
                <w:color w:val="000000" w:themeColor="text1"/>
                <w:u w:val="none"/>
              </w:rPr>
            </w:pPr>
            <w:r w:rsidRPr="000711B7">
              <w:rPr>
                <w:rStyle w:val="Hyperlink"/>
                <w:rFonts w:ascii="Calibri" w:hAnsi="Calibri"/>
                <w:color w:val="000000" w:themeColor="text1"/>
                <w:u w:val="none"/>
              </w:rPr>
              <w:t xml:space="preserve"> (</w:t>
            </w:r>
            <w:r w:rsidRPr="00993BE1">
              <w:rPr>
                <w:rFonts w:cstheme="minorBidi"/>
                <w:color w:val="auto"/>
              </w:rPr>
              <w:t>Novartis Pharmaceuticals Australia Pty Limited</w:t>
            </w:r>
            <w:r w:rsidRPr="000711B7">
              <w:rPr>
                <w:rStyle w:val="Hyperlink"/>
                <w:rFonts w:ascii="Calibri" w:hAnsi="Calibri"/>
                <w:color w:val="000000" w:themeColor="text1"/>
                <w:u w:val="none"/>
              </w:rPr>
              <w:t>)</w:t>
            </w:r>
          </w:p>
        </w:tc>
      </w:tr>
    </w:tbl>
    <w:p w14:paraId="59B56F3E" w14:textId="24371BD7" w:rsidR="008E7F44" w:rsidRDefault="00804BF3" w:rsidP="00BB1D3B">
      <w:pPr>
        <w:pStyle w:val="Notes"/>
      </w:pPr>
      <w:r w:rsidRPr="00A35800">
        <w:t xml:space="preserve">Source: </w:t>
      </w:r>
      <w:r w:rsidR="0029668A">
        <w:t xml:space="preserve">  </w:t>
      </w:r>
      <w:r w:rsidR="00375053">
        <w:t xml:space="preserve">Accessed on 3 March 2015 from the </w:t>
      </w:r>
      <w:hyperlink r:id="rId20" w:history="1">
        <w:r w:rsidR="00375053">
          <w:rPr>
            <w:rStyle w:val="Hyperlink"/>
          </w:rPr>
          <w:t>PBS website</w:t>
        </w:r>
      </w:hyperlink>
    </w:p>
    <w:p w14:paraId="17132CE1" w14:textId="28D4461B" w:rsidR="00DF663A" w:rsidRPr="005803CA" w:rsidRDefault="004C3186" w:rsidP="00EA0227">
      <w:pPr>
        <w:pStyle w:val="Heading2"/>
        <w:spacing w:before="0"/>
      </w:pPr>
      <w:r>
        <w:t>Restriction</w:t>
      </w:r>
      <w:r w:rsidR="000E7965">
        <w:t xml:space="preserve"> (Abridged)</w:t>
      </w:r>
    </w:p>
    <w:p w14:paraId="7533F4B5" w14:textId="1444F1E4" w:rsidR="00F23324" w:rsidRDefault="006038B9" w:rsidP="00F23324">
      <w:pPr>
        <w:spacing w:after="0"/>
        <w:rPr>
          <w:rFonts w:cs="Arial"/>
          <w:color w:val="222222"/>
        </w:rPr>
      </w:pPr>
      <w:proofErr w:type="spellStart"/>
      <w:r w:rsidRPr="006038B9">
        <w:t>Romiplostim</w:t>
      </w:r>
      <w:proofErr w:type="spellEnd"/>
      <w:r w:rsidRPr="006038B9">
        <w:t xml:space="preserve"> and </w:t>
      </w:r>
      <w:proofErr w:type="spellStart"/>
      <w:r w:rsidRPr="006038B9">
        <w:t>eltrombopag</w:t>
      </w:r>
      <w:proofErr w:type="spellEnd"/>
      <w:r w:rsidRPr="006038B9">
        <w:t xml:space="preserve"> are S100 Authority Required listings for </w:t>
      </w:r>
      <w:r w:rsidR="001F5A7C">
        <w:t xml:space="preserve">the treatment of </w:t>
      </w:r>
      <w:r w:rsidRPr="006038B9">
        <w:t xml:space="preserve">severe, chronic </w:t>
      </w:r>
      <w:r w:rsidR="00D5448E">
        <w:rPr>
          <w:rFonts w:cs="Arial"/>
          <w:color w:val="222222"/>
        </w:rPr>
        <w:t xml:space="preserve">thrombocytopenic </w:t>
      </w:r>
      <w:proofErr w:type="spellStart"/>
      <w:r w:rsidR="00D5448E">
        <w:rPr>
          <w:rFonts w:cs="Arial"/>
          <w:color w:val="222222"/>
        </w:rPr>
        <w:t>purpura</w:t>
      </w:r>
      <w:proofErr w:type="spellEnd"/>
      <w:r w:rsidRPr="006038B9">
        <w:rPr>
          <w:rFonts w:cs="Arial"/>
          <w:color w:val="222222"/>
        </w:rPr>
        <w:t xml:space="preserve"> </w:t>
      </w:r>
      <w:r w:rsidR="001F5A7C">
        <w:rPr>
          <w:rFonts w:cs="Arial"/>
          <w:color w:val="222222"/>
        </w:rPr>
        <w:t>in</w:t>
      </w:r>
      <w:r w:rsidR="00F23324">
        <w:rPr>
          <w:rFonts w:cs="Arial"/>
          <w:color w:val="222222"/>
        </w:rPr>
        <w:t>:</w:t>
      </w:r>
    </w:p>
    <w:p w14:paraId="094FE622" w14:textId="79D65CA0" w:rsidR="00832D35" w:rsidRPr="00832D35" w:rsidRDefault="00F23324" w:rsidP="00832D35">
      <w:pPr>
        <w:pStyle w:val="ListParagraph"/>
        <w:numPr>
          <w:ilvl w:val="0"/>
          <w:numId w:val="14"/>
        </w:numPr>
        <w:spacing w:after="0"/>
        <w:rPr>
          <w:rFonts w:cs="Arial"/>
          <w:color w:val="222222"/>
        </w:rPr>
      </w:pPr>
      <w:r w:rsidRPr="00832D35">
        <w:rPr>
          <w:rFonts w:cs="Arial"/>
          <w:color w:val="222222"/>
        </w:rPr>
        <w:t xml:space="preserve">splenectomised </w:t>
      </w:r>
      <w:r w:rsidR="001F5A7C" w:rsidRPr="00832D35">
        <w:rPr>
          <w:rFonts w:cs="Arial"/>
          <w:color w:val="222222"/>
        </w:rPr>
        <w:t xml:space="preserve">patients </w:t>
      </w:r>
      <w:r w:rsidR="006038B9" w:rsidRPr="00832D35">
        <w:rPr>
          <w:rFonts w:cs="Arial"/>
          <w:color w:val="222222"/>
        </w:rPr>
        <w:t xml:space="preserve">who have failed, or are intolerant to, prior corticosteroid </w:t>
      </w:r>
      <w:r w:rsidR="00757927" w:rsidRPr="00832D35">
        <w:rPr>
          <w:rFonts w:cs="Arial"/>
          <w:color w:val="222222"/>
        </w:rPr>
        <w:t>and</w:t>
      </w:r>
      <w:r w:rsidR="006038B9" w:rsidRPr="00832D35">
        <w:rPr>
          <w:rFonts w:cs="Arial"/>
          <w:color w:val="222222"/>
        </w:rPr>
        <w:t xml:space="preserve"> immunoglobulin therapy</w:t>
      </w:r>
      <w:r w:rsidR="00832D35" w:rsidRPr="00832D35">
        <w:rPr>
          <w:rFonts w:cs="Arial"/>
          <w:color w:val="222222"/>
        </w:rPr>
        <w:t>; and</w:t>
      </w:r>
    </w:p>
    <w:p w14:paraId="443E73EC" w14:textId="7AA0DB02" w:rsidR="00832D35" w:rsidRPr="00832D35" w:rsidRDefault="00832D35" w:rsidP="00832D35">
      <w:pPr>
        <w:pStyle w:val="ListParagraph"/>
        <w:numPr>
          <w:ilvl w:val="0"/>
          <w:numId w:val="14"/>
        </w:numPr>
        <w:spacing w:after="0"/>
        <w:rPr>
          <w:rFonts w:cs="Arial"/>
          <w:color w:val="222222"/>
        </w:rPr>
      </w:pPr>
      <w:r w:rsidRPr="00832D35">
        <w:rPr>
          <w:rFonts w:cs="Arial"/>
          <w:color w:val="222222"/>
        </w:rPr>
        <w:t xml:space="preserve"> </w:t>
      </w:r>
      <w:r w:rsidR="006038B9" w:rsidRPr="00832D35">
        <w:rPr>
          <w:rFonts w:cs="Arial"/>
          <w:color w:val="222222"/>
        </w:rPr>
        <w:t xml:space="preserve">non-splenectomised </w:t>
      </w:r>
      <w:r w:rsidRPr="00832D35">
        <w:rPr>
          <w:rFonts w:cs="Arial"/>
          <w:color w:val="222222"/>
        </w:rPr>
        <w:t>patients who have failed or who are intolerant to corticosteroid therapy (</w:t>
      </w:r>
      <w:r w:rsidRPr="00832D35">
        <w:rPr>
          <w:rFonts w:eastAsia="Times New Roman" w:cs="Arial"/>
          <w:color w:val="222222"/>
        </w:rPr>
        <w:t xml:space="preserve">at a dose equivalent to 0.5-2 mg/kg/day of prednisone for at least 4-6 weeks) and who have failed or who are intolerant to immunoglobulin therapy and in whom splenectomy is contraindicated for medical reasons. </w:t>
      </w:r>
    </w:p>
    <w:p w14:paraId="20C5DED1" w14:textId="77777777" w:rsidR="00832D35" w:rsidRPr="00832D35" w:rsidRDefault="00832D35" w:rsidP="00832D35">
      <w:pPr>
        <w:spacing w:after="0"/>
        <w:ind w:left="60"/>
        <w:rPr>
          <w:rFonts w:cs="Arial"/>
          <w:color w:val="222222"/>
        </w:rPr>
      </w:pPr>
    </w:p>
    <w:p w14:paraId="18D3D5E3" w14:textId="6EC02597" w:rsidR="009C513E" w:rsidRDefault="005B1393" w:rsidP="006038B9">
      <w:r>
        <w:t>The restrictions are for initial treatment, the first period of continuing treatment and subsequent conti</w:t>
      </w:r>
      <w:r w:rsidR="005C3404">
        <w:t>nuing treatment</w:t>
      </w:r>
      <w:r>
        <w:t xml:space="preserve">. </w:t>
      </w:r>
      <w:r w:rsidR="009C513E">
        <w:t>There is also a grandfather</w:t>
      </w:r>
      <w:r w:rsidR="000E7965">
        <w:t>ing</w:t>
      </w:r>
      <w:r w:rsidR="009C513E">
        <w:t xml:space="preserve"> restriction for those patients who initiated TRA therapy before the</w:t>
      </w:r>
      <w:r w:rsidR="000E7965">
        <w:t xml:space="preserve"> PBS</w:t>
      </w:r>
      <w:r w:rsidR="009C513E">
        <w:t xml:space="preserve"> listing of </w:t>
      </w:r>
      <w:proofErr w:type="spellStart"/>
      <w:r w:rsidR="009C513E">
        <w:t>romiplostim</w:t>
      </w:r>
      <w:proofErr w:type="spellEnd"/>
      <w:r w:rsidR="009C513E">
        <w:t xml:space="preserve"> and </w:t>
      </w:r>
      <w:proofErr w:type="spellStart"/>
      <w:r w:rsidR="009C513E">
        <w:t>eltrombopag</w:t>
      </w:r>
      <w:proofErr w:type="spellEnd"/>
      <w:r w:rsidR="007E11C7">
        <w:t>. For grandfathered patients to receive subsidised treatment, they must demonstrate that t</w:t>
      </w:r>
      <w:r w:rsidR="009C513E">
        <w:t xml:space="preserve">he </w:t>
      </w:r>
      <w:proofErr w:type="gramStart"/>
      <w:r w:rsidR="009C513E">
        <w:t>cr</w:t>
      </w:r>
      <w:r w:rsidR="007E11C7">
        <w:t>iteria for initial treatment was</w:t>
      </w:r>
      <w:proofErr w:type="gramEnd"/>
      <w:r w:rsidR="009C513E">
        <w:t xml:space="preserve"> met at the time </w:t>
      </w:r>
      <w:r w:rsidR="007E11C7">
        <w:t>they</w:t>
      </w:r>
      <w:r w:rsidR="009C513E">
        <w:t xml:space="preserve"> commenced</w:t>
      </w:r>
      <w:r w:rsidR="007E11C7">
        <w:t xml:space="preserve"> on </w:t>
      </w:r>
      <w:proofErr w:type="spellStart"/>
      <w:r w:rsidR="007E11C7">
        <w:t>romiplostim</w:t>
      </w:r>
      <w:proofErr w:type="spellEnd"/>
      <w:r w:rsidR="007E11C7">
        <w:t xml:space="preserve"> or </w:t>
      </w:r>
      <w:proofErr w:type="spellStart"/>
      <w:r w:rsidR="007E11C7">
        <w:t>eltrombopag</w:t>
      </w:r>
      <w:proofErr w:type="spellEnd"/>
      <w:r w:rsidR="009C513E">
        <w:t xml:space="preserve">. </w:t>
      </w:r>
    </w:p>
    <w:p w14:paraId="721C6B5B" w14:textId="11C127A1" w:rsidR="002E276C" w:rsidRDefault="00242D60" w:rsidP="006038B9">
      <w:r>
        <w:t xml:space="preserve">A written authority must be made for the initial prescription and one repeat </w:t>
      </w:r>
      <w:r w:rsidR="00B41091">
        <w:t>may be requested</w:t>
      </w:r>
      <w:r>
        <w:t xml:space="preserve">. </w:t>
      </w:r>
      <w:r w:rsidR="00B41091">
        <w:t>A written authority is also required for the first period of continuing treatment or for the re-initiation of interrupted treatment. Authority applications can be made by telephone during the initial period of dose titration and for subsequent courses of continuing treatment after the first period of continuing treatment.</w:t>
      </w:r>
      <w:r w:rsidR="007D5B42">
        <w:t xml:space="preserve"> </w:t>
      </w:r>
    </w:p>
    <w:p w14:paraId="54AD20E0" w14:textId="1B50AC86" w:rsidR="008A28A2" w:rsidRDefault="008A28A2" w:rsidP="00927837">
      <w:pPr>
        <w:spacing w:after="0"/>
      </w:pPr>
      <w:r>
        <w:t xml:space="preserve">To receive a first course of continuing treatment, or to restart interrupted treatment, </w:t>
      </w:r>
      <w:r w:rsidR="003F4D7B">
        <w:t xml:space="preserve">patients must satisfy the </w:t>
      </w:r>
      <w:r>
        <w:t xml:space="preserve">following </w:t>
      </w:r>
      <w:r w:rsidR="003F4D7B">
        <w:t>continuation criteria</w:t>
      </w:r>
      <w:r>
        <w:t>:</w:t>
      </w:r>
    </w:p>
    <w:p w14:paraId="04F29DA0" w14:textId="418F6A62" w:rsidR="008A28A2" w:rsidRDefault="00A13879" w:rsidP="00F70C90">
      <w:pPr>
        <w:pStyle w:val="ListParagraph"/>
        <w:numPr>
          <w:ilvl w:val="0"/>
          <w:numId w:val="10"/>
        </w:numPr>
        <w:spacing w:after="0"/>
      </w:pPr>
      <w:r>
        <w:lastRenderedPageBreak/>
        <w:t>the c</w:t>
      </w:r>
      <w:r w:rsidR="008A28A2">
        <w:t xml:space="preserve">ompletion of an initial course of treatment with PBS subsidised </w:t>
      </w:r>
      <w:proofErr w:type="spellStart"/>
      <w:r w:rsidR="008A28A2">
        <w:t>romiplostim</w:t>
      </w:r>
      <w:proofErr w:type="spellEnd"/>
      <w:r w:rsidR="008A28A2">
        <w:t xml:space="preserve"> or </w:t>
      </w:r>
      <w:proofErr w:type="spellStart"/>
      <w:r w:rsidR="008A28A2">
        <w:t>eltrombopag</w:t>
      </w:r>
      <w:proofErr w:type="spellEnd"/>
      <w:r w:rsidR="008A28A2">
        <w:t>; and</w:t>
      </w:r>
    </w:p>
    <w:p w14:paraId="207AC34E" w14:textId="35F10E37" w:rsidR="00F70C90" w:rsidRDefault="00A13879" w:rsidP="00F70C90">
      <w:pPr>
        <w:pStyle w:val="ListParagraph"/>
        <w:numPr>
          <w:ilvl w:val="0"/>
          <w:numId w:val="10"/>
        </w:numPr>
        <w:spacing w:after="0"/>
      </w:pPr>
      <w:r>
        <w:t>the d</w:t>
      </w:r>
      <w:r w:rsidR="008A28A2">
        <w:t>emonstration of a sustained platelet response defined as</w:t>
      </w:r>
      <w:r w:rsidR="00F70C90">
        <w:t>:</w:t>
      </w:r>
    </w:p>
    <w:p w14:paraId="4F855324" w14:textId="390BBB3D" w:rsidR="00997266" w:rsidRDefault="008A28A2" w:rsidP="00F70C90">
      <w:pPr>
        <w:pStyle w:val="ListParagraph"/>
        <w:numPr>
          <w:ilvl w:val="0"/>
          <w:numId w:val="11"/>
        </w:numPr>
        <w:spacing w:after="0"/>
      </w:pPr>
      <w:r>
        <w:t>the use of rescue medication up to one time during initial treatment</w:t>
      </w:r>
      <w:r w:rsidR="00997266">
        <w:t>,</w:t>
      </w:r>
      <w:r>
        <w:t xml:space="preserve"> and</w:t>
      </w:r>
    </w:p>
    <w:p w14:paraId="168D0BC1" w14:textId="2A1A97AE" w:rsidR="00F70C90" w:rsidRDefault="00997266" w:rsidP="00F70C90">
      <w:pPr>
        <w:pStyle w:val="ListParagraph"/>
        <w:numPr>
          <w:ilvl w:val="0"/>
          <w:numId w:val="11"/>
        </w:numPr>
        <w:spacing w:after="0"/>
      </w:pPr>
      <w:r>
        <w:t>a platelet count that is either:</w:t>
      </w:r>
    </w:p>
    <w:p w14:paraId="4830A006" w14:textId="5939AFEC" w:rsidR="00F70C90" w:rsidRDefault="008A28A2" w:rsidP="00F70C90">
      <w:pPr>
        <w:pStyle w:val="ListParagraph"/>
        <w:numPr>
          <w:ilvl w:val="0"/>
          <w:numId w:val="12"/>
        </w:numPr>
        <w:spacing w:after="0"/>
      </w:pPr>
      <w:r w:rsidRPr="00F70C90">
        <w:rPr>
          <w:rFonts w:cs="Symbol"/>
          <w:color w:val="000000"/>
        </w:rPr>
        <w:t>greater t</w:t>
      </w:r>
      <w:r w:rsidRPr="008A28A2">
        <w:t>han or equal to</w:t>
      </w:r>
      <w:r w:rsidRPr="008A28A2">
        <w:rPr>
          <w:rFonts w:hint="eastAsia"/>
        </w:rPr>
        <w:t xml:space="preserve"> </w:t>
      </w:r>
      <w:r w:rsidRPr="008A28A2">
        <w:t>50 x 10</w:t>
      </w:r>
      <w:r w:rsidRPr="00F70C90">
        <w:rPr>
          <w:vertAlign w:val="superscript"/>
        </w:rPr>
        <w:t>9</w:t>
      </w:r>
      <w:r w:rsidRPr="008A28A2">
        <w:t>/L on at least four occasions, each at least one week apart</w:t>
      </w:r>
      <w:r w:rsidR="00F70C90">
        <w:t>,</w:t>
      </w:r>
      <w:r w:rsidRPr="008A28A2">
        <w:t xml:space="preserve"> or</w:t>
      </w:r>
      <w:r w:rsidR="00F70C90">
        <w:t>:</w:t>
      </w:r>
    </w:p>
    <w:p w14:paraId="5D71D13C" w14:textId="151ED60A" w:rsidR="008A28A2" w:rsidRDefault="008A28A2" w:rsidP="00F70C90">
      <w:pPr>
        <w:pStyle w:val="ListParagraph"/>
        <w:numPr>
          <w:ilvl w:val="0"/>
          <w:numId w:val="12"/>
        </w:numPr>
        <w:spacing w:after="0"/>
      </w:pPr>
      <w:proofErr w:type="gramStart"/>
      <w:r w:rsidRPr="008A28A2">
        <w:t>more</w:t>
      </w:r>
      <w:proofErr w:type="gramEnd"/>
      <w:r w:rsidRPr="008A28A2">
        <w:t xml:space="preserve"> than 30 x 10</w:t>
      </w:r>
      <w:r w:rsidRPr="00F70C90">
        <w:rPr>
          <w:vertAlign w:val="superscript"/>
        </w:rPr>
        <w:t>9</w:t>
      </w:r>
      <w:r w:rsidRPr="008A28A2">
        <w:t>/L which is double the pre-treatment baseline platelet count on at least four occasions, each at least one week apart.</w:t>
      </w:r>
    </w:p>
    <w:p w14:paraId="3E921F56" w14:textId="6AAF6C72" w:rsidR="007D5B42" w:rsidRPr="006038B9" w:rsidRDefault="007D5B42" w:rsidP="00927837">
      <w:pPr>
        <w:spacing w:after="0"/>
      </w:pPr>
    </w:p>
    <w:p w14:paraId="7AF489F0" w14:textId="160468F2" w:rsidR="00A83231" w:rsidRDefault="00F15517" w:rsidP="00EA0227">
      <w:pPr>
        <w:autoSpaceDE w:val="0"/>
        <w:autoSpaceDN w:val="0"/>
        <w:adjustRightInd w:val="0"/>
      </w:pPr>
      <w:r>
        <w:t xml:space="preserve">During initial treatment, patients can trial either </w:t>
      </w:r>
      <w:proofErr w:type="spellStart"/>
      <w:r>
        <w:t>romiplostim</w:t>
      </w:r>
      <w:proofErr w:type="spellEnd"/>
      <w:r>
        <w:t xml:space="preserve"> and/or </w:t>
      </w:r>
      <w:proofErr w:type="spellStart"/>
      <w:r>
        <w:t>eltrombopag</w:t>
      </w:r>
      <w:proofErr w:type="spellEnd"/>
      <w:r>
        <w:t xml:space="preserve">. Patients who </w:t>
      </w:r>
      <w:r w:rsidR="000C17F6">
        <w:t xml:space="preserve">switch therapy and </w:t>
      </w:r>
      <w:r>
        <w:t>fail to respond are not permitted to receive further PBS subsidised treatment with these drugs.</w:t>
      </w:r>
    </w:p>
    <w:p w14:paraId="55AD6125" w14:textId="5D56A193" w:rsidR="00DF663A" w:rsidRDefault="00263A6A" w:rsidP="00EA0227">
      <w:pPr>
        <w:autoSpaceDE w:val="0"/>
        <w:autoSpaceDN w:val="0"/>
        <w:adjustRightInd w:val="0"/>
      </w:pPr>
      <w:r w:rsidRPr="00263A6A">
        <w:t xml:space="preserve">The full version of the restriction </w:t>
      </w:r>
      <w:r>
        <w:t xml:space="preserve">for </w:t>
      </w:r>
      <w:proofErr w:type="spellStart"/>
      <w:r>
        <w:t>romiplostim</w:t>
      </w:r>
      <w:proofErr w:type="spellEnd"/>
      <w:r>
        <w:t xml:space="preserve"> </w:t>
      </w:r>
      <w:r w:rsidRPr="00263A6A">
        <w:t xml:space="preserve">is available from the </w:t>
      </w:r>
      <w:hyperlink r:id="rId21" w:history="1">
        <w:r w:rsidRPr="003D578C">
          <w:rPr>
            <w:rStyle w:val="Hyperlink"/>
          </w:rPr>
          <w:t>PBS website</w:t>
        </w:r>
      </w:hyperlink>
      <w:r w:rsidR="00AA58A7">
        <w:t>.</w:t>
      </w:r>
    </w:p>
    <w:p w14:paraId="7F4CBC50" w14:textId="5F81704C" w:rsidR="00263A6A" w:rsidRDefault="00263A6A" w:rsidP="00EA0227">
      <w:r w:rsidRPr="00263A6A">
        <w:t xml:space="preserve">The full version of the restriction </w:t>
      </w:r>
      <w:r w:rsidR="00D72330">
        <w:t xml:space="preserve">for </w:t>
      </w:r>
      <w:proofErr w:type="spellStart"/>
      <w:r w:rsidR="00D72330">
        <w:t>eltrombopag</w:t>
      </w:r>
      <w:proofErr w:type="spellEnd"/>
      <w:r w:rsidR="00D72330">
        <w:t xml:space="preserve"> </w:t>
      </w:r>
      <w:r w:rsidRPr="00263A6A">
        <w:t xml:space="preserve">is available from the </w:t>
      </w:r>
      <w:hyperlink r:id="rId22" w:history="1">
        <w:r w:rsidRPr="003D578C">
          <w:rPr>
            <w:rStyle w:val="Hyperlink"/>
          </w:rPr>
          <w:t>PBS website</w:t>
        </w:r>
      </w:hyperlink>
      <w:r w:rsidR="00F42239">
        <w:t>.</w:t>
      </w:r>
    </w:p>
    <w:p w14:paraId="76A2DCB9" w14:textId="77777777" w:rsidR="00C375FA" w:rsidRPr="00DD21F7" w:rsidRDefault="00C375FA" w:rsidP="0005780E">
      <w:pPr>
        <w:pStyle w:val="Heading2"/>
      </w:pPr>
      <w:r w:rsidRPr="00DD21F7">
        <w:t>Date of listing on PBS</w:t>
      </w:r>
    </w:p>
    <w:p w14:paraId="3BF63E43" w14:textId="77777777" w:rsidR="00C375FA" w:rsidRPr="00816C31" w:rsidRDefault="00C375FA" w:rsidP="00C375FA">
      <w:pPr>
        <w:pStyle w:val="ListParagraph"/>
        <w:numPr>
          <w:ilvl w:val="0"/>
          <w:numId w:val="15"/>
        </w:numPr>
        <w:spacing w:after="0"/>
      </w:pPr>
      <w:proofErr w:type="spellStart"/>
      <w:r w:rsidRPr="00816C31">
        <w:t>Romiplostim</w:t>
      </w:r>
      <w:proofErr w:type="spellEnd"/>
      <w:r w:rsidRPr="00816C31">
        <w:t xml:space="preserve"> – 1 April 2011.</w:t>
      </w:r>
    </w:p>
    <w:p w14:paraId="63E6B4B6" w14:textId="4BB0B055" w:rsidR="00C10917" w:rsidRDefault="00C375FA" w:rsidP="00810588">
      <w:pPr>
        <w:pStyle w:val="ListParagraph"/>
        <w:numPr>
          <w:ilvl w:val="0"/>
          <w:numId w:val="15"/>
        </w:numPr>
        <w:spacing w:after="0"/>
      </w:pPr>
      <w:proofErr w:type="spellStart"/>
      <w:r>
        <w:t>Eltrombopag</w:t>
      </w:r>
      <w:proofErr w:type="spellEnd"/>
      <w:r>
        <w:t xml:space="preserve"> – 1 November 2011.</w:t>
      </w:r>
    </w:p>
    <w:p w14:paraId="383E312E" w14:textId="26028804" w:rsidR="00736041" w:rsidRPr="005E22C2" w:rsidRDefault="00C41246" w:rsidP="00810588">
      <w:pPr>
        <w:pStyle w:val="Heading3"/>
      </w:pPr>
      <w:r w:rsidRPr="005E22C2">
        <w:t xml:space="preserve">Relevant aspects of </w:t>
      </w:r>
      <w:r w:rsidR="00736041" w:rsidRPr="005E22C2">
        <w:t>PBAC consideration</w:t>
      </w:r>
    </w:p>
    <w:p w14:paraId="552AB9FF" w14:textId="30F61E14" w:rsidR="003E0414" w:rsidRDefault="003E0414" w:rsidP="003E0414">
      <w:pPr>
        <w:pStyle w:val="Heading2"/>
        <w:spacing w:before="0"/>
      </w:pPr>
      <w:proofErr w:type="spellStart"/>
      <w:r>
        <w:t>Romiplostim</w:t>
      </w:r>
      <w:proofErr w:type="spellEnd"/>
    </w:p>
    <w:p w14:paraId="56CBA2C8" w14:textId="65DC9CAE" w:rsidR="0073786E" w:rsidRDefault="0040349E" w:rsidP="00747429">
      <w:pPr>
        <w:spacing w:after="0"/>
      </w:pPr>
      <w:r w:rsidRPr="0040349E">
        <w:t xml:space="preserve">At the July 2009 meeting, the PBAC rejected a submission to list </w:t>
      </w:r>
      <w:proofErr w:type="spellStart"/>
      <w:r w:rsidRPr="0040349E">
        <w:t>romiplostim</w:t>
      </w:r>
      <w:proofErr w:type="spellEnd"/>
      <w:r w:rsidRPr="0040349E">
        <w:t xml:space="preserve"> for the initial and continuing treatment of adult patients with chronic immune (idiopathic) thrombocytopenic </w:t>
      </w:r>
      <w:proofErr w:type="spellStart"/>
      <w:r w:rsidRPr="0040349E">
        <w:t>purpura</w:t>
      </w:r>
      <w:proofErr w:type="spellEnd"/>
      <w:r w:rsidRPr="0040349E">
        <w:t xml:space="preserve"> who meet certain criteria because of the uncertain place in treatment for </w:t>
      </w:r>
      <w:proofErr w:type="spellStart"/>
      <w:r w:rsidRPr="0040349E">
        <w:t>romiplostim</w:t>
      </w:r>
      <w:proofErr w:type="spellEnd"/>
      <w:r w:rsidRPr="0040349E">
        <w:t>, uncertain clinical benefit and uncertain and unacceptable cost-effectiveness</w:t>
      </w:r>
      <w:r w:rsidR="008A3610">
        <w:t xml:space="preserve"> (Public Summary Document, </w:t>
      </w:r>
      <w:proofErr w:type="spellStart"/>
      <w:r w:rsidR="008A3610">
        <w:t>Romiplostim</w:t>
      </w:r>
      <w:proofErr w:type="spellEnd"/>
      <w:r w:rsidR="008A3610">
        <w:t xml:space="preserve">, July 2009). The Committee considered that </w:t>
      </w:r>
      <w:r w:rsidR="0073786E">
        <w:t xml:space="preserve">the target </w:t>
      </w:r>
      <w:r w:rsidR="00CF40A1">
        <w:t>patient</w:t>
      </w:r>
      <w:r w:rsidR="008A3610">
        <w:t xml:space="preserve"> groups </w:t>
      </w:r>
      <w:r w:rsidR="0073786E">
        <w:t xml:space="preserve">for treatment with </w:t>
      </w:r>
      <w:proofErr w:type="spellStart"/>
      <w:r w:rsidR="0073786E">
        <w:t>romiplostim</w:t>
      </w:r>
      <w:proofErr w:type="spellEnd"/>
      <w:r w:rsidR="008A3610">
        <w:t xml:space="preserve"> include</w:t>
      </w:r>
      <w:r w:rsidR="0073786E">
        <w:t>d:</w:t>
      </w:r>
    </w:p>
    <w:p w14:paraId="7ED299BD" w14:textId="65832CDB" w:rsidR="0040349E" w:rsidRDefault="008A3610" w:rsidP="00747429">
      <w:pPr>
        <w:pStyle w:val="ListParagraph"/>
        <w:numPr>
          <w:ilvl w:val="0"/>
          <w:numId w:val="13"/>
        </w:numPr>
        <w:spacing w:after="0"/>
      </w:pPr>
      <w:r>
        <w:t>those who have failed</w:t>
      </w:r>
      <w:r w:rsidR="0073786E">
        <w:t xml:space="preserve"> therapy with steroids or immunoglobulins, and the majority of these patients would be post splenectomy, or patients requiring high dose steroids to maintain post splenectomy responses; and</w:t>
      </w:r>
    </w:p>
    <w:p w14:paraId="30928795" w14:textId="25CD54D8" w:rsidR="0073786E" w:rsidRDefault="0073786E" w:rsidP="00747429">
      <w:pPr>
        <w:pStyle w:val="ListParagraph"/>
        <w:numPr>
          <w:ilvl w:val="0"/>
          <w:numId w:val="13"/>
        </w:numPr>
        <w:spacing w:after="0"/>
      </w:pPr>
      <w:proofErr w:type="gramStart"/>
      <w:r>
        <w:t>patients</w:t>
      </w:r>
      <w:proofErr w:type="gramEnd"/>
      <w:r>
        <w:t xml:space="preserve"> with a contraindication to splenectomy who are refractory to therapy with steroids or immunoglobulins.</w:t>
      </w:r>
    </w:p>
    <w:p w14:paraId="753153E6" w14:textId="77777777" w:rsidR="00ED100A" w:rsidRDefault="00ED100A" w:rsidP="00ED100A">
      <w:pPr>
        <w:spacing w:after="0"/>
      </w:pPr>
    </w:p>
    <w:p w14:paraId="27BF693C" w14:textId="7CF4BD8B" w:rsidR="001B7A68" w:rsidRDefault="00B14843" w:rsidP="0040349E">
      <w:r>
        <w:t>The PBAC noted that m</w:t>
      </w:r>
      <w:r w:rsidRPr="000A3604">
        <w:t>ost chronic severe ITP patients will have had</w:t>
      </w:r>
      <w:r>
        <w:t>,</w:t>
      </w:r>
      <w:r w:rsidRPr="000A3604">
        <w:t xml:space="preserve"> or been considered for</w:t>
      </w:r>
      <w:r>
        <w:t>,</w:t>
      </w:r>
      <w:r w:rsidRPr="000A3604">
        <w:t xml:space="preserve"> splenectomy</w:t>
      </w:r>
      <w:r>
        <w:t xml:space="preserve"> (</w:t>
      </w:r>
      <w:r w:rsidR="00C21242">
        <w:t xml:space="preserve">Public Summary Document, </w:t>
      </w:r>
      <w:proofErr w:type="spellStart"/>
      <w:r w:rsidR="00C21242">
        <w:t>Romiplostim</w:t>
      </w:r>
      <w:proofErr w:type="spellEnd"/>
      <w:r w:rsidR="00C21242">
        <w:t>, July 2009</w:t>
      </w:r>
      <w:r>
        <w:t>)</w:t>
      </w:r>
      <w:r w:rsidRPr="000A3604">
        <w:t xml:space="preserve">. </w:t>
      </w:r>
      <w:r>
        <w:t xml:space="preserve"> </w:t>
      </w:r>
      <w:r w:rsidR="00F87E96">
        <w:t xml:space="preserve">The Committee further noted that a main reason for non-elderly patients not having splenectomy was the availability of alternative drug therapy, such as </w:t>
      </w:r>
      <w:proofErr w:type="spellStart"/>
      <w:r w:rsidR="00F87E96">
        <w:t>romiplostim</w:t>
      </w:r>
      <w:proofErr w:type="spellEnd"/>
      <w:r w:rsidR="00F87E96">
        <w:t xml:space="preserve">, and </w:t>
      </w:r>
      <w:r w:rsidR="00CF40A1">
        <w:t xml:space="preserve">considered that it was uncertain whether patients with less severe disease should receive TRA therapy as the long term safety of these drugs was not established (Public Summary Document, </w:t>
      </w:r>
      <w:proofErr w:type="spellStart"/>
      <w:r w:rsidR="00CF40A1">
        <w:t>Romiplostim</w:t>
      </w:r>
      <w:proofErr w:type="spellEnd"/>
      <w:r w:rsidR="00CF40A1">
        <w:t>, July 2009)</w:t>
      </w:r>
      <w:r w:rsidR="00CF40A1" w:rsidRPr="000A3604">
        <w:t xml:space="preserve">. </w:t>
      </w:r>
      <w:r w:rsidR="00CF40A1">
        <w:t xml:space="preserve"> </w:t>
      </w:r>
      <w:r w:rsidR="00C21242">
        <w:t>The Committee considered that it would be difficult to define contraindication to splenectomy</w:t>
      </w:r>
      <w:r w:rsidR="00675903">
        <w:t xml:space="preserve"> and this would need to be managed through a risk sharing arrangement.</w:t>
      </w:r>
    </w:p>
    <w:p w14:paraId="663F60F6" w14:textId="00C5628F" w:rsidR="008353CA" w:rsidRDefault="008353CA" w:rsidP="0040349E">
      <w:r w:rsidRPr="008353CA">
        <w:lastRenderedPageBreak/>
        <w:t xml:space="preserve">For further details refer to the </w:t>
      </w:r>
      <w:hyperlink r:id="rId23" w:history="1">
        <w:r w:rsidRPr="00B46BD9">
          <w:rPr>
            <w:rStyle w:val="Hyperlink"/>
          </w:rPr>
          <w:t>Public Summary Document</w:t>
        </w:r>
      </w:hyperlink>
      <w:r w:rsidR="00E83CE2">
        <w:t xml:space="preserve"> </w:t>
      </w:r>
      <w:r w:rsidRPr="008353CA">
        <w:t xml:space="preserve">from the </w:t>
      </w:r>
      <w:r w:rsidR="00E83CE2">
        <w:t>July 2009</w:t>
      </w:r>
      <w:r w:rsidRPr="008353CA">
        <w:t xml:space="preserve"> PBAC meeting.</w:t>
      </w:r>
    </w:p>
    <w:p w14:paraId="785FD576" w14:textId="4AF21E57" w:rsidR="0040349E" w:rsidRDefault="007620B3" w:rsidP="0040349E">
      <w:proofErr w:type="spellStart"/>
      <w:r>
        <w:t>Romiplostim</w:t>
      </w:r>
      <w:proofErr w:type="spellEnd"/>
      <w:r>
        <w:t xml:space="preserve"> was recommended by PBAC in March 2010 to treat adult patients with chronic immune (idiopathic) thrombocytopenia (ITP) who met certain criteria. This was in the context of a high clinical need in a subgroup of ITP patients. </w:t>
      </w:r>
      <w:r w:rsidR="00B342F3">
        <w:t>For the previous submission considered in July 2009</w:t>
      </w:r>
      <w:r w:rsidR="000777D0">
        <w:t>,</w:t>
      </w:r>
      <w:r w:rsidR="00B342F3">
        <w:t xml:space="preserve"> the</w:t>
      </w:r>
      <w:r w:rsidR="00FD1CFD">
        <w:t xml:space="preserve"> Committee </w:t>
      </w:r>
      <w:r w:rsidR="00B342F3">
        <w:t xml:space="preserve">had </w:t>
      </w:r>
      <w:r w:rsidR="00FD1CFD">
        <w:t xml:space="preserve">determined that the </w:t>
      </w:r>
      <w:r w:rsidR="00DC6759">
        <w:t>nominated</w:t>
      </w:r>
      <w:r w:rsidR="00FD1CFD">
        <w:t xml:space="preserve"> comparator of placebo was relevant to patients who had failed splenectomy or where splenectomy was medically contraindicated. </w:t>
      </w:r>
      <w:r w:rsidR="00B342F3">
        <w:t xml:space="preserve">This was because the submission had not considered splenectomy as a comparator and there was an absence of data to justify the use of </w:t>
      </w:r>
      <w:proofErr w:type="spellStart"/>
      <w:r w:rsidR="00B342F3">
        <w:t>romiplostim</w:t>
      </w:r>
      <w:proofErr w:type="spellEnd"/>
      <w:r w:rsidR="00B342F3">
        <w:t xml:space="preserve"> instead of splenectomy (Public Summary Document, </w:t>
      </w:r>
      <w:proofErr w:type="spellStart"/>
      <w:r w:rsidR="00B342F3">
        <w:t>romiplostim</w:t>
      </w:r>
      <w:proofErr w:type="spellEnd"/>
      <w:r w:rsidR="00B342F3">
        <w:t xml:space="preserve">, March 2010). </w:t>
      </w:r>
      <w:r w:rsidR="000777D0">
        <w:t xml:space="preserve">While </w:t>
      </w:r>
      <w:proofErr w:type="spellStart"/>
      <w:r w:rsidR="000777D0">
        <w:t>romiplostim</w:t>
      </w:r>
      <w:proofErr w:type="spellEnd"/>
      <w:r w:rsidR="000777D0">
        <w:t xml:space="preserve"> was noted to</w:t>
      </w:r>
      <w:r w:rsidR="00CC4AA9">
        <w:t xml:space="preserve"> be less effective in spl</w:t>
      </w:r>
      <w:r w:rsidR="000777D0">
        <w:t>enectomised patients, PBAC considered</w:t>
      </w:r>
      <w:r w:rsidR="00CC4AA9">
        <w:t xml:space="preserve"> that this patient group had the highest unmet clinical need. </w:t>
      </w:r>
      <w:r w:rsidR="000777D0">
        <w:t>PBAC raised concerns about inappropriate use, particular</w:t>
      </w:r>
      <w:r w:rsidR="00814D49">
        <w:t xml:space="preserve">ly </w:t>
      </w:r>
      <w:r w:rsidR="000777D0">
        <w:t xml:space="preserve">in non-splenectomised patients. </w:t>
      </w:r>
    </w:p>
    <w:p w14:paraId="352A82F6" w14:textId="36FCFA1C" w:rsidR="00C65F81" w:rsidRDefault="00C65F81" w:rsidP="0040349E">
      <w:r w:rsidRPr="00C65F81">
        <w:t xml:space="preserve">For further details refer to the </w:t>
      </w:r>
      <w:hyperlink r:id="rId24" w:history="1">
        <w:r w:rsidRPr="00387E50">
          <w:rPr>
            <w:rStyle w:val="Hyperlink"/>
          </w:rPr>
          <w:t>Public Summary Document</w:t>
        </w:r>
      </w:hyperlink>
      <w:r w:rsidRPr="00C65F81">
        <w:t xml:space="preserve"> from the </w:t>
      </w:r>
      <w:r w:rsidR="00E013C2">
        <w:t>March 2010</w:t>
      </w:r>
      <w:r w:rsidRPr="00C65F81">
        <w:t xml:space="preserve"> PBAC meeting.</w:t>
      </w:r>
    </w:p>
    <w:p w14:paraId="439A87A7" w14:textId="6F21F996" w:rsidR="000764E4" w:rsidRDefault="001E3F52" w:rsidP="0040349E">
      <w:r>
        <w:t xml:space="preserve">The cost-effectiveness for </w:t>
      </w:r>
      <w:proofErr w:type="spellStart"/>
      <w:r>
        <w:t>romiplostim</w:t>
      </w:r>
      <w:proofErr w:type="spellEnd"/>
      <w:r>
        <w:t xml:space="preserve"> presented in the March 2010 submission was based on average extractable volumes. The TGA recommended </w:t>
      </w:r>
      <w:r w:rsidR="001E7933" w:rsidRPr="001E7933">
        <w:t>a change to the label, specifying</w:t>
      </w:r>
      <w:r w:rsidR="001E7933">
        <w:t xml:space="preserve"> </w:t>
      </w:r>
      <w:r>
        <w:t xml:space="preserve">minimum rather than average extractable volumes for </w:t>
      </w:r>
      <w:proofErr w:type="spellStart"/>
      <w:r>
        <w:t>romiplostim</w:t>
      </w:r>
      <w:proofErr w:type="spellEnd"/>
      <w:r>
        <w:t xml:space="preserve"> and the sponsor made a further submission to the July 2010 PBAC which presented a new cost-effectiveness analysis based on the minimum extractable volumes. The submission also sought to amend the restrictions that were recommended in March 2010 (Public Summary Document, </w:t>
      </w:r>
      <w:proofErr w:type="spellStart"/>
      <w:r>
        <w:t>romiplostim</w:t>
      </w:r>
      <w:proofErr w:type="spellEnd"/>
      <w:r>
        <w:t xml:space="preserve">, July 2010). </w:t>
      </w:r>
    </w:p>
    <w:p w14:paraId="219DC444" w14:textId="1A52D7A7" w:rsidR="001E3F52" w:rsidRDefault="00563797" w:rsidP="0040349E">
      <w:r>
        <w:t>The PBAC considered that the</w:t>
      </w:r>
      <w:r w:rsidR="004257D5">
        <w:t xml:space="preserve"> rev</w:t>
      </w:r>
      <w:r>
        <w:t>ised cost-effectiveness</w:t>
      </w:r>
      <w:r w:rsidR="004257D5">
        <w:t xml:space="preserve"> for splenectomised and non-splenectomised patients </w:t>
      </w:r>
      <w:r>
        <w:t>was acceptable given</w:t>
      </w:r>
      <w:r w:rsidR="0099142F">
        <w:t xml:space="preserve"> the high clinical need for this treatment. </w:t>
      </w:r>
      <w:r w:rsidR="001E3F52">
        <w:t xml:space="preserve"> </w:t>
      </w:r>
      <w:r w:rsidR="00D75BC7">
        <w:t>The proposed amendments to the restriction were not accepted</w:t>
      </w:r>
      <w:r w:rsidR="00E544BB">
        <w:t>.</w:t>
      </w:r>
      <w:r w:rsidR="006E2E24">
        <w:t xml:space="preserve"> The previous recommendation to list </w:t>
      </w:r>
      <w:proofErr w:type="spellStart"/>
      <w:r w:rsidR="006E2E24">
        <w:t>romiplostim</w:t>
      </w:r>
      <w:proofErr w:type="spellEnd"/>
      <w:r w:rsidR="006E2E24">
        <w:t xml:space="preserve"> </w:t>
      </w:r>
      <w:r w:rsidR="006E2E24" w:rsidRPr="00004457">
        <w:t xml:space="preserve">under Section 100 (Highly Specialised Drug) Public and Private Hospital Authority Required for treatment of adult patients with chronic immune (idiopathic) thrombocytopenia </w:t>
      </w:r>
      <w:proofErr w:type="spellStart"/>
      <w:r w:rsidR="006E2E24" w:rsidRPr="00004457">
        <w:t>purpura</w:t>
      </w:r>
      <w:proofErr w:type="spellEnd"/>
      <w:r w:rsidR="006E2E24" w:rsidRPr="00004457">
        <w:t xml:space="preserve"> (ITP) who meet certain criteria was confirmed on the basis of high but acceptable cost-effectiveness ratios.</w:t>
      </w:r>
    </w:p>
    <w:p w14:paraId="2166D4E6" w14:textId="2276EA5A" w:rsidR="003A7A61" w:rsidRPr="0040349E" w:rsidRDefault="003A7A61" w:rsidP="0040349E">
      <w:r w:rsidRPr="00C65F81">
        <w:t xml:space="preserve">For further details refer to the </w:t>
      </w:r>
      <w:hyperlink r:id="rId25" w:history="1">
        <w:r w:rsidRPr="00BB29BE">
          <w:rPr>
            <w:rStyle w:val="Hyperlink"/>
          </w:rPr>
          <w:t>Public Summary Document</w:t>
        </w:r>
      </w:hyperlink>
      <w:r w:rsidRPr="00C65F81">
        <w:t xml:space="preserve"> from the </w:t>
      </w:r>
      <w:r>
        <w:t>July 2010</w:t>
      </w:r>
      <w:r w:rsidRPr="00C65F81">
        <w:t xml:space="preserve"> PBAC meeting.</w:t>
      </w:r>
    </w:p>
    <w:p w14:paraId="7814F60D" w14:textId="714A608A" w:rsidR="005A3ED9" w:rsidRDefault="005A3ED9" w:rsidP="005A3ED9">
      <w:pPr>
        <w:pStyle w:val="Heading2"/>
        <w:spacing w:before="0"/>
      </w:pPr>
      <w:proofErr w:type="spellStart"/>
      <w:r>
        <w:t>Eltrombopag</w:t>
      </w:r>
      <w:proofErr w:type="spellEnd"/>
    </w:p>
    <w:p w14:paraId="6130AA1C" w14:textId="101726F0" w:rsidR="008800A2" w:rsidRDefault="00F67254" w:rsidP="00810588">
      <w:r w:rsidRPr="00905FC0">
        <w:t xml:space="preserve">The PBAC </w:t>
      </w:r>
      <w:r w:rsidR="00FE6E95" w:rsidRPr="00905FC0">
        <w:t xml:space="preserve">rejected the November 2010 submission for </w:t>
      </w:r>
      <w:proofErr w:type="spellStart"/>
      <w:r w:rsidR="00FE6E95" w:rsidRPr="00905FC0">
        <w:t>eltrombopag</w:t>
      </w:r>
      <w:proofErr w:type="spellEnd"/>
      <w:r w:rsidR="00FE6E95" w:rsidRPr="00905FC0">
        <w:t xml:space="preserve"> due to uncertain clinical effectiveness</w:t>
      </w:r>
      <w:r w:rsidR="009A7AD2" w:rsidRPr="00905FC0">
        <w:t xml:space="preserve"> in comparison with </w:t>
      </w:r>
      <w:proofErr w:type="spellStart"/>
      <w:r w:rsidR="009A7AD2" w:rsidRPr="00905FC0">
        <w:t>romiplostim</w:t>
      </w:r>
      <w:proofErr w:type="spellEnd"/>
      <w:r w:rsidR="009A7AD2" w:rsidRPr="00905FC0">
        <w:t xml:space="preserve"> (Public Summary Document, </w:t>
      </w:r>
      <w:proofErr w:type="spellStart"/>
      <w:r w:rsidR="009A7AD2" w:rsidRPr="00905FC0">
        <w:t>eltrombopag</w:t>
      </w:r>
      <w:proofErr w:type="spellEnd"/>
      <w:r w:rsidR="009A7AD2" w:rsidRPr="00905FC0">
        <w:t xml:space="preserve">, November 2010). </w:t>
      </w:r>
      <w:r w:rsidRPr="00905FC0">
        <w:t xml:space="preserve">An indirect comparison of </w:t>
      </w:r>
      <w:proofErr w:type="spellStart"/>
      <w:r w:rsidRPr="00905FC0">
        <w:t>eltrombopag</w:t>
      </w:r>
      <w:proofErr w:type="spellEnd"/>
      <w:r w:rsidRPr="00905FC0">
        <w:t xml:space="preserve"> and </w:t>
      </w:r>
      <w:proofErr w:type="spellStart"/>
      <w:r w:rsidRPr="00905FC0">
        <w:t>romiplostim</w:t>
      </w:r>
      <w:proofErr w:type="spellEnd"/>
      <w:r w:rsidRPr="00905FC0">
        <w:t xml:space="preserve"> was presented with p</w:t>
      </w:r>
      <w:r w:rsidR="00433515" w:rsidRPr="00905FC0">
        <w:t>lacebo as the common comparator. PBAC considered that the patient populations of the included trials</w:t>
      </w:r>
      <w:r w:rsidR="009941B3" w:rsidRPr="00905FC0">
        <w:t xml:space="preserve"> (RAISE </w:t>
      </w:r>
      <w:r w:rsidR="00BA5798" w:rsidRPr="00905FC0">
        <w:t xml:space="preserve">for </w:t>
      </w:r>
      <w:proofErr w:type="spellStart"/>
      <w:r w:rsidR="00BA5798" w:rsidRPr="00905FC0">
        <w:t>eltrombopag</w:t>
      </w:r>
      <w:proofErr w:type="spellEnd"/>
      <w:r w:rsidR="00BA5798" w:rsidRPr="00905FC0">
        <w:t xml:space="preserve"> </w:t>
      </w:r>
      <w:r w:rsidR="009941B3" w:rsidRPr="00905FC0">
        <w:t xml:space="preserve">and </w:t>
      </w:r>
      <w:r w:rsidR="007255F2" w:rsidRPr="00905FC0">
        <w:t xml:space="preserve">the </w:t>
      </w:r>
      <w:proofErr w:type="spellStart"/>
      <w:r w:rsidR="009941B3" w:rsidRPr="00905FC0">
        <w:t>Kuter</w:t>
      </w:r>
      <w:proofErr w:type="spellEnd"/>
      <w:r w:rsidR="009941B3" w:rsidRPr="00905FC0">
        <w:t xml:space="preserve"> 2008</w:t>
      </w:r>
      <w:r w:rsidR="007255F2" w:rsidRPr="00905FC0">
        <w:t xml:space="preserve"> splenectomised and non-splenectomised trials</w:t>
      </w:r>
      <w:r w:rsidR="00BA5798" w:rsidRPr="00905FC0">
        <w:t xml:space="preserve"> for </w:t>
      </w:r>
      <w:proofErr w:type="spellStart"/>
      <w:r w:rsidR="00BA5798" w:rsidRPr="00905FC0">
        <w:t>romiplostim</w:t>
      </w:r>
      <w:proofErr w:type="spellEnd"/>
      <w:r w:rsidR="009941B3" w:rsidRPr="00905FC0">
        <w:t>)</w:t>
      </w:r>
      <w:r w:rsidR="00433515" w:rsidRPr="00905FC0">
        <w:t xml:space="preserve"> were not representative of patients for whom PBS listing was sought (i.e. high risk ITP). </w:t>
      </w:r>
      <w:r w:rsidR="009941B3" w:rsidRPr="00905FC0">
        <w:t xml:space="preserve">The Committee was also concerned about the exchangeability of the </w:t>
      </w:r>
      <w:r w:rsidR="00BA5798" w:rsidRPr="00905FC0">
        <w:t xml:space="preserve">RAISE and </w:t>
      </w:r>
      <w:proofErr w:type="spellStart"/>
      <w:r w:rsidR="00BA5798" w:rsidRPr="00905FC0">
        <w:t>Kuter</w:t>
      </w:r>
      <w:proofErr w:type="spellEnd"/>
      <w:r w:rsidR="00BA5798" w:rsidRPr="00905FC0">
        <w:t xml:space="preserve"> trials as RAISE</w:t>
      </w:r>
      <w:r w:rsidR="00574FBF" w:rsidRPr="00905FC0">
        <w:t xml:space="preserve"> appeared to have milder ITP compared to the </w:t>
      </w:r>
      <w:proofErr w:type="spellStart"/>
      <w:r w:rsidR="00574FBF" w:rsidRPr="00905FC0">
        <w:t>romiplostim</w:t>
      </w:r>
      <w:proofErr w:type="spellEnd"/>
      <w:r w:rsidR="00574FBF" w:rsidRPr="00905FC0">
        <w:t xml:space="preserve"> (</w:t>
      </w:r>
      <w:proofErr w:type="spellStart"/>
      <w:r w:rsidR="00574FBF" w:rsidRPr="00905FC0">
        <w:t>Kuter</w:t>
      </w:r>
      <w:proofErr w:type="spellEnd"/>
      <w:r w:rsidR="00574FBF" w:rsidRPr="00905FC0">
        <w:t>) trials.</w:t>
      </w:r>
      <w:r w:rsidR="00CD315D" w:rsidRPr="00905FC0">
        <w:t xml:space="preserve"> </w:t>
      </w:r>
      <w:r w:rsidR="00876231" w:rsidRPr="00905FC0">
        <w:t xml:space="preserve">Further, a non-inferiority </w:t>
      </w:r>
      <w:r w:rsidR="00876231" w:rsidRPr="00905FC0">
        <w:lastRenderedPageBreak/>
        <w:t xml:space="preserve">margin was not defined. </w:t>
      </w:r>
      <w:r w:rsidR="00CD315D" w:rsidRPr="00905FC0">
        <w:t xml:space="preserve">As such, there was considerable uncertainty in the results from the indirect comparison, and the width of the confidence intervals indicated that this comparison was not adequately powered to test for non-inferiority between </w:t>
      </w:r>
      <w:proofErr w:type="spellStart"/>
      <w:r w:rsidR="00CD315D" w:rsidRPr="00905FC0">
        <w:t>eltrombopag</w:t>
      </w:r>
      <w:proofErr w:type="spellEnd"/>
      <w:r w:rsidR="00CD315D" w:rsidRPr="00905FC0">
        <w:t xml:space="preserve"> and </w:t>
      </w:r>
      <w:proofErr w:type="spellStart"/>
      <w:r w:rsidR="00CD315D" w:rsidRPr="00905FC0">
        <w:t>romiplostim</w:t>
      </w:r>
      <w:proofErr w:type="spellEnd"/>
      <w:r w:rsidR="00CD315D" w:rsidRPr="00905FC0">
        <w:t xml:space="preserve"> (Public Summary Document, </w:t>
      </w:r>
      <w:proofErr w:type="spellStart"/>
      <w:r w:rsidR="00CD315D" w:rsidRPr="00905FC0">
        <w:t>eltrombopag</w:t>
      </w:r>
      <w:proofErr w:type="spellEnd"/>
      <w:r w:rsidR="00CD315D" w:rsidRPr="00905FC0">
        <w:t xml:space="preserve">, November 2010). </w:t>
      </w:r>
      <w:r w:rsidR="00BF583A" w:rsidRPr="00905FC0">
        <w:t xml:space="preserve">There was a lack of long-term comparative safety data between the two TRA agents and the PBAC considered that it was possible that </w:t>
      </w:r>
      <w:proofErr w:type="spellStart"/>
      <w:r w:rsidR="00BF583A" w:rsidRPr="00905FC0">
        <w:t>eltrombopag</w:t>
      </w:r>
      <w:proofErr w:type="spellEnd"/>
      <w:r w:rsidR="00BF583A" w:rsidRPr="00905FC0">
        <w:t xml:space="preserve"> was less effective than </w:t>
      </w:r>
      <w:proofErr w:type="spellStart"/>
      <w:r w:rsidR="00BF583A" w:rsidRPr="00905FC0">
        <w:t>romiplostim</w:t>
      </w:r>
      <w:proofErr w:type="spellEnd"/>
      <w:r w:rsidR="005B1749">
        <w:t xml:space="preserve"> in non-splenectomised patients</w:t>
      </w:r>
      <w:r w:rsidR="00BF583A" w:rsidRPr="00905FC0">
        <w:t>.</w:t>
      </w:r>
    </w:p>
    <w:p w14:paraId="68F021F9" w14:textId="1314C9C8" w:rsidR="00855DEC" w:rsidRPr="00905FC0" w:rsidRDefault="00855DEC" w:rsidP="00810588">
      <w:r w:rsidRPr="00855DEC">
        <w:t xml:space="preserve">For further details refer to the </w:t>
      </w:r>
      <w:hyperlink r:id="rId26" w:history="1">
        <w:r w:rsidRPr="00C5620C">
          <w:rPr>
            <w:rStyle w:val="Hyperlink"/>
          </w:rPr>
          <w:t>Public Summary Document</w:t>
        </w:r>
      </w:hyperlink>
      <w:r w:rsidRPr="00855DEC">
        <w:t xml:space="preserve"> from the </w:t>
      </w:r>
      <w:r w:rsidR="00E36BDF">
        <w:t xml:space="preserve">November 2010 </w:t>
      </w:r>
      <w:r w:rsidRPr="00855DEC">
        <w:t>PBAC meeting</w:t>
      </w:r>
      <w:r>
        <w:t>.</w:t>
      </w:r>
    </w:p>
    <w:p w14:paraId="2DF7CB83" w14:textId="19995E85" w:rsidR="00412D48" w:rsidRDefault="00D27CF8" w:rsidP="00412D48">
      <w:proofErr w:type="spellStart"/>
      <w:r w:rsidRPr="00905FC0">
        <w:t>Eltrombopag</w:t>
      </w:r>
      <w:proofErr w:type="spellEnd"/>
      <w:r w:rsidRPr="00905FC0">
        <w:t xml:space="preserve"> was subsequently recommended in March 2011</w:t>
      </w:r>
      <w:r w:rsidR="008A7510" w:rsidRPr="00905FC0">
        <w:t xml:space="preserve"> and it was restricted to the same population as </w:t>
      </w:r>
      <w:proofErr w:type="spellStart"/>
      <w:r w:rsidR="008A7510" w:rsidRPr="00905FC0">
        <w:t>romiplostim</w:t>
      </w:r>
      <w:proofErr w:type="spellEnd"/>
      <w:r w:rsidRPr="00905FC0">
        <w:t xml:space="preserve">. The cost-effectiveness was considered to be acceptable at a revised price accounting for </w:t>
      </w:r>
      <w:proofErr w:type="spellStart"/>
      <w:r w:rsidRPr="00905FC0">
        <w:t>eltrombopag</w:t>
      </w:r>
      <w:proofErr w:type="spellEnd"/>
      <w:r w:rsidRPr="00905FC0">
        <w:t xml:space="preserve"> being less effective than </w:t>
      </w:r>
      <w:proofErr w:type="spellStart"/>
      <w:r w:rsidRPr="00905FC0">
        <w:t>romiplostim</w:t>
      </w:r>
      <w:proofErr w:type="spellEnd"/>
      <w:r w:rsidRPr="00905FC0">
        <w:t xml:space="preserve"> (Public Summary Document, </w:t>
      </w:r>
      <w:proofErr w:type="spellStart"/>
      <w:r w:rsidRPr="00905FC0">
        <w:t>eltrombopag</w:t>
      </w:r>
      <w:proofErr w:type="spellEnd"/>
      <w:r w:rsidRPr="00905FC0">
        <w:t>, March 2011</w:t>
      </w:r>
      <w:r w:rsidR="00D902D6" w:rsidRPr="00905FC0">
        <w:t>)</w:t>
      </w:r>
      <w:r w:rsidRPr="00905FC0">
        <w:t xml:space="preserve">. </w:t>
      </w:r>
      <w:r w:rsidR="00BD4B92" w:rsidRPr="00905FC0">
        <w:t xml:space="preserve">The PBAC recommended that switching between </w:t>
      </w:r>
      <w:proofErr w:type="spellStart"/>
      <w:r w:rsidR="00BD4B92" w:rsidRPr="00905FC0">
        <w:t>romiplostim</w:t>
      </w:r>
      <w:proofErr w:type="spellEnd"/>
      <w:r w:rsidR="00BD4B92" w:rsidRPr="00905FC0">
        <w:t xml:space="preserve"> and </w:t>
      </w:r>
      <w:proofErr w:type="spellStart"/>
      <w:r w:rsidR="00BD4B92" w:rsidRPr="00905FC0">
        <w:t>eltrombopag</w:t>
      </w:r>
      <w:proofErr w:type="spellEnd"/>
      <w:r w:rsidR="00BD4B92" w:rsidRPr="00905FC0">
        <w:t xml:space="preserve"> should be allowed within a 24 week period and that patients must achieve a response within this time in order to receive further PBS subsidised TRA therapy.</w:t>
      </w:r>
    </w:p>
    <w:p w14:paraId="3687DBE3" w14:textId="43B3641B" w:rsidR="00493893" w:rsidRPr="00905FC0" w:rsidRDefault="00493893" w:rsidP="00412D48">
      <w:r w:rsidRPr="00855DEC">
        <w:t xml:space="preserve">For further details refer to the </w:t>
      </w:r>
      <w:hyperlink r:id="rId27" w:history="1">
        <w:r w:rsidRPr="00E8090A">
          <w:rPr>
            <w:rStyle w:val="Hyperlink"/>
          </w:rPr>
          <w:t>Public Summary Document</w:t>
        </w:r>
      </w:hyperlink>
      <w:r w:rsidRPr="00855DEC">
        <w:t xml:space="preserve"> from the </w:t>
      </w:r>
      <w:r w:rsidR="00BC4E0E">
        <w:t xml:space="preserve">March 2011 </w:t>
      </w:r>
      <w:r w:rsidRPr="00855DEC">
        <w:t>PBAC meeting</w:t>
      </w:r>
      <w:r>
        <w:t>.</w:t>
      </w:r>
    </w:p>
    <w:p w14:paraId="76F1A13D" w14:textId="43612078" w:rsidR="00084041" w:rsidRPr="006D552E" w:rsidRDefault="00CC4F91" w:rsidP="00EC0A26">
      <w:r w:rsidRPr="006D552E">
        <w:t xml:space="preserve">At its November 2014 meeting the PBAC rejected a minor submission seeking to amend the continuation restriction to allow switching of TRA therapy for patients whose disease was stable.  </w:t>
      </w:r>
      <w:r w:rsidR="009344F7" w:rsidRPr="006D552E">
        <w:t xml:space="preserve">The sponsor argued that patients may incorrectly dose </w:t>
      </w:r>
      <w:proofErr w:type="spellStart"/>
      <w:r w:rsidR="009344F7" w:rsidRPr="006D552E">
        <w:t>romiplostim</w:t>
      </w:r>
      <w:proofErr w:type="spellEnd"/>
      <w:r w:rsidR="009344F7" w:rsidRPr="006D552E">
        <w:t xml:space="preserve"> if they have difficulty in self-administering the subcutaneous i</w:t>
      </w:r>
      <w:r w:rsidR="002D697E">
        <w:t xml:space="preserve">njection. As such, the sponsor </w:t>
      </w:r>
      <w:r w:rsidR="009344F7" w:rsidRPr="006D552E">
        <w:t xml:space="preserve">considered that allowing switching from </w:t>
      </w:r>
      <w:proofErr w:type="spellStart"/>
      <w:r w:rsidR="009344F7" w:rsidRPr="006D552E">
        <w:t>romiplostim</w:t>
      </w:r>
      <w:proofErr w:type="spellEnd"/>
      <w:r w:rsidR="009344F7" w:rsidRPr="006D552E">
        <w:t xml:space="preserve"> to </w:t>
      </w:r>
      <w:proofErr w:type="spellStart"/>
      <w:r w:rsidR="009344F7" w:rsidRPr="006D552E">
        <w:t>eltrombopag</w:t>
      </w:r>
      <w:proofErr w:type="spellEnd"/>
      <w:r w:rsidR="009344F7" w:rsidRPr="006D552E">
        <w:t xml:space="preserve"> in continuing patients may avoid unintentional side effects in users of </w:t>
      </w:r>
      <w:proofErr w:type="spellStart"/>
      <w:r w:rsidR="009344F7" w:rsidRPr="006D552E">
        <w:t>romiplostim</w:t>
      </w:r>
      <w:proofErr w:type="spellEnd"/>
      <w:r w:rsidR="009344F7" w:rsidRPr="006D552E">
        <w:t xml:space="preserve"> (Public Summary Document, </w:t>
      </w:r>
      <w:proofErr w:type="spellStart"/>
      <w:r w:rsidR="009344F7" w:rsidRPr="006D552E">
        <w:t>eltrombopag</w:t>
      </w:r>
      <w:proofErr w:type="spellEnd"/>
      <w:r w:rsidR="009344F7" w:rsidRPr="006D552E">
        <w:t xml:space="preserve">, November 2014). </w:t>
      </w:r>
      <w:r w:rsidR="0028048B" w:rsidRPr="006D552E">
        <w:t xml:space="preserve">PBAC was concerned about the possibility of retreatment with </w:t>
      </w:r>
      <w:proofErr w:type="spellStart"/>
      <w:r w:rsidR="0028048B" w:rsidRPr="006D552E">
        <w:t>eltrombopag</w:t>
      </w:r>
      <w:proofErr w:type="spellEnd"/>
      <w:r w:rsidR="0028048B" w:rsidRPr="006D552E">
        <w:t xml:space="preserve"> after failure to respond to thi</w:t>
      </w:r>
      <w:r w:rsidR="006733EA">
        <w:t>s drug during initial treatment</w:t>
      </w:r>
      <w:r w:rsidR="009344F7" w:rsidRPr="006D552E">
        <w:t xml:space="preserve">. </w:t>
      </w:r>
      <w:r w:rsidRPr="006D552E">
        <w:t xml:space="preserve">It was </w:t>
      </w:r>
      <w:r w:rsidR="001F653B" w:rsidRPr="006D552E">
        <w:t xml:space="preserve">also </w:t>
      </w:r>
      <w:r w:rsidRPr="006D552E">
        <w:t>unclear to the Committee what the impact of switching therapy for reasons other than failure would be on clinical outcomes and the financial risks of the proposed amendment were considered to be unknown</w:t>
      </w:r>
      <w:r w:rsidR="00124F00" w:rsidRPr="006D552E">
        <w:t xml:space="preserve">. </w:t>
      </w:r>
      <w:r w:rsidR="00084041" w:rsidRPr="006D552E">
        <w:t>The submission’s claim of cost savings was only considered</w:t>
      </w:r>
      <w:r w:rsidR="005F29BB" w:rsidRPr="006D552E">
        <w:t xml:space="preserve"> to be relevant if there was no</w:t>
      </w:r>
      <w:r w:rsidR="00084041" w:rsidRPr="006D552E">
        <w:t xml:space="preserve"> change in the overall use of TRA therapy. </w:t>
      </w:r>
    </w:p>
    <w:p w14:paraId="09D9B03F" w14:textId="080C5ABF" w:rsidR="00493893" w:rsidRDefault="00124F00" w:rsidP="00EC0A26">
      <w:r w:rsidRPr="00BA0C53">
        <w:t xml:space="preserve">PBAC considered that allowing switching in stable patients could grow the market as these patients </w:t>
      </w:r>
      <w:r w:rsidR="005F29BB" w:rsidRPr="00BA0C53">
        <w:t>could cease</w:t>
      </w:r>
      <w:r w:rsidRPr="00BA0C53">
        <w:t xml:space="preserve"> injectable </w:t>
      </w:r>
      <w:proofErr w:type="spellStart"/>
      <w:r w:rsidRPr="00BA0C53">
        <w:t>romiplostim</w:t>
      </w:r>
      <w:proofErr w:type="spellEnd"/>
      <w:r w:rsidRPr="00BA0C53">
        <w:t xml:space="preserve"> and opt to take oral </w:t>
      </w:r>
      <w:proofErr w:type="spellStart"/>
      <w:r w:rsidRPr="00BA0C53">
        <w:t>eltrombopag</w:t>
      </w:r>
      <w:proofErr w:type="spellEnd"/>
      <w:r w:rsidRPr="00BA0C53">
        <w:t xml:space="preserve"> rather than having a trial off therapy. The Committee noted that some of these of patients may only need episodic TRA therapy. </w:t>
      </w:r>
    </w:p>
    <w:p w14:paraId="7C0EF488" w14:textId="2DFBD4AA" w:rsidR="0083311D" w:rsidRDefault="000B3409" w:rsidP="00EC0A26">
      <w:r w:rsidRPr="000B3409">
        <w:t xml:space="preserve">For further details refer to the </w:t>
      </w:r>
      <w:hyperlink r:id="rId28" w:history="1">
        <w:r w:rsidRPr="006262FA">
          <w:rPr>
            <w:rStyle w:val="Hyperlink"/>
          </w:rPr>
          <w:t>Public Summary Document</w:t>
        </w:r>
      </w:hyperlink>
      <w:r w:rsidRPr="000B3409">
        <w:t xml:space="preserve"> from the </w:t>
      </w:r>
      <w:r>
        <w:t xml:space="preserve">November 2014 </w:t>
      </w:r>
      <w:r w:rsidRPr="000B3409">
        <w:t>PBAC meeting.</w:t>
      </w:r>
    </w:p>
    <w:p w14:paraId="6680DAF4" w14:textId="77777777" w:rsidR="0083311D" w:rsidRDefault="0083311D" w:rsidP="0083311D">
      <w:pPr>
        <w:pStyle w:val="Heading3"/>
      </w:pPr>
      <w:r>
        <w:t>Approach taken to estimate utilisation</w:t>
      </w:r>
    </w:p>
    <w:p w14:paraId="196B4036" w14:textId="77777777" w:rsidR="00E619DC" w:rsidRDefault="00E619DC" w:rsidP="00E619DC">
      <w:r>
        <w:t xml:space="preserve">An epidemiological approach was used to estimate the eligible population for </w:t>
      </w:r>
      <w:proofErr w:type="spellStart"/>
      <w:r>
        <w:t>romiplostim</w:t>
      </w:r>
      <w:proofErr w:type="spellEnd"/>
      <w:r>
        <w:t xml:space="preserve"> and </w:t>
      </w:r>
      <w:proofErr w:type="spellStart"/>
      <w:r>
        <w:t>eltrombopag</w:t>
      </w:r>
      <w:proofErr w:type="spellEnd"/>
      <w:r>
        <w:t>.  Following is a description of the stepwise method that was used to derive the eligible population, the patient numbers at each step are summarised in Table 4.</w:t>
      </w:r>
    </w:p>
    <w:p w14:paraId="428B0420" w14:textId="77777777" w:rsidR="00E619DC" w:rsidRDefault="00E619DC" w:rsidP="00E619DC">
      <w:r>
        <w:lastRenderedPageBreak/>
        <w:t>Consistent with the PBAC recommendation, the forward estimates are based on the prevalent population in the first year of listing and the incident population in the subsequent years of listing.</w:t>
      </w:r>
    </w:p>
    <w:p w14:paraId="6A2A156A" w14:textId="77777777" w:rsidR="00E619DC" w:rsidRDefault="00E619DC" w:rsidP="00E619DC">
      <w:r w:rsidRPr="006509E8">
        <w:t xml:space="preserve">The </w:t>
      </w:r>
      <w:r>
        <w:t xml:space="preserve">size of the </w:t>
      </w:r>
      <w:r w:rsidRPr="006509E8">
        <w:t>adult Australian population was based on projections provided by the Australian Bureau of Statistics (ABS, 2008).</w:t>
      </w:r>
      <w:r>
        <w:t xml:space="preserve">  The prevalence of ITP was assumed to be </w:t>
      </w:r>
      <w:r w:rsidRPr="002D0DEE">
        <w:rPr>
          <w:highlight w:val="black"/>
        </w:rPr>
        <w:t>XXXX</w:t>
      </w:r>
      <w:r>
        <w:t xml:space="preserve"> per 100,000 persons based on the mid-range of estimates from </w:t>
      </w:r>
      <w:r w:rsidRPr="002D0DEE">
        <w:rPr>
          <w:highlight w:val="black"/>
        </w:rPr>
        <w:t>XXXXXXXXXXXXXXXXXXXXXXXXX</w:t>
      </w:r>
      <w:r w:rsidRPr="00AD59A7">
        <w:t xml:space="preserve">. </w:t>
      </w:r>
      <w:r>
        <w:t xml:space="preserve"> An incidence estimate of </w:t>
      </w:r>
      <w:r w:rsidRPr="004C3BDD">
        <w:rPr>
          <w:highlight w:val="black"/>
        </w:rPr>
        <w:t>X</w:t>
      </w:r>
      <w:r>
        <w:t xml:space="preserve"> per 100,000 persons was used based on a review of the literature conducted for the July 2009 submission for </w:t>
      </w:r>
      <w:proofErr w:type="spellStart"/>
      <w:r>
        <w:t>romiplostim</w:t>
      </w:r>
      <w:proofErr w:type="spellEnd"/>
      <w:r>
        <w:t xml:space="preserve"> which reported a range of </w:t>
      </w:r>
      <w:r w:rsidRPr="004C3BDD">
        <w:rPr>
          <w:highlight w:val="black"/>
        </w:rPr>
        <w:t>XXXXX</w:t>
      </w:r>
      <w:r>
        <w:t xml:space="preserve"> per 100,000 persons.  T</w:t>
      </w:r>
      <w:r w:rsidRPr="00C70B94">
        <w:t>he proportion of chronic ITP patients were</w:t>
      </w:r>
      <w:r>
        <w:t xml:space="preserve"> estimated to be </w:t>
      </w:r>
      <w:r w:rsidRPr="008D4E84">
        <w:rPr>
          <w:highlight w:val="black"/>
        </w:rPr>
        <w:t>XX</w:t>
      </w:r>
      <w:r>
        <w:t xml:space="preserve">% based on </w:t>
      </w:r>
      <w:r w:rsidRPr="00776CA5">
        <w:t>a retrospective review</w:t>
      </w:r>
      <w:r>
        <w:t xml:space="preserve"> (Australian ITP Chart Audit)</w:t>
      </w:r>
      <w:r w:rsidRPr="00776CA5">
        <w:t xml:space="preserve"> </w:t>
      </w:r>
      <w:r>
        <w:t>of patients with chronic ITP (</w:t>
      </w:r>
      <w:r w:rsidRPr="00786BE5">
        <w:rPr>
          <w:highlight w:val="black"/>
        </w:rPr>
        <w:t>XX</w:t>
      </w:r>
      <w:r w:rsidRPr="00776CA5">
        <w:t>%)</w:t>
      </w:r>
      <w:r>
        <w:rPr>
          <w:rFonts w:ascii="Times New Roman" w:hAnsi="Times New Roman" w:cs="Times New Roman"/>
        </w:rPr>
        <w:t xml:space="preserve"> </w:t>
      </w:r>
      <w:r>
        <w:t>and a</w:t>
      </w:r>
      <w:r w:rsidRPr="00C70B94">
        <w:t xml:space="preserve"> survey of Australian haematologists</w:t>
      </w:r>
      <w:r>
        <w:t xml:space="preserve"> (</w:t>
      </w:r>
      <w:r w:rsidRPr="003E4131">
        <w:rPr>
          <w:highlight w:val="black"/>
        </w:rPr>
        <w:t>XXXXXXXXXXXXXXXXX</w:t>
      </w:r>
      <w:r w:rsidRPr="00C70B94">
        <w:t>%)</w:t>
      </w:r>
      <w:r>
        <w:t xml:space="preserve"> which were conducted for the July 2009 submission for </w:t>
      </w:r>
      <w:proofErr w:type="spellStart"/>
      <w:r>
        <w:t>romiplostim</w:t>
      </w:r>
      <w:proofErr w:type="spellEnd"/>
      <w:r w:rsidRPr="00C70B94">
        <w:t xml:space="preserve">. </w:t>
      </w:r>
      <w:r>
        <w:t xml:space="preserve">The proportion of patients with severe ITP was estimated to be </w:t>
      </w:r>
      <w:r w:rsidRPr="00FE215B">
        <w:rPr>
          <w:highlight w:val="black"/>
        </w:rPr>
        <w:t>XX</w:t>
      </w:r>
      <w:r>
        <w:t>% based on the results of the Australian ITP Chart Audit.</w:t>
      </w:r>
      <w:r w:rsidRPr="00776CA5">
        <w:t xml:space="preserve"> </w:t>
      </w:r>
      <w:r>
        <w:t xml:space="preserve">Of these, </w:t>
      </w:r>
      <w:r w:rsidRPr="00FE215B">
        <w:rPr>
          <w:highlight w:val="black"/>
        </w:rPr>
        <w:t>XX</w:t>
      </w:r>
      <w:r>
        <w:t xml:space="preserve">% </w:t>
      </w:r>
      <w:proofErr w:type="gramStart"/>
      <w:r>
        <w:t>were</w:t>
      </w:r>
      <w:proofErr w:type="gramEnd"/>
      <w:r>
        <w:t xml:space="preserve"> assumed to be splenectomised.</w:t>
      </w:r>
    </w:p>
    <w:p w14:paraId="6B8482E2" w14:textId="77777777" w:rsidR="00E619DC" w:rsidRDefault="00E619DC" w:rsidP="00E619DC">
      <w:r>
        <w:t>Based on the</w:t>
      </w:r>
      <w:r>
        <w:rPr>
          <w:i/>
        </w:rPr>
        <w:t xml:space="preserve"> </w:t>
      </w:r>
      <w:r w:rsidRPr="00872FAD">
        <w:rPr>
          <w:highlight w:val="black"/>
        </w:rPr>
        <w:t>XXXXXXXXXXXXXXXXXXXXXXXXXXXXXXXXXXXXX</w:t>
      </w:r>
      <w:r>
        <w:rPr>
          <w:i/>
        </w:rPr>
        <w:t>,</w:t>
      </w:r>
      <w:r w:rsidRPr="00114136">
        <w:t xml:space="preserve"> it</w:t>
      </w:r>
      <w:r>
        <w:t xml:space="preserve"> was assumed that </w:t>
      </w:r>
      <w:r w:rsidRPr="00995AE1">
        <w:rPr>
          <w:highlight w:val="black"/>
        </w:rPr>
        <w:t>XX</w:t>
      </w:r>
      <w:r>
        <w:t xml:space="preserve">% of patients would not respond to first-line therapy.  The proportion of patients who were refractory to splenectomy was estimated to be </w:t>
      </w:r>
      <w:r w:rsidRPr="00995AE1">
        <w:rPr>
          <w:highlight w:val="black"/>
        </w:rPr>
        <w:t>XX</w:t>
      </w:r>
      <w:r>
        <w:t xml:space="preserve">% from </w:t>
      </w:r>
      <w:r w:rsidRPr="00995AE1">
        <w:rPr>
          <w:highlight w:val="black"/>
        </w:rPr>
        <w:t>XXXXXXXXXXXXXXXXXXXX</w:t>
      </w:r>
      <w:r>
        <w:t>.</w:t>
      </w:r>
    </w:p>
    <w:p w14:paraId="559E1036" w14:textId="0B9A4885" w:rsidR="00E619DC" w:rsidRDefault="00E619DC" w:rsidP="00E619DC">
      <w:r>
        <w:t xml:space="preserve">Using the results from a commissioned clinician survey for the </w:t>
      </w:r>
      <w:proofErr w:type="spellStart"/>
      <w:r>
        <w:t>romiplostim</w:t>
      </w:r>
      <w:proofErr w:type="spellEnd"/>
      <w:r>
        <w:t xml:space="preserve"> submission (</w:t>
      </w:r>
      <w:r w:rsidRPr="00667CDC">
        <w:rPr>
          <w:highlight w:val="black"/>
        </w:rPr>
        <w:t>XXXXXXXXXXXXXXXXXXXXXXXXXXXXXXXXXXXXXXXXXXXX</w:t>
      </w:r>
      <w:r>
        <w:t xml:space="preserve">), it was assumed that </w:t>
      </w:r>
      <w:r w:rsidRPr="00067028">
        <w:rPr>
          <w:highlight w:val="black"/>
        </w:rPr>
        <w:t>XX</w:t>
      </w:r>
      <w:r>
        <w:t>% of the non-splenectomy population require a splenectomy but have a medical</w:t>
      </w:r>
      <w:r w:rsidR="00A70F2A">
        <w:t xml:space="preserve"> contraindication for surgery.</w:t>
      </w:r>
    </w:p>
    <w:p w14:paraId="2BE0C80D" w14:textId="77777777" w:rsidR="00E619DC" w:rsidRDefault="00E619DC" w:rsidP="00E619DC">
      <w:r>
        <w:t>Table 4 presents the stepped analysis to predict the eligible incident population for a TRA.</w:t>
      </w:r>
    </w:p>
    <w:p w14:paraId="69676BCB" w14:textId="77777777" w:rsidR="00E619DC" w:rsidRDefault="00E619DC" w:rsidP="00A70F2A">
      <w:pPr>
        <w:pStyle w:val="Tableheading"/>
        <w:jc w:val="left"/>
      </w:pPr>
      <w:r>
        <w:t>Table 4</w:t>
      </w:r>
      <w:r w:rsidRPr="001420B3">
        <w:t xml:space="preserve">: </w:t>
      </w:r>
      <w:r>
        <w:t>Summary of the modelled eligible patient population</w:t>
      </w:r>
    </w:p>
    <w:tbl>
      <w:tblPr>
        <w:tblW w:w="8703" w:type="dxa"/>
        <w:tblInd w:w="108" w:type="dxa"/>
        <w:tblLook w:val="04A0" w:firstRow="1" w:lastRow="0" w:firstColumn="1" w:lastColumn="0" w:noHBand="0" w:noVBand="1"/>
        <w:tblCaption w:val="Table 4"/>
        <w:tblDescription w:val="Summary of the approach to model the eligible patient population. The figures in this table have been redacted."/>
      </w:tblPr>
      <w:tblGrid>
        <w:gridCol w:w="2428"/>
        <w:gridCol w:w="1255"/>
        <w:gridCol w:w="1255"/>
        <w:gridCol w:w="1255"/>
        <w:gridCol w:w="1255"/>
        <w:gridCol w:w="1255"/>
      </w:tblGrid>
      <w:tr w:rsidR="00E619DC" w:rsidRPr="008F2643" w14:paraId="763B2536" w14:textId="77777777" w:rsidTr="003E25A0">
        <w:trPr>
          <w:trHeight w:val="255"/>
          <w:tblHeader/>
        </w:trPr>
        <w:tc>
          <w:tcPr>
            <w:tcW w:w="2428" w:type="dxa"/>
            <w:tcBorders>
              <w:top w:val="nil"/>
              <w:left w:val="nil"/>
              <w:bottom w:val="nil"/>
              <w:right w:val="nil"/>
            </w:tcBorders>
            <w:shd w:val="clear" w:color="auto" w:fill="auto"/>
            <w:hideMark/>
          </w:tcPr>
          <w:p w14:paraId="3F9F391E" w14:textId="77777777" w:rsidR="00E619DC" w:rsidRPr="001C2273" w:rsidRDefault="00E619DC" w:rsidP="003E25A0">
            <w:pPr>
              <w:spacing w:after="0"/>
              <w:rPr>
                <w:rFonts w:eastAsia="Times New Roman" w:cs="Arial"/>
                <w:sz w:val="20"/>
                <w:szCs w:val="20"/>
              </w:rPr>
            </w:pPr>
          </w:p>
        </w:tc>
        <w:tc>
          <w:tcPr>
            <w:tcW w:w="125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A5EFCBA" w14:textId="77777777" w:rsidR="00E619DC" w:rsidRPr="001C2273" w:rsidRDefault="00E619DC" w:rsidP="003E25A0">
            <w:pPr>
              <w:spacing w:after="0"/>
              <w:jc w:val="right"/>
              <w:rPr>
                <w:rFonts w:eastAsia="Times New Roman" w:cs="Arial"/>
                <w:b/>
                <w:bCs/>
                <w:sz w:val="20"/>
                <w:szCs w:val="20"/>
              </w:rPr>
            </w:pPr>
            <w:r w:rsidRPr="001C2273">
              <w:rPr>
                <w:rFonts w:eastAsia="Times New Roman" w:cs="Arial"/>
                <w:b/>
                <w:bCs/>
                <w:sz w:val="20"/>
                <w:szCs w:val="20"/>
              </w:rPr>
              <w:t>2011</w:t>
            </w:r>
          </w:p>
        </w:tc>
        <w:tc>
          <w:tcPr>
            <w:tcW w:w="1255" w:type="dxa"/>
            <w:tcBorders>
              <w:top w:val="single" w:sz="4" w:space="0" w:color="auto"/>
              <w:left w:val="nil"/>
              <w:bottom w:val="single" w:sz="4" w:space="0" w:color="auto"/>
              <w:right w:val="single" w:sz="4" w:space="0" w:color="auto"/>
            </w:tcBorders>
            <w:shd w:val="clear" w:color="auto" w:fill="BFBFBF" w:themeFill="background1" w:themeFillShade="BF"/>
            <w:hideMark/>
          </w:tcPr>
          <w:p w14:paraId="09125AB1" w14:textId="77777777" w:rsidR="00E619DC" w:rsidRPr="001C2273" w:rsidRDefault="00E619DC" w:rsidP="003E25A0">
            <w:pPr>
              <w:spacing w:after="0"/>
              <w:jc w:val="right"/>
              <w:rPr>
                <w:rFonts w:eastAsia="Times New Roman" w:cs="Arial"/>
                <w:b/>
                <w:bCs/>
                <w:sz w:val="20"/>
                <w:szCs w:val="20"/>
              </w:rPr>
            </w:pPr>
            <w:r w:rsidRPr="001C2273">
              <w:rPr>
                <w:rFonts w:eastAsia="Times New Roman" w:cs="Arial"/>
                <w:b/>
                <w:bCs/>
                <w:sz w:val="20"/>
                <w:szCs w:val="20"/>
              </w:rPr>
              <w:t>2012</w:t>
            </w:r>
          </w:p>
        </w:tc>
        <w:tc>
          <w:tcPr>
            <w:tcW w:w="1255" w:type="dxa"/>
            <w:tcBorders>
              <w:top w:val="single" w:sz="4" w:space="0" w:color="auto"/>
              <w:left w:val="nil"/>
              <w:bottom w:val="single" w:sz="4" w:space="0" w:color="auto"/>
              <w:right w:val="single" w:sz="4" w:space="0" w:color="auto"/>
            </w:tcBorders>
            <w:shd w:val="clear" w:color="auto" w:fill="BFBFBF" w:themeFill="background1" w:themeFillShade="BF"/>
            <w:hideMark/>
          </w:tcPr>
          <w:p w14:paraId="202DFA17" w14:textId="77777777" w:rsidR="00E619DC" w:rsidRPr="001C2273" w:rsidRDefault="00E619DC" w:rsidP="003E25A0">
            <w:pPr>
              <w:spacing w:after="0"/>
              <w:jc w:val="right"/>
              <w:rPr>
                <w:rFonts w:eastAsia="Times New Roman" w:cs="Arial"/>
                <w:b/>
                <w:bCs/>
                <w:sz w:val="20"/>
                <w:szCs w:val="20"/>
              </w:rPr>
            </w:pPr>
            <w:r w:rsidRPr="001C2273">
              <w:rPr>
                <w:rFonts w:eastAsia="Times New Roman" w:cs="Arial"/>
                <w:b/>
                <w:bCs/>
                <w:sz w:val="20"/>
                <w:szCs w:val="20"/>
              </w:rPr>
              <w:t>2013</w:t>
            </w:r>
          </w:p>
        </w:tc>
        <w:tc>
          <w:tcPr>
            <w:tcW w:w="1255" w:type="dxa"/>
            <w:tcBorders>
              <w:top w:val="single" w:sz="4" w:space="0" w:color="auto"/>
              <w:left w:val="nil"/>
              <w:bottom w:val="single" w:sz="4" w:space="0" w:color="auto"/>
              <w:right w:val="single" w:sz="4" w:space="0" w:color="auto"/>
            </w:tcBorders>
            <w:shd w:val="clear" w:color="auto" w:fill="BFBFBF" w:themeFill="background1" w:themeFillShade="BF"/>
            <w:hideMark/>
          </w:tcPr>
          <w:p w14:paraId="1EE00A44" w14:textId="77777777" w:rsidR="00E619DC" w:rsidRPr="001C2273" w:rsidRDefault="00E619DC" w:rsidP="003E25A0">
            <w:pPr>
              <w:spacing w:after="0"/>
              <w:jc w:val="right"/>
              <w:rPr>
                <w:rFonts w:eastAsia="Times New Roman" w:cs="Arial"/>
                <w:b/>
                <w:bCs/>
                <w:sz w:val="20"/>
                <w:szCs w:val="20"/>
              </w:rPr>
            </w:pPr>
            <w:r w:rsidRPr="001C2273">
              <w:rPr>
                <w:rFonts w:eastAsia="Times New Roman" w:cs="Arial"/>
                <w:b/>
                <w:bCs/>
                <w:sz w:val="20"/>
                <w:szCs w:val="20"/>
              </w:rPr>
              <w:t>2014</w:t>
            </w:r>
          </w:p>
        </w:tc>
        <w:tc>
          <w:tcPr>
            <w:tcW w:w="1255" w:type="dxa"/>
            <w:tcBorders>
              <w:top w:val="single" w:sz="4" w:space="0" w:color="auto"/>
              <w:left w:val="nil"/>
              <w:bottom w:val="single" w:sz="4" w:space="0" w:color="auto"/>
              <w:right w:val="single" w:sz="4" w:space="0" w:color="auto"/>
            </w:tcBorders>
            <w:shd w:val="clear" w:color="auto" w:fill="BFBFBF" w:themeFill="background1" w:themeFillShade="BF"/>
            <w:hideMark/>
          </w:tcPr>
          <w:p w14:paraId="13F6983D" w14:textId="77777777" w:rsidR="00E619DC" w:rsidRPr="001C2273" w:rsidRDefault="00E619DC" w:rsidP="003E25A0">
            <w:pPr>
              <w:spacing w:after="0"/>
              <w:jc w:val="right"/>
              <w:rPr>
                <w:rFonts w:eastAsia="Times New Roman" w:cs="Arial"/>
                <w:b/>
                <w:bCs/>
                <w:sz w:val="20"/>
                <w:szCs w:val="20"/>
              </w:rPr>
            </w:pPr>
            <w:r w:rsidRPr="001C2273">
              <w:rPr>
                <w:rFonts w:eastAsia="Times New Roman" w:cs="Arial"/>
                <w:b/>
                <w:bCs/>
                <w:sz w:val="20"/>
                <w:szCs w:val="20"/>
              </w:rPr>
              <w:t>2015</w:t>
            </w:r>
          </w:p>
        </w:tc>
      </w:tr>
      <w:tr w:rsidR="00E619DC" w:rsidRPr="008F2643" w14:paraId="24BE4CA2" w14:textId="77777777" w:rsidTr="003E25A0">
        <w:trPr>
          <w:trHeight w:val="723"/>
        </w:trPr>
        <w:tc>
          <w:tcPr>
            <w:tcW w:w="2428" w:type="dxa"/>
            <w:tcBorders>
              <w:top w:val="single" w:sz="4" w:space="0" w:color="auto"/>
              <w:left w:val="single" w:sz="4" w:space="0" w:color="auto"/>
              <w:bottom w:val="single" w:sz="4" w:space="0" w:color="auto"/>
              <w:right w:val="single" w:sz="4" w:space="0" w:color="auto"/>
            </w:tcBorders>
            <w:shd w:val="clear" w:color="auto" w:fill="auto"/>
            <w:hideMark/>
          </w:tcPr>
          <w:p w14:paraId="560F8CA4" w14:textId="77777777" w:rsidR="00E619DC" w:rsidRPr="001C2273" w:rsidRDefault="00E619DC" w:rsidP="003E25A0">
            <w:pPr>
              <w:spacing w:after="0"/>
              <w:rPr>
                <w:rFonts w:eastAsia="Times New Roman" w:cs="Arial"/>
                <w:sz w:val="20"/>
                <w:szCs w:val="20"/>
              </w:rPr>
            </w:pPr>
            <w:r w:rsidRPr="001C2273">
              <w:rPr>
                <w:rFonts w:eastAsia="Times New Roman" w:cs="Arial"/>
                <w:sz w:val="20"/>
                <w:szCs w:val="20"/>
              </w:rPr>
              <w:t>Relevant Australian population (ABS series B,18 years and older)</w:t>
            </w:r>
          </w:p>
        </w:tc>
        <w:tc>
          <w:tcPr>
            <w:tcW w:w="1255" w:type="dxa"/>
            <w:tcBorders>
              <w:top w:val="nil"/>
              <w:left w:val="nil"/>
              <w:bottom w:val="single" w:sz="4" w:space="0" w:color="auto"/>
              <w:right w:val="single" w:sz="4" w:space="0" w:color="auto"/>
            </w:tcBorders>
            <w:shd w:val="clear" w:color="auto" w:fill="auto"/>
            <w:hideMark/>
          </w:tcPr>
          <w:p w14:paraId="2D934B5E" w14:textId="77777777" w:rsidR="00E619DC" w:rsidRPr="00A9439E" w:rsidRDefault="00E619DC" w:rsidP="003E25A0">
            <w:pPr>
              <w:spacing w:after="0"/>
              <w:jc w:val="right"/>
              <w:rPr>
                <w:rFonts w:eastAsia="Times New Roman" w:cs="Arial"/>
                <w:sz w:val="20"/>
                <w:szCs w:val="20"/>
                <w:highlight w:val="black"/>
              </w:rPr>
            </w:pPr>
            <w:r w:rsidRPr="00A9439E">
              <w:rPr>
                <w:rFonts w:eastAsia="Times New Roman" w:cs="Arial"/>
                <w:sz w:val="20"/>
                <w:szCs w:val="20"/>
                <w:highlight w:val="black"/>
              </w:rPr>
              <w:t>XXXXXXXXXX</w:t>
            </w:r>
          </w:p>
        </w:tc>
        <w:tc>
          <w:tcPr>
            <w:tcW w:w="1255" w:type="dxa"/>
            <w:tcBorders>
              <w:top w:val="nil"/>
              <w:left w:val="nil"/>
              <w:bottom w:val="single" w:sz="4" w:space="0" w:color="auto"/>
              <w:right w:val="single" w:sz="4" w:space="0" w:color="auto"/>
            </w:tcBorders>
            <w:shd w:val="clear" w:color="auto" w:fill="auto"/>
            <w:hideMark/>
          </w:tcPr>
          <w:p w14:paraId="06BF1C2F" w14:textId="77777777" w:rsidR="00E619DC" w:rsidRPr="00A9439E" w:rsidRDefault="00E619DC" w:rsidP="003E25A0">
            <w:pPr>
              <w:spacing w:after="0"/>
              <w:jc w:val="right"/>
              <w:rPr>
                <w:rFonts w:eastAsia="Times New Roman" w:cs="Arial"/>
                <w:sz w:val="20"/>
                <w:szCs w:val="20"/>
                <w:highlight w:val="black"/>
              </w:rPr>
            </w:pPr>
            <w:r w:rsidRPr="00A9439E">
              <w:rPr>
                <w:rFonts w:eastAsia="Times New Roman" w:cs="Arial"/>
                <w:sz w:val="20"/>
                <w:szCs w:val="20"/>
                <w:highlight w:val="black"/>
              </w:rPr>
              <w:t>XXXXXXXXXX</w:t>
            </w:r>
          </w:p>
        </w:tc>
        <w:tc>
          <w:tcPr>
            <w:tcW w:w="1255" w:type="dxa"/>
            <w:tcBorders>
              <w:top w:val="nil"/>
              <w:left w:val="nil"/>
              <w:bottom w:val="single" w:sz="4" w:space="0" w:color="auto"/>
              <w:right w:val="single" w:sz="4" w:space="0" w:color="auto"/>
            </w:tcBorders>
            <w:shd w:val="clear" w:color="auto" w:fill="auto"/>
            <w:hideMark/>
          </w:tcPr>
          <w:p w14:paraId="6CA8F20A" w14:textId="77777777" w:rsidR="00E619DC" w:rsidRPr="00A9439E" w:rsidRDefault="00E619DC" w:rsidP="003E25A0">
            <w:pPr>
              <w:spacing w:after="0"/>
              <w:jc w:val="right"/>
              <w:rPr>
                <w:rFonts w:eastAsia="Times New Roman" w:cs="Arial"/>
                <w:sz w:val="20"/>
                <w:szCs w:val="20"/>
                <w:highlight w:val="black"/>
              </w:rPr>
            </w:pPr>
            <w:r w:rsidRPr="00A9439E">
              <w:rPr>
                <w:rFonts w:eastAsia="Times New Roman" w:cs="Arial"/>
                <w:sz w:val="20"/>
                <w:szCs w:val="20"/>
                <w:highlight w:val="black"/>
              </w:rPr>
              <w:t>XXXXXXXXXX</w:t>
            </w:r>
          </w:p>
        </w:tc>
        <w:tc>
          <w:tcPr>
            <w:tcW w:w="1255" w:type="dxa"/>
            <w:tcBorders>
              <w:top w:val="nil"/>
              <w:left w:val="nil"/>
              <w:bottom w:val="single" w:sz="4" w:space="0" w:color="auto"/>
              <w:right w:val="single" w:sz="4" w:space="0" w:color="auto"/>
            </w:tcBorders>
            <w:shd w:val="clear" w:color="auto" w:fill="auto"/>
            <w:hideMark/>
          </w:tcPr>
          <w:p w14:paraId="285A67F7" w14:textId="77777777" w:rsidR="00E619DC" w:rsidRPr="00A9439E" w:rsidRDefault="00E619DC" w:rsidP="003E25A0">
            <w:pPr>
              <w:spacing w:after="0"/>
              <w:jc w:val="right"/>
              <w:rPr>
                <w:rFonts w:eastAsia="Times New Roman" w:cs="Arial"/>
                <w:sz w:val="20"/>
                <w:szCs w:val="20"/>
                <w:highlight w:val="black"/>
              </w:rPr>
            </w:pPr>
            <w:r w:rsidRPr="00A9439E">
              <w:rPr>
                <w:rFonts w:eastAsia="Times New Roman" w:cs="Arial"/>
                <w:sz w:val="20"/>
                <w:szCs w:val="20"/>
                <w:highlight w:val="black"/>
              </w:rPr>
              <w:t>XXXXXXXXXX</w:t>
            </w:r>
          </w:p>
        </w:tc>
        <w:tc>
          <w:tcPr>
            <w:tcW w:w="1255" w:type="dxa"/>
            <w:tcBorders>
              <w:top w:val="nil"/>
              <w:left w:val="nil"/>
              <w:bottom w:val="single" w:sz="4" w:space="0" w:color="auto"/>
              <w:right w:val="single" w:sz="4" w:space="0" w:color="auto"/>
            </w:tcBorders>
            <w:shd w:val="clear" w:color="auto" w:fill="auto"/>
            <w:hideMark/>
          </w:tcPr>
          <w:p w14:paraId="2F532BA6" w14:textId="77777777" w:rsidR="00E619DC" w:rsidRPr="00A9439E" w:rsidRDefault="00E619DC" w:rsidP="003E25A0">
            <w:pPr>
              <w:spacing w:after="0"/>
              <w:jc w:val="right"/>
              <w:rPr>
                <w:rFonts w:eastAsia="Times New Roman" w:cs="Arial"/>
                <w:sz w:val="20"/>
                <w:szCs w:val="20"/>
                <w:highlight w:val="black"/>
              </w:rPr>
            </w:pPr>
            <w:r w:rsidRPr="00A9439E">
              <w:rPr>
                <w:rFonts w:eastAsia="Times New Roman" w:cs="Arial"/>
                <w:sz w:val="20"/>
                <w:szCs w:val="20"/>
                <w:highlight w:val="black"/>
              </w:rPr>
              <w:t>XXXXXXXXXX</w:t>
            </w:r>
          </w:p>
        </w:tc>
      </w:tr>
      <w:tr w:rsidR="00E619DC" w:rsidRPr="008F2643" w14:paraId="61C716CA" w14:textId="77777777" w:rsidTr="003E25A0">
        <w:trPr>
          <w:trHeight w:val="278"/>
        </w:trPr>
        <w:tc>
          <w:tcPr>
            <w:tcW w:w="2428" w:type="dxa"/>
            <w:tcBorders>
              <w:top w:val="nil"/>
              <w:left w:val="single" w:sz="4" w:space="0" w:color="auto"/>
              <w:bottom w:val="single" w:sz="4" w:space="0" w:color="auto"/>
              <w:right w:val="single" w:sz="4" w:space="0" w:color="auto"/>
            </w:tcBorders>
            <w:shd w:val="clear" w:color="auto" w:fill="auto"/>
            <w:hideMark/>
          </w:tcPr>
          <w:p w14:paraId="338EA7B6" w14:textId="77777777" w:rsidR="00E619DC" w:rsidRPr="001C2273" w:rsidRDefault="00E619DC" w:rsidP="003E25A0">
            <w:pPr>
              <w:spacing w:after="0"/>
              <w:rPr>
                <w:rFonts w:eastAsia="Times New Roman" w:cs="Arial"/>
                <w:sz w:val="20"/>
                <w:szCs w:val="20"/>
              </w:rPr>
            </w:pPr>
            <w:r w:rsidRPr="001C2273">
              <w:rPr>
                <w:rFonts w:eastAsia="Times New Roman" w:cs="Arial"/>
                <w:sz w:val="20"/>
                <w:szCs w:val="20"/>
              </w:rPr>
              <w:t>Prevalence of the disease</w:t>
            </w:r>
          </w:p>
        </w:tc>
        <w:tc>
          <w:tcPr>
            <w:tcW w:w="1255" w:type="dxa"/>
            <w:tcBorders>
              <w:top w:val="nil"/>
              <w:left w:val="nil"/>
              <w:bottom w:val="single" w:sz="4" w:space="0" w:color="auto"/>
              <w:right w:val="single" w:sz="4" w:space="0" w:color="auto"/>
            </w:tcBorders>
            <w:shd w:val="clear" w:color="auto" w:fill="auto"/>
            <w:hideMark/>
          </w:tcPr>
          <w:p w14:paraId="02C4C830" w14:textId="77777777" w:rsidR="00E619DC" w:rsidRPr="00A9439E" w:rsidRDefault="00E619DC" w:rsidP="003E25A0">
            <w:pPr>
              <w:spacing w:after="0"/>
              <w:jc w:val="right"/>
              <w:rPr>
                <w:rFonts w:eastAsia="Times New Roman" w:cs="Arial"/>
                <w:sz w:val="20"/>
                <w:szCs w:val="20"/>
                <w:highlight w:val="black"/>
              </w:rPr>
            </w:pPr>
            <w:r w:rsidRPr="00A9439E">
              <w:rPr>
                <w:rFonts w:eastAsia="Times New Roman" w:cs="Arial"/>
                <w:sz w:val="20"/>
                <w:szCs w:val="20"/>
                <w:highlight w:val="black"/>
              </w:rPr>
              <w:t>XXXXXXX</w:t>
            </w:r>
          </w:p>
        </w:tc>
        <w:tc>
          <w:tcPr>
            <w:tcW w:w="1255" w:type="dxa"/>
            <w:tcBorders>
              <w:top w:val="nil"/>
              <w:left w:val="nil"/>
              <w:bottom w:val="single" w:sz="4" w:space="0" w:color="auto"/>
              <w:right w:val="single" w:sz="4" w:space="0" w:color="auto"/>
            </w:tcBorders>
            <w:shd w:val="clear" w:color="auto" w:fill="auto"/>
            <w:hideMark/>
          </w:tcPr>
          <w:p w14:paraId="52408F76" w14:textId="77777777" w:rsidR="00E619DC" w:rsidRPr="00A9439E" w:rsidRDefault="00E619DC" w:rsidP="003E25A0">
            <w:pPr>
              <w:spacing w:after="0"/>
              <w:jc w:val="right"/>
              <w:rPr>
                <w:rFonts w:eastAsia="Times New Roman" w:cs="Arial"/>
                <w:sz w:val="20"/>
                <w:szCs w:val="20"/>
                <w:highlight w:val="black"/>
              </w:rPr>
            </w:pPr>
            <w:r w:rsidRPr="00A9439E">
              <w:rPr>
                <w:rFonts w:eastAsia="Times New Roman" w:cs="Arial"/>
                <w:sz w:val="20"/>
                <w:szCs w:val="20"/>
                <w:highlight w:val="black"/>
              </w:rPr>
              <w:t>XXX</w:t>
            </w:r>
          </w:p>
        </w:tc>
        <w:tc>
          <w:tcPr>
            <w:tcW w:w="1255" w:type="dxa"/>
            <w:tcBorders>
              <w:top w:val="nil"/>
              <w:left w:val="nil"/>
              <w:bottom w:val="single" w:sz="4" w:space="0" w:color="auto"/>
              <w:right w:val="single" w:sz="4" w:space="0" w:color="auto"/>
            </w:tcBorders>
            <w:shd w:val="clear" w:color="auto" w:fill="auto"/>
            <w:hideMark/>
          </w:tcPr>
          <w:p w14:paraId="11CC7A4A" w14:textId="77777777" w:rsidR="00E619DC" w:rsidRPr="00A9439E" w:rsidRDefault="00E619DC" w:rsidP="003E25A0">
            <w:pPr>
              <w:spacing w:after="0"/>
              <w:jc w:val="right"/>
              <w:rPr>
                <w:rFonts w:eastAsia="Times New Roman" w:cs="Arial"/>
                <w:sz w:val="20"/>
                <w:szCs w:val="20"/>
                <w:highlight w:val="black"/>
              </w:rPr>
            </w:pPr>
            <w:r w:rsidRPr="00A9439E">
              <w:rPr>
                <w:rFonts w:eastAsia="Times New Roman" w:cs="Arial"/>
                <w:sz w:val="20"/>
                <w:szCs w:val="20"/>
                <w:highlight w:val="black"/>
              </w:rPr>
              <w:t>XXX</w:t>
            </w:r>
          </w:p>
        </w:tc>
        <w:tc>
          <w:tcPr>
            <w:tcW w:w="1255" w:type="dxa"/>
            <w:tcBorders>
              <w:top w:val="nil"/>
              <w:left w:val="nil"/>
              <w:bottom w:val="single" w:sz="4" w:space="0" w:color="auto"/>
              <w:right w:val="single" w:sz="4" w:space="0" w:color="auto"/>
            </w:tcBorders>
            <w:shd w:val="clear" w:color="auto" w:fill="auto"/>
            <w:hideMark/>
          </w:tcPr>
          <w:p w14:paraId="6C7C19E2" w14:textId="77777777" w:rsidR="00E619DC" w:rsidRPr="00A9439E" w:rsidRDefault="00E619DC" w:rsidP="003E25A0">
            <w:pPr>
              <w:spacing w:after="0"/>
              <w:jc w:val="right"/>
              <w:rPr>
                <w:rFonts w:eastAsia="Times New Roman" w:cs="Arial"/>
                <w:sz w:val="20"/>
                <w:szCs w:val="20"/>
                <w:highlight w:val="black"/>
              </w:rPr>
            </w:pPr>
            <w:r w:rsidRPr="00A9439E">
              <w:rPr>
                <w:rFonts w:eastAsia="Times New Roman" w:cs="Arial"/>
                <w:sz w:val="20"/>
                <w:szCs w:val="20"/>
                <w:highlight w:val="black"/>
              </w:rPr>
              <w:t>XXX</w:t>
            </w:r>
          </w:p>
        </w:tc>
        <w:tc>
          <w:tcPr>
            <w:tcW w:w="1255" w:type="dxa"/>
            <w:tcBorders>
              <w:top w:val="nil"/>
              <w:left w:val="nil"/>
              <w:bottom w:val="single" w:sz="4" w:space="0" w:color="auto"/>
              <w:right w:val="single" w:sz="4" w:space="0" w:color="auto"/>
            </w:tcBorders>
            <w:shd w:val="clear" w:color="auto" w:fill="auto"/>
            <w:hideMark/>
          </w:tcPr>
          <w:p w14:paraId="6FF9EB5C" w14:textId="77777777" w:rsidR="00E619DC" w:rsidRPr="00A9439E" w:rsidRDefault="00E619DC" w:rsidP="003E25A0">
            <w:pPr>
              <w:spacing w:after="0"/>
              <w:jc w:val="right"/>
              <w:rPr>
                <w:rFonts w:eastAsia="Times New Roman" w:cs="Arial"/>
                <w:sz w:val="20"/>
                <w:szCs w:val="20"/>
                <w:highlight w:val="black"/>
              </w:rPr>
            </w:pPr>
            <w:r w:rsidRPr="00A9439E">
              <w:rPr>
                <w:rFonts w:eastAsia="Times New Roman" w:cs="Arial"/>
                <w:sz w:val="20"/>
                <w:szCs w:val="20"/>
                <w:highlight w:val="black"/>
              </w:rPr>
              <w:t>XXX</w:t>
            </w:r>
          </w:p>
        </w:tc>
      </w:tr>
      <w:tr w:rsidR="00E619DC" w:rsidRPr="008F2643" w14:paraId="7751DEFC" w14:textId="77777777" w:rsidTr="003E25A0">
        <w:trPr>
          <w:trHeight w:val="390"/>
        </w:trPr>
        <w:tc>
          <w:tcPr>
            <w:tcW w:w="2428" w:type="dxa"/>
            <w:tcBorders>
              <w:top w:val="nil"/>
              <w:left w:val="single" w:sz="4" w:space="0" w:color="auto"/>
              <w:bottom w:val="single" w:sz="4" w:space="0" w:color="auto"/>
              <w:right w:val="single" w:sz="4" w:space="0" w:color="auto"/>
            </w:tcBorders>
            <w:shd w:val="clear" w:color="auto" w:fill="auto"/>
            <w:hideMark/>
          </w:tcPr>
          <w:p w14:paraId="2DC232A7" w14:textId="77777777" w:rsidR="00E619DC" w:rsidRPr="001C2273" w:rsidRDefault="00E619DC" w:rsidP="003E25A0">
            <w:pPr>
              <w:spacing w:after="0"/>
              <w:rPr>
                <w:rFonts w:eastAsia="Times New Roman" w:cs="Arial"/>
                <w:sz w:val="20"/>
                <w:szCs w:val="20"/>
              </w:rPr>
            </w:pPr>
            <w:r w:rsidRPr="001C2273">
              <w:rPr>
                <w:rFonts w:eastAsia="Times New Roman" w:cs="Arial"/>
                <w:sz w:val="20"/>
                <w:szCs w:val="20"/>
              </w:rPr>
              <w:t>Incidence of the disease</w:t>
            </w:r>
          </w:p>
        </w:tc>
        <w:tc>
          <w:tcPr>
            <w:tcW w:w="1255" w:type="dxa"/>
            <w:tcBorders>
              <w:top w:val="nil"/>
              <w:left w:val="nil"/>
              <w:bottom w:val="single" w:sz="4" w:space="0" w:color="auto"/>
              <w:right w:val="single" w:sz="4" w:space="0" w:color="auto"/>
            </w:tcBorders>
            <w:shd w:val="clear" w:color="auto" w:fill="auto"/>
            <w:hideMark/>
          </w:tcPr>
          <w:p w14:paraId="0E1E0065" w14:textId="77777777" w:rsidR="00E619DC" w:rsidRPr="00A9439E" w:rsidRDefault="00E619DC" w:rsidP="003E25A0">
            <w:pPr>
              <w:spacing w:after="0"/>
              <w:jc w:val="right"/>
              <w:rPr>
                <w:rFonts w:eastAsia="Times New Roman" w:cs="Arial"/>
                <w:sz w:val="20"/>
                <w:szCs w:val="20"/>
                <w:highlight w:val="black"/>
              </w:rPr>
            </w:pPr>
            <w:r w:rsidRPr="00A9439E">
              <w:rPr>
                <w:rFonts w:eastAsia="Times New Roman" w:cs="Arial"/>
                <w:sz w:val="20"/>
                <w:szCs w:val="20"/>
                <w:highlight w:val="black"/>
              </w:rPr>
              <w:t> </w:t>
            </w:r>
          </w:p>
        </w:tc>
        <w:tc>
          <w:tcPr>
            <w:tcW w:w="1255" w:type="dxa"/>
            <w:tcBorders>
              <w:top w:val="nil"/>
              <w:left w:val="nil"/>
              <w:bottom w:val="single" w:sz="4" w:space="0" w:color="auto"/>
              <w:right w:val="single" w:sz="4" w:space="0" w:color="auto"/>
            </w:tcBorders>
            <w:shd w:val="clear" w:color="auto" w:fill="auto"/>
            <w:hideMark/>
          </w:tcPr>
          <w:p w14:paraId="3001E05C" w14:textId="77777777" w:rsidR="00E619DC" w:rsidRPr="00A9439E" w:rsidRDefault="00E619DC" w:rsidP="003E25A0">
            <w:pPr>
              <w:spacing w:after="0"/>
              <w:jc w:val="right"/>
              <w:rPr>
                <w:rFonts w:eastAsia="Times New Roman" w:cs="Arial"/>
                <w:sz w:val="20"/>
                <w:szCs w:val="20"/>
                <w:highlight w:val="black"/>
              </w:rPr>
            </w:pPr>
            <w:r w:rsidRPr="00A9439E">
              <w:rPr>
                <w:rFonts w:eastAsia="Times New Roman" w:cs="Arial"/>
                <w:sz w:val="20"/>
                <w:szCs w:val="20"/>
                <w:highlight w:val="black"/>
              </w:rPr>
              <w:t>XXXXXXXX</w:t>
            </w:r>
          </w:p>
        </w:tc>
        <w:tc>
          <w:tcPr>
            <w:tcW w:w="1255" w:type="dxa"/>
            <w:tcBorders>
              <w:top w:val="nil"/>
              <w:left w:val="nil"/>
              <w:bottom w:val="single" w:sz="4" w:space="0" w:color="auto"/>
              <w:right w:val="single" w:sz="4" w:space="0" w:color="auto"/>
            </w:tcBorders>
            <w:shd w:val="clear" w:color="auto" w:fill="auto"/>
            <w:hideMark/>
          </w:tcPr>
          <w:p w14:paraId="5308EFB4" w14:textId="77777777" w:rsidR="00E619DC" w:rsidRPr="00A9439E" w:rsidRDefault="00E619DC" w:rsidP="003E25A0">
            <w:pPr>
              <w:spacing w:after="0"/>
              <w:jc w:val="right"/>
              <w:rPr>
                <w:rFonts w:eastAsia="Times New Roman" w:cs="Arial"/>
                <w:sz w:val="20"/>
                <w:szCs w:val="20"/>
                <w:highlight w:val="black"/>
              </w:rPr>
            </w:pPr>
            <w:r w:rsidRPr="00A9439E">
              <w:rPr>
                <w:rFonts w:eastAsia="Times New Roman" w:cs="Arial"/>
                <w:sz w:val="20"/>
                <w:szCs w:val="20"/>
                <w:highlight w:val="black"/>
              </w:rPr>
              <w:t>XXXXXXXX</w:t>
            </w:r>
          </w:p>
        </w:tc>
        <w:tc>
          <w:tcPr>
            <w:tcW w:w="1255" w:type="dxa"/>
            <w:tcBorders>
              <w:top w:val="nil"/>
              <w:left w:val="nil"/>
              <w:bottom w:val="single" w:sz="4" w:space="0" w:color="auto"/>
              <w:right w:val="single" w:sz="4" w:space="0" w:color="auto"/>
            </w:tcBorders>
            <w:shd w:val="clear" w:color="auto" w:fill="auto"/>
            <w:hideMark/>
          </w:tcPr>
          <w:p w14:paraId="18E0B4C5" w14:textId="77777777" w:rsidR="00E619DC" w:rsidRPr="00A9439E" w:rsidRDefault="00E619DC" w:rsidP="003E25A0">
            <w:pPr>
              <w:spacing w:after="0"/>
              <w:jc w:val="right"/>
              <w:rPr>
                <w:rFonts w:eastAsia="Times New Roman" w:cs="Arial"/>
                <w:sz w:val="20"/>
                <w:szCs w:val="20"/>
                <w:highlight w:val="black"/>
              </w:rPr>
            </w:pPr>
            <w:r w:rsidRPr="00A9439E">
              <w:rPr>
                <w:rFonts w:eastAsia="Times New Roman" w:cs="Arial"/>
                <w:sz w:val="20"/>
                <w:szCs w:val="20"/>
                <w:highlight w:val="black"/>
              </w:rPr>
              <w:t>XXXXXXXX</w:t>
            </w:r>
          </w:p>
        </w:tc>
        <w:tc>
          <w:tcPr>
            <w:tcW w:w="1255" w:type="dxa"/>
            <w:tcBorders>
              <w:top w:val="nil"/>
              <w:left w:val="nil"/>
              <w:bottom w:val="single" w:sz="4" w:space="0" w:color="auto"/>
              <w:right w:val="single" w:sz="4" w:space="0" w:color="auto"/>
            </w:tcBorders>
            <w:shd w:val="clear" w:color="auto" w:fill="auto"/>
            <w:hideMark/>
          </w:tcPr>
          <w:p w14:paraId="7F839E03" w14:textId="77777777" w:rsidR="00E619DC" w:rsidRPr="00A9439E" w:rsidRDefault="00E619DC" w:rsidP="003E25A0">
            <w:pPr>
              <w:spacing w:after="0"/>
              <w:jc w:val="right"/>
              <w:rPr>
                <w:rFonts w:eastAsia="Times New Roman" w:cs="Arial"/>
                <w:sz w:val="20"/>
                <w:szCs w:val="20"/>
                <w:highlight w:val="black"/>
              </w:rPr>
            </w:pPr>
            <w:r w:rsidRPr="00A9439E">
              <w:rPr>
                <w:rFonts w:eastAsia="Times New Roman" w:cs="Arial"/>
                <w:sz w:val="20"/>
                <w:szCs w:val="20"/>
                <w:highlight w:val="black"/>
              </w:rPr>
              <w:t>XXXXXXXX</w:t>
            </w:r>
          </w:p>
        </w:tc>
      </w:tr>
      <w:tr w:rsidR="00E619DC" w:rsidRPr="008F2643" w14:paraId="1A577EC7" w14:textId="77777777" w:rsidTr="003E25A0">
        <w:trPr>
          <w:trHeight w:val="288"/>
        </w:trPr>
        <w:tc>
          <w:tcPr>
            <w:tcW w:w="2428" w:type="dxa"/>
            <w:tcBorders>
              <w:top w:val="nil"/>
              <w:left w:val="single" w:sz="4" w:space="0" w:color="auto"/>
              <w:bottom w:val="single" w:sz="4" w:space="0" w:color="auto"/>
              <w:right w:val="single" w:sz="4" w:space="0" w:color="auto"/>
            </w:tcBorders>
            <w:shd w:val="clear" w:color="auto" w:fill="auto"/>
            <w:hideMark/>
          </w:tcPr>
          <w:p w14:paraId="1AE45A2B" w14:textId="77777777" w:rsidR="00E619DC" w:rsidRPr="001C2273" w:rsidRDefault="00E619DC" w:rsidP="003E25A0">
            <w:pPr>
              <w:spacing w:after="0"/>
              <w:rPr>
                <w:rFonts w:eastAsia="Times New Roman" w:cs="Arial"/>
                <w:sz w:val="20"/>
                <w:szCs w:val="20"/>
              </w:rPr>
            </w:pPr>
            <w:r w:rsidRPr="001C2273">
              <w:rPr>
                <w:rFonts w:eastAsia="Times New Roman" w:cs="Arial"/>
                <w:sz w:val="20"/>
                <w:szCs w:val="20"/>
              </w:rPr>
              <w:t>Population with ITP</w:t>
            </w:r>
          </w:p>
        </w:tc>
        <w:tc>
          <w:tcPr>
            <w:tcW w:w="1255" w:type="dxa"/>
            <w:tcBorders>
              <w:top w:val="nil"/>
              <w:left w:val="nil"/>
              <w:bottom w:val="single" w:sz="4" w:space="0" w:color="auto"/>
              <w:right w:val="single" w:sz="4" w:space="0" w:color="auto"/>
            </w:tcBorders>
            <w:shd w:val="clear" w:color="auto" w:fill="auto"/>
            <w:hideMark/>
          </w:tcPr>
          <w:p w14:paraId="4563D766" w14:textId="7190DE81" w:rsidR="00E619DC" w:rsidRPr="00A9439E" w:rsidRDefault="00DF7506" w:rsidP="003E25A0">
            <w:pPr>
              <w:spacing w:after="0"/>
              <w:jc w:val="right"/>
              <w:rPr>
                <w:rFonts w:eastAsia="Times New Roman" w:cs="Arial"/>
                <w:sz w:val="20"/>
                <w:szCs w:val="20"/>
                <w:highlight w:val="black"/>
              </w:rPr>
            </w:pPr>
            <w:r w:rsidRPr="00DF7506">
              <w:rPr>
                <w:rFonts w:eastAsia="Times New Roman" w:cs="Arial"/>
                <w:sz w:val="20"/>
                <w:szCs w:val="20"/>
                <w:highlight w:val="black"/>
              </w:rPr>
              <w:t>XXXXXX</w:t>
            </w:r>
          </w:p>
        </w:tc>
        <w:tc>
          <w:tcPr>
            <w:tcW w:w="1255" w:type="dxa"/>
            <w:tcBorders>
              <w:top w:val="nil"/>
              <w:left w:val="nil"/>
              <w:bottom w:val="single" w:sz="4" w:space="0" w:color="auto"/>
              <w:right w:val="single" w:sz="4" w:space="0" w:color="auto"/>
            </w:tcBorders>
            <w:shd w:val="clear" w:color="auto" w:fill="auto"/>
            <w:hideMark/>
          </w:tcPr>
          <w:p w14:paraId="224B2B3D" w14:textId="77777777" w:rsidR="00E619DC" w:rsidRPr="00A9439E" w:rsidRDefault="00E619DC" w:rsidP="003E25A0">
            <w:pPr>
              <w:spacing w:after="0"/>
              <w:jc w:val="right"/>
              <w:rPr>
                <w:rFonts w:eastAsia="Times New Roman" w:cs="Arial"/>
                <w:sz w:val="20"/>
                <w:szCs w:val="20"/>
              </w:rPr>
            </w:pPr>
            <w:r w:rsidRPr="00A9439E">
              <w:rPr>
                <w:rFonts w:eastAsia="Times New Roman" w:cs="Arial"/>
                <w:sz w:val="20"/>
                <w:szCs w:val="20"/>
                <w:highlight w:val="black"/>
              </w:rPr>
              <w:t>XXX</w:t>
            </w:r>
          </w:p>
        </w:tc>
        <w:tc>
          <w:tcPr>
            <w:tcW w:w="1255" w:type="dxa"/>
            <w:tcBorders>
              <w:top w:val="nil"/>
              <w:left w:val="nil"/>
              <w:bottom w:val="single" w:sz="4" w:space="0" w:color="auto"/>
              <w:right w:val="single" w:sz="4" w:space="0" w:color="auto"/>
            </w:tcBorders>
            <w:shd w:val="clear" w:color="auto" w:fill="auto"/>
            <w:hideMark/>
          </w:tcPr>
          <w:p w14:paraId="38C68C11" w14:textId="77777777" w:rsidR="00E619DC" w:rsidRPr="00A9439E" w:rsidRDefault="00E619DC" w:rsidP="003E25A0">
            <w:pPr>
              <w:spacing w:after="0"/>
              <w:jc w:val="right"/>
              <w:rPr>
                <w:rFonts w:eastAsia="Times New Roman" w:cs="Arial"/>
                <w:sz w:val="20"/>
                <w:szCs w:val="20"/>
                <w:highlight w:val="black"/>
              </w:rPr>
            </w:pPr>
            <w:r w:rsidRPr="00A9439E">
              <w:rPr>
                <w:rFonts w:eastAsia="Times New Roman" w:cs="Arial"/>
                <w:sz w:val="20"/>
                <w:szCs w:val="20"/>
                <w:highlight w:val="black"/>
              </w:rPr>
              <w:t>XXX</w:t>
            </w:r>
          </w:p>
        </w:tc>
        <w:tc>
          <w:tcPr>
            <w:tcW w:w="1255" w:type="dxa"/>
            <w:tcBorders>
              <w:top w:val="nil"/>
              <w:left w:val="nil"/>
              <w:bottom w:val="single" w:sz="4" w:space="0" w:color="auto"/>
              <w:right w:val="single" w:sz="4" w:space="0" w:color="auto"/>
            </w:tcBorders>
            <w:shd w:val="clear" w:color="auto" w:fill="auto"/>
            <w:hideMark/>
          </w:tcPr>
          <w:p w14:paraId="33F837E7" w14:textId="77777777" w:rsidR="00E619DC" w:rsidRPr="00A9439E" w:rsidRDefault="00E619DC" w:rsidP="003E25A0">
            <w:pPr>
              <w:spacing w:after="0"/>
              <w:jc w:val="right"/>
              <w:rPr>
                <w:rFonts w:eastAsia="Times New Roman" w:cs="Arial"/>
                <w:sz w:val="20"/>
                <w:szCs w:val="20"/>
                <w:highlight w:val="black"/>
              </w:rPr>
            </w:pPr>
            <w:r w:rsidRPr="00A9439E">
              <w:rPr>
                <w:rFonts w:eastAsia="Times New Roman" w:cs="Arial"/>
                <w:sz w:val="20"/>
                <w:szCs w:val="20"/>
                <w:highlight w:val="black"/>
              </w:rPr>
              <w:t>XXX</w:t>
            </w:r>
          </w:p>
        </w:tc>
        <w:tc>
          <w:tcPr>
            <w:tcW w:w="1255" w:type="dxa"/>
            <w:tcBorders>
              <w:top w:val="nil"/>
              <w:left w:val="nil"/>
              <w:bottom w:val="single" w:sz="4" w:space="0" w:color="auto"/>
              <w:right w:val="single" w:sz="4" w:space="0" w:color="auto"/>
            </w:tcBorders>
            <w:shd w:val="clear" w:color="auto" w:fill="auto"/>
            <w:hideMark/>
          </w:tcPr>
          <w:p w14:paraId="54855695" w14:textId="77777777" w:rsidR="00E619DC" w:rsidRPr="00A9439E" w:rsidRDefault="00E619DC" w:rsidP="003E25A0">
            <w:pPr>
              <w:spacing w:after="0"/>
              <w:jc w:val="right"/>
              <w:rPr>
                <w:rFonts w:eastAsia="Times New Roman" w:cs="Arial"/>
                <w:sz w:val="20"/>
                <w:szCs w:val="20"/>
                <w:highlight w:val="black"/>
              </w:rPr>
            </w:pPr>
            <w:r w:rsidRPr="00A9439E">
              <w:rPr>
                <w:rFonts w:eastAsia="Times New Roman" w:cs="Arial"/>
                <w:sz w:val="20"/>
                <w:szCs w:val="20"/>
                <w:highlight w:val="black"/>
              </w:rPr>
              <w:t>XXX</w:t>
            </w:r>
          </w:p>
        </w:tc>
      </w:tr>
      <w:tr w:rsidR="00E619DC" w:rsidRPr="008F2643" w14:paraId="49CC1C73" w14:textId="77777777" w:rsidTr="003E25A0">
        <w:trPr>
          <w:trHeight w:val="765"/>
        </w:trPr>
        <w:tc>
          <w:tcPr>
            <w:tcW w:w="2428" w:type="dxa"/>
            <w:tcBorders>
              <w:top w:val="nil"/>
              <w:left w:val="single" w:sz="4" w:space="0" w:color="auto"/>
              <w:bottom w:val="single" w:sz="4" w:space="0" w:color="auto"/>
              <w:right w:val="single" w:sz="4" w:space="0" w:color="auto"/>
            </w:tcBorders>
            <w:shd w:val="clear" w:color="auto" w:fill="auto"/>
            <w:hideMark/>
          </w:tcPr>
          <w:p w14:paraId="29A75A4E" w14:textId="77777777" w:rsidR="00E619DC" w:rsidRPr="001C2273" w:rsidRDefault="00E619DC" w:rsidP="003E25A0">
            <w:pPr>
              <w:spacing w:after="0"/>
              <w:rPr>
                <w:rFonts w:eastAsia="Times New Roman" w:cs="Arial"/>
                <w:sz w:val="20"/>
                <w:szCs w:val="20"/>
              </w:rPr>
            </w:pPr>
            <w:r w:rsidRPr="001C2273">
              <w:rPr>
                <w:rFonts w:eastAsia="Times New Roman" w:cs="Arial"/>
                <w:sz w:val="20"/>
                <w:szCs w:val="20"/>
              </w:rPr>
              <w:t xml:space="preserve">percentage with chronic ITP (thrombocytopenia persist longer 6 </w:t>
            </w:r>
            <w:proofErr w:type="spellStart"/>
            <w:r w:rsidRPr="001C2273">
              <w:rPr>
                <w:rFonts w:eastAsia="Times New Roman" w:cs="Arial"/>
                <w:sz w:val="20"/>
                <w:szCs w:val="20"/>
              </w:rPr>
              <w:t>mths</w:t>
            </w:r>
            <w:proofErr w:type="spellEnd"/>
            <w:r w:rsidRPr="001C2273">
              <w:rPr>
                <w:rFonts w:eastAsia="Times New Roman" w:cs="Arial"/>
                <w:sz w:val="20"/>
                <w:szCs w:val="20"/>
              </w:rPr>
              <w:t>)</w:t>
            </w:r>
          </w:p>
        </w:tc>
        <w:tc>
          <w:tcPr>
            <w:tcW w:w="1255" w:type="dxa"/>
            <w:tcBorders>
              <w:top w:val="nil"/>
              <w:left w:val="nil"/>
              <w:bottom w:val="single" w:sz="4" w:space="0" w:color="auto"/>
              <w:right w:val="single" w:sz="4" w:space="0" w:color="auto"/>
            </w:tcBorders>
            <w:shd w:val="clear" w:color="auto" w:fill="auto"/>
            <w:hideMark/>
          </w:tcPr>
          <w:p w14:paraId="14403D27" w14:textId="77777777" w:rsidR="00E619DC" w:rsidRPr="001C2273" w:rsidRDefault="00E619DC" w:rsidP="003E25A0">
            <w:pPr>
              <w:spacing w:after="0"/>
              <w:jc w:val="right"/>
              <w:rPr>
                <w:rFonts w:eastAsia="Times New Roman" w:cs="Arial"/>
                <w:sz w:val="20"/>
                <w:szCs w:val="20"/>
              </w:rPr>
            </w:pPr>
            <w:r w:rsidRPr="00A9439E">
              <w:rPr>
                <w:rFonts w:eastAsia="Times New Roman" w:cs="Arial"/>
                <w:sz w:val="20"/>
                <w:szCs w:val="20"/>
                <w:highlight w:val="black"/>
              </w:rPr>
              <w:t>XX</w:t>
            </w:r>
            <w:r w:rsidRPr="001C2273">
              <w:rPr>
                <w:rFonts w:eastAsia="Times New Roman" w:cs="Arial"/>
                <w:sz w:val="20"/>
                <w:szCs w:val="20"/>
              </w:rPr>
              <w:t>%</w:t>
            </w:r>
          </w:p>
        </w:tc>
        <w:tc>
          <w:tcPr>
            <w:tcW w:w="1255" w:type="dxa"/>
            <w:tcBorders>
              <w:top w:val="nil"/>
              <w:left w:val="nil"/>
              <w:bottom w:val="single" w:sz="4" w:space="0" w:color="auto"/>
              <w:right w:val="single" w:sz="4" w:space="0" w:color="auto"/>
            </w:tcBorders>
            <w:shd w:val="clear" w:color="auto" w:fill="auto"/>
            <w:hideMark/>
          </w:tcPr>
          <w:p w14:paraId="7F76BA56" w14:textId="77777777" w:rsidR="00E619DC" w:rsidRPr="001C2273" w:rsidRDefault="00E619DC" w:rsidP="003E25A0">
            <w:pPr>
              <w:spacing w:after="0"/>
              <w:jc w:val="right"/>
              <w:rPr>
                <w:rFonts w:eastAsia="Times New Roman" w:cs="Arial"/>
                <w:sz w:val="20"/>
                <w:szCs w:val="20"/>
              </w:rPr>
            </w:pPr>
            <w:r w:rsidRPr="000976BC">
              <w:rPr>
                <w:rFonts w:eastAsia="Times New Roman" w:cs="Arial"/>
                <w:sz w:val="20"/>
                <w:szCs w:val="20"/>
                <w:highlight w:val="black"/>
              </w:rPr>
              <w:t>XX</w:t>
            </w:r>
            <w:r w:rsidRPr="000976BC">
              <w:rPr>
                <w:rFonts w:eastAsia="Times New Roman" w:cs="Arial"/>
                <w:sz w:val="20"/>
                <w:szCs w:val="20"/>
              </w:rPr>
              <w:t>%</w:t>
            </w:r>
          </w:p>
        </w:tc>
        <w:tc>
          <w:tcPr>
            <w:tcW w:w="1255" w:type="dxa"/>
            <w:tcBorders>
              <w:top w:val="nil"/>
              <w:left w:val="nil"/>
              <w:bottom w:val="single" w:sz="4" w:space="0" w:color="auto"/>
              <w:right w:val="single" w:sz="4" w:space="0" w:color="auto"/>
            </w:tcBorders>
            <w:shd w:val="clear" w:color="auto" w:fill="auto"/>
            <w:hideMark/>
          </w:tcPr>
          <w:p w14:paraId="08D765CA" w14:textId="77777777" w:rsidR="00E619DC" w:rsidRPr="001C2273" w:rsidRDefault="00E619DC" w:rsidP="003E25A0">
            <w:pPr>
              <w:spacing w:after="0"/>
              <w:jc w:val="right"/>
              <w:rPr>
                <w:rFonts w:eastAsia="Times New Roman" w:cs="Arial"/>
                <w:sz w:val="20"/>
                <w:szCs w:val="20"/>
              </w:rPr>
            </w:pPr>
            <w:r w:rsidRPr="000976BC">
              <w:rPr>
                <w:rFonts w:eastAsia="Times New Roman" w:cs="Arial"/>
                <w:sz w:val="20"/>
                <w:szCs w:val="20"/>
                <w:highlight w:val="black"/>
              </w:rPr>
              <w:t>XX</w:t>
            </w:r>
            <w:r w:rsidRPr="000976BC">
              <w:rPr>
                <w:rFonts w:eastAsia="Times New Roman" w:cs="Arial"/>
                <w:sz w:val="20"/>
                <w:szCs w:val="20"/>
              </w:rPr>
              <w:t>%</w:t>
            </w:r>
          </w:p>
        </w:tc>
        <w:tc>
          <w:tcPr>
            <w:tcW w:w="1255" w:type="dxa"/>
            <w:tcBorders>
              <w:top w:val="nil"/>
              <w:left w:val="nil"/>
              <w:bottom w:val="single" w:sz="4" w:space="0" w:color="auto"/>
              <w:right w:val="single" w:sz="4" w:space="0" w:color="auto"/>
            </w:tcBorders>
            <w:shd w:val="clear" w:color="auto" w:fill="auto"/>
            <w:hideMark/>
          </w:tcPr>
          <w:p w14:paraId="4A68A31D" w14:textId="77777777" w:rsidR="00E619DC" w:rsidRPr="001C2273" w:rsidRDefault="00E619DC" w:rsidP="003E25A0">
            <w:pPr>
              <w:spacing w:after="0"/>
              <w:jc w:val="right"/>
              <w:rPr>
                <w:rFonts w:eastAsia="Times New Roman" w:cs="Arial"/>
                <w:sz w:val="20"/>
                <w:szCs w:val="20"/>
              </w:rPr>
            </w:pPr>
            <w:r w:rsidRPr="000976BC">
              <w:rPr>
                <w:rFonts w:eastAsia="Times New Roman" w:cs="Arial"/>
                <w:sz w:val="20"/>
                <w:szCs w:val="20"/>
                <w:highlight w:val="black"/>
              </w:rPr>
              <w:t>XX</w:t>
            </w:r>
            <w:r w:rsidRPr="000976BC">
              <w:rPr>
                <w:rFonts w:eastAsia="Times New Roman" w:cs="Arial"/>
                <w:sz w:val="20"/>
                <w:szCs w:val="20"/>
              </w:rPr>
              <w:t>%</w:t>
            </w:r>
          </w:p>
        </w:tc>
        <w:tc>
          <w:tcPr>
            <w:tcW w:w="1255" w:type="dxa"/>
            <w:tcBorders>
              <w:top w:val="nil"/>
              <w:left w:val="nil"/>
              <w:bottom w:val="single" w:sz="4" w:space="0" w:color="auto"/>
              <w:right w:val="single" w:sz="4" w:space="0" w:color="auto"/>
            </w:tcBorders>
            <w:shd w:val="clear" w:color="auto" w:fill="auto"/>
            <w:hideMark/>
          </w:tcPr>
          <w:p w14:paraId="2B467A3C" w14:textId="77777777" w:rsidR="00E619DC" w:rsidRPr="001C2273" w:rsidRDefault="00E619DC" w:rsidP="003E25A0">
            <w:pPr>
              <w:spacing w:after="0"/>
              <w:jc w:val="right"/>
              <w:rPr>
                <w:rFonts w:eastAsia="Times New Roman" w:cs="Arial"/>
                <w:sz w:val="20"/>
                <w:szCs w:val="20"/>
              </w:rPr>
            </w:pPr>
            <w:r w:rsidRPr="000976BC">
              <w:rPr>
                <w:rFonts w:eastAsia="Times New Roman" w:cs="Arial"/>
                <w:sz w:val="20"/>
                <w:szCs w:val="20"/>
                <w:highlight w:val="black"/>
              </w:rPr>
              <w:t>XX</w:t>
            </w:r>
            <w:r w:rsidRPr="000976BC">
              <w:rPr>
                <w:rFonts w:eastAsia="Times New Roman" w:cs="Arial"/>
                <w:sz w:val="20"/>
                <w:szCs w:val="20"/>
              </w:rPr>
              <w:t>%</w:t>
            </w:r>
          </w:p>
        </w:tc>
      </w:tr>
      <w:tr w:rsidR="00E619DC" w:rsidRPr="008F2643" w14:paraId="28886C34" w14:textId="77777777" w:rsidTr="003E25A0">
        <w:trPr>
          <w:trHeight w:val="330"/>
        </w:trPr>
        <w:tc>
          <w:tcPr>
            <w:tcW w:w="2428" w:type="dxa"/>
            <w:tcBorders>
              <w:top w:val="nil"/>
              <w:left w:val="single" w:sz="4" w:space="0" w:color="auto"/>
              <w:bottom w:val="single" w:sz="4" w:space="0" w:color="auto"/>
              <w:right w:val="single" w:sz="4" w:space="0" w:color="auto"/>
            </w:tcBorders>
            <w:shd w:val="clear" w:color="auto" w:fill="auto"/>
            <w:hideMark/>
          </w:tcPr>
          <w:p w14:paraId="366C3AA6" w14:textId="77777777" w:rsidR="00E619DC" w:rsidRPr="001C2273" w:rsidRDefault="00E619DC" w:rsidP="003E25A0">
            <w:pPr>
              <w:spacing w:after="0"/>
              <w:rPr>
                <w:rFonts w:eastAsia="Times New Roman" w:cs="Arial"/>
                <w:sz w:val="20"/>
                <w:szCs w:val="20"/>
              </w:rPr>
            </w:pPr>
            <w:r w:rsidRPr="001C2273">
              <w:rPr>
                <w:rFonts w:eastAsia="Times New Roman" w:cs="Arial"/>
                <w:sz w:val="20"/>
                <w:szCs w:val="20"/>
              </w:rPr>
              <w:t>No. of pts chronic ITP</w:t>
            </w:r>
          </w:p>
        </w:tc>
        <w:tc>
          <w:tcPr>
            <w:tcW w:w="1255" w:type="dxa"/>
            <w:tcBorders>
              <w:top w:val="nil"/>
              <w:left w:val="nil"/>
              <w:bottom w:val="single" w:sz="4" w:space="0" w:color="auto"/>
              <w:right w:val="single" w:sz="4" w:space="0" w:color="auto"/>
            </w:tcBorders>
            <w:shd w:val="clear" w:color="auto" w:fill="auto"/>
            <w:hideMark/>
          </w:tcPr>
          <w:p w14:paraId="7112C818" w14:textId="70D07891" w:rsidR="00E619DC" w:rsidRPr="00A9439E" w:rsidRDefault="00E619DC" w:rsidP="003E25A0">
            <w:pPr>
              <w:spacing w:after="0"/>
              <w:jc w:val="right"/>
              <w:rPr>
                <w:rFonts w:eastAsia="Times New Roman" w:cs="Arial"/>
                <w:sz w:val="20"/>
                <w:szCs w:val="20"/>
                <w:highlight w:val="black"/>
              </w:rPr>
            </w:pPr>
            <w:r w:rsidRPr="002E47D2">
              <w:rPr>
                <w:rFonts w:eastAsia="Times New Roman" w:cs="Arial"/>
                <w:sz w:val="20"/>
                <w:szCs w:val="20"/>
                <w:highlight w:val="black"/>
              </w:rPr>
              <w:t>XXXXX</w:t>
            </w:r>
            <w:r w:rsidRPr="002E47D2">
              <w:rPr>
                <w:rFonts w:eastAsia="Times New Roman" w:cs="Arial"/>
                <w:sz w:val="20"/>
                <w:szCs w:val="20"/>
              </w:rPr>
              <w:t xml:space="preserve"> </w:t>
            </w:r>
          </w:p>
        </w:tc>
        <w:tc>
          <w:tcPr>
            <w:tcW w:w="1255" w:type="dxa"/>
            <w:tcBorders>
              <w:top w:val="nil"/>
              <w:left w:val="nil"/>
              <w:bottom w:val="single" w:sz="4" w:space="0" w:color="auto"/>
              <w:right w:val="single" w:sz="4" w:space="0" w:color="auto"/>
            </w:tcBorders>
            <w:shd w:val="clear" w:color="auto" w:fill="auto"/>
            <w:hideMark/>
          </w:tcPr>
          <w:p w14:paraId="78934018" w14:textId="77777777" w:rsidR="00E619DC" w:rsidRPr="00A9439E" w:rsidRDefault="00E619DC" w:rsidP="003E25A0">
            <w:pPr>
              <w:spacing w:after="0"/>
              <w:jc w:val="right"/>
              <w:rPr>
                <w:rFonts w:eastAsia="Times New Roman" w:cs="Arial"/>
                <w:sz w:val="20"/>
                <w:szCs w:val="20"/>
                <w:highlight w:val="black"/>
              </w:rPr>
            </w:pPr>
            <w:r w:rsidRPr="00A9439E">
              <w:rPr>
                <w:rFonts w:eastAsia="Times New Roman" w:cs="Arial"/>
                <w:sz w:val="20"/>
                <w:szCs w:val="20"/>
                <w:highlight w:val="black"/>
              </w:rPr>
              <w:t>XXX</w:t>
            </w:r>
          </w:p>
        </w:tc>
        <w:tc>
          <w:tcPr>
            <w:tcW w:w="1255" w:type="dxa"/>
            <w:tcBorders>
              <w:top w:val="nil"/>
              <w:left w:val="nil"/>
              <w:bottom w:val="single" w:sz="4" w:space="0" w:color="auto"/>
              <w:right w:val="single" w:sz="4" w:space="0" w:color="auto"/>
            </w:tcBorders>
            <w:shd w:val="clear" w:color="auto" w:fill="auto"/>
            <w:hideMark/>
          </w:tcPr>
          <w:p w14:paraId="440ED0D4" w14:textId="77777777" w:rsidR="00E619DC" w:rsidRPr="00A9439E" w:rsidRDefault="00E619DC" w:rsidP="003E25A0">
            <w:pPr>
              <w:spacing w:after="0"/>
              <w:jc w:val="right"/>
              <w:rPr>
                <w:rFonts w:eastAsia="Times New Roman" w:cs="Arial"/>
                <w:sz w:val="20"/>
                <w:szCs w:val="20"/>
                <w:highlight w:val="black"/>
              </w:rPr>
            </w:pPr>
            <w:r w:rsidRPr="00A9439E">
              <w:rPr>
                <w:rFonts w:eastAsia="Times New Roman" w:cs="Arial"/>
                <w:sz w:val="20"/>
                <w:szCs w:val="20"/>
                <w:highlight w:val="black"/>
              </w:rPr>
              <w:t>XXX</w:t>
            </w:r>
          </w:p>
        </w:tc>
        <w:tc>
          <w:tcPr>
            <w:tcW w:w="1255" w:type="dxa"/>
            <w:tcBorders>
              <w:top w:val="nil"/>
              <w:left w:val="nil"/>
              <w:bottom w:val="single" w:sz="4" w:space="0" w:color="auto"/>
              <w:right w:val="single" w:sz="4" w:space="0" w:color="auto"/>
            </w:tcBorders>
            <w:shd w:val="clear" w:color="auto" w:fill="auto"/>
            <w:hideMark/>
          </w:tcPr>
          <w:p w14:paraId="076E3574" w14:textId="77777777" w:rsidR="00E619DC" w:rsidRPr="00A9439E" w:rsidRDefault="00E619DC" w:rsidP="003E25A0">
            <w:pPr>
              <w:spacing w:after="0"/>
              <w:jc w:val="right"/>
              <w:rPr>
                <w:rFonts w:eastAsia="Times New Roman" w:cs="Arial"/>
                <w:sz w:val="20"/>
                <w:szCs w:val="20"/>
                <w:highlight w:val="black"/>
              </w:rPr>
            </w:pPr>
            <w:r w:rsidRPr="00A9439E">
              <w:rPr>
                <w:rFonts w:eastAsia="Times New Roman" w:cs="Arial"/>
                <w:sz w:val="20"/>
                <w:szCs w:val="20"/>
                <w:highlight w:val="black"/>
              </w:rPr>
              <w:t>XXX</w:t>
            </w:r>
          </w:p>
        </w:tc>
        <w:tc>
          <w:tcPr>
            <w:tcW w:w="1255" w:type="dxa"/>
            <w:tcBorders>
              <w:top w:val="nil"/>
              <w:left w:val="nil"/>
              <w:bottom w:val="single" w:sz="4" w:space="0" w:color="auto"/>
              <w:right w:val="single" w:sz="4" w:space="0" w:color="auto"/>
            </w:tcBorders>
            <w:shd w:val="clear" w:color="auto" w:fill="auto"/>
            <w:hideMark/>
          </w:tcPr>
          <w:p w14:paraId="2A054DDA" w14:textId="77777777" w:rsidR="00E619DC" w:rsidRPr="00A9439E" w:rsidRDefault="00E619DC" w:rsidP="003E25A0">
            <w:pPr>
              <w:spacing w:after="0"/>
              <w:jc w:val="right"/>
              <w:rPr>
                <w:rFonts w:eastAsia="Times New Roman" w:cs="Arial"/>
                <w:sz w:val="20"/>
                <w:szCs w:val="20"/>
                <w:highlight w:val="black"/>
              </w:rPr>
            </w:pPr>
            <w:r w:rsidRPr="00A9439E">
              <w:rPr>
                <w:rFonts w:eastAsia="Times New Roman" w:cs="Arial"/>
                <w:sz w:val="20"/>
                <w:szCs w:val="20"/>
                <w:highlight w:val="black"/>
              </w:rPr>
              <w:t>XXX</w:t>
            </w:r>
          </w:p>
        </w:tc>
      </w:tr>
      <w:tr w:rsidR="00E619DC" w:rsidRPr="008F2643" w14:paraId="673AF156" w14:textId="77777777" w:rsidTr="003E25A0">
        <w:trPr>
          <w:trHeight w:val="510"/>
        </w:trPr>
        <w:tc>
          <w:tcPr>
            <w:tcW w:w="2428" w:type="dxa"/>
            <w:tcBorders>
              <w:top w:val="nil"/>
              <w:left w:val="single" w:sz="4" w:space="0" w:color="auto"/>
              <w:bottom w:val="single" w:sz="4" w:space="0" w:color="auto"/>
              <w:right w:val="single" w:sz="4" w:space="0" w:color="auto"/>
            </w:tcBorders>
            <w:shd w:val="clear" w:color="auto" w:fill="auto"/>
            <w:hideMark/>
          </w:tcPr>
          <w:p w14:paraId="14ABCFB9" w14:textId="77777777" w:rsidR="00E619DC" w:rsidRPr="001C2273" w:rsidRDefault="00E619DC" w:rsidP="003E25A0">
            <w:pPr>
              <w:spacing w:after="0"/>
              <w:rPr>
                <w:rFonts w:eastAsia="Times New Roman" w:cs="Arial"/>
                <w:sz w:val="20"/>
                <w:szCs w:val="20"/>
              </w:rPr>
            </w:pPr>
            <w:r w:rsidRPr="001C2273">
              <w:rPr>
                <w:rFonts w:eastAsia="Times New Roman" w:cs="Arial"/>
                <w:sz w:val="20"/>
                <w:szCs w:val="20"/>
              </w:rPr>
              <w:t>% chronic ITP with platelet count &lt; 30 (severe ITP)</w:t>
            </w:r>
          </w:p>
        </w:tc>
        <w:tc>
          <w:tcPr>
            <w:tcW w:w="1255" w:type="dxa"/>
            <w:tcBorders>
              <w:top w:val="nil"/>
              <w:left w:val="nil"/>
              <w:bottom w:val="single" w:sz="4" w:space="0" w:color="auto"/>
              <w:right w:val="single" w:sz="4" w:space="0" w:color="auto"/>
            </w:tcBorders>
            <w:shd w:val="clear" w:color="auto" w:fill="auto"/>
            <w:hideMark/>
          </w:tcPr>
          <w:p w14:paraId="1E4CB4F7" w14:textId="77777777" w:rsidR="00E619DC" w:rsidRPr="001C2273" w:rsidRDefault="00E619DC" w:rsidP="003E25A0">
            <w:pPr>
              <w:spacing w:after="0"/>
              <w:jc w:val="right"/>
              <w:rPr>
                <w:rFonts w:eastAsia="Times New Roman" w:cs="Arial"/>
                <w:sz w:val="20"/>
                <w:szCs w:val="20"/>
              </w:rPr>
            </w:pPr>
            <w:r w:rsidRPr="00355704">
              <w:rPr>
                <w:rFonts w:eastAsia="Times New Roman" w:cs="Arial"/>
                <w:sz w:val="20"/>
                <w:szCs w:val="20"/>
                <w:highlight w:val="black"/>
              </w:rPr>
              <w:t>XX</w:t>
            </w:r>
            <w:r w:rsidRPr="00355704">
              <w:rPr>
                <w:rFonts w:eastAsia="Times New Roman" w:cs="Arial"/>
                <w:sz w:val="20"/>
                <w:szCs w:val="20"/>
              </w:rPr>
              <w:t>%</w:t>
            </w:r>
          </w:p>
        </w:tc>
        <w:tc>
          <w:tcPr>
            <w:tcW w:w="1255" w:type="dxa"/>
            <w:tcBorders>
              <w:top w:val="nil"/>
              <w:left w:val="nil"/>
              <w:bottom w:val="single" w:sz="4" w:space="0" w:color="auto"/>
              <w:right w:val="single" w:sz="4" w:space="0" w:color="auto"/>
            </w:tcBorders>
            <w:shd w:val="clear" w:color="auto" w:fill="auto"/>
            <w:hideMark/>
          </w:tcPr>
          <w:p w14:paraId="7FC72984" w14:textId="77777777" w:rsidR="00E619DC" w:rsidRPr="001C2273" w:rsidRDefault="00E619DC" w:rsidP="003E25A0">
            <w:pPr>
              <w:spacing w:after="0"/>
              <w:jc w:val="right"/>
              <w:rPr>
                <w:rFonts w:eastAsia="Times New Roman" w:cs="Arial"/>
                <w:sz w:val="20"/>
                <w:szCs w:val="20"/>
              </w:rPr>
            </w:pPr>
            <w:r w:rsidRPr="00355704">
              <w:rPr>
                <w:rFonts w:eastAsia="Times New Roman" w:cs="Arial"/>
                <w:sz w:val="20"/>
                <w:szCs w:val="20"/>
                <w:highlight w:val="black"/>
              </w:rPr>
              <w:t>XX</w:t>
            </w:r>
            <w:r w:rsidRPr="00355704">
              <w:rPr>
                <w:rFonts w:eastAsia="Times New Roman" w:cs="Arial"/>
                <w:sz w:val="20"/>
                <w:szCs w:val="20"/>
              </w:rPr>
              <w:t>%</w:t>
            </w:r>
          </w:p>
        </w:tc>
        <w:tc>
          <w:tcPr>
            <w:tcW w:w="1255" w:type="dxa"/>
            <w:tcBorders>
              <w:top w:val="nil"/>
              <w:left w:val="nil"/>
              <w:bottom w:val="single" w:sz="4" w:space="0" w:color="auto"/>
              <w:right w:val="single" w:sz="4" w:space="0" w:color="auto"/>
            </w:tcBorders>
            <w:shd w:val="clear" w:color="auto" w:fill="auto"/>
            <w:hideMark/>
          </w:tcPr>
          <w:p w14:paraId="1690993A" w14:textId="77777777" w:rsidR="00E619DC" w:rsidRPr="001C2273" w:rsidRDefault="00E619DC" w:rsidP="003E25A0">
            <w:pPr>
              <w:spacing w:after="0"/>
              <w:jc w:val="right"/>
              <w:rPr>
                <w:rFonts w:eastAsia="Times New Roman" w:cs="Arial"/>
                <w:sz w:val="20"/>
                <w:szCs w:val="20"/>
              </w:rPr>
            </w:pPr>
            <w:r w:rsidRPr="00355704">
              <w:rPr>
                <w:rFonts w:eastAsia="Times New Roman" w:cs="Arial"/>
                <w:sz w:val="20"/>
                <w:szCs w:val="20"/>
                <w:highlight w:val="black"/>
              </w:rPr>
              <w:t>XX</w:t>
            </w:r>
            <w:r w:rsidRPr="00355704">
              <w:rPr>
                <w:rFonts w:eastAsia="Times New Roman" w:cs="Arial"/>
                <w:sz w:val="20"/>
                <w:szCs w:val="20"/>
              </w:rPr>
              <w:t>%</w:t>
            </w:r>
          </w:p>
        </w:tc>
        <w:tc>
          <w:tcPr>
            <w:tcW w:w="1255" w:type="dxa"/>
            <w:tcBorders>
              <w:top w:val="nil"/>
              <w:left w:val="nil"/>
              <w:bottom w:val="single" w:sz="4" w:space="0" w:color="auto"/>
              <w:right w:val="single" w:sz="4" w:space="0" w:color="auto"/>
            </w:tcBorders>
            <w:shd w:val="clear" w:color="auto" w:fill="auto"/>
            <w:hideMark/>
          </w:tcPr>
          <w:p w14:paraId="44530BAE" w14:textId="77777777" w:rsidR="00E619DC" w:rsidRPr="001C2273" w:rsidRDefault="00E619DC" w:rsidP="003E25A0">
            <w:pPr>
              <w:spacing w:after="0"/>
              <w:jc w:val="right"/>
              <w:rPr>
                <w:rFonts w:eastAsia="Times New Roman" w:cs="Arial"/>
                <w:sz w:val="20"/>
                <w:szCs w:val="20"/>
              </w:rPr>
            </w:pPr>
            <w:r w:rsidRPr="00355704">
              <w:rPr>
                <w:rFonts w:eastAsia="Times New Roman" w:cs="Arial"/>
                <w:sz w:val="20"/>
                <w:szCs w:val="20"/>
                <w:highlight w:val="black"/>
              </w:rPr>
              <w:t>XX</w:t>
            </w:r>
            <w:r w:rsidRPr="00355704">
              <w:rPr>
                <w:rFonts w:eastAsia="Times New Roman" w:cs="Arial"/>
                <w:sz w:val="20"/>
                <w:szCs w:val="20"/>
              </w:rPr>
              <w:t>%</w:t>
            </w:r>
          </w:p>
        </w:tc>
        <w:tc>
          <w:tcPr>
            <w:tcW w:w="1255" w:type="dxa"/>
            <w:tcBorders>
              <w:top w:val="nil"/>
              <w:left w:val="nil"/>
              <w:bottom w:val="single" w:sz="4" w:space="0" w:color="auto"/>
              <w:right w:val="single" w:sz="4" w:space="0" w:color="auto"/>
            </w:tcBorders>
            <w:shd w:val="clear" w:color="auto" w:fill="auto"/>
            <w:hideMark/>
          </w:tcPr>
          <w:p w14:paraId="40F3E23C" w14:textId="77777777" w:rsidR="00E619DC" w:rsidRPr="001C2273" w:rsidRDefault="00E619DC" w:rsidP="003E25A0">
            <w:pPr>
              <w:spacing w:after="0"/>
              <w:jc w:val="right"/>
              <w:rPr>
                <w:rFonts w:eastAsia="Times New Roman" w:cs="Arial"/>
                <w:sz w:val="20"/>
                <w:szCs w:val="20"/>
              </w:rPr>
            </w:pPr>
            <w:r w:rsidRPr="00355704">
              <w:rPr>
                <w:rFonts w:eastAsia="Times New Roman" w:cs="Arial"/>
                <w:sz w:val="20"/>
                <w:szCs w:val="20"/>
                <w:highlight w:val="black"/>
              </w:rPr>
              <w:t>XX</w:t>
            </w:r>
            <w:r w:rsidRPr="00355704">
              <w:rPr>
                <w:rFonts w:eastAsia="Times New Roman" w:cs="Arial"/>
                <w:sz w:val="20"/>
                <w:szCs w:val="20"/>
              </w:rPr>
              <w:t>%</w:t>
            </w:r>
          </w:p>
        </w:tc>
      </w:tr>
      <w:tr w:rsidR="00E619DC" w:rsidRPr="008F2643" w14:paraId="42989916" w14:textId="77777777" w:rsidTr="003E25A0">
        <w:trPr>
          <w:trHeight w:val="506"/>
        </w:trPr>
        <w:tc>
          <w:tcPr>
            <w:tcW w:w="2428" w:type="dxa"/>
            <w:tcBorders>
              <w:top w:val="nil"/>
              <w:left w:val="single" w:sz="4" w:space="0" w:color="auto"/>
              <w:bottom w:val="single" w:sz="4" w:space="0" w:color="auto"/>
              <w:right w:val="single" w:sz="4" w:space="0" w:color="auto"/>
            </w:tcBorders>
            <w:shd w:val="clear" w:color="auto" w:fill="auto"/>
            <w:hideMark/>
          </w:tcPr>
          <w:p w14:paraId="5B494C67" w14:textId="77777777" w:rsidR="00E619DC" w:rsidRPr="002E4B52" w:rsidRDefault="00E619DC" w:rsidP="003E25A0">
            <w:pPr>
              <w:spacing w:after="0"/>
              <w:rPr>
                <w:rFonts w:eastAsia="Times New Roman" w:cs="Arial"/>
                <w:b/>
                <w:bCs/>
                <w:sz w:val="20"/>
                <w:szCs w:val="20"/>
              </w:rPr>
            </w:pPr>
            <w:r w:rsidRPr="002E4B52">
              <w:rPr>
                <w:rFonts w:eastAsia="Times New Roman" w:cs="Arial"/>
                <w:b/>
                <w:bCs/>
                <w:sz w:val="20"/>
                <w:szCs w:val="20"/>
              </w:rPr>
              <w:t>No of patients with chronic severe ITP</w:t>
            </w:r>
          </w:p>
        </w:tc>
        <w:tc>
          <w:tcPr>
            <w:tcW w:w="1255" w:type="dxa"/>
            <w:tcBorders>
              <w:top w:val="nil"/>
              <w:left w:val="nil"/>
              <w:bottom w:val="single" w:sz="4" w:space="0" w:color="auto"/>
              <w:right w:val="single" w:sz="4" w:space="0" w:color="auto"/>
            </w:tcBorders>
            <w:shd w:val="clear" w:color="auto" w:fill="auto"/>
            <w:hideMark/>
          </w:tcPr>
          <w:p w14:paraId="2604F54B" w14:textId="7822492E" w:rsidR="00E619DC" w:rsidRPr="00A9439E" w:rsidRDefault="00E619DC" w:rsidP="00817E30">
            <w:pPr>
              <w:spacing w:after="0"/>
              <w:jc w:val="right"/>
              <w:rPr>
                <w:rFonts w:eastAsia="Times New Roman" w:cs="Arial"/>
                <w:b/>
                <w:bCs/>
                <w:sz w:val="20"/>
                <w:szCs w:val="20"/>
                <w:highlight w:val="black"/>
              </w:rPr>
            </w:pPr>
            <w:r w:rsidRPr="00817E30">
              <w:rPr>
                <w:rFonts w:eastAsia="Times New Roman" w:cs="Arial"/>
                <w:sz w:val="20"/>
                <w:szCs w:val="20"/>
                <w:highlight w:val="black"/>
              </w:rPr>
              <w:t>XXXXX</w:t>
            </w:r>
          </w:p>
        </w:tc>
        <w:tc>
          <w:tcPr>
            <w:tcW w:w="1255" w:type="dxa"/>
            <w:tcBorders>
              <w:top w:val="nil"/>
              <w:left w:val="nil"/>
              <w:bottom w:val="single" w:sz="4" w:space="0" w:color="auto"/>
              <w:right w:val="single" w:sz="4" w:space="0" w:color="auto"/>
            </w:tcBorders>
            <w:shd w:val="clear" w:color="auto" w:fill="auto"/>
            <w:hideMark/>
          </w:tcPr>
          <w:p w14:paraId="27430AF9" w14:textId="77777777" w:rsidR="00E619DC" w:rsidRPr="00A9439E" w:rsidRDefault="00E619DC" w:rsidP="003E25A0">
            <w:pPr>
              <w:spacing w:after="0"/>
              <w:jc w:val="right"/>
              <w:rPr>
                <w:rFonts w:eastAsia="Times New Roman" w:cs="Arial"/>
                <w:b/>
                <w:bCs/>
                <w:sz w:val="20"/>
                <w:szCs w:val="20"/>
                <w:highlight w:val="black"/>
              </w:rPr>
            </w:pPr>
            <w:r w:rsidRPr="00A9439E">
              <w:rPr>
                <w:rFonts w:eastAsia="Times New Roman" w:cs="Arial"/>
                <w:sz w:val="20"/>
                <w:szCs w:val="20"/>
                <w:highlight w:val="black"/>
              </w:rPr>
              <w:t>XXX</w:t>
            </w:r>
          </w:p>
        </w:tc>
        <w:tc>
          <w:tcPr>
            <w:tcW w:w="1255" w:type="dxa"/>
            <w:tcBorders>
              <w:top w:val="nil"/>
              <w:left w:val="nil"/>
              <w:bottom w:val="single" w:sz="4" w:space="0" w:color="auto"/>
              <w:right w:val="single" w:sz="4" w:space="0" w:color="auto"/>
            </w:tcBorders>
            <w:shd w:val="clear" w:color="auto" w:fill="auto"/>
            <w:hideMark/>
          </w:tcPr>
          <w:p w14:paraId="5208CC4C" w14:textId="77777777" w:rsidR="00E619DC" w:rsidRPr="00A9439E" w:rsidRDefault="00E619DC" w:rsidP="003E25A0">
            <w:pPr>
              <w:spacing w:after="0"/>
              <w:jc w:val="right"/>
              <w:rPr>
                <w:rFonts w:eastAsia="Times New Roman" w:cs="Arial"/>
                <w:b/>
                <w:bCs/>
                <w:sz w:val="20"/>
                <w:szCs w:val="20"/>
                <w:highlight w:val="black"/>
              </w:rPr>
            </w:pPr>
            <w:r w:rsidRPr="00A9439E">
              <w:rPr>
                <w:rFonts w:eastAsia="Times New Roman" w:cs="Arial"/>
                <w:sz w:val="20"/>
                <w:szCs w:val="20"/>
                <w:highlight w:val="black"/>
              </w:rPr>
              <w:t>XXX</w:t>
            </w:r>
          </w:p>
        </w:tc>
        <w:tc>
          <w:tcPr>
            <w:tcW w:w="1255" w:type="dxa"/>
            <w:tcBorders>
              <w:top w:val="nil"/>
              <w:left w:val="nil"/>
              <w:bottom w:val="single" w:sz="4" w:space="0" w:color="auto"/>
              <w:right w:val="single" w:sz="4" w:space="0" w:color="auto"/>
            </w:tcBorders>
            <w:shd w:val="clear" w:color="auto" w:fill="auto"/>
            <w:hideMark/>
          </w:tcPr>
          <w:p w14:paraId="36925148" w14:textId="77777777" w:rsidR="00E619DC" w:rsidRPr="00A9439E" w:rsidRDefault="00E619DC" w:rsidP="003E25A0">
            <w:pPr>
              <w:spacing w:after="0"/>
              <w:jc w:val="right"/>
              <w:rPr>
                <w:rFonts w:eastAsia="Times New Roman" w:cs="Arial"/>
                <w:b/>
                <w:bCs/>
                <w:sz w:val="20"/>
                <w:szCs w:val="20"/>
                <w:highlight w:val="black"/>
              </w:rPr>
            </w:pPr>
            <w:r w:rsidRPr="00A9439E">
              <w:rPr>
                <w:rFonts w:eastAsia="Times New Roman" w:cs="Arial"/>
                <w:sz w:val="20"/>
                <w:szCs w:val="20"/>
                <w:highlight w:val="black"/>
              </w:rPr>
              <w:t>XXX</w:t>
            </w:r>
          </w:p>
        </w:tc>
        <w:tc>
          <w:tcPr>
            <w:tcW w:w="1255" w:type="dxa"/>
            <w:tcBorders>
              <w:top w:val="nil"/>
              <w:left w:val="nil"/>
              <w:bottom w:val="single" w:sz="4" w:space="0" w:color="auto"/>
              <w:right w:val="single" w:sz="4" w:space="0" w:color="auto"/>
            </w:tcBorders>
            <w:shd w:val="clear" w:color="auto" w:fill="auto"/>
            <w:hideMark/>
          </w:tcPr>
          <w:p w14:paraId="2645108C" w14:textId="77777777" w:rsidR="00E619DC" w:rsidRPr="00A9439E" w:rsidRDefault="00E619DC" w:rsidP="003E25A0">
            <w:pPr>
              <w:spacing w:after="0"/>
              <w:jc w:val="right"/>
              <w:rPr>
                <w:rFonts w:eastAsia="Times New Roman" w:cs="Arial"/>
                <w:b/>
                <w:bCs/>
                <w:sz w:val="20"/>
                <w:szCs w:val="20"/>
                <w:highlight w:val="black"/>
              </w:rPr>
            </w:pPr>
            <w:r w:rsidRPr="00A9439E">
              <w:rPr>
                <w:rFonts w:eastAsia="Times New Roman" w:cs="Arial"/>
                <w:sz w:val="20"/>
                <w:szCs w:val="20"/>
                <w:highlight w:val="black"/>
              </w:rPr>
              <w:t>XXX</w:t>
            </w:r>
          </w:p>
        </w:tc>
      </w:tr>
      <w:tr w:rsidR="00E619DC" w:rsidRPr="008F2643" w14:paraId="00978A37" w14:textId="77777777" w:rsidTr="003E25A0">
        <w:trPr>
          <w:trHeight w:val="556"/>
        </w:trPr>
        <w:tc>
          <w:tcPr>
            <w:tcW w:w="2428" w:type="dxa"/>
            <w:tcBorders>
              <w:top w:val="single" w:sz="4" w:space="0" w:color="auto"/>
              <w:left w:val="single" w:sz="4" w:space="0" w:color="auto"/>
              <w:bottom w:val="single" w:sz="4" w:space="0" w:color="auto"/>
              <w:right w:val="single" w:sz="4" w:space="0" w:color="auto"/>
            </w:tcBorders>
            <w:shd w:val="clear" w:color="auto" w:fill="auto"/>
          </w:tcPr>
          <w:p w14:paraId="7335ACBE" w14:textId="77777777" w:rsidR="00E619DC" w:rsidRPr="001C2273" w:rsidRDefault="00E619DC" w:rsidP="003E25A0">
            <w:pPr>
              <w:spacing w:after="0"/>
              <w:rPr>
                <w:rFonts w:eastAsia="Times New Roman" w:cs="Arial"/>
                <w:b/>
                <w:bCs/>
                <w:sz w:val="20"/>
                <w:szCs w:val="20"/>
              </w:rPr>
            </w:pPr>
            <w:r w:rsidRPr="001C2273">
              <w:rPr>
                <w:rFonts w:cs="Arial"/>
                <w:sz w:val="20"/>
                <w:szCs w:val="20"/>
              </w:rPr>
              <w:t xml:space="preserve">% not  responding to 1st line steroids and fail </w:t>
            </w:r>
            <w:proofErr w:type="spellStart"/>
            <w:r w:rsidRPr="001C2273">
              <w:rPr>
                <w:rFonts w:cs="Arial"/>
                <w:sz w:val="20"/>
                <w:szCs w:val="20"/>
              </w:rPr>
              <w:t>IVIg</w:t>
            </w:r>
            <w:proofErr w:type="spellEnd"/>
          </w:p>
        </w:tc>
        <w:tc>
          <w:tcPr>
            <w:tcW w:w="1255" w:type="dxa"/>
            <w:tcBorders>
              <w:top w:val="single" w:sz="4" w:space="0" w:color="auto"/>
              <w:left w:val="nil"/>
              <w:bottom w:val="single" w:sz="4" w:space="0" w:color="auto"/>
              <w:right w:val="single" w:sz="4" w:space="0" w:color="auto"/>
            </w:tcBorders>
            <w:shd w:val="clear" w:color="auto" w:fill="auto"/>
          </w:tcPr>
          <w:p w14:paraId="6D30E75D" w14:textId="77777777" w:rsidR="00E619DC" w:rsidRPr="001C2273" w:rsidRDefault="00E619DC" w:rsidP="003E25A0">
            <w:pPr>
              <w:spacing w:after="0"/>
              <w:jc w:val="right"/>
              <w:rPr>
                <w:rFonts w:eastAsia="Times New Roman" w:cs="Arial"/>
                <w:b/>
                <w:bCs/>
                <w:sz w:val="20"/>
                <w:szCs w:val="20"/>
              </w:rPr>
            </w:pPr>
            <w:r w:rsidRPr="00355704">
              <w:rPr>
                <w:rFonts w:eastAsia="Times New Roman" w:cs="Arial"/>
                <w:sz w:val="20"/>
                <w:szCs w:val="20"/>
                <w:highlight w:val="black"/>
              </w:rPr>
              <w:t>XX</w:t>
            </w:r>
            <w:r w:rsidRPr="00355704">
              <w:rPr>
                <w:rFonts w:eastAsia="Times New Roman" w:cs="Arial"/>
                <w:sz w:val="20"/>
                <w:szCs w:val="20"/>
              </w:rPr>
              <w:t>%</w:t>
            </w:r>
          </w:p>
        </w:tc>
        <w:tc>
          <w:tcPr>
            <w:tcW w:w="1255" w:type="dxa"/>
            <w:tcBorders>
              <w:top w:val="single" w:sz="4" w:space="0" w:color="auto"/>
              <w:left w:val="nil"/>
              <w:bottom w:val="single" w:sz="4" w:space="0" w:color="auto"/>
              <w:right w:val="single" w:sz="4" w:space="0" w:color="auto"/>
            </w:tcBorders>
            <w:shd w:val="clear" w:color="auto" w:fill="auto"/>
          </w:tcPr>
          <w:p w14:paraId="0828BBAC" w14:textId="77777777" w:rsidR="00E619DC" w:rsidRPr="001C2273" w:rsidRDefault="00E619DC" w:rsidP="003E25A0">
            <w:pPr>
              <w:spacing w:after="0"/>
              <w:jc w:val="right"/>
              <w:rPr>
                <w:rFonts w:eastAsia="Times New Roman" w:cs="Arial"/>
                <w:b/>
                <w:bCs/>
                <w:sz w:val="20"/>
                <w:szCs w:val="20"/>
              </w:rPr>
            </w:pPr>
            <w:r w:rsidRPr="00355704">
              <w:rPr>
                <w:rFonts w:eastAsia="Times New Roman" w:cs="Arial"/>
                <w:sz w:val="20"/>
                <w:szCs w:val="20"/>
                <w:highlight w:val="black"/>
              </w:rPr>
              <w:t>XX</w:t>
            </w:r>
            <w:r w:rsidRPr="00355704">
              <w:rPr>
                <w:rFonts w:eastAsia="Times New Roman" w:cs="Arial"/>
                <w:sz w:val="20"/>
                <w:szCs w:val="20"/>
              </w:rPr>
              <w:t>%</w:t>
            </w:r>
          </w:p>
        </w:tc>
        <w:tc>
          <w:tcPr>
            <w:tcW w:w="1255" w:type="dxa"/>
            <w:tcBorders>
              <w:top w:val="single" w:sz="4" w:space="0" w:color="auto"/>
              <w:left w:val="nil"/>
              <w:bottom w:val="single" w:sz="4" w:space="0" w:color="auto"/>
              <w:right w:val="single" w:sz="4" w:space="0" w:color="auto"/>
            </w:tcBorders>
            <w:shd w:val="clear" w:color="auto" w:fill="auto"/>
          </w:tcPr>
          <w:p w14:paraId="1DB463B8" w14:textId="77777777" w:rsidR="00E619DC" w:rsidRPr="001C2273" w:rsidRDefault="00E619DC" w:rsidP="003E25A0">
            <w:pPr>
              <w:spacing w:after="0"/>
              <w:jc w:val="right"/>
              <w:rPr>
                <w:rFonts w:eastAsia="Times New Roman" w:cs="Arial"/>
                <w:b/>
                <w:bCs/>
                <w:sz w:val="20"/>
                <w:szCs w:val="20"/>
              </w:rPr>
            </w:pPr>
            <w:r w:rsidRPr="00355704">
              <w:rPr>
                <w:rFonts w:eastAsia="Times New Roman" w:cs="Arial"/>
                <w:sz w:val="20"/>
                <w:szCs w:val="20"/>
                <w:highlight w:val="black"/>
              </w:rPr>
              <w:t>XX</w:t>
            </w:r>
            <w:r w:rsidRPr="00355704">
              <w:rPr>
                <w:rFonts w:eastAsia="Times New Roman" w:cs="Arial"/>
                <w:sz w:val="20"/>
                <w:szCs w:val="20"/>
              </w:rPr>
              <w:t>%</w:t>
            </w:r>
          </w:p>
        </w:tc>
        <w:tc>
          <w:tcPr>
            <w:tcW w:w="1255" w:type="dxa"/>
            <w:tcBorders>
              <w:top w:val="single" w:sz="4" w:space="0" w:color="auto"/>
              <w:left w:val="nil"/>
              <w:bottom w:val="single" w:sz="4" w:space="0" w:color="auto"/>
              <w:right w:val="single" w:sz="4" w:space="0" w:color="auto"/>
            </w:tcBorders>
            <w:shd w:val="clear" w:color="auto" w:fill="auto"/>
          </w:tcPr>
          <w:p w14:paraId="2C624018" w14:textId="77777777" w:rsidR="00E619DC" w:rsidRPr="001C2273" w:rsidRDefault="00E619DC" w:rsidP="003E25A0">
            <w:pPr>
              <w:spacing w:after="0"/>
              <w:jc w:val="right"/>
              <w:rPr>
                <w:rFonts w:eastAsia="Times New Roman" w:cs="Arial"/>
                <w:b/>
                <w:bCs/>
                <w:sz w:val="20"/>
                <w:szCs w:val="20"/>
              </w:rPr>
            </w:pPr>
            <w:r w:rsidRPr="00355704">
              <w:rPr>
                <w:rFonts w:eastAsia="Times New Roman" w:cs="Arial"/>
                <w:sz w:val="20"/>
                <w:szCs w:val="20"/>
                <w:highlight w:val="black"/>
              </w:rPr>
              <w:t>XX</w:t>
            </w:r>
            <w:r w:rsidRPr="00355704">
              <w:rPr>
                <w:rFonts w:eastAsia="Times New Roman" w:cs="Arial"/>
                <w:sz w:val="20"/>
                <w:szCs w:val="20"/>
              </w:rPr>
              <w:t>%</w:t>
            </w:r>
          </w:p>
        </w:tc>
        <w:tc>
          <w:tcPr>
            <w:tcW w:w="1255" w:type="dxa"/>
            <w:tcBorders>
              <w:top w:val="single" w:sz="4" w:space="0" w:color="auto"/>
              <w:left w:val="nil"/>
              <w:bottom w:val="single" w:sz="4" w:space="0" w:color="auto"/>
              <w:right w:val="single" w:sz="4" w:space="0" w:color="auto"/>
            </w:tcBorders>
            <w:shd w:val="clear" w:color="auto" w:fill="auto"/>
          </w:tcPr>
          <w:p w14:paraId="50419FAD" w14:textId="77777777" w:rsidR="00E619DC" w:rsidRPr="001C2273" w:rsidRDefault="00E619DC" w:rsidP="003E25A0">
            <w:pPr>
              <w:spacing w:after="0"/>
              <w:jc w:val="right"/>
              <w:rPr>
                <w:rFonts w:eastAsia="Times New Roman" w:cs="Arial"/>
                <w:b/>
                <w:bCs/>
                <w:sz w:val="20"/>
                <w:szCs w:val="20"/>
              </w:rPr>
            </w:pPr>
            <w:r w:rsidRPr="00355704">
              <w:rPr>
                <w:rFonts w:eastAsia="Times New Roman" w:cs="Arial"/>
                <w:sz w:val="20"/>
                <w:szCs w:val="20"/>
                <w:highlight w:val="black"/>
              </w:rPr>
              <w:t>XX</w:t>
            </w:r>
            <w:r w:rsidRPr="00355704">
              <w:rPr>
                <w:rFonts w:eastAsia="Times New Roman" w:cs="Arial"/>
                <w:sz w:val="20"/>
                <w:szCs w:val="20"/>
              </w:rPr>
              <w:t>%</w:t>
            </w:r>
          </w:p>
        </w:tc>
      </w:tr>
      <w:tr w:rsidR="00E619DC" w:rsidRPr="008F2643" w14:paraId="356A3AC3" w14:textId="77777777" w:rsidTr="003E25A0">
        <w:trPr>
          <w:trHeight w:val="550"/>
        </w:trPr>
        <w:tc>
          <w:tcPr>
            <w:tcW w:w="2428" w:type="dxa"/>
            <w:tcBorders>
              <w:top w:val="single" w:sz="4" w:space="0" w:color="auto"/>
              <w:left w:val="single" w:sz="4" w:space="0" w:color="auto"/>
              <w:bottom w:val="single" w:sz="4" w:space="0" w:color="auto"/>
              <w:right w:val="single" w:sz="4" w:space="0" w:color="auto"/>
            </w:tcBorders>
            <w:shd w:val="clear" w:color="auto" w:fill="auto"/>
          </w:tcPr>
          <w:p w14:paraId="509E15B4" w14:textId="77777777" w:rsidR="00E619DC" w:rsidRPr="001C2273" w:rsidRDefault="00E619DC" w:rsidP="003E25A0">
            <w:pPr>
              <w:spacing w:after="0"/>
              <w:rPr>
                <w:rFonts w:eastAsia="Times New Roman" w:cs="Arial"/>
                <w:b/>
                <w:bCs/>
                <w:sz w:val="20"/>
                <w:szCs w:val="20"/>
              </w:rPr>
            </w:pPr>
            <w:r w:rsidRPr="001C2273">
              <w:rPr>
                <w:rFonts w:cs="Arial"/>
                <w:sz w:val="20"/>
                <w:szCs w:val="20"/>
              </w:rPr>
              <w:t xml:space="preserve">No of pts refractory to steroids and </w:t>
            </w:r>
            <w:proofErr w:type="spellStart"/>
            <w:r w:rsidRPr="001C2273">
              <w:rPr>
                <w:rFonts w:cs="Arial"/>
                <w:sz w:val="20"/>
                <w:szCs w:val="20"/>
              </w:rPr>
              <w:t>IVIg</w:t>
            </w:r>
            <w:proofErr w:type="spellEnd"/>
          </w:p>
        </w:tc>
        <w:tc>
          <w:tcPr>
            <w:tcW w:w="1255" w:type="dxa"/>
            <w:tcBorders>
              <w:top w:val="single" w:sz="4" w:space="0" w:color="auto"/>
              <w:left w:val="nil"/>
              <w:bottom w:val="single" w:sz="4" w:space="0" w:color="auto"/>
              <w:right w:val="single" w:sz="4" w:space="0" w:color="auto"/>
            </w:tcBorders>
            <w:shd w:val="clear" w:color="auto" w:fill="auto"/>
          </w:tcPr>
          <w:p w14:paraId="5BB37D4C" w14:textId="060E9B61" w:rsidR="00E619DC" w:rsidRPr="00A9439E" w:rsidRDefault="00E619DC" w:rsidP="003E25A0">
            <w:pPr>
              <w:spacing w:after="0"/>
              <w:jc w:val="right"/>
              <w:rPr>
                <w:rFonts w:eastAsia="Times New Roman" w:cs="Arial"/>
                <w:b/>
                <w:bCs/>
                <w:sz w:val="20"/>
                <w:szCs w:val="20"/>
                <w:highlight w:val="black"/>
              </w:rPr>
            </w:pPr>
            <w:r w:rsidRPr="00E42AD1">
              <w:rPr>
                <w:rFonts w:eastAsia="Times New Roman" w:cs="Arial"/>
                <w:sz w:val="20"/>
                <w:szCs w:val="20"/>
                <w:highlight w:val="black"/>
              </w:rPr>
              <w:t>XXXX</w:t>
            </w:r>
          </w:p>
        </w:tc>
        <w:tc>
          <w:tcPr>
            <w:tcW w:w="1255" w:type="dxa"/>
            <w:tcBorders>
              <w:top w:val="single" w:sz="4" w:space="0" w:color="auto"/>
              <w:left w:val="nil"/>
              <w:bottom w:val="single" w:sz="4" w:space="0" w:color="auto"/>
              <w:right w:val="single" w:sz="4" w:space="0" w:color="auto"/>
            </w:tcBorders>
            <w:shd w:val="clear" w:color="auto" w:fill="auto"/>
          </w:tcPr>
          <w:p w14:paraId="0FDAA8ED" w14:textId="77777777" w:rsidR="00E619DC" w:rsidRPr="00A9439E" w:rsidRDefault="00E619DC" w:rsidP="003E25A0">
            <w:pPr>
              <w:spacing w:after="0"/>
              <w:jc w:val="right"/>
              <w:rPr>
                <w:rFonts w:eastAsia="Times New Roman" w:cs="Arial"/>
                <w:b/>
                <w:bCs/>
                <w:sz w:val="20"/>
                <w:szCs w:val="20"/>
                <w:highlight w:val="black"/>
              </w:rPr>
            </w:pPr>
            <w:r w:rsidRPr="00A9439E">
              <w:rPr>
                <w:rFonts w:eastAsia="Times New Roman" w:cs="Arial"/>
                <w:sz w:val="20"/>
                <w:szCs w:val="20"/>
                <w:highlight w:val="black"/>
              </w:rPr>
              <w:t>XXX</w:t>
            </w:r>
          </w:p>
        </w:tc>
        <w:tc>
          <w:tcPr>
            <w:tcW w:w="1255" w:type="dxa"/>
            <w:tcBorders>
              <w:top w:val="single" w:sz="4" w:space="0" w:color="auto"/>
              <w:left w:val="nil"/>
              <w:bottom w:val="single" w:sz="4" w:space="0" w:color="auto"/>
              <w:right w:val="single" w:sz="4" w:space="0" w:color="auto"/>
            </w:tcBorders>
            <w:shd w:val="clear" w:color="auto" w:fill="auto"/>
          </w:tcPr>
          <w:p w14:paraId="528F372E" w14:textId="77777777" w:rsidR="00E619DC" w:rsidRPr="00A9439E" w:rsidRDefault="00E619DC" w:rsidP="003E25A0">
            <w:pPr>
              <w:spacing w:after="0"/>
              <w:jc w:val="right"/>
              <w:rPr>
                <w:rFonts w:eastAsia="Times New Roman" w:cs="Arial"/>
                <w:b/>
                <w:bCs/>
                <w:sz w:val="20"/>
                <w:szCs w:val="20"/>
                <w:highlight w:val="black"/>
              </w:rPr>
            </w:pPr>
            <w:r w:rsidRPr="00A9439E">
              <w:rPr>
                <w:rFonts w:eastAsia="Times New Roman" w:cs="Arial"/>
                <w:sz w:val="20"/>
                <w:szCs w:val="20"/>
                <w:highlight w:val="black"/>
              </w:rPr>
              <w:t>XXX</w:t>
            </w:r>
          </w:p>
        </w:tc>
        <w:tc>
          <w:tcPr>
            <w:tcW w:w="1255" w:type="dxa"/>
            <w:tcBorders>
              <w:top w:val="single" w:sz="4" w:space="0" w:color="auto"/>
              <w:left w:val="nil"/>
              <w:bottom w:val="single" w:sz="4" w:space="0" w:color="auto"/>
              <w:right w:val="single" w:sz="4" w:space="0" w:color="auto"/>
            </w:tcBorders>
            <w:shd w:val="clear" w:color="auto" w:fill="auto"/>
          </w:tcPr>
          <w:p w14:paraId="5B44CA8F" w14:textId="77777777" w:rsidR="00E619DC" w:rsidRPr="00A9439E" w:rsidRDefault="00E619DC" w:rsidP="003E25A0">
            <w:pPr>
              <w:spacing w:after="0"/>
              <w:jc w:val="right"/>
              <w:rPr>
                <w:rFonts w:eastAsia="Times New Roman" w:cs="Arial"/>
                <w:b/>
                <w:bCs/>
                <w:sz w:val="20"/>
                <w:szCs w:val="20"/>
                <w:highlight w:val="black"/>
              </w:rPr>
            </w:pPr>
            <w:r w:rsidRPr="00A9439E">
              <w:rPr>
                <w:rFonts w:eastAsia="Times New Roman" w:cs="Arial"/>
                <w:sz w:val="20"/>
                <w:szCs w:val="20"/>
                <w:highlight w:val="black"/>
              </w:rPr>
              <w:t>XXX</w:t>
            </w:r>
          </w:p>
        </w:tc>
        <w:tc>
          <w:tcPr>
            <w:tcW w:w="1255" w:type="dxa"/>
            <w:tcBorders>
              <w:top w:val="single" w:sz="4" w:space="0" w:color="auto"/>
              <w:left w:val="nil"/>
              <w:bottom w:val="single" w:sz="4" w:space="0" w:color="auto"/>
              <w:right w:val="single" w:sz="4" w:space="0" w:color="auto"/>
            </w:tcBorders>
            <w:shd w:val="clear" w:color="auto" w:fill="auto"/>
          </w:tcPr>
          <w:p w14:paraId="791BAA89" w14:textId="77777777" w:rsidR="00E619DC" w:rsidRPr="00A9439E" w:rsidRDefault="00E619DC" w:rsidP="003E25A0">
            <w:pPr>
              <w:spacing w:after="0"/>
              <w:jc w:val="right"/>
              <w:rPr>
                <w:rFonts w:eastAsia="Times New Roman" w:cs="Arial"/>
                <w:b/>
                <w:bCs/>
                <w:sz w:val="20"/>
                <w:szCs w:val="20"/>
                <w:highlight w:val="black"/>
              </w:rPr>
            </w:pPr>
            <w:r w:rsidRPr="00A9439E">
              <w:rPr>
                <w:rFonts w:eastAsia="Times New Roman" w:cs="Arial"/>
                <w:sz w:val="20"/>
                <w:szCs w:val="20"/>
                <w:highlight w:val="black"/>
              </w:rPr>
              <w:t>XXX</w:t>
            </w:r>
          </w:p>
        </w:tc>
      </w:tr>
      <w:tr w:rsidR="00E619DC" w:rsidRPr="008F2643" w14:paraId="608DF671" w14:textId="77777777" w:rsidTr="003E25A0">
        <w:trPr>
          <w:trHeight w:val="288"/>
        </w:trPr>
        <w:tc>
          <w:tcPr>
            <w:tcW w:w="2428" w:type="dxa"/>
            <w:tcBorders>
              <w:top w:val="single" w:sz="4" w:space="0" w:color="auto"/>
              <w:left w:val="single" w:sz="4" w:space="0" w:color="auto"/>
              <w:bottom w:val="single" w:sz="4" w:space="0" w:color="auto"/>
              <w:right w:val="single" w:sz="4" w:space="0" w:color="auto"/>
            </w:tcBorders>
            <w:shd w:val="clear" w:color="auto" w:fill="auto"/>
          </w:tcPr>
          <w:p w14:paraId="475D2162" w14:textId="77777777" w:rsidR="00E619DC" w:rsidRPr="001C2273" w:rsidRDefault="00E619DC" w:rsidP="003E25A0">
            <w:pPr>
              <w:spacing w:after="0"/>
              <w:rPr>
                <w:rFonts w:eastAsia="Times New Roman" w:cs="Arial"/>
                <w:b/>
                <w:bCs/>
                <w:sz w:val="20"/>
                <w:szCs w:val="20"/>
              </w:rPr>
            </w:pPr>
            <w:r w:rsidRPr="001C2273">
              <w:rPr>
                <w:rFonts w:cs="Arial"/>
                <w:sz w:val="20"/>
                <w:szCs w:val="20"/>
              </w:rPr>
              <w:lastRenderedPageBreak/>
              <w:t>% splenectomised</w:t>
            </w:r>
          </w:p>
        </w:tc>
        <w:tc>
          <w:tcPr>
            <w:tcW w:w="1255" w:type="dxa"/>
            <w:tcBorders>
              <w:top w:val="single" w:sz="4" w:space="0" w:color="auto"/>
              <w:left w:val="nil"/>
              <w:bottom w:val="single" w:sz="4" w:space="0" w:color="auto"/>
              <w:right w:val="single" w:sz="4" w:space="0" w:color="auto"/>
            </w:tcBorders>
            <w:shd w:val="clear" w:color="auto" w:fill="auto"/>
          </w:tcPr>
          <w:p w14:paraId="5AD67E92" w14:textId="77777777" w:rsidR="00E619DC" w:rsidRPr="001C2273" w:rsidRDefault="00E619DC" w:rsidP="003E25A0">
            <w:pPr>
              <w:spacing w:after="0"/>
              <w:jc w:val="right"/>
              <w:rPr>
                <w:rFonts w:eastAsia="Times New Roman" w:cs="Arial"/>
                <w:b/>
                <w:bCs/>
                <w:sz w:val="20"/>
                <w:szCs w:val="20"/>
              </w:rPr>
            </w:pPr>
            <w:r w:rsidRPr="00355704">
              <w:rPr>
                <w:rFonts w:eastAsia="Times New Roman" w:cs="Arial"/>
                <w:sz w:val="20"/>
                <w:szCs w:val="20"/>
                <w:highlight w:val="black"/>
              </w:rPr>
              <w:t>XX</w:t>
            </w:r>
            <w:r w:rsidRPr="00355704">
              <w:rPr>
                <w:rFonts w:eastAsia="Times New Roman" w:cs="Arial"/>
                <w:sz w:val="20"/>
                <w:szCs w:val="20"/>
              </w:rPr>
              <w:t>%</w:t>
            </w:r>
          </w:p>
        </w:tc>
        <w:tc>
          <w:tcPr>
            <w:tcW w:w="1255" w:type="dxa"/>
            <w:tcBorders>
              <w:top w:val="single" w:sz="4" w:space="0" w:color="auto"/>
              <w:left w:val="nil"/>
              <w:bottom w:val="single" w:sz="4" w:space="0" w:color="auto"/>
              <w:right w:val="single" w:sz="4" w:space="0" w:color="auto"/>
            </w:tcBorders>
            <w:shd w:val="clear" w:color="auto" w:fill="auto"/>
          </w:tcPr>
          <w:p w14:paraId="71C29C4D" w14:textId="77777777" w:rsidR="00E619DC" w:rsidRPr="001C2273" w:rsidRDefault="00E619DC" w:rsidP="003E25A0">
            <w:pPr>
              <w:spacing w:after="0"/>
              <w:jc w:val="right"/>
              <w:rPr>
                <w:rFonts w:eastAsia="Times New Roman" w:cs="Arial"/>
                <w:b/>
                <w:bCs/>
                <w:sz w:val="20"/>
                <w:szCs w:val="20"/>
              </w:rPr>
            </w:pPr>
            <w:r w:rsidRPr="00355704">
              <w:rPr>
                <w:rFonts w:eastAsia="Times New Roman" w:cs="Arial"/>
                <w:sz w:val="20"/>
                <w:szCs w:val="20"/>
                <w:highlight w:val="black"/>
              </w:rPr>
              <w:t>XX</w:t>
            </w:r>
            <w:r w:rsidRPr="00355704">
              <w:rPr>
                <w:rFonts w:eastAsia="Times New Roman" w:cs="Arial"/>
                <w:sz w:val="20"/>
                <w:szCs w:val="20"/>
              </w:rPr>
              <w:t>%</w:t>
            </w:r>
          </w:p>
        </w:tc>
        <w:tc>
          <w:tcPr>
            <w:tcW w:w="1255" w:type="dxa"/>
            <w:tcBorders>
              <w:top w:val="single" w:sz="4" w:space="0" w:color="auto"/>
              <w:left w:val="nil"/>
              <w:bottom w:val="single" w:sz="4" w:space="0" w:color="auto"/>
              <w:right w:val="single" w:sz="4" w:space="0" w:color="auto"/>
            </w:tcBorders>
            <w:shd w:val="clear" w:color="auto" w:fill="auto"/>
          </w:tcPr>
          <w:p w14:paraId="51F31A13" w14:textId="77777777" w:rsidR="00E619DC" w:rsidRPr="001C2273" w:rsidRDefault="00E619DC" w:rsidP="003E25A0">
            <w:pPr>
              <w:spacing w:after="0"/>
              <w:jc w:val="right"/>
              <w:rPr>
                <w:rFonts w:eastAsia="Times New Roman" w:cs="Arial"/>
                <w:b/>
                <w:bCs/>
                <w:sz w:val="20"/>
                <w:szCs w:val="20"/>
              </w:rPr>
            </w:pPr>
            <w:r w:rsidRPr="00355704">
              <w:rPr>
                <w:rFonts w:eastAsia="Times New Roman" w:cs="Arial"/>
                <w:sz w:val="20"/>
                <w:szCs w:val="20"/>
                <w:highlight w:val="black"/>
              </w:rPr>
              <w:t>XX</w:t>
            </w:r>
            <w:r w:rsidRPr="00355704">
              <w:rPr>
                <w:rFonts w:eastAsia="Times New Roman" w:cs="Arial"/>
                <w:sz w:val="20"/>
                <w:szCs w:val="20"/>
              </w:rPr>
              <w:t>%</w:t>
            </w:r>
          </w:p>
        </w:tc>
        <w:tc>
          <w:tcPr>
            <w:tcW w:w="1255" w:type="dxa"/>
            <w:tcBorders>
              <w:top w:val="single" w:sz="4" w:space="0" w:color="auto"/>
              <w:left w:val="nil"/>
              <w:bottom w:val="single" w:sz="4" w:space="0" w:color="auto"/>
              <w:right w:val="single" w:sz="4" w:space="0" w:color="auto"/>
            </w:tcBorders>
            <w:shd w:val="clear" w:color="auto" w:fill="auto"/>
          </w:tcPr>
          <w:p w14:paraId="763C3E84" w14:textId="77777777" w:rsidR="00E619DC" w:rsidRPr="001C2273" w:rsidRDefault="00E619DC" w:rsidP="003E25A0">
            <w:pPr>
              <w:spacing w:after="0"/>
              <w:jc w:val="right"/>
              <w:rPr>
                <w:rFonts w:eastAsia="Times New Roman" w:cs="Arial"/>
                <w:b/>
                <w:bCs/>
                <w:sz w:val="20"/>
                <w:szCs w:val="20"/>
              </w:rPr>
            </w:pPr>
            <w:r w:rsidRPr="00355704">
              <w:rPr>
                <w:rFonts w:eastAsia="Times New Roman" w:cs="Arial"/>
                <w:sz w:val="20"/>
                <w:szCs w:val="20"/>
                <w:highlight w:val="black"/>
              </w:rPr>
              <w:t>XX</w:t>
            </w:r>
            <w:r w:rsidRPr="00355704">
              <w:rPr>
                <w:rFonts w:eastAsia="Times New Roman" w:cs="Arial"/>
                <w:sz w:val="20"/>
                <w:szCs w:val="20"/>
              </w:rPr>
              <w:t>%</w:t>
            </w:r>
          </w:p>
        </w:tc>
        <w:tc>
          <w:tcPr>
            <w:tcW w:w="1255" w:type="dxa"/>
            <w:tcBorders>
              <w:top w:val="single" w:sz="4" w:space="0" w:color="auto"/>
              <w:left w:val="nil"/>
              <w:bottom w:val="single" w:sz="4" w:space="0" w:color="auto"/>
              <w:right w:val="single" w:sz="4" w:space="0" w:color="auto"/>
            </w:tcBorders>
            <w:shd w:val="clear" w:color="auto" w:fill="auto"/>
          </w:tcPr>
          <w:p w14:paraId="00373236" w14:textId="77777777" w:rsidR="00E619DC" w:rsidRPr="001C2273" w:rsidRDefault="00E619DC" w:rsidP="003E25A0">
            <w:pPr>
              <w:spacing w:after="0"/>
              <w:jc w:val="right"/>
              <w:rPr>
                <w:rFonts w:eastAsia="Times New Roman" w:cs="Arial"/>
                <w:b/>
                <w:bCs/>
                <w:sz w:val="20"/>
                <w:szCs w:val="20"/>
              </w:rPr>
            </w:pPr>
            <w:r w:rsidRPr="00355704">
              <w:rPr>
                <w:rFonts w:eastAsia="Times New Roman" w:cs="Arial"/>
                <w:sz w:val="20"/>
                <w:szCs w:val="20"/>
                <w:highlight w:val="black"/>
              </w:rPr>
              <w:t>XX</w:t>
            </w:r>
            <w:r w:rsidRPr="00355704">
              <w:rPr>
                <w:rFonts w:eastAsia="Times New Roman" w:cs="Arial"/>
                <w:sz w:val="20"/>
                <w:szCs w:val="20"/>
              </w:rPr>
              <w:t>%</w:t>
            </w:r>
          </w:p>
        </w:tc>
      </w:tr>
      <w:tr w:rsidR="00E619DC" w:rsidRPr="008F2643" w14:paraId="0DBD4337" w14:textId="77777777" w:rsidTr="003E25A0">
        <w:trPr>
          <w:trHeight w:val="765"/>
        </w:trPr>
        <w:tc>
          <w:tcPr>
            <w:tcW w:w="2428" w:type="dxa"/>
            <w:tcBorders>
              <w:top w:val="single" w:sz="4" w:space="0" w:color="auto"/>
              <w:left w:val="single" w:sz="4" w:space="0" w:color="auto"/>
              <w:bottom w:val="single" w:sz="4" w:space="0" w:color="auto"/>
              <w:right w:val="single" w:sz="4" w:space="0" w:color="auto"/>
            </w:tcBorders>
            <w:shd w:val="clear" w:color="auto" w:fill="auto"/>
          </w:tcPr>
          <w:p w14:paraId="41342910" w14:textId="77777777" w:rsidR="00E619DC" w:rsidRPr="001C2273" w:rsidRDefault="00E619DC" w:rsidP="003E25A0">
            <w:pPr>
              <w:spacing w:after="0"/>
              <w:rPr>
                <w:rFonts w:eastAsia="Times New Roman" w:cs="Arial"/>
                <w:b/>
                <w:bCs/>
                <w:sz w:val="20"/>
                <w:szCs w:val="20"/>
              </w:rPr>
            </w:pPr>
            <w:r w:rsidRPr="001C2273">
              <w:rPr>
                <w:rFonts w:cs="Arial"/>
                <w:sz w:val="20"/>
                <w:szCs w:val="20"/>
              </w:rPr>
              <w:t>No. pts splenectomised for ITP</w:t>
            </w:r>
          </w:p>
        </w:tc>
        <w:tc>
          <w:tcPr>
            <w:tcW w:w="1255" w:type="dxa"/>
            <w:tcBorders>
              <w:top w:val="single" w:sz="4" w:space="0" w:color="auto"/>
              <w:left w:val="nil"/>
              <w:bottom w:val="single" w:sz="4" w:space="0" w:color="auto"/>
              <w:right w:val="single" w:sz="4" w:space="0" w:color="auto"/>
            </w:tcBorders>
            <w:shd w:val="clear" w:color="auto" w:fill="auto"/>
          </w:tcPr>
          <w:p w14:paraId="09183524" w14:textId="77777777" w:rsidR="00E619DC" w:rsidRPr="00A9439E" w:rsidRDefault="00E619DC" w:rsidP="003E25A0">
            <w:pPr>
              <w:spacing w:after="0"/>
              <w:jc w:val="right"/>
              <w:rPr>
                <w:rFonts w:eastAsia="Times New Roman" w:cs="Arial"/>
                <w:b/>
                <w:bCs/>
                <w:sz w:val="20"/>
                <w:szCs w:val="20"/>
                <w:highlight w:val="black"/>
              </w:rPr>
            </w:pPr>
            <w:r w:rsidRPr="00A9439E">
              <w:rPr>
                <w:rFonts w:eastAsia="Times New Roman" w:cs="Arial"/>
                <w:sz w:val="20"/>
                <w:szCs w:val="20"/>
                <w:highlight w:val="black"/>
              </w:rPr>
              <w:t>XXX</w:t>
            </w:r>
          </w:p>
        </w:tc>
        <w:tc>
          <w:tcPr>
            <w:tcW w:w="1255" w:type="dxa"/>
            <w:tcBorders>
              <w:top w:val="single" w:sz="4" w:space="0" w:color="auto"/>
              <w:left w:val="nil"/>
              <w:bottom w:val="single" w:sz="4" w:space="0" w:color="auto"/>
              <w:right w:val="single" w:sz="4" w:space="0" w:color="auto"/>
            </w:tcBorders>
            <w:shd w:val="clear" w:color="auto" w:fill="auto"/>
          </w:tcPr>
          <w:p w14:paraId="00BB4FE4" w14:textId="77777777" w:rsidR="00E619DC" w:rsidRPr="00A9439E" w:rsidRDefault="00E619DC" w:rsidP="003E25A0">
            <w:pPr>
              <w:spacing w:after="0"/>
              <w:jc w:val="right"/>
              <w:rPr>
                <w:rFonts w:eastAsia="Times New Roman" w:cs="Arial"/>
                <w:b/>
                <w:bCs/>
                <w:sz w:val="20"/>
                <w:szCs w:val="20"/>
                <w:highlight w:val="black"/>
              </w:rPr>
            </w:pPr>
            <w:r w:rsidRPr="00A9439E">
              <w:rPr>
                <w:rFonts w:eastAsia="Times New Roman" w:cs="Arial"/>
                <w:sz w:val="20"/>
                <w:szCs w:val="20"/>
                <w:highlight w:val="black"/>
              </w:rPr>
              <w:t>XX</w:t>
            </w:r>
          </w:p>
        </w:tc>
        <w:tc>
          <w:tcPr>
            <w:tcW w:w="1255" w:type="dxa"/>
            <w:tcBorders>
              <w:top w:val="single" w:sz="4" w:space="0" w:color="auto"/>
              <w:left w:val="nil"/>
              <w:bottom w:val="single" w:sz="4" w:space="0" w:color="auto"/>
              <w:right w:val="single" w:sz="4" w:space="0" w:color="auto"/>
            </w:tcBorders>
            <w:shd w:val="clear" w:color="auto" w:fill="auto"/>
          </w:tcPr>
          <w:p w14:paraId="2CF49EF1" w14:textId="77777777" w:rsidR="00E619DC" w:rsidRPr="00A9439E" w:rsidRDefault="00E619DC" w:rsidP="003E25A0">
            <w:pPr>
              <w:spacing w:after="0"/>
              <w:jc w:val="right"/>
              <w:rPr>
                <w:rFonts w:eastAsia="Times New Roman" w:cs="Arial"/>
                <w:b/>
                <w:bCs/>
                <w:sz w:val="20"/>
                <w:szCs w:val="20"/>
                <w:highlight w:val="black"/>
              </w:rPr>
            </w:pPr>
            <w:r w:rsidRPr="00A9439E">
              <w:rPr>
                <w:rFonts w:eastAsia="Times New Roman" w:cs="Arial"/>
                <w:sz w:val="20"/>
                <w:szCs w:val="20"/>
                <w:highlight w:val="black"/>
              </w:rPr>
              <w:t>XX</w:t>
            </w:r>
          </w:p>
        </w:tc>
        <w:tc>
          <w:tcPr>
            <w:tcW w:w="1255" w:type="dxa"/>
            <w:tcBorders>
              <w:top w:val="single" w:sz="4" w:space="0" w:color="auto"/>
              <w:left w:val="nil"/>
              <w:bottom w:val="single" w:sz="4" w:space="0" w:color="auto"/>
              <w:right w:val="single" w:sz="4" w:space="0" w:color="auto"/>
            </w:tcBorders>
            <w:shd w:val="clear" w:color="auto" w:fill="auto"/>
          </w:tcPr>
          <w:p w14:paraId="3F825779" w14:textId="77777777" w:rsidR="00E619DC" w:rsidRPr="00A9439E" w:rsidRDefault="00E619DC" w:rsidP="003E25A0">
            <w:pPr>
              <w:spacing w:after="0"/>
              <w:jc w:val="right"/>
              <w:rPr>
                <w:rFonts w:eastAsia="Times New Roman" w:cs="Arial"/>
                <w:b/>
                <w:bCs/>
                <w:sz w:val="20"/>
                <w:szCs w:val="20"/>
                <w:highlight w:val="black"/>
              </w:rPr>
            </w:pPr>
            <w:r w:rsidRPr="00A9439E">
              <w:rPr>
                <w:rFonts w:eastAsia="Times New Roman" w:cs="Arial"/>
                <w:sz w:val="20"/>
                <w:szCs w:val="20"/>
                <w:highlight w:val="black"/>
              </w:rPr>
              <w:t>XX</w:t>
            </w:r>
          </w:p>
        </w:tc>
        <w:tc>
          <w:tcPr>
            <w:tcW w:w="1255" w:type="dxa"/>
            <w:tcBorders>
              <w:top w:val="single" w:sz="4" w:space="0" w:color="auto"/>
              <w:left w:val="nil"/>
              <w:bottom w:val="single" w:sz="4" w:space="0" w:color="auto"/>
              <w:right w:val="single" w:sz="4" w:space="0" w:color="auto"/>
            </w:tcBorders>
            <w:shd w:val="clear" w:color="auto" w:fill="auto"/>
          </w:tcPr>
          <w:p w14:paraId="06628CB9" w14:textId="77777777" w:rsidR="00E619DC" w:rsidRPr="00A9439E" w:rsidRDefault="00E619DC" w:rsidP="003E25A0">
            <w:pPr>
              <w:spacing w:after="0"/>
              <w:jc w:val="right"/>
              <w:rPr>
                <w:rFonts w:eastAsia="Times New Roman" w:cs="Arial"/>
                <w:b/>
                <w:bCs/>
                <w:sz w:val="20"/>
                <w:szCs w:val="20"/>
                <w:highlight w:val="black"/>
              </w:rPr>
            </w:pPr>
            <w:r w:rsidRPr="00A9439E">
              <w:rPr>
                <w:rFonts w:eastAsia="Times New Roman" w:cs="Arial"/>
                <w:sz w:val="20"/>
                <w:szCs w:val="20"/>
                <w:highlight w:val="black"/>
              </w:rPr>
              <w:t>XX</w:t>
            </w:r>
          </w:p>
        </w:tc>
      </w:tr>
      <w:tr w:rsidR="00E619DC" w:rsidRPr="008F2643" w14:paraId="5AEFB53E" w14:textId="77777777" w:rsidTr="003E25A0">
        <w:trPr>
          <w:trHeight w:val="474"/>
        </w:trPr>
        <w:tc>
          <w:tcPr>
            <w:tcW w:w="2428" w:type="dxa"/>
            <w:tcBorders>
              <w:top w:val="single" w:sz="4" w:space="0" w:color="auto"/>
              <w:left w:val="single" w:sz="4" w:space="0" w:color="auto"/>
              <w:bottom w:val="single" w:sz="4" w:space="0" w:color="auto"/>
              <w:right w:val="single" w:sz="4" w:space="0" w:color="auto"/>
            </w:tcBorders>
            <w:shd w:val="clear" w:color="auto" w:fill="auto"/>
          </w:tcPr>
          <w:p w14:paraId="30C85CB0" w14:textId="77777777" w:rsidR="00E619DC" w:rsidRPr="001C2273" w:rsidRDefault="00E619DC" w:rsidP="003E25A0">
            <w:pPr>
              <w:spacing w:after="0"/>
              <w:rPr>
                <w:rFonts w:eastAsia="Times New Roman" w:cs="Arial"/>
                <w:b/>
                <w:bCs/>
                <w:sz w:val="20"/>
                <w:szCs w:val="20"/>
              </w:rPr>
            </w:pPr>
            <w:r w:rsidRPr="001C2273">
              <w:rPr>
                <w:rFonts w:cs="Arial"/>
                <w:sz w:val="20"/>
                <w:szCs w:val="20"/>
              </w:rPr>
              <w:t xml:space="preserve">% refractory to splenectomy </w:t>
            </w:r>
          </w:p>
        </w:tc>
        <w:tc>
          <w:tcPr>
            <w:tcW w:w="1255" w:type="dxa"/>
            <w:tcBorders>
              <w:top w:val="single" w:sz="4" w:space="0" w:color="auto"/>
              <w:left w:val="nil"/>
              <w:bottom w:val="single" w:sz="4" w:space="0" w:color="auto"/>
              <w:right w:val="single" w:sz="4" w:space="0" w:color="auto"/>
            </w:tcBorders>
            <w:shd w:val="clear" w:color="auto" w:fill="auto"/>
          </w:tcPr>
          <w:p w14:paraId="11989F43" w14:textId="77777777" w:rsidR="00E619DC" w:rsidRPr="001C2273" w:rsidRDefault="00E619DC" w:rsidP="003E25A0">
            <w:pPr>
              <w:spacing w:after="0"/>
              <w:jc w:val="right"/>
              <w:rPr>
                <w:rFonts w:eastAsia="Times New Roman" w:cs="Arial"/>
                <w:b/>
                <w:bCs/>
                <w:sz w:val="20"/>
                <w:szCs w:val="20"/>
              </w:rPr>
            </w:pPr>
            <w:r w:rsidRPr="00355704">
              <w:rPr>
                <w:rFonts w:eastAsia="Times New Roman" w:cs="Arial"/>
                <w:sz w:val="20"/>
                <w:szCs w:val="20"/>
                <w:highlight w:val="black"/>
              </w:rPr>
              <w:t>XX</w:t>
            </w:r>
            <w:r w:rsidRPr="00355704">
              <w:rPr>
                <w:rFonts w:eastAsia="Times New Roman" w:cs="Arial"/>
                <w:sz w:val="20"/>
                <w:szCs w:val="20"/>
              </w:rPr>
              <w:t>%</w:t>
            </w:r>
          </w:p>
        </w:tc>
        <w:tc>
          <w:tcPr>
            <w:tcW w:w="1255" w:type="dxa"/>
            <w:tcBorders>
              <w:top w:val="single" w:sz="4" w:space="0" w:color="auto"/>
              <w:left w:val="nil"/>
              <w:bottom w:val="single" w:sz="4" w:space="0" w:color="auto"/>
              <w:right w:val="single" w:sz="4" w:space="0" w:color="auto"/>
            </w:tcBorders>
            <w:shd w:val="clear" w:color="auto" w:fill="auto"/>
          </w:tcPr>
          <w:p w14:paraId="27228038" w14:textId="77777777" w:rsidR="00E619DC" w:rsidRPr="001C2273" w:rsidRDefault="00E619DC" w:rsidP="003E25A0">
            <w:pPr>
              <w:spacing w:after="0"/>
              <w:jc w:val="right"/>
              <w:rPr>
                <w:rFonts w:eastAsia="Times New Roman" w:cs="Arial"/>
                <w:b/>
                <w:bCs/>
                <w:sz w:val="20"/>
                <w:szCs w:val="20"/>
              </w:rPr>
            </w:pPr>
            <w:r w:rsidRPr="00355704">
              <w:rPr>
                <w:rFonts w:eastAsia="Times New Roman" w:cs="Arial"/>
                <w:sz w:val="20"/>
                <w:szCs w:val="20"/>
                <w:highlight w:val="black"/>
              </w:rPr>
              <w:t>XX</w:t>
            </w:r>
            <w:r w:rsidRPr="00355704">
              <w:rPr>
                <w:rFonts w:eastAsia="Times New Roman" w:cs="Arial"/>
                <w:sz w:val="20"/>
                <w:szCs w:val="20"/>
              </w:rPr>
              <w:t>%</w:t>
            </w:r>
          </w:p>
        </w:tc>
        <w:tc>
          <w:tcPr>
            <w:tcW w:w="1255" w:type="dxa"/>
            <w:tcBorders>
              <w:top w:val="single" w:sz="4" w:space="0" w:color="auto"/>
              <w:left w:val="nil"/>
              <w:bottom w:val="single" w:sz="4" w:space="0" w:color="auto"/>
              <w:right w:val="single" w:sz="4" w:space="0" w:color="auto"/>
            </w:tcBorders>
            <w:shd w:val="clear" w:color="auto" w:fill="auto"/>
          </w:tcPr>
          <w:p w14:paraId="719DA4A1" w14:textId="77777777" w:rsidR="00E619DC" w:rsidRPr="001C2273" w:rsidRDefault="00E619DC" w:rsidP="003E25A0">
            <w:pPr>
              <w:spacing w:after="0"/>
              <w:jc w:val="right"/>
              <w:rPr>
                <w:rFonts w:eastAsia="Times New Roman" w:cs="Arial"/>
                <w:b/>
                <w:bCs/>
                <w:sz w:val="20"/>
                <w:szCs w:val="20"/>
              </w:rPr>
            </w:pPr>
            <w:r w:rsidRPr="00355704">
              <w:rPr>
                <w:rFonts w:eastAsia="Times New Roman" w:cs="Arial"/>
                <w:sz w:val="20"/>
                <w:szCs w:val="20"/>
                <w:highlight w:val="black"/>
              </w:rPr>
              <w:t>XX</w:t>
            </w:r>
            <w:r w:rsidRPr="00355704">
              <w:rPr>
                <w:rFonts w:eastAsia="Times New Roman" w:cs="Arial"/>
                <w:sz w:val="20"/>
                <w:szCs w:val="20"/>
              </w:rPr>
              <w:t>%</w:t>
            </w:r>
          </w:p>
        </w:tc>
        <w:tc>
          <w:tcPr>
            <w:tcW w:w="1255" w:type="dxa"/>
            <w:tcBorders>
              <w:top w:val="single" w:sz="4" w:space="0" w:color="auto"/>
              <w:left w:val="nil"/>
              <w:bottom w:val="single" w:sz="4" w:space="0" w:color="auto"/>
              <w:right w:val="single" w:sz="4" w:space="0" w:color="auto"/>
            </w:tcBorders>
            <w:shd w:val="clear" w:color="auto" w:fill="auto"/>
          </w:tcPr>
          <w:p w14:paraId="47C1AED9" w14:textId="77777777" w:rsidR="00E619DC" w:rsidRPr="001C2273" w:rsidRDefault="00E619DC" w:rsidP="003E25A0">
            <w:pPr>
              <w:spacing w:after="0"/>
              <w:jc w:val="right"/>
              <w:rPr>
                <w:rFonts w:eastAsia="Times New Roman" w:cs="Arial"/>
                <w:b/>
                <w:bCs/>
                <w:sz w:val="20"/>
                <w:szCs w:val="20"/>
              </w:rPr>
            </w:pPr>
            <w:r w:rsidRPr="00355704">
              <w:rPr>
                <w:rFonts w:eastAsia="Times New Roman" w:cs="Arial"/>
                <w:sz w:val="20"/>
                <w:szCs w:val="20"/>
                <w:highlight w:val="black"/>
              </w:rPr>
              <w:t>XX</w:t>
            </w:r>
            <w:r w:rsidRPr="00355704">
              <w:rPr>
                <w:rFonts w:eastAsia="Times New Roman" w:cs="Arial"/>
                <w:sz w:val="20"/>
                <w:szCs w:val="20"/>
              </w:rPr>
              <w:t>%</w:t>
            </w:r>
          </w:p>
        </w:tc>
        <w:tc>
          <w:tcPr>
            <w:tcW w:w="1255" w:type="dxa"/>
            <w:tcBorders>
              <w:top w:val="single" w:sz="4" w:space="0" w:color="auto"/>
              <w:left w:val="nil"/>
              <w:bottom w:val="single" w:sz="4" w:space="0" w:color="auto"/>
              <w:right w:val="single" w:sz="4" w:space="0" w:color="auto"/>
            </w:tcBorders>
            <w:shd w:val="clear" w:color="auto" w:fill="auto"/>
          </w:tcPr>
          <w:p w14:paraId="6C5D8622" w14:textId="77777777" w:rsidR="00E619DC" w:rsidRPr="001C2273" w:rsidRDefault="00E619DC" w:rsidP="003E25A0">
            <w:pPr>
              <w:spacing w:after="0"/>
              <w:jc w:val="right"/>
              <w:rPr>
                <w:rFonts w:eastAsia="Times New Roman" w:cs="Arial"/>
                <w:b/>
                <w:bCs/>
                <w:sz w:val="20"/>
                <w:szCs w:val="20"/>
              </w:rPr>
            </w:pPr>
            <w:r w:rsidRPr="00355704">
              <w:rPr>
                <w:rFonts w:eastAsia="Times New Roman" w:cs="Arial"/>
                <w:sz w:val="20"/>
                <w:szCs w:val="20"/>
                <w:highlight w:val="black"/>
              </w:rPr>
              <w:t>XX</w:t>
            </w:r>
            <w:r w:rsidRPr="00355704">
              <w:rPr>
                <w:rFonts w:eastAsia="Times New Roman" w:cs="Arial"/>
                <w:sz w:val="20"/>
                <w:szCs w:val="20"/>
              </w:rPr>
              <w:t>%</w:t>
            </w:r>
          </w:p>
        </w:tc>
      </w:tr>
      <w:tr w:rsidR="00E619DC" w:rsidRPr="008F2643" w14:paraId="17BC3FD2" w14:textId="77777777" w:rsidTr="003E25A0">
        <w:trPr>
          <w:trHeight w:val="424"/>
        </w:trPr>
        <w:tc>
          <w:tcPr>
            <w:tcW w:w="2428" w:type="dxa"/>
            <w:tcBorders>
              <w:top w:val="single" w:sz="4" w:space="0" w:color="auto"/>
              <w:left w:val="single" w:sz="4" w:space="0" w:color="auto"/>
              <w:bottom w:val="single" w:sz="4" w:space="0" w:color="auto"/>
              <w:right w:val="single" w:sz="4" w:space="0" w:color="auto"/>
            </w:tcBorders>
            <w:shd w:val="clear" w:color="auto" w:fill="auto"/>
          </w:tcPr>
          <w:p w14:paraId="39090522" w14:textId="77777777" w:rsidR="00E619DC" w:rsidRPr="002E4B52" w:rsidRDefault="00E619DC" w:rsidP="003E25A0">
            <w:pPr>
              <w:spacing w:after="0"/>
              <w:rPr>
                <w:rFonts w:eastAsia="Times New Roman" w:cs="Arial"/>
                <w:b/>
                <w:bCs/>
                <w:sz w:val="20"/>
                <w:szCs w:val="20"/>
              </w:rPr>
            </w:pPr>
            <w:r w:rsidRPr="002E4B52">
              <w:rPr>
                <w:rFonts w:cs="Arial"/>
                <w:b/>
                <w:bCs/>
                <w:sz w:val="20"/>
                <w:szCs w:val="20"/>
              </w:rPr>
              <w:t>No of eligible patients post splenectomy</w:t>
            </w:r>
          </w:p>
        </w:tc>
        <w:tc>
          <w:tcPr>
            <w:tcW w:w="1255" w:type="dxa"/>
            <w:tcBorders>
              <w:top w:val="single" w:sz="4" w:space="0" w:color="auto"/>
              <w:left w:val="nil"/>
              <w:bottom w:val="single" w:sz="4" w:space="0" w:color="auto"/>
              <w:right w:val="single" w:sz="4" w:space="0" w:color="auto"/>
            </w:tcBorders>
            <w:shd w:val="clear" w:color="auto" w:fill="auto"/>
          </w:tcPr>
          <w:p w14:paraId="2A16BBA0" w14:textId="77777777" w:rsidR="00E619DC" w:rsidRPr="00A9439E" w:rsidRDefault="00E619DC" w:rsidP="003E25A0">
            <w:pPr>
              <w:spacing w:after="0"/>
              <w:jc w:val="right"/>
              <w:rPr>
                <w:rFonts w:eastAsia="Times New Roman" w:cs="Arial"/>
                <w:b/>
                <w:bCs/>
                <w:sz w:val="20"/>
                <w:szCs w:val="20"/>
                <w:highlight w:val="black"/>
              </w:rPr>
            </w:pPr>
            <w:r w:rsidRPr="00A9439E">
              <w:rPr>
                <w:rFonts w:eastAsia="Times New Roman" w:cs="Arial"/>
                <w:sz w:val="20"/>
                <w:szCs w:val="20"/>
                <w:highlight w:val="black"/>
              </w:rPr>
              <w:t>XXX</w:t>
            </w:r>
          </w:p>
        </w:tc>
        <w:tc>
          <w:tcPr>
            <w:tcW w:w="1255" w:type="dxa"/>
            <w:tcBorders>
              <w:top w:val="single" w:sz="4" w:space="0" w:color="auto"/>
              <w:left w:val="nil"/>
              <w:bottom w:val="single" w:sz="4" w:space="0" w:color="auto"/>
              <w:right w:val="single" w:sz="4" w:space="0" w:color="auto"/>
            </w:tcBorders>
            <w:shd w:val="clear" w:color="auto" w:fill="auto"/>
          </w:tcPr>
          <w:p w14:paraId="4528AD89" w14:textId="77777777" w:rsidR="00E619DC" w:rsidRPr="00A9439E" w:rsidRDefault="00E619DC" w:rsidP="003E25A0">
            <w:pPr>
              <w:spacing w:after="0"/>
              <w:jc w:val="right"/>
              <w:rPr>
                <w:rFonts w:eastAsia="Times New Roman" w:cs="Arial"/>
                <w:b/>
                <w:bCs/>
                <w:sz w:val="20"/>
                <w:szCs w:val="20"/>
                <w:highlight w:val="black"/>
              </w:rPr>
            </w:pPr>
            <w:r w:rsidRPr="00A9439E">
              <w:rPr>
                <w:rFonts w:eastAsia="Times New Roman" w:cs="Arial"/>
                <w:sz w:val="20"/>
                <w:szCs w:val="20"/>
                <w:highlight w:val="black"/>
              </w:rPr>
              <w:t>XX</w:t>
            </w:r>
          </w:p>
        </w:tc>
        <w:tc>
          <w:tcPr>
            <w:tcW w:w="1255" w:type="dxa"/>
            <w:tcBorders>
              <w:top w:val="single" w:sz="4" w:space="0" w:color="auto"/>
              <w:left w:val="nil"/>
              <w:bottom w:val="single" w:sz="4" w:space="0" w:color="auto"/>
              <w:right w:val="single" w:sz="4" w:space="0" w:color="auto"/>
            </w:tcBorders>
            <w:shd w:val="clear" w:color="auto" w:fill="auto"/>
          </w:tcPr>
          <w:p w14:paraId="44963464" w14:textId="77777777" w:rsidR="00E619DC" w:rsidRPr="00A9439E" w:rsidRDefault="00E619DC" w:rsidP="003E25A0">
            <w:pPr>
              <w:spacing w:after="0"/>
              <w:jc w:val="right"/>
              <w:rPr>
                <w:rFonts w:eastAsia="Times New Roman" w:cs="Arial"/>
                <w:b/>
                <w:bCs/>
                <w:sz w:val="20"/>
                <w:szCs w:val="20"/>
                <w:highlight w:val="black"/>
              </w:rPr>
            </w:pPr>
            <w:r w:rsidRPr="00A9439E">
              <w:rPr>
                <w:rFonts w:eastAsia="Times New Roman" w:cs="Arial"/>
                <w:sz w:val="20"/>
                <w:szCs w:val="20"/>
                <w:highlight w:val="black"/>
              </w:rPr>
              <w:t>XX</w:t>
            </w:r>
          </w:p>
        </w:tc>
        <w:tc>
          <w:tcPr>
            <w:tcW w:w="1255" w:type="dxa"/>
            <w:tcBorders>
              <w:top w:val="single" w:sz="4" w:space="0" w:color="auto"/>
              <w:left w:val="nil"/>
              <w:bottom w:val="single" w:sz="4" w:space="0" w:color="auto"/>
              <w:right w:val="single" w:sz="4" w:space="0" w:color="auto"/>
            </w:tcBorders>
            <w:shd w:val="clear" w:color="auto" w:fill="auto"/>
          </w:tcPr>
          <w:p w14:paraId="5164AF14" w14:textId="77777777" w:rsidR="00E619DC" w:rsidRPr="00A9439E" w:rsidRDefault="00E619DC" w:rsidP="003E25A0">
            <w:pPr>
              <w:spacing w:after="0"/>
              <w:jc w:val="right"/>
              <w:rPr>
                <w:rFonts w:eastAsia="Times New Roman" w:cs="Arial"/>
                <w:b/>
                <w:bCs/>
                <w:sz w:val="20"/>
                <w:szCs w:val="20"/>
                <w:highlight w:val="black"/>
              </w:rPr>
            </w:pPr>
            <w:r w:rsidRPr="00A9439E">
              <w:rPr>
                <w:rFonts w:eastAsia="Times New Roman" w:cs="Arial"/>
                <w:sz w:val="20"/>
                <w:szCs w:val="20"/>
                <w:highlight w:val="black"/>
              </w:rPr>
              <w:t>XX</w:t>
            </w:r>
          </w:p>
        </w:tc>
        <w:tc>
          <w:tcPr>
            <w:tcW w:w="1255" w:type="dxa"/>
            <w:tcBorders>
              <w:top w:val="single" w:sz="4" w:space="0" w:color="auto"/>
              <w:left w:val="nil"/>
              <w:bottom w:val="single" w:sz="4" w:space="0" w:color="auto"/>
              <w:right w:val="single" w:sz="4" w:space="0" w:color="auto"/>
            </w:tcBorders>
            <w:shd w:val="clear" w:color="auto" w:fill="auto"/>
          </w:tcPr>
          <w:p w14:paraId="1E9D686F" w14:textId="77777777" w:rsidR="00E619DC" w:rsidRPr="00A9439E" w:rsidRDefault="00E619DC" w:rsidP="003E25A0">
            <w:pPr>
              <w:spacing w:after="0"/>
              <w:jc w:val="right"/>
              <w:rPr>
                <w:rFonts w:eastAsia="Times New Roman" w:cs="Arial"/>
                <w:b/>
                <w:bCs/>
                <w:sz w:val="20"/>
                <w:szCs w:val="20"/>
                <w:highlight w:val="black"/>
              </w:rPr>
            </w:pPr>
            <w:r w:rsidRPr="00A9439E">
              <w:rPr>
                <w:rFonts w:eastAsia="Times New Roman" w:cs="Arial"/>
                <w:sz w:val="20"/>
                <w:szCs w:val="20"/>
                <w:highlight w:val="black"/>
              </w:rPr>
              <w:t>XX</w:t>
            </w:r>
          </w:p>
        </w:tc>
      </w:tr>
      <w:tr w:rsidR="00E619DC" w:rsidRPr="008F2643" w14:paraId="32DD8D50" w14:textId="77777777" w:rsidTr="003E25A0">
        <w:trPr>
          <w:trHeight w:val="765"/>
        </w:trPr>
        <w:tc>
          <w:tcPr>
            <w:tcW w:w="2428" w:type="dxa"/>
            <w:tcBorders>
              <w:top w:val="single" w:sz="4" w:space="0" w:color="auto"/>
              <w:left w:val="single" w:sz="4" w:space="0" w:color="auto"/>
              <w:bottom w:val="single" w:sz="4" w:space="0" w:color="auto"/>
              <w:right w:val="single" w:sz="4" w:space="0" w:color="auto"/>
            </w:tcBorders>
            <w:shd w:val="clear" w:color="auto" w:fill="auto"/>
          </w:tcPr>
          <w:p w14:paraId="2BE9186F" w14:textId="77777777" w:rsidR="00E619DC" w:rsidRPr="001C2273" w:rsidRDefault="00E619DC" w:rsidP="003E25A0">
            <w:pPr>
              <w:spacing w:after="0"/>
              <w:rPr>
                <w:rFonts w:eastAsia="Times New Roman" w:cs="Arial"/>
                <w:b/>
                <w:bCs/>
                <w:sz w:val="20"/>
                <w:szCs w:val="20"/>
              </w:rPr>
            </w:pPr>
            <w:r w:rsidRPr="001C2273">
              <w:rPr>
                <w:rFonts w:cs="Arial"/>
                <w:sz w:val="20"/>
                <w:szCs w:val="20"/>
              </w:rPr>
              <w:t>% severe refractory contraindicated to splenectomy</w:t>
            </w:r>
          </w:p>
        </w:tc>
        <w:tc>
          <w:tcPr>
            <w:tcW w:w="1255" w:type="dxa"/>
            <w:tcBorders>
              <w:top w:val="single" w:sz="4" w:space="0" w:color="auto"/>
              <w:left w:val="nil"/>
              <w:bottom w:val="single" w:sz="4" w:space="0" w:color="auto"/>
              <w:right w:val="single" w:sz="4" w:space="0" w:color="auto"/>
            </w:tcBorders>
            <w:shd w:val="clear" w:color="auto" w:fill="auto"/>
          </w:tcPr>
          <w:p w14:paraId="285B1632" w14:textId="77777777" w:rsidR="00E619DC" w:rsidRPr="001C2273" w:rsidRDefault="00E619DC" w:rsidP="003E25A0">
            <w:pPr>
              <w:spacing w:after="0"/>
              <w:jc w:val="right"/>
              <w:rPr>
                <w:rFonts w:eastAsia="Times New Roman" w:cs="Arial"/>
                <w:b/>
                <w:bCs/>
                <w:sz w:val="20"/>
                <w:szCs w:val="20"/>
              </w:rPr>
            </w:pPr>
            <w:r w:rsidRPr="00355704">
              <w:rPr>
                <w:rFonts w:eastAsia="Times New Roman" w:cs="Arial"/>
                <w:sz w:val="20"/>
                <w:szCs w:val="20"/>
                <w:highlight w:val="black"/>
              </w:rPr>
              <w:t>XX</w:t>
            </w:r>
            <w:r w:rsidRPr="00355704">
              <w:rPr>
                <w:rFonts w:eastAsia="Times New Roman" w:cs="Arial"/>
                <w:sz w:val="20"/>
                <w:szCs w:val="20"/>
              </w:rPr>
              <w:t>%</w:t>
            </w:r>
          </w:p>
        </w:tc>
        <w:tc>
          <w:tcPr>
            <w:tcW w:w="1255" w:type="dxa"/>
            <w:tcBorders>
              <w:top w:val="single" w:sz="4" w:space="0" w:color="auto"/>
              <w:left w:val="nil"/>
              <w:bottom w:val="single" w:sz="4" w:space="0" w:color="auto"/>
              <w:right w:val="single" w:sz="4" w:space="0" w:color="auto"/>
            </w:tcBorders>
            <w:shd w:val="clear" w:color="auto" w:fill="auto"/>
          </w:tcPr>
          <w:p w14:paraId="496F34A9" w14:textId="77777777" w:rsidR="00E619DC" w:rsidRPr="001C2273" w:rsidRDefault="00E619DC" w:rsidP="003E25A0">
            <w:pPr>
              <w:spacing w:after="0"/>
              <w:jc w:val="right"/>
              <w:rPr>
                <w:rFonts w:eastAsia="Times New Roman" w:cs="Arial"/>
                <w:b/>
                <w:bCs/>
                <w:sz w:val="20"/>
                <w:szCs w:val="20"/>
              </w:rPr>
            </w:pPr>
            <w:r w:rsidRPr="00355704">
              <w:rPr>
                <w:rFonts w:eastAsia="Times New Roman" w:cs="Arial"/>
                <w:sz w:val="20"/>
                <w:szCs w:val="20"/>
                <w:highlight w:val="black"/>
              </w:rPr>
              <w:t>XX</w:t>
            </w:r>
            <w:r w:rsidRPr="00355704">
              <w:rPr>
                <w:rFonts w:eastAsia="Times New Roman" w:cs="Arial"/>
                <w:sz w:val="20"/>
                <w:szCs w:val="20"/>
              </w:rPr>
              <w:t>%</w:t>
            </w:r>
          </w:p>
        </w:tc>
        <w:tc>
          <w:tcPr>
            <w:tcW w:w="1255" w:type="dxa"/>
            <w:tcBorders>
              <w:top w:val="single" w:sz="4" w:space="0" w:color="auto"/>
              <w:left w:val="nil"/>
              <w:bottom w:val="single" w:sz="4" w:space="0" w:color="auto"/>
              <w:right w:val="single" w:sz="4" w:space="0" w:color="auto"/>
            </w:tcBorders>
            <w:shd w:val="clear" w:color="auto" w:fill="auto"/>
          </w:tcPr>
          <w:p w14:paraId="4A440F96" w14:textId="77777777" w:rsidR="00E619DC" w:rsidRPr="001C2273" w:rsidRDefault="00E619DC" w:rsidP="003E25A0">
            <w:pPr>
              <w:spacing w:after="0"/>
              <w:jc w:val="right"/>
              <w:rPr>
                <w:rFonts w:eastAsia="Times New Roman" w:cs="Arial"/>
                <w:b/>
                <w:bCs/>
                <w:sz w:val="20"/>
                <w:szCs w:val="20"/>
              </w:rPr>
            </w:pPr>
            <w:r w:rsidRPr="00355704">
              <w:rPr>
                <w:rFonts w:eastAsia="Times New Roman" w:cs="Arial"/>
                <w:sz w:val="20"/>
                <w:szCs w:val="20"/>
                <w:highlight w:val="black"/>
              </w:rPr>
              <w:t>XX</w:t>
            </w:r>
            <w:r w:rsidRPr="00355704">
              <w:rPr>
                <w:rFonts w:eastAsia="Times New Roman" w:cs="Arial"/>
                <w:sz w:val="20"/>
                <w:szCs w:val="20"/>
              </w:rPr>
              <w:t>%</w:t>
            </w:r>
          </w:p>
        </w:tc>
        <w:tc>
          <w:tcPr>
            <w:tcW w:w="1255" w:type="dxa"/>
            <w:tcBorders>
              <w:top w:val="single" w:sz="4" w:space="0" w:color="auto"/>
              <w:left w:val="nil"/>
              <w:bottom w:val="single" w:sz="4" w:space="0" w:color="auto"/>
              <w:right w:val="single" w:sz="4" w:space="0" w:color="auto"/>
            </w:tcBorders>
            <w:shd w:val="clear" w:color="auto" w:fill="auto"/>
          </w:tcPr>
          <w:p w14:paraId="3016BF51" w14:textId="77777777" w:rsidR="00E619DC" w:rsidRPr="001C2273" w:rsidRDefault="00E619DC" w:rsidP="003E25A0">
            <w:pPr>
              <w:spacing w:after="0"/>
              <w:jc w:val="right"/>
              <w:rPr>
                <w:rFonts w:eastAsia="Times New Roman" w:cs="Arial"/>
                <w:b/>
                <w:bCs/>
                <w:sz w:val="20"/>
                <w:szCs w:val="20"/>
              </w:rPr>
            </w:pPr>
            <w:r w:rsidRPr="00355704">
              <w:rPr>
                <w:rFonts w:eastAsia="Times New Roman" w:cs="Arial"/>
                <w:sz w:val="20"/>
                <w:szCs w:val="20"/>
                <w:highlight w:val="black"/>
              </w:rPr>
              <w:t>XX</w:t>
            </w:r>
            <w:r w:rsidRPr="00355704">
              <w:rPr>
                <w:rFonts w:eastAsia="Times New Roman" w:cs="Arial"/>
                <w:sz w:val="20"/>
                <w:szCs w:val="20"/>
              </w:rPr>
              <w:t>%</w:t>
            </w:r>
          </w:p>
        </w:tc>
        <w:tc>
          <w:tcPr>
            <w:tcW w:w="1255" w:type="dxa"/>
            <w:tcBorders>
              <w:top w:val="single" w:sz="4" w:space="0" w:color="auto"/>
              <w:left w:val="nil"/>
              <w:bottom w:val="single" w:sz="4" w:space="0" w:color="auto"/>
              <w:right w:val="single" w:sz="4" w:space="0" w:color="auto"/>
            </w:tcBorders>
            <w:shd w:val="clear" w:color="auto" w:fill="auto"/>
          </w:tcPr>
          <w:p w14:paraId="73B64763" w14:textId="77777777" w:rsidR="00E619DC" w:rsidRPr="001C2273" w:rsidRDefault="00E619DC" w:rsidP="003E25A0">
            <w:pPr>
              <w:spacing w:after="0"/>
              <w:jc w:val="right"/>
              <w:rPr>
                <w:rFonts w:eastAsia="Times New Roman" w:cs="Arial"/>
                <w:b/>
                <w:bCs/>
                <w:sz w:val="20"/>
                <w:szCs w:val="20"/>
              </w:rPr>
            </w:pPr>
            <w:r w:rsidRPr="00355704">
              <w:rPr>
                <w:rFonts w:eastAsia="Times New Roman" w:cs="Arial"/>
                <w:sz w:val="20"/>
                <w:szCs w:val="20"/>
                <w:highlight w:val="black"/>
              </w:rPr>
              <w:t>XX</w:t>
            </w:r>
            <w:r w:rsidRPr="00355704">
              <w:rPr>
                <w:rFonts w:eastAsia="Times New Roman" w:cs="Arial"/>
                <w:sz w:val="20"/>
                <w:szCs w:val="20"/>
              </w:rPr>
              <w:t>%</w:t>
            </w:r>
          </w:p>
        </w:tc>
      </w:tr>
      <w:tr w:rsidR="00E619DC" w:rsidRPr="008F2643" w14:paraId="3020AA50" w14:textId="77777777" w:rsidTr="003E25A0">
        <w:trPr>
          <w:trHeight w:val="598"/>
        </w:trPr>
        <w:tc>
          <w:tcPr>
            <w:tcW w:w="2428" w:type="dxa"/>
            <w:tcBorders>
              <w:top w:val="single" w:sz="4" w:space="0" w:color="auto"/>
              <w:left w:val="single" w:sz="4" w:space="0" w:color="auto"/>
              <w:bottom w:val="single" w:sz="4" w:space="0" w:color="auto"/>
              <w:right w:val="single" w:sz="4" w:space="0" w:color="auto"/>
            </w:tcBorders>
            <w:shd w:val="clear" w:color="auto" w:fill="auto"/>
          </w:tcPr>
          <w:p w14:paraId="78830290" w14:textId="77777777" w:rsidR="00E619DC" w:rsidRPr="00633CE5" w:rsidRDefault="00E619DC" w:rsidP="003E25A0">
            <w:pPr>
              <w:spacing w:after="0"/>
              <w:rPr>
                <w:rFonts w:eastAsia="Times New Roman" w:cs="Arial"/>
                <w:b/>
                <w:bCs/>
                <w:sz w:val="20"/>
                <w:szCs w:val="20"/>
              </w:rPr>
            </w:pPr>
            <w:r w:rsidRPr="00633CE5">
              <w:rPr>
                <w:rFonts w:cs="Arial"/>
                <w:b/>
                <w:bCs/>
                <w:sz w:val="20"/>
                <w:szCs w:val="20"/>
              </w:rPr>
              <w:t>Pts eligible without splenectomy</w:t>
            </w:r>
          </w:p>
        </w:tc>
        <w:tc>
          <w:tcPr>
            <w:tcW w:w="1255" w:type="dxa"/>
            <w:tcBorders>
              <w:top w:val="single" w:sz="4" w:space="0" w:color="auto"/>
              <w:left w:val="nil"/>
              <w:bottom w:val="single" w:sz="4" w:space="0" w:color="auto"/>
              <w:right w:val="single" w:sz="4" w:space="0" w:color="auto"/>
            </w:tcBorders>
            <w:shd w:val="clear" w:color="auto" w:fill="auto"/>
          </w:tcPr>
          <w:p w14:paraId="5506399C" w14:textId="77777777" w:rsidR="00E619DC" w:rsidRPr="00A52CFE" w:rsidRDefault="00E619DC" w:rsidP="003E25A0">
            <w:pPr>
              <w:spacing w:after="0"/>
              <w:jc w:val="right"/>
              <w:rPr>
                <w:rFonts w:eastAsia="Times New Roman" w:cs="Arial"/>
                <w:b/>
                <w:bCs/>
                <w:sz w:val="20"/>
                <w:szCs w:val="20"/>
                <w:highlight w:val="black"/>
              </w:rPr>
            </w:pPr>
            <w:r w:rsidRPr="00A52CFE">
              <w:rPr>
                <w:rFonts w:eastAsia="Times New Roman" w:cs="Arial"/>
                <w:sz w:val="20"/>
                <w:szCs w:val="20"/>
                <w:highlight w:val="black"/>
              </w:rPr>
              <w:t>XXX</w:t>
            </w:r>
          </w:p>
        </w:tc>
        <w:tc>
          <w:tcPr>
            <w:tcW w:w="1255" w:type="dxa"/>
            <w:tcBorders>
              <w:top w:val="single" w:sz="4" w:space="0" w:color="auto"/>
              <w:left w:val="nil"/>
              <w:bottom w:val="single" w:sz="4" w:space="0" w:color="auto"/>
              <w:right w:val="single" w:sz="4" w:space="0" w:color="auto"/>
            </w:tcBorders>
            <w:shd w:val="clear" w:color="auto" w:fill="auto"/>
          </w:tcPr>
          <w:p w14:paraId="6ADCF3B4" w14:textId="77777777" w:rsidR="00E619DC" w:rsidRPr="00A52CFE" w:rsidRDefault="00E619DC" w:rsidP="003E25A0">
            <w:pPr>
              <w:spacing w:after="0"/>
              <w:jc w:val="right"/>
              <w:rPr>
                <w:rFonts w:eastAsia="Times New Roman" w:cs="Arial"/>
                <w:b/>
                <w:bCs/>
                <w:sz w:val="20"/>
                <w:szCs w:val="20"/>
                <w:highlight w:val="black"/>
              </w:rPr>
            </w:pPr>
            <w:r w:rsidRPr="00A52CFE">
              <w:rPr>
                <w:rFonts w:eastAsia="Times New Roman" w:cs="Arial"/>
                <w:sz w:val="20"/>
                <w:szCs w:val="20"/>
                <w:highlight w:val="black"/>
              </w:rPr>
              <w:t>XX</w:t>
            </w:r>
          </w:p>
        </w:tc>
        <w:tc>
          <w:tcPr>
            <w:tcW w:w="1255" w:type="dxa"/>
            <w:tcBorders>
              <w:top w:val="single" w:sz="4" w:space="0" w:color="auto"/>
              <w:left w:val="nil"/>
              <w:bottom w:val="single" w:sz="4" w:space="0" w:color="auto"/>
              <w:right w:val="single" w:sz="4" w:space="0" w:color="auto"/>
            </w:tcBorders>
            <w:shd w:val="clear" w:color="auto" w:fill="auto"/>
          </w:tcPr>
          <w:p w14:paraId="397E3F05" w14:textId="77777777" w:rsidR="00E619DC" w:rsidRPr="00633CE5" w:rsidRDefault="00E619DC" w:rsidP="003E25A0">
            <w:pPr>
              <w:spacing w:after="0"/>
              <w:jc w:val="right"/>
              <w:rPr>
                <w:rFonts w:eastAsia="Times New Roman" w:cs="Arial"/>
                <w:b/>
                <w:bCs/>
                <w:sz w:val="20"/>
                <w:szCs w:val="20"/>
              </w:rPr>
            </w:pPr>
            <w:r w:rsidRPr="00A9439E">
              <w:rPr>
                <w:rFonts w:eastAsia="Times New Roman" w:cs="Arial"/>
                <w:sz w:val="20"/>
                <w:szCs w:val="20"/>
                <w:highlight w:val="black"/>
              </w:rPr>
              <w:t>XX</w:t>
            </w:r>
          </w:p>
        </w:tc>
        <w:tc>
          <w:tcPr>
            <w:tcW w:w="1255" w:type="dxa"/>
            <w:tcBorders>
              <w:top w:val="single" w:sz="4" w:space="0" w:color="auto"/>
              <w:left w:val="nil"/>
              <w:bottom w:val="single" w:sz="4" w:space="0" w:color="auto"/>
              <w:right w:val="single" w:sz="4" w:space="0" w:color="auto"/>
            </w:tcBorders>
            <w:shd w:val="clear" w:color="auto" w:fill="auto"/>
          </w:tcPr>
          <w:p w14:paraId="3B447B9B" w14:textId="77777777" w:rsidR="00E619DC" w:rsidRPr="00633CE5" w:rsidRDefault="00E619DC" w:rsidP="003E25A0">
            <w:pPr>
              <w:spacing w:after="0"/>
              <w:jc w:val="right"/>
              <w:rPr>
                <w:rFonts w:eastAsia="Times New Roman" w:cs="Arial"/>
                <w:b/>
                <w:bCs/>
                <w:sz w:val="20"/>
                <w:szCs w:val="20"/>
              </w:rPr>
            </w:pPr>
            <w:r w:rsidRPr="00A9439E">
              <w:rPr>
                <w:rFonts w:eastAsia="Times New Roman" w:cs="Arial"/>
                <w:sz w:val="20"/>
                <w:szCs w:val="20"/>
                <w:highlight w:val="black"/>
              </w:rPr>
              <w:t>XX</w:t>
            </w:r>
          </w:p>
        </w:tc>
        <w:tc>
          <w:tcPr>
            <w:tcW w:w="1255" w:type="dxa"/>
            <w:tcBorders>
              <w:top w:val="single" w:sz="4" w:space="0" w:color="auto"/>
              <w:left w:val="nil"/>
              <w:bottom w:val="single" w:sz="4" w:space="0" w:color="auto"/>
              <w:right w:val="single" w:sz="4" w:space="0" w:color="auto"/>
            </w:tcBorders>
            <w:shd w:val="clear" w:color="auto" w:fill="auto"/>
          </w:tcPr>
          <w:p w14:paraId="4D46CC83" w14:textId="77777777" w:rsidR="00E619DC" w:rsidRPr="00633CE5" w:rsidRDefault="00E619DC" w:rsidP="003E25A0">
            <w:pPr>
              <w:spacing w:after="0"/>
              <w:jc w:val="right"/>
              <w:rPr>
                <w:rFonts w:eastAsia="Times New Roman" w:cs="Arial"/>
                <w:b/>
                <w:bCs/>
                <w:sz w:val="20"/>
                <w:szCs w:val="20"/>
              </w:rPr>
            </w:pPr>
            <w:r w:rsidRPr="00A9439E">
              <w:rPr>
                <w:rFonts w:eastAsia="Times New Roman" w:cs="Arial"/>
                <w:sz w:val="20"/>
                <w:szCs w:val="20"/>
                <w:highlight w:val="black"/>
              </w:rPr>
              <w:t>XX</w:t>
            </w:r>
          </w:p>
        </w:tc>
      </w:tr>
      <w:tr w:rsidR="00E619DC" w:rsidRPr="008F2643" w14:paraId="1A66B26D" w14:textId="77777777" w:rsidTr="003E25A0">
        <w:trPr>
          <w:trHeight w:val="564"/>
        </w:trPr>
        <w:tc>
          <w:tcPr>
            <w:tcW w:w="2428" w:type="dxa"/>
            <w:tcBorders>
              <w:top w:val="single" w:sz="4" w:space="0" w:color="auto"/>
              <w:left w:val="single" w:sz="4" w:space="0" w:color="auto"/>
              <w:bottom w:val="single" w:sz="4" w:space="0" w:color="auto"/>
              <w:right w:val="single" w:sz="4" w:space="0" w:color="auto"/>
            </w:tcBorders>
            <w:shd w:val="clear" w:color="auto" w:fill="auto"/>
          </w:tcPr>
          <w:p w14:paraId="7032880A" w14:textId="77777777" w:rsidR="00E619DC" w:rsidRPr="001C2273" w:rsidRDefault="00E619DC" w:rsidP="003E25A0">
            <w:pPr>
              <w:spacing w:after="0"/>
              <w:rPr>
                <w:rFonts w:eastAsia="Times New Roman" w:cs="Arial"/>
                <w:b/>
                <w:bCs/>
                <w:sz w:val="20"/>
                <w:szCs w:val="20"/>
              </w:rPr>
            </w:pPr>
            <w:r w:rsidRPr="001C2273">
              <w:rPr>
                <w:rFonts w:cs="Arial"/>
                <w:b/>
                <w:bCs/>
                <w:sz w:val="20"/>
                <w:szCs w:val="20"/>
              </w:rPr>
              <w:t xml:space="preserve">Total no. patients </w:t>
            </w:r>
            <w:r>
              <w:rPr>
                <w:rFonts w:cs="Arial"/>
                <w:b/>
                <w:bCs/>
                <w:sz w:val="20"/>
                <w:szCs w:val="20"/>
              </w:rPr>
              <w:t>initiating PBS TRA</w:t>
            </w:r>
          </w:p>
        </w:tc>
        <w:tc>
          <w:tcPr>
            <w:tcW w:w="1255" w:type="dxa"/>
            <w:tcBorders>
              <w:top w:val="single" w:sz="4" w:space="0" w:color="auto"/>
              <w:left w:val="nil"/>
              <w:bottom w:val="single" w:sz="4" w:space="0" w:color="auto"/>
              <w:right w:val="single" w:sz="4" w:space="0" w:color="auto"/>
            </w:tcBorders>
            <w:shd w:val="clear" w:color="auto" w:fill="auto"/>
          </w:tcPr>
          <w:p w14:paraId="5D99E4B0" w14:textId="77777777" w:rsidR="00E619DC" w:rsidRPr="001C2273" w:rsidRDefault="00E619DC" w:rsidP="003E25A0">
            <w:pPr>
              <w:spacing w:after="0"/>
              <w:jc w:val="right"/>
              <w:rPr>
                <w:rFonts w:eastAsia="Times New Roman" w:cs="Arial"/>
                <w:b/>
                <w:bCs/>
                <w:sz w:val="20"/>
                <w:szCs w:val="20"/>
              </w:rPr>
            </w:pPr>
            <w:r w:rsidRPr="00A9439E">
              <w:rPr>
                <w:rFonts w:eastAsia="Times New Roman" w:cs="Arial"/>
                <w:sz w:val="20"/>
                <w:szCs w:val="20"/>
                <w:highlight w:val="black"/>
              </w:rPr>
              <w:t>XXX</w:t>
            </w:r>
          </w:p>
        </w:tc>
        <w:tc>
          <w:tcPr>
            <w:tcW w:w="1255" w:type="dxa"/>
            <w:tcBorders>
              <w:top w:val="single" w:sz="4" w:space="0" w:color="auto"/>
              <w:left w:val="nil"/>
              <w:bottom w:val="single" w:sz="4" w:space="0" w:color="auto"/>
              <w:right w:val="single" w:sz="4" w:space="0" w:color="auto"/>
            </w:tcBorders>
            <w:shd w:val="clear" w:color="auto" w:fill="auto"/>
          </w:tcPr>
          <w:p w14:paraId="73E713EB" w14:textId="77777777" w:rsidR="00E619DC" w:rsidRPr="001C2273" w:rsidRDefault="00E619DC" w:rsidP="003E25A0">
            <w:pPr>
              <w:spacing w:after="0"/>
              <w:jc w:val="right"/>
              <w:rPr>
                <w:rFonts w:eastAsia="Times New Roman" w:cs="Arial"/>
                <w:b/>
                <w:bCs/>
                <w:sz w:val="20"/>
                <w:szCs w:val="20"/>
              </w:rPr>
            </w:pPr>
            <w:r w:rsidRPr="00A9439E">
              <w:rPr>
                <w:rFonts w:eastAsia="Times New Roman" w:cs="Arial"/>
                <w:sz w:val="20"/>
                <w:szCs w:val="20"/>
                <w:highlight w:val="black"/>
              </w:rPr>
              <w:t>XX</w:t>
            </w:r>
          </w:p>
        </w:tc>
        <w:tc>
          <w:tcPr>
            <w:tcW w:w="1255" w:type="dxa"/>
            <w:tcBorders>
              <w:top w:val="single" w:sz="4" w:space="0" w:color="auto"/>
              <w:left w:val="nil"/>
              <w:bottom w:val="single" w:sz="4" w:space="0" w:color="auto"/>
              <w:right w:val="single" w:sz="4" w:space="0" w:color="auto"/>
            </w:tcBorders>
            <w:shd w:val="clear" w:color="auto" w:fill="auto"/>
          </w:tcPr>
          <w:p w14:paraId="02F4125D" w14:textId="77777777" w:rsidR="00E619DC" w:rsidRPr="001C2273" w:rsidRDefault="00E619DC" w:rsidP="003E25A0">
            <w:pPr>
              <w:spacing w:after="0"/>
              <w:jc w:val="right"/>
              <w:rPr>
                <w:rFonts w:eastAsia="Times New Roman" w:cs="Arial"/>
                <w:b/>
                <w:bCs/>
                <w:sz w:val="20"/>
                <w:szCs w:val="20"/>
              </w:rPr>
            </w:pPr>
            <w:r w:rsidRPr="00A9439E">
              <w:rPr>
                <w:rFonts w:eastAsia="Times New Roman" w:cs="Arial"/>
                <w:sz w:val="20"/>
                <w:szCs w:val="20"/>
                <w:highlight w:val="black"/>
              </w:rPr>
              <w:t>XX</w:t>
            </w:r>
          </w:p>
        </w:tc>
        <w:tc>
          <w:tcPr>
            <w:tcW w:w="1255" w:type="dxa"/>
            <w:tcBorders>
              <w:top w:val="single" w:sz="4" w:space="0" w:color="auto"/>
              <w:left w:val="nil"/>
              <w:bottom w:val="single" w:sz="4" w:space="0" w:color="auto"/>
              <w:right w:val="single" w:sz="4" w:space="0" w:color="auto"/>
            </w:tcBorders>
            <w:shd w:val="clear" w:color="auto" w:fill="auto"/>
          </w:tcPr>
          <w:p w14:paraId="68713427" w14:textId="77777777" w:rsidR="00E619DC" w:rsidRPr="001C2273" w:rsidRDefault="00E619DC" w:rsidP="003E25A0">
            <w:pPr>
              <w:spacing w:after="0"/>
              <w:jc w:val="right"/>
              <w:rPr>
                <w:rFonts w:eastAsia="Times New Roman" w:cs="Arial"/>
                <w:b/>
                <w:bCs/>
                <w:sz w:val="20"/>
                <w:szCs w:val="20"/>
              </w:rPr>
            </w:pPr>
            <w:r w:rsidRPr="00A9439E">
              <w:rPr>
                <w:rFonts w:eastAsia="Times New Roman" w:cs="Arial"/>
                <w:sz w:val="20"/>
                <w:szCs w:val="20"/>
                <w:highlight w:val="black"/>
              </w:rPr>
              <w:t>XX</w:t>
            </w:r>
          </w:p>
        </w:tc>
        <w:tc>
          <w:tcPr>
            <w:tcW w:w="1255" w:type="dxa"/>
            <w:tcBorders>
              <w:top w:val="single" w:sz="4" w:space="0" w:color="auto"/>
              <w:left w:val="nil"/>
              <w:bottom w:val="single" w:sz="4" w:space="0" w:color="auto"/>
              <w:right w:val="single" w:sz="4" w:space="0" w:color="auto"/>
            </w:tcBorders>
            <w:shd w:val="clear" w:color="auto" w:fill="auto"/>
          </w:tcPr>
          <w:p w14:paraId="59EAA91D" w14:textId="77777777" w:rsidR="00E619DC" w:rsidRPr="001C2273" w:rsidRDefault="00E619DC" w:rsidP="003E25A0">
            <w:pPr>
              <w:spacing w:after="0"/>
              <w:jc w:val="right"/>
              <w:rPr>
                <w:rFonts w:eastAsia="Times New Roman" w:cs="Arial"/>
                <w:b/>
                <w:bCs/>
                <w:sz w:val="20"/>
                <w:szCs w:val="20"/>
              </w:rPr>
            </w:pPr>
            <w:r w:rsidRPr="00A9439E">
              <w:rPr>
                <w:rFonts w:eastAsia="Times New Roman" w:cs="Arial"/>
                <w:sz w:val="20"/>
                <w:szCs w:val="20"/>
                <w:highlight w:val="black"/>
              </w:rPr>
              <w:t>XX</w:t>
            </w:r>
          </w:p>
        </w:tc>
      </w:tr>
    </w:tbl>
    <w:p w14:paraId="4FF8C861" w14:textId="77777777" w:rsidR="002D69CC" w:rsidRDefault="002D69CC" w:rsidP="002D69CC">
      <w:pPr>
        <w:spacing w:before="200" w:after="20"/>
      </w:pPr>
      <w:r>
        <w:t xml:space="preserve">The expected uptake of </w:t>
      </w:r>
      <w:proofErr w:type="spellStart"/>
      <w:r>
        <w:t>thrombopoietin</w:t>
      </w:r>
      <w:proofErr w:type="spellEnd"/>
      <w:r>
        <w:t xml:space="preserve"> receptor agonists was assumed to be </w:t>
      </w:r>
      <w:r w:rsidRPr="00E56A8B">
        <w:rPr>
          <w:highlight w:val="black"/>
        </w:rPr>
        <w:t>XX</w:t>
      </w:r>
      <w:r>
        <w:t xml:space="preserve">% of patients in the first year, increasing to </w:t>
      </w:r>
      <w:r w:rsidRPr="00E56A8B">
        <w:rPr>
          <w:highlight w:val="black"/>
        </w:rPr>
        <w:t>XX</w:t>
      </w:r>
      <w:r>
        <w:t>% over the first five years of the listing.  The uptake rates were assumed to be high due to the lack of alternative treatments.</w:t>
      </w:r>
    </w:p>
    <w:p w14:paraId="5CE1510F" w14:textId="77777777" w:rsidR="00E142E4" w:rsidRDefault="00E142E4" w:rsidP="00E142E4">
      <w:pPr>
        <w:spacing w:before="200" w:after="20"/>
      </w:pPr>
      <w:r>
        <w:t xml:space="preserve">Based on the overall response in the non-splenectomy sub group in </w:t>
      </w:r>
      <w:r w:rsidRPr="001D3705">
        <w:rPr>
          <w:highlight w:val="black"/>
        </w:rPr>
        <w:t>XXXXXXXXX</w:t>
      </w:r>
      <w:r>
        <w:t xml:space="preserve"> it was assumed that </w:t>
      </w:r>
      <w:r w:rsidRPr="001D3705">
        <w:rPr>
          <w:highlight w:val="black"/>
        </w:rPr>
        <w:t>XXXX</w:t>
      </w:r>
      <w:r>
        <w:t xml:space="preserve">% of initiating non-splenectomised patients would only receive six months of treatment with either </w:t>
      </w:r>
      <w:proofErr w:type="spellStart"/>
      <w:r>
        <w:t>romiplostim</w:t>
      </w:r>
      <w:proofErr w:type="spellEnd"/>
      <w:r>
        <w:t xml:space="preserve"> or </w:t>
      </w:r>
      <w:proofErr w:type="spellStart"/>
      <w:r>
        <w:t>eltrombopag</w:t>
      </w:r>
      <w:proofErr w:type="spellEnd"/>
      <w:r>
        <w:t xml:space="preserve">. For post-splenectomy patients initiating on </w:t>
      </w:r>
      <w:proofErr w:type="spellStart"/>
      <w:r>
        <w:t>romiplostim</w:t>
      </w:r>
      <w:proofErr w:type="spellEnd"/>
      <w:r>
        <w:t xml:space="preserve"> or </w:t>
      </w:r>
      <w:proofErr w:type="spellStart"/>
      <w:r>
        <w:t>eltrombopag</w:t>
      </w:r>
      <w:proofErr w:type="spellEnd"/>
      <w:r>
        <w:t xml:space="preserve">, </w:t>
      </w:r>
      <w:r w:rsidRPr="001D3705">
        <w:rPr>
          <w:highlight w:val="black"/>
        </w:rPr>
        <w:t>XXXXX</w:t>
      </w:r>
      <w:r>
        <w:t xml:space="preserve">% were estimated to receive 6 months of treatment from the overall response observed in </w:t>
      </w:r>
      <w:r w:rsidRPr="001D3705">
        <w:rPr>
          <w:highlight w:val="black"/>
        </w:rPr>
        <w:t>XXXXXXXXX</w:t>
      </w:r>
      <w:r>
        <w:t>. The patient estimates for the first year of listing factor in initiating grandfathered patients.</w:t>
      </w:r>
    </w:p>
    <w:p w14:paraId="4AEF8145" w14:textId="77777777" w:rsidR="00E142E4" w:rsidRDefault="00E142E4" w:rsidP="00E142E4">
      <w:pPr>
        <w:spacing w:before="200"/>
      </w:pPr>
      <w:r>
        <w:t xml:space="preserve">The ‘all cause’ withdrawal rate of </w:t>
      </w:r>
      <w:r w:rsidRPr="001D3705">
        <w:rPr>
          <w:highlight w:val="black"/>
        </w:rPr>
        <w:t>XXX</w:t>
      </w:r>
      <w:r>
        <w:t>% from an open label extension study (</w:t>
      </w:r>
      <w:r w:rsidRPr="00980D99">
        <w:rPr>
          <w:highlight w:val="black"/>
        </w:rPr>
        <w:t>XXXXXXXXXX</w:t>
      </w:r>
      <w:r>
        <w:t>) was used as the assumption for discontinuation at 12 months for both the non-splenectomised and post-splenectomised patient groups.</w:t>
      </w:r>
    </w:p>
    <w:p w14:paraId="40CDCB7C" w14:textId="00EF6E88" w:rsidR="0083311D" w:rsidRDefault="0083311D" w:rsidP="0083311D">
      <w:pPr>
        <w:spacing w:before="200"/>
      </w:pPr>
      <w:r>
        <w:t xml:space="preserve">In the first year of listing, it was predicted that the market share split between </w:t>
      </w:r>
      <w:proofErr w:type="spellStart"/>
      <w:r>
        <w:t>romiplostim</w:t>
      </w:r>
      <w:proofErr w:type="spellEnd"/>
      <w:r>
        <w:t xml:space="preserve"> and </w:t>
      </w:r>
      <w:proofErr w:type="spellStart"/>
      <w:r>
        <w:t>eltrombopag</w:t>
      </w:r>
      <w:proofErr w:type="spellEnd"/>
      <w:r>
        <w:t xml:space="preserve"> would be </w:t>
      </w:r>
      <w:r w:rsidR="00C94F0F" w:rsidRPr="00C94F0F">
        <w:rPr>
          <w:highlight w:val="black"/>
        </w:rPr>
        <w:t>XX</w:t>
      </w:r>
      <w:r>
        <w:t>%</w:t>
      </w:r>
      <w:proofErr w:type="gramStart"/>
      <w:r>
        <w:t>:</w:t>
      </w:r>
      <w:r w:rsidR="00C94F0F" w:rsidRPr="00C94F0F">
        <w:rPr>
          <w:highlight w:val="black"/>
        </w:rPr>
        <w:t>XX</w:t>
      </w:r>
      <w:proofErr w:type="gramEnd"/>
      <w:r>
        <w:t xml:space="preserve">%. For the subsequent years of listing, these agents were assumed to have </w:t>
      </w:r>
      <w:r w:rsidR="00C94F0F" w:rsidRPr="00C94F0F">
        <w:rPr>
          <w:highlight w:val="black"/>
        </w:rPr>
        <w:t>XXXXXXXXX</w:t>
      </w:r>
      <w:r>
        <w:t xml:space="preserve"> share of the market. </w:t>
      </w:r>
    </w:p>
    <w:p w14:paraId="3204227F" w14:textId="77777777" w:rsidR="0083311D" w:rsidRDefault="0083311D" w:rsidP="0083311D">
      <w:r w:rsidRPr="00EF1BB7">
        <w:t>A summary of the</w:t>
      </w:r>
      <w:r>
        <w:t xml:space="preserve"> projected treated splenectomised and non-splenectomised populations are </w:t>
      </w:r>
      <w:r w:rsidRPr="00EF1BB7">
        <w:t xml:space="preserve">presented in Table </w:t>
      </w:r>
      <w:r>
        <w:t>5.</w:t>
      </w:r>
    </w:p>
    <w:p w14:paraId="5C44CBFA" w14:textId="56521DAB" w:rsidR="00A70F2A" w:rsidRDefault="00A70F2A">
      <w:pPr>
        <w:spacing w:line="276" w:lineRule="auto"/>
      </w:pPr>
      <w:r>
        <w:br w:type="page"/>
      </w:r>
    </w:p>
    <w:p w14:paraId="49BE5C7B" w14:textId="77777777" w:rsidR="00497871" w:rsidRDefault="00497871" w:rsidP="00A70F2A">
      <w:pPr>
        <w:pStyle w:val="Tableheading"/>
        <w:jc w:val="left"/>
      </w:pPr>
      <w:r>
        <w:lastRenderedPageBreak/>
        <w:t>Table 5</w:t>
      </w:r>
      <w:r w:rsidRPr="001420B3">
        <w:t xml:space="preserve">: </w:t>
      </w:r>
      <w:r>
        <w:t>Summary of the projected treated splenectomised and non-splenectomised populations</w:t>
      </w:r>
    </w:p>
    <w:tbl>
      <w:tblPr>
        <w:tblW w:w="7513" w:type="dxa"/>
        <w:tblInd w:w="108" w:type="dxa"/>
        <w:tblLook w:val="04A0" w:firstRow="1" w:lastRow="0" w:firstColumn="1" w:lastColumn="0" w:noHBand="0" w:noVBand="1"/>
        <w:tblCaption w:val="Table 5"/>
        <w:tblDescription w:val="Summary of the projected splenectomised and non-splenectomised populations. The figures in this table have been redacted."/>
      </w:tblPr>
      <w:tblGrid>
        <w:gridCol w:w="4536"/>
        <w:gridCol w:w="993"/>
        <w:gridCol w:w="992"/>
        <w:gridCol w:w="992"/>
      </w:tblGrid>
      <w:tr w:rsidR="00497871" w:rsidRPr="00300071" w14:paraId="648C7286" w14:textId="77777777" w:rsidTr="003E25A0">
        <w:trPr>
          <w:trHeight w:val="255"/>
        </w:trPr>
        <w:tc>
          <w:tcPr>
            <w:tcW w:w="4536" w:type="dxa"/>
            <w:tcBorders>
              <w:top w:val="nil"/>
              <w:left w:val="nil"/>
              <w:bottom w:val="nil"/>
              <w:right w:val="nil"/>
            </w:tcBorders>
            <w:shd w:val="clear" w:color="auto" w:fill="auto"/>
            <w:noWrap/>
            <w:vAlign w:val="bottom"/>
            <w:hideMark/>
          </w:tcPr>
          <w:p w14:paraId="26EEC77B" w14:textId="77777777" w:rsidR="00497871" w:rsidRPr="00034DE8" w:rsidRDefault="00497871" w:rsidP="003E25A0">
            <w:pPr>
              <w:spacing w:after="0"/>
              <w:rPr>
                <w:rFonts w:eastAsia="Times New Roman" w:cs="Arial"/>
                <w:sz w:val="20"/>
                <w:szCs w:val="20"/>
              </w:rPr>
            </w:pPr>
          </w:p>
        </w:tc>
        <w:tc>
          <w:tcPr>
            <w:tcW w:w="993" w:type="dxa"/>
            <w:tcBorders>
              <w:top w:val="single" w:sz="4" w:space="0" w:color="auto"/>
              <w:left w:val="single" w:sz="4" w:space="0" w:color="auto"/>
              <w:bottom w:val="nil"/>
              <w:right w:val="single" w:sz="4" w:space="0" w:color="auto"/>
            </w:tcBorders>
            <w:shd w:val="clear" w:color="auto" w:fill="BFBFBF" w:themeFill="background1" w:themeFillShade="BF"/>
            <w:noWrap/>
            <w:vAlign w:val="bottom"/>
            <w:hideMark/>
          </w:tcPr>
          <w:p w14:paraId="316789A2" w14:textId="77777777" w:rsidR="00497871" w:rsidRPr="00034DE8" w:rsidRDefault="00497871" w:rsidP="003E25A0">
            <w:pPr>
              <w:spacing w:after="0"/>
              <w:jc w:val="center"/>
              <w:rPr>
                <w:rFonts w:eastAsia="Times New Roman" w:cs="Arial"/>
                <w:b/>
                <w:bCs/>
                <w:sz w:val="20"/>
                <w:szCs w:val="20"/>
              </w:rPr>
            </w:pPr>
            <w:r w:rsidRPr="00034DE8">
              <w:rPr>
                <w:rFonts w:eastAsia="Times New Roman" w:cs="Arial"/>
                <w:b/>
                <w:bCs/>
                <w:sz w:val="20"/>
                <w:szCs w:val="20"/>
              </w:rPr>
              <w:t>Year 1</w:t>
            </w:r>
          </w:p>
        </w:tc>
        <w:tc>
          <w:tcPr>
            <w:tcW w:w="992" w:type="dxa"/>
            <w:tcBorders>
              <w:top w:val="single" w:sz="4" w:space="0" w:color="auto"/>
              <w:left w:val="nil"/>
              <w:bottom w:val="nil"/>
              <w:right w:val="single" w:sz="4" w:space="0" w:color="auto"/>
            </w:tcBorders>
            <w:shd w:val="clear" w:color="auto" w:fill="BFBFBF" w:themeFill="background1" w:themeFillShade="BF"/>
            <w:noWrap/>
            <w:vAlign w:val="bottom"/>
            <w:hideMark/>
          </w:tcPr>
          <w:p w14:paraId="6C17DE6C" w14:textId="77777777" w:rsidR="00497871" w:rsidRPr="00034DE8" w:rsidRDefault="00497871" w:rsidP="003E25A0">
            <w:pPr>
              <w:spacing w:after="0"/>
              <w:jc w:val="center"/>
              <w:rPr>
                <w:rFonts w:eastAsia="Times New Roman" w:cs="Arial"/>
                <w:b/>
                <w:bCs/>
                <w:sz w:val="20"/>
                <w:szCs w:val="20"/>
              </w:rPr>
            </w:pPr>
            <w:r w:rsidRPr="00034DE8">
              <w:rPr>
                <w:rFonts w:eastAsia="Times New Roman" w:cs="Arial"/>
                <w:b/>
                <w:bCs/>
                <w:sz w:val="20"/>
                <w:szCs w:val="20"/>
              </w:rPr>
              <w:t>Year 2</w:t>
            </w:r>
          </w:p>
        </w:tc>
        <w:tc>
          <w:tcPr>
            <w:tcW w:w="992" w:type="dxa"/>
            <w:tcBorders>
              <w:top w:val="single" w:sz="4" w:space="0" w:color="auto"/>
              <w:left w:val="nil"/>
              <w:bottom w:val="nil"/>
              <w:right w:val="single" w:sz="4" w:space="0" w:color="auto"/>
            </w:tcBorders>
            <w:shd w:val="clear" w:color="auto" w:fill="BFBFBF" w:themeFill="background1" w:themeFillShade="BF"/>
            <w:noWrap/>
            <w:vAlign w:val="bottom"/>
            <w:hideMark/>
          </w:tcPr>
          <w:p w14:paraId="6ABCB584" w14:textId="77777777" w:rsidR="00497871" w:rsidRPr="00034DE8" w:rsidRDefault="00497871" w:rsidP="003E25A0">
            <w:pPr>
              <w:spacing w:after="0"/>
              <w:jc w:val="center"/>
              <w:rPr>
                <w:rFonts w:eastAsia="Times New Roman" w:cs="Arial"/>
                <w:b/>
                <w:bCs/>
                <w:sz w:val="20"/>
                <w:szCs w:val="20"/>
              </w:rPr>
            </w:pPr>
            <w:r w:rsidRPr="00034DE8">
              <w:rPr>
                <w:rFonts w:eastAsia="Times New Roman" w:cs="Arial"/>
                <w:b/>
                <w:bCs/>
                <w:sz w:val="20"/>
                <w:szCs w:val="20"/>
              </w:rPr>
              <w:t>Year 3</w:t>
            </w:r>
          </w:p>
        </w:tc>
      </w:tr>
      <w:tr w:rsidR="00497871" w:rsidRPr="00300071" w14:paraId="0F35DA4E" w14:textId="77777777" w:rsidTr="003E25A0">
        <w:trPr>
          <w:trHeight w:val="255"/>
        </w:trPr>
        <w:tc>
          <w:tcPr>
            <w:tcW w:w="751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7B127C42" w14:textId="77777777" w:rsidR="00497871" w:rsidRPr="00034DE8" w:rsidRDefault="00497871" w:rsidP="003E25A0">
            <w:pPr>
              <w:spacing w:after="0"/>
              <w:rPr>
                <w:rFonts w:eastAsia="Times New Roman" w:cs="Arial"/>
                <w:b/>
                <w:bCs/>
                <w:sz w:val="20"/>
                <w:szCs w:val="20"/>
              </w:rPr>
            </w:pPr>
            <w:r>
              <w:rPr>
                <w:rFonts w:eastAsia="Times New Roman" w:cs="Arial"/>
                <w:b/>
                <w:bCs/>
                <w:sz w:val="20"/>
                <w:szCs w:val="20"/>
              </w:rPr>
              <w:t>Splenectomised patients</w:t>
            </w:r>
          </w:p>
        </w:tc>
      </w:tr>
      <w:tr w:rsidR="00497871" w:rsidRPr="00300071" w14:paraId="6DED9E47" w14:textId="77777777" w:rsidTr="003E25A0">
        <w:trPr>
          <w:trHeight w:val="255"/>
        </w:trPr>
        <w:tc>
          <w:tcPr>
            <w:tcW w:w="4536" w:type="dxa"/>
            <w:tcBorders>
              <w:top w:val="nil"/>
              <w:left w:val="single" w:sz="4" w:space="0" w:color="auto"/>
              <w:bottom w:val="single" w:sz="4" w:space="0" w:color="auto"/>
              <w:right w:val="single" w:sz="4" w:space="0" w:color="auto"/>
            </w:tcBorders>
            <w:shd w:val="clear" w:color="auto" w:fill="auto"/>
            <w:noWrap/>
            <w:vAlign w:val="bottom"/>
          </w:tcPr>
          <w:p w14:paraId="20048C39" w14:textId="77777777" w:rsidR="00497871" w:rsidRPr="00C943C3" w:rsidRDefault="00497871" w:rsidP="003E25A0">
            <w:pPr>
              <w:spacing w:after="0"/>
              <w:rPr>
                <w:rFonts w:eastAsia="Times New Roman" w:cs="Arial"/>
                <w:sz w:val="20"/>
                <w:szCs w:val="20"/>
              </w:rPr>
            </w:pPr>
            <w:r w:rsidRPr="00C943C3">
              <w:rPr>
                <w:rFonts w:eastAsia="Times New Roman" w:cs="Arial"/>
                <w:sz w:val="20"/>
                <w:szCs w:val="20"/>
              </w:rPr>
              <w:t>E</w:t>
            </w:r>
            <w:r>
              <w:rPr>
                <w:rFonts w:eastAsia="Times New Roman" w:cs="Arial"/>
                <w:sz w:val="20"/>
                <w:szCs w:val="20"/>
              </w:rPr>
              <w:t>ligible splenectomised patients</w:t>
            </w:r>
          </w:p>
        </w:tc>
        <w:tc>
          <w:tcPr>
            <w:tcW w:w="993" w:type="dxa"/>
            <w:tcBorders>
              <w:top w:val="nil"/>
              <w:left w:val="nil"/>
              <w:bottom w:val="single" w:sz="4" w:space="0" w:color="auto"/>
              <w:right w:val="single" w:sz="4" w:space="0" w:color="auto"/>
            </w:tcBorders>
            <w:shd w:val="clear" w:color="auto" w:fill="auto"/>
            <w:noWrap/>
            <w:vAlign w:val="center"/>
          </w:tcPr>
          <w:p w14:paraId="69842EC9" w14:textId="77777777" w:rsidR="00497871" w:rsidRPr="001442A1" w:rsidRDefault="00497871" w:rsidP="003E25A0">
            <w:pPr>
              <w:spacing w:after="0"/>
              <w:jc w:val="right"/>
              <w:rPr>
                <w:rFonts w:eastAsia="Times New Roman" w:cs="Arial"/>
                <w:sz w:val="20"/>
                <w:szCs w:val="20"/>
                <w:highlight w:val="black"/>
              </w:rPr>
            </w:pPr>
            <w:r w:rsidRPr="001442A1">
              <w:rPr>
                <w:rFonts w:ascii="Calibri" w:hAnsi="Calibri" w:cs="Arial"/>
                <w:sz w:val="20"/>
                <w:szCs w:val="20"/>
                <w:highlight w:val="black"/>
              </w:rPr>
              <w:t>XXX</w:t>
            </w:r>
          </w:p>
        </w:tc>
        <w:tc>
          <w:tcPr>
            <w:tcW w:w="992" w:type="dxa"/>
            <w:tcBorders>
              <w:top w:val="nil"/>
              <w:left w:val="nil"/>
              <w:bottom w:val="single" w:sz="4" w:space="0" w:color="auto"/>
              <w:right w:val="single" w:sz="4" w:space="0" w:color="auto"/>
            </w:tcBorders>
            <w:shd w:val="clear" w:color="auto" w:fill="auto"/>
            <w:noWrap/>
            <w:vAlign w:val="center"/>
          </w:tcPr>
          <w:p w14:paraId="0F03CB2F" w14:textId="77777777" w:rsidR="00497871" w:rsidRPr="001442A1" w:rsidRDefault="00497871" w:rsidP="003E25A0">
            <w:pPr>
              <w:spacing w:after="0"/>
              <w:jc w:val="right"/>
              <w:rPr>
                <w:rFonts w:eastAsia="Times New Roman" w:cs="Arial"/>
                <w:sz w:val="20"/>
                <w:szCs w:val="20"/>
                <w:highlight w:val="black"/>
              </w:rPr>
            </w:pPr>
            <w:r w:rsidRPr="001442A1">
              <w:rPr>
                <w:rFonts w:ascii="Calibri" w:hAnsi="Calibri" w:cs="Arial"/>
                <w:sz w:val="20"/>
                <w:szCs w:val="20"/>
                <w:highlight w:val="black"/>
              </w:rPr>
              <w:t>XX</w:t>
            </w:r>
          </w:p>
        </w:tc>
        <w:tc>
          <w:tcPr>
            <w:tcW w:w="992" w:type="dxa"/>
            <w:tcBorders>
              <w:top w:val="nil"/>
              <w:left w:val="nil"/>
              <w:bottom w:val="single" w:sz="4" w:space="0" w:color="auto"/>
              <w:right w:val="single" w:sz="4" w:space="0" w:color="auto"/>
            </w:tcBorders>
            <w:shd w:val="clear" w:color="auto" w:fill="auto"/>
            <w:noWrap/>
            <w:vAlign w:val="center"/>
          </w:tcPr>
          <w:p w14:paraId="1F968EB6" w14:textId="77777777" w:rsidR="00497871" w:rsidRPr="001442A1" w:rsidRDefault="00497871" w:rsidP="003E25A0">
            <w:pPr>
              <w:spacing w:after="0"/>
              <w:jc w:val="right"/>
              <w:rPr>
                <w:rFonts w:eastAsia="Times New Roman" w:cs="Arial"/>
                <w:sz w:val="20"/>
                <w:szCs w:val="20"/>
                <w:highlight w:val="black"/>
              </w:rPr>
            </w:pPr>
            <w:r w:rsidRPr="001442A1">
              <w:rPr>
                <w:rFonts w:ascii="Calibri" w:hAnsi="Calibri" w:cs="Arial"/>
                <w:sz w:val="20"/>
                <w:szCs w:val="20"/>
                <w:highlight w:val="black"/>
              </w:rPr>
              <w:t>XX</w:t>
            </w:r>
          </w:p>
        </w:tc>
      </w:tr>
      <w:tr w:rsidR="00497871" w:rsidRPr="00300071" w14:paraId="3758BE63" w14:textId="77777777" w:rsidTr="003E25A0">
        <w:trPr>
          <w:trHeight w:val="255"/>
        </w:trPr>
        <w:tc>
          <w:tcPr>
            <w:tcW w:w="4536" w:type="dxa"/>
            <w:tcBorders>
              <w:top w:val="nil"/>
              <w:left w:val="single" w:sz="4" w:space="0" w:color="auto"/>
              <w:bottom w:val="single" w:sz="4" w:space="0" w:color="auto"/>
              <w:right w:val="single" w:sz="4" w:space="0" w:color="auto"/>
            </w:tcBorders>
            <w:shd w:val="clear" w:color="auto" w:fill="auto"/>
            <w:noWrap/>
            <w:vAlign w:val="bottom"/>
          </w:tcPr>
          <w:p w14:paraId="4FDDF28B" w14:textId="77777777" w:rsidR="00497871" w:rsidRPr="00C943C3" w:rsidRDefault="00497871" w:rsidP="003E25A0">
            <w:pPr>
              <w:spacing w:after="0"/>
              <w:rPr>
                <w:rFonts w:eastAsia="Times New Roman" w:cs="Arial"/>
                <w:sz w:val="20"/>
                <w:szCs w:val="20"/>
              </w:rPr>
            </w:pPr>
            <w:r w:rsidRPr="00C943C3">
              <w:rPr>
                <w:rFonts w:eastAsia="Times New Roman" w:cs="Arial"/>
                <w:sz w:val="20"/>
                <w:szCs w:val="20"/>
              </w:rPr>
              <w:t>Uptake rate for splenectomised patients</w:t>
            </w:r>
          </w:p>
        </w:tc>
        <w:tc>
          <w:tcPr>
            <w:tcW w:w="993" w:type="dxa"/>
            <w:tcBorders>
              <w:top w:val="nil"/>
              <w:left w:val="nil"/>
              <w:bottom w:val="single" w:sz="4" w:space="0" w:color="auto"/>
              <w:right w:val="single" w:sz="4" w:space="0" w:color="auto"/>
            </w:tcBorders>
            <w:shd w:val="clear" w:color="auto" w:fill="auto"/>
            <w:noWrap/>
            <w:vAlign w:val="center"/>
          </w:tcPr>
          <w:p w14:paraId="10AE95CA" w14:textId="77777777" w:rsidR="00497871" w:rsidRPr="00C943C3" w:rsidRDefault="00497871" w:rsidP="003E25A0">
            <w:pPr>
              <w:spacing w:after="0"/>
              <w:jc w:val="right"/>
              <w:rPr>
                <w:rFonts w:eastAsia="Times New Roman" w:cs="Arial"/>
                <w:sz w:val="20"/>
                <w:szCs w:val="20"/>
              </w:rPr>
            </w:pPr>
            <w:r w:rsidRPr="001442A1">
              <w:rPr>
                <w:rFonts w:ascii="Calibri" w:hAnsi="Calibri" w:cs="Arial"/>
                <w:sz w:val="20"/>
                <w:szCs w:val="20"/>
                <w:highlight w:val="black"/>
              </w:rPr>
              <w:t>XX</w:t>
            </w:r>
            <w:r>
              <w:rPr>
                <w:rFonts w:ascii="Calibri" w:hAnsi="Calibri" w:cs="Arial"/>
                <w:sz w:val="20"/>
                <w:szCs w:val="20"/>
              </w:rPr>
              <w:t>%</w:t>
            </w:r>
          </w:p>
        </w:tc>
        <w:tc>
          <w:tcPr>
            <w:tcW w:w="992" w:type="dxa"/>
            <w:tcBorders>
              <w:top w:val="nil"/>
              <w:left w:val="nil"/>
              <w:bottom w:val="single" w:sz="4" w:space="0" w:color="auto"/>
              <w:right w:val="single" w:sz="4" w:space="0" w:color="auto"/>
            </w:tcBorders>
            <w:shd w:val="clear" w:color="auto" w:fill="auto"/>
            <w:noWrap/>
            <w:vAlign w:val="center"/>
          </w:tcPr>
          <w:p w14:paraId="14B53150" w14:textId="77777777" w:rsidR="00497871" w:rsidRPr="00C943C3" w:rsidRDefault="00497871" w:rsidP="003E25A0">
            <w:pPr>
              <w:spacing w:after="0"/>
              <w:jc w:val="right"/>
              <w:rPr>
                <w:rFonts w:eastAsia="Times New Roman" w:cs="Arial"/>
                <w:sz w:val="20"/>
                <w:szCs w:val="20"/>
              </w:rPr>
            </w:pPr>
            <w:r w:rsidRPr="001442A1">
              <w:rPr>
                <w:rFonts w:ascii="Calibri" w:hAnsi="Calibri" w:cs="Arial"/>
                <w:sz w:val="20"/>
                <w:szCs w:val="20"/>
                <w:highlight w:val="black"/>
              </w:rPr>
              <w:t>XX</w:t>
            </w:r>
            <w:r>
              <w:rPr>
                <w:rFonts w:ascii="Calibri" w:hAnsi="Calibri" w:cs="Arial"/>
                <w:sz w:val="20"/>
                <w:szCs w:val="20"/>
              </w:rPr>
              <w:t>%</w:t>
            </w:r>
          </w:p>
        </w:tc>
        <w:tc>
          <w:tcPr>
            <w:tcW w:w="992" w:type="dxa"/>
            <w:tcBorders>
              <w:top w:val="nil"/>
              <w:left w:val="nil"/>
              <w:bottom w:val="single" w:sz="4" w:space="0" w:color="auto"/>
              <w:right w:val="single" w:sz="4" w:space="0" w:color="auto"/>
            </w:tcBorders>
            <w:shd w:val="clear" w:color="auto" w:fill="auto"/>
            <w:noWrap/>
            <w:vAlign w:val="center"/>
          </w:tcPr>
          <w:p w14:paraId="0631961E" w14:textId="77777777" w:rsidR="00497871" w:rsidRPr="00C943C3" w:rsidRDefault="00497871" w:rsidP="003E25A0">
            <w:pPr>
              <w:spacing w:after="0"/>
              <w:jc w:val="right"/>
              <w:rPr>
                <w:rFonts w:eastAsia="Times New Roman" w:cs="Arial"/>
                <w:sz w:val="20"/>
                <w:szCs w:val="20"/>
              </w:rPr>
            </w:pPr>
            <w:r w:rsidRPr="001442A1">
              <w:rPr>
                <w:rFonts w:ascii="Calibri" w:hAnsi="Calibri" w:cs="Arial"/>
                <w:sz w:val="20"/>
                <w:szCs w:val="20"/>
                <w:highlight w:val="black"/>
              </w:rPr>
              <w:t>XX</w:t>
            </w:r>
            <w:r>
              <w:rPr>
                <w:rFonts w:ascii="Calibri" w:hAnsi="Calibri" w:cs="Arial"/>
                <w:sz w:val="20"/>
                <w:szCs w:val="20"/>
              </w:rPr>
              <w:t>%</w:t>
            </w:r>
          </w:p>
        </w:tc>
      </w:tr>
      <w:tr w:rsidR="00497871" w:rsidRPr="00300071" w14:paraId="5FF09D62" w14:textId="77777777" w:rsidTr="003E25A0">
        <w:trPr>
          <w:trHeight w:val="255"/>
        </w:trPr>
        <w:tc>
          <w:tcPr>
            <w:tcW w:w="4536" w:type="dxa"/>
            <w:tcBorders>
              <w:top w:val="nil"/>
              <w:left w:val="single" w:sz="4" w:space="0" w:color="auto"/>
              <w:bottom w:val="single" w:sz="4" w:space="0" w:color="auto"/>
              <w:right w:val="single" w:sz="4" w:space="0" w:color="auto"/>
            </w:tcBorders>
            <w:shd w:val="clear" w:color="auto" w:fill="auto"/>
            <w:noWrap/>
            <w:vAlign w:val="bottom"/>
          </w:tcPr>
          <w:p w14:paraId="628CAC5C" w14:textId="77777777" w:rsidR="00497871" w:rsidRPr="00401712" w:rsidRDefault="00497871" w:rsidP="003E25A0">
            <w:pPr>
              <w:spacing w:after="0"/>
              <w:rPr>
                <w:rFonts w:eastAsia="Times New Roman" w:cs="Arial"/>
                <w:b/>
                <w:sz w:val="20"/>
                <w:szCs w:val="20"/>
              </w:rPr>
            </w:pPr>
            <w:r w:rsidRPr="00401712">
              <w:rPr>
                <w:rFonts w:eastAsia="Times New Roman" w:cs="Arial"/>
                <w:b/>
                <w:sz w:val="20"/>
                <w:szCs w:val="20"/>
              </w:rPr>
              <w:t>Treated incident population with splenectomy</w:t>
            </w:r>
          </w:p>
        </w:tc>
        <w:tc>
          <w:tcPr>
            <w:tcW w:w="993" w:type="dxa"/>
            <w:tcBorders>
              <w:top w:val="nil"/>
              <w:left w:val="nil"/>
              <w:bottom w:val="single" w:sz="4" w:space="0" w:color="auto"/>
              <w:right w:val="single" w:sz="4" w:space="0" w:color="auto"/>
            </w:tcBorders>
            <w:shd w:val="clear" w:color="auto" w:fill="auto"/>
            <w:noWrap/>
            <w:vAlign w:val="center"/>
          </w:tcPr>
          <w:p w14:paraId="49BD41CD" w14:textId="77777777" w:rsidR="00497871" w:rsidRPr="00401712" w:rsidRDefault="00497871" w:rsidP="003E25A0">
            <w:pPr>
              <w:spacing w:after="0"/>
              <w:jc w:val="right"/>
              <w:rPr>
                <w:rFonts w:eastAsia="Times New Roman" w:cs="Arial"/>
                <w:b/>
                <w:sz w:val="20"/>
                <w:szCs w:val="20"/>
              </w:rPr>
            </w:pPr>
            <w:r w:rsidRPr="001442A1">
              <w:rPr>
                <w:rFonts w:ascii="Calibri" w:hAnsi="Calibri" w:cs="Arial"/>
                <w:sz w:val="20"/>
                <w:szCs w:val="20"/>
                <w:highlight w:val="black"/>
              </w:rPr>
              <w:t>XXX</w:t>
            </w:r>
          </w:p>
        </w:tc>
        <w:tc>
          <w:tcPr>
            <w:tcW w:w="992" w:type="dxa"/>
            <w:tcBorders>
              <w:top w:val="nil"/>
              <w:left w:val="nil"/>
              <w:bottom w:val="single" w:sz="4" w:space="0" w:color="auto"/>
              <w:right w:val="single" w:sz="4" w:space="0" w:color="auto"/>
            </w:tcBorders>
            <w:shd w:val="clear" w:color="auto" w:fill="auto"/>
            <w:noWrap/>
            <w:vAlign w:val="center"/>
          </w:tcPr>
          <w:p w14:paraId="7C924364" w14:textId="77777777" w:rsidR="00497871" w:rsidRPr="00401712" w:rsidRDefault="00497871" w:rsidP="003E25A0">
            <w:pPr>
              <w:spacing w:after="0"/>
              <w:jc w:val="right"/>
              <w:rPr>
                <w:rFonts w:eastAsia="Times New Roman" w:cs="Arial"/>
                <w:b/>
                <w:sz w:val="20"/>
                <w:szCs w:val="20"/>
              </w:rPr>
            </w:pPr>
            <w:r w:rsidRPr="001442A1">
              <w:rPr>
                <w:rFonts w:ascii="Calibri" w:hAnsi="Calibri" w:cs="Arial"/>
                <w:sz w:val="20"/>
                <w:szCs w:val="20"/>
                <w:highlight w:val="black"/>
              </w:rPr>
              <w:t>XX</w:t>
            </w:r>
          </w:p>
        </w:tc>
        <w:tc>
          <w:tcPr>
            <w:tcW w:w="992" w:type="dxa"/>
            <w:tcBorders>
              <w:top w:val="nil"/>
              <w:left w:val="nil"/>
              <w:bottom w:val="single" w:sz="4" w:space="0" w:color="auto"/>
              <w:right w:val="single" w:sz="4" w:space="0" w:color="auto"/>
            </w:tcBorders>
            <w:shd w:val="clear" w:color="auto" w:fill="auto"/>
            <w:noWrap/>
            <w:vAlign w:val="center"/>
          </w:tcPr>
          <w:p w14:paraId="12303F14" w14:textId="77777777" w:rsidR="00497871" w:rsidRPr="00401712" w:rsidRDefault="00497871" w:rsidP="003E25A0">
            <w:pPr>
              <w:spacing w:after="0"/>
              <w:jc w:val="right"/>
              <w:rPr>
                <w:rFonts w:eastAsia="Times New Roman" w:cs="Arial"/>
                <w:b/>
                <w:sz w:val="20"/>
                <w:szCs w:val="20"/>
              </w:rPr>
            </w:pPr>
            <w:r w:rsidRPr="001442A1">
              <w:rPr>
                <w:rFonts w:ascii="Calibri" w:hAnsi="Calibri" w:cs="Arial"/>
                <w:sz w:val="20"/>
                <w:szCs w:val="20"/>
                <w:highlight w:val="black"/>
              </w:rPr>
              <w:t>XX</w:t>
            </w:r>
          </w:p>
        </w:tc>
      </w:tr>
      <w:tr w:rsidR="00497871" w:rsidRPr="00300071" w14:paraId="271795E7" w14:textId="77777777" w:rsidTr="003E25A0">
        <w:trPr>
          <w:trHeight w:val="255"/>
        </w:trPr>
        <w:tc>
          <w:tcPr>
            <w:tcW w:w="751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2CD29E81" w14:textId="77777777" w:rsidR="00497871" w:rsidRPr="00C955E9" w:rsidRDefault="00497871" w:rsidP="003E25A0">
            <w:pPr>
              <w:spacing w:after="0"/>
              <w:rPr>
                <w:rFonts w:eastAsia="Times New Roman" w:cs="Arial"/>
                <w:b/>
                <w:bCs/>
                <w:sz w:val="20"/>
                <w:szCs w:val="20"/>
              </w:rPr>
            </w:pPr>
            <w:r>
              <w:rPr>
                <w:rFonts w:eastAsia="Times New Roman" w:cs="Arial"/>
                <w:b/>
                <w:bCs/>
                <w:sz w:val="20"/>
                <w:szCs w:val="20"/>
              </w:rPr>
              <w:t>Non-splenectomised patients</w:t>
            </w:r>
          </w:p>
        </w:tc>
      </w:tr>
      <w:tr w:rsidR="00497871" w:rsidRPr="00300071" w14:paraId="2C20FE26" w14:textId="77777777" w:rsidTr="003E25A0">
        <w:trPr>
          <w:trHeight w:val="255"/>
        </w:trPr>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DE8CFE" w14:textId="77777777" w:rsidR="00497871" w:rsidRPr="00C943C3" w:rsidRDefault="00497871" w:rsidP="003E25A0">
            <w:pPr>
              <w:spacing w:after="0"/>
              <w:rPr>
                <w:rFonts w:eastAsia="Times New Roman" w:cs="Arial"/>
                <w:b/>
                <w:i/>
                <w:sz w:val="20"/>
                <w:szCs w:val="20"/>
              </w:rPr>
            </w:pPr>
            <w:r w:rsidRPr="00C943C3">
              <w:rPr>
                <w:rFonts w:eastAsia="Times New Roman" w:cs="Arial"/>
                <w:sz w:val="20"/>
                <w:szCs w:val="20"/>
              </w:rPr>
              <w:t>Eligible non-splenectomised patients</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4AD3D074" w14:textId="77777777" w:rsidR="00497871" w:rsidRDefault="00497871" w:rsidP="003E25A0">
            <w:pPr>
              <w:spacing w:after="0"/>
              <w:jc w:val="right"/>
              <w:rPr>
                <w:rFonts w:ascii="Calibri" w:hAnsi="Calibri" w:cs="Arial"/>
                <w:b/>
                <w:bCs/>
                <w:i/>
                <w:iCs/>
                <w:sz w:val="20"/>
                <w:szCs w:val="20"/>
              </w:rPr>
            </w:pPr>
            <w:r w:rsidRPr="001442A1">
              <w:rPr>
                <w:rFonts w:ascii="Calibri" w:hAnsi="Calibri" w:cs="Arial"/>
                <w:sz w:val="20"/>
                <w:szCs w:val="20"/>
                <w:highlight w:val="black"/>
              </w:rPr>
              <w:t>XXX</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AF0C65C" w14:textId="77777777" w:rsidR="00497871" w:rsidRDefault="00497871" w:rsidP="003E25A0">
            <w:pPr>
              <w:spacing w:after="0"/>
              <w:jc w:val="right"/>
              <w:rPr>
                <w:rFonts w:ascii="Calibri" w:hAnsi="Calibri" w:cs="Arial"/>
                <w:b/>
                <w:bCs/>
                <w:i/>
                <w:iCs/>
                <w:sz w:val="20"/>
                <w:szCs w:val="20"/>
              </w:rPr>
            </w:pPr>
            <w:r w:rsidRPr="001442A1">
              <w:rPr>
                <w:rFonts w:ascii="Calibri" w:hAnsi="Calibri" w:cs="Arial"/>
                <w:sz w:val="20"/>
                <w:szCs w:val="20"/>
                <w:highlight w:val="black"/>
              </w:rPr>
              <w:t>XX</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1F6978E" w14:textId="77777777" w:rsidR="00497871" w:rsidRDefault="00497871" w:rsidP="003E25A0">
            <w:pPr>
              <w:spacing w:after="0"/>
              <w:jc w:val="right"/>
              <w:rPr>
                <w:rFonts w:ascii="Calibri" w:hAnsi="Calibri" w:cs="Arial"/>
                <w:b/>
                <w:bCs/>
                <w:i/>
                <w:iCs/>
                <w:sz w:val="20"/>
                <w:szCs w:val="20"/>
              </w:rPr>
            </w:pPr>
            <w:r w:rsidRPr="001442A1">
              <w:rPr>
                <w:rFonts w:ascii="Calibri" w:hAnsi="Calibri" w:cs="Arial"/>
                <w:sz w:val="20"/>
                <w:szCs w:val="20"/>
                <w:highlight w:val="black"/>
              </w:rPr>
              <w:t>XX</w:t>
            </w:r>
          </w:p>
        </w:tc>
      </w:tr>
      <w:tr w:rsidR="00497871" w:rsidRPr="00300071" w14:paraId="318BB4C4" w14:textId="77777777" w:rsidTr="003E25A0">
        <w:trPr>
          <w:trHeight w:val="255"/>
        </w:trPr>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C2D04C" w14:textId="77777777" w:rsidR="00497871" w:rsidRPr="00C943C3" w:rsidRDefault="00497871" w:rsidP="003E25A0">
            <w:pPr>
              <w:spacing w:after="0"/>
              <w:rPr>
                <w:rFonts w:eastAsia="Times New Roman" w:cs="Arial"/>
                <w:b/>
                <w:i/>
                <w:sz w:val="20"/>
                <w:szCs w:val="20"/>
              </w:rPr>
            </w:pPr>
            <w:r w:rsidRPr="00C943C3">
              <w:rPr>
                <w:rFonts w:eastAsia="Times New Roman" w:cs="Arial"/>
                <w:sz w:val="20"/>
                <w:szCs w:val="20"/>
              </w:rPr>
              <w:t>Uptake rate for non-splenectomised patients</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34BDBAF1" w14:textId="77777777" w:rsidR="00497871" w:rsidRDefault="00497871" w:rsidP="003E25A0">
            <w:pPr>
              <w:spacing w:after="0"/>
              <w:jc w:val="right"/>
              <w:rPr>
                <w:rFonts w:ascii="Calibri" w:hAnsi="Calibri" w:cs="Arial"/>
                <w:b/>
                <w:bCs/>
                <w:i/>
                <w:iCs/>
                <w:sz w:val="20"/>
                <w:szCs w:val="20"/>
              </w:rPr>
            </w:pPr>
            <w:r w:rsidRPr="001442A1">
              <w:rPr>
                <w:rFonts w:ascii="Calibri" w:hAnsi="Calibri" w:cs="Arial"/>
                <w:sz w:val="20"/>
                <w:szCs w:val="20"/>
                <w:highlight w:val="black"/>
              </w:rPr>
              <w:t>XX</w:t>
            </w:r>
            <w:r>
              <w:rPr>
                <w:rFonts w:ascii="Calibri" w:hAnsi="Calibri" w:cs="Arial"/>
                <w:sz w:val="20"/>
                <w:szCs w:val="20"/>
              </w:rPr>
              <w:t>%</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DB98664" w14:textId="77777777" w:rsidR="00497871" w:rsidRDefault="00497871" w:rsidP="003E25A0">
            <w:pPr>
              <w:spacing w:after="0"/>
              <w:jc w:val="right"/>
              <w:rPr>
                <w:rFonts w:ascii="Calibri" w:hAnsi="Calibri" w:cs="Arial"/>
                <w:b/>
                <w:bCs/>
                <w:i/>
                <w:iCs/>
                <w:sz w:val="20"/>
                <w:szCs w:val="20"/>
              </w:rPr>
            </w:pPr>
            <w:r w:rsidRPr="001442A1">
              <w:rPr>
                <w:rFonts w:ascii="Calibri" w:hAnsi="Calibri" w:cs="Arial"/>
                <w:sz w:val="20"/>
                <w:szCs w:val="20"/>
                <w:highlight w:val="black"/>
              </w:rPr>
              <w:t>XX</w:t>
            </w:r>
            <w:r>
              <w:rPr>
                <w:rFonts w:ascii="Calibri" w:hAnsi="Calibri" w:cs="Arial"/>
                <w:sz w:val="20"/>
                <w:szCs w:val="20"/>
              </w:rPr>
              <w:t>%</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165982D" w14:textId="77777777" w:rsidR="00497871" w:rsidRDefault="00497871" w:rsidP="003E25A0">
            <w:pPr>
              <w:spacing w:after="0"/>
              <w:jc w:val="right"/>
              <w:rPr>
                <w:rFonts w:ascii="Calibri" w:hAnsi="Calibri" w:cs="Arial"/>
                <w:b/>
                <w:bCs/>
                <w:i/>
                <w:iCs/>
                <w:sz w:val="20"/>
                <w:szCs w:val="20"/>
              </w:rPr>
            </w:pPr>
            <w:r w:rsidRPr="001442A1">
              <w:rPr>
                <w:rFonts w:ascii="Calibri" w:hAnsi="Calibri" w:cs="Arial"/>
                <w:sz w:val="20"/>
                <w:szCs w:val="20"/>
                <w:highlight w:val="black"/>
              </w:rPr>
              <w:t>XX</w:t>
            </w:r>
            <w:r>
              <w:rPr>
                <w:rFonts w:ascii="Calibri" w:hAnsi="Calibri" w:cs="Arial"/>
                <w:sz w:val="20"/>
                <w:szCs w:val="20"/>
              </w:rPr>
              <w:t>%</w:t>
            </w:r>
          </w:p>
        </w:tc>
      </w:tr>
      <w:tr w:rsidR="00497871" w:rsidRPr="00300071" w14:paraId="088095C2" w14:textId="77777777" w:rsidTr="003E25A0">
        <w:trPr>
          <w:trHeight w:val="255"/>
        </w:trPr>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A28271" w14:textId="77777777" w:rsidR="00497871" w:rsidRPr="00401712" w:rsidRDefault="00497871" w:rsidP="003E25A0">
            <w:pPr>
              <w:spacing w:after="0"/>
              <w:rPr>
                <w:rFonts w:eastAsia="Times New Roman" w:cs="Arial"/>
                <w:b/>
                <w:sz w:val="20"/>
                <w:szCs w:val="20"/>
              </w:rPr>
            </w:pPr>
            <w:r w:rsidRPr="00401712">
              <w:rPr>
                <w:rFonts w:eastAsia="Times New Roman" w:cs="Arial"/>
                <w:b/>
                <w:sz w:val="20"/>
                <w:szCs w:val="20"/>
              </w:rPr>
              <w:t>Treated non-splenectomised incident population</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10731A15" w14:textId="77777777" w:rsidR="00497871" w:rsidRPr="00401712" w:rsidRDefault="00497871" w:rsidP="003E25A0">
            <w:pPr>
              <w:spacing w:after="0"/>
              <w:jc w:val="right"/>
              <w:rPr>
                <w:rFonts w:ascii="Calibri" w:hAnsi="Calibri" w:cs="Arial"/>
                <w:b/>
                <w:bCs/>
                <w:iCs/>
                <w:sz w:val="20"/>
                <w:szCs w:val="20"/>
              </w:rPr>
            </w:pPr>
            <w:r w:rsidRPr="001442A1">
              <w:rPr>
                <w:rFonts w:ascii="Calibri" w:hAnsi="Calibri" w:cs="Arial"/>
                <w:sz w:val="20"/>
                <w:szCs w:val="20"/>
                <w:highlight w:val="black"/>
              </w:rPr>
              <w:t>XXX</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ABC5E83" w14:textId="77777777" w:rsidR="00497871" w:rsidRPr="00401712" w:rsidRDefault="00497871" w:rsidP="003E25A0">
            <w:pPr>
              <w:spacing w:after="0"/>
              <w:jc w:val="right"/>
              <w:rPr>
                <w:rFonts w:ascii="Calibri" w:hAnsi="Calibri" w:cs="Arial"/>
                <w:b/>
                <w:bCs/>
                <w:iCs/>
                <w:sz w:val="20"/>
                <w:szCs w:val="20"/>
              </w:rPr>
            </w:pPr>
            <w:r w:rsidRPr="001442A1">
              <w:rPr>
                <w:rFonts w:ascii="Calibri" w:hAnsi="Calibri" w:cs="Arial"/>
                <w:sz w:val="20"/>
                <w:szCs w:val="20"/>
                <w:highlight w:val="black"/>
              </w:rPr>
              <w:t>XX</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7829AFD" w14:textId="77777777" w:rsidR="00497871" w:rsidRPr="00401712" w:rsidRDefault="00497871" w:rsidP="003E25A0">
            <w:pPr>
              <w:spacing w:after="0"/>
              <w:jc w:val="right"/>
              <w:rPr>
                <w:rFonts w:ascii="Calibri" w:hAnsi="Calibri" w:cs="Arial"/>
                <w:b/>
                <w:bCs/>
                <w:iCs/>
                <w:sz w:val="20"/>
                <w:szCs w:val="20"/>
              </w:rPr>
            </w:pPr>
            <w:r w:rsidRPr="001442A1">
              <w:rPr>
                <w:rFonts w:ascii="Calibri" w:hAnsi="Calibri" w:cs="Arial"/>
                <w:sz w:val="20"/>
                <w:szCs w:val="20"/>
                <w:highlight w:val="black"/>
              </w:rPr>
              <w:t>XX</w:t>
            </w:r>
          </w:p>
        </w:tc>
      </w:tr>
    </w:tbl>
    <w:p w14:paraId="47FDEFA5" w14:textId="77777777" w:rsidR="00497871" w:rsidRDefault="00497871" w:rsidP="00497871">
      <w:pPr>
        <w:spacing w:after="0"/>
        <w:rPr>
          <w:rFonts w:ascii="Calibri" w:eastAsia="Times New Roman" w:hAnsi="Calibri" w:cs="Times New Roman"/>
          <w:sz w:val="20"/>
          <w:szCs w:val="20"/>
        </w:rPr>
      </w:pPr>
      <w:r w:rsidRPr="00034DE8">
        <w:rPr>
          <w:rFonts w:ascii="Calibri" w:eastAsia="Times New Roman" w:hAnsi="Calibri" w:cs="Times New Roman"/>
          <w:sz w:val="20"/>
          <w:szCs w:val="20"/>
        </w:rPr>
        <w:t xml:space="preserve">Source: </w:t>
      </w:r>
      <w:r>
        <w:rPr>
          <w:rFonts w:ascii="Calibri" w:eastAsia="Times New Roman" w:hAnsi="Calibri" w:cs="Times New Roman"/>
          <w:sz w:val="20"/>
          <w:szCs w:val="20"/>
        </w:rPr>
        <w:t>Modelled estimates agreed with sponsors.</w:t>
      </w:r>
    </w:p>
    <w:p w14:paraId="66A13F04" w14:textId="77777777" w:rsidR="0083311D" w:rsidRDefault="0083311D" w:rsidP="0083311D">
      <w:pPr>
        <w:spacing w:after="0"/>
      </w:pPr>
    </w:p>
    <w:p w14:paraId="52FB7097" w14:textId="77777777" w:rsidR="0083311D" w:rsidRDefault="0083311D" w:rsidP="0083311D">
      <w:pPr>
        <w:rPr>
          <w:rFonts w:ascii="Calibri" w:hAnsi="Calibri" w:cs="Calibri"/>
          <w:color w:val="000000"/>
        </w:rPr>
      </w:pPr>
      <w:r>
        <w:rPr>
          <w:rFonts w:ascii="Calibri" w:hAnsi="Calibri" w:cs="Calibri"/>
          <w:color w:val="000000"/>
        </w:rPr>
        <w:t>Using</w:t>
      </w:r>
      <w:r w:rsidRPr="00542A62">
        <w:rPr>
          <w:rFonts w:ascii="Calibri" w:hAnsi="Calibri" w:cs="Calibri"/>
          <w:color w:val="000000"/>
        </w:rPr>
        <w:t xml:space="preserve"> the average doses from the RAISE trial, 24% of non-splenectomy patients and 32% of post-splenectomy patients were assumed to require the maximum dose of </w:t>
      </w:r>
      <w:proofErr w:type="spellStart"/>
      <w:r w:rsidRPr="00542A62">
        <w:rPr>
          <w:rFonts w:ascii="Calibri" w:hAnsi="Calibri" w:cs="Calibri"/>
          <w:color w:val="000000"/>
        </w:rPr>
        <w:t>eltrombopag</w:t>
      </w:r>
      <w:proofErr w:type="spellEnd"/>
      <w:r w:rsidRPr="00542A62">
        <w:rPr>
          <w:rFonts w:ascii="Calibri" w:hAnsi="Calibri" w:cs="Calibri"/>
          <w:color w:val="000000"/>
        </w:rPr>
        <w:t xml:space="preserve"> (75 mg). To project the expenditure for </w:t>
      </w:r>
      <w:proofErr w:type="spellStart"/>
      <w:r w:rsidRPr="00542A62">
        <w:rPr>
          <w:rFonts w:ascii="Calibri" w:hAnsi="Calibri" w:cs="Calibri"/>
          <w:color w:val="000000"/>
        </w:rPr>
        <w:t>eltrombopag</w:t>
      </w:r>
      <w:proofErr w:type="spellEnd"/>
      <w:r>
        <w:rPr>
          <w:rFonts w:ascii="Calibri" w:hAnsi="Calibri" w:cs="Calibri"/>
          <w:color w:val="000000"/>
        </w:rPr>
        <w:t xml:space="preserve">, an average cost </w:t>
      </w:r>
      <w:r w:rsidRPr="00542A62">
        <w:rPr>
          <w:rFonts w:ascii="Calibri" w:hAnsi="Calibri" w:cs="Calibri"/>
          <w:color w:val="000000"/>
        </w:rPr>
        <w:t xml:space="preserve">was estimated by adding 24% or 32% of the DPMQ for 25 mg for non-splenectomised and post-splenectomised patients, respectively, to the DPMQ for the 50 mg strength.  </w:t>
      </w:r>
    </w:p>
    <w:p w14:paraId="131B3F87" w14:textId="77777777" w:rsidR="0083311D" w:rsidRPr="00542A62" w:rsidRDefault="0083311D" w:rsidP="0083311D">
      <w:pPr>
        <w:rPr>
          <w:u w:val="single"/>
        </w:rPr>
      </w:pPr>
      <w:r>
        <w:rPr>
          <w:rFonts w:ascii="Calibri" w:hAnsi="Calibri" w:cs="Calibri"/>
          <w:color w:val="000000"/>
        </w:rPr>
        <w:t xml:space="preserve">The total expenditure for </w:t>
      </w:r>
      <w:proofErr w:type="spellStart"/>
      <w:r>
        <w:rPr>
          <w:rFonts w:ascii="Calibri" w:hAnsi="Calibri" w:cs="Calibri"/>
          <w:color w:val="000000"/>
        </w:rPr>
        <w:t>eltrombopag</w:t>
      </w:r>
      <w:proofErr w:type="spellEnd"/>
      <w:r>
        <w:rPr>
          <w:rFonts w:ascii="Calibri" w:hAnsi="Calibri" w:cs="Calibri"/>
          <w:color w:val="000000"/>
        </w:rPr>
        <w:t xml:space="preserve"> was calculated as the product of the average cost by the number of patients by the number of scripts for the relevant patient group.</w:t>
      </w:r>
    </w:p>
    <w:p w14:paraId="0DEBD50F" w14:textId="173EB9CC" w:rsidR="00094DCF" w:rsidRDefault="00ED633B" w:rsidP="00D83C7C">
      <w:pPr>
        <w:pStyle w:val="Heading3"/>
      </w:pPr>
      <w:r>
        <w:t>Previous reviews by DUSC</w:t>
      </w:r>
    </w:p>
    <w:p w14:paraId="40EF6560" w14:textId="04A76F5F" w:rsidR="00B77D6E" w:rsidRPr="00D83C7C" w:rsidRDefault="004A153B" w:rsidP="00D83C7C">
      <w:pPr>
        <w:rPr>
          <w:rFonts w:ascii="Calibri" w:hAnsi="Calibri" w:cs="Calibri"/>
          <w:color w:val="000000"/>
        </w:rPr>
      </w:pPr>
      <w:r>
        <w:rPr>
          <w:rFonts w:ascii="Calibri" w:hAnsi="Calibri" w:cs="Calibri"/>
          <w:color w:val="000000"/>
        </w:rPr>
        <w:t>This was</w:t>
      </w:r>
      <w:r w:rsidR="00B77D6E" w:rsidRPr="00D83C7C">
        <w:rPr>
          <w:rFonts w:ascii="Calibri" w:hAnsi="Calibri" w:cs="Calibri"/>
          <w:color w:val="000000"/>
        </w:rPr>
        <w:t xml:space="preserve"> the first review of </w:t>
      </w:r>
      <w:proofErr w:type="spellStart"/>
      <w:r w:rsidR="00B77D6E" w:rsidRPr="00D83C7C">
        <w:rPr>
          <w:rFonts w:ascii="Calibri" w:hAnsi="Calibri" w:cs="Calibri"/>
          <w:color w:val="000000"/>
        </w:rPr>
        <w:t>romiplostim</w:t>
      </w:r>
      <w:proofErr w:type="spellEnd"/>
      <w:r w:rsidR="00B77D6E" w:rsidRPr="00D83C7C">
        <w:rPr>
          <w:rFonts w:ascii="Calibri" w:hAnsi="Calibri" w:cs="Calibri"/>
          <w:color w:val="000000"/>
        </w:rPr>
        <w:t xml:space="preserve"> and </w:t>
      </w:r>
      <w:proofErr w:type="spellStart"/>
      <w:r w:rsidR="00B77D6E" w:rsidRPr="00D83C7C">
        <w:rPr>
          <w:rFonts w:ascii="Calibri" w:hAnsi="Calibri" w:cs="Calibri"/>
          <w:color w:val="000000"/>
        </w:rPr>
        <w:t>eltrombopag</w:t>
      </w:r>
      <w:proofErr w:type="spellEnd"/>
      <w:r w:rsidR="00B77D6E" w:rsidRPr="00D83C7C">
        <w:rPr>
          <w:rFonts w:ascii="Calibri" w:hAnsi="Calibri" w:cs="Calibri"/>
          <w:color w:val="000000"/>
        </w:rPr>
        <w:t>.</w:t>
      </w:r>
    </w:p>
    <w:p w14:paraId="0312FFEC" w14:textId="5C6A9662" w:rsidR="00E677DD" w:rsidRPr="00D83C7C" w:rsidRDefault="00E677DD" w:rsidP="00D83C7C">
      <w:pPr>
        <w:pStyle w:val="Heading2"/>
        <w:rPr>
          <w:i w:val="0"/>
          <w:sz w:val="32"/>
          <w:szCs w:val="32"/>
        </w:rPr>
      </w:pPr>
      <w:r w:rsidRPr="00D83C7C">
        <w:rPr>
          <w:i w:val="0"/>
          <w:sz w:val="32"/>
          <w:szCs w:val="32"/>
        </w:rPr>
        <w:t>Method</w:t>
      </w:r>
      <w:r w:rsidR="001B5D37" w:rsidRPr="00D83C7C">
        <w:rPr>
          <w:i w:val="0"/>
          <w:sz w:val="32"/>
          <w:szCs w:val="32"/>
        </w:rPr>
        <w:t>s</w:t>
      </w:r>
    </w:p>
    <w:p w14:paraId="497C5707" w14:textId="2B26D093" w:rsidR="00250911" w:rsidRPr="00250911" w:rsidRDefault="00250911" w:rsidP="00787722">
      <w:r>
        <w:t>All analyses were undertaken using SAS Enterprise Guide version 5.1.</w:t>
      </w:r>
    </w:p>
    <w:p w14:paraId="78DE3F53" w14:textId="28C79DB2" w:rsidR="007F27DF" w:rsidRDefault="007F27DF" w:rsidP="00787722">
      <w:r>
        <w:rPr>
          <w:rFonts w:eastAsia="Calibri" w:cs="Times New Roman"/>
        </w:rPr>
        <w:t xml:space="preserve">The modelled estimates were obtained from the financial estimates model which was agreed with the sponsors of </w:t>
      </w:r>
      <w:proofErr w:type="spellStart"/>
      <w:r>
        <w:rPr>
          <w:rFonts w:eastAsia="Calibri" w:cs="Times New Roman"/>
        </w:rPr>
        <w:t>romiplostim</w:t>
      </w:r>
      <w:proofErr w:type="spellEnd"/>
      <w:r>
        <w:rPr>
          <w:rFonts w:eastAsia="Calibri" w:cs="Times New Roman"/>
        </w:rPr>
        <w:t xml:space="preserve"> and </w:t>
      </w:r>
      <w:proofErr w:type="spellStart"/>
      <w:r>
        <w:rPr>
          <w:rFonts w:eastAsia="Calibri" w:cs="Times New Roman"/>
        </w:rPr>
        <w:t>eltrombopag</w:t>
      </w:r>
      <w:proofErr w:type="spellEnd"/>
      <w:r>
        <w:rPr>
          <w:rFonts w:eastAsia="Calibri" w:cs="Times New Roman"/>
        </w:rPr>
        <w:t xml:space="preserve">. </w:t>
      </w:r>
      <w:r>
        <w:t xml:space="preserve">Part-year adjustments were applied to the </w:t>
      </w:r>
      <w:r w:rsidR="00B064C6">
        <w:t>estimates</w:t>
      </w:r>
      <w:r>
        <w:t xml:space="preserve"> to align the figures with the listing date in order to compare them with the actual figures. </w:t>
      </w:r>
    </w:p>
    <w:p w14:paraId="32EF6FCF" w14:textId="0D349300" w:rsidR="00040868" w:rsidRDefault="000546BE" w:rsidP="000546BE">
      <w:r w:rsidRPr="000546BE">
        <w:t>Data w</w:t>
      </w:r>
      <w:r w:rsidR="00D94A02">
        <w:t>ere</w:t>
      </w:r>
      <w:r w:rsidRPr="000546BE">
        <w:t xml:space="preserve"> extracted from the Department of Human Services Authority Approvals database </w:t>
      </w:r>
      <w:r w:rsidR="00860765">
        <w:t xml:space="preserve">for the period from the first date of listing (1 April 2011) to 31 December 2014 based on the date authority approval was given.  The approvals data was used </w:t>
      </w:r>
      <w:r w:rsidR="00DC3CD0">
        <w:t xml:space="preserve">to </w:t>
      </w:r>
      <w:r w:rsidR="00A767C8">
        <w:t>identify grandfathered</w:t>
      </w:r>
      <w:r w:rsidR="00140A92">
        <w:t xml:space="preserve"> patients</w:t>
      </w:r>
      <w:r w:rsidR="00A767C8">
        <w:t xml:space="preserve"> and patients on their first period of continuing treatment and to </w:t>
      </w:r>
      <w:r w:rsidR="00DC3CD0">
        <w:t xml:space="preserve">derive </w:t>
      </w:r>
      <w:r w:rsidR="004D7DE5">
        <w:t>approved doses</w:t>
      </w:r>
      <w:r w:rsidR="00860765">
        <w:t xml:space="preserve"> for </w:t>
      </w:r>
      <w:proofErr w:type="spellStart"/>
      <w:r w:rsidR="00860765">
        <w:t>romiplostim</w:t>
      </w:r>
      <w:proofErr w:type="spellEnd"/>
      <w:r w:rsidR="00860765">
        <w:t xml:space="preserve"> and </w:t>
      </w:r>
      <w:proofErr w:type="spellStart"/>
      <w:r w:rsidR="00860765">
        <w:t>eltrombopag</w:t>
      </w:r>
      <w:proofErr w:type="spellEnd"/>
      <w:r w:rsidR="00860765">
        <w:t>.</w:t>
      </w:r>
      <w:r w:rsidR="004D7DE5">
        <w:t xml:space="preserve"> </w:t>
      </w:r>
    </w:p>
    <w:p w14:paraId="349148A7" w14:textId="287194EB" w:rsidR="000546BE" w:rsidRPr="007F27DF" w:rsidRDefault="00C76316" w:rsidP="00787722">
      <w:r>
        <w:t xml:space="preserve">The average daily dose of </w:t>
      </w:r>
      <w:proofErr w:type="spellStart"/>
      <w:r>
        <w:t>eltrombopag</w:t>
      </w:r>
      <w:proofErr w:type="spellEnd"/>
      <w:r>
        <w:t xml:space="preserve"> was calculated as the maximum amount approved divided by 28 (number of tablets per pack). The average weekly dose of </w:t>
      </w:r>
      <w:proofErr w:type="spellStart"/>
      <w:r>
        <w:t>romiplostim</w:t>
      </w:r>
      <w:proofErr w:type="spellEnd"/>
      <w:r>
        <w:t xml:space="preserve"> was derived as the maximum amount approved divided by the authorised quantity.</w:t>
      </w:r>
    </w:p>
    <w:p w14:paraId="617C87E7" w14:textId="5F79AF3B" w:rsidR="00040868" w:rsidRDefault="0092422F" w:rsidP="00040868">
      <w:r w:rsidRPr="00AF6ACC">
        <w:rPr>
          <w:rFonts w:eastAsia="Calibri" w:cs="Times New Roman"/>
        </w:rPr>
        <w:t>PBS/RPBS prescription</w:t>
      </w:r>
      <w:r w:rsidR="00255017">
        <w:rPr>
          <w:rFonts w:eastAsia="Calibri" w:cs="Times New Roman"/>
        </w:rPr>
        <w:t xml:space="preserve"> data</w:t>
      </w:r>
      <w:r>
        <w:rPr>
          <w:rFonts w:eastAsia="Calibri" w:cs="Times New Roman"/>
        </w:rPr>
        <w:t xml:space="preserve"> </w:t>
      </w:r>
      <w:r w:rsidRPr="00AF6ACC">
        <w:rPr>
          <w:rFonts w:eastAsia="Calibri" w:cs="Times New Roman"/>
        </w:rPr>
        <w:t xml:space="preserve">for </w:t>
      </w:r>
      <w:proofErr w:type="spellStart"/>
      <w:r>
        <w:rPr>
          <w:rFonts w:eastAsia="Calibri" w:cs="Times New Roman"/>
        </w:rPr>
        <w:t>romiplostim</w:t>
      </w:r>
      <w:proofErr w:type="spellEnd"/>
      <w:r>
        <w:rPr>
          <w:rFonts w:eastAsia="Calibri" w:cs="Times New Roman"/>
        </w:rPr>
        <w:t xml:space="preserve"> and </w:t>
      </w:r>
      <w:proofErr w:type="spellStart"/>
      <w:r>
        <w:rPr>
          <w:rFonts w:eastAsia="Calibri" w:cs="Times New Roman"/>
        </w:rPr>
        <w:t>eltrombopag</w:t>
      </w:r>
      <w:proofErr w:type="spellEnd"/>
      <w:r w:rsidRPr="00AF6ACC">
        <w:rPr>
          <w:rFonts w:eastAsia="Calibri" w:cs="Times New Roman"/>
        </w:rPr>
        <w:t xml:space="preserve"> were extracted from the Department of Human Services </w:t>
      </w:r>
      <w:r>
        <w:rPr>
          <w:rFonts w:eastAsia="Calibri" w:cs="Times New Roman"/>
        </w:rPr>
        <w:t xml:space="preserve">Prescription </w:t>
      </w:r>
      <w:r w:rsidRPr="00AF6ACC">
        <w:rPr>
          <w:rFonts w:eastAsia="Calibri" w:cs="Times New Roman"/>
        </w:rPr>
        <w:t xml:space="preserve">database for the period </w:t>
      </w:r>
      <w:r>
        <w:rPr>
          <w:rFonts w:eastAsia="Calibri" w:cs="Times New Roman"/>
        </w:rPr>
        <w:t xml:space="preserve">from </w:t>
      </w:r>
      <w:r w:rsidR="00B336FC">
        <w:rPr>
          <w:rFonts w:eastAsia="Calibri" w:cs="Times New Roman"/>
        </w:rPr>
        <w:t>the first date of listing</w:t>
      </w:r>
      <w:r>
        <w:rPr>
          <w:rFonts w:eastAsia="Calibri" w:cs="Times New Roman"/>
        </w:rPr>
        <w:t xml:space="preserve"> (</w:t>
      </w:r>
      <w:r w:rsidR="00C6411C">
        <w:rPr>
          <w:rFonts w:eastAsia="Calibri" w:cs="Times New Roman"/>
        </w:rPr>
        <w:t>April 2011</w:t>
      </w:r>
      <w:r>
        <w:rPr>
          <w:rFonts w:eastAsia="Calibri" w:cs="Times New Roman"/>
        </w:rPr>
        <w:t xml:space="preserve">) </w:t>
      </w:r>
      <w:r w:rsidRPr="00AF6ACC">
        <w:rPr>
          <w:rFonts w:eastAsia="Calibri" w:cs="Times New Roman"/>
        </w:rPr>
        <w:t xml:space="preserve">to </w:t>
      </w:r>
      <w:r w:rsidR="00B336FC">
        <w:rPr>
          <w:rFonts w:eastAsia="Calibri" w:cs="Times New Roman"/>
        </w:rPr>
        <w:t>December 2014</w:t>
      </w:r>
      <w:r w:rsidRPr="00AF6ACC">
        <w:rPr>
          <w:rFonts w:eastAsia="Calibri" w:cs="Times New Roman"/>
        </w:rPr>
        <w:t xml:space="preserve"> inclusive, based on the date that the prescription was </w:t>
      </w:r>
      <w:r>
        <w:rPr>
          <w:rFonts w:eastAsia="Calibri" w:cs="Times New Roman"/>
        </w:rPr>
        <w:t>supplied</w:t>
      </w:r>
      <w:r w:rsidRPr="00AF6ACC">
        <w:rPr>
          <w:rFonts w:eastAsia="Calibri" w:cs="Times New Roman"/>
        </w:rPr>
        <w:t>.</w:t>
      </w:r>
      <w:r w:rsidR="00787722">
        <w:t xml:space="preserve"> The data differs from that available from the DHS (Medicare) PBS statistics </w:t>
      </w:r>
      <w:r w:rsidR="00787722">
        <w:lastRenderedPageBreak/>
        <w:t>website</w:t>
      </w:r>
      <w:r w:rsidR="00787722" w:rsidRPr="00BF4776">
        <w:t xml:space="preserve"> </w:t>
      </w:r>
      <w:r w:rsidR="00787722">
        <w:t>which is based on the date of processing and is only for subsid</w:t>
      </w:r>
      <w:r w:rsidR="00B541E7">
        <w:t>ised R/PBS prescriptions</w:t>
      </w:r>
      <w:r w:rsidR="00787722">
        <w:t>.</w:t>
      </w:r>
      <w:r w:rsidR="00787722">
        <w:rPr>
          <w:rStyle w:val="FootnoteReference"/>
        </w:rPr>
        <w:footnoteReference w:id="1"/>
      </w:r>
      <w:r w:rsidR="00D771A6">
        <w:t xml:space="preserve"> </w:t>
      </w:r>
      <w:r w:rsidR="00040868">
        <w:t>Patient counts are based on de-identified unique patient identification numbers (PINs) from the prescription data.</w:t>
      </w:r>
    </w:p>
    <w:p w14:paraId="4942248A" w14:textId="143DED03" w:rsidR="00D604EF" w:rsidRDefault="00250911" w:rsidP="003C10AE">
      <w:r>
        <w:t>Length of treatment analyses were based on patients who initiated TRA therapy during the first year of listing (1 April 2011 to 31 Ma</w:t>
      </w:r>
      <w:r w:rsidR="0040364E">
        <w:t xml:space="preserve">rch 2012). </w:t>
      </w:r>
      <w:r w:rsidR="00254B87">
        <w:t xml:space="preserve">The median time to re-supply for TRA therapy was 27 days. It was assumed that a patient had discontinued therapy if there was no re-supply within </w:t>
      </w:r>
      <w:r w:rsidR="00332BB7">
        <w:t xml:space="preserve">a period of </w:t>
      </w:r>
      <w:r w:rsidR="00254B87">
        <w:t>three times the m</w:t>
      </w:r>
      <w:r w:rsidR="003621FC">
        <w:t>edian time to re-supply (i.e. 8</w:t>
      </w:r>
      <w:r w:rsidR="00254B87">
        <w:t xml:space="preserve">1 days). </w:t>
      </w:r>
      <w:r w:rsidR="000F061A" w:rsidRPr="00254B87">
        <w:t>A patient was assumed to be continuing treatment if the time from their last supply was less than 81 days from the data cut-off date (31 December 2014) and they were censored from the treatment duration analyses.</w:t>
      </w:r>
      <w:r w:rsidR="000F061A">
        <w:t xml:space="preserve"> </w:t>
      </w:r>
      <w:r w:rsidR="00071CEC">
        <w:t xml:space="preserve">The assumption for discontinuation of TRA therapy was tested in a sensitivity analysis by extending the time from 81 to 160 days. </w:t>
      </w:r>
      <w:r w:rsidR="001C2112">
        <w:t xml:space="preserve">In addition to the analysis of all initiating patients, </w:t>
      </w:r>
      <w:r w:rsidR="00A428B4">
        <w:t xml:space="preserve">separate analyses were undertaken for: (1) patients </w:t>
      </w:r>
      <w:r w:rsidR="001C2112">
        <w:t>who switched from the TRA agent that they initiated on to assess if TRA therapy is potentially prolonged by allowing the use of alternative therapy</w:t>
      </w:r>
      <w:r w:rsidR="00A428B4">
        <w:t>; and (2) grandfathered patients who initiated TRA therapy in the first year of listing</w:t>
      </w:r>
      <w:r w:rsidR="001C2112">
        <w:t>. Histograms of the treatment time dist</w:t>
      </w:r>
      <w:r w:rsidR="00AA5363">
        <w:t xml:space="preserve">ribution for all initiators, </w:t>
      </w:r>
      <w:r w:rsidR="001C2112">
        <w:t>initiators who switched</w:t>
      </w:r>
      <w:r w:rsidR="00AA5363">
        <w:t xml:space="preserve"> and grandfathered patients</w:t>
      </w:r>
      <w:r w:rsidR="001C2112">
        <w:t xml:space="preserve"> were </w:t>
      </w:r>
      <w:r w:rsidR="009A05BC">
        <w:t xml:space="preserve">constructed </w:t>
      </w:r>
      <w:r w:rsidR="001C2112">
        <w:t xml:space="preserve">using </w:t>
      </w:r>
      <w:r w:rsidR="00541E51">
        <w:t>SAS</w:t>
      </w:r>
      <w:r w:rsidR="00440A01">
        <w:t xml:space="preserve"> with the bin set at 6 months</w:t>
      </w:r>
      <w:r w:rsidR="00541E51">
        <w:t xml:space="preserve">. </w:t>
      </w:r>
    </w:p>
    <w:p w14:paraId="708EB4EC" w14:textId="207084C2" w:rsidR="00004E06" w:rsidRDefault="00072A1D" w:rsidP="003C10AE">
      <w:r>
        <w:t>Persistence to</w:t>
      </w:r>
      <w:r w:rsidR="00D604EF">
        <w:t xml:space="preserve"> treatment was also exami</w:t>
      </w:r>
      <w:r w:rsidR="00747FE4">
        <w:t>ned through constructing Kaplan-</w:t>
      </w:r>
      <w:r w:rsidR="00D604EF">
        <w:t>Meier plots of the duration of therapy for the all</w:t>
      </w:r>
      <w:r w:rsidR="00A563D3">
        <w:t xml:space="preserve"> initiating, </w:t>
      </w:r>
      <w:r w:rsidR="00D604EF">
        <w:t xml:space="preserve">switching </w:t>
      </w:r>
      <w:r w:rsidR="00A563D3">
        <w:t xml:space="preserve">and grandfathered </w:t>
      </w:r>
      <w:r w:rsidR="00D604EF">
        <w:t xml:space="preserve">patient groups. </w:t>
      </w:r>
      <w:r w:rsidR="00A1591C">
        <w:t xml:space="preserve">The number of patients at risk at the </w:t>
      </w:r>
      <w:r w:rsidR="008376E6">
        <w:t>end of each year was</w:t>
      </w:r>
      <w:r w:rsidR="00A1591C">
        <w:t xml:space="preserve"> determined to</w:t>
      </w:r>
      <w:r w:rsidR="00C01812">
        <w:t xml:space="preserve"> derive discontinuation rates for</w:t>
      </w:r>
      <w:r w:rsidR="00A1591C">
        <w:t xml:space="preserve"> </w:t>
      </w:r>
      <w:proofErr w:type="spellStart"/>
      <w:r w:rsidR="00A1591C">
        <w:t>romiplostim</w:t>
      </w:r>
      <w:proofErr w:type="spellEnd"/>
      <w:r w:rsidR="00A1591C">
        <w:t xml:space="preserve"> compared to </w:t>
      </w:r>
      <w:proofErr w:type="spellStart"/>
      <w:r w:rsidR="00A1591C">
        <w:t>eltrombopag</w:t>
      </w:r>
      <w:proofErr w:type="spellEnd"/>
      <w:r w:rsidR="00A1591C">
        <w:t xml:space="preserve"> in the all initiating </w:t>
      </w:r>
      <w:r w:rsidR="006542C8">
        <w:t xml:space="preserve">patient </w:t>
      </w:r>
      <w:r w:rsidR="00A1591C">
        <w:t xml:space="preserve">group. </w:t>
      </w:r>
      <w:r w:rsidR="00E43866">
        <w:t xml:space="preserve">The potential impact of switching treatment </w:t>
      </w:r>
      <w:r w:rsidR="00B151D4">
        <w:t xml:space="preserve">and </w:t>
      </w:r>
      <w:r w:rsidR="002C26E3">
        <w:t xml:space="preserve">the </w:t>
      </w:r>
      <w:r w:rsidR="00B151D4">
        <w:t xml:space="preserve">receipt of prior treatment as a grandfathered patient </w:t>
      </w:r>
      <w:r w:rsidR="00E43866">
        <w:t>on the overall time on treatment was also assessed.</w:t>
      </w:r>
    </w:p>
    <w:p w14:paraId="4F91A98A" w14:textId="00180E30" w:rsidR="00C714D0" w:rsidRPr="00D83C7C" w:rsidRDefault="00C714D0" w:rsidP="00D83C7C">
      <w:pPr>
        <w:pStyle w:val="Heading2"/>
        <w:rPr>
          <w:i w:val="0"/>
          <w:sz w:val="32"/>
          <w:szCs w:val="32"/>
        </w:rPr>
      </w:pPr>
      <w:r w:rsidRPr="00D83C7C">
        <w:rPr>
          <w:i w:val="0"/>
          <w:sz w:val="32"/>
          <w:szCs w:val="32"/>
        </w:rPr>
        <w:t>Results</w:t>
      </w:r>
    </w:p>
    <w:p w14:paraId="6ABC962D" w14:textId="10A1F354" w:rsidR="00654FBA" w:rsidRDefault="001B5D37" w:rsidP="0088694E">
      <w:pPr>
        <w:pStyle w:val="Heading3"/>
      </w:pPr>
      <w:r w:rsidRPr="005E22C2">
        <w:t xml:space="preserve">Analysis </w:t>
      </w:r>
      <w:r w:rsidR="00736041" w:rsidRPr="005E22C2">
        <w:t xml:space="preserve">of </w:t>
      </w:r>
      <w:r w:rsidR="0063631C">
        <w:t>d</w:t>
      </w:r>
      <w:r w:rsidR="00E677DD" w:rsidRPr="005E22C2">
        <w:t xml:space="preserve">rug </w:t>
      </w:r>
      <w:r w:rsidR="0063631C">
        <w:t>u</w:t>
      </w:r>
      <w:r w:rsidR="00E677DD" w:rsidRPr="005E22C2">
        <w:t>tilisation</w:t>
      </w:r>
    </w:p>
    <w:p w14:paraId="05D024CC" w14:textId="2976DCA5" w:rsidR="00650454" w:rsidRPr="00F55AFA" w:rsidRDefault="00650454" w:rsidP="00CF4D1A">
      <w:pPr>
        <w:pStyle w:val="Heading2"/>
      </w:pPr>
      <w:r w:rsidRPr="00F55AFA">
        <w:t>Patient numbers</w:t>
      </w:r>
    </w:p>
    <w:p w14:paraId="5D3A10BB" w14:textId="18170980" w:rsidR="00D12AD7" w:rsidRDefault="00C42B79" w:rsidP="00700BED">
      <w:pPr>
        <w:autoSpaceDE w:val="0"/>
        <w:autoSpaceDN w:val="0"/>
        <w:adjustRightInd w:val="0"/>
      </w:pPr>
      <w:r>
        <w:t xml:space="preserve">Comparisons of the predicted versus actual number of patients for the first three years of listing </w:t>
      </w:r>
      <w:r w:rsidR="00DE4C95">
        <w:t xml:space="preserve">since </w:t>
      </w:r>
      <w:proofErr w:type="spellStart"/>
      <w:r w:rsidR="00DE4C95">
        <w:t>romiplostim</w:t>
      </w:r>
      <w:proofErr w:type="spellEnd"/>
      <w:r w:rsidR="00DE4C95">
        <w:t xml:space="preserve"> first listed on 1 April 2011 </w:t>
      </w:r>
      <w:r>
        <w:t xml:space="preserve">are presented in </w:t>
      </w:r>
      <w:r w:rsidR="00D12AD7">
        <w:t>Table 6</w:t>
      </w:r>
      <w:r w:rsidR="00700BED" w:rsidRPr="00F72E3D">
        <w:t xml:space="preserve">. The same time periods are used for assessing </w:t>
      </w:r>
      <w:r w:rsidR="0061731D" w:rsidRPr="00F72E3D">
        <w:t xml:space="preserve">the </w:t>
      </w:r>
      <w:r w:rsidR="00700BED" w:rsidRPr="00F72E3D">
        <w:t xml:space="preserve">utilisation of </w:t>
      </w:r>
      <w:proofErr w:type="spellStart"/>
      <w:r w:rsidR="00700BED" w:rsidRPr="00F72E3D">
        <w:t>eltrombopag</w:t>
      </w:r>
      <w:proofErr w:type="spellEnd"/>
      <w:r w:rsidR="00700BED" w:rsidRPr="00F72E3D">
        <w:t xml:space="preserve"> (listed from 1 November</w:t>
      </w:r>
      <w:r w:rsidR="0061731D" w:rsidRPr="00F72E3D">
        <w:t xml:space="preserve"> 2011) as this </w:t>
      </w:r>
      <w:r w:rsidR="00700BED" w:rsidRPr="00F72E3D">
        <w:t xml:space="preserve">allows </w:t>
      </w:r>
      <w:r w:rsidR="0061731D" w:rsidRPr="00F72E3D">
        <w:t xml:space="preserve">a </w:t>
      </w:r>
      <w:r w:rsidR="00700BED" w:rsidRPr="00F72E3D">
        <w:t xml:space="preserve">predicted versus actual comparison of the total market, consistent with the epidemiological basis of the estimates. </w:t>
      </w:r>
    </w:p>
    <w:p w14:paraId="7D853CA1" w14:textId="7B73EDE3" w:rsidR="00BD7B64" w:rsidRDefault="00BD7B64">
      <w:pPr>
        <w:spacing w:line="276" w:lineRule="auto"/>
      </w:pPr>
      <w:r>
        <w:br w:type="page"/>
      </w:r>
    </w:p>
    <w:p w14:paraId="59D03125" w14:textId="77777777" w:rsidR="007A34BB" w:rsidRPr="00F32F61" w:rsidRDefault="007A34BB" w:rsidP="007F0709">
      <w:pPr>
        <w:pStyle w:val="Tableheading"/>
        <w:jc w:val="left"/>
      </w:pPr>
      <w:r w:rsidRPr="00F32F61">
        <w:lastRenderedPageBreak/>
        <w:t>Table 6: Predicted vs Actual utilisation – Patient numbers</w:t>
      </w:r>
    </w:p>
    <w:tbl>
      <w:tblPr>
        <w:tblW w:w="0" w:type="auto"/>
        <w:tblInd w:w="93" w:type="dxa"/>
        <w:tblLayout w:type="fixed"/>
        <w:tblLook w:val="04A0" w:firstRow="1" w:lastRow="0" w:firstColumn="1" w:lastColumn="0" w:noHBand="0" w:noVBand="1"/>
        <w:tblCaption w:val="Table 6"/>
        <w:tblDescription w:val="Predicted versus actual use of TRA medicines over the first three years of their listing. The predicted figures have been redacted in this table."/>
      </w:tblPr>
      <w:tblGrid>
        <w:gridCol w:w="2283"/>
        <w:gridCol w:w="1985"/>
        <w:gridCol w:w="1559"/>
        <w:gridCol w:w="1559"/>
        <w:gridCol w:w="1560"/>
      </w:tblGrid>
      <w:tr w:rsidR="007A34BB" w:rsidRPr="007F015E" w14:paraId="044DAF7F" w14:textId="77777777" w:rsidTr="003E25A0">
        <w:trPr>
          <w:trHeight w:val="255"/>
          <w:tblHeader/>
        </w:trPr>
        <w:tc>
          <w:tcPr>
            <w:tcW w:w="2283" w:type="dxa"/>
            <w:vMerge w:val="restart"/>
            <w:tcBorders>
              <w:top w:val="single" w:sz="8" w:space="0" w:color="auto"/>
              <w:left w:val="single" w:sz="8" w:space="0" w:color="auto"/>
              <w:bottom w:val="single" w:sz="8" w:space="0" w:color="000000"/>
              <w:right w:val="single" w:sz="8" w:space="0" w:color="auto"/>
            </w:tcBorders>
            <w:shd w:val="clear" w:color="auto" w:fill="BFBFBF" w:themeFill="background1" w:themeFillShade="BF"/>
            <w:noWrap/>
            <w:hideMark/>
          </w:tcPr>
          <w:p w14:paraId="22FA4670" w14:textId="77777777" w:rsidR="007A34BB" w:rsidRPr="00F32F61" w:rsidRDefault="007A34BB" w:rsidP="00F32F61">
            <w:pPr>
              <w:pStyle w:val="TableText"/>
              <w:rPr>
                <w:b/>
              </w:rPr>
            </w:pPr>
            <w:r w:rsidRPr="00F32F61">
              <w:rPr>
                <w:b/>
              </w:rPr>
              <w:t>Patient group</w:t>
            </w:r>
          </w:p>
        </w:tc>
        <w:tc>
          <w:tcPr>
            <w:tcW w:w="1985" w:type="dxa"/>
            <w:vMerge w:val="restart"/>
            <w:tcBorders>
              <w:top w:val="single" w:sz="8" w:space="0" w:color="auto"/>
              <w:left w:val="single" w:sz="8" w:space="0" w:color="auto"/>
              <w:bottom w:val="single" w:sz="8" w:space="0" w:color="000000"/>
              <w:right w:val="single" w:sz="8" w:space="0" w:color="auto"/>
            </w:tcBorders>
            <w:shd w:val="clear" w:color="auto" w:fill="BFBFBF" w:themeFill="background1" w:themeFillShade="BF"/>
            <w:hideMark/>
          </w:tcPr>
          <w:p w14:paraId="766D0309" w14:textId="77777777" w:rsidR="007A34BB" w:rsidRPr="00F32F61" w:rsidRDefault="007A34BB" w:rsidP="00F32F61">
            <w:pPr>
              <w:pStyle w:val="TableText"/>
              <w:rPr>
                <w:b/>
                <w:bCs/>
              </w:rPr>
            </w:pPr>
            <w:r w:rsidRPr="00F32F61">
              <w:rPr>
                <w:b/>
                <w:bCs/>
              </w:rPr>
              <w:t>Comparison</w:t>
            </w:r>
          </w:p>
        </w:tc>
        <w:tc>
          <w:tcPr>
            <w:tcW w:w="1559" w:type="dxa"/>
            <w:tcBorders>
              <w:top w:val="single" w:sz="8" w:space="0" w:color="auto"/>
              <w:left w:val="nil"/>
              <w:bottom w:val="nil"/>
              <w:right w:val="single" w:sz="8" w:space="0" w:color="auto"/>
            </w:tcBorders>
            <w:shd w:val="clear" w:color="auto" w:fill="BFBFBF" w:themeFill="background1" w:themeFillShade="BF"/>
            <w:noWrap/>
            <w:hideMark/>
          </w:tcPr>
          <w:p w14:paraId="4F1A73FE" w14:textId="77777777" w:rsidR="007A34BB" w:rsidRPr="00F32F61" w:rsidRDefault="007A34BB" w:rsidP="00F32F61">
            <w:pPr>
              <w:pStyle w:val="TableText"/>
              <w:rPr>
                <w:b/>
                <w:bCs/>
              </w:rPr>
            </w:pPr>
            <w:r w:rsidRPr="00F32F61">
              <w:rPr>
                <w:b/>
                <w:bCs/>
              </w:rPr>
              <w:t>Year 1</w:t>
            </w:r>
          </w:p>
        </w:tc>
        <w:tc>
          <w:tcPr>
            <w:tcW w:w="1559" w:type="dxa"/>
            <w:tcBorders>
              <w:top w:val="single" w:sz="8" w:space="0" w:color="auto"/>
              <w:left w:val="nil"/>
              <w:bottom w:val="nil"/>
              <w:right w:val="single" w:sz="8" w:space="0" w:color="auto"/>
            </w:tcBorders>
            <w:shd w:val="clear" w:color="auto" w:fill="BFBFBF" w:themeFill="background1" w:themeFillShade="BF"/>
            <w:noWrap/>
            <w:hideMark/>
          </w:tcPr>
          <w:p w14:paraId="44E0BD8D" w14:textId="77777777" w:rsidR="007A34BB" w:rsidRPr="00F32F61" w:rsidRDefault="007A34BB" w:rsidP="00F32F61">
            <w:pPr>
              <w:pStyle w:val="TableText"/>
              <w:rPr>
                <w:b/>
                <w:bCs/>
              </w:rPr>
            </w:pPr>
            <w:r w:rsidRPr="00F32F61">
              <w:rPr>
                <w:b/>
                <w:bCs/>
              </w:rPr>
              <w:t>Year 2</w:t>
            </w:r>
          </w:p>
        </w:tc>
        <w:tc>
          <w:tcPr>
            <w:tcW w:w="1560" w:type="dxa"/>
            <w:tcBorders>
              <w:top w:val="single" w:sz="8" w:space="0" w:color="auto"/>
              <w:left w:val="nil"/>
              <w:bottom w:val="nil"/>
              <w:right w:val="single" w:sz="8" w:space="0" w:color="auto"/>
            </w:tcBorders>
            <w:shd w:val="clear" w:color="auto" w:fill="BFBFBF" w:themeFill="background1" w:themeFillShade="BF"/>
          </w:tcPr>
          <w:p w14:paraId="7CD4A1BC" w14:textId="77777777" w:rsidR="007A34BB" w:rsidRPr="00F32F61" w:rsidRDefault="007A34BB" w:rsidP="00F32F61">
            <w:pPr>
              <w:pStyle w:val="TableText"/>
              <w:rPr>
                <w:b/>
                <w:bCs/>
              </w:rPr>
            </w:pPr>
            <w:r w:rsidRPr="00F32F61">
              <w:rPr>
                <w:b/>
                <w:bCs/>
              </w:rPr>
              <w:t>Year 3</w:t>
            </w:r>
          </w:p>
        </w:tc>
      </w:tr>
      <w:tr w:rsidR="007A34BB" w:rsidRPr="007F015E" w14:paraId="6DC94EE6" w14:textId="77777777" w:rsidTr="003E25A0">
        <w:trPr>
          <w:trHeight w:val="255"/>
          <w:tblHeader/>
        </w:trPr>
        <w:tc>
          <w:tcPr>
            <w:tcW w:w="2283" w:type="dxa"/>
            <w:vMerge/>
            <w:tcBorders>
              <w:top w:val="single" w:sz="8" w:space="0" w:color="auto"/>
              <w:left w:val="single" w:sz="8" w:space="0" w:color="auto"/>
              <w:bottom w:val="single" w:sz="8" w:space="0" w:color="auto"/>
              <w:right w:val="single" w:sz="8" w:space="0" w:color="auto"/>
            </w:tcBorders>
            <w:shd w:val="clear" w:color="auto" w:fill="BFBFBF" w:themeFill="background1" w:themeFillShade="BF"/>
            <w:hideMark/>
          </w:tcPr>
          <w:p w14:paraId="33525AE7" w14:textId="77777777" w:rsidR="007A34BB" w:rsidRPr="00F32F61" w:rsidRDefault="007A34BB" w:rsidP="00F32F61">
            <w:pPr>
              <w:pStyle w:val="TableText"/>
              <w:rPr>
                <w:b/>
              </w:rPr>
            </w:pPr>
          </w:p>
        </w:tc>
        <w:tc>
          <w:tcPr>
            <w:tcW w:w="1985" w:type="dxa"/>
            <w:vMerge/>
            <w:tcBorders>
              <w:top w:val="single" w:sz="8" w:space="0" w:color="auto"/>
              <w:left w:val="single" w:sz="8" w:space="0" w:color="auto"/>
              <w:bottom w:val="single" w:sz="8" w:space="0" w:color="auto"/>
              <w:right w:val="single" w:sz="8" w:space="0" w:color="auto"/>
            </w:tcBorders>
            <w:shd w:val="clear" w:color="auto" w:fill="BFBFBF" w:themeFill="background1" w:themeFillShade="BF"/>
            <w:hideMark/>
          </w:tcPr>
          <w:p w14:paraId="7976197F" w14:textId="77777777" w:rsidR="007A34BB" w:rsidRPr="00F32F61" w:rsidRDefault="007A34BB" w:rsidP="00F32F61">
            <w:pPr>
              <w:pStyle w:val="TableText"/>
              <w:rPr>
                <w:b/>
                <w:bCs/>
              </w:rPr>
            </w:pPr>
          </w:p>
        </w:tc>
        <w:tc>
          <w:tcPr>
            <w:tcW w:w="1559" w:type="dxa"/>
            <w:tcBorders>
              <w:top w:val="nil"/>
              <w:left w:val="nil"/>
              <w:bottom w:val="single" w:sz="8" w:space="0" w:color="auto"/>
              <w:right w:val="single" w:sz="8" w:space="0" w:color="auto"/>
            </w:tcBorders>
            <w:shd w:val="clear" w:color="auto" w:fill="BFBFBF" w:themeFill="background1" w:themeFillShade="BF"/>
            <w:noWrap/>
            <w:hideMark/>
          </w:tcPr>
          <w:p w14:paraId="42BD0536" w14:textId="77777777" w:rsidR="007A34BB" w:rsidRPr="00F32F61" w:rsidRDefault="007A34BB" w:rsidP="00F32F61">
            <w:pPr>
              <w:pStyle w:val="TableText"/>
              <w:rPr>
                <w:b/>
              </w:rPr>
            </w:pPr>
            <w:r w:rsidRPr="00F32F61">
              <w:rPr>
                <w:b/>
              </w:rPr>
              <w:t>Apr11 to Mar12</w:t>
            </w:r>
          </w:p>
        </w:tc>
        <w:tc>
          <w:tcPr>
            <w:tcW w:w="1559" w:type="dxa"/>
            <w:tcBorders>
              <w:top w:val="nil"/>
              <w:left w:val="nil"/>
              <w:bottom w:val="single" w:sz="8" w:space="0" w:color="auto"/>
              <w:right w:val="single" w:sz="8" w:space="0" w:color="auto"/>
            </w:tcBorders>
            <w:shd w:val="clear" w:color="auto" w:fill="BFBFBF" w:themeFill="background1" w:themeFillShade="BF"/>
            <w:noWrap/>
            <w:hideMark/>
          </w:tcPr>
          <w:p w14:paraId="687DCDFE" w14:textId="77777777" w:rsidR="007A34BB" w:rsidRPr="00F32F61" w:rsidRDefault="007A34BB" w:rsidP="00F32F61">
            <w:pPr>
              <w:pStyle w:val="TableText"/>
              <w:rPr>
                <w:b/>
              </w:rPr>
            </w:pPr>
            <w:r w:rsidRPr="00F32F61">
              <w:rPr>
                <w:b/>
              </w:rPr>
              <w:t>Apr12 to Mar13</w:t>
            </w:r>
          </w:p>
        </w:tc>
        <w:tc>
          <w:tcPr>
            <w:tcW w:w="1560" w:type="dxa"/>
            <w:tcBorders>
              <w:top w:val="nil"/>
              <w:left w:val="nil"/>
              <w:bottom w:val="single" w:sz="8" w:space="0" w:color="auto"/>
              <w:right w:val="single" w:sz="8" w:space="0" w:color="auto"/>
            </w:tcBorders>
            <w:shd w:val="clear" w:color="auto" w:fill="BFBFBF" w:themeFill="background1" w:themeFillShade="BF"/>
          </w:tcPr>
          <w:p w14:paraId="3D548043" w14:textId="77777777" w:rsidR="007A34BB" w:rsidRPr="00F32F61" w:rsidRDefault="007A34BB" w:rsidP="00F32F61">
            <w:pPr>
              <w:pStyle w:val="TableText"/>
              <w:rPr>
                <w:b/>
              </w:rPr>
            </w:pPr>
            <w:r w:rsidRPr="00F32F61">
              <w:rPr>
                <w:b/>
              </w:rPr>
              <w:t>Apr13 to Mar14</w:t>
            </w:r>
          </w:p>
        </w:tc>
      </w:tr>
      <w:tr w:rsidR="007A34BB" w:rsidRPr="007F015E" w14:paraId="2EC404E0" w14:textId="77777777" w:rsidTr="003E25A0">
        <w:trPr>
          <w:trHeight w:val="255"/>
        </w:trPr>
        <w:tc>
          <w:tcPr>
            <w:tcW w:w="2283" w:type="dxa"/>
            <w:tcBorders>
              <w:top w:val="single" w:sz="8" w:space="0" w:color="auto"/>
              <w:left w:val="single" w:sz="4" w:space="0" w:color="auto"/>
              <w:right w:val="single" w:sz="8" w:space="0" w:color="auto"/>
            </w:tcBorders>
            <w:shd w:val="clear" w:color="auto" w:fill="auto"/>
            <w:noWrap/>
            <w:vAlign w:val="center"/>
            <w:hideMark/>
          </w:tcPr>
          <w:p w14:paraId="5EE4AF1C" w14:textId="77777777" w:rsidR="007A34BB" w:rsidRPr="00B7291F" w:rsidRDefault="007A34BB" w:rsidP="00F32F61">
            <w:pPr>
              <w:pStyle w:val="TableText"/>
            </w:pPr>
            <w:r w:rsidRPr="007F015E">
              <w:t>Total patients</w:t>
            </w:r>
          </w:p>
        </w:tc>
        <w:tc>
          <w:tcPr>
            <w:tcW w:w="198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61EB20C" w14:textId="77777777" w:rsidR="007A34BB" w:rsidRPr="007F015E" w:rsidRDefault="007A34BB" w:rsidP="00F32F61">
            <w:pPr>
              <w:pStyle w:val="TableText"/>
            </w:pPr>
            <w:r w:rsidRPr="007F015E">
              <w:t>Predicted</w:t>
            </w:r>
          </w:p>
        </w:tc>
        <w:tc>
          <w:tcPr>
            <w:tcW w:w="1559" w:type="dxa"/>
            <w:tcBorders>
              <w:top w:val="single" w:sz="8" w:space="0" w:color="auto"/>
              <w:left w:val="nil"/>
              <w:bottom w:val="single" w:sz="8" w:space="0" w:color="auto"/>
              <w:right w:val="single" w:sz="8" w:space="0" w:color="auto"/>
            </w:tcBorders>
            <w:shd w:val="clear" w:color="auto" w:fill="auto"/>
            <w:noWrap/>
            <w:vAlign w:val="center"/>
            <w:hideMark/>
          </w:tcPr>
          <w:p w14:paraId="62A126E9" w14:textId="77777777" w:rsidR="007A34BB" w:rsidRPr="004C3A5C" w:rsidRDefault="007A34BB" w:rsidP="00F32F61">
            <w:pPr>
              <w:pStyle w:val="TableText"/>
              <w:rPr>
                <w:highlight w:val="black"/>
              </w:rPr>
            </w:pPr>
            <w:r w:rsidRPr="004C3A5C">
              <w:rPr>
                <w:highlight w:val="black"/>
              </w:rPr>
              <w:t>XXX</w:t>
            </w:r>
          </w:p>
        </w:tc>
        <w:tc>
          <w:tcPr>
            <w:tcW w:w="1559" w:type="dxa"/>
            <w:tcBorders>
              <w:top w:val="single" w:sz="8" w:space="0" w:color="auto"/>
              <w:left w:val="nil"/>
              <w:bottom w:val="single" w:sz="8" w:space="0" w:color="auto"/>
              <w:right w:val="single" w:sz="8" w:space="0" w:color="auto"/>
            </w:tcBorders>
            <w:shd w:val="clear" w:color="auto" w:fill="auto"/>
            <w:noWrap/>
            <w:hideMark/>
          </w:tcPr>
          <w:p w14:paraId="5B5EAD75" w14:textId="77777777" w:rsidR="007A34BB" w:rsidRPr="004C3A5C" w:rsidRDefault="007A34BB" w:rsidP="00F32F61">
            <w:pPr>
              <w:pStyle w:val="TableText"/>
              <w:rPr>
                <w:highlight w:val="black"/>
              </w:rPr>
            </w:pPr>
            <w:r w:rsidRPr="004C3A5C">
              <w:rPr>
                <w:highlight w:val="black"/>
              </w:rPr>
              <w:t>XXX</w:t>
            </w:r>
          </w:p>
        </w:tc>
        <w:tc>
          <w:tcPr>
            <w:tcW w:w="1560" w:type="dxa"/>
            <w:tcBorders>
              <w:top w:val="single" w:sz="8" w:space="0" w:color="auto"/>
              <w:left w:val="nil"/>
              <w:bottom w:val="single" w:sz="8" w:space="0" w:color="auto"/>
              <w:right w:val="single" w:sz="8" w:space="0" w:color="auto"/>
            </w:tcBorders>
          </w:tcPr>
          <w:p w14:paraId="5A314229" w14:textId="77777777" w:rsidR="007A34BB" w:rsidRPr="004C3A5C" w:rsidRDefault="007A34BB" w:rsidP="00F32F61">
            <w:pPr>
              <w:pStyle w:val="TableText"/>
              <w:rPr>
                <w:highlight w:val="black"/>
              </w:rPr>
            </w:pPr>
            <w:r w:rsidRPr="004C3A5C">
              <w:rPr>
                <w:highlight w:val="black"/>
              </w:rPr>
              <w:t>XXX</w:t>
            </w:r>
          </w:p>
        </w:tc>
      </w:tr>
      <w:tr w:rsidR="007A34BB" w:rsidRPr="007F015E" w14:paraId="63DCABA0" w14:textId="77777777" w:rsidTr="003E25A0">
        <w:trPr>
          <w:trHeight w:val="255"/>
        </w:trPr>
        <w:tc>
          <w:tcPr>
            <w:tcW w:w="2283" w:type="dxa"/>
            <w:tcBorders>
              <w:top w:val="nil"/>
              <w:left w:val="single" w:sz="4" w:space="0" w:color="auto"/>
              <w:right w:val="single" w:sz="4" w:space="0" w:color="auto"/>
            </w:tcBorders>
            <w:shd w:val="clear" w:color="auto" w:fill="auto"/>
            <w:noWrap/>
            <w:vAlign w:val="center"/>
            <w:hideMark/>
          </w:tcPr>
          <w:p w14:paraId="30FBC105" w14:textId="77777777" w:rsidR="007A34BB" w:rsidRPr="007F015E" w:rsidRDefault="007A34BB" w:rsidP="00F32F61">
            <w:pPr>
              <w:pStyle w:val="TableText"/>
            </w:pPr>
          </w:p>
        </w:tc>
        <w:tc>
          <w:tcPr>
            <w:tcW w:w="1985" w:type="dxa"/>
            <w:tcBorders>
              <w:top w:val="nil"/>
              <w:left w:val="single" w:sz="4" w:space="0" w:color="auto"/>
              <w:bottom w:val="single" w:sz="4" w:space="0" w:color="auto"/>
              <w:right w:val="single" w:sz="8" w:space="0" w:color="auto"/>
            </w:tcBorders>
            <w:shd w:val="clear" w:color="auto" w:fill="auto"/>
            <w:vAlign w:val="center"/>
            <w:hideMark/>
          </w:tcPr>
          <w:p w14:paraId="4528A6C5" w14:textId="77777777" w:rsidR="007A34BB" w:rsidRPr="007F015E" w:rsidRDefault="007A34BB" w:rsidP="00F32F61">
            <w:pPr>
              <w:pStyle w:val="TableText"/>
            </w:pPr>
            <w:r w:rsidRPr="007F015E">
              <w:t>Actual</w:t>
            </w:r>
          </w:p>
        </w:tc>
        <w:tc>
          <w:tcPr>
            <w:tcW w:w="1559" w:type="dxa"/>
            <w:tcBorders>
              <w:top w:val="nil"/>
              <w:left w:val="nil"/>
              <w:bottom w:val="single" w:sz="4" w:space="0" w:color="auto"/>
              <w:right w:val="single" w:sz="8" w:space="0" w:color="auto"/>
            </w:tcBorders>
            <w:shd w:val="clear" w:color="auto" w:fill="auto"/>
            <w:noWrap/>
            <w:vAlign w:val="center"/>
            <w:hideMark/>
          </w:tcPr>
          <w:p w14:paraId="4392B81F" w14:textId="77777777" w:rsidR="007A34BB" w:rsidRPr="00621914" w:rsidRDefault="007A34BB" w:rsidP="00F32F61">
            <w:pPr>
              <w:pStyle w:val="TableText"/>
            </w:pPr>
            <w:r>
              <w:t>303</w:t>
            </w:r>
          </w:p>
        </w:tc>
        <w:tc>
          <w:tcPr>
            <w:tcW w:w="1559" w:type="dxa"/>
            <w:tcBorders>
              <w:top w:val="nil"/>
              <w:left w:val="nil"/>
              <w:bottom w:val="single" w:sz="4" w:space="0" w:color="auto"/>
              <w:right w:val="single" w:sz="8" w:space="0" w:color="auto"/>
            </w:tcBorders>
            <w:shd w:val="clear" w:color="auto" w:fill="auto"/>
            <w:noWrap/>
            <w:vAlign w:val="center"/>
            <w:hideMark/>
          </w:tcPr>
          <w:p w14:paraId="6EAE4DF5" w14:textId="77777777" w:rsidR="007A34BB" w:rsidRPr="00621914" w:rsidRDefault="007A34BB" w:rsidP="00F32F61">
            <w:pPr>
              <w:pStyle w:val="TableText"/>
            </w:pPr>
            <w:r>
              <w:t>412</w:t>
            </w:r>
          </w:p>
        </w:tc>
        <w:tc>
          <w:tcPr>
            <w:tcW w:w="1560" w:type="dxa"/>
            <w:tcBorders>
              <w:top w:val="nil"/>
              <w:left w:val="nil"/>
              <w:bottom w:val="single" w:sz="4" w:space="0" w:color="auto"/>
              <w:right w:val="single" w:sz="8" w:space="0" w:color="auto"/>
            </w:tcBorders>
            <w:vAlign w:val="center"/>
          </w:tcPr>
          <w:p w14:paraId="2FF1A1E5" w14:textId="77777777" w:rsidR="007A34BB" w:rsidRPr="00621914" w:rsidRDefault="007A34BB" w:rsidP="00F32F61">
            <w:pPr>
              <w:pStyle w:val="TableText"/>
            </w:pPr>
            <w:r>
              <w:t>506</w:t>
            </w:r>
          </w:p>
        </w:tc>
      </w:tr>
      <w:tr w:rsidR="007A34BB" w:rsidRPr="007F015E" w14:paraId="74F1F870" w14:textId="77777777" w:rsidTr="003E25A0">
        <w:trPr>
          <w:trHeight w:val="255"/>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14:paraId="23B1065F" w14:textId="77777777" w:rsidR="007A34BB" w:rsidRPr="007F015E" w:rsidRDefault="007A34BB" w:rsidP="00F32F61">
            <w:pPr>
              <w:pStyle w:val="TableText"/>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4E3DE8" w14:textId="77777777" w:rsidR="007A34BB" w:rsidRPr="007F015E" w:rsidRDefault="007A34BB" w:rsidP="00F32F61">
            <w:pPr>
              <w:pStyle w:val="TableText"/>
            </w:pPr>
            <w:r w:rsidRPr="007F015E">
              <w:t>% of Predicted</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A9CD7E" w14:textId="77777777" w:rsidR="007A34BB" w:rsidRPr="00621914" w:rsidRDefault="007A34BB" w:rsidP="00F32F61">
            <w:pPr>
              <w:pStyle w:val="TableText"/>
            </w:pPr>
            <w:r w:rsidRPr="004C3A5C">
              <w:rPr>
                <w:highlight w:val="black"/>
              </w:rPr>
              <w:t>XXX</w:t>
            </w:r>
            <w:r>
              <w:t>%</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3D16F0" w14:textId="77777777" w:rsidR="007A34BB" w:rsidRPr="00621914" w:rsidRDefault="007A34BB" w:rsidP="00F32F61">
            <w:pPr>
              <w:pStyle w:val="TableText"/>
            </w:pPr>
            <w:r w:rsidRPr="004C3A5C">
              <w:rPr>
                <w:highlight w:val="black"/>
              </w:rPr>
              <w:t>XX</w:t>
            </w:r>
            <w:r>
              <w:t>%</w:t>
            </w:r>
          </w:p>
        </w:tc>
        <w:tc>
          <w:tcPr>
            <w:tcW w:w="1560" w:type="dxa"/>
            <w:tcBorders>
              <w:top w:val="single" w:sz="4" w:space="0" w:color="auto"/>
              <w:left w:val="single" w:sz="4" w:space="0" w:color="auto"/>
              <w:bottom w:val="single" w:sz="4" w:space="0" w:color="auto"/>
              <w:right w:val="single" w:sz="4" w:space="0" w:color="auto"/>
            </w:tcBorders>
            <w:vAlign w:val="center"/>
          </w:tcPr>
          <w:p w14:paraId="2CA5EFEC" w14:textId="77777777" w:rsidR="007A34BB" w:rsidRPr="00621914" w:rsidRDefault="007A34BB" w:rsidP="00F32F61">
            <w:pPr>
              <w:pStyle w:val="TableText"/>
            </w:pPr>
            <w:r w:rsidRPr="004C3A5C">
              <w:rPr>
                <w:highlight w:val="black"/>
              </w:rPr>
              <w:t>XX</w:t>
            </w:r>
            <w:r>
              <w:t>%</w:t>
            </w:r>
          </w:p>
        </w:tc>
      </w:tr>
      <w:tr w:rsidR="007A34BB" w:rsidRPr="007F015E" w14:paraId="473FD7A8" w14:textId="77777777" w:rsidTr="003E25A0">
        <w:trPr>
          <w:trHeight w:val="255"/>
        </w:trPr>
        <w:tc>
          <w:tcPr>
            <w:tcW w:w="2283" w:type="dxa"/>
            <w:tcBorders>
              <w:top w:val="single" w:sz="4" w:space="0" w:color="auto"/>
              <w:left w:val="single" w:sz="4" w:space="0" w:color="auto"/>
              <w:bottom w:val="nil"/>
              <w:right w:val="single" w:sz="4" w:space="0" w:color="auto"/>
            </w:tcBorders>
            <w:shd w:val="clear" w:color="auto" w:fill="auto"/>
            <w:noWrap/>
            <w:vAlign w:val="center"/>
          </w:tcPr>
          <w:p w14:paraId="01D4DA60" w14:textId="77777777" w:rsidR="007A34BB" w:rsidRPr="007F015E" w:rsidRDefault="007A34BB" w:rsidP="00F32F61">
            <w:pPr>
              <w:pStyle w:val="TableText"/>
            </w:pPr>
            <w:r>
              <w:t>Initiating patients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DCA47C0" w14:textId="77777777" w:rsidR="007A34BB" w:rsidRPr="007F015E" w:rsidRDefault="007A34BB" w:rsidP="00F32F61">
            <w:pPr>
              <w:pStyle w:val="TableText"/>
            </w:pPr>
            <w:r w:rsidRPr="007F015E">
              <w:t>Predicted</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2F7768" w14:textId="77777777" w:rsidR="007A34BB" w:rsidRPr="004C3A5C" w:rsidRDefault="007A34BB" w:rsidP="00F32F61">
            <w:pPr>
              <w:pStyle w:val="TableText"/>
              <w:rPr>
                <w:highlight w:val="black"/>
              </w:rPr>
            </w:pPr>
            <w:r w:rsidRPr="004C3A5C">
              <w:rPr>
                <w:highlight w:val="black"/>
              </w:rPr>
              <w:t>XXX</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04956B" w14:textId="77777777" w:rsidR="007A34BB" w:rsidRPr="004C3A5C" w:rsidRDefault="007A34BB" w:rsidP="00F32F61">
            <w:pPr>
              <w:pStyle w:val="TableText"/>
              <w:rPr>
                <w:highlight w:val="black"/>
              </w:rPr>
            </w:pPr>
            <w:r w:rsidRPr="004C3A5C">
              <w:rPr>
                <w:highlight w:val="black"/>
              </w:rPr>
              <w:t>XX</w:t>
            </w:r>
          </w:p>
        </w:tc>
        <w:tc>
          <w:tcPr>
            <w:tcW w:w="1560" w:type="dxa"/>
            <w:tcBorders>
              <w:top w:val="single" w:sz="4" w:space="0" w:color="auto"/>
              <w:left w:val="single" w:sz="4" w:space="0" w:color="auto"/>
              <w:bottom w:val="single" w:sz="4" w:space="0" w:color="auto"/>
              <w:right w:val="single" w:sz="4" w:space="0" w:color="auto"/>
            </w:tcBorders>
            <w:vAlign w:val="center"/>
          </w:tcPr>
          <w:p w14:paraId="76E4EC08" w14:textId="77777777" w:rsidR="007A34BB" w:rsidRPr="004C3A5C" w:rsidRDefault="007A34BB" w:rsidP="00F32F61">
            <w:pPr>
              <w:pStyle w:val="TableText"/>
              <w:rPr>
                <w:highlight w:val="black"/>
              </w:rPr>
            </w:pPr>
            <w:r w:rsidRPr="004C3A5C">
              <w:rPr>
                <w:highlight w:val="black"/>
              </w:rPr>
              <w:t>XX</w:t>
            </w:r>
          </w:p>
        </w:tc>
      </w:tr>
      <w:tr w:rsidR="007A34BB" w:rsidRPr="007F015E" w14:paraId="208531B6" w14:textId="77777777" w:rsidTr="003E25A0">
        <w:trPr>
          <w:trHeight w:val="255"/>
        </w:trPr>
        <w:tc>
          <w:tcPr>
            <w:tcW w:w="2283" w:type="dxa"/>
            <w:tcBorders>
              <w:top w:val="nil"/>
              <w:left w:val="single" w:sz="4" w:space="0" w:color="auto"/>
              <w:bottom w:val="nil"/>
              <w:right w:val="single" w:sz="4" w:space="0" w:color="auto"/>
            </w:tcBorders>
            <w:shd w:val="clear" w:color="auto" w:fill="auto"/>
            <w:noWrap/>
            <w:vAlign w:val="center"/>
          </w:tcPr>
          <w:p w14:paraId="77411F52" w14:textId="77777777" w:rsidR="007A34BB" w:rsidRPr="007F015E" w:rsidRDefault="007A34BB" w:rsidP="00F32F61">
            <w:pPr>
              <w:pStyle w:val="TableText"/>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85B7E15" w14:textId="77777777" w:rsidR="007A34BB" w:rsidRPr="007F015E" w:rsidRDefault="007A34BB" w:rsidP="00F32F61">
            <w:pPr>
              <w:pStyle w:val="TableText"/>
            </w:pPr>
            <w:r w:rsidRPr="007F015E">
              <w:t>Actual</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00B7AF" w14:textId="77777777" w:rsidR="007A34BB" w:rsidRPr="00621914" w:rsidRDefault="007A34BB" w:rsidP="00F32F61">
            <w:pPr>
              <w:pStyle w:val="TableText"/>
            </w:pPr>
            <w:r>
              <w:t>150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93760F" w14:textId="77777777" w:rsidR="007A34BB" w:rsidRPr="00621914" w:rsidRDefault="007A34BB" w:rsidP="00F32F61">
            <w:pPr>
              <w:pStyle w:val="TableText"/>
            </w:pPr>
            <w:r>
              <w:t>145</w:t>
            </w:r>
          </w:p>
        </w:tc>
        <w:tc>
          <w:tcPr>
            <w:tcW w:w="1560" w:type="dxa"/>
            <w:tcBorders>
              <w:top w:val="single" w:sz="4" w:space="0" w:color="auto"/>
              <w:left w:val="single" w:sz="4" w:space="0" w:color="auto"/>
              <w:bottom w:val="single" w:sz="4" w:space="0" w:color="auto"/>
              <w:right w:val="single" w:sz="4" w:space="0" w:color="auto"/>
            </w:tcBorders>
            <w:vAlign w:val="center"/>
          </w:tcPr>
          <w:p w14:paraId="63251435" w14:textId="77777777" w:rsidR="007A34BB" w:rsidRPr="00621914" w:rsidRDefault="007A34BB" w:rsidP="00F32F61">
            <w:pPr>
              <w:pStyle w:val="TableText"/>
            </w:pPr>
            <w:r>
              <w:t>154</w:t>
            </w:r>
          </w:p>
        </w:tc>
      </w:tr>
      <w:tr w:rsidR="007A34BB" w:rsidRPr="007F015E" w14:paraId="0C02A8D3" w14:textId="77777777" w:rsidTr="003E25A0">
        <w:trPr>
          <w:trHeight w:val="255"/>
        </w:trPr>
        <w:tc>
          <w:tcPr>
            <w:tcW w:w="2283" w:type="dxa"/>
            <w:tcBorders>
              <w:top w:val="nil"/>
              <w:left w:val="single" w:sz="4" w:space="0" w:color="auto"/>
              <w:bottom w:val="single" w:sz="4" w:space="0" w:color="auto"/>
              <w:right w:val="single" w:sz="4" w:space="0" w:color="auto"/>
            </w:tcBorders>
            <w:shd w:val="clear" w:color="auto" w:fill="auto"/>
            <w:noWrap/>
            <w:vAlign w:val="center"/>
          </w:tcPr>
          <w:p w14:paraId="30D0E1A5" w14:textId="77777777" w:rsidR="007A34BB" w:rsidRPr="007F015E" w:rsidRDefault="007A34BB" w:rsidP="00F32F61">
            <w:pPr>
              <w:pStyle w:val="TableText"/>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86D3834" w14:textId="77777777" w:rsidR="007A34BB" w:rsidRPr="007F015E" w:rsidRDefault="007A34BB" w:rsidP="00F32F61">
            <w:pPr>
              <w:pStyle w:val="TableText"/>
            </w:pPr>
            <w:r w:rsidRPr="007F015E">
              <w:t>% of Predicted</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1204BF" w14:textId="77777777" w:rsidR="007A34BB" w:rsidRPr="00621914" w:rsidRDefault="007A34BB" w:rsidP="00F32F61">
            <w:pPr>
              <w:pStyle w:val="TableText"/>
            </w:pPr>
            <w:r w:rsidRPr="004C3A5C">
              <w:rPr>
                <w:highlight w:val="black"/>
              </w:rPr>
              <w:t>XXX</w:t>
            </w:r>
            <w:r>
              <w:t>%</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5B4CF5C4" w14:textId="77777777" w:rsidR="007A34BB" w:rsidRPr="00621914" w:rsidRDefault="007A34BB" w:rsidP="00F32F61">
            <w:pPr>
              <w:pStyle w:val="TableText"/>
            </w:pPr>
            <w:r w:rsidRPr="00142E76">
              <w:rPr>
                <w:highlight w:val="black"/>
              </w:rPr>
              <w:t>XXX</w:t>
            </w:r>
            <w:r w:rsidRPr="00142E76">
              <w:t>%</w:t>
            </w:r>
          </w:p>
        </w:tc>
        <w:tc>
          <w:tcPr>
            <w:tcW w:w="1560" w:type="dxa"/>
            <w:tcBorders>
              <w:top w:val="single" w:sz="4" w:space="0" w:color="auto"/>
              <w:left w:val="single" w:sz="4" w:space="0" w:color="auto"/>
              <w:bottom w:val="single" w:sz="4" w:space="0" w:color="auto"/>
              <w:right w:val="single" w:sz="4" w:space="0" w:color="auto"/>
            </w:tcBorders>
          </w:tcPr>
          <w:p w14:paraId="327D4D13" w14:textId="77777777" w:rsidR="007A34BB" w:rsidRPr="00621914" w:rsidRDefault="007A34BB" w:rsidP="00F32F61">
            <w:pPr>
              <w:pStyle w:val="TableText"/>
            </w:pPr>
            <w:r w:rsidRPr="00142E76">
              <w:rPr>
                <w:highlight w:val="black"/>
              </w:rPr>
              <w:t>XXX</w:t>
            </w:r>
            <w:r w:rsidRPr="00142E76">
              <w:t>%</w:t>
            </w:r>
          </w:p>
        </w:tc>
      </w:tr>
      <w:tr w:rsidR="007A34BB" w:rsidRPr="007F015E" w14:paraId="652CE7C6" w14:textId="77777777" w:rsidTr="003E25A0">
        <w:trPr>
          <w:trHeight w:val="255"/>
        </w:trPr>
        <w:tc>
          <w:tcPr>
            <w:tcW w:w="2283" w:type="dxa"/>
            <w:tcBorders>
              <w:top w:val="single" w:sz="4" w:space="0" w:color="auto"/>
              <w:left w:val="single" w:sz="4" w:space="0" w:color="auto"/>
              <w:bottom w:val="nil"/>
              <w:right w:val="single" w:sz="4" w:space="0" w:color="auto"/>
            </w:tcBorders>
            <w:shd w:val="clear" w:color="auto" w:fill="auto"/>
            <w:noWrap/>
            <w:vAlign w:val="center"/>
          </w:tcPr>
          <w:p w14:paraId="5D134EBD" w14:textId="77777777" w:rsidR="007A34BB" w:rsidRPr="007F015E" w:rsidRDefault="007A34BB" w:rsidP="00F32F61">
            <w:pPr>
              <w:pStyle w:val="TableText"/>
            </w:pPr>
            <w:r>
              <w:t>Prevalent patients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8C08951" w14:textId="77777777" w:rsidR="007A34BB" w:rsidRPr="007F015E" w:rsidRDefault="007A34BB" w:rsidP="00F32F61">
            <w:pPr>
              <w:pStyle w:val="TableText"/>
            </w:pPr>
            <w:r w:rsidRPr="007F015E">
              <w:t>Predicted</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60CE68" w14:textId="77777777" w:rsidR="007A34BB" w:rsidRPr="004C3A5C" w:rsidRDefault="007A34BB" w:rsidP="00F32F61">
            <w:pPr>
              <w:pStyle w:val="TableText"/>
              <w:rPr>
                <w:highlight w:val="black"/>
              </w:rPr>
            </w:pPr>
            <w:r w:rsidRPr="004C3A5C">
              <w:rPr>
                <w:highlight w:val="black"/>
              </w:rPr>
              <w:t>XXX</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DB276D" w14:textId="77777777" w:rsidR="007A34BB" w:rsidRPr="004C3A5C" w:rsidRDefault="007A34BB" w:rsidP="00F32F61">
            <w:pPr>
              <w:pStyle w:val="TableText"/>
              <w:rPr>
                <w:highlight w:val="black"/>
              </w:rPr>
            </w:pPr>
            <w:r w:rsidRPr="004C3A5C">
              <w:rPr>
                <w:highlight w:val="black"/>
              </w:rPr>
              <w:t>XXX</w:t>
            </w:r>
          </w:p>
        </w:tc>
        <w:tc>
          <w:tcPr>
            <w:tcW w:w="1560" w:type="dxa"/>
            <w:tcBorders>
              <w:top w:val="single" w:sz="4" w:space="0" w:color="auto"/>
              <w:left w:val="single" w:sz="4" w:space="0" w:color="auto"/>
              <w:bottom w:val="single" w:sz="4" w:space="0" w:color="auto"/>
              <w:right w:val="single" w:sz="4" w:space="0" w:color="auto"/>
            </w:tcBorders>
            <w:vAlign w:val="center"/>
          </w:tcPr>
          <w:p w14:paraId="63844A8D" w14:textId="77777777" w:rsidR="007A34BB" w:rsidRPr="004C3A5C" w:rsidRDefault="007A34BB" w:rsidP="00F32F61">
            <w:pPr>
              <w:pStyle w:val="TableText"/>
              <w:rPr>
                <w:highlight w:val="black"/>
              </w:rPr>
            </w:pPr>
            <w:r w:rsidRPr="004C3A5C">
              <w:rPr>
                <w:highlight w:val="black"/>
              </w:rPr>
              <w:t>XXX</w:t>
            </w:r>
          </w:p>
        </w:tc>
      </w:tr>
      <w:tr w:rsidR="007A34BB" w:rsidRPr="007F015E" w14:paraId="5AB8F4E5" w14:textId="77777777" w:rsidTr="003E25A0">
        <w:trPr>
          <w:trHeight w:val="255"/>
        </w:trPr>
        <w:tc>
          <w:tcPr>
            <w:tcW w:w="2283" w:type="dxa"/>
            <w:tcBorders>
              <w:top w:val="nil"/>
              <w:left w:val="single" w:sz="4" w:space="0" w:color="auto"/>
              <w:bottom w:val="nil"/>
              <w:right w:val="single" w:sz="4" w:space="0" w:color="auto"/>
            </w:tcBorders>
            <w:shd w:val="clear" w:color="auto" w:fill="auto"/>
            <w:noWrap/>
            <w:vAlign w:val="center"/>
          </w:tcPr>
          <w:p w14:paraId="06C48DFF" w14:textId="77777777" w:rsidR="007A34BB" w:rsidRPr="007F015E" w:rsidRDefault="007A34BB" w:rsidP="00F32F61">
            <w:pPr>
              <w:pStyle w:val="TableText"/>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D8814CD" w14:textId="77777777" w:rsidR="007A34BB" w:rsidRPr="007F015E" w:rsidRDefault="007A34BB" w:rsidP="00F32F61">
            <w:pPr>
              <w:pStyle w:val="TableText"/>
            </w:pPr>
            <w:r w:rsidRPr="007F015E">
              <w:t>Actual</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92D9E9" w14:textId="77777777" w:rsidR="007A34BB" w:rsidRPr="00621914" w:rsidRDefault="007A34BB" w:rsidP="00F32F61">
            <w:pPr>
              <w:pStyle w:val="TableText"/>
            </w:pPr>
            <w:r>
              <w:t>153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BE8687" w14:textId="77777777" w:rsidR="007A34BB" w:rsidRPr="00621914" w:rsidRDefault="007A34BB" w:rsidP="00F32F61">
            <w:pPr>
              <w:pStyle w:val="TableText"/>
            </w:pPr>
            <w:r>
              <w:t>267</w:t>
            </w:r>
          </w:p>
        </w:tc>
        <w:tc>
          <w:tcPr>
            <w:tcW w:w="1560" w:type="dxa"/>
            <w:tcBorders>
              <w:top w:val="single" w:sz="4" w:space="0" w:color="auto"/>
              <w:left w:val="single" w:sz="4" w:space="0" w:color="auto"/>
              <w:bottom w:val="single" w:sz="4" w:space="0" w:color="auto"/>
              <w:right w:val="single" w:sz="4" w:space="0" w:color="auto"/>
            </w:tcBorders>
            <w:vAlign w:val="center"/>
          </w:tcPr>
          <w:p w14:paraId="3C3BBC70" w14:textId="77777777" w:rsidR="007A34BB" w:rsidRPr="00621914" w:rsidRDefault="007A34BB" w:rsidP="00F32F61">
            <w:pPr>
              <w:pStyle w:val="TableText"/>
            </w:pPr>
            <w:r>
              <w:t>352</w:t>
            </w:r>
          </w:p>
        </w:tc>
      </w:tr>
      <w:tr w:rsidR="007A34BB" w:rsidRPr="007F015E" w14:paraId="27B6D08F" w14:textId="77777777" w:rsidTr="003E25A0">
        <w:trPr>
          <w:trHeight w:val="255"/>
        </w:trPr>
        <w:tc>
          <w:tcPr>
            <w:tcW w:w="2283" w:type="dxa"/>
            <w:tcBorders>
              <w:top w:val="nil"/>
              <w:left w:val="single" w:sz="4" w:space="0" w:color="auto"/>
              <w:bottom w:val="single" w:sz="4" w:space="0" w:color="auto"/>
              <w:right w:val="single" w:sz="4" w:space="0" w:color="auto"/>
            </w:tcBorders>
            <w:shd w:val="clear" w:color="auto" w:fill="auto"/>
            <w:noWrap/>
            <w:vAlign w:val="center"/>
          </w:tcPr>
          <w:p w14:paraId="0497D7BA" w14:textId="77777777" w:rsidR="007A34BB" w:rsidRPr="007F015E" w:rsidRDefault="007A34BB" w:rsidP="00F32F61">
            <w:pPr>
              <w:pStyle w:val="TableText"/>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03BA893" w14:textId="77777777" w:rsidR="007A34BB" w:rsidRPr="007F015E" w:rsidRDefault="007A34BB" w:rsidP="00F32F61">
            <w:pPr>
              <w:pStyle w:val="TableText"/>
            </w:pPr>
            <w:r w:rsidRPr="007F015E">
              <w:t>% of Predicted</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1BBEFD79" w14:textId="77777777" w:rsidR="007A34BB" w:rsidRPr="00621914" w:rsidRDefault="007A34BB" w:rsidP="00F32F61">
            <w:pPr>
              <w:pStyle w:val="TableText"/>
            </w:pPr>
            <w:r w:rsidRPr="00376160">
              <w:rPr>
                <w:highlight w:val="black"/>
              </w:rPr>
              <w:t>XXX</w:t>
            </w:r>
            <w:r w:rsidRPr="00376160">
              <w:t>%</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090EDE48" w14:textId="77777777" w:rsidR="007A34BB" w:rsidRPr="00621914" w:rsidRDefault="007A34BB" w:rsidP="00F32F61">
            <w:pPr>
              <w:pStyle w:val="TableText"/>
            </w:pPr>
            <w:r w:rsidRPr="00376160">
              <w:rPr>
                <w:highlight w:val="black"/>
              </w:rPr>
              <w:t>XXX</w:t>
            </w:r>
            <w:r w:rsidRPr="00376160">
              <w:t>%</w:t>
            </w:r>
          </w:p>
        </w:tc>
        <w:tc>
          <w:tcPr>
            <w:tcW w:w="1560" w:type="dxa"/>
            <w:tcBorders>
              <w:top w:val="single" w:sz="4" w:space="0" w:color="auto"/>
              <w:left w:val="single" w:sz="4" w:space="0" w:color="auto"/>
              <w:bottom w:val="single" w:sz="4" w:space="0" w:color="auto"/>
              <w:right w:val="single" w:sz="4" w:space="0" w:color="auto"/>
            </w:tcBorders>
          </w:tcPr>
          <w:p w14:paraId="1A722309" w14:textId="77777777" w:rsidR="007A34BB" w:rsidRPr="00621914" w:rsidRDefault="007A34BB" w:rsidP="00F32F61">
            <w:pPr>
              <w:pStyle w:val="TableText"/>
            </w:pPr>
            <w:r w:rsidRPr="00376160">
              <w:rPr>
                <w:highlight w:val="black"/>
              </w:rPr>
              <w:t>XXX</w:t>
            </w:r>
            <w:r w:rsidRPr="00376160">
              <w:t>%</w:t>
            </w:r>
          </w:p>
        </w:tc>
      </w:tr>
      <w:tr w:rsidR="007A34BB" w:rsidRPr="007F015E" w14:paraId="6261FC24" w14:textId="77777777" w:rsidTr="003E25A0">
        <w:trPr>
          <w:trHeight w:val="255"/>
        </w:trPr>
        <w:tc>
          <w:tcPr>
            <w:tcW w:w="8946" w:type="dxa"/>
            <w:gridSpan w:val="5"/>
            <w:tcBorders>
              <w:top w:val="single" w:sz="4" w:space="0" w:color="auto"/>
              <w:left w:val="single" w:sz="4" w:space="0" w:color="auto"/>
              <w:bottom w:val="nil"/>
              <w:right w:val="single" w:sz="4" w:space="0" w:color="auto"/>
            </w:tcBorders>
            <w:shd w:val="clear" w:color="auto" w:fill="BFBFBF" w:themeFill="background1" w:themeFillShade="BF"/>
            <w:noWrap/>
            <w:vAlign w:val="center"/>
          </w:tcPr>
          <w:p w14:paraId="2B6BD1F2" w14:textId="77777777" w:rsidR="007A34BB" w:rsidRPr="00B7291F" w:rsidRDefault="007A34BB" w:rsidP="00F32F61">
            <w:pPr>
              <w:pStyle w:val="TableText"/>
            </w:pPr>
            <w:proofErr w:type="spellStart"/>
            <w:r w:rsidRPr="00B7291F">
              <w:t>Romiplostim</w:t>
            </w:r>
            <w:proofErr w:type="spellEnd"/>
          </w:p>
        </w:tc>
      </w:tr>
      <w:tr w:rsidR="007A34BB" w:rsidRPr="007F015E" w14:paraId="119986FA" w14:textId="77777777" w:rsidTr="003E25A0">
        <w:trPr>
          <w:trHeight w:val="255"/>
        </w:trPr>
        <w:tc>
          <w:tcPr>
            <w:tcW w:w="2283" w:type="dxa"/>
            <w:tcBorders>
              <w:top w:val="single" w:sz="4" w:space="0" w:color="auto"/>
              <w:left w:val="single" w:sz="4" w:space="0" w:color="auto"/>
              <w:bottom w:val="nil"/>
              <w:right w:val="single" w:sz="4" w:space="0" w:color="auto"/>
            </w:tcBorders>
            <w:shd w:val="clear" w:color="auto" w:fill="auto"/>
            <w:noWrap/>
            <w:vAlign w:val="center"/>
          </w:tcPr>
          <w:p w14:paraId="6412D900" w14:textId="77777777" w:rsidR="007A34BB" w:rsidRPr="007F015E" w:rsidRDefault="007A34BB" w:rsidP="00F32F61">
            <w:pPr>
              <w:pStyle w:val="TableText"/>
            </w:pPr>
            <w:r>
              <w:t>Initiating patients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21BD2BB" w14:textId="77777777" w:rsidR="007A34BB" w:rsidRPr="007F015E" w:rsidRDefault="007A34BB" w:rsidP="00F32F61">
            <w:pPr>
              <w:pStyle w:val="TableText"/>
            </w:pPr>
            <w:r w:rsidRPr="007F015E">
              <w:t>Predicted</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7021D5" w14:textId="77777777" w:rsidR="007A34BB" w:rsidRPr="009B6D5B" w:rsidRDefault="007A34BB" w:rsidP="00F32F61">
            <w:pPr>
              <w:pStyle w:val="TableText"/>
              <w:rPr>
                <w:highlight w:val="black"/>
              </w:rPr>
            </w:pPr>
            <w:r w:rsidRPr="009B6D5B">
              <w:rPr>
                <w:highlight w:val="black"/>
              </w:rPr>
              <w:t>XXX</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CEB050" w14:textId="77777777" w:rsidR="007A34BB" w:rsidRPr="009B6D5B" w:rsidRDefault="007A34BB" w:rsidP="00F32F61">
            <w:pPr>
              <w:pStyle w:val="TableText"/>
              <w:rPr>
                <w:highlight w:val="black"/>
              </w:rPr>
            </w:pPr>
            <w:r w:rsidRPr="009B6D5B">
              <w:rPr>
                <w:highlight w:val="black"/>
              </w:rPr>
              <w:t>XX</w:t>
            </w:r>
          </w:p>
        </w:tc>
        <w:tc>
          <w:tcPr>
            <w:tcW w:w="1560" w:type="dxa"/>
            <w:tcBorders>
              <w:top w:val="single" w:sz="4" w:space="0" w:color="auto"/>
              <w:left w:val="single" w:sz="4" w:space="0" w:color="auto"/>
              <w:bottom w:val="single" w:sz="4" w:space="0" w:color="auto"/>
              <w:right w:val="single" w:sz="4" w:space="0" w:color="auto"/>
            </w:tcBorders>
            <w:vAlign w:val="center"/>
          </w:tcPr>
          <w:p w14:paraId="1C4EAEED" w14:textId="77777777" w:rsidR="007A34BB" w:rsidRPr="009B6D5B" w:rsidRDefault="007A34BB" w:rsidP="00F32F61">
            <w:pPr>
              <w:pStyle w:val="TableText"/>
              <w:rPr>
                <w:highlight w:val="black"/>
              </w:rPr>
            </w:pPr>
            <w:r w:rsidRPr="009B6D5B">
              <w:rPr>
                <w:highlight w:val="black"/>
              </w:rPr>
              <w:t>XX</w:t>
            </w:r>
          </w:p>
        </w:tc>
      </w:tr>
      <w:tr w:rsidR="007A34BB" w:rsidRPr="007F015E" w14:paraId="1AAF9FF7" w14:textId="77777777" w:rsidTr="003E25A0">
        <w:trPr>
          <w:trHeight w:val="255"/>
        </w:trPr>
        <w:tc>
          <w:tcPr>
            <w:tcW w:w="2283" w:type="dxa"/>
            <w:tcBorders>
              <w:top w:val="nil"/>
              <w:left w:val="single" w:sz="4" w:space="0" w:color="auto"/>
              <w:bottom w:val="nil"/>
              <w:right w:val="single" w:sz="4" w:space="0" w:color="auto"/>
            </w:tcBorders>
            <w:shd w:val="clear" w:color="auto" w:fill="auto"/>
            <w:noWrap/>
            <w:vAlign w:val="center"/>
          </w:tcPr>
          <w:p w14:paraId="49DBE63C" w14:textId="77777777" w:rsidR="007A34BB" w:rsidRPr="007F015E" w:rsidRDefault="007A34BB" w:rsidP="00F32F61">
            <w:pPr>
              <w:pStyle w:val="TableText"/>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41C553B" w14:textId="77777777" w:rsidR="007A34BB" w:rsidRPr="007F015E" w:rsidRDefault="007A34BB" w:rsidP="00F32F61">
            <w:pPr>
              <w:pStyle w:val="TableText"/>
            </w:pPr>
            <w:r w:rsidRPr="007F015E">
              <w:t>Actual</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FE6C36" w14:textId="77777777" w:rsidR="007A34BB" w:rsidRPr="00C743EC" w:rsidRDefault="007A34BB" w:rsidP="00F32F61">
            <w:pPr>
              <w:pStyle w:val="TableText"/>
            </w:pPr>
            <w:r>
              <w:t>122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8A1ACD" w14:textId="77777777" w:rsidR="007A34BB" w:rsidRPr="00C743EC" w:rsidRDefault="007A34BB" w:rsidP="00F32F61">
            <w:pPr>
              <w:pStyle w:val="TableText"/>
            </w:pPr>
            <w:r>
              <w:t>63</w:t>
            </w:r>
          </w:p>
        </w:tc>
        <w:tc>
          <w:tcPr>
            <w:tcW w:w="1560" w:type="dxa"/>
            <w:tcBorders>
              <w:top w:val="single" w:sz="4" w:space="0" w:color="auto"/>
              <w:left w:val="single" w:sz="4" w:space="0" w:color="auto"/>
              <w:bottom w:val="single" w:sz="4" w:space="0" w:color="auto"/>
              <w:right w:val="single" w:sz="4" w:space="0" w:color="auto"/>
            </w:tcBorders>
            <w:vAlign w:val="center"/>
          </w:tcPr>
          <w:p w14:paraId="0132F362" w14:textId="77777777" w:rsidR="007A34BB" w:rsidRPr="00C743EC" w:rsidRDefault="007A34BB" w:rsidP="00F32F61">
            <w:pPr>
              <w:pStyle w:val="TableText"/>
            </w:pPr>
            <w:r>
              <w:t>64</w:t>
            </w:r>
          </w:p>
        </w:tc>
      </w:tr>
      <w:tr w:rsidR="007A34BB" w:rsidRPr="007F015E" w14:paraId="20B4DA97" w14:textId="77777777" w:rsidTr="003E25A0">
        <w:trPr>
          <w:trHeight w:val="255"/>
        </w:trPr>
        <w:tc>
          <w:tcPr>
            <w:tcW w:w="2283" w:type="dxa"/>
            <w:tcBorders>
              <w:top w:val="nil"/>
              <w:left w:val="single" w:sz="4" w:space="0" w:color="auto"/>
              <w:bottom w:val="single" w:sz="4" w:space="0" w:color="auto"/>
              <w:right w:val="single" w:sz="4" w:space="0" w:color="auto"/>
            </w:tcBorders>
            <w:shd w:val="clear" w:color="auto" w:fill="auto"/>
            <w:noWrap/>
            <w:vAlign w:val="center"/>
          </w:tcPr>
          <w:p w14:paraId="5E988465" w14:textId="77777777" w:rsidR="007A34BB" w:rsidRPr="007F015E" w:rsidRDefault="007A34BB" w:rsidP="00F32F61">
            <w:pPr>
              <w:pStyle w:val="TableText"/>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C1C0ED7" w14:textId="77777777" w:rsidR="007A34BB" w:rsidRPr="007F015E" w:rsidRDefault="007A34BB" w:rsidP="00F32F61">
            <w:pPr>
              <w:pStyle w:val="TableText"/>
            </w:pPr>
            <w:r w:rsidRPr="007F015E">
              <w:t>% of Predicted</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721ECD" w14:textId="77777777" w:rsidR="007A34BB" w:rsidRPr="00C743EC" w:rsidRDefault="007A34BB" w:rsidP="00F32F61">
            <w:pPr>
              <w:pStyle w:val="TableText"/>
            </w:pPr>
            <w:r w:rsidRPr="009B6D5B">
              <w:rPr>
                <w:highlight w:val="black"/>
              </w:rPr>
              <w:t>XXX</w:t>
            </w:r>
            <w:r>
              <w:t>%</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14905D" w14:textId="77777777" w:rsidR="007A34BB" w:rsidRPr="00C743EC" w:rsidRDefault="007A34BB" w:rsidP="00F32F61">
            <w:pPr>
              <w:pStyle w:val="TableText"/>
            </w:pPr>
            <w:r w:rsidRPr="009B6D5B">
              <w:rPr>
                <w:highlight w:val="black"/>
              </w:rPr>
              <w:t>XXX</w:t>
            </w:r>
            <w:r>
              <w:t>%</w:t>
            </w:r>
          </w:p>
        </w:tc>
        <w:tc>
          <w:tcPr>
            <w:tcW w:w="1560" w:type="dxa"/>
            <w:tcBorders>
              <w:top w:val="single" w:sz="4" w:space="0" w:color="auto"/>
              <w:left w:val="single" w:sz="4" w:space="0" w:color="auto"/>
              <w:bottom w:val="single" w:sz="4" w:space="0" w:color="auto"/>
              <w:right w:val="single" w:sz="4" w:space="0" w:color="auto"/>
            </w:tcBorders>
            <w:vAlign w:val="center"/>
          </w:tcPr>
          <w:p w14:paraId="03F31D3A" w14:textId="77777777" w:rsidR="007A34BB" w:rsidRPr="00C743EC" w:rsidRDefault="007A34BB" w:rsidP="00F32F61">
            <w:pPr>
              <w:pStyle w:val="TableText"/>
            </w:pPr>
            <w:r w:rsidRPr="009B6D5B">
              <w:rPr>
                <w:highlight w:val="black"/>
              </w:rPr>
              <w:t>XXX</w:t>
            </w:r>
            <w:r>
              <w:t>%</w:t>
            </w:r>
          </w:p>
        </w:tc>
      </w:tr>
      <w:tr w:rsidR="007A34BB" w:rsidRPr="007F015E" w14:paraId="34BA13D7" w14:textId="77777777" w:rsidTr="003E25A0">
        <w:trPr>
          <w:trHeight w:val="255"/>
        </w:trPr>
        <w:tc>
          <w:tcPr>
            <w:tcW w:w="2283" w:type="dxa"/>
            <w:tcBorders>
              <w:top w:val="single" w:sz="4" w:space="0" w:color="auto"/>
              <w:left w:val="single" w:sz="4" w:space="0" w:color="auto"/>
              <w:bottom w:val="nil"/>
              <w:right w:val="single" w:sz="4" w:space="0" w:color="auto"/>
            </w:tcBorders>
            <w:shd w:val="clear" w:color="auto" w:fill="auto"/>
            <w:noWrap/>
            <w:vAlign w:val="center"/>
          </w:tcPr>
          <w:p w14:paraId="5532A640" w14:textId="77777777" w:rsidR="007A34BB" w:rsidRPr="007F015E" w:rsidRDefault="007A34BB" w:rsidP="00F32F61">
            <w:pPr>
              <w:pStyle w:val="TableText"/>
            </w:pPr>
            <w:r>
              <w:t>Prevalent patients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320C576" w14:textId="77777777" w:rsidR="007A34BB" w:rsidRPr="007F015E" w:rsidRDefault="007A34BB" w:rsidP="00F32F61">
            <w:pPr>
              <w:pStyle w:val="TableText"/>
            </w:pPr>
            <w:r w:rsidRPr="007F015E">
              <w:t>Predicted</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43FC08" w14:textId="77777777" w:rsidR="007A34BB" w:rsidRPr="009B6D5B" w:rsidRDefault="007A34BB" w:rsidP="00F32F61">
            <w:pPr>
              <w:pStyle w:val="TableText"/>
              <w:rPr>
                <w:highlight w:val="black"/>
              </w:rPr>
            </w:pPr>
            <w:r w:rsidRPr="009B6D5B">
              <w:rPr>
                <w:highlight w:val="black"/>
              </w:rPr>
              <w:t>XXX</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8B9A4" w14:textId="77777777" w:rsidR="007A34BB" w:rsidRPr="009B6D5B" w:rsidRDefault="007A34BB" w:rsidP="00F32F61">
            <w:pPr>
              <w:pStyle w:val="TableText"/>
              <w:rPr>
                <w:highlight w:val="black"/>
              </w:rPr>
            </w:pPr>
            <w:r w:rsidRPr="009B6D5B">
              <w:rPr>
                <w:highlight w:val="black"/>
              </w:rPr>
              <w:t>XXX</w:t>
            </w:r>
          </w:p>
        </w:tc>
        <w:tc>
          <w:tcPr>
            <w:tcW w:w="1560" w:type="dxa"/>
            <w:tcBorders>
              <w:top w:val="single" w:sz="4" w:space="0" w:color="auto"/>
              <w:left w:val="single" w:sz="4" w:space="0" w:color="auto"/>
              <w:bottom w:val="single" w:sz="4" w:space="0" w:color="auto"/>
              <w:right w:val="single" w:sz="4" w:space="0" w:color="auto"/>
            </w:tcBorders>
            <w:vAlign w:val="center"/>
          </w:tcPr>
          <w:p w14:paraId="77669048" w14:textId="77777777" w:rsidR="007A34BB" w:rsidRPr="009B6D5B" w:rsidRDefault="007A34BB" w:rsidP="00F32F61">
            <w:pPr>
              <w:pStyle w:val="TableText"/>
              <w:rPr>
                <w:highlight w:val="black"/>
              </w:rPr>
            </w:pPr>
            <w:r w:rsidRPr="009B6D5B">
              <w:rPr>
                <w:highlight w:val="black"/>
              </w:rPr>
              <w:t>XXX</w:t>
            </w:r>
          </w:p>
        </w:tc>
      </w:tr>
      <w:tr w:rsidR="007A34BB" w:rsidRPr="007F015E" w14:paraId="35290DCB" w14:textId="77777777" w:rsidTr="003E25A0">
        <w:trPr>
          <w:trHeight w:val="255"/>
        </w:trPr>
        <w:tc>
          <w:tcPr>
            <w:tcW w:w="2283" w:type="dxa"/>
            <w:tcBorders>
              <w:top w:val="nil"/>
              <w:left w:val="single" w:sz="4" w:space="0" w:color="auto"/>
              <w:bottom w:val="nil"/>
              <w:right w:val="single" w:sz="4" w:space="0" w:color="auto"/>
            </w:tcBorders>
            <w:shd w:val="clear" w:color="auto" w:fill="auto"/>
            <w:noWrap/>
            <w:vAlign w:val="center"/>
          </w:tcPr>
          <w:p w14:paraId="6197F858" w14:textId="77777777" w:rsidR="007A34BB" w:rsidRPr="007F015E" w:rsidRDefault="007A34BB" w:rsidP="00F32F61">
            <w:pPr>
              <w:pStyle w:val="TableText"/>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E1F2E9F" w14:textId="77777777" w:rsidR="007A34BB" w:rsidRPr="007F015E" w:rsidRDefault="007A34BB" w:rsidP="00F32F61">
            <w:pPr>
              <w:pStyle w:val="TableText"/>
            </w:pPr>
            <w:r w:rsidRPr="007F015E">
              <w:t>Actual</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4C5DC2" w14:textId="77777777" w:rsidR="007A34BB" w:rsidRPr="00C743EC" w:rsidRDefault="007A34BB" w:rsidP="00F32F61">
            <w:pPr>
              <w:pStyle w:val="TableText"/>
            </w:pPr>
            <w:r>
              <w:t>124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B5A6B4" w14:textId="77777777" w:rsidR="007A34BB" w:rsidRPr="00C743EC" w:rsidRDefault="007A34BB" w:rsidP="00F32F61">
            <w:pPr>
              <w:pStyle w:val="TableText"/>
            </w:pPr>
            <w:r>
              <w:t>156</w:t>
            </w:r>
          </w:p>
        </w:tc>
        <w:tc>
          <w:tcPr>
            <w:tcW w:w="1560" w:type="dxa"/>
            <w:tcBorders>
              <w:top w:val="single" w:sz="4" w:space="0" w:color="auto"/>
              <w:left w:val="single" w:sz="4" w:space="0" w:color="auto"/>
              <w:bottom w:val="single" w:sz="4" w:space="0" w:color="auto"/>
              <w:right w:val="single" w:sz="4" w:space="0" w:color="auto"/>
            </w:tcBorders>
            <w:vAlign w:val="center"/>
          </w:tcPr>
          <w:p w14:paraId="04C92F52" w14:textId="77777777" w:rsidR="007A34BB" w:rsidRPr="00C743EC" w:rsidRDefault="007A34BB" w:rsidP="00F32F61">
            <w:pPr>
              <w:pStyle w:val="TableText"/>
            </w:pPr>
            <w:r>
              <w:t>186</w:t>
            </w:r>
          </w:p>
        </w:tc>
      </w:tr>
      <w:tr w:rsidR="007A34BB" w:rsidRPr="007F015E" w14:paraId="3E251639" w14:textId="77777777" w:rsidTr="003E25A0">
        <w:trPr>
          <w:trHeight w:val="255"/>
        </w:trPr>
        <w:tc>
          <w:tcPr>
            <w:tcW w:w="2283" w:type="dxa"/>
            <w:tcBorders>
              <w:top w:val="nil"/>
              <w:left w:val="single" w:sz="4" w:space="0" w:color="auto"/>
              <w:bottom w:val="single" w:sz="4" w:space="0" w:color="auto"/>
              <w:right w:val="single" w:sz="4" w:space="0" w:color="auto"/>
            </w:tcBorders>
            <w:shd w:val="clear" w:color="auto" w:fill="auto"/>
            <w:noWrap/>
            <w:vAlign w:val="center"/>
          </w:tcPr>
          <w:p w14:paraId="0302F6A6" w14:textId="77777777" w:rsidR="007A34BB" w:rsidRPr="007F015E" w:rsidRDefault="007A34BB" w:rsidP="00F32F61">
            <w:pPr>
              <w:pStyle w:val="TableText"/>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3BCDFE0" w14:textId="77777777" w:rsidR="007A34BB" w:rsidRPr="007F015E" w:rsidRDefault="007A34BB" w:rsidP="00F32F61">
            <w:pPr>
              <w:pStyle w:val="TableText"/>
            </w:pPr>
            <w:r w:rsidRPr="007F015E">
              <w:t>% of Predicted</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E5563E" w14:textId="77777777" w:rsidR="007A34BB" w:rsidRPr="00C743EC" w:rsidRDefault="007A34BB" w:rsidP="00F32F61">
            <w:pPr>
              <w:pStyle w:val="TableText"/>
            </w:pPr>
            <w:r w:rsidRPr="009B6D5B">
              <w:rPr>
                <w:highlight w:val="black"/>
              </w:rPr>
              <w:t>XX</w:t>
            </w:r>
            <w:r>
              <w:t>%</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3C2A460A" w14:textId="77777777" w:rsidR="007A34BB" w:rsidRPr="00C743EC" w:rsidRDefault="007A34BB" w:rsidP="00F32F61">
            <w:pPr>
              <w:pStyle w:val="TableText"/>
            </w:pPr>
            <w:r w:rsidRPr="004C7DEB">
              <w:rPr>
                <w:highlight w:val="black"/>
              </w:rPr>
              <w:t>XX</w:t>
            </w:r>
            <w:r w:rsidRPr="004C7DEB">
              <w:t>%</w:t>
            </w:r>
          </w:p>
        </w:tc>
        <w:tc>
          <w:tcPr>
            <w:tcW w:w="1560" w:type="dxa"/>
            <w:tcBorders>
              <w:top w:val="single" w:sz="4" w:space="0" w:color="auto"/>
              <w:left w:val="single" w:sz="4" w:space="0" w:color="auto"/>
              <w:bottom w:val="single" w:sz="4" w:space="0" w:color="auto"/>
              <w:right w:val="single" w:sz="4" w:space="0" w:color="auto"/>
            </w:tcBorders>
          </w:tcPr>
          <w:p w14:paraId="3CCDCC58" w14:textId="77777777" w:rsidR="007A34BB" w:rsidRPr="00C743EC" w:rsidRDefault="007A34BB" w:rsidP="00F32F61">
            <w:pPr>
              <w:pStyle w:val="TableText"/>
            </w:pPr>
            <w:r w:rsidRPr="004C7DEB">
              <w:rPr>
                <w:highlight w:val="black"/>
              </w:rPr>
              <w:t>XX</w:t>
            </w:r>
            <w:r w:rsidRPr="004C7DEB">
              <w:t>%</w:t>
            </w:r>
          </w:p>
        </w:tc>
      </w:tr>
      <w:tr w:rsidR="007A34BB" w:rsidRPr="007F015E" w14:paraId="35240625" w14:textId="77777777" w:rsidTr="003E25A0">
        <w:trPr>
          <w:trHeight w:val="255"/>
        </w:trPr>
        <w:tc>
          <w:tcPr>
            <w:tcW w:w="8946" w:type="dxa"/>
            <w:gridSpan w:val="5"/>
            <w:tcBorders>
              <w:top w:val="single" w:sz="4" w:space="0" w:color="auto"/>
              <w:left w:val="single" w:sz="4" w:space="0" w:color="auto"/>
              <w:bottom w:val="nil"/>
              <w:right w:val="single" w:sz="4" w:space="0" w:color="auto"/>
            </w:tcBorders>
            <w:shd w:val="clear" w:color="auto" w:fill="BFBFBF" w:themeFill="background1" w:themeFillShade="BF"/>
            <w:noWrap/>
            <w:vAlign w:val="center"/>
          </w:tcPr>
          <w:p w14:paraId="2FD262C6" w14:textId="77777777" w:rsidR="007A34BB" w:rsidRPr="00B7291F" w:rsidRDefault="007A34BB" w:rsidP="00F32F61">
            <w:pPr>
              <w:pStyle w:val="TableText"/>
            </w:pPr>
            <w:proofErr w:type="spellStart"/>
            <w:r>
              <w:t>Eltrombopag</w:t>
            </w:r>
            <w:proofErr w:type="spellEnd"/>
          </w:p>
        </w:tc>
      </w:tr>
      <w:tr w:rsidR="007A34BB" w:rsidRPr="007F015E" w14:paraId="45CA7DA9" w14:textId="77777777" w:rsidTr="003E25A0">
        <w:trPr>
          <w:trHeight w:val="255"/>
        </w:trPr>
        <w:tc>
          <w:tcPr>
            <w:tcW w:w="2283" w:type="dxa"/>
            <w:tcBorders>
              <w:top w:val="single" w:sz="4" w:space="0" w:color="auto"/>
              <w:left w:val="single" w:sz="4" w:space="0" w:color="auto"/>
              <w:bottom w:val="nil"/>
              <w:right w:val="single" w:sz="4" w:space="0" w:color="auto"/>
            </w:tcBorders>
            <w:shd w:val="clear" w:color="auto" w:fill="auto"/>
            <w:noWrap/>
            <w:vAlign w:val="center"/>
          </w:tcPr>
          <w:p w14:paraId="420C8678" w14:textId="77777777" w:rsidR="007A34BB" w:rsidRPr="007F015E" w:rsidRDefault="007A34BB" w:rsidP="00F32F61">
            <w:pPr>
              <w:pStyle w:val="TableText"/>
            </w:pPr>
            <w:r>
              <w:t>Initiating patients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58F78F1" w14:textId="77777777" w:rsidR="007A34BB" w:rsidRPr="007F015E" w:rsidRDefault="007A34BB" w:rsidP="00F32F61">
            <w:pPr>
              <w:pStyle w:val="TableText"/>
            </w:pPr>
            <w:r w:rsidRPr="007F015E">
              <w:t>Predicted</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1F9D1B" w14:textId="77777777" w:rsidR="007A34BB" w:rsidRPr="003854F4" w:rsidRDefault="007A34BB" w:rsidP="00F32F61">
            <w:pPr>
              <w:pStyle w:val="TableText"/>
              <w:rPr>
                <w:highlight w:val="black"/>
              </w:rPr>
            </w:pPr>
            <w:r w:rsidRPr="003854F4">
              <w:rPr>
                <w:highlight w:val="black"/>
              </w:rPr>
              <w:t>XX</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DAC956" w14:textId="77777777" w:rsidR="007A34BB" w:rsidRPr="003854F4" w:rsidRDefault="007A34BB" w:rsidP="00F32F61">
            <w:pPr>
              <w:pStyle w:val="TableText"/>
              <w:rPr>
                <w:highlight w:val="black"/>
              </w:rPr>
            </w:pPr>
            <w:r w:rsidRPr="003854F4">
              <w:rPr>
                <w:highlight w:val="black"/>
              </w:rPr>
              <w:t>XX</w:t>
            </w:r>
          </w:p>
        </w:tc>
        <w:tc>
          <w:tcPr>
            <w:tcW w:w="1560" w:type="dxa"/>
            <w:tcBorders>
              <w:top w:val="single" w:sz="4" w:space="0" w:color="auto"/>
              <w:left w:val="single" w:sz="4" w:space="0" w:color="auto"/>
              <w:bottom w:val="single" w:sz="4" w:space="0" w:color="auto"/>
              <w:right w:val="single" w:sz="4" w:space="0" w:color="auto"/>
            </w:tcBorders>
            <w:vAlign w:val="center"/>
          </w:tcPr>
          <w:p w14:paraId="7B6AA861" w14:textId="77777777" w:rsidR="007A34BB" w:rsidRPr="003854F4" w:rsidRDefault="007A34BB" w:rsidP="00F32F61">
            <w:pPr>
              <w:pStyle w:val="TableText"/>
              <w:rPr>
                <w:highlight w:val="black"/>
              </w:rPr>
            </w:pPr>
            <w:r w:rsidRPr="003854F4">
              <w:rPr>
                <w:highlight w:val="black"/>
              </w:rPr>
              <w:t>XX</w:t>
            </w:r>
          </w:p>
        </w:tc>
      </w:tr>
      <w:tr w:rsidR="007A34BB" w:rsidRPr="007F015E" w14:paraId="097C266A" w14:textId="77777777" w:rsidTr="003E25A0">
        <w:trPr>
          <w:trHeight w:val="255"/>
        </w:trPr>
        <w:tc>
          <w:tcPr>
            <w:tcW w:w="2283" w:type="dxa"/>
            <w:tcBorders>
              <w:top w:val="nil"/>
              <w:left w:val="single" w:sz="4" w:space="0" w:color="auto"/>
              <w:right w:val="single" w:sz="4" w:space="0" w:color="auto"/>
            </w:tcBorders>
            <w:shd w:val="clear" w:color="auto" w:fill="auto"/>
            <w:noWrap/>
            <w:vAlign w:val="center"/>
          </w:tcPr>
          <w:p w14:paraId="04438FF2" w14:textId="77777777" w:rsidR="007A34BB" w:rsidRPr="007F015E" w:rsidRDefault="007A34BB" w:rsidP="00F32F61">
            <w:pPr>
              <w:pStyle w:val="TableText"/>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EF5D855" w14:textId="77777777" w:rsidR="007A34BB" w:rsidRPr="007F015E" w:rsidRDefault="007A34BB" w:rsidP="00F32F61">
            <w:pPr>
              <w:pStyle w:val="TableText"/>
            </w:pPr>
            <w:r w:rsidRPr="007F015E">
              <w:t>Actual</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790F2B" w14:textId="77777777" w:rsidR="007A34BB" w:rsidRPr="00C743EC" w:rsidRDefault="007A34BB" w:rsidP="00F32F61">
            <w:pPr>
              <w:pStyle w:val="TableText"/>
            </w:pPr>
            <w:r>
              <w:t>28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47B9BD" w14:textId="77777777" w:rsidR="007A34BB" w:rsidRPr="00C743EC" w:rsidRDefault="007A34BB" w:rsidP="00F32F61">
            <w:pPr>
              <w:pStyle w:val="TableText"/>
            </w:pPr>
            <w:r>
              <w:t>82</w:t>
            </w:r>
          </w:p>
        </w:tc>
        <w:tc>
          <w:tcPr>
            <w:tcW w:w="1560" w:type="dxa"/>
            <w:tcBorders>
              <w:top w:val="single" w:sz="4" w:space="0" w:color="auto"/>
              <w:left w:val="single" w:sz="4" w:space="0" w:color="auto"/>
              <w:bottom w:val="single" w:sz="4" w:space="0" w:color="auto"/>
              <w:right w:val="single" w:sz="4" w:space="0" w:color="auto"/>
            </w:tcBorders>
            <w:vAlign w:val="center"/>
          </w:tcPr>
          <w:p w14:paraId="25AD6EB0" w14:textId="77777777" w:rsidR="007A34BB" w:rsidRPr="00C743EC" w:rsidRDefault="007A34BB" w:rsidP="00F32F61">
            <w:pPr>
              <w:pStyle w:val="TableText"/>
            </w:pPr>
            <w:r>
              <w:t>90</w:t>
            </w:r>
          </w:p>
        </w:tc>
      </w:tr>
      <w:tr w:rsidR="007A34BB" w:rsidRPr="007F015E" w14:paraId="4D068F5F" w14:textId="77777777" w:rsidTr="003E25A0">
        <w:trPr>
          <w:trHeight w:val="255"/>
        </w:trPr>
        <w:tc>
          <w:tcPr>
            <w:tcW w:w="2283" w:type="dxa"/>
            <w:tcBorders>
              <w:left w:val="single" w:sz="4" w:space="0" w:color="auto"/>
              <w:bottom w:val="single" w:sz="4" w:space="0" w:color="auto"/>
              <w:right w:val="single" w:sz="4" w:space="0" w:color="auto"/>
            </w:tcBorders>
            <w:shd w:val="clear" w:color="auto" w:fill="auto"/>
            <w:noWrap/>
            <w:vAlign w:val="center"/>
          </w:tcPr>
          <w:p w14:paraId="7ADA6721" w14:textId="77777777" w:rsidR="007A34BB" w:rsidRPr="007F015E" w:rsidRDefault="007A34BB" w:rsidP="00F32F61">
            <w:pPr>
              <w:pStyle w:val="TableText"/>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7B346CA" w14:textId="77777777" w:rsidR="007A34BB" w:rsidRPr="007F015E" w:rsidRDefault="007A34BB" w:rsidP="00F32F61">
            <w:pPr>
              <w:pStyle w:val="TableText"/>
            </w:pPr>
            <w:r w:rsidRPr="007F015E">
              <w:t>% of Predicted</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AF7925" w14:textId="77777777" w:rsidR="007A34BB" w:rsidRPr="003854F4" w:rsidRDefault="007A34BB" w:rsidP="00F32F61">
            <w:pPr>
              <w:pStyle w:val="TableText"/>
              <w:rPr>
                <w:highlight w:val="black"/>
              </w:rPr>
            </w:pPr>
            <w:r w:rsidRPr="003854F4">
              <w:rPr>
                <w:highlight w:val="black"/>
              </w:rPr>
              <w:t>XXXX</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C7380A" w14:textId="77777777" w:rsidR="007A34BB" w:rsidRPr="003854F4" w:rsidRDefault="007A34BB" w:rsidP="00F32F61">
            <w:pPr>
              <w:pStyle w:val="TableText"/>
              <w:rPr>
                <w:highlight w:val="black"/>
              </w:rPr>
            </w:pPr>
            <w:r w:rsidRPr="003854F4">
              <w:rPr>
                <w:highlight w:val="black"/>
              </w:rPr>
              <w:t>XXXX</w:t>
            </w:r>
          </w:p>
        </w:tc>
        <w:tc>
          <w:tcPr>
            <w:tcW w:w="1560" w:type="dxa"/>
            <w:tcBorders>
              <w:top w:val="single" w:sz="4" w:space="0" w:color="auto"/>
              <w:left w:val="single" w:sz="4" w:space="0" w:color="auto"/>
              <w:bottom w:val="single" w:sz="4" w:space="0" w:color="auto"/>
              <w:right w:val="single" w:sz="4" w:space="0" w:color="auto"/>
            </w:tcBorders>
            <w:vAlign w:val="center"/>
          </w:tcPr>
          <w:p w14:paraId="7EBDA8ED" w14:textId="77777777" w:rsidR="007A34BB" w:rsidRPr="003854F4" w:rsidRDefault="007A34BB" w:rsidP="00F32F61">
            <w:pPr>
              <w:pStyle w:val="TableText"/>
              <w:rPr>
                <w:highlight w:val="black"/>
              </w:rPr>
            </w:pPr>
            <w:r w:rsidRPr="003854F4">
              <w:rPr>
                <w:highlight w:val="black"/>
              </w:rPr>
              <w:t>XXXX</w:t>
            </w:r>
          </w:p>
        </w:tc>
      </w:tr>
      <w:tr w:rsidR="007A34BB" w:rsidRPr="007F015E" w14:paraId="680F7BFD" w14:textId="77777777" w:rsidTr="003E25A0">
        <w:trPr>
          <w:trHeight w:val="255"/>
        </w:trPr>
        <w:tc>
          <w:tcPr>
            <w:tcW w:w="2283" w:type="dxa"/>
            <w:tcBorders>
              <w:top w:val="single" w:sz="4" w:space="0" w:color="auto"/>
              <w:left w:val="single" w:sz="4" w:space="0" w:color="auto"/>
              <w:right w:val="single" w:sz="4" w:space="0" w:color="auto"/>
            </w:tcBorders>
            <w:shd w:val="clear" w:color="auto" w:fill="auto"/>
            <w:noWrap/>
            <w:vAlign w:val="center"/>
          </w:tcPr>
          <w:p w14:paraId="0FB71258" w14:textId="77777777" w:rsidR="007A34BB" w:rsidRPr="007F015E" w:rsidRDefault="007A34BB" w:rsidP="00F32F61">
            <w:pPr>
              <w:pStyle w:val="TableText"/>
            </w:pPr>
            <w:r>
              <w:t>Prevalent patients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D4783D8" w14:textId="77777777" w:rsidR="007A34BB" w:rsidRPr="007F015E" w:rsidRDefault="007A34BB" w:rsidP="00F32F61">
            <w:pPr>
              <w:pStyle w:val="TableText"/>
            </w:pPr>
            <w:r w:rsidRPr="007F015E">
              <w:t>Predicted</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99F96B" w14:textId="77777777" w:rsidR="007A34BB" w:rsidRPr="003854F4" w:rsidRDefault="007A34BB" w:rsidP="00F32F61">
            <w:pPr>
              <w:pStyle w:val="TableText"/>
              <w:rPr>
                <w:highlight w:val="black"/>
              </w:rPr>
            </w:pPr>
            <w:r w:rsidRPr="003854F4">
              <w:rPr>
                <w:highlight w:val="black"/>
              </w:rPr>
              <w:t>XX</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0252C4" w14:textId="77777777" w:rsidR="007A34BB" w:rsidRPr="003854F4" w:rsidRDefault="007A34BB" w:rsidP="00F32F61">
            <w:pPr>
              <w:pStyle w:val="TableText"/>
              <w:rPr>
                <w:highlight w:val="black"/>
              </w:rPr>
            </w:pPr>
            <w:r w:rsidRPr="003854F4">
              <w:rPr>
                <w:highlight w:val="black"/>
              </w:rPr>
              <w:t>XX</w:t>
            </w:r>
          </w:p>
        </w:tc>
        <w:tc>
          <w:tcPr>
            <w:tcW w:w="1560" w:type="dxa"/>
            <w:tcBorders>
              <w:top w:val="single" w:sz="4" w:space="0" w:color="auto"/>
              <w:left w:val="single" w:sz="4" w:space="0" w:color="auto"/>
              <w:bottom w:val="single" w:sz="4" w:space="0" w:color="auto"/>
              <w:right w:val="single" w:sz="4" w:space="0" w:color="auto"/>
            </w:tcBorders>
            <w:vAlign w:val="center"/>
          </w:tcPr>
          <w:p w14:paraId="7D2DFB52" w14:textId="77777777" w:rsidR="007A34BB" w:rsidRPr="003854F4" w:rsidRDefault="007A34BB" w:rsidP="00F32F61">
            <w:pPr>
              <w:pStyle w:val="TableText"/>
              <w:rPr>
                <w:highlight w:val="black"/>
              </w:rPr>
            </w:pPr>
            <w:r w:rsidRPr="003854F4">
              <w:rPr>
                <w:highlight w:val="black"/>
              </w:rPr>
              <w:t>XX</w:t>
            </w:r>
          </w:p>
        </w:tc>
      </w:tr>
      <w:tr w:rsidR="007A34BB" w:rsidRPr="007F015E" w14:paraId="1D84EC07" w14:textId="77777777" w:rsidTr="003E25A0">
        <w:trPr>
          <w:trHeight w:val="255"/>
        </w:trPr>
        <w:tc>
          <w:tcPr>
            <w:tcW w:w="2283" w:type="dxa"/>
            <w:tcBorders>
              <w:left w:val="single" w:sz="4" w:space="0" w:color="auto"/>
              <w:right w:val="single" w:sz="4" w:space="0" w:color="auto"/>
            </w:tcBorders>
            <w:shd w:val="clear" w:color="auto" w:fill="auto"/>
            <w:noWrap/>
            <w:vAlign w:val="center"/>
          </w:tcPr>
          <w:p w14:paraId="351474D9" w14:textId="77777777" w:rsidR="007A34BB" w:rsidRPr="007F015E" w:rsidRDefault="007A34BB" w:rsidP="00F32F61">
            <w:pPr>
              <w:pStyle w:val="TableText"/>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CD37DCC" w14:textId="77777777" w:rsidR="007A34BB" w:rsidRPr="007F015E" w:rsidRDefault="007A34BB" w:rsidP="00F32F61">
            <w:pPr>
              <w:pStyle w:val="TableText"/>
            </w:pPr>
            <w:r w:rsidRPr="007F015E">
              <w:t>Actual</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8DFA91" w14:textId="77777777" w:rsidR="007A34BB" w:rsidRPr="00C743EC" w:rsidRDefault="007A34BB" w:rsidP="00F32F61">
            <w:pPr>
              <w:pStyle w:val="TableText"/>
            </w:pPr>
            <w:r>
              <w:t>29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D23F1A" w14:textId="77777777" w:rsidR="007A34BB" w:rsidRPr="00C743EC" w:rsidRDefault="007A34BB" w:rsidP="00F32F61">
            <w:pPr>
              <w:pStyle w:val="TableText"/>
            </w:pPr>
            <w:r>
              <w:t>111</w:t>
            </w:r>
          </w:p>
        </w:tc>
        <w:tc>
          <w:tcPr>
            <w:tcW w:w="1560" w:type="dxa"/>
            <w:tcBorders>
              <w:top w:val="single" w:sz="4" w:space="0" w:color="auto"/>
              <w:left w:val="single" w:sz="4" w:space="0" w:color="auto"/>
              <w:bottom w:val="single" w:sz="4" w:space="0" w:color="auto"/>
              <w:right w:val="single" w:sz="4" w:space="0" w:color="auto"/>
            </w:tcBorders>
            <w:vAlign w:val="center"/>
          </w:tcPr>
          <w:p w14:paraId="21CBABA7" w14:textId="77777777" w:rsidR="007A34BB" w:rsidRPr="00C743EC" w:rsidRDefault="007A34BB" w:rsidP="00F32F61">
            <w:pPr>
              <w:pStyle w:val="TableText"/>
            </w:pPr>
            <w:r>
              <w:t>166</w:t>
            </w:r>
          </w:p>
        </w:tc>
      </w:tr>
      <w:tr w:rsidR="007A34BB" w:rsidRPr="007F015E" w14:paraId="72E073C7" w14:textId="77777777" w:rsidTr="003E25A0">
        <w:trPr>
          <w:trHeight w:val="255"/>
        </w:trPr>
        <w:tc>
          <w:tcPr>
            <w:tcW w:w="2283" w:type="dxa"/>
            <w:tcBorders>
              <w:left w:val="single" w:sz="4" w:space="0" w:color="auto"/>
              <w:bottom w:val="single" w:sz="4" w:space="0" w:color="auto"/>
              <w:right w:val="single" w:sz="4" w:space="0" w:color="auto"/>
            </w:tcBorders>
            <w:shd w:val="clear" w:color="auto" w:fill="auto"/>
            <w:noWrap/>
            <w:vAlign w:val="center"/>
          </w:tcPr>
          <w:p w14:paraId="0F5F9187" w14:textId="77777777" w:rsidR="007A34BB" w:rsidRPr="007F015E" w:rsidRDefault="007A34BB" w:rsidP="00F32F61">
            <w:pPr>
              <w:pStyle w:val="TableText"/>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05E985F" w14:textId="77777777" w:rsidR="007A34BB" w:rsidRPr="007F015E" w:rsidRDefault="007A34BB" w:rsidP="00F32F61">
            <w:pPr>
              <w:pStyle w:val="TableText"/>
            </w:pPr>
            <w:r w:rsidRPr="007F015E">
              <w:t>% of Predicted</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08546C" w14:textId="77777777" w:rsidR="007A34BB" w:rsidRPr="003854F4" w:rsidRDefault="007A34BB" w:rsidP="00F32F61">
            <w:pPr>
              <w:pStyle w:val="TableText"/>
              <w:rPr>
                <w:highlight w:val="black"/>
              </w:rPr>
            </w:pPr>
            <w:r w:rsidRPr="003854F4">
              <w:rPr>
                <w:highlight w:val="black"/>
              </w:rPr>
              <w:t>XXXX</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9B79E4" w14:textId="77777777" w:rsidR="007A34BB" w:rsidRPr="003854F4" w:rsidRDefault="007A34BB" w:rsidP="00F32F61">
            <w:pPr>
              <w:pStyle w:val="TableText"/>
              <w:rPr>
                <w:highlight w:val="black"/>
              </w:rPr>
            </w:pPr>
            <w:r w:rsidRPr="003854F4">
              <w:rPr>
                <w:highlight w:val="black"/>
              </w:rPr>
              <w:t>XXX</w:t>
            </w:r>
          </w:p>
        </w:tc>
        <w:tc>
          <w:tcPr>
            <w:tcW w:w="1560" w:type="dxa"/>
            <w:tcBorders>
              <w:top w:val="single" w:sz="4" w:space="0" w:color="auto"/>
              <w:left w:val="single" w:sz="4" w:space="0" w:color="auto"/>
              <w:bottom w:val="single" w:sz="4" w:space="0" w:color="auto"/>
              <w:right w:val="single" w:sz="4" w:space="0" w:color="auto"/>
            </w:tcBorders>
            <w:vAlign w:val="center"/>
          </w:tcPr>
          <w:p w14:paraId="01A004B0" w14:textId="77777777" w:rsidR="007A34BB" w:rsidRPr="003854F4" w:rsidRDefault="007A34BB" w:rsidP="00F32F61">
            <w:pPr>
              <w:pStyle w:val="TableText"/>
              <w:rPr>
                <w:highlight w:val="black"/>
              </w:rPr>
            </w:pPr>
            <w:r w:rsidRPr="003854F4">
              <w:rPr>
                <w:highlight w:val="black"/>
              </w:rPr>
              <w:t>XXX</w:t>
            </w:r>
          </w:p>
        </w:tc>
      </w:tr>
    </w:tbl>
    <w:p w14:paraId="44539467" w14:textId="6793B004" w:rsidR="00BE405A" w:rsidRPr="00F562CE" w:rsidRDefault="00BE405A" w:rsidP="00BE405A">
      <w:pPr>
        <w:autoSpaceDE w:val="0"/>
        <w:autoSpaceDN w:val="0"/>
        <w:adjustRightInd w:val="0"/>
        <w:spacing w:after="0"/>
        <w:rPr>
          <w:rFonts w:ascii="Calibri" w:hAnsi="Calibri" w:cs="Calibri"/>
          <w:bCs/>
          <w:color w:val="000000"/>
          <w:sz w:val="20"/>
          <w:szCs w:val="20"/>
        </w:rPr>
      </w:pPr>
      <w:r w:rsidRPr="00B95DB8">
        <w:rPr>
          <w:rFonts w:ascii="Calibri" w:hAnsi="Calibri" w:cs="Calibri"/>
          <w:bCs/>
          <w:color w:val="000000"/>
          <w:sz w:val="20"/>
          <w:szCs w:val="20"/>
        </w:rPr>
        <w:t>Source: Department of Human Services (DHS) Prescription database data accessed 23 March 2015, based on date of prescription</w:t>
      </w:r>
      <w:r w:rsidRPr="00BE405A">
        <w:rPr>
          <w:rFonts w:ascii="Calibri" w:hAnsi="Calibri" w:cs="Calibri"/>
          <w:bCs/>
          <w:color w:val="000000"/>
          <w:sz w:val="20"/>
          <w:szCs w:val="20"/>
        </w:rPr>
        <w:t xml:space="preserve"> supply.</w:t>
      </w:r>
    </w:p>
    <w:p w14:paraId="55711161" w14:textId="30CF803F" w:rsidR="00BE405A" w:rsidRDefault="00BE405A" w:rsidP="00BE405A">
      <w:pPr>
        <w:autoSpaceDE w:val="0"/>
        <w:autoSpaceDN w:val="0"/>
        <w:adjustRightInd w:val="0"/>
        <w:spacing w:after="0"/>
        <w:rPr>
          <w:rFonts w:ascii="Calibri" w:hAnsi="Calibri" w:cs="Calibri"/>
          <w:bCs/>
          <w:color w:val="000000"/>
          <w:sz w:val="20"/>
          <w:szCs w:val="20"/>
        </w:rPr>
      </w:pPr>
      <w:r w:rsidRPr="00B95DB8">
        <w:rPr>
          <w:rFonts w:ascii="Calibri" w:hAnsi="Calibri" w:cs="Calibri"/>
          <w:bCs/>
          <w:color w:val="000000"/>
          <w:sz w:val="20"/>
          <w:szCs w:val="20"/>
        </w:rPr>
        <w:t xml:space="preserve">For comparison with actual data, part-year corrections are applied to the predicted data to adjust for </w:t>
      </w:r>
      <w:r w:rsidR="008943C3">
        <w:rPr>
          <w:rFonts w:ascii="Calibri" w:hAnsi="Calibri" w:cs="Calibri"/>
          <w:bCs/>
          <w:color w:val="000000"/>
          <w:sz w:val="20"/>
          <w:szCs w:val="20"/>
        </w:rPr>
        <w:t>the listing date</w:t>
      </w:r>
      <w:r w:rsidRPr="00B95DB8">
        <w:rPr>
          <w:rFonts w:ascii="Calibri" w:hAnsi="Calibri" w:cs="Calibri"/>
          <w:bCs/>
          <w:color w:val="000000"/>
          <w:sz w:val="20"/>
          <w:szCs w:val="20"/>
        </w:rPr>
        <w:t>.</w:t>
      </w:r>
    </w:p>
    <w:p w14:paraId="657AEA09" w14:textId="6EBD1246" w:rsidR="007951E8" w:rsidRPr="00732B1F" w:rsidRDefault="00FC1D84" w:rsidP="00732B1F">
      <w:pPr>
        <w:autoSpaceDE w:val="0"/>
        <w:autoSpaceDN w:val="0"/>
        <w:adjustRightInd w:val="0"/>
        <w:spacing w:after="0"/>
        <w:rPr>
          <w:rFonts w:ascii="Calibri" w:hAnsi="Calibri" w:cs="Calibri"/>
          <w:bCs/>
          <w:color w:val="000000"/>
          <w:sz w:val="20"/>
          <w:szCs w:val="20"/>
        </w:rPr>
      </w:pPr>
      <w:r>
        <w:rPr>
          <w:rFonts w:ascii="Calibri" w:hAnsi="Calibri" w:cs="Calibri"/>
          <w:bCs/>
          <w:color w:val="000000"/>
          <w:sz w:val="20"/>
          <w:szCs w:val="20"/>
        </w:rPr>
        <w:t>‘Initiating patients’ includes those patients who received an authority approval for grandfathered or initial treatment.</w:t>
      </w:r>
    </w:p>
    <w:p w14:paraId="5D020EAD" w14:textId="77777777" w:rsidR="00EC0A26" w:rsidRDefault="00EC0A26" w:rsidP="00EC0A26">
      <w:pPr>
        <w:spacing w:after="0"/>
      </w:pPr>
    </w:p>
    <w:p w14:paraId="26DA9BFF" w14:textId="64178CBD" w:rsidR="007F015E" w:rsidRDefault="009D24C6" w:rsidP="007951E8">
      <w:r w:rsidRPr="009D24C6">
        <w:t xml:space="preserve">In the first year of listing, the actual number of patients initiating on </w:t>
      </w:r>
      <w:proofErr w:type="spellStart"/>
      <w:r w:rsidRPr="009D24C6">
        <w:t>romiplostim</w:t>
      </w:r>
      <w:proofErr w:type="spellEnd"/>
      <w:r w:rsidRPr="009D24C6">
        <w:t xml:space="preserve"> and </w:t>
      </w:r>
      <w:proofErr w:type="spellStart"/>
      <w:r w:rsidRPr="009D24C6">
        <w:t>eltrombopag</w:t>
      </w:r>
      <w:proofErr w:type="spellEnd"/>
      <w:r w:rsidRPr="009D24C6">
        <w:t xml:space="preserve"> was less than predicted. In Years 2 and 3 the actual number of incident and prevalent patients accessing TRA therapy has been more than predicted (Table 6)</w:t>
      </w:r>
      <w:r w:rsidR="001B6738" w:rsidRPr="009D24C6">
        <w:t xml:space="preserve">. </w:t>
      </w:r>
      <w:r w:rsidR="00AC5695" w:rsidRPr="009D24C6">
        <w:t>In</w:t>
      </w:r>
      <w:r w:rsidR="00AC5695">
        <w:t xml:space="preserve"> Years </w:t>
      </w:r>
      <w:r w:rsidR="00AC5695">
        <w:lastRenderedPageBreak/>
        <w:t>2 and 3, there was a large underestimate of the number of initiating patients</w:t>
      </w:r>
      <w:r w:rsidR="0039495C">
        <w:t xml:space="preserve"> for both </w:t>
      </w:r>
      <w:proofErr w:type="spellStart"/>
      <w:r w:rsidR="0039495C">
        <w:t>romiplostim</w:t>
      </w:r>
      <w:proofErr w:type="spellEnd"/>
      <w:r w:rsidR="0039495C">
        <w:t xml:space="preserve"> and </w:t>
      </w:r>
      <w:proofErr w:type="spellStart"/>
      <w:r w:rsidR="0039495C">
        <w:t>eltrombopag</w:t>
      </w:r>
      <w:proofErr w:type="spellEnd"/>
      <w:r w:rsidR="00F6074C">
        <w:t xml:space="preserve"> (Table 6</w:t>
      </w:r>
      <w:r w:rsidR="00AC5695">
        <w:t xml:space="preserve">). </w:t>
      </w:r>
      <w:r w:rsidR="002730A5">
        <w:t xml:space="preserve">In Year 3, the total number of prevalent patients was underestimated by </w:t>
      </w:r>
      <w:r w:rsidR="002730A5" w:rsidRPr="001F649A">
        <w:rPr>
          <w:highlight w:val="black"/>
        </w:rPr>
        <w:t>XXXXXXXXXXXXX</w:t>
      </w:r>
      <w:r w:rsidR="00732B1F">
        <w:t>.</w:t>
      </w:r>
    </w:p>
    <w:p w14:paraId="7B40ED46" w14:textId="2C70CCE1" w:rsidR="00295FC4" w:rsidRPr="0057661F" w:rsidRDefault="00330919" w:rsidP="007951E8">
      <w:r>
        <w:t>Forty-six per cent of patients initiating TRA therapy in the first year of listing were grandfathered patients.</w:t>
      </w:r>
      <w:r w:rsidR="00247B40">
        <w:t xml:space="preserve"> </w:t>
      </w:r>
      <w:r w:rsidR="00247B40">
        <w:rPr>
          <w:rFonts w:eastAsia="Calibri" w:cs="Times New Roman"/>
        </w:rPr>
        <w:t xml:space="preserve">The </w:t>
      </w:r>
      <w:r w:rsidR="00B22839">
        <w:rPr>
          <w:rFonts w:eastAsia="Calibri" w:cs="Times New Roman"/>
        </w:rPr>
        <w:t>number of patients receiving</w:t>
      </w:r>
      <w:r w:rsidR="00247B40">
        <w:rPr>
          <w:rFonts w:eastAsia="Calibri" w:cs="Times New Roman"/>
        </w:rPr>
        <w:t xml:space="preserve"> </w:t>
      </w:r>
      <w:r w:rsidR="00B22839">
        <w:rPr>
          <w:rFonts w:eastAsia="Calibri" w:cs="Times New Roman"/>
        </w:rPr>
        <w:t xml:space="preserve">approvals </w:t>
      </w:r>
      <w:r w:rsidR="00247B40">
        <w:rPr>
          <w:rFonts w:eastAsia="Calibri" w:cs="Times New Roman"/>
        </w:rPr>
        <w:t>for grandfathered and initial treatment is shown in Figure 1</w:t>
      </w:r>
      <w:r w:rsidR="00825803">
        <w:rPr>
          <w:rFonts w:eastAsia="Calibri" w:cs="Times New Roman"/>
        </w:rPr>
        <w:t>.</w:t>
      </w:r>
    </w:p>
    <w:p w14:paraId="383C48A0" w14:textId="1522400E" w:rsidR="007E1614" w:rsidRPr="007630BD" w:rsidRDefault="007630BD" w:rsidP="007630BD">
      <w:pPr>
        <w:autoSpaceDE w:val="0"/>
        <w:autoSpaceDN w:val="0"/>
        <w:adjustRightInd w:val="0"/>
        <w:spacing w:after="0"/>
        <w:rPr>
          <w:rFonts w:ascii="Arial Narrow" w:hAnsi="Arial Narrow" w:cs="Calibri"/>
          <w:color w:val="000000"/>
          <w:sz w:val="18"/>
          <w:szCs w:val="18"/>
        </w:rPr>
      </w:pPr>
      <w:r>
        <w:rPr>
          <w:rFonts w:ascii="Calibri" w:hAnsi="Calibri" w:cs="Calibri"/>
          <w:noProof/>
          <w:color w:val="000000"/>
          <w:sz w:val="20"/>
        </w:rPr>
        <w:drawing>
          <wp:inline distT="0" distB="0" distL="0" distR="0" wp14:anchorId="6C8FE89D" wp14:editId="67DBB5AF">
            <wp:extent cx="4763990" cy="3028950"/>
            <wp:effectExtent l="0" t="0" r="0" b="0"/>
            <wp:docPr id="3" name="Picture 3" descr="Figure of the number of approvals for patients grandfathered or initiating on romiplostim or eltrombopag" title="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766920" cy="3030813"/>
                    </a:xfrm>
                    <a:prstGeom prst="rect">
                      <a:avLst/>
                    </a:prstGeom>
                    <a:noFill/>
                  </pic:spPr>
                </pic:pic>
              </a:graphicData>
            </a:graphic>
          </wp:inline>
        </w:drawing>
      </w:r>
    </w:p>
    <w:p w14:paraId="4EDE2E8F" w14:textId="1EDACC67" w:rsidR="00A541A0" w:rsidRPr="00ED444B" w:rsidRDefault="009E34CF" w:rsidP="00A541A0">
      <w:pPr>
        <w:rPr>
          <w:sz w:val="20"/>
          <w:szCs w:val="20"/>
        </w:rPr>
      </w:pPr>
      <w:r w:rsidRPr="00F55AFA">
        <w:rPr>
          <w:rFonts w:eastAsiaTheme="majorEastAsia" w:cstheme="majorBidi"/>
          <w:b/>
          <w:bCs/>
          <w:lang w:val="en-US"/>
        </w:rPr>
        <w:t xml:space="preserve">Figure </w:t>
      </w:r>
      <w:r w:rsidR="00701FD1" w:rsidRPr="00F55AFA">
        <w:rPr>
          <w:rFonts w:eastAsiaTheme="majorEastAsia" w:cstheme="majorBidi"/>
          <w:b/>
          <w:bCs/>
          <w:lang w:val="en-US"/>
        </w:rPr>
        <w:t>1</w:t>
      </w:r>
      <w:r w:rsidRPr="00F55AFA">
        <w:rPr>
          <w:rFonts w:eastAsiaTheme="majorEastAsia" w:cstheme="majorBidi"/>
          <w:b/>
          <w:bCs/>
          <w:lang w:val="en-US"/>
        </w:rPr>
        <w:t xml:space="preserve">: </w:t>
      </w:r>
      <w:r w:rsidR="00B37958" w:rsidRPr="00F55AFA">
        <w:rPr>
          <w:rFonts w:eastAsiaTheme="majorEastAsia" w:cstheme="majorBidi"/>
          <w:b/>
          <w:bCs/>
          <w:lang w:val="en-US"/>
        </w:rPr>
        <w:t xml:space="preserve">Number of approvals for initial treatment </w:t>
      </w:r>
      <w:r w:rsidR="006542AD" w:rsidRPr="00F55AFA">
        <w:rPr>
          <w:rFonts w:eastAsiaTheme="majorEastAsia" w:cstheme="majorBidi"/>
          <w:b/>
          <w:bCs/>
          <w:lang w:val="en-US"/>
        </w:rPr>
        <w:t xml:space="preserve">with </w:t>
      </w:r>
      <w:proofErr w:type="spellStart"/>
      <w:r w:rsidR="006542AD" w:rsidRPr="00F55AFA">
        <w:rPr>
          <w:rFonts w:eastAsiaTheme="majorEastAsia" w:cstheme="majorBidi"/>
          <w:b/>
          <w:bCs/>
          <w:lang w:val="en-US"/>
        </w:rPr>
        <w:t>romiplostim</w:t>
      </w:r>
      <w:proofErr w:type="spellEnd"/>
      <w:r w:rsidR="006542AD" w:rsidRPr="00F55AFA">
        <w:rPr>
          <w:rFonts w:eastAsiaTheme="majorEastAsia" w:cstheme="majorBidi"/>
          <w:b/>
          <w:bCs/>
          <w:lang w:val="en-US"/>
        </w:rPr>
        <w:t xml:space="preserve"> or </w:t>
      </w:r>
      <w:proofErr w:type="spellStart"/>
      <w:r w:rsidR="006542AD" w:rsidRPr="00F55AFA">
        <w:rPr>
          <w:rFonts w:eastAsiaTheme="majorEastAsia" w:cstheme="majorBidi"/>
          <w:b/>
          <w:bCs/>
          <w:lang w:val="en-US"/>
        </w:rPr>
        <w:t>eltrombopag</w:t>
      </w:r>
      <w:proofErr w:type="spellEnd"/>
      <w:r w:rsidR="006542AD" w:rsidRPr="00F55AFA">
        <w:rPr>
          <w:rFonts w:eastAsiaTheme="majorEastAsia" w:cstheme="majorBidi"/>
          <w:b/>
          <w:bCs/>
          <w:lang w:val="en-US"/>
        </w:rPr>
        <w:t xml:space="preserve"> </w:t>
      </w:r>
      <w:r w:rsidR="00B37958" w:rsidRPr="00F55AFA">
        <w:rPr>
          <w:rFonts w:eastAsiaTheme="majorEastAsia" w:cstheme="majorBidi"/>
          <w:b/>
          <w:bCs/>
          <w:lang w:val="en-US"/>
        </w:rPr>
        <w:t>for new and grandfathered patients by quarter</w:t>
      </w:r>
      <w:r w:rsidR="00B37958">
        <w:rPr>
          <w:rFonts w:cs="Arial"/>
          <w:b/>
          <w:bCs/>
        </w:rPr>
        <w:t xml:space="preserve"> </w:t>
      </w:r>
      <w:r>
        <w:rPr>
          <w:rFonts w:cs="Arial"/>
          <w:b/>
          <w:bCs/>
        </w:rPr>
        <w:br/>
      </w:r>
      <w:r w:rsidRPr="00F562CE">
        <w:rPr>
          <w:rStyle w:val="FigurecaptionChar"/>
        </w:rPr>
        <w:t xml:space="preserve">Source: </w:t>
      </w:r>
      <w:r w:rsidR="00ED444B" w:rsidRPr="00F562CE">
        <w:rPr>
          <w:rStyle w:val="FigurecaptionChar"/>
        </w:rPr>
        <w:t>Authority Approvals database</w:t>
      </w:r>
      <w:r w:rsidR="00A541A0" w:rsidRPr="00F562CE">
        <w:rPr>
          <w:rStyle w:val="FigurecaptionChar"/>
        </w:rPr>
        <w:t xml:space="preserve">, DHS, extracted </w:t>
      </w:r>
      <w:r w:rsidR="00ED444B" w:rsidRPr="00F562CE">
        <w:rPr>
          <w:rStyle w:val="FigurecaptionChar"/>
        </w:rPr>
        <w:t>April</w:t>
      </w:r>
      <w:r w:rsidR="00A541A0" w:rsidRPr="00F562CE">
        <w:rPr>
          <w:rStyle w:val="FigurecaptionChar"/>
        </w:rPr>
        <w:t xml:space="preserve"> 2015 (actual)</w:t>
      </w:r>
    </w:p>
    <w:p w14:paraId="78AF6DA6" w14:textId="1E6DEF9F" w:rsidR="006D155D" w:rsidRPr="00E86143" w:rsidRDefault="00344A1A" w:rsidP="00CF4D1A">
      <w:pPr>
        <w:pStyle w:val="Heading2"/>
      </w:pPr>
      <w:r w:rsidRPr="00E86143">
        <w:t>U</w:t>
      </w:r>
      <w:r w:rsidR="006D155D" w:rsidRPr="00E86143">
        <w:t>tilisation</w:t>
      </w:r>
      <w:r w:rsidRPr="00E86143">
        <w:t xml:space="preserve"> by drug form and strength</w:t>
      </w:r>
    </w:p>
    <w:p w14:paraId="38823CC9" w14:textId="7E708C02" w:rsidR="00335DDA" w:rsidRDefault="00C9120A" w:rsidP="00B67915">
      <w:pPr>
        <w:autoSpaceDE w:val="0"/>
        <w:autoSpaceDN w:val="0"/>
        <w:adjustRightInd w:val="0"/>
        <w:rPr>
          <w:rFonts w:ascii="Calibri" w:hAnsi="Calibri" w:cs="Calibri"/>
          <w:color w:val="000000"/>
        </w:rPr>
      </w:pPr>
      <w:r w:rsidRPr="00E90539">
        <w:rPr>
          <w:rFonts w:ascii="Calibri" w:hAnsi="Calibri" w:cs="Calibri"/>
          <w:color w:val="000000"/>
        </w:rPr>
        <w:t xml:space="preserve">In modelling the financial estimates, the projected number of </w:t>
      </w:r>
      <w:r w:rsidR="006A419D" w:rsidRPr="00E90539">
        <w:rPr>
          <w:rFonts w:ascii="Calibri" w:hAnsi="Calibri" w:cs="Calibri"/>
          <w:color w:val="000000"/>
        </w:rPr>
        <w:t xml:space="preserve">vials </w:t>
      </w:r>
      <w:r w:rsidRPr="00E90539">
        <w:rPr>
          <w:rFonts w:ascii="Calibri" w:hAnsi="Calibri" w:cs="Calibri"/>
          <w:color w:val="000000"/>
        </w:rPr>
        <w:t xml:space="preserve">for </w:t>
      </w:r>
      <w:proofErr w:type="spellStart"/>
      <w:r w:rsidRPr="00E90539">
        <w:rPr>
          <w:rFonts w:ascii="Calibri" w:hAnsi="Calibri" w:cs="Calibri"/>
          <w:color w:val="000000"/>
        </w:rPr>
        <w:t>romiplostim</w:t>
      </w:r>
      <w:proofErr w:type="spellEnd"/>
      <w:r w:rsidRPr="00E90539">
        <w:rPr>
          <w:rFonts w:ascii="Calibri" w:hAnsi="Calibri" w:cs="Calibri"/>
          <w:color w:val="000000"/>
        </w:rPr>
        <w:t xml:space="preserve"> was derived. </w:t>
      </w:r>
      <w:r w:rsidR="005A5279" w:rsidRPr="00A1104C">
        <w:rPr>
          <w:rFonts w:ascii="Calibri" w:hAnsi="Calibri" w:cs="Calibri"/>
          <w:color w:val="000000"/>
        </w:rPr>
        <w:t xml:space="preserve">By the third year of listing, </w:t>
      </w:r>
      <w:r w:rsidR="00687896" w:rsidRPr="00A1104C">
        <w:rPr>
          <w:rFonts w:ascii="Calibri" w:hAnsi="Calibri" w:cs="Calibri"/>
          <w:color w:val="000000"/>
        </w:rPr>
        <w:t xml:space="preserve">the predicted vs. actual total vial use </w:t>
      </w:r>
      <w:r w:rsidR="005A5279" w:rsidRPr="00A1104C">
        <w:rPr>
          <w:rFonts w:ascii="Calibri" w:hAnsi="Calibri" w:cs="Calibri"/>
          <w:color w:val="000000"/>
        </w:rPr>
        <w:t>was similar (a variance of less than 10%). In the preceding years, the expected utilisation was overestimated by a factor of around one</w:t>
      </w:r>
      <w:r w:rsidR="00D94A02">
        <w:rPr>
          <w:rFonts w:ascii="Calibri" w:hAnsi="Calibri" w:cs="Calibri"/>
          <w:color w:val="000000"/>
        </w:rPr>
        <w:t xml:space="preserve"> </w:t>
      </w:r>
      <w:r w:rsidR="005A5279" w:rsidRPr="00A1104C">
        <w:rPr>
          <w:rFonts w:ascii="Calibri" w:hAnsi="Calibri" w:cs="Calibri"/>
          <w:color w:val="000000"/>
        </w:rPr>
        <w:t>third.</w:t>
      </w:r>
    </w:p>
    <w:p w14:paraId="5D8FDACF" w14:textId="3EB81260" w:rsidR="005A5279" w:rsidRDefault="008C442F" w:rsidP="00B67915">
      <w:pPr>
        <w:autoSpaceDE w:val="0"/>
        <w:autoSpaceDN w:val="0"/>
        <w:adjustRightInd w:val="0"/>
        <w:rPr>
          <w:rFonts w:ascii="Calibri" w:hAnsi="Calibri" w:cs="Calibri"/>
          <w:color w:val="000000"/>
        </w:rPr>
      </w:pPr>
      <w:r>
        <w:rPr>
          <w:rFonts w:ascii="Calibri" w:hAnsi="Calibri" w:cs="Calibri"/>
          <w:color w:val="000000"/>
        </w:rPr>
        <w:t xml:space="preserve">The mean actual weekly dose of </w:t>
      </w:r>
      <w:proofErr w:type="spellStart"/>
      <w:r>
        <w:rPr>
          <w:rFonts w:ascii="Calibri" w:hAnsi="Calibri" w:cs="Calibri"/>
          <w:color w:val="000000"/>
        </w:rPr>
        <w:t>romiplostim</w:t>
      </w:r>
      <w:proofErr w:type="spellEnd"/>
      <w:r>
        <w:rPr>
          <w:rFonts w:ascii="Calibri" w:hAnsi="Calibri" w:cs="Calibri"/>
          <w:color w:val="000000"/>
        </w:rPr>
        <w:t xml:space="preserve"> was 358 </w:t>
      </w:r>
      <w:r w:rsidR="006F55E4">
        <w:rPr>
          <w:rFonts w:ascii="Calibri" w:hAnsi="Calibri" w:cs="Calibri"/>
          <w:color w:val="000000"/>
        </w:rPr>
        <w:t>micrograms</w:t>
      </w:r>
      <w:r>
        <w:rPr>
          <w:rFonts w:ascii="Calibri" w:hAnsi="Calibri" w:cs="Calibri"/>
          <w:color w:val="000000"/>
        </w:rPr>
        <w:t xml:space="preserve"> for patients receiving their fi</w:t>
      </w:r>
      <w:r w:rsidR="00AB62AB">
        <w:rPr>
          <w:rFonts w:ascii="Calibri" w:hAnsi="Calibri" w:cs="Calibri"/>
          <w:color w:val="000000"/>
        </w:rPr>
        <w:t xml:space="preserve">rst course of treatment (Table </w:t>
      </w:r>
      <w:r w:rsidR="00BF40CC">
        <w:rPr>
          <w:rFonts w:ascii="Calibri" w:hAnsi="Calibri" w:cs="Calibri"/>
          <w:color w:val="000000"/>
        </w:rPr>
        <w:t>7</w:t>
      </w:r>
      <w:r>
        <w:rPr>
          <w:rFonts w:ascii="Calibri" w:hAnsi="Calibri" w:cs="Calibri"/>
          <w:color w:val="000000"/>
        </w:rPr>
        <w:t xml:space="preserve">). Grandfathered patients had a higher weekly mean dose of 405 </w:t>
      </w:r>
      <w:r w:rsidR="006F55E4">
        <w:rPr>
          <w:rFonts w:ascii="Calibri" w:hAnsi="Calibri" w:cs="Calibri"/>
          <w:color w:val="000000"/>
        </w:rPr>
        <w:t>micrograms</w:t>
      </w:r>
      <w:r w:rsidR="00AB62AB">
        <w:rPr>
          <w:rFonts w:ascii="Calibri" w:hAnsi="Calibri" w:cs="Calibri"/>
          <w:color w:val="000000"/>
        </w:rPr>
        <w:t xml:space="preserve"> (Table </w:t>
      </w:r>
      <w:r w:rsidR="00BF40CC">
        <w:rPr>
          <w:rFonts w:ascii="Calibri" w:hAnsi="Calibri" w:cs="Calibri"/>
          <w:color w:val="000000"/>
        </w:rPr>
        <w:t>7</w:t>
      </w:r>
      <w:r w:rsidR="0093386E">
        <w:rPr>
          <w:rFonts w:ascii="Calibri" w:hAnsi="Calibri" w:cs="Calibri"/>
          <w:color w:val="000000"/>
        </w:rPr>
        <w:t xml:space="preserve">). Patients on their first course of continuing treatment and subsequent courses of continuing treatment received higher mean doses than new incident patients (399 </w:t>
      </w:r>
      <w:r w:rsidR="006F55E4">
        <w:rPr>
          <w:rFonts w:ascii="Calibri" w:hAnsi="Calibri" w:cs="Calibri"/>
          <w:color w:val="000000"/>
        </w:rPr>
        <w:t>micrograms</w:t>
      </w:r>
      <w:r w:rsidR="0093386E">
        <w:rPr>
          <w:rFonts w:ascii="Calibri" w:hAnsi="Calibri" w:cs="Calibri"/>
          <w:color w:val="000000"/>
        </w:rPr>
        <w:t xml:space="preserve"> a</w:t>
      </w:r>
      <w:r w:rsidR="00AB62AB">
        <w:rPr>
          <w:rFonts w:ascii="Calibri" w:hAnsi="Calibri" w:cs="Calibri"/>
          <w:color w:val="000000"/>
        </w:rPr>
        <w:t xml:space="preserve">nd 400 </w:t>
      </w:r>
      <w:r w:rsidR="006F55E4">
        <w:rPr>
          <w:rFonts w:ascii="Calibri" w:hAnsi="Calibri" w:cs="Calibri"/>
          <w:color w:val="000000"/>
        </w:rPr>
        <w:t>micrograms</w:t>
      </w:r>
      <w:r w:rsidR="00AB62AB">
        <w:rPr>
          <w:rFonts w:ascii="Calibri" w:hAnsi="Calibri" w:cs="Calibri"/>
          <w:color w:val="000000"/>
        </w:rPr>
        <w:t xml:space="preserve">, respectively, Table </w:t>
      </w:r>
      <w:r w:rsidR="00BF40CC">
        <w:rPr>
          <w:rFonts w:ascii="Calibri" w:hAnsi="Calibri" w:cs="Calibri"/>
          <w:color w:val="000000"/>
        </w:rPr>
        <w:t>7</w:t>
      </w:r>
      <w:r w:rsidR="0093386E">
        <w:rPr>
          <w:rFonts w:ascii="Calibri" w:hAnsi="Calibri" w:cs="Calibri"/>
          <w:color w:val="000000"/>
        </w:rPr>
        <w:t>).</w:t>
      </w:r>
    </w:p>
    <w:p w14:paraId="36A5CB10" w14:textId="116BE4A8" w:rsidR="00825803" w:rsidRDefault="00825803">
      <w:pPr>
        <w:spacing w:line="276" w:lineRule="auto"/>
        <w:rPr>
          <w:rFonts w:ascii="Calibri" w:hAnsi="Calibri" w:cs="Calibri"/>
          <w:color w:val="000000"/>
        </w:rPr>
      </w:pPr>
      <w:r>
        <w:rPr>
          <w:rFonts w:ascii="Calibri" w:hAnsi="Calibri" w:cs="Calibri"/>
          <w:color w:val="000000"/>
        </w:rPr>
        <w:br w:type="page"/>
      </w:r>
    </w:p>
    <w:p w14:paraId="21477CAB" w14:textId="4FED3547" w:rsidR="00111A18" w:rsidRPr="00BC42F5" w:rsidRDefault="00AB62AB" w:rsidP="007F0709">
      <w:pPr>
        <w:pStyle w:val="Tableheading"/>
        <w:jc w:val="left"/>
      </w:pPr>
      <w:r>
        <w:lastRenderedPageBreak/>
        <w:t xml:space="preserve">Table </w:t>
      </w:r>
      <w:r w:rsidR="00BF40CC">
        <w:t>7</w:t>
      </w:r>
      <w:r w:rsidR="00EB24BD">
        <w:t xml:space="preserve">: Average weekly dose of </w:t>
      </w:r>
      <w:proofErr w:type="spellStart"/>
      <w:r w:rsidR="00EB24BD">
        <w:t>romiplostim</w:t>
      </w:r>
      <w:proofErr w:type="spellEnd"/>
      <w:r w:rsidR="00EB24BD">
        <w:t xml:space="preserve"> for grandfathered, initiating and continuing patients</w:t>
      </w:r>
    </w:p>
    <w:tbl>
      <w:tblPr>
        <w:tblStyle w:val="TableGrid"/>
        <w:tblW w:w="0" w:type="auto"/>
        <w:tblInd w:w="108" w:type="dxa"/>
        <w:tblLook w:val="04A0" w:firstRow="1" w:lastRow="0" w:firstColumn="1" w:lastColumn="0" w:noHBand="0" w:noVBand="1"/>
        <w:tblCaption w:val="Table 7"/>
        <w:tblDescription w:val="Summary of weekly doses of romiplostim for grandfathered, initiating and continuing patients"/>
      </w:tblPr>
      <w:tblGrid>
        <w:gridCol w:w="3085"/>
        <w:gridCol w:w="1495"/>
        <w:gridCol w:w="1495"/>
        <w:gridCol w:w="1495"/>
        <w:gridCol w:w="1495"/>
      </w:tblGrid>
      <w:tr w:rsidR="00513B61" w14:paraId="53F3498A" w14:textId="77777777" w:rsidTr="00741122">
        <w:trPr>
          <w:tblHeader/>
        </w:trPr>
        <w:tc>
          <w:tcPr>
            <w:tcW w:w="4253" w:type="dxa"/>
            <w:shd w:val="clear" w:color="auto" w:fill="BFBFBF" w:themeFill="background1" w:themeFillShade="BF"/>
          </w:tcPr>
          <w:p w14:paraId="3D2E5365" w14:textId="6E4956FF" w:rsidR="00513B61" w:rsidRPr="00F32F61" w:rsidRDefault="005B53AD" w:rsidP="00F32F61">
            <w:pPr>
              <w:pStyle w:val="TableText"/>
              <w:rPr>
                <w:b/>
              </w:rPr>
            </w:pPr>
            <w:r w:rsidRPr="00F32F61">
              <w:rPr>
                <w:b/>
              </w:rPr>
              <w:t>Patient group</w:t>
            </w:r>
          </w:p>
        </w:tc>
        <w:tc>
          <w:tcPr>
            <w:tcW w:w="992" w:type="dxa"/>
            <w:shd w:val="clear" w:color="auto" w:fill="BFBFBF" w:themeFill="background1" w:themeFillShade="BF"/>
          </w:tcPr>
          <w:p w14:paraId="6B8C953E" w14:textId="77777777" w:rsidR="00513B61" w:rsidRPr="00F32F61" w:rsidRDefault="005B53AD" w:rsidP="00F32F61">
            <w:pPr>
              <w:pStyle w:val="TableText"/>
              <w:rPr>
                <w:b/>
              </w:rPr>
            </w:pPr>
            <w:r w:rsidRPr="00F32F61">
              <w:rPr>
                <w:b/>
              </w:rPr>
              <w:t>Mean</w:t>
            </w:r>
          </w:p>
          <w:p w14:paraId="35421FA3" w14:textId="67077F50" w:rsidR="005B53AD" w:rsidRPr="00F32F61" w:rsidRDefault="005B53AD" w:rsidP="00F32F61">
            <w:pPr>
              <w:pStyle w:val="TableText"/>
              <w:rPr>
                <w:b/>
              </w:rPr>
            </w:pPr>
            <w:r w:rsidRPr="00F32F61">
              <w:rPr>
                <w:b/>
              </w:rPr>
              <w:t>(</w:t>
            </w:r>
            <w:r w:rsidR="006F55E4" w:rsidRPr="00F32F61">
              <w:rPr>
                <w:b/>
              </w:rPr>
              <w:t>micrograms</w:t>
            </w:r>
            <w:r w:rsidRPr="00F32F61">
              <w:rPr>
                <w:b/>
              </w:rPr>
              <w:t>)</w:t>
            </w:r>
          </w:p>
        </w:tc>
        <w:tc>
          <w:tcPr>
            <w:tcW w:w="1134" w:type="dxa"/>
            <w:shd w:val="clear" w:color="auto" w:fill="BFBFBF" w:themeFill="background1" w:themeFillShade="BF"/>
          </w:tcPr>
          <w:p w14:paraId="3C3C345E" w14:textId="77777777" w:rsidR="00513B61" w:rsidRPr="00F32F61" w:rsidRDefault="005B53AD" w:rsidP="00F32F61">
            <w:pPr>
              <w:pStyle w:val="TableText"/>
              <w:rPr>
                <w:b/>
              </w:rPr>
            </w:pPr>
            <w:r w:rsidRPr="00F32F61">
              <w:rPr>
                <w:b/>
              </w:rPr>
              <w:t>Median</w:t>
            </w:r>
          </w:p>
          <w:p w14:paraId="44C470CE" w14:textId="25AC0D3C" w:rsidR="005B53AD" w:rsidRPr="00F32F61" w:rsidRDefault="005B53AD" w:rsidP="00F32F61">
            <w:pPr>
              <w:pStyle w:val="TableText"/>
              <w:rPr>
                <w:b/>
              </w:rPr>
            </w:pPr>
            <w:r w:rsidRPr="00F32F61">
              <w:rPr>
                <w:b/>
              </w:rPr>
              <w:t>(</w:t>
            </w:r>
            <w:r w:rsidR="006F55E4" w:rsidRPr="00F32F61">
              <w:rPr>
                <w:b/>
              </w:rPr>
              <w:t>micrograms</w:t>
            </w:r>
            <w:r w:rsidRPr="00F32F61">
              <w:rPr>
                <w:b/>
              </w:rPr>
              <w:t>)</w:t>
            </w:r>
          </w:p>
        </w:tc>
        <w:tc>
          <w:tcPr>
            <w:tcW w:w="992" w:type="dxa"/>
            <w:shd w:val="clear" w:color="auto" w:fill="BFBFBF" w:themeFill="background1" w:themeFillShade="BF"/>
          </w:tcPr>
          <w:p w14:paraId="7CA2C824" w14:textId="77777777" w:rsidR="00513B61" w:rsidRPr="00F32F61" w:rsidRDefault="005B53AD" w:rsidP="00F32F61">
            <w:pPr>
              <w:pStyle w:val="TableText"/>
              <w:rPr>
                <w:b/>
              </w:rPr>
            </w:pPr>
            <w:r w:rsidRPr="00F32F61">
              <w:rPr>
                <w:b/>
              </w:rPr>
              <w:t>Min</w:t>
            </w:r>
          </w:p>
          <w:p w14:paraId="3F285857" w14:textId="54848339" w:rsidR="005B53AD" w:rsidRPr="00F32F61" w:rsidRDefault="005B53AD" w:rsidP="00F32F61">
            <w:pPr>
              <w:pStyle w:val="TableText"/>
              <w:rPr>
                <w:b/>
              </w:rPr>
            </w:pPr>
            <w:r w:rsidRPr="00F32F61">
              <w:rPr>
                <w:b/>
              </w:rPr>
              <w:t>(</w:t>
            </w:r>
            <w:r w:rsidR="006F55E4" w:rsidRPr="00F32F61">
              <w:rPr>
                <w:b/>
              </w:rPr>
              <w:t>micrograms</w:t>
            </w:r>
            <w:r w:rsidRPr="00F32F61">
              <w:rPr>
                <w:b/>
              </w:rPr>
              <w:t>)</w:t>
            </w:r>
          </w:p>
        </w:tc>
        <w:tc>
          <w:tcPr>
            <w:tcW w:w="993" w:type="dxa"/>
            <w:shd w:val="clear" w:color="auto" w:fill="BFBFBF" w:themeFill="background1" w:themeFillShade="BF"/>
          </w:tcPr>
          <w:p w14:paraId="6AFC6EC4" w14:textId="77777777" w:rsidR="00513B61" w:rsidRPr="00F32F61" w:rsidRDefault="005B53AD" w:rsidP="00F32F61">
            <w:pPr>
              <w:pStyle w:val="TableText"/>
              <w:rPr>
                <w:b/>
              </w:rPr>
            </w:pPr>
            <w:r w:rsidRPr="00F32F61">
              <w:rPr>
                <w:b/>
              </w:rPr>
              <w:t>Max</w:t>
            </w:r>
          </w:p>
          <w:p w14:paraId="09D1E2B7" w14:textId="7AAB0608" w:rsidR="005B53AD" w:rsidRPr="00F32F61" w:rsidRDefault="005B53AD" w:rsidP="00F32F61">
            <w:pPr>
              <w:pStyle w:val="TableText"/>
              <w:rPr>
                <w:b/>
              </w:rPr>
            </w:pPr>
            <w:r w:rsidRPr="00F32F61">
              <w:rPr>
                <w:b/>
              </w:rPr>
              <w:t>(</w:t>
            </w:r>
            <w:r w:rsidR="006F55E4" w:rsidRPr="00F32F61">
              <w:rPr>
                <w:b/>
              </w:rPr>
              <w:t>micrograms</w:t>
            </w:r>
            <w:r w:rsidRPr="00F32F61">
              <w:rPr>
                <w:b/>
              </w:rPr>
              <w:t>)</w:t>
            </w:r>
          </w:p>
        </w:tc>
      </w:tr>
      <w:tr w:rsidR="005B53AD" w14:paraId="56D2C12B" w14:textId="77777777" w:rsidTr="00347730">
        <w:tc>
          <w:tcPr>
            <w:tcW w:w="4253" w:type="dxa"/>
            <w:vAlign w:val="bottom"/>
          </w:tcPr>
          <w:p w14:paraId="375922C7" w14:textId="4A4116AA" w:rsidR="005B53AD" w:rsidRPr="00F562CE" w:rsidRDefault="005B53AD" w:rsidP="00F32F61">
            <w:pPr>
              <w:pStyle w:val="TableText"/>
            </w:pPr>
            <w:r w:rsidRPr="00F562CE">
              <w:t>Grandfathered</w:t>
            </w:r>
          </w:p>
        </w:tc>
        <w:tc>
          <w:tcPr>
            <w:tcW w:w="992" w:type="dxa"/>
            <w:vAlign w:val="bottom"/>
          </w:tcPr>
          <w:p w14:paraId="7197F87E" w14:textId="3E0F46F5" w:rsidR="005B53AD" w:rsidRPr="00F562CE" w:rsidRDefault="005B53AD" w:rsidP="00F32F61">
            <w:pPr>
              <w:pStyle w:val="TableText"/>
            </w:pPr>
            <w:r w:rsidRPr="00F562CE">
              <w:t>405.7</w:t>
            </w:r>
          </w:p>
        </w:tc>
        <w:tc>
          <w:tcPr>
            <w:tcW w:w="1134" w:type="dxa"/>
            <w:vAlign w:val="bottom"/>
          </w:tcPr>
          <w:p w14:paraId="6E24EF8F" w14:textId="6B21FE9E" w:rsidR="005B53AD" w:rsidRPr="00F562CE" w:rsidRDefault="005B53AD" w:rsidP="00F32F61">
            <w:pPr>
              <w:pStyle w:val="TableText"/>
            </w:pPr>
            <w:r w:rsidRPr="00F562CE">
              <w:t>500</w:t>
            </w:r>
          </w:p>
        </w:tc>
        <w:tc>
          <w:tcPr>
            <w:tcW w:w="992" w:type="dxa"/>
            <w:vAlign w:val="bottom"/>
          </w:tcPr>
          <w:p w14:paraId="1A072F79" w14:textId="1231D688" w:rsidR="005B53AD" w:rsidRPr="00F562CE" w:rsidRDefault="005B53AD" w:rsidP="00F32F61">
            <w:pPr>
              <w:pStyle w:val="TableText"/>
            </w:pPr>
            <w:r w:rsidRPr="00F562CE">
              <w:t>250</w:t>
            </w:r>
          </w:p>
        </w:tc>
        <w:tc>
          <w:tcPr>
            <w:tcW w:w="993" w:type="dxa"/>
            <w:vAlign w:val="bottom"/>
          </w:tcPr>
          <w:p w14:paraId="20B4E570" w14:textId="1CFFDEDF" w:rsidR="005B53AD" w:rsidRPr="00F562CE" w:rsidRDefault="005B53AD" w:rsidP="00F32F61">
            <w:pPr>
              <w:pStyle w:val="TableText"/>
            </w:pPr>
            <w:r w:rsidRPr="00F562CE">
              <w:t>1000</w:t>
            </w:r>
          </w:p>
        </w:tc>
      </w:tr>
      <w:tr w:rsidR="005B53AD" w14:paraId="208E7A97" w14:textId="77777777" w:rsidTr="00347730">
        <w:tc>
          <w:tcPr>
            <w:tcW w:w="4253" w:type="dxa"/>
            <w:vAlign w:val="bottom"/>
          </w:tcPr>
          <w:p w14:paraId="6E497366" w14:textId="1F15E515" w:rsidR="005B53AD" w:rsidRPr="00F562CE" w:rsidRDefault="005B53AD" w:rsidP="00F32F61">
            <w:pPr>
              <w:pStyle w:val="TableText"/>
            </w:pPr>
            <w:r w:rsidRPr="00F562CE">
              <w:t>Initial</w:t>
            </w:r>
          </w:p>
        </w:tc>
        <w:tc>
          <w:tcPr>
            <w:tcW w:w="992" w:type="dxa"/>
            <w:vAlign w:val="bottom"/>
          </w:tcPr>
          <w:p w14:paraId="12DCF5A9" w14:textId="260228D4" w:rsidR="005B53AD" w:rsidRPr="00F562CE" w:rsidRDefault="005B53AD" w:rsidP="00F32F61">
            <w:pPr>
              <w:pStyle w:val="TableText"/>
            </w:pPr>
            <w:r w:rsidRPr="00F562CE">
              <w:t>358.6</w:t>
            </w:r>
          </w:p>
        </w:tc>
        <w:tc>
          <w:tcPr>
            <w:tcW w:w="1134" w:type="dxa"/>
            <w:vAlign w:val="bottom"/>
          </w:tcPr>
          <w:p w14:paraId="41C9138F" w14:textId="3BE50A75" w:rsidR="005B53AD" w:rsidRPr="00F562CE" w:rsidRDefault="005B53AD" w:rsidP="00F32F61">
            <w:pPr>
              <w:pStyle w:val="TableText"/>
            </w:pPr>
            <w:r w:rsidRPr="00F562CE">
              <w:t>250</w:t>
            </w:r>
          </w:p>
        </w:tc>
        <w:tc>
          <w:tcPr>
            <w:tcW w:w="992" w:type="dxa"/>
            <w:vAlign w:val="bottom"/>
          </w:tcPr>
          <w:p w14:paraId="5A003382" w14:textId="5CCF023E" w:rsidR="005B53AD" w:rsidRPr="00F562CE" w:rsidRDefault="005B53AD" w:rsidP="00F32F61">
            <w:pPr>
              <w:pStyle w:val="TableText"/>
            </w:pPr>
            <w:r w:rsidRPr="00F562CE">
              <w:t>250</w:t>
            </w:r>
          </w:p>
        </w:tc>
        <w:tc>
          <w:tcPr>
            <w:tcW w:w="993" w:type="dxa"/>
            <w:vAlign w:val="bottom"/>
          </w:tcPr>
          <w:p w14:paraId="54C4E4E8" w14:textId="0C95F944" w:rsidR="005B53AD" w:rsidRPr="00F562CE" w:rsidRDefault="005B53AD" w:rsidP="00F32F61">
            <w:pPr>
              <w:pStyle w:val="TableText"/>
            </w:pPr>
            <w:r w:rsidRPr="00F562CE">
              <w:t>1750</w:t>
            </w:r>
          </w:p>
        </w:tc>
      </w:tr>
      <w:tr w:rsidR="005B53AD" w14:paraId="56FF989E" w14:textId="77777777" w:rsidTr="00347730">
        <w:tc>
          <w:tcPr>
            <w:tcW w:w="4253" w:type="dxa"/>
            <w:vAlign w:val="bottom"/>
          </w:tcPr>
          <w:p w14:paraId="1501B253" w14:textId="70885907" w:rsidR="005B53AD" w:rsidRPr="00F562CE" w:rsidRDefault="005B53AD" w:rsidP="00F32F61">
            <w:pPr>
              <w:pStyle w:val="TableText"/>
            </w:pPr>
            <w:r w:rsidRPr="00F562CE">
              <w:t>First continuing treatment</w:t>
            </w:r>
          </w:p>
        </w:tc>
        <w:tc>
          <w:tcPr>
            <w:tcW w:w="992" w:type="dxa"/>
            <w:vAlign w:val="bottom"/>
          </w:tcPr>
          <w:p w14:paraId="7D22C7DB" w14:textId="39CC4BA4" w:rsidR="005B53AD" w:rsidRPr="00F562CE" w:rsidRDefault="005B53AD" w:rsidP="00F32F61">
            <w:pPr>
              <w:pStyle w:val="TableText"/>
            </w:pPr>
            <w:r w:rsidRPr="00F562CE">
              <w:t>399.1</w:t>
            </w:r>
          </w:p>
        </w:tc>
        <w:tc>
          <w:tcPr>
            <w:tcW w:w="1134" w:type="dxa"/>
            <w:vAlign w:val="bottom"/>
          </w:tcPr>
          <w:p w14:paraId="3A5A151E" w14:textId="6D7EB435" w:rsidR="005B53AD" w:rsidRPr="00F562CE" w:rsidRDefault="005B53AD" w:rsidP="00F32F61">
            <w:pPr>
              <w:pStyle w:val="TableText"/>
            </w:pPr>
            <w:r w:rsidRPr="00F562CE">
              <w:t>500</w:t>
            </w:r>
          </w:p>
        </w:tc>
        <w:tc>
          <w:tcPr>
            <w:tcW w:w="992" w:type="dxa"/>
            <w:vAlign w:val="bottom"/>
          </w:tcPr>
          <w:p w14:paraId="2CE903C8" w14:textId="30D44918" w:rsidR="005B53AD" w:rsidRPr="00F562CE" w:rsidRDefault="005B53AD" w:rsidP="00F32F61">
            <w:pPr>
              <w:pStyle w:val="TableText"/>
            </w:pPr>
            <w:r w:rsidRPr="00F562CE">
              <w:t>250</w:t>
            </w:r>
          </w:p>
        </w:tc>
        <w:tc>
          <w:tcPr>
            <w:tcW w:w="993" w:type="dxa"/>
            <w:vAlign w:val="bottom"/>
          </w:tcPr>
          <w:p w14:paraId="0242C802" w14:textId="5B04F0AA" w:rsidR="005B53AD" w:rsidRPr="00F562CE" w:rsidRDefault="005B53AD" w:rsidP="00F32F61">
            <w:pPr>
              <w:pStyle w:val="TableText"/>
            </w:pPr>
            <w:r w:rsidRPr="00F562CE">
              <w:t>1250</w:t>
            </w:r>
          </w:p>
        </w:tc>
      </w:tr>
      <w:tr w:rsidR="005B53AD" w14:paraId="287EDB7B" w14:textId="77777777" w:rsidTr="00347730">
        <w:tc>
          <w:tcPr>
            <w:tcW w:w="4253" w:type="dxa"/>
            <w:vAlign w:val="bottom"/>
          </w:tcPr>
          <w:p w14:paraId="268EBF77" w14:textId="67918684" w:rsidR="005B53AD" w:rsidRPr="00F562CE" w:rsidRDefault="005B53AD" w:rsidP="00F32F61">
            <w:pPr>
              <w:pStyle w:val="TableText"/>
            </w:pPr>
            <w:r w:rsidRPr="00F562CE">
              <w:t>Second and subsequent continuing treatment</w:t>
            </w:r>
          </w:p>
        </w:tc>
        <w:tc>
          <w:tcPr>
            <w:tcW w:w="992" w:type="dxa"/>
            <w:vAlign w:val="bottom"/>
          </w:tcPr>
          <w:p w14:paraId="4D540F72" w14:textId="54E27136" w:rsidR="005B53AD" w:rsidRPr="00F562CE" w:rsidRDefault="005B53AD" w:rsidP="00F32F61">
            <w:pPr>
              <w:pStyle w:val="TableText"/>
            </w:pPr>
            <w:r w:rsidRPr="00F562CE">
              <w:t>400.2</w:t>
            </w:r>
          </w:p>
        </w:tc>
        <w:tc>
          <w:tcPr>
            <w:tcW w:w="1134" w:type="dxa"/>
            <w:vAlign w:val="bottom"/>
          </w:tcPr>
          <w:p w14:paraId="2CE172BD" w14:textId="0E1DF6BE" w:rsidR="005B53AD" w:rsidRPr="00F562CE" w:rsidRDefault="005B53AD" w:rsidP="00F32F61">
            <w:pPr>
              <w:pStyle w:val="TableText"/>
            </w:pPr>
            <w:r w:rsidRPr="00F562CE">
              <w:t>500</w:t>
            </w:r>
          </w:p>
        </w:tc>
        <w:tc>
          <w:tcPr>
            <w:tcW w:w="992" w:type="dxa"/>
            <w:vAlign w:val="bottom"/>
          </w:tcPr>
          <w:p w14:paraId="5FFB8CD5" w14:textId="2E8F8D7F" w:rsidR="005B53AD" w:rsidRPr="00F562CE" w:rsidRDefault="005B53AD" w:rsidP="00F32F61">
            <w:pPr>
              <w:pStyle w:val="TableText"/>
            </w:pPr>
            <w:r w:rsidRPr="00F562CE">
              <w:t>250</w:t>
            </w:r>
          </w:p>
        </w:tc>
        <w:tc>
          <w:tcPr>
            <w:tcW w:w="993" w:type="dxa"/>
            <w:vAlign w:val="bottom"/>
          </w:tcPr>
          <w:p w14:paraId="5056AEDB" w14:textId="54341CFF" w:rsidR="005B53AD" w:rsidRPr="00F562CE" w:rsidRDefault="005B53AD" w:rsidP="00F32F61">
            <w:pPr>
              <w:pStyle w:val="TableText"/>
            </w:pPr>
            <w:r w:rsidRPr="00F562CE">
              <w:t>1250</w:t>
            </w:r>
          </w:p>
        </w:tc>
      </w:tr>
    </w:tbl>
    <w:p w14:paraId="51147172" w14:textId="1AEECE4D" w:rsidR="004B6249" w:rsidRDefault="00236204" w:rsidP="00F06403">
      <w:pPr>
        <w:autoSpaceDE w:val="0"/>
        <w:autoSpaceDN w:val="0"/>
        <w:adjustRightInd w:val="0"/>
        <w:spacing w:after="0"/>
        <w:rPr>
          <w:rFonts w:eastAsia="Calibri" w:cs="Arial"/>
          <w:sz w:val="20"/>
          <w:szCs w:val="20"/>
        </w:rPr>
      </w:pPr>
      <w:r w:rsidRPr="00ED444B">
        <w:rPr>
          <w:rFonts w:cs="Arial"/>
          <w:sz w:val="20"/>
          <w:szCs w:val="20"/>
        </w:rPr>
        <w:t xml:space="preserve">Source: </w:t>
      </w:r>
      <w:r w:rsidRPr="00ED444B">
        <w:rPr>
          <w:sz w:val="20"/>
          <w:szCs w:val="20"/>
        </w:rPr>
        <w:t>Authority Approvals database</w:t>
      </w:r>
      <w:r w:rsidRPr="00ED444B">
        <w:rPr>
          <w:rFonts w:eastAsia="Calibri" w:cs="Arial"/>
          <w:sz w:val="20"/>
          <w:szCs w:val="20"/>
        </w:rPr>
        <w:t>, DH</w:t>
      </w:r>
      <w:r>
        <w:rPr>
          <w:rFonts w:eastAsia="Calibri" w:cs="Arial"/>
          <w:sz w:val="20"/>
          <w:szCs w:val="20"/>
        </w:rPr>
        <w:t>S, extracted April 2015.</w:t>
      </w:r>
    </w:p>
    <w:p w14:paraId="0D880C72" w14:textId="4BC0FBD7" w:rsidR="00F06403" w:rsidRDefault="002933C6" w:rsidP="00F06403">
      <w:pPr>
        <w:autoSpaceDE w:val="0"/>
        <w:autoSpaceDN w:val="0"/>
        <w:adjustRightInd w:val="0"/>
        <w:spacing w:after="0"/>
        <w:rPr>
          <w:rFonts w:ascii="Calibri" w:hAnsi="Calibri" w:cs="Calibri"/>
          <w:color w:val="000000"/>
        </w:rPr>
      </w:pPr>
      <w:r>
        <w:rPr>
          <w:rFonts w:eastAsia="Calibri" w:cs="Arial"/>
          <w:sz w:val="20"/>
          <w:szCs w:val="20"/>
        </w:rPr>
        <w:t>Includes the maximum amount of drug approved (based on the approved quantity and strength)</w:t>
      </w:r>
      <w:r w:rsidR="002E2360">
        <w:rPr>
          <w:rFonts w:eastAsia="Calibri" w:cs="Arial"/>
          <w:sz w:val="20"/>
          <w:szCs w:val="20"/>
        </w:rPr>
        <w:t xml:space="preserve"> for</w:t>
      </w:r>
      <w:r w:rsidR="00F06403">
        <w:rPr>
          <w:rFonts w:eastAsia="Calibri" w:cs="Arial"/>
          <w:sz w:val="20"/>
          <w:szCs w:val="20"/>
        </w:rPr>
        <w:t xml:space="preserve"> al</w:t>
      </w:r>
      <w:r>
        <w:rPr>
          <w:rFonts w:eastAsia="Calibri" w:cs="Arial"/>
          <w:sz w:val="20"/>
          <w:szCs w:val="20"/>
        </w:rPr>
        <w:t xml:space="preserve">l patients receiving </w:t>
      </w:r>
      <w:proofErr w:type="spellStart"/>
      <w:r>
        <w:rPr>
          <w:rFonts w:eastAsia="Calibri" w:cs="Arial"/>
          <w:sz w:val="20"/>
          <w:szCs w:val="20"/>
        </w:rPr>
        <w:t>romiplostim</w:t>
      </w:r>
      <w:proofErr w:type="spellEnd"/>
      <w:r w:rsidR="00F06403">
        <w:rPr>
          <w:rFonts w:eastAsia="Calibri" w:cs="Arial"/>
          <w:sz w:val="20"/>
          <w:szCs w:val="20"/>
        </w:rPr>
        <w:t xml:space="preserve"> s</w:t>
      </w:r>
      <w:r>
        <w:rPr>
          <w:rFonts w:eastAsia="Calibri" w:cs="Arial"/>
          <w:sz w:val="20"/>
          <w:szCs w:val="20"/>
        </w:rPr>
        <w:t>ince its listing from 1 April</w:t>
      </w:r>
      <w:r w:rsidR="00F06403">
        <w:rPr>
          <w:rFonts w:eastAsia="Calibri" w:cs="Arial"/>
          <w:sz w:val="20"/>
          <w:szCs w:val="20"/>
        </w:rPr>
        <w:t xml:space="preserve"> 2011.</w:t>
      </w:r>
    </w:p>
    <w:p w14:paraId="3142857F" w14:textId="5B59017F" w:rsidR="00C3335A" w:rsidRDefault="00C3335A" w:rsidP="00B32753">
      <w:pPr>
        <w:autoSpaceDE w:val="0"/>
        <w:autoSpaceDN w:val="0"/>
        <w:adjustRightInd w:val="0"/>
        <w:spacing w:before="120"/>
        <w:rPr>
          <w:rFonts w:ascii="Calibri" w:hAnsi="Calibri" w:cs="Calibri"/>
          <w:color w:val="000000"/>
        </w:rPr>
      </w:pPr>
      <w:r>
        <w:rPr>
          <w:rFonts w:ascii="Calibri" w:hAnsi="Calibri" w:cs="Calibri"/>
          <w:color w:val="000000"/>
        </w:rPr>
        <w:t xml:space="preserve">The actual mean daily dose of </w:t>
      </w:r>
      <w:proofErr w:type="spellStart"/>
      <w:r>
        <w:rPr>
          <w:rFonts w:ascii="Calibri" w:hAnsi="Calibri" w:cs="Calibri"/>
          <w:color w:val="000000"/>
        </w:rPr>
        <w:t>eltrombopag</w:t>
      </w:r>
      <w:proofErr w:type="spellEnd"/>
      <w:r>
        <w:rPr>
          <w:rFonts w:ascii="Calibri" w:hAnsi="Calibri" w:cs="Calibri"/>
          <w:color w:val="000000"/>
        </w:rPr>
        <w:t xml:space="preserve"> was higher in patients receiving their first period of continuing treatment (54.3 </w:t>
      </w:r>
      <w:r w:rsidR="00ED2E0D">
        <w:rPr>
          <w:rFonts w:ascii="Calibri" w:hAnsi="Calibri" w:cs="Calibri"/>
          <w:color w:val="000000"/>
        </w:rPr>
        <w:t>mg) and subsequent continuing treatment (54.6 mg) than initiat</w:t>
      </w:r>
      <w:r w:rsidR="00810D63">
        <w:rPr>
          <w:rFonts w:ascii="Calibri" w:hAnsi="Calibri" w:cs="Calibri"/>
          <w:color w:val="000000"/>
        </w:rPr>
        <w:t xml:space="preserve">ing patients (44.8 mg), (Table </w:t>
      </w:r>
      <w:r w:rsidR="00BF40CC">
        <w:rPr>
          <w:rFonts w:ascii="Calibri" w:hAnsi="Calibri" w:cs="Calibri"/>
          <w:color w:val="000000"/>
        </w:rPr>
        <w:t>8</w:t>
      </w:r>
      <w:r w:rsidR="00ED2E0D">
        <w:rPr>
          <w:rFonts w:ascii="Calibri" w:hAnsi="Calibri" w:cs="Calibri"/>
          <w:color w:val="000000"/>
        </w:rPr>
        <w:t xml:space="preserve">). </w:t>
      </w:r>
      <w:r w:rsidR="00BC125B">
        <w:rPr>
          <w:rFonts w:ascii="Calibri" w:hAnsi="Calibri" w:cs="Calibri"/>
          <w:color w:val="000000"/>
        </w:rPr>
        <w:t xml:space="preserve">Patients grandfathered to </w:t>
      </w:r>
      <w:proofErr w:type="spellStart"/>
      <w:r w:rsidR="00BC125B">
        <w:rPr>
          <w:rFonts w:ascii="Calibri" w:hAnsi="Calibri" w:cs="Calibri"/>
          <w:color w:val="000000"/>
        </w:rPr>
        <w:t>eltrombopag</w:t>
      </w:r>
      <w:proofErr w:type="spellEnd"/>
      <w:r w:rsidR="00BC125B">
        <w:rPr>
          <w:rFonts w:ascii="Calibri" w:hAnsi="Calibri" w:cs="Calibri"/>
          <w:color w:val="000000"/>
        </w:rPr>
        <w:t xml:space="preserve"> received the highest m</w:t>
      </w:r>
      <w:r w:rsidR="00810D63">
        <w:rPr>
          <w:rFonts w:ascii="Calibri" w:hAnsi="Calibri" w:cs="Calibri"/>
          <w:color w:val="000000"/>
        </w:rPr>
        <w:t xml:space="preserve">ean daily dose (55.0 mg, Table </w:t>
      </w:r>
      <w:r w:rsidR="00BF40CC">
        <w:rPr>
          <w:rFonts w:ascii="Calibri" w:hAnsi="Calibri" w:cs="Calibri"/>
          <w:color w:val="000000"/>
        </w:rPr>
        <w:t>8</w:t>
      </w:r>
      <w:r w:rsidR="00BC125B">
        <w:rPr>
          <w:rFonts w:ascii="Calibri" w:hAnsi="Calibri" w:cs="Calibri"/>
          <w:color w:val="000000"/>
        </w:rPr>
        <w:t>).</w:t>
      </w:r>
    </w:p>
    <w:p w14:paraId="33D3FBA9" w14:textId="009B5097" w:rsidR="000C78BD" w:rsidRPr="00BC42F5" w:rsidRDefault="00810D63" w:rsidP="007F0709">
      <w:pPr>
        <w:pStyle w:val="Tableheading"/>
        <w:jc w:val="left"/>
      </w:pPr>
      <w:r>
        <w:t xml:space="preserve">Table </w:t>
      </w:r>
      <w:r w:rsidR="00BF40CC">
        <w:t>8</w:t>
      </w:r>
      <w:r w:rsidR="000C78BD">
        <w:t xml:space="preserve">: Average daily dose of </w:t>
      </w:r>
      <w:proofErr w:type="spellStart"/>
      <w:r w:rsidR="000C78BD">
        <w:t>eltrombopag</w:t>
      </w:r>
      <w:proofErr w:type="spellEnd"/>
      <w:r w:rsidR="000C78BD">
        <w:t xml:space="preserve"> for grandfathered, initiating and continuing patients</w:t>
      </w:r>
    </w:p>
    <w:tbl>
      <w:tblPr>
        <w:tblStyle w:val="TableGrid"/>
        <w:tblW w:w="0" w:type="auto"/>
        <w:tblLook w:val="04A0" w:firstRow="1" w:lastRow="0" w:firstColumn="1" w:lastColumn="0" w:noHBand="0" w:noVBand="1"/>
        <w:tblCaption w:val="Table 8"/>
        <w:tblDescription w:val="Average doses of eltrombopag for grandfathered, initiating and continuing patients"/>
      </w:tblPr>
      <w:tblGrid>
        <w:gridCol w:w="4361"/>
        <w:gridCol w:w="992"/>
        <w:gridCol w:w="1134"/>
        <w:gridCol w:w="992"/>
        <w:gridCol w:w="993"/>
      </w:tblGrid>
      <w:tr w:rsidR="000C78BD" w14:paraId="02383200" w14:textId="77777777" w:rsidTr="00741122">
        <w:trPr>
          <w:tblHeader/>
        </w:trPr>
        <w:tc>
          <w:tcPr>
            <w:tcW w:w="4361" w:type="dxa"/>
            <w:shd w:val="clear" w:color="auto" w:fill="BFBFBF" w:themeFill="background1" w:themeFillShade="BF"/>
          </w:tcPr>
          <w:p w14:paraId="666A6021" w14:textId="77777777" w:rsidR="000C78BD" w:rsidRPr="00AC6556" w:rsidRDefault="000C78BD" w:rsidP="00AC6556">
            <w:pPr>
              <w:pStyle w:val="TableText"/>
              <w:rPr>
                <w:b/>
              </w:rPr>
            </w:pPr>
            <w:r w:rsidRPr="00AC6556">
              <w:rPr>
                <w:b/>
              </w:rPr>
              <w:t>Patient group</w:t>
            </w:r>
          </w:p>
        </w:tc>
        <w:tc>
          <w:tcPr>
            <w:tcW w:w="992" w:type="dxa"/>
            <w:shd w:val="clear" w:color="auto" w:fill="BFBFBF" w:themeFill="background1" w:themeFillShade="BF"/>
          </w:tcPr>
          <w:p w14:paraId="19F6B4BF" w14:textId="77777777" w:rsidR="000C78BD" w:rsidRPr="00AC6556" w:rsidRDefault="000C78BD" w:rsidP="00AC6556">
            <w:pPr>
              <w:pStyle w:val="TableText"/>
              <w:rPr>
                <w:b/>
              </w:rPr>
            </w:pPr>
            <w:r w:rsidRPr="00AC6556">
              <w:rPr>
                <w:b/>
              </w:rPr>
              <w:t>Mean</w:t>
            </w:r>
          </w:p>
          <w:p w14:paraId="2880C64D" w14:textId="0C831A90" w:rsidR="000C78BD" w:rsidRPr="00AC6556" w:rsidRDefault="000C78BD" w:rsidP="00AC6556">
            <w:pPr>
              <w:pStyle w:val="TableText"/>
              <w:rPr>
                <w:b/>
              </w:rPr>
            </w:pPr>
            <w:r w:rsidRPr="00AC6556">
              <w:rPr>
                <w:b/>
              </w:rPr>
              <w:t>(</w:t>
            </w:r>
            <w:r w:rsidR="00C3335A" w:rsidRPr="00AC6556">
              <w:rPr>
                <w:b/>
              </w:rPr>
              <w:t>m</w:t>
            </w:r>
            <w:r w:rsidRPr="00AC6556">
              <w:rPr>
                <w:b/>
              </w:rPr>
              <w:t>g)</w:t>
            </w:r>
          </w:p>
        </w:tc>
        <w:tc>
          <w:tcPr>
            <w:tcW w:w="1134" w:type="dxa"/>
            <w:shd w:val="clear" w:color="auto" w:fill="BFBFBF" w:themeFill="background1" w:themeFillShade="BF"/>
          </w:tcPr>
          <w:p w14:paraId="6F443350" w14:textId="77777777" w:rsidR="000C78BD" w:rsidRPr="00AC6556" w:rsidRDefault="000C78BD" w:rsidP="00AC6556">
            <w:pPr>
              <w:pStyle w:val="TableText"/>
              <w:rPr>
                <w:b/>
              </w:rPr>
            </w:pPr>
            <w:r w:rsidRPr="00AC6556">
              <w:rPr>
                <w:b/>
              </w:rPr>
              <w:t>Median</w:t>
            </w:r>
          </w:p>
          <w:p w14:paraId="26717EDF" w14:textId="1C9EBE83" w:rsidR="000C78BD" w:rsidRPr="00AC6556" w:rsidRDefault="000C78BD" w:rsidP="00AC6556">
            <w:pPr>
              <w:pStyle w:val="TableText"/>
              <w:rPr>
                <w:b/>
              </w:rPr>
            </w:pPr>
            <w:r w:rsidRPr="00AC6556">
              <w:rPr>
                <w:b/>
              </w:rPr>
              <w:t>(</w:t>
            </w:r>
            <w:r w:rsidR="00C3335A" w:rsidRPr="00AC6556">
              <w:rPr>
                <w:b/>
              </w:rPr>
              <w:t>m</w:t>
            </w:r>
            <w:r w:rsidRPr="00AC6556">
              <w:rPr>
                <w:b/>
              </w:rPr>
              <w:t>g)</w:t>
            </w:r>
          </w:p>
        </w:tc>
        <w:tc>
          <w:tcPr>
            <w:tcW w:w="992" w:type="dxa"/>
            <w:shd w:val="clear" w:color="auto" w:fill="BFBFBF" w:themeFill="background1" w:themeFillShade="BF"/>
          </w:tcPr>
          <w:p w14:paraId="6B1CFFC2" w14:textId="77777777" w:rsidR="000C78BD" w:rsidRPr="00AC6556" w:rsidRDefault="000C78BD" w:rsidP="00AC6556">
            <w:pPr>
              <w:pStyle w:val="TableText"/>
              <w:rPr>
                <w:b/>
              </w:rPr>
            </w:pPr>
            <w:r w:rsidRPr="00AC6556">
              <w:rPr>
                <w:b/>
              </w:rPr>
              <w:t>Min</w:t>
            </w:r>
          </w:p>
          <w:p w14:paraId="528CB202" w14:textId="10FF63E9" w:rsidR="000C78BD" w:rsidRPr="00AC6556" w:rsidRDefault="000C78BD" w:rsidP="00AC6556">
            <w:pPr>
              <w:pStyle w:val="TableText"/>
              <w:rPr>
                <w:b/>
              </w:rPr>
            </w:pPr>
            <w:r w:rsidRPr="00AC6556">
              <w:rPr>
                <w:b/>
              </w:rPr>
              <w:t>(</w:t>
            </w:r>
            <w:r w:rsidR="00C3335A" w:rsidRPr="00AC6556">
              <w:rPr>
                <w:b/>
              </w:rPr>
              <w:t>m</w:t>
            </w:r>
            <w:r w:rsidRPr="00AC6556">
              <w:rPr>
                <w:b/>
              </w:rPr>
              <w:t>g)</w:t>
            </w:r>
          </w:p>
        </w:tc>
        <w:tc>
          <w:tcPr>
            <w:tcW w:w="993" w:type="dxa"/>
            <w:shd w:val="clear" w:color="auto" w:fill="BFBFBF" w:themeFill="background1" w:themeFillShade="BF"/>
          </w:tcPr>
          <w:p w14:paraId="7A95CC5E" w14:textId="77777777" w:rsidR="000C78BD" w:rsidRPr="00AC6556" w:rsidRDefault="000C78BD" w:rsidP="00AC6556">
            <w:pPr>
              <w:pStyle w:val="TableText"/>
              <w:rPr>
                <w:b/>
              </w:rPr>
            </w:pPr>
            <w:r w:rsidRPr="00AC6556">
              <w:rPr>
                <w:b/>
              </w:rPr>
              <w:t>Max</w:t>
            </w:r>
          </w:p>
          <w:p w14:paraId="5FCE2397" w14:textId="30A89D97" w:rsidR="000C78BD" w:rsidRPr="00AC6556" w:rsidRDefault="000C78BD" w:rsidP="00AC6556">
            <w:pPr>
              <w:pStyle w:val="TableText"/>
              <w:rPr>
                <w:b/>
              </w:rPr>
            </w:pPr>
            <w:r w:rsidRPr="00AC6556">
              <w:rPr>
                <w:b/>
              </w:rPr>
              <w:t>(</w:t>
            </w:r>
            <w:r w:rsidR="00C3335A" w:rsidRPr="00AC6556">
              <w:rPr>
                <w:b/>
              </w:rPr>
              <w:t>m</w:t>
            </w:r>
            <w:r w:rsidRPr="00AC6556">
              <w:rPr>
                <w:b/>
              </w:rPr>
              <w:t>g)</w:t>
            </w:r>
          </w:p>
        </w:tc>
      </w:tr>
      <w:tr w:rsidR="000C78BD" w14:paraId="1601B180" w14:textId="77777777" w:rsidTr="002E276C">
        <w:tc>
          <w:tcPr>
            <w:tcW w:w="4361" w:type="dxa"/>
            <w:vAlign w:val="bottom"/>
          </w:tcPr>
          <w:p w14:paraId="40E2CAD2" w14:textId="2AC35FA2" w:rsidR="000C78BD" w:rsidRPr="001A6594" w:rsidRDefault="000C78BD" w:rsidP="00AC6556">
            <w:pPr>
              <w:pStyle w:val="TableText"/>
            </w:pPr>
            <w:r w:rsidRPr="001A6594">
              <w:t>Grandfathered</w:t>
            </w:r>
          </w:p>
        </w:tc>
        <w:tc>
          <w:tcPr>
            <w:tcW w:w="992" w:type="dxa"/>
            <w:vAlign w:val="bottom"/>
          </w:tcPr>
          <w:p w14:paraId="578BA332" w14:textId="2B14F8AC" w:rsidR="000C78BD" w:rsidRPr="001A6594" w:rsidRDefault="000C78BD" w:rsidP="00AC6556">
            <w:pPr>
              <w:pStyle w:val="TableText"/>
            </w:pPr>
            <w:r w:rsidRPr="001A6594">
              <w:t>55.0</w:t>
            </w:r>
          </w:p>
        </w:tc>
        <w:tc>
          <w:tcPr>
            <w:tcW w:w="1134" w:type="dxa"/>
            <w:vAlign w:val="bottom"/>
          </w:tcPr>
          <w:p w14:paraId="23009BE5" w14:textId="0AB236DA" w:rsidR="000C78BD" w:rsidRPr="001A6594" w:rsidRDefault="000C78BD" w:rsidP="00AC6556">
            <w:pPr>
              <w:pStyle w:val="TableText"/>
            </w:pPr>
            <w:r w:rsidRPr="001A6594">
              <w:t>50</w:t>
            </w:r>
          </w:p>
        </w:tc>
        <w:tc>
          <w:tcPr>
            <w:tcW w:w="992" w:type="dxa"/>
            <w:vAlign w:val="bottom"/>
          </w:tcPr>
          <w:p w14:paraId="696954CA" w14:textId="7B59E1E2" w:rsidR="000C78BD" w:rsidRPr="001A6594" w:rsidRDefault="000C78BD" w:rsidP="00AC6556">
            <w:pPr>
              <w:pStyle w:val="TableText"/>
            </w:pPr>
            <w:r w:rsidRPr="001A6594">
              <w:t>25</w:t>
            </w:r>
          </w:p>
        </w:tc>
        <w:tc>
          <w:tcPr>
            <w:tcW w:w="993" w:type="dxa"/>
            <w:vAlign w:val="bottom"/>
          </w:tcPr>
          <w:p w14:paraId="08E6B6DB" w14:textId="010470A4" w:rsidR="000C78BD" w:rsidRPr="001A6594" w:rsidRDefault="000C78BD" w:rsidP="00AC6556">
            <w:pPr>
              <w:pStyle w:val="TableText"/>
            </w:pPr>
            <w:r w:rsidRPr="001A6594">
              <w:t>75</w:t>
            </w:r>
          </w:p>
        </w:tc>
      </w:tr>
      <w:tr w:rsidR="000C78BD" w14:paraId="50C52202" w14:textId="77777777" w:rsidTr="002E276C">
        <w:tc>
          <w:tcPr>
            <w:tcW w:w="4361" w:type="dxa"/>
            <w:vAlign w:val="bottom"/>
          </w:tcPr>
          <w:p w14:paraId="5A0328FB" w14:textId="25802C8B" w:rsidR="000C78BD" w:rsidRPr="001A6594" w:rsidRDefault="000C78BD" w:rsidP="00AC6556">
            <w:pPr>
              <w:pStyle w:val="TableText"/>
            </w:pPr>
            <w:r w:rsidRPr="001A6594">
              <w:t>Initial</w:t>
            </w:r>
          </w:p>
        </w:tc>
        <w:tc>
          <w:tcPr>
            <w:tcW w:w="992" w:type="dxa"/>
            <w:vAlign w:val="bottom"/>
          </w:tcPr>
          <w:p w14:paraId="464808D7" w14:textId="587E528F" w:rsidR="000C78BD" w:rsidRPr="001A6594" w:rsidRDefault="000C78BD" w:rsidP="00AC6556">
            <w:pPr>
              <w:pStyle w:val="TableText"/>
            </w:pPr>
            <w:r w:rsidRPr="001A6594">
              <w:t>44.8</w:t>
            </w:r>
          </w:p>
        </w:tc>
        <w:tc>
          <w:tcPr>
            <w:tcW w:w="1134" w:type="dxa"/>
            <w:vAlign w:val="bottom"/>
          </w:tcPr>
          <w:p w14:paraId="5487E9E9" w14:textId="7D2872C7" w:rsidR="000C78BD" w:rsidRPr="001A6594" w:rsidRDefault="000C78BD" w:rsidP="00AC6556">
            <w:pPr>
              <w:pStyle w:val="TableText"/>
            </w:pPr>
            <w:r w:rsidRPr="001A6594">
              <w:t>50</w:t>
            </w:r>
          </w:p>
        </w:tc>
        <w:tc>
          <w:tcPr>
            <w:tcW w:w="992" w:type="dxa"/>
            <w:vAlign w:val="bottom"/>
          </w:tcPr>
          <w:p w14:paraId="7D256642" w14:textId="041ECD58" w:rsidR="000C78BD" w:rsidRPr="001A6594" w:rsidRDefault="000C78BD" w:rsidP="00AC6556">
            <w:pPr>
              <w:pStyle w:val="TableText"/>
            </w:pPr>
            <w:r w:rsidRPr="001A6594">
              <w:t>25</w:t>
            </w:r>
          </w:p>
        </w:tc>
        <w:tc>
          <w:tcPr>
            <w:tcW w:w="993" w:type="dxa"/>
            <w:vAlign w:val="bottom"/>
          </w:tcPr>
          <w:p w14:paraId="1ED0F148" w14:textId="35A00B88" w:rsidR="000C78BD" w:rsidRPr="001A6594" w:rsidRDefault="000C78BD" w:rsidP="00AC6556">
            <w:pPr>
              <w:pStyle w:val="TableText"/>
            </w:pPr>
            <w:r w:rsidRPr="001A6594">
              <w:t>150</w:t>
            </w:r>
          </w:p>
        </w:tc>
      </w:tr>
      <w:tr w:rsidR="000C78BD" w14:paraId="4728E242" w14:textId="77777777" w:rsidTr="002E276C">
        <w:tc>
          <w:tcPr>
            <w:tcW w:w="4361" w:type="dxa"/>
            <w:vAlign w:val="bottom"/>
          </w:tcPr>
          <w:p w14:paraId="35B6922D" w14:textId="589EE381" w:rsidR="000C78BD" w:rsidRPr="001A6594" w:rsidRDefault="000C78BD" w:rsidP="00AC6556">
            <w:pPr>
              <w:pStyle w:val="TableText"/>
            </w:pPr>
            <w:r w:rsidRPr="001A6594">
              <w:t>First continuing treatment</w:t>
            </w:r>
          </w:p>
        </w:tc>
        <w:tc>
          <w:tcPr>
            <w:tcW w:w="992" w:type="dxa"/>
            <w:vAlign w:val="bottom"/>
          </w:tcPr>
          <w:p w14:paraId="38128DF5" w14:textId="7BE9DD39" w:rsidR="000C78BD" w:rsidRPr="001A6594" w:rsidRDefault="000C78BD" w:rsidP="00AC6556">
            <w:pPr>
              <w:pStyle w:val="TableText"/>
            </w:pPr>
            <w:r w:rsidRPr="001A6594">
              <w:t>54.3</w:t>
            </w:r>
          </w:p>
        </w:tc>
        <w:tc>
          <w:tcPr>
            <w:tcW w:w="1134" w:type="dxa"/>
            <w:vAlign w:val="bottom"/>
          </w:tcPr>
          <w:p w14:paraId="3ADCC007" w14:textId="7A04464A" w:rsidR="000C78BD" w:rsidRPr="001A6594" w:rsidRDefault="000C78BD" w:rsidP="00AC6556">
            <w:pPr>
              <w:pStyle w:val="TableText"/>
            </w:pPr>
            <w:r w:rsidRPr="001A6594">
              <w:t>50</w:t>
            </w:r>
          </w:p>
        </w:tc>
        <w:tc>
          <w:tcPr>
            <w:tcW w:w="992" w:type="dxa"/>
            <w:vAlign w:val="bottom"/>
          </w:tcPr>
          <w:p w14:paraId="41BFA615" w14:textId="322732A3" w:rsidR="000C78BD" w:rsidRPr="001A6594" w:rsidRDefault="000C78BD" w:rsidP="00AC6556">
            <w:pPr>
              <w:pStyle w:val="TableText"/>
            </w:pPr>
            <w:r w:rsidRPr="001A6594">
              <w:t>25</w:t>
            </w:r>
          </w:p>
        </w:tc>
        <w:tc>
          <w:tcPr>
            <w:tcW w:w="993" w:type="dxa"/>
            <w:vAlign w:val="bottom"/>
          </w:tcPr>
          <w:p w14:paraId="70534FCA" w14:textId="1F7210A6" w:rsidR="000C78BD" w:rsidRPr="001A6594" w:rsidRDefault="000C78BD" w:rsidP="00AC6556">
            <w:pPr>
              <w:pStyle w:val="TableText"/>
            </w:pPr>
            <w:r w:rsidRPr="001A6594">
              <w:t>125</w:t>
            </w:r>
          </w:p>
        </w:tc>
      </w:tr>
      <w:tr w:rsidR="000C78BD" w14:paraId="07402DD1" w14:textId="77777777" w:rsidTr="002E276C">
        <w:tc>
          <w:tcPr>
            <w:tcW w:w="4361" w:type="dxa"/>
            <w:vAlign w:val="bottom"/>
          </w:tcPr>
          <w:p w14:paraId="067CCAC8" w14:textId="62779C06" w:rsidR="000C78BD" w:rsidRPr="001A6594" w:rsidRDefault="000C78BD" w:rsidP="00AC6556">
            <w:pPr>
              <w:pStyle w:val="TableText"/>
            </w:pPr>
            <w:r w:rsidRPr="001A6594">
              <w:t>Second and subsequent continuing treatment</w:t>
            </w:r>
          </w:p>
        </w:tc>
        <w:tc>
          <w:tcPr>
            <w:tcW w:w="992" w:type="dxa"/>
            <w:vAlign w:val="bottom"/>
          </w:tcPr>
          <w:p w14:paraId="7C7C1519" w14:textId="7F0026B0" w:rsidR="000C78BD" w:rsidRPr="001A6594" w:rsidRDefault="000C78BD" w:rsidP="00AC6556">
            <w:pPr>
              <w:pStyle w:val="TableText"/>
            </w:pPr>
            <w:r w:rsidRPr="001A6594">
              <w:t>54.6</w:t>
            </w:r>
          </w:p>
        </w:tc>
        <w:tc>
          <w:tcPr>
            <w:tcW w:w="1134" w:type="dxa"/>
            <w:vAlign w:val="bottom"/>
          </w:tcPr>
          <w:p w14:paraId="3F4253FF" w14:textId="7C6D3C99" w:rsidR="000C78BD" w:rsidRPr="001A6594" w:rsidRDefault="000C78BD" w:rsidP="00AC6556">
            <w:pPr>
              <w:pStyle w:val="TableText"/>
            </w:pPr>
            <w:r w:rsidRPr="001A6594">
              <w:t>50</w:t>
            </w:r>
          </w:p>
        </w:tc>
        <w:tc>
          <w:tcPr>
            <w:tcW w:w="992" w:type="dxa"/>
            <w:vAlign w:val="bottom"/>
          </w:tcPr>
          <w:p w14:paraId="6E9D3779" w14:textId="690B7374" w:rsidR="000C78BD" w:rsidRPr="001A6594" w:rsidRDefault="000C78BD" w:rsidP="00AC6556">
            <w:pPr>
              <w:pStyle w:val="TableText"/>
            </w:pPr>
            <w:r w:rsidRPr="001A6594">
              <w:t>25</w:t>
            </w:r>
          </w:p>
        </w:tc>
        <w:tc>
          <w:tcPr>
            <w:tcW w:w="993" w:type="dxa"/>
            <w:vAlign w:val="bottom"/>
          </w:tcPr>
          <w:p w14:paraId="206614FF" w14:textId="31AB111E" w:rsidR="000C78BD" w:rsidRPr="001A6594" w:rsidRDefault="000C78BD" w:rsidP="00AC6556">
            <w:pPr>
              <w:pStyle w:val="TableText"/>
            </w:pPr>
            <w:r w:rsidRPr="001A6594">
              <w:t>150</w:t>
            </w:r>
          </w:p>
        </w:tc>
      </w:tr>
    </w:tbl>
    <w:p w14:paraId="3A434C85" w14:textId="35793253" w:rsidR="000C78BD" w:rsidRDefault="00236204" w:rsidP="002933C6">
      <w:pPr>
        <w:autoSpaceDE w:val="0"/>
        <w:autoSpaceDN w:val="0"/>
        <w:adjustRightInd w:val="0"/>
        <w:spacing w:after="0"/>
        <w:rPr>
          <w:rFonts w:eastAsia="Calibri" w:cs="Arial"/>
          <w:sz w:val="20"/>
          <w:szCs w:val="20"/>
        </w:rPr>
      </w:pPr>
      <w:r w:rsidRPr="00ED444B">
        <w:rPr>
          <w:rFonts w:cs="Arial"/>
          <w:sz w:val="20"/>
          <w:szCs w:val="20"/>
        </w:rPr>
        <w:t xml:space="preserve">Source: </w:t>
      </w:r>
      <w:r w:rsidRPr="00ED444B">
        <w:rPr>
          <w:sz w:val="20"/>
          <w:szCs w:val="20"/>
        </w:rPr>
        <w:t>Authority Approvals database</w:t>
      </w:r>
      <w:r w:rsidRPr="00ED444B">
        <w:rPr>
          <w:rFonts w:eastAsia="Calibri" w:cs="Arial"/>
          <w:sz w:val="20"/>
          <w:szCs w:val="20"/>
        </w:rPr>
        <w:t>, DH</w:t>
      </w:r>
      <w:r>
        <w:rPr>
          <w:rFonts w:eastAsia="Calibri" w:cs="Arial"/>
          <w:sz w:val="20"/>
          <w:szCs w:val="20"/>
        </w:rPr>
        <w:t>S, extracted April 2015.</w:t>
      </w:r>
    </w:p>
    <w:p w14:paraId="763C629A" w14:textId="402A0970" w:rsidR="006122E2" w:rsidRPr="00782BBD" w:rsidRDefault="002933C6" w:rsidP="00A22D89">
      <w:pPr>
        <w:autoSpaceDE w:val="0"/>
        <w:autoSpaceDN w:val="0"/>
        <w:adjustRightInd w:val="0"/>
        <w:spacing w:after="0"/>
        <w:rPr>
          <w:rFonts w:eastAsia="Calibri" w:cs="Arial"/>
          <w:sz w:val="20"/>
          <w:szCs w:val="20"/>
        </w:rPr>
      </w:pPr>
      <w:r>
        <w:rPr>
          <w:rFonts w:eastAsia="Calibri" w:cs="Arial"/>
          <w:sz w:val="20"/>
          <w:szCs w:val="20"/>
        </w:rPr>
        <w:t xml:space="preserve">Includes the maximum amount of drug approved (based on the approved quantity and strength) for all patients receiving </w:t>
      </w:r>
      <w:proofErr w:type="spellStart"/>
      <w:r>
        <w:rPr>
          <w:rFonts w:eastAsia="Calibri" w:cs="Arial"/>
          <w:sz w:val="20"/>
          <w:szCs w:val="20"/>
        </w:rPr>
        <w:t>eltrombopag</w:t>
      </w:r>
      <w:proofErr w:type="spellEnd"/>
      <w:r>
        <w:rPr>
          <w:rFonts w:eastAsia="Calibri" w:cs="Arial"/>
          <w:sz w:val="20"/>
          <w:szCs w:val="20"/>
        </w:rPr>
        <w:t xml:space="preserve"> since its listing from 1 November 2011.</w:t>
      </w:r>
    </w:p>
    <w:p w14:paraId="01346880" w14:textId="77777777" w:rsidR="004E1480" w:rsidRDefault="004E1480" w:rsidP="004E1480">
      <w:pPr>
        <w:pStyle w:val="Heading2"/>
        <w:spacing w:before="0" w:after="0"/>
      </w:pPr>
    </w:p>
    <w:p w14:paraId="0464BE0A" w14:textId="77777777" w:rsidR="00F57D23" w:rsidRPr="00A22D89" w:rsidRDefault="00F57D23" w:rsidP="004E1480">
      <w:pPr>
        <w:pStyle w:val="Heading2"/>
        <w:spacing w:before="0" w:after="0"/>
      </w:pPr>
      <w:r w:rsidRPr="00A22D89">
        <w:t>Length of treatment analysis</w:t>
      </w:r>
    </w:p>
    <w:p w14:paraId="1DB6ECDB" w14:textId="77777777" w:rsidR="004E1480" w:rsidRDefault="004E1480" w:rsidP="004E1480">
      <w:pPr>
        <w:spacing w:after="0"/>
      </w:pPr>
    </w:p>
    <w:p w14:paraId="16CBD30B" w14:textId="1FAB2414" w:rsidR="0081520E" w:rsidRPr="00E92E73" w:rsidRDefault="0081520E" w:rsidP="004E1480">
      <w:pPr>
        <w:spacing w:after="0"/>
      </w:pPr>
      <w:r>
        <w:t xml:space="preserve">In its consideration of the July 2009 submission for </w:t>
      </w:r>
      <w:proofErr w:type="spellStart"/>
      <w:r>
        <w:t>romiplostim</w:t>
      </w:r>
      <w:proofErr w:type="spellEnd"/>
      <w:r>
        <w:t xml:space="preserve"> the PBAC noted that there </w:t>
      </w:r>
      <w:r w:rsidR="003D1B07">
        <w:t xml:space="preserve">was </w:t>
      </w:r>
      <w:r>
        <w:t xml:space="preserve">a lack of data on the long-term </w:t>
      </w:r>
      <w:r w:rsidR="003D1B07">
        <w:t>efficacy</w:t>
      </w:r>
      <w:r>
        <w:t xml:space="preserve"> of TRA therapy. </w:t>
      </w:r>
      <w:r w:rsidR="003D1B07">
        <w:t>T</w:t>
      </w:r>
      <w:r w:rsidR="003D1B07" w:rsidRPr="005C20BA">
        <w:t xml:space="preserve">he efficacy data from placebo-controlled trials </w:t>
      </w:r>
      <w:r w:rsidR="003D1B07">
        <w:t xml:space="preserve">included in the </w:t>
      </w:r>
      <w:r w:rsidR="00B95440">
        <w:t xml:space="preserve">July 2009 </w:t>
      </w:r>
      <w:r w:rsidR="003D1B07">
        <w:t xml:space="preserve">submission </w:t>
      </w:r>
      <w:r w:rsidR="00331391">
        <w:t>(Study 105 and Study</w:t>
      </w:r>
      <w:r w:rsidR="00C45316">
        <w:t xml:space="preserve"> 212) </w:t>
      </w:r>
      <w:r w:rsidR="003D1B07" w:rsidRPr="005C20BA">
        <w:t>only related to a 24-week period.</w:t>
      </w:r>
      <w:r w:rsidR="003D1B07">
        <w:t xml:space="preserve"> </w:t>
      </w:r>
      <w:r>
        <w:t xml:space="preserve">As such, an analysis of the length of treatment on </w:t>
      </w:r>
      <w:proofErr w:type="spellStart"/>
      <w:r>
        <w:t>romiplostim</w:t>
      </w:r>
      <w:proofErr w:type="spellEnd"/>
      <w:r>
        <w:t xml:space="preserve"> and </w:t>
      </w:r>
      <w:proofErr w:type="spellStart"/>
      <w:r>
        <w:t>eltrombopag</w:t>
      </w:r>
      <w:proofErr w:type="spellEnd"/>
      <w:r>
        <w:t xml:space="preserve"> was </w:t>
      </w:r>
      <w:r w:rsidR="009D0A75">
        <w:t xml:space="preserve">undertaken </w:t>
      </w:r>
      <w:r>
        <w:t>to assess the durability of these therapies in practice.</w:t>
      </w:r>
    </w:p>
    <w:p w14:paraId="4941F21A" w14:textId="62D571E9" w:rsidR="00303EE3" w:rsidRDefault="00607229" w:rsidP="002220CE">
      <w:r>
        <w:t>Time to discontinuation of</w:t>
      </w:r>
      <w:r w:rsidR="003D72B5">
        <w:t xml:space="preserve"> treatment</w:t>
      </w:r>
      <w:r w:rsidR="00494BCD">
        <w:t xml:space="preserve"> was examined</w:t>
      </w:r>
      <w:r w:rsidR="00DE70D3">
        <w:t xml:space="preserve"> for patients who initiated </w:t>
      </w:r>
      <w:proofErr w:type="spellStart"/>
      <w:r w:rsidR="00DE70D3">
        <w:t>romiplostim</w:t>
      </w:r>
      <w:proofErr w:type="spellEnd"/>
      <w:r w:rsidR="00DE70D3">
        <w:t xml:space="preserve"> or </w:t>
      </w:r>
      <w:proofErr w:type="spellStart"/>
      <w:r w:rsidR="00DE70D3">
        <w:t>eltrombopag</w:t>
      </w:r>
      <w:proofErr w:type="spellEnd"/>
      <w:r w:rsidR="003D72B5">
        <w:t xml:space="preserve"> in the first year of listing (between 1 April 2011 and 31 March 2012). </w:t>
      </w:r>
      <w:r>
        <w:t xml:space="preserve">Patients were assumed to be continuing on treatment if their date of last supply was within three times the median time to re-supply </w:t>
      </w:r>
      <w:r w:rsidR="001A30BF">
        <w:t xml:space="preserve">(81 days) </w:t>
      </w:r>
      <w:r>
        <w:t xml:space="preserve">from the specified end-date </w:t>
      </w:r>
      <w:r w:rsidR="00942D65">
        <w:br/>
      </w:r>
      <w:r>
        <w:t>(31 December 2014). The median re-supply time for all patients was 27 days. Patients categorised as continuing were censored from the treatment length analyses.</w:t>
      </w:r>
    </w:p>
    <w:p w14:paraId="01F1B979" w14:textId="13785EC2" w:rsidR="00303EE3" w:rsidRDefault="009D0B31" w:rsidP="00330B67">
      <w:pPr>
        <w:autoSpaceDE w:val="0"/>
        <w:autoSpaceDN w:val="0"/>
        <w:adjustRightInd w:val="0"/>
        <w:spacing w:after="120"/>
      </w:pPr>
      <w:r>
        <w:lastRenderedPageBreak/>
        <w:t>Figure 2</w:t>
      </w:r>
      <w:r w:rsidR="00804968">
        <w:t xml:space="preserve"> presents a histogram of time on treatment for non-censored patients initiating on </w:t>
      </w:r>
      <w:proofErr w:type="spellStart"/>
      <w:r w:rsidR="00804968">
        <w:t>romiplostim</w:t>
      </w:r>
      <w:proofErr w:type="spellEnd"/>
      <w:r w:rsidR="00804968">
        <w:t xml:space="preserve"> or </w:t>
      </w:r>
      <w:proofErr w:type="spellStart"/>
      <w:r w:rsidR="00804968">
        <w:t>eltrombopag</w:t>
      </w:r>
      <w:proofErr w:type="spellEnd"/>
      <w:r w:rsidR="00804968">
        <w:t xml:space="preserve">. </w:t>
      </w:r>
      <w:r w:rsidR="00290285">
        <w:t>The treatment time was not normally distributed (Kolmogorov-Smirnov statistic D=0.131, p &lt; 0.01) but positively skewed relative to the fitted normal curve (shown i</w:t>
      </w:r>
      <w:r>
        <w:t>n blue</w:t>
      </w:r>
      <w:r w:rsidR="00290285">
        <w:t xml:space="preserve">). The kernel density estimates (shown in </w:t>
      </w:r>
      <w:r>
        <w:t>red</w:t>
      </w:r>
      <w:r w:rsidR="00D14000">
        <w:t>)</w:t>
      </w:r>
      <w:r w:rsidR="00290285">
        <w:t xml:space="preserve"> were also skewed to the right. These distributions reflect that the majority of patients </w:t>
      </w:r>
      <w:r w:rsidR="00EF1F82">
        <w:t xml:space="preserve">(over 75%) </w:t>
      </w:r>
      <w:r w:rsidR="00290285">
        <w:t>received more than a year’s treatment with TRA therapy</w:t>
      </w:r>
      <w:r w:rsidR="003C0066">
        <w:t xml:space="preserve"> with a mean treatment time of 461 days (1.3 years). </w:t>
      </w:r>
    </w:p>
    <w:p w14:paraId="465AEE5C" w14:textId="474D19C5" w:rsidR="00290285" w:rsidRPr="00F562CE" w:rsidRDefault="00417272" w:rsidP="00F562CE">
      <w:r>
        <w:rPr>
          <w:noProof/>
        </w:rPr>
        <w:drawing>
          <wp:inline distT="0" distB="0" distL="0" distR="0" wp14:anchorId="4882777E" wp14:editId="50A342C8">
            <wp:extent cx="4600575" cy="3450431"/>
            <wp:effectExtent l="0" t="0" r="0" b="0"/>
            <wp:docPr id="7" name="Picture 7" descr="Image of a histogram showing the time of TRA therapy in the first year of listing" title="Histogram of time on TRA treatment in the first year of lis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0.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601602" cy="3451202"/>
                    </a:xfrm>
                    <a:prstGeom prst="rect">
                      <a:avLst/>
                    </a:prstGeom>
                    <a:noFill/>
                    <a:ln>
                      <a:noFill/>
                    </a:ln>
                  </pic:spPr>
                </pic:pic>
              </a:graphicData>
            </a:graphic>
          </wp:inline>
        </w:drawing>
      </w:r>
      <w:r w:rsidR="00F562CE">
        <w:br/>
      </w:r>
      <w:r w:rsidR="00303EE3" w:rsidRPr="00F562CE">
        <w:rPr>
          <w:rStyle w:val="FiguretitleChar"/>
          <w:rFonts w:asciiTheme="minorHAnsi" w:hAnsiTheme="minorHAnsi"/>
        </w:rPr>
        <w:t xml:space="preserve">Figure </w:t>
      </w:r>
      <w:r w:rsidR="00B640E1" w:rsidRPr="00F562CE">
        <w:rPr>
          <w:rStyle w:val="FiguretitleChar"/>
          <w:rFonts w:asciiTheme="minorHAnsi" w:hAnsiTheme="minorHAnsi"/>
        </w:rPr>
        <w:t>2</w:t>
      </w:r>
      <w:r w:rsidR="00303EE3" w:rsidRPr="00F562CE">
        <w:rPr>
          <w:rStyle w:val="FiguretitleChar"/>
          <w:rFonts w:asciiTheme="minorHAnsi" w:hAnsiTheme="minorHAnsi"/>
        </w:rPr>
        <w:t xml:space="preserve">: Histogram of time on treatment for </w:t>
      </w:r>
      <w:r w:rsidR="003327E9" w:rsidRPr="00F562CE">
        <w:rPr>
          <w:rStyle w:val="FiguretitleChar"/>
          <w:rFonts w:asciiTheme="minorHAnsi" w:hAnsiTheme="minorHAnsi"/>
        </w:rPr>
        <w:t xml:space="preserve">all </w:t>
      </w:r>
      <w:r w:rsidR="00303EE3" w:rsidRPr="00F562CE">
        <w:rPr>
          <w:rStyle w:val="FiguretitleChar"/>
          <w:rFonts w:asciiTheme="minorHAnsi" w:hAnsiTheme="minorHAnsi"/>
        </w:rPr>
        <w:t xml:space="preserve">patients initiating on </w:t>
      </w:r>
      <w:r w:rsidR="00F85EAC" w:rsidRPr="00F562CE">
        <w:rPr>
          <w:rStyle w:val="FiguretitleChar"/>
          <w:rFonts w:asciiTheme="minorHAnsi" w:hAnsiTheme="minorHAnsi"/>
        </w:rPr>
        <w:t xml:space="preserve">TRA therapy </w:t>
      </w:r>
      <w:r w:rsidR="00303EE3" w:rsidRPr="00F562CE">
        <w:rPr>
          <w:rStyle w:val="FiguretitleChar"/>
          <w:rFonts w:asciiTheme="minorHAnsi" w:hAnsiTheme="minorHAnsi"/>
        </w:rPr>
        <w:t>in the first year of</w:t>
      </w:r>
      <w:r w:rsidR="00F562CE" w:rsidRPr="00F562CE">
        <w:rPr>
          <w:rStyle w:val="FiguretitleChar"/>
          <w:rFonts w:asciiTheme="minorHAnsi" w:hAnsiTheme="minorHAnsi"/>
        </w:rPr>
        <w:t xml:space="preserve"> listing (Apr 2011 to Mar 2012</w:t>
      </w:r>
      <w:r w:rsidR="00D570EB" w:rsidRPr="00F562CE">
        <w:rPr>
          <w:rStyle w:val="FiguretitleChar"/>
          <w:rFonts w:asciiTheme="minorHAnsi" w:hAnsiTheme="minorHAnsi"/>
        </w:rPr>
        <w:t xml:space="preserve">) </w:t>
      </w:r>
      <w:r w:rsidR="00F562CE">
        <w:br/>
      </w:r>
      <w:r w:rsidR="002110E0" w:rsidRPr="00F562CE">
        <w:rPr>
          <w:rStyle w:val="FigurecaptionChar"/>
        </w:rPr>
        <w:t>Blue</w:t>
      </w:r>
      <w:r w:rsidR="00303EE3" w:rsidRPr="00F562CE">
        <w:rPr>
          <w:rStyle w:val="FigurecaptionChar"/>
        </w:rPr>
        <w:t xml:space="preserve"> line = Normal curv</w:t>
      </w:r>
      <w:r w:rsidR="002110E0" w:rsidRPr="00F562CE">
        <w:rPr>
          <w:rStyle w:val="FigurecaptionChar"/>
        </w:rPr>
        <w:t>e fitted to the histogram. Red</w:t>
      </w:r>
      <w:r w:rsidR="00303EE3" w:rsidRPr="00F562CE">
        <w:rPr>
          <w:rStyle w:val="FigurecaptionChar"/>
        </w:rPr>
        <w:t xml:space="preserve"> line = Fitted kernel density estimates.</w:t>
      </w:r>
    </w:p>
    <w:p w14:paraId="6571658A" w14:textId="4B0803DA" w:rsidR="00303EE3" w:rsidRDefault="00290285" w:rsidP="00F562CE">
      <w:pPr>
        <w:pStyle w:val="Figurecaption"/>
      </w:pPr>
      <w:r>
        <w:t>Note: The depressed histogram bar at 365 days and associated drop in the kernel density estimates indicates that this lower frequency at 365 days is not an artefact of sampling variation or binning.</w:t>
      </w:r>
      <w:r w:rsidR="00303EE3">
        <w:rPr>
          <w:b/>
          <w:bCs/>
        </w:rPr>
        <w:br/>
      </w:r>
      <w:r w:rsidR="00303EE3">
        <w:t xml:space="preserve">Source: </w:t>
      </w:r>
      <w:r w:rsidR="00303EE3" w:rsidRPr="00B609F8">
        <w:rPr>
          <w:rFonts w:eastAsia="Calibri"/>
        </w:rPr>
        <w:t>PBS S</w:t>
      </w:r>
      <w:r w:rsidR="00303EE3">
        <w:rPr>
          <w:rFonts w:eastAsia="Calibri"/>
        </w:rPr>
        <w:t xml:space="preserve">upplied Prescriptions Database, </w:t>
      </w:r>
      <w:r w:rsidR="00303EE3" w:rsidRPr="00B609F8">
        <w:rPr>
          <w:rFonts w:eastAsia="Calibri"/>
        </w:rPr>
        <w:t xml:space="preserve">DHS, extracted </w:t>
      </w:r>
      <w:r w:rsidR="00303EE3">
        <w:rPr>
          <w:rFonts w:eastAsia="Calibri"/>
        </w:rPr>
        <w:t>March 2015</w:t>
      </w:r>
      <w:r w:rsidR="00303EE3" w:rsidRPr="00B609F8">
        <w:rPr>
          <w:rFonts w:eastAsia="Calibri"/>
        </w:rPr>
        <w:t xml:space="preserve"> (actual)</w:t>
      </w:r>
    </w:p>
    <w:p w14:paraId="60DC3BB3" w14:textId="77777777" w:rsidR="00C65B68" w:rsidRDefault="00C65B68" w:rsidP="00C65B68">
      <w:pPr>
        <w:spacing w:after="0"/>
      </w:pPr>
    </w:p>
    <w:p w14:paraId="06E6A6AC" w14:textId="2EBEC92D" w:rsidR="00AB1C81" w:rsidRDefault="00AB1C81" w:rsidP="002220CE">
      <w:r>
        <w:t>The assumption for discontinuation of TRA therapy was tested in a sensitivity analysis by extending the time from 81 to 160 days. An additional three patients were censored and there was only a minor impact to the mean time on treatment (1.2 years compared to 1.3 years).</w:t>
      </w:r>
    </w:p>
    <w:p w14:paraId="5100844B" w14:textId="288B7B71" w:rsidR="00C9761F" w:rsidRDefault="00563909" w:rsidP="002220CE">
      <w:r>
        <w:t xml:space="preserve">The </w:t>
      </w:r>
      <w:r w:rsidR="001741A2">
        <w:t xml:space="preserve">persistence </w:t>
      </w:r>
      <w:r w:rsidR="0003382F">
        <w:t xml:space="preserve">on </w:t>
      </w:r>
      <w:proofErr w:type="spellStart"/>
      <w:r w:rsidR="0003382F">
        <w:t>romiplostim</w:t>
      </w:r>
      <w:proofErr w:type="spellEnd"/>
      <w:r w:rsidR="0003382F">
        <w:t xml:space="preserve"> and </w:t>
      </w:r>
      <w:proofErr w:type="spellStart"/>
      <w:r w:rsidR="0003382F">
        <w:t>eltrombopag</w:t>
      </w:r>
      <w:proofErr w:type="spellEnd"/>
      <w:r w:rsidR="0003382F">
        <w:t xml:space="preserve"> is depicted in the </w:t>
      </w:r>
      <w:r>
        <w:t>Kaplan-M</w:t>
      </w:r>
      <w:r w:rsidR="00487181">
        <w:t xml:space="preserve">eier curve </w:t>
      </w:r>
      <w:r w:rsidR="0003382F">
        <w:t xml:space="preserve">shown </w:t>
      </w:r>
      <w:r w:rsidR="00A05854">
        <w:t>in Figure 3</w:t>
      </w:r>
      <w:r w:rsidR="0003382F">
        <w:t>.</w:t>
      </w:r>
      <w:r>
        <w:t xml:space="preserve"> </w:t>
      </w:r>
      <w:r w:rsidR="00D01DBF">
        <w:t xml:space="preserve">The </w:t>
      </w:r>
      <w:r w:rsidR="00CA569E">
        <w:t xml:space="preserve">mean </w:t>
      </w:r>
      <w:r w:rsidR="00D01DBF">
        <w:t xml:space="preserve">time on treatment was </w:t>
      </w:r>
      <w:r w:rsidR="00CA569E">
        <w:t>403</w:t>
      </w:r>
      <w:r w:rsidR="00B608F2">
        <w:t xml:space="preserve"> days (1</w:t>
      </w:r>
      <w:r w:rsidR="00CA569E">
        <w:t>.1</w:t>
      </w:r>
      <w:r w:rsidR="00B608F2">
        <w:t xml:space="preserve"> year</w:t>
      </w:r>
      <w:r w:rsidR="00CA569E">
        <w:t>s</w:t>
      </w:r>
      <w:r w:rsidR="00B608F2">
        <w:t xml:space="preserve">) for </w:t>
      </w:r>
      <w:proofErr w:type="spellStart"/>
      <w:r w:rsidR="00B608F2">
        <w:t>romiplostim</w:t>
      </w:r>
      <w:proofErr w:type="spellEnd"/>
      <w:r w:rsidR="00B608F2">
        <w:t xml:space="preserve"> and </w:t>
      </w:r>
      <w:r w:rsidR="00CA569E">
        <w:t>545 days (1.5</w:t>
      </w:r>
      <w:r w:rsidR="00B608F2">
        <w:t xml:space="preserve"> years) for </w:t>
      </w:r>
      <w:proofErr w:type="spellStart"/>
      <w:r w:rsidR="00B608F2">
        <w:t>eltrombopag</w:t>
      </w:r>
      <w:proofErr w:type="spellEnd"/>
      <w:r w:rsidR="00B608F2">
        <w:t xml:space="preserve">. </w:t>
      </w:r>
      <w:r w:rsidR="0032165E">
        <w:t>Referring to the number of at risk patients dis</w:t>
      </w:r>
      <w:r w:rsidR="008D34E1">
        <w:t>played at the bottom of Figure 3</w:t>
      </w:r>
      <w:r w:rsidR="001C0D95">
        <w:t>,</w:t>
      </w:r>
      <w:r w:rsidR="00B608F2">
        <w:t xml:space="preserve"> </w:t>
      </w:r>
      <w:r w:rsidR="00A15888">
        <w:t>by the end of the first</w:t>
      </w:r>
      <w:r w:rsidR="00C64C49">
        <w:t xml:space="preserve"> year 25% of patients had discontinued </w:t>
      </w:r>
      <w:proofErr w:type="spellStart"/>
      <w:r w:rsidR="00C64C49">
        <w:t>romiplostim</w:t>
      </w:r>
      <w:proofErr w:type="spellEnd"/>
      <w:r w:rsidR="00C64C49">
        <w:t>. At the en</w:t>
      </w:r>
      <w:r w:rsidR="00561E20">
        <w:t>d of the second and third year</w:t>
      </w:r>
      <w:r w:rsidR="00C64C49">
        <w:t xml:space="preserve"> the proportions of discontinuing patients were 40% and 55%.</w:t>
      </w:r>
      <w:r w:rsidR="008B364B">
        <w:t xml:space="preserve"> As </w:t>
      </w:r>
      <w:proofErr w:type="spellStart"/>
      <w:r w:rsidR="008B364B">
        <w:t>eltrombopag</w:t>
      </w:r>
      <w:proofErr w:type="spellEnd"/>
      <w:r w:rsidR="008B364B">
        <w:t xml:space="preserve"> listed on a later date to </w:t>
      </w:r>
      <w:proofErr w:type="spellStart"/>
      <w:r w:rsidR="008B364B">
        <w:t>romiplostim</w:t>
      </w:r>
      <w:proofErr w:type="spellEnd"/>
      <w:r w:rsidR="008B364B">
        <w:t xml:space="preserve"> there are less patients (n=37) in the initial cohort. The discontinuation rates for </w:t>
      </w:r>
      <w:proofErr w:type="spellStart"/>
      <w:r w:rsidR="008B364B">
        <w:lastRenderedPageBreak/>
        <w:t>eltrombopag</w:t>
      </w:r>
      <w:proofErr w:type="spellEnd"/>
      <w:r w:rsidR="008B364B">
        <w:t xml:space="preserve"> were similar to </w:t>
      </w:r>
      <w:proofErr w:type="spellStart"/>
      <w:r w:rsidR="0003382F">
        <w:t>romiplostim</w:t>
      </w:r>
      <w:proofErr w:type="spellEnd"/>
      <w:r w:rsidR="0003382F">
        <w:t xml:space="preserve"> at the end of year</w:t>
      </w:r>
      <w:r w:rsidR="008B364B">
        <w:t xml:space="preserve"> 1 and 2 (19% and 35%, respectively) but higher at the end of year 3 (78%) due to the small sample size.</w:t>
      </w:r>
    </w:p>
    <w:p w14:paraId="2D540F39" w14:textId="744AFDE0" w:rsidR="001D59F2" w:rsidRDefault="001D59F2" w:rsidP="00A72306">
      <w:r>
        <w:rPr>
          <w:noProof/>
        </w:rPr>
        <w:drawing>
          <wp:inline distT="0" distB="0" distL="0" distR="0" wp14:anchorId="03441CEB" wp14:editId="77AC51F1">
            <wp:extent cx="5687695" cy="4265771"/>
            <wp:effectExtent l="0" t="0" r="8255" b="1905"/>
            <wp:docPr id="2" name="Picture 2" descr="Image of a Kaplan-Meier plot of time on TRA therapy" title="Kaplan-Meier plot of time on TRA thera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0.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687695" cy="4265771"/>
                    </a:xfrm>
                    <a:prstGeom prst="rect">
                      <a:avLst/>
                    </a:prstGeom>
                    <a:noFill/>
                    <a:ln>
                      <a:noFill/>
                    </a:ln>
                  </pic:spPr>
                </pic:pic>
              </a:graphicData>
            </a:graphic>
          </wp:inline>
        </w:drawing>
      </w:r>
      <w:r w:rsidR="003A2287" w:rsidRPr="004A11F0">
        <w:rPr>
          <w:rFonts w:cs="Arial"/>
          <w:b/>
        </w:rPr>
        <w:t xml:space="preserve">Figure </w:t>
      </w:r>
      <w:r w:rsidR="00A05854">
        <w:rPr>
          <w:rFonts w:cs="Arial"/>
          <w:b/>
        </w:rPr>
        <w:t>3</w:t>
      </w:r>
      <w:r w:rsidR="003A2287">
        <w:rPr>
          <w:rFonts w:cs="Arial"/>
          <w:b/>
        </w:rPr>
        <w:t xml:space="preserve">: </w:t>
      </w:r>
      <w:r w:rsidR="00E91704">
        <w:rPr>
          <w:rFonts w:cs="Arial"/>
          <w:b/>
          <w:bCs/>
        </w:rPr>
        <w:t>Kaplan-M</w:t>
      </w:r>
      <w:r w:rsidR="003A2287">
        <w:rPr>
          <w:rFonts w:cs="Arial"/>
          <w:b/>
          <w:bCs/>
        </w:rPr>
        <w:t xml:space="preserve">eier curves and the number of patients at risk at the beginning of each year for </w:t>
      </w:r>
      <w:proofErr w:type="spellStart"/>
      <w:r w:rsidR="003A2287">
        <w:rPr>
          <w:rFonts w:cs="Arial"/>
          <w:b/>
          <w:bCs/>
        </w:rPr>
        <w:t>romiplostim</w:t>
      </w:r>
      <w:proofErr w:type="spellEnd"/>
      <w:r w:rsidR="003A2287">
        <w:rPr>
          <w:rFonts w:cs="Arial"/>
          <w:b/>
          <w:bCs/>
        </w:rPr>
        <w:t xml:space="preserve"> and </w:t>
      </w:r>
      <w:proofErr w:type="spellStart"/>
      <w:r w:rsidR="003A2287">
        <w:rPr>
          <w:rFonts w:cs="Arial"/>
          <w:b/>
          <w:bCs/>
        </w:rPr>
        <w:t>eltrombopag</w:t>
      </w:r>
      <w:proofErr w:type="spellEnd"/>
      <w:r w:rsidR="003A2287">
        <w:rPr>
          <w:rFonts w:cs="Arial"/>
          <w:b/>
          <w:bCs/>
        </w:rPr>
        <w:br/>
      </w:r>
      <w:r w:rsidR="003A2287">
        <w:rPr>
          <w:rFonts w:cs="Arial"/>
          <w:sz w:val="20"/>
          <w:szCs w:val="20"/>
        </w:rPr>
        <w:t xml:space="preserve">Source: </w:t>
      </w:r>
      <w:r w:rsidR="00A541A0" w:rsidRPr="00B609F8">
        <w:rPr>
          <w:rFonts w:eastAsia="Calibri" w:cs="Arial"/>
          <w:sz w:val="20"/>
          <w:szCs w:val="20"/>
        </w:rPr>
        <w:t>PBS S</w:t>
      </w:r>
      <w:r w:rsidR="00A541A0">
        <w:rPr>
          <w:rFonts w:eastAsia="Calibri" w:cs="Arial"/>
          <w:sz w:val="20"/>
          <w:szCs w:val="20"/>
        </w:rPr>
        <w:t xml:space="preserve">upplied Prescriptions Database, </w:t>
      </w:r>
      <w:r w:rsidR="00A541A0" w:rsidRPr="00B609F8">
        <w:rPr>
          <w:rFonts w:eastAsia="Calibri" w:cs="Arial"/>
          <w:sz w:val="20"/>
          <w:szCs w:val="20"/>
        </w:rPr>
        <w:t xml:space="preserve">DHS, extracted </w:t>
      </w:r>
      <w:r w:rsidR="00A541A0">
        <w:rPr>
          <w:rFonts w:eastAsia="Calibri" w:cs="Arial"/>
          <w:sz w:val="20"/>
          <w:szCs w:val="20"/>
        </w:rPr>
        <w:t>March 2015</w:t>
      </w:r>
      <w:r w:rsidR="00A541A0" w:rsidRPr="00B609F8">
        <w:rPr>
          <w:rFonts w:eastAsia="Calibri" w:cs="Arial"/>
          <w:sz w:val="20"/>
          <w:szCs w:val="20"/>
        </w:rPr>
        <w:t xml:space="preserve"> (actual)</w:t>
      </w:r>
    </w:p>
    <w:p w14:paraId="1A4AA0A3" w14:textId="4DBF02FF" w:rsidR="00001D02" w:rsidRDefault="001C4524" w:rsidP="00A72306">
      <w:r>
        <w:t xml:space="preserve">Patients are permitted to switch between </w:t>
      </w:r>
      <w:proofErr w:type="spellStart"/>
      <w:r>
        <w:t>romiplostim</w:t>
      </w:r>
      <w:proofErr w:type="spellEnd"/>
      <w:r>
        <w:t xml:space="preserve"> and </w:t>
      </w:r>
      <w:proofErr w:type="spellStart"/>
      <w:r>
        <w:t>eltrom</w:t>
      </w:r>
      <w:r w:rsidR="00536512">
        <w:t>bopag</w:t>
      </w:r>
      <w:proofErr w:type="spellEnd"/>
      <w:r w:rsidR="00C85028">
        <w:t xml:space="preserve"> during the first 24 weeks of treatment</w:t>
      </w:r>
      <w:r w:rsidR="00536512">
        <w:t xml:space="preserve">. A further analysis was conducted </w:t>
      </w:r>
      <w:r w:rsidR="00CB0DEE">
        <w:t xml:space="preserve">on patients initiating treatment in the first year of listing who switched therapy </w:t>
      </w:r>
      <w:r w:rsidR="00536512">
        <w:t xml:space="preserve">to assess </w:t>
      </w:r>
      <w:r w:rsidR="00CB0DEE">
        <w:t>if switching had an impact on the</w:t>
      </w:r>
      <w:r w:rsidR="00536512">
        <w:t xml:space="preserve"> time to discontinuation from treatment.</w:t>
      </w:r>
      <w:r w:rsidR="00D44844">
        <w:t xml:space="preserve"> </w:t>
      </w:r>
      <w:r w:rsidR="00FE5BC9">
        <w:t>Sixty of the 147</w:t>
      </w:r>
      <w:r w:rsidR="00352AB0">
        <w:t xml:space="preserve"> </w:t>
      </w:r>
      <w:r w:rsidR="00FE5BC9">
        <w:t>patients initiating TRA therapy in the first listing year switched their therapy</w:t>
      </w:r>
      <w:r w:rsidR="00AE28D5">
        <w:rPr>
          <w:rStyle w:val="FootnoteReference"/>
        </w:rPr>
        <w:footnoteReference w:id="2"/>
      </w:r>
      <w:r w:rsidR="00FE5BC9">
        <w:t xml:space="preserve">. </w:t>
      </w:r>
      <w:r w:rsidR="002F3426">
        <w:t xml:space="preserve"> </w:t>
      </w:r>
      <w:r w:rsidR="00FE5BC9">
        <w:t>Thirty five</w:t>
      </w:r>
      <w:r w:rsidR="009B2077">
        <w:t xml:space="preserve"> patients switched from </w:t>
      </w:r>
      <w:proofErr w:type="spellStart"/>
      <w:r w:rsidR="009B2077">
        <w:t>e</w:t>
      </w:r>
      <w:r w:rsidR="005F64F5">
        <w:t>ltrombopag</w:t>
      </w:r>
      <w:proofErr w:type="spellEnd"/>
      <w:r w:rsidR="005F64F5">
        <w:t xml:space="preserve"> to </w:t>
      </w:r>
      <w:proofErr w:type="spellStart"/>
      <w:r w:rsidR="005F64F5">
        <w:t>romiplostim</w:t>
      </w:r>
      <w:proofErr w:type="spellEnd"/>
      <w:r w:rsidR="005F64F5">
        <w:t xml:space="preserve"> and 25</w:t>
      </w:r>
      <w:r w:rsidR="009B2077">
        <w:t xml:space="preserve"> patients initiating on </w:t>
      </w:r>
      <w:proofErr w:type="spellStart"/>
      <w:r w:rsidR="009B2077">
        <w:t>romiplostim</w:t>
      </w:r>
      <w:proofErr w:type="spellEnd"/>
      <w:r w:rsidR="009B2077">
        <w:t xml:space="preserve"> changed to </w:t>
      </w:r>
      <w:proofErr w:type="spellStart"/>
      <w:r w:rsidR="009B2077">
        <w:t>eltrombopag</w:t>
      </w:r>
      <w:proofErr w:type="spellEnd"/>
      <w:r w:rsidR="009B2077">
        <w:t>.</w:t>
      </w:r>
      <w:r w:rsidR="004468CC">
        <w:t xml:space="preserve"> </w:t>
      </w:r>
      <w:r w:rsidR="00E228DD">
        <w:t xml:space="preserve">A histogram of </w:t>
      </w:r>
      <w:r w:rsidR="00971DF0">
        <w:t xml:space="preserve">the time on </w:t>
      </w:r>
      <w:r w:rsidR="00E228DD">
        <w:t>TRA therapy for switching p</w:t>
      </w:r>
      <w:r w:rsidR="00BF4880">
        <w:t>a</w:t>
      </w:r>
      <w:r w:rsidR="00B44F05">
        <w:t>tients is presented in Figure 4</w:t>
      </w:r>
      <w:r w:rsidR="00E228DD">
        <w:t>. Patients identified as continuers</w:t>
      </w:r>
      <w:r w:rsidR="004A066F">
        <w:rPr>
          <w:rStyle w:val="FootnoteReference"/>
        </w:rPr>
        <w:footnoteReference w:id="3"/>
      </w:r>
      <w:r w:rsidR="00E228DD">
        <w:t xml:space="preserve"> (n=30) were excluded from this analysis.</w:t>
      </w:r>
    </w:p>
    <w:p w14:paraId="6B209890" w14:textId="240AC885" w:rsidR="00C038DE" w:rsidRDefault="00765A80" w:rsidP="00F562CE">
      <w:r>
        <w:rPr>
          <w:noProof/>
        </w:rPr>
        <w:lastRenderedPageBreak/>
        <w:drawing>
          <wp:inline distT="0" distB="0" distL="0" distR="0" wp14:anchorId="4EF19ED8" wp14:editId="4E3E1A0C">
            <wp:extent cx="5054600" cy="3790950"/>
            <wp:effectExtent l="0" t="0" r="0" b="0"/>
            <wp:docPr id="6" name="Picture 6" descr="Image of a histrogram of time on TRA therapy for patients who switch treatment" title="Histogram of time on TRA therapy for patients who switch trea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0.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055729" cy="3791797"/>
                    </a:xfrm>
                    <a:prstGeom prst="rect">
                      <a:avLst/>
                    </a:prstGeom>
                    <a:noFill/>
                    <a:ln>
                      <a:noFill/>
                    </a:ln>
                  </pic:spPr>
                </pic:pic>
              </a:graphicData>
            </a:graphic>
          </wp:inline>
        </w:drawing>
      </w:r>
      <w:r w:rsidR="00F562CE">
        <w:br/>
      </w:r>
      <w:r w:rsidRPr="004A11F0">
        <w:rPr>
          <w:rFonts w:cs="Arial"/>
          <w:b/>
        </w:rPr>
        <w:t xml:space="preserve">Figure </w:t>
      </w:r>
      <w:r w:rsidR="00B44F05">
        <w:rPr>
          <w:rFonts w:cs="Arial"/>
          <w:b/>
        </w:rPr>
        <w:t>4</w:t>
      </w:r>
      <w:r>
        <w:rPr>
          <w:rFonts w:cs="Arial"/>
          <w:b/>
        </w:rPr>
        <w:t xml:space="preserve">: </w:t>
      </w:r>
      <w:r>
        <w:rPr>
          <w:rFonts w:cs="Arial"/>
          <w:b/>
          <w:bCs/>
        </w:rPr>
        <w:t>Histogr</w:t>
      </w:r>
      <w:r w:rsidR="00B30F94">
        <w:rPr>
          <w:rFonts w:cs="Arial"/>
          <w:b/>
          <w:bCs/>
        </w:rPr>
        <w:t xml:space="preserve">am of time on treatment for </w:t>
      </w:r>
      <w:r>
        <w:rPr>
          <w:rFonts w:cs="Arial"/>
          <w:b/>
          <w:bCs/>
        </w:rPr>
        <w:t xml:space="preserve">patients initiating on TRA therapy in the first year of listing </w:t>
      </w:r>
      <w:r w:rsidR="00B30F94">
        <w:rPr>
          <w:rFonts w:cs="Arial"/>
          <w:b/>
          <w:bCs/>
        </w:rPr>
        <w:t xml:space="preserve">(Apr 2011 to Mar 2012) who switched their treatment </w:t>
      </w:r>
      <w:r w:rsidR="00F562CE">
        <w:br/>
      </w:r>
      <w:r w:rsidR="00886FA0">
        <w:rPr>
          <w:rFonts w:cs="Arial"/>
          <w:sz w:val="20"/>
          <w:szCs w:val="20"/>
        </w:rPr>
        <w:t>Blue</w:t>
      </w:r>
      <w:r>
        <w:rPr>
          <w:rFonts w:cs="Arial"/>
          <w:sz w:val="20"/>
          <w:szCs w:val="20"/>
        </w:rPr>
        <w:t xml:space="preserve"> line = Normal curv</w:t>
      </w:r>
      <w:r w:rsidR="002F46BC">
        <w:rPr>
          <w:rFonts w:cs="Arial"/>
          <w:sz w:val="20"/>
          <w:szCs w:val="20"/>
        </w:rPr>
        <w:t xml:space="preserve">e fitted to the histogram. </w:t>
      </w:r>
      <w:r w:rsidR="00886FA0">
        <w:rPr>
          <w:rFonts w:cs="Arial"/>
          <w:sz w:val="20"/>
          <w:szCs w:val="20"/>
        </w:rPr>
        <w:t>Red</w:t>
      </w:r>
      <w:r>
        <w:rPr>
          <w:rFonts w:cs="Arial"/>
          <w:sz w:val="20"/>
          <w:szCs w:val="20"/>
        </w:rPr>
        <w:t xml:space="preserve"> line = Fitted kernel density estimates.</w:t>
      </w:r>
      <w:r>
        <w:rPr>
          <w:rFonts w:cs="Arial"/>
          <w:b/>
          <w:bCs/>
        </w:rPr>
        <w:br/>
      </w:r>
      <w:r>
        <w:rPr>
          <w:rFonts w:cs="Arial"/>
          <w:sz w:val="20"/>
          <w:szCs w:val="20"/>
        </w:rPr>
        <w:t xml:space="preserve">Source: </w:t>
      </w:r>
      <w:r w:rsidRPr="00B609F8">
        <w:rPr>
          <w:rFonts w:eastAsia="Calibri" w:cs="Arial"/>
          <w:sz w:val="20"/>
          <w:szCs w:val="20"/>
        </w:rPr>
        <w:t>PBS S</w:t>
      </w:r>
      <w:r>
        <w:rPr>
          <w:rFonts w:eastAsia="Calibri" w:cs="Arial"/>
          <w:sz w:val="20"/>
          <w:szCs w:val="20"/>
        </w:rPr>
        <w:t xml:space="preserve">upplied Prescriptions Database, </w:t>
      </w:r>
      <w:r w:rsidRPr="00B609F8">
        <w:rPr>
          <w:rFonts w:eastAsia="Calibri" w:cs="Arial"/>
          <w:sz w:val="20"/>
          <w:szCs w:val="20"/>
        </w:rPr>
        <w:t xml:space="preserve">DHS, extracted </w:t>
      </w:r>
      <w:r>
        <w:rPr>
          <w:rFonts w:eastAsia="Calibri" w:cs="Arial"/>
          <w:sz w:val="20"/>
          <w:szCs w:val="20"/>
        </w:rPr>
        <w:t>March 2015</w:t>
      </w:r>
      <w:r w:rsidRPr="00B609F8">
        <w:rPr>
          <w:rFonts w:eastAsia="Calibri" w:cs="Arial"/>
          <w:sz w:val="20"/>
          <w:szCs w:val="20"/>
        </w:rPr>
        <w:t xml:space="preserve"> (actual)</w:t>
      </w:r>
    </w:p>
    <w:p w14:paraId="27A4CD86" w14:textId="3CA18F10" w:rsidR="001C4524" w:rsidRDefault="004468CC" w:rsidP="00A72306">
      <w:r>
        <w:t xml:space="preserve">Compared to all initiators, patients </w:t>
      </w:r>
      <w:r w:rsidR="00174380">
        <w:t xml:space="preserve">who switched treatment </w:t>
      </w:r>
      <w:r w:rsidR="000C412F">
        <w:t xml:space="preserve">had a slightly longer mean time on TRA therapy </w:t>
      </w:r>
      <w:r w:rsidR="00997A30">
        <w:t>(</w:t>
      </w:r>
      <w:r w:rsidR="00174380">
        <w:t>1.5 years (</w:t>
      </w:r>
      <w:r w:rsidR="00997A30">
        <w:t>544 days</w:t>
      </w:r>
      <w:r w:rsidR="00174380">
        <w:t>)</w:t>
      </w:r>
      <w:r w:rsidR="00997A30">
        <w:t xml:space="preserve"> vs. </w:t>
      </w:r>
      <w:r w:rsidR="00174380">
        <w:t>1.3 years (</w:t>
      </w:r>
      <w:r w:rsidR="00997A30">
        <w:t>461 days</w:t>
      </w:r>
      <w:r w:rsidR="00174380">
        <w:t>)</w:t>
      </w:r>
      <w:r w:rsidR="00E843CC">
        <w:t>, Figures 2 and 4</w:t>
      </w:r>
      <w:r w:rsidR="00997A30">
        <w:t>)</w:t>
      </w:r>
      <w:r>
        <w:t xml:space="preserve">. </w:t>
      </w:r>
      <w:r w:rsidR="007401A8">
        <w:t xml:space="preserve">Patients switching from </w:t>
      </w:r>
      <w:proofErr w:type="spellStart"/>
      <w:r w:rsidR="007401A8">
        <w:t>eltrombopag</w:t>
      </w:r>
      <w:proofErr w:type="spellEnd"/>
      <w:r w:rsidR="007401A8">
        <w:t xml:space="preserve"> to </w:t>
      </w:r>
      <w:proofErr w:type="spellStart"/>
      <w:r w:rsidR="007401A8">
        <w:t>romiplostim</w:t>
      </w:r>
      <w:proofErr w:type="spellEnd"/>
      <w:r w:rsidR="007401A8">
        <w:t xml:space="preserve"> </w:t>
      </w:r>
      <w:r w:rsidR="00644107">
        <w:t xml:space="preserve">(n=14) </w:t>
      </w:r>
      <w:r w:rsidR="007401A8">
        <w:t xml:space="preserve">had a longer mean time on treatment than patients who switched from </w:t>
      </w:r>
      <w:proofErr w:type="spellStart"/>
      <w:r w:rsidR="007401A8">
        <w:t>romiplost</w:t>
      </w:r>
      <w:r w:rsidR="00644107">
        <w:t>im</w:t>
      </w:r>
      <w:proofErr w:type="spellEnd"/>
      <w:r w:rsidR="00644107">
        <w:t xml:space="preserve"> (n=16), (1.9</w:t>
      </w:r>
      <w:r w:rsidR="007401A8">
        <w:t xml:space="preserve"> years vs. 1.2 years, respectively). </w:t>
      </w:r>
    </w:p>
    <w:p w14:paraId="626D94E2" w14:textId="3070BAA8" w:rsidR="003E6C7E" w:rsidRDefault="00A53E07" w:rsidP="00A72306">
      <w:r>
        <w:t>Referring to the at risk numbers shown in the Kaplan-Meier curves fo</w:t>
      </w:r>
      <w:r w:rsidR="0004172F">
        <w:t>r switching patients in Figure 5</w:t>
      </w:r>
      <w:r>
        <w:t xml:space="preserve">, </w:t>
      </w:r>
      <w:r w:rsidR="0004172F">
        <w:t xml:space="preserve">by the end of the first </w:t>
      </w:r>
      <w:r>
        <w:t xml:space="preserve">year a larger proportion of patients who switched from </w:t>
      </w:r>
      <w:proofErr w:type="spellStart"/>
      <w:r>
        <w:t>romiplostim</w:t>
      </w:r>
      <w:proofErr w:type="spellEnd"/>
      <w:r>
        <w:t xml:space="preserve"> discontinued TRA therapy compared to those who switched from </w:t>
      </w:r>
      <w:proofErr w:type="spellStart"/>
      <w:r>
        <w:t>eltrombopag</w:t>
      </w:r>
      <w:proofErr w:type="spellEnd"/>
      <w:r>
        <w:t xml:space="preserve"> to </w:t>
      </w:r>
      <w:proofErr w:type="spellStart"/>
      <w:r>
        <w:t>romiplostim</w:t>
      </w:r>
      <w:proofErr w:type="spellEnd"/>
      <w:r>
        <w:t xml:space="preserve"> (24% vs. 8%, respectively). B</w:t>
      </w:r>
      <w:r w:rsidR="00BF12F1">
        <w:t xml:space="preserve">y the end of the second </w:t>
      </w:r>
      <w:r>
        <w:t xml:space="preserve">year, the discontinuation rates were similar regardless of which TRA </w:t>
      </w:r>
      <w:r w:rsidR="005B180C">
        <w:t xml:space="preserve">agent that patients switched from </w:t>
      </w:r>
      <w:r>
        <w:t>(</w:t>
      </w:r>
      <w:r w:rsidR="00FD7561">
        <w:t xml:space="preserve">31% for patients switching from </w:t>
      </w:r>
      <w:proofErr w:type="spellStart"/>
      <w:r w:rsidR="00FD7561">
        <w:t>eltrombopag</w:t>
      </w:r>
      <w:proofErr w:type="spellEnd"/>
      <w:r w:rsidR="00FD7561">
        <w:t xml:space="preserve"> vs. 32% for patients switching from </w:t>
      </w:r>
      <w:proofErr w:type="spellStart"/>
      <w:r w:rsidR="00FD7561">
        <w:t>romiplostim</w:t>
      </w:r>
      <w:proofErr w:type="spellEnd"/>
      <w:r w:rsidR="00FD7561">
        <w:t xml:space="preserve">). </w:t>
      </w:r>
      <w:r w:rsidR="00317959">
        <w:t xml:space="preserve">Only a few patients remained </w:t>
      </w:r>
      <w:r w:rsidR="005B180C">
        <w:t xml:space="preserve">on </w:t>
      </w:r>
      <w:r w:rsidR="00BF12F1">
        <w:t>therapy at three years</w:t>
      </w:r>
      <w:r w:rsidR="005B180C">
        <w:t>.</w:t>
      </w:r>
    </w:p>
    <w:p w14:paraId="5140EEA0" w14:textId="4CBB6A3C" w:rsidR="005F64F5" w:rsidRPr="00F562CE" w:rsidRDefault="007E54D3" w:rsidP="005F64F5">
      <w:pPr>
        <w:rPr>
          <w:rFonts w:cs="Arial"/>
          <w:b/>
        </w:rPr>
      </w:pPr>
      <w:r>
        <w:rPr>
          <w:noProof/>
        </w:rPr>
        <w:lastRenderedPageBreak/>
        <w:drawing>
          <wp:inline distT="0" distB="0" distL="0" distR="0" wp14:anchorId="7C63FD1F" wp14:editId="46690446">
            <wp:extent cx="5765797" cy="4324350"/>
            <wp:effectExtent l="0" t="0" r="6985" b="0"/>
            <wp:docPr id="4" name="Picture 4" descr="Image of a Kaplan-Meier curve for time on TRA therapy for patients who switched treatment" title="Figure of Kaplan-Meier curve for time on TRA therapy in patients who switched trea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0.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78683" cy="4334014"/>
                    </a:xfrm>
                    <a:prstGeom prst="rect">
                      <a:avLst/>
                    </a:prstGeom>
                    <a:noFill/>
                    <a:ln>
                      <a:noFill/>
                    </a:ln>
                  </pic:spPr>
                </pic:pic>
              </a:graphicData>
            </a:graphic>
          </wp:inline>
        </w:drawing>
      </w:r>
      <w:r w:rsidR="005F64F5" w:rsidRPr="004A11F0">
        <w:rPr>
          <w:rFonts w:cs="Arial"/>
          <w:b/>
        </w:rPr>
        <w:t xml:space="preserve">Figure </w:t>
      </w:r>
      <w:r w:rsidR="00226CD3">
        <w:rPr>
          <w:rFonts w:cs="Arial"/>
          <w:b/>
        </w:rPr>
        <w:t>5</w:t>
      </w:r>
      <w:r w:rsidR="005F64F5">
        <w:rPr>
          <w:rFonts w:cs="Arial"/>
          <w:b/>
        </w:rPr>
        <w:t xml:space="preserve">: </w:t>
      </w:r>
      <w:r w:rsidR="00162B0D">
        <w:rPr>
          <w:rFonts w:cs="Arial"/>
          <w:b/>
          <w:bCs/>
        </w:rPr>
        <w:t>Kaplan-M</w:t>
      </w:r>
      <w:r w:rsidR="005F64F5">
        <w:rPr>
          <w:rFonts w:cs="Arial"/>
          <w:b/>
          <w:bCs/>
        </w:rPr>
        <w:t xml:space="preserve">eier curves and the number of patients at risk at the beginning of each year for </w:t>
      </w:r>
      <w:proofErr w:type="spellStart"/>
      <w:r w:rsidR="005F64F5">
        <w:rPr>
          <w:rFonts w:cs="Arial"/>
          <w:b/>
          <w:bCs/>
        </w:rPr>
        <w:t>romiplostim</w:t>
      </w:r>
      <w:proofErr w:type="spellEnd"/>
      <w:r w:rsidR="005F64F5">
        <w:rPr>
          <w:rFonts w:cs="Arial"/>
          <w:b/>
          <w:bCs/>
        </w:rPr>
        <w:t xml:space="preserve"> and </w:t>
      </w:r>
      <w:proofErr w:type="spellStart"/>
      <w:r w:rsidR="005F64F5">
        <w:rPr>
          <w:rFonts w:cs="Arial"/>
          <w:b/>
          <w:bCs/>
        </w:rPr>
        <w:t>eltrombopag</w:t>
      </w:r>
      <w:proofErr w:type="spellEnd"/>
      <w:r w:rsidR="004446C0">
        <w:rPr>
          <w:rFonts w:cs="Arial"/>
          <w:b/>
          <w:bCs/>
        </w:rPr>
        <w:t xml:space="preserve"> for patients who switched therapy</w:t>
      </w:r>
      <w:r w:rsidR="005F64F5">
        <w:rPr>
          <w:rFonts w:cs="Arial"/>
          <w:b/>
          <w:bCs/>
        </w:rPr>
        <w:br/>
      </w:r>
      <w:r w:rsidR="005F64F5">
        <w:rPr>
          <w:rFonts w:cs="Arial"/>
          <w:sz w:val="20"/>
          <w:szCs w:val="20"/>
        </w:rPr>
        <w:t xml:space="preserve">Source: </w:t>
      </w:r>
      <w:r w:rsidR="005F64F5" w:rsidRPr="00B609F8">
        <w:rPr>
          <w:rFonts w:eastAsia="Calibri" w:cs="Arial"/>
          <w:sz w:val="20"/>
          <w:szCs w:val="20"/>
        </w:rPr>
        <w:t>PBS S</w:t>
      </w:r>
      <w:r w:rsidR="005F64F5">
        <w:rPr>
          <w:rFonts w:eastAsia="Calibri" w:cs="Arial"/>
          <w:sz w:val="20"/>
          <w:szCs w:val="20"/>
        </w:rPr>
        <w:t xml:space="preserve">upplied Prescriptions Database, </w:t>
      </w:r>
      <w:r w:rsidR="005F64F5" w:rsidRPr="00B609F8">
        <w:rPr>
          <w:rFonts w:eastAsia="Calibri" w:cs="Arial"/>
          <w:sz w:val="20"/>
          <w:szCs w:val="20"/>
        </w:rPr>
        <w:t xml:space="preserve">DHS, extracted </w:t>
      </w:r>
      <w:r w:rsidR="005F64F5">
        <w:rPr>
          <w:rFonts w:eastAsia="Calibri" w:cs="Arial"/>
          <w:sz w:val="20"/>
          <w:szCs w:val="20"/>
        </w:rPr>
        <w:t>March 2015</w:t>
      </w:r>
      <w:r w:rsidR="005F64F5" w:rsidRPr="00B609F8">
        <w:rPr>
          <w:rFonts w:eastAsia="Calibri" w:cs="Arial"/>
          <w:sz w:val="20"/>
          <w:szCs w:val="20"/>
        </w:rPr>
        <w:t xml:space="preserve"> (actual)</w:t>
      </w:r>
    </w:p>
    <w:p w14:paraId="6726136A" w14:textId="5656F06C" w:rsidR="00F5714A" w:rsidRPr="00DC69DE" w:rsidRDefault="002D7EBC">
      <w:pPr>
        <w:spacing w:line="276" w:lineRule="auto"/>
      </w:pPr>
      <w:r>
        <w:t xml:space="preserve">Grandfathered patients had a longer mean time on treatment compared to all initiating patients </w:t>
      </w:r>
      <w:r w:rsidR="0014720C">
        <w:t>(1.4 years (529 days) vs. 1.3 years (461 days)</w:t>
      </w:r>
      <w:r w:rsidR="00853888">
        <w:t>, Figures 2</w:t>
      </w:r>
      <w:r w:rsidR="0014720C">
        <w:t xml:space="preserve"> and </w:t>
      </w:r>
      <w:r w:rsidR="00CF34D5">
        <w:t>6</w:t>
      </w:r>
      <w:r w:rsidR="0014720C">
        <w:t xml:space="preserve">). </w:t>
      </w:r>
    </w:p>
    <w:p w14:paraId="50CB179C" w14:textId="77777777" w:rsidR="002D7EBC" w:rsidRDefault="002D7EBC">
      <w:pPr>
        <w:spacing w:line="276" w:lineRule="auto"/>
        <w:rPr>
          <w:rFonts w:ascii="Calibri" w:hAnsi="Calibri" w:cs="Calibri"/>
          <w:b/>
          <w:color w:val="000000"/>
          <w:sz w:val="20"/>
        </w:rPr>
      </w:pPr>
    </w:p>
    <w:p w14:paraId="69451999" w14:textId="7CD88133" w:rsidR="00B1489D" w:rsidRDefault="00F5714A" w:rsidP="00F562CE">
      <w:pPr>
        <w:spacing w:line="276" w:lineRule="auto"/>
        <w:rPr>
          <w:rFonts w:ascii="Calibri" w:hAnsi="Calibri" w:cs="Calibri"/>
          <w:b/>
          <w:color w:val="000000"/>
          <w:sz w:val="20"/>
        </w:rPr>
      </w:pPr>
      <w:r>
        <w:rPr>
          <w:noProof/>
        </w:rPr>
        <w:lastRenderedPageBreak/>
        <w:drawing>
          <wp:inline distT="0" distB="0" distL="0" distR="0" wp14:anchorId="6B420896" wp14:editId="1CC691CE">
            <wp:extent cx="5400675" cy="4050504"/>
            <wp:effectExtent l="0" t="0" r="0" b="7620"/>
            <wp:docPr id="1" name="Picture 1" descr="Image of a histogram of time on TRA therapy for patients who were grandfathered to PBS treatment" title="Histogram of time on TRA therapy for patients who were grandfathered to PBS trea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0.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406181" cy="4054633"/>
                    </a:xfrm>
                    <a:prstGeom prst="rect">
                      <a:avLst/>
                    </a:prstGeom>
                    <a:noFill/>
                    <a:ln>
                      <a:noFill/>
                    </a:ln>
                  </pic:spPr>
                </pic:pic>
              </a:graphicData>
            </a:graphic>
          </wp:inline>
        </w:drawing>
      </w:r>
      <w:r w:rsidR="00B1489D" w:rsidRPr="004A11F0">
        <w:rPr>
          <w:rFonts w:cs="Arial"/>
          <w:b/>
        </w:rPr>
        <w:t xml:space="preserve">Figure </w:t>
      </w:r>
      <w:r w:rsidR="00CF34D5">
        <w:rPr>
          <w:rFonts w:cs="Arial"/>
          <w:b/>
        </w:rPr>
        <w:t>6</w:t>
      </w:r>
      <w:r w:rsidR="00B1489D">
        <w:rPr>
          <w:rFonts w:cs="Arial"/>
          <w:b/>
        </w:rPr>
        <w:t xml:space="preserve">: </w:t>
      </w:r>
      <w:r w:rsidR="00B1489D">
        <w:rPr>
          <w:rFonts w:cs="Arial"/>
          <w:b/>
          <w:bCs/>
        </w:rPr>
        <w:t>Histogram of time on treatment for patients grandfathered to TRA therapy in the first year of listing (Apr 2011 to Mar 2012).</w:t>
      </w:r>
      <w:r w:rsidR="00F562CE">
        <w:rPr>
          <w:rFonts w:ascii="Calibri" w:hAnsi="Calibri" w:cs="Calibri"/>
          <w:b/>
          <w:color w:val="000000"/>
          <w:sz w:val="20"/>
        </w:rPr>
        <w:br/>
      </w:r>
      <w:r w:rsidR="00B1489D">
        <w:rPr>
          <w:rFonts w:cs="Arial"/>
          <w:sz w:val="20"/>
          <w:szCs w:val="20"/>
        </w:rPr>
        <w:t>Blue line = Normal curve fitted to the histogram. Red line = Fitted kernel density estimates.</w:t>
      </w:r>
      <w:r w:rsidR="00B1489D">
        <w:rPr>
          <w:rFonts w:cs="Arial"/>
          <w:b/>
          <w:bCs/>
        </w:rPr>
        <w:br/>
      </w:r>
      <w:r w:rsidR="00B1489D">
        <w:rPr>
          <w:rFonts w:cs="Arial"/>
          <w:sz w:val="20"/>
          <w:szCs w:val="20"/>
        </w:rPr>
        <w:t xml:space="preserve">Source: </w:t>
      </w:r>
      <w:r w:rsidR="00B1489D" w:rsidRPr="00B609F8">
        <w:rPr>
          <w:rFonts w:eastAsia="Calibri" w:cs="Arial"/>
          <w:sz w:val="20"/>
          <w:szCs w:val="20"/>
        </w:rPr>
        <w:t>PBS S</w:t>
      </w:r>
      <w:r w:rsidR="00B1489D">
        <w:rPr>
          <w:rFonts w:eastAsia="Calibri" w:cs="Arial"/>
          <w:sz w:val="20"/>
          <w:szCs w:val="20"/>
        </w:rPr>
        <w:t xml:space="preserve">upplied Prescriptions Database, </w:t>
      </w:r>
      <w:r w:rsidR="00B1489D" w:rsidRPr="00B609F8">
        <w:rPr>
          <w:rFonts w:eastAsia="Calibri" w:cs="Arial"/>
          <w:sz w:val="20"/>
          <w:szCs w:val="20"/>
        </w:rPr>
        <w:t xml:space="preserve">DHS, extracted </w:t>
      </w:r>
      <w:r w:rsidR="00884BDF">
        <w:rPr>
          <w:rFonts w:eastAsia="Calibri" w:cs="Arial"/>
          <w:sz w:val="20"/>
          <w:szCs w:val="20"/>
        </w:rPr>
        <w:t>April</w:t>
      </w:r>
      <w:r w:rsidR="00B1489D">
        <w:rPr>
          <w:rFonts w:eastAsia="Calibri" w:cs="Arial"/>
          <w:sz w:val="20"/>
          <w:szCs w:val="20"/>
        </w:rPr>
        <w:t xml:space="preserve"> 2015</w:t>
      </w:r>
      <w:r w:rsidR="00B1489D" w:rsidRPr="00B609F8">
        <w:rPr>
          <w:rFonts w:eastAsia="Calibri" w:cs="Arial"/>
          <w:sz w:val="20"/>
          <w:szCs w:val="20"/>
        </w:rPr>
        <w:t xml:space="preserve"> (actual)</w:t>
      </w:r>
    </w:p>
    <w:p w14:paraId="0218B412" w14:textId="764763D7" w:rsidR="00F5714A" w:rsidRDefault="00D34041" w:rsidP="004D3E1A">
      <w:pPr>
        <w:spacing w:after="0" w:line="276" w:lineRule="auto"/>
      </w:pPr>
      <w:r>
        <w:t xml:space="preserve">A relatively high proportion of patients grandfathered to </w:t>
      </w:r>
      <w:proofErr w:type="spellStart"/>
      <w:r>
        <w:t>romiplostim</w:t>
      </w:r>
      <w:proofErr w:type="spellEnd"/>
      <w:r>
        <w:t xml:space="preserve"> remained on their treatment with 61% of patients still receiving tre</w:t>
      </w:r>
      <w:r w:rsidR="004D3E1A">
        <w:t>atment at three years (Figure 7</w:t>
      </w:r>
      <w:r>
        <w:t xml:space="preserve">). Of the 17 grandfathered patients supplied with </w:t>
      </w:r>
      <w:proofErr w:type="spellStart"/>
      <w:r>
        <w:t>eltrombopag</w:t>
      </w:r>
      <w:proofErr w:type="spellEnd"/>
      <w:r>
        <w:t xml:space="preserve"> in the first year of listing, only four had discon</w:t>
      </w:r>
      <w:r w:rsidR="004D3E1A">
        <w:t>tinued after two years (Figure 7</w:t>
      </w:r>
      <w:r>
        <w:t xml:space="preserve">). </w:t>
      </w:r>
    </w:p>
    <w:p w14:paraId="47934440" w14:textId="77777777" w:rsidR="004D3E1A" w:rsidRDefault="004D3E1A" w:rsidP="004D3E1A">
      <w:pPr>
        <w:spacing w:after="0" w:line="276" w:lineRule="auto"/>
        <w:rPr>
          <w:rFonts w:ascii="Calibri" w:hAnsi="Calibri" w:cs="Calibri"/>
          <w:b/>
          <w:color w:val="000000"/>
          <w:sz w:val="20"/>
        </w:rPr>
      </w:pPr>
    </w:p>
    <w:p w14:paraId="0428CE21" w14:textId="18E1846E" w:rsidR="003B17B0" w:rsidRPr="00F562CE" w:rsidRDefault="0061524F" w:rsidP="00F562CE">
      <w:pPr>
        <w:spacing w:line="276" w:lineRule="auto"/>
        <w:rPr>
          <w:rFonts w:ascii="Calibri" w:hAnsi="Calibri" w:cs="Calibri"/>
          <w:b/>
          <w:color w:val="000000"/>
          <w:sz w:val="20"/>
        </w:rPr>
      </w:pPr>
      <w:r>
        <w:rPr>
          <w:noProof/>
        </w:rPr>
        <w:lastRenderedPageBreak/>
        <w:drawing>
          <wp:inline distT="0" distB="0" distL="0" distR="0" wp14:anchorId="3F667DD5" wp14:editId="018B7FEA">
            <wp:extent cx="5713730" cy="4285296"/>
            <wp:effectExtent l="0" t="0" r="1270" b="1270"/>
            <wp:docPr id="8" name="Picture 8" descr="Image of a Kaplan-Meier curve for time on TRA therapy for patients grandfathered to PBS treatment" title="Image of a Kaplan-Meier curve for time on TRA therapy for patients grandfathered to PBS trea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0.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05215" cy="4278910"/>
                    </a:xfrm>
                    <a:prstGeom prst="rect">
                      <a:avLst/>
                    </a:prstGeom>
                    <a:noFill/>
                    <a:ln>
                      <a:noFill/>
                    </a:ln>
                  </pic:spPr>
                </pic:pic>
              </a:graphicData>
            </a:graphic>
          </wp:inline>
        </w:drawing>
      </w:r>
      <w:r w:rsidR="003B17B0" w:rsidRPr="004A11F0">
        <w:rPr>
          <w:rFonts w:cs="Arial"/>
          <w:b/>
        </w:rPr>
        <w:t xml:space="preserve">Figure </w:t>
      </w:r>
      <w:r w:rsidR="004D3E1A">
        <w:rPr>
          <w:rFonts w:cs="Arial"/>
          <w:b/>
        </w:rPr>
        <w:t>7</w:t>
      </w:r>
      <w:r w:rsidR="003B17B0">
        <w:rPr>
          <w:rFonts w:cs="Arial"/>
          <w:b/>
        </w:rPr>
        <w:t xml:space="preserve">: </w:t>
      </w:r>
      <w:r w:rsidR="003B17B0">
        <w:rPr>
          <w:rFonts w:cs="Arial"/>
          <w:b/>
          <w:bCs/>
        </w:rPr>
        <w:t xml:space="preserve">Kaplan-Meier curves and the number of grandfathered patients at risk at the beginning of each year for </w:t>
      </w:r>
      <w:proofErr w:type="spellStart"/>
      <w:r w:rsidR="003B17B0">
        <w:rPr>
          <w:rFonts w:cs="Arial"/>
          <w:b/>
          <w:bCs/>
        </w:rPr>
        <w:t>romiplostim</w:t>
      </w:r>
      <w:proofErr w:type="spellEnd"/>
      <w:r w:rsidR="003B17B0">
        <w:rPr>
          <w:rFonts w:cs="Arial"/>
          <w:b/>
          <w:bCs/>
        </w:rPr>
        <w:t xml:space="preserve"> and </w:t>
      </w:r>
      <w:proofErr w:type="spellStart"/>
      <w:r w:rsidR="003B17B0">
        <w:rPr>
          <w:rFonts w:cs="Arial"/>
          <w:b/>
          <w:bCs/>
        </w:rPr>
        <w:t>eltrombopag</w:t>
      </w:r>
      <w:proofErr w:type="spellEnd"/>
      <w:r w:rsidR="003B17B0">
        <w:rPr>
          <w:rFonts w:cs="Arial"/>
          <w:b/>
          <w:bCs/>
        </w:rPr>
        <w:br/>
      </w:r>
      <w:r w:rsidR="003B17B0">
        <w:rPr>
          <w:rFonts w:cs="Arial"/>
          <w:sz w:val="20"/>
          <w:szCs w:val="20"/>
        </w:rPr>
        <w:t xml:space="preserve">Source: </w:t>
      </w:r>
      <w:r w:rsidR="003B17B0" w:rsidRPr="00B609F8">
        <w:rPr>
          <w:rFonts w:eastAsia="Calibri" w:cs="Arial"/>
          <w:sz w:val="20"/>
          <w:szCs w:val="20"/>
        </w:rPr>
        <w:t>PBS S</w:t>
      </w:r>
      <w:r w:rsidR="003B17B0">
        <w:rPr>
          <w:rFonts w:eastAsia="Calibri" w:cs="Arial"/>
          <w:sz w:val="20"/>
          <w:szCs w:val="20"/>
        </w:rPr>
        <w:t xml:space="preserve">upplied Prescriptions Database, </w:t>
      </w:r>
      <w:r w:rsidR="003B17B0" w:rsidRPr="00B609F8">
        <w:rPr>
          <w:rFonts w:eastAsia="Calibri" w:cs="Arial"/>
          <w:sz w:val="20"/>
          <w:szCs w:val="20"/>
        </w:rPr>
        <w:t xml:space="preserve">DHS, extracted </w:t>
      </w:r>
      <w:r w:rsidR="003B17B0">
        <w:rPr>
          <w:rFonts w:eastAsia="Calibri" w:cs="Arial"/>
          <w:sz w:val="20"/>
          <w:szCs w:val="20"/>
        </w:rPr>
        <w:t>March 2015</w:t>
      </w:r>
      <w:r w:rsidR="003B17B0" w:rsidRPr="00B609F8">
        <w:rPr>
          <w:rFonts w:eastAsia="Calibri" w:cs="Arial"/>
          <w:sz w:val="20"/>
          <w:szCs w:val="20"/>
        </w:rPr>
        <w:t xml:space="preserve"> (actual)</w:t>
      </w:r>
    </w:p>
    <w:p w14:paraId="03D45761" w14:textId="7702317D" w:rsidR="0009041D" w:rsidRDefault="0009041D">
      <w:pPr>
        <w:spacing w:line="276" w:lineRule="auto"/>
        <w:rPr>
          <w:rFonts w:ascii="Calibri" w:hAnsi="Calibri" w:cs="Calibri"/>
          <w:b/>
          <w:color w:val="000000"/>
          <w:sz w:val="20"/>
        </w:rPr>
      </w:pPr>
      <w:r>
        <w:rPr>
          <w:rFonts w:ascii="Calibri" w:hAnsi="Calibri" w:cs="Calibri"/>
          <w:b/>
          <w:color w:val="000000"/>
          <w:sz w:val="20"/>
        </w:rPr>
        <w:br w:type="page"/>
      </w:r>
    </w:p>
    <w:p w14:paraId="457527E0" w14:textId="77777777" w:rsidR="00C4114C" w:rsidRPr="006E5E77" w:rsidRDefault="00C4114C" w:rsidP="00CF4D1A">
      <w:pPr>
        <w:pStyle w:val="Heading2"/>
      </w:pPr>
      <w:r w:rsidRPr="006E5E77">
        <w:lastRenderedPageBreak/>
        <w:t>Analysis of expenditure</w:t>
      </w:r>
    </w:p>
    <w:p w14:paraId="487136B0" w14:textId="3092F631" w:rsidR="008B1921" w:rsidRPr="00B62635" w:rsidRDefault="00B62635" w:rsidP="008B1921">
      <w:pPr>
        <w:autoSpaceDE w:val="0"/>
        <w:autoSpaceDN w:val="0"/>
        <w:adjustRightInd w:val="0"/>
      </w:pPr>
      <w:r w:rsidRPr="00B62635">
        <w:t>Table</w:t>
      </w:r>
      <w:r w:rsidR="00FD0AB0">
        <w:t xml:space="preserve"> </w:t>
      </w:r>
      <w:r w:rsidR="008F77B5">
        <w:t>9</w:t>
      </w:r>
      <w:r w:rsidR="001B5B86">
        <w:t xml:space="preserve"> presents a comparison of</w:t>
      </w:r>
      <w:r>
        <w:t xml:space="preserve"> the predicted versus actual expenditure for </w:t>
      </w:r>
      <w:proofErr w:type="spellStart"/>
      <w:r>
        <w:t>romiplostim</w:t>
      </w:r>
      <w:proofErr w:type="spellEnd"/>
      <w:r>
        <w:t xml:space="preserve"> and </w:t>
      </w:r>
      <w:proofErr w:type="spellStart"/>
      <w:r>
        <w:t>eltrombopag</w:t>
      </w:r>
      <w:proofErr w:type="spellEnd"/>
      <w:r>
        <w:t xml:space="preserve"> based on their published prices.</w:t>
      </w:r>
      <w:r w:rsidRPr="00B62635">
        <w:t xml:space="preserve"> </w:t>
      </w:r>
    </w:p>
    <w:p w14:paraId="0C37A404" w14:textId="77777777" w:rsidR="004816A6" w:rsidRDefault="004816A6" w:rsidP="007F0709">
      <w:pPr>
        <w:pStyle w:val="Tableheading"/>
        <w:jc w:val="left"/>
      </w:pPr>
      <w:r>
        <w:t>Table 9: Predicted vs Actual R/PBS expenditure</w:t>
      </w:r>
    </w:p>
    <w:tbl>
      <w:tblPr>
        <w:tblW w:w="0" w:type="auto"/>
        <w:tblInd w:w="93" w:type="dxa"/>
        <w:tblLook w:val="04A0" w:firstRow="1" w:lastRow="0" w:firstColumn="1" w:lastColumn="0" w:noHBand="0" w:noVBand="1"/>
        <w:tblCaption w:val="Table 9"/>
        <w:tblDescription w:val="Predicted versus actual expendiure on TRA therapy. Predicted figures have been redacted"/>
      </w:tblPr>
      <w:tblGrid>
        <w:gridCol w:w="1829"/>
        <w:gridCol w:w="996"/>
        <w:gridCol w:w="1512"/>
        <w:gridCol w:w="1512"/>
        <w:gridCol w:w="1621"/>
      </w:tblGrid>
      <w:tr w:rsidR="004816A6" w:rsidRPr="00AA2941" w14:paraId="576F9180" w14:textId="77777777" w:rsidTr="003E25A0">
        <w:trPr>
          <w:trHeight w:val="300"/>
          <w:tblHeader/>
        </w:trPr>
        <w:tc>
          <w:tcPr>
            <w:tcW w:w="0" w:type="auto"/>
            <w:vMerge w:val="restart"/>
            <w:tcBorders>
              <w:bottom w:val="single" w:sz="8" w:space="0" w:color="000000"/>
            </w:tcBorders>
            <w:shd w:val="clear" w:color="auto" w:fill="auto"/>
            <w:noWrap/>
            <w:vAlign w:val="center"/>
            <w:hideMark/>
          </w:tcPr>
          <w:p w14:paraId="4D9BE8B9" w14:textId="77777777" w:rsidR="004816A6" w:rsidRPr="00F562CE" w:rsidRDefault="004816A6" w:rsidP="003E25A0">
            <w:pPr>
              <w:pStyle w:val="TableText"/>
              <w:rPr>
                <w:rFonts w:asciiTheme="minorHAnsi" w:hAnsiTheme="minorHAnsi"/>
              </w:rPr>
            </w:pPr>
            <w:r w:rsidRPr="00F562CE">
              <w:rPr>
                <w:rFonts w:asciiTheme="minorHAnsi" w:hAnsiTheme="minorHAnsi"/>
              </w:rPr>
              <w:t> </w:t>
            </w:r>
          </w:p>
        </w:tc>
        <w:tc>
          <w:tcPr>
            <w:tcW w:w="0" w:type="auto"/>
            <w:vMerge w:val="restart"/>
            <w:tcBorders>
              <w:bottom w:val="single" w:sz="8" w:space="0" w:color="000000"/>
              <w:right w:val="single" w:sz="8" w:space="0" w:color="auto"/>
            </w:tcBorders>
            <w:shd w:val="clear" w:color="auto" w:fill="auto"/>
            <w:vAlign w:val="center"/>
            <w:hideMark/>
          </w:tcPr>
          <w:p w14:paraId="713BCEAE" w14:textId="77777777" w:rsidR="004816A6" w:rsidRPr="00F562CE" w:rsidRDefault="004816A6" w:rsidP="003E25A0">
            <w:pPr>
              <w:pStyle w:val="TableText"/>
              <w:rPr>
                <w:rFonts w:asciiTheme="minorHAnsi" w:hAnsiTheme="minorHAnsi"/>
                <w:b/>
                <w:bCs/>
              </w:rPr>
            </w:pPr>
            <w:r w:rsidRPr="00F562CE">
              <w:rPr>
                <w:rFonts w:asciiTheme="minorHAnsi" w:hAnsiTheme="minorHAnsi"/>
                <w:b/>
                <w:bCs/>
              </w:rPr>
              <w:t> </w:t>
            </w:r>
          </w:p>
        </w:tc>
        <w:tc>
          <w:tcPr>
            <w:tcW w:w="0" w:type="auto"/>
            <w:tcBorders>
              <w:top w:val="single" w:sz="8" w:space="0" w:color="auto"/>
              <w:left w:val="nil"/>
              <w:bottom w:val="nil"/>
              <w:right w:val="single" w:sz="8" w:space="0" w:color="auto"/>
            </w:tcBorders>
            <w:shd w:val="clear" w:color="auto" w:fill="BFBFBF" w:themeFill="background1" w:themeFillShade="BF"/>
            <w:noWrap/>
            <w:vAlign w:val="center"/>
            <w:hideMark/>
          </w:tcPr>
          <w:p w14:paraId="1E74E25F" w14:textId="77777777" w:rsidR="004816A6" w:rsidRPr="00F562CE" w:rsidRDefault="004816A6" w:rsidP="003E25A0">
            <w:pPr>
              <w:pStyle w:val="TableText"/>
              <w:jc w:val="center"/>
              <w:rPr>
                <w:rFonts w:asciiTheme="minorHAnsi" w:hAnsiTheme="minorHAnsi"/>
                <w:b/>
                <w:bCs/>
              </w:rPr>
            </w:pPr>
            <w:r w:rsidRPr="00F562CE">
              <w:rPr>
                <w:rFonts w:asciiTheme="minorHAnsi" w:hAnsiTheme="minorHAnsi"/>
                <w:b/>
                <w:bCs/>
              </w:rPr>
              <w:t>Year 1</w:t>
            </w:r>
          </w:p>
        </w:tc>
        <w:tc>
          <w:tcPr>
            <w:tcW w:w="0" w:type="auto"/>
            <w:tcBorders>
              <w:top w:val="single" w:sz="8" w:space="0" w:color="auto"/>
              <w:left w:val="nil"/>
              <w:bottom w:val="nil"/>
              <w:right w:val="single" w:sz="8" w:space="0" w:color="auto"/>
            </w:tcBorders>
            <w:shd w:val="clear" w:color="auto" w:fill="BFBFBF" w:themeFill="background1" w:themeFillShade="BF"/>
            <w:noWrap/>
            <w:vAlign w:val="center"/>
            <w:hideMark/>
          </w:tcPr>
          <w:p w14:paraId="051D256A" w14:textId="77777777" w:rsidR="004816A6" w:rsidRPr="00F562CE" w:rsidRDefault="004816A6" w:rsidP="003E25A0">
            <w:pPr>
              <w:pStyle w:val="TableText"/>
              <w:jc w:val="center"/>
              <w:rPr>
                <w:rFonts w:asciiTheme="minorHAnsi" w:hAnsiTheme="minorHAnsi"/>
                <w:b/>
                <w:bCs/>
              </w:rPr>
            </w:pPr>
            <w:r w:rsidRPr="00F562CE">
              <w:rPr>
                <w:rFonts w:asciiTheme="minorHAnsi" w:hAnsiTheme="minorHAnsi"/>
                <w:b/>
                <w:bCs/>
              </w:rPr>
              <w:t>Year 2</w:t>
            </w:r>
          </w:p>
        </w:tc>
        <w:tc>
          <w:tcPr>
            <w:tcW w:w="1621" w:type="dxa"/>
            <w:tcBorders>
              <w:top w:val="single" w:sz="8" w:space="0" w:color="auto"/>
              <w:left w:val="nil"/>
              <w:bottom w:val="nil"/>
              <w:right w:val="single" w:sz="8" w:space="0" w:color="auto"/>
            </w:tcBorders>
            <w:shd w:val="clear" w:color="auto" w:fill="BFBFBF" w:themeFill="background1" w:themeFillShade="BF"/>
            <w:vAlign w:val="center"/>
          </w:tcPr>
          <w:p w14:paraId="4A311140" w14:textId="77777777" w:rsidR="004816A6" w:rsidRPr="00F562CE" w:rsidRDefault="004816A6" w:rsidP="003E25A0">
            <w:pPr>
              <w:pStyle w:val="TableText"/>
              <w:jc w:val="center"/>
              <w:rPr>
                <w:rFonts w:asciiTheme="minorHAnsi" w:hAnsiTheme="minorHAnsi"/>
                <w:b/>
                <w:bCs/>
              </w:rPr>
            </w:pPr>
            <w:r w:rsidRPr="00F562CE">
              <w:rPr>
                <w:rFonts w:asciiTheme="minorHAnsi" w:hAnsiTheme="minorHAnsi"/>
                <w:b/>
                <w:bCs/>
              </w:rPr>
              <w:t>Year 3</w:t>
            </w:r>
          </w:p>
        </w:tc>
      </w:tr>
      <w:tr w:rsidR="004816A6" w:rsidRPr="00AA2941" w14:paraId="0816A883" w14:textId="77777777" w:rsidTr="003E25A0">
        <w:trPr>
          <w:trHeight w:val="315"/>
          <w:tblHeader/>
        </w:trPr>
        <w:tc>
          <w:tcPr>
            <w:tcW w:w="0" w:type="auto"/>
            <w:vMerge/>
            <w:tcBorders>
              <w:top w:val="single" w:sz="8" w:space="0" w:color="auto"/>
              <w:bottom w:val="single" w:sz="4" w:space="0" w:color="auto"/>
            </w:tcBorders>
            <w:vAlign w:val="center"/>
            <w:hideMark/>
          </w:tcPr>
          <w:p w14:paraId="6E2DBFC0" w14:textId="77777777" w:rsidR="004816A6" w:rsidRPr="00F562CE" w:rsidRDefault="004816A6" w:rsidP="003E25A0">
            <w:pPr>
              <w:pStyle w:val="TableText"/>
              <w:rPr>
                <w:rFonts w:asciiTheme="minorHAnsi" w:hAnsiTheme="minorHAnsi"/>
              </w:rPr>
            </w:pPr>
          </w:p>
        </w:tc>
        <w:tc>
          <w:tcPr>
            <w:tcW w:w="0" w:type="auto"/>
            <w:vMerge/>
            <w:tcBorders>
              <w:top w:val="single" w:sz="8" w:space="0" w:color="auto"/>
              <w:bottom w:val="single" w:sz="8" w:space="0" w:color="000000"/>
              <w:right w:val="single" w:sz="8" w:space="0" w:color="auto"/>
            </w:tcBorders>
            <w:vAlign w:val="center"/>
            <w:hideMark/>
          </w:tcPr>
          <w:p w14:paraId="6C222A4C" w14:textId="77777777" w:rsidR="004816A6" w:rsidRPr="00F562CE" w:rsidRDefault="004816A6" w:rsidP="003E25A0">
            <w:pPr>
              <w:pStyle w:val="TableText"/>
              <w:rPr>
                <w:rFonts w:asciiTheme="minorHAnsi" w:hAnsiTheme="minorHAnsi"/>
                <w:b/>
                <w:bCs/>
              </w:rPr>
            </w:pPr>
          </w:p>
        </w:tc>
        <w:tc>
          <w:tcPr>
            <w:tcW w:w="0" w:type="auto"/>
            <w:tcBorders>
              <w:top w:val="nil"/>
              <w:left w:val="nil"/>
              <w:bottom w:val="single" w:sz="8" w:space="0" w:color="auto"/>
              <w:right w:val="single" w:sz="8" w:space="0" w:color="auto"/>
            </w:tcBorders>
            <w:shd w:val="clear" w:color="auto" w:fill="BFBFBF" w:themeFill="background1" w:themeFillShade="BF"/>
            <w:noWrap/>
            <w:vAlign w:val="center"/>
            <w:hideMark/>
          </w:tcPr>
          <w:p w14:paraId="75BDA80E" w14:textId="77777777" w:rsidR="004816A6" w:rsidRPr="00F562CE" w:rsidRDefault="004816A6" w:rsidP="003E25A0">
            <w:pPr>
              <w:pStyle w:val="TableText"/>
              <w:jc w:val="center"/>
              <w:rPr>
                <w:rFonts w:asciiTheme="minorHAnsi" w:hAnsiTheme="minorHAnsi"/>
              </w:rPr>
            </w:pPr>
            <w:r w:rsidRPr="00F562CE">
              <w:rPr>
                <w:rFonts w:asciiTheme="minorHAnsi" w:hAnsiTheme="minorHAnsi"/>
              </w:rPr>
              <w:t>Apr11 to Mar12</w:t>
            </w:r>
          </w:p>
        </w:tc>
        <w:tc>
          <w:tcPr>
            <w:tcW w:w="0" w:type="auto"/>
            <w:tcBorders>
              <w:top w:val="nil"/>
              <w:left w:val="nil"/>
              <w:bottom w:val="single" w:sz="8" w:space="0" w:color="auto"/>
              <w:right w:val="single" w:sz="8" w:space="0" w:color="auto"/>
            </w:tcBorders>
            <w:shd w:val="clear" w:color="auto" w:fill="BFBFBF" w:themeFill="background1" w:themeFillShade="BF"/>
            <w:noWrap/>
            <w:vAlign w:val="center"/>
            <w:hideMark/>
          </w:tcPr>
          <w:p w14:paraId="07E52A6F" w14:textId="77777777" w:rsidR="004816A6" w:rsidRPr="00F562CE" w:rsidRDefault="004816A6" w:rsidP="003E25A0">
            <w:pPr>
              <w:pStyle w:val="TableText"/>
              <w:jc w:val="center"/>
              <w:rPr>
                <w:rFonts w:asciiTheme="minorHAnsi" w:hAnsiTheme="minorHAnsi"/>
              </w:rPr>
            </w:pPr>
            <w:r w:rsidRPr="00F562CE">
              <w:rPr>
                <w:rFonts w:asciiTheme="minorHAnsi" w:hAnsiTheme="minorHAnsi"/>
              </w:rPr>
              <w:t>Apr12 to Mar13</w:t>
            </w:r>
          </w:p>
        </w:tc>
        <w:tc>
          <w:tcPr>
            <w:tcW w:w="1621" w:type="dxa"/>
            <w:tcBorders>
              <w:top w:val="nil"/>
              <w:left w:val="nil"/>
              <w:bottom w:val="single" w:sz="8" w:space="0" w:color="auto"/>
              <w:right w:val="single" w:sz="8" w:space="0" w:color="auto"/>
            </w:tcBorders>
            <w:shd w:val="clear" w:color="auto" w:fill="BFBFBF" w:themeFill="background1" w:themeFillShade="BF"/>
            <w:vAlign w:val="center"/>
          </w:tcPr>
          <w:p w14:paraId="7D9995D9" w14:textId="77777777" w:rsidR="004816A6" w:rsidRPr="00F562CE" w:rsidRDefault="004816A6" w:rsidP="003E25A0">
            <w:pPr>
              <w:pStyle w:val="TableText"/>
              <w:jc w:val="center"/>
              <w:rPr>
                <w:rFonts w:asciiTheme="minorHAnsi" w:hAnsiTheme="minorHAnsi"/>
              </w:rPr>
            </w:pPr>
            <w:r w:rsidRPr="00F562CE">
              <w:rPr>
                <w:rFonts w:asciiTheme="minorHAnsi" w:hAnsiTheme="minorHAnsi"/>
              </w:rPr>
              <w:t>Apr13 to Mar14</w:t>
            </w:r>
          </w:p>
        </w:tc>
      </w:tr>
      <w:tr w:rsidR="004816A6" w:rsidRPr="00AA2941" w14:paraId="294A5439" w14:textId="77777777" w:rsidTr="003E25A0">
        <w:trPr>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tcPr>
          <w:p w14:paraId="684B54AC" w14:textId="77777777" w:rsidR="004816A6" w:rsidRPr="00F562CE" w:rsidRDefault="004816A6" w:rsidP="003E25A0">
            <w:pPr>
              <w:pStyle w:val="TableText"/>
              <w:rPr>
                <w:rFonts w:asciiTheme="minorHAnsi" w:hAnsiTheme="minorHAnsi"/>
              </w:rPr>
            </w:pPr>
            <w:r w:rsidRPr="00F562CE">
              <w:rPr>
                <w:rFonts w:asciiTheme="minorHAnsi" w:hAnsiTheme="minorHAnsi"/>
              </w:rPr>
              <w:t>Overall expenditure</w:t>
            </w:r>
          </w:p>
        </w:tc>
        <w:tc>
          <w:tcPr>
            <w:tcW w:w="0" w:type="auto"/>
            <w:tcBorders>
              <w:top w:val="single" w:sz="8" w:space="0" w:color="auto"/>
              <w:left w:val="single" w:sz="4" w:space="0" w:color="auto"/>
              <w:bottom w:val="single" w:sz="8" w:space="0" w:color="auto"/>
              <w:right w:val="single" w:sz="8" w:space="0" w:color="auto"/>
            </w:tcBorders>
            <w:shd w:val="clear" w:color="auto" w:fill="auto"/>
            <w:vAlign w:val="center"/>
          </w:tcPr>
          <w:p w14:paraId="2CFC3555" w14:textId="77777777" w:rsidR="004816A6" w:rsidRPr="00F562CE" w:rsidRDefault="004816A6" w:rsidP="003E25A0">
            <w:pPr>
              <w:pStyle w:val="TableText"/>
              <w:rPr>
                <w:rFonts w:asciiTheme="minorHAnsi" w:hAnsiTheme="minorHAnsi"/>
              </w:rPr>
            </w:pPr>
            <w:r w:rsidRPr="00F562CE">
              <w:rPr>
                <w:rFonts w:asciiTheme="minorHAnsi" w:hAnsiTheme="minorHAnsi"/>
              </w:rPr>
              <w:t>Predicted</w:t>
            </w:r>
          </w:p>
        </w:tc>
        <w:tc>
          <w:tcPr>
            <w:tcW w:w="0" w:type="auto"/>
            <w:tcBorders>
              <w:top w:val="single" w:sz="8" w:space="0" w:color="auto"/>
              <w:left w:val="nil"/>
              <w:bottom w:val="single" w:sz="8" w:space="0" w:color="auto"/>
              <w:right w:val="single" w:sz="8" w:space="0" w:color="auto"/>
            </w:tcBorders>
            <w:shd w:val="clear" w:color="auto" w:fill="auto"/>
            <w:noWrap/>
            <w:vAlign w:val="center"/>
          </w:tcPr>
          <w:p w14:paraId="6296D877" w14:textId="77777777" w:rsidR="004816A6" w:rsidRPr="00FF00C7" w:rsidRDefault="004816A6" w:rsidP="003E25A0">
            <w:pPr>
              <w:pStyle w:val="TableText"/>
              <w:jc w:val="right"/>
              <w:rPr>
                <w:rFonts w:asciiTheme="minorHAnsi" w:hAnsiTheme="minorHAnsi"/>
                <w:bCs/>
                <w:color w:val="000000" w:themeColor="text1"/>
              </w:rPr>
            </w:pPr>
            <w:r>
              <w:rPr>
                <w:rFonts w:asciiTheme="minorHAnsi" w:hAnsiTheme="minorHAnsi" w:cs="Arial"/>
                <w:color w:val="000000"/>
              </w:rPr>
              <w:t>$</w:t>
            </w:r>
            <w:r w:rsidRPr="008A41EE">
              <w:rPr>
                <w:rFonts w:asciiTheme="minorHAnsi" w:hAnsiTheme="minorHAnsi" w:cs="Arial"/>
                <w:color w:val="000000"/>
                <w:highlight w:val="black"/>
              </w:rPr>
              <w:t>XXXXXXXXXX</w:t>
            </w:r>
          </w:p>
        </w:tc>
        <w:tc>
          <w:tcPr>
            <w:tcW w:w="0" w:type="auto"/>
            <w:tcBorders>
              <w:top w:val="single" w:sz="8" w:space="0" w:color="auto"/>
              <w:left w:val="nil"/>
              <w:bottom w:val="single" w:sz="8" w:space="0" w:color="auto"/>
              <w:right w:val="single" w:sz="8" w:space="0" w:color="auto"/>
            </w:tcBorders>
            <w:shd w:val="clear" w:color="auto" w:fill="auto"/>
            <w:noWrap/>
            <w:vAlign w:val="center"/>
          </w:tcPr>
          <w:p w14:paraId="4FFB3E39" w14:textId="77777777" w:rsidR="004816A6" w:rsidRPr="002400A2" w:rsidRDefault="004816A6" w:rsidP="003E25A0">
            <w:pPr>
              <w:pStyle w:val="TableText"/>
              <w:jc w:val="right"/>
              <w:rPr>
                <w:rFonts w:asciiTheme="minorHAnsi" w:hAnsiTheme="minorHAnsi"/>
                <w:bCs/>
                <w:color w:val="000000" w:themeColor="text1"/>
              </w:rPr>
            </w:pPr>
            <w:r>
              <w:rPr>
                <w:rFonts w:asciiTheme="minorHAnsi" w:hAnsiTheme="minorHAnsi" w:cs="Arial"/>
                <w:color w:val="000000"/>
              </w:rPr>
              <w:t>$</w:t>
            </w:r>
            <w:r w:rsidRPr="008A41EE">
              <w:rPr>
                <w:rFonts w:asciiTheme="minorHAnsi" w:hAnsiTheme="minorHAnsi" w:cs="Arial"/>
                <w:color w:val="000000"/>
                <w:highlight w:val="black"/>
              </w:rPr>
              <w:t>XXXXXXXXXX</w:t>
            </w:r>
          </w:p>
        </w:tc>
        <w:tc>
          <w:tcPr>
            <w:tcW w:w="1621" w:type="dxa"/>
            <w:tcBorders>
              <w:top w:val="single" w:sz="8" w:space="0" w:color="auto"/>
              <w:left w:val="nil"/>
              <w:bottom w:val="single" w:sz="8" w:space="0" w:color="auto"/>
              <w:right w:val="single" w:sz="8" w:space="0" w:color="auto"/>
            </w:tcBorders>
            <w:vAlign w:val="center"/>
          </w:tcPr>
          <w:p w14:paraId="748EE73F" w14:textId="77777777" w:rsidR="004816A6" w:rsidRPr="002400A2" w:rsidRDefault="004816A6" w:rsidP="003E25A0">
            <w:pPr>
              <w:pStyle w:val="TableText"/>
              <w:jc w:val="right"/>
              <w:rPr>
                <w:rFonts w:asciiTheme="minorHAnsi" w:hAnsiTheme="minorHAnsi"/>
                <w:bCs/>
                <w:color w:val="000000" w:themeColor="text1"/>
              </w:rPr>
            </w:pPr>
            <w:r>
              <w:rPr>
                <w:rFonts w:asciiTheme="minorHAnsi" w:hAnsiTheme="minorHAnsi" w:cs="Arial"/>
                <w:color w:val="000000"/>
              </w:rPr>
              <w:t>$</w:t>
            </w:r>
            <w:r w:rsidRPr="008A41EE">
              <w:rPr>
                <w:rFonts w:asciiTheme="minorHAnsi" w:hAnsiTheme="minorHAnsi" w:cs="Arial"/>
                <w:color w:val="000000"/>
                <w:highlight w:val="black"/>
              </w:rPr>
              <w:t>XXXXXXXXXX</w:t>
            </w:r>
          </w:p>
        </w:tc>
      </w:tr>
      <w:tr w:rsidR="004816A6" w:rsidRPr="00AA2941" w14:paraId="4F58E646" w14:textId="77777777" w:rsidTr="003E25A0">
        <w:trPr>
          <w:trHeight w:val="315"/>
        </w:trPr>
        <w:tc>
          <w:tcPr>
            <w:tcW w:w="0" w:type="auto"/>
            <w:vMerge/>
            <w:tcBorders>
              <w:left w:val="single" w:sz="4" w:space="0" w:color="auto"/>
              <w:bottom w:val="single" w:sz="4" w:space="0" w:color="auto"/>
              <w:right w:val="single" w:sz="4" w:space="0" w:color="auto"/>
            </w:tcBorders>
            <w:shd w:val="clear" w:color="auto" w:fill="auto"/>
            <w:noWrap/>
          </w:tcPr>
          <w:p w14:paraId="238DDD9C" w14:textId="77777777" w:rsidR="004816A6" w:rsidRPr="00F562CE" w:rsidRDefault="004816A6" w:rsidP="003E25A0">
            <w:pPr>
              <w:pStyle w:val="TableText"/>
              <w:rPr>
                <w:rFonts w:asciiTheme="minorHAnsi" w:hAnsiTheme="minorHAnsi"/>
              </w:rPr>
            </w:pPr>
          </w:p>
        </w:tc>
        <w:tc>
          <w:tcPr>
            <w:tcW w:w="0" w:type="auto"/>
            <w:tcBorders>
              <w:top w:val="single" w:sz="8" w:space="0" w:color="auto"/>
              <w:left w:val="single" w:sz="4" w:space="0" w:color="auto"/>
              <w:bottom w:val="single" w:sz="8" w:space="0" w:color="auto"/>
              <w:right w:val="single" w:sz="8" w:space="0" w:color="auto"/>
            </w:tcBorders>
            <w:shd w:val="clear" w:color="auto" w:fill="auto"/>
            <w:vAlign w:val="center"/>
          </w:tcPr>
          <w:p w14:paraId="147B676A" w14:textId="77777777" w:rsidR="004816A6" w:rsidRPr="00F562CE" w:rsidRDefault="004816A6" w:rsidP="003E25A0">
            <w:pPr>
              <w:pStyle w:val="TableText"/>
              <w:rPr>
                <w:rFonts w:asciiTheme="minorHAnsi" w:hAnsiTheme="minorHAnsi"/>
              </w:rPr>
            </w:pPr>
            <w:r w:rsidRPr="00F562CE">
              <w:rPr>
                <w:rFonts w:asciiTheme="minorHAnsi" w:hAnsiTheme="minorHAnsi"/>
              </w:rPr>
              <w:t>Actual</w:t>
            </w:r>
          </w:p>
        </w:tc>
        <w:tc>
          <w:tcPr>
            <w:tcW w:w="0" w:type="auto"/>
            <w:tcBorders>
              <w:top w:val="single" w:sz="8" w:space="0" w:color="auto"/>
              <w:left w:val="nil"/>
              <w:bottom w:val="single" w:sz="8" w:space="0" w:color="auto"/>
              <w:right w:val="single" w:sz="8" w:space="0" w:color="auto"/>
            </w:tcBorders>
            <w:shd w:val="clear" w:color="auto" w:fill="auto"/>
            <w:noWrap/>
            <w:vAlign w:val="center"/>
          </w:tcPr>
          <w:p w14:paraId="5D3B1AC2" w14:textId="77777777" w:rsidR="004816A6" w:rsidRPr="00FF00C7" w:rsidRDefault="004816A6" w:rsidP="003E25A0">
            <w:pPr>
              <w:pStyle w:val="TableText"/>
              <w:jc w:val="right"/>
              <w:rPr>
                <w:rFonts w:asciiTheme="minorHAnsi" w:hAnsiTheme="minorHAnsi"/>
                <w:color w:val="000000" w:themeColor="text1"/>
              </w:rPr>
            </w:pPr>
            <w:r w:rsidRPr="008C7E98">
              <w:rPr>
                <w:rFonts w:asciiTheme="minorHAnsi" w:hAnsiTheme="minorHAnsi" w:cs="Arial"/>
                <w:color w:val="000000"/>
              </w:rPr>
              <w:t>$7,736,105</w:t>
            </w:r>
          </w:p>
        </w:tc>
        <w:tc>
          <w:tcPr>
            <w:tcW w:w="0" w:type="auto"/>
            <w:tcBorders>
              <w:top w:val="single" w:sz="8" w:space="0" w:color="auto"/>
              <w:left w:val="nil"/>
              <w:bottom w:val="single" w:sz="8" w:space="0" w:color="auto"/>
              <w:right w:val="single" w:sz="8" w:space="0" w:color="auto"/>
            </w:tcBorders>
            <w:shd w:val="clear" w:color="auto" w:fill="auto"/>
            <w:noWrap/>
            <w:vAlign w:val="center"/>
          </w:tcPr>
          <w:p w14:paraId="3F7E68BB" w14:textId="77777777" w:rsidR="004816A6" w:rsidRPr="002400A2" w:rsidRDefault="004816A6" w:rsidP="003E25A0">
            <w:pPr>
              <w:pStyle w:val="TableText"/>
              <w:jc w:val="right"/>
              <w:rPr>
                <w:rFonts w:asciiTheme="minorHAnsi" w:hAnsiTheme="minorHAnsi"/>
                <w:color w:val="000000" w:themeColor="text1"/>
              </w:rPr>
            </w:pPr>
            <w:r w:rsidRPr="002400A2">
              <w:rPr>
                <w:rFonts w:asciiTheme="minorHAnsi" w:hAnsiTheme="minorHAnsi" w:cs="Arial"/>
                <w:color w:val="000000"/>
              </w:rPr>
              <w:t>$10,450,742</w:t>
            </w:r>
          </w:p>
        </w:tc>
        <w:tc>
          <w:tcPr>
            <w:tcW w:w="1621" w:type="dxa"/>
            <w:tcBorders>
              <w:top w:val="single" w:sz="8" w:space="0" w:color="auto"/>
              <w:left w:val="nil"/>
              <w:bottom w:val="single" w:sz="8" w:space="0" w:color="auto"/>
              <w:right w:val="single" w:sz="8" w:space="0" w:color="auto"/>
            </w:tcBorders>
            <w:vAlign w:val="center"/>
          </w:tcPr>
          <w:p w14:paraId="6F84A91E" w14:textId="77777777" w:rsidR="004816A6" w:rsidRPr="002400A2" w:rsidRDefault="004816A6" w:rsidP="003E25A0">
            <w:pPr>
              <w:pStyle w:val="TableText"/>
              <w:jc w:val="right"/>
              <w:rPr>
                <w:rFonts w:asciiTheme="minorHAnsi" w:hAnsiTheme="minorHAnsi"/>
                <w:color w:val="000000" w:themeColor="text1"/>
              </w:rPr>
            </w:pPr>
            <w:r w:rsidRPr="002400A2">
              <w:rPr>
                <w:rFonts w:asciiTheme="minorHAnsi" w:hAnsiTheme="minorHAnsi" w:cs="Arial"/>
                <w:color w:val="000000"/>
              </w:rPr>
              <w:t>$14,344,158</w:t>
            </w:r>
          </w:p>
        </w:tc>
      </w:tr>
    </w:tbl>
    <w:p w14:paraId="06AC6AD9" w14:textId="4CF72AE0" w:rsidR="003A6B58" w:rsidRPr="00F562CE" w:rsidRDefault="00C4114C" w:rsidP="00F562CE">
      <w:pPr>
        <w:autoSpaceDE w:val="0"/>
        <w:autoSpaceDN w:val="0"/>
        <w:adjustRightInd w:val="0"/>
        <w:spacing w:after="0"/>
        <w:rPr>
          <w:rFonts w:ascii="Calibri" w:hAnsi="Calibri" w:cs="Calibri"/>
          <w:b/>
          <w:color w:val="000000"/>
          <w:sz w:val="20"/>
        </w:rPr>
      </w:pPr>
      <w:r w:rsidRPr="00F562CE">
        <w:rPr>
          <w:rFonts w:ascii="Calibri" w:hAnsi="Calibri" w:cs="Calibri"/>
          <w:color w:val="000000"/>
          <w:sz w:val="20"/>
        </w:rPr>
        <w:t>Note:</w:t>
      </w:r>
      <w:r w:rsidR="003A6B58">
        <w:rPr>
          <w:rFonts w:ascii="Calibri" w:hAnsi="Calibri" w:cs="Calibri"/>
          <w:b/>
          <w:color w:val="000000"/>
          <w:sz w:val="20"/>
        </w:rPr>
        <w:t xml:space="preserve"> </w:t>
      </w:r>
      <w:r w:rsidR="003A6B58">
        <w:rPr>
          <w:rFonts w:ascii="Calibri" w:hAnsi="Calibri" w:cs="Calibri"/>
          <w:color w:val="000000"/>
          <w:sz w:val="20"/>
        </w:rPr>
        <w:t>All figures are based on published prices</w:t>
      </w:r>
      <w:r w:rsidR="006139BA">
        <w:rPr>
          <w:rFonts w:ascii="Calibri" w:hAnsi="Calibri" w:cs="Calibri"/>
          <w:color w:val="000000"/>
          <w:sz w:val="20"/>
        </w:rPr>
        <w:t xml:space="preserve"> and are net of patient </w:t>
      </w:r>
      <w:r w:rsidR="00552F1C">
        <w:rPr>
          <w:rFonts w:ascii="Calibri" w:hAnsi="Calibri" w:cs="Calibri"/>
          <w:color w:val="000000"/>
          <w:sz w:val="20"/>
        </w:rPr>
        <w:t>co-payments</w:t>
      </w:r>
      <w:r w:rsidR="003A6B58">
        <w:rPr>
          <w:rFonts w:ascii="Calibri" w:hAnsi="Calibri" w:cs="Calibri"/>
          <w:color w:val="000000"/>
          <w:sz w:val="20"/>
        </w:rPr>
        <w:t xml:space="preserve">. </w:t>
      </w:r>
      <w:r w:rsidR="00BA5F91">
        <w:rPr>
          <w:rFonts w:ascii="Calibri" w:hAnsi="Calibri" w:cs="Calibri"/>
          <w:color w:val="000000"/>
          <w:sz w:val="20"/>
        </w:rPr>
        <w:t xml:space="preserve">Some medicines </w:t>
      </w:r>
      <w:r w:rsidR="003A6B58" w:rsidRPr="003A6B58">
        <w:rPr>
          <w:rFonts w:ascii="Calibri" w:hAnsi="Calibri" w:cs="Calibri"/>
          <w:color w:val="000000"/>
          <w:sz w:val="20"/>
        </w:rPr>
        <w:t>ha</w:t>
      </w:r>
      <w:r w:rsidR="006139BA">
        <w:rPr>
          <w:rFonts w:ascii="Calibri" w:hAnsi="Calibri" w:cs="Calibri"/>
          <w:color w:val="000000"/>
          <w:sz w:val="20"/>
        </w:rPr>
        <w:t>ve special pricing arrangements</w:t>
      </w:r>
      <w:r w:rsidR="003A6B58" w:rsidRPr="003A6B58">
        <w:rPr>
          <w:rFonts w:ascii="Calibri" w:hAnsi="Calibri" w:cs="Calibri"/>
          <w:color w:val="000000"/>
          <w:sz w:val="20"/>
        </w:rPr>
        <w:t xml:space="preserve"> and government expenditu</w:t>
      </w:r>
      <w:r w:rsidR="003A6B58">
        <w:rPr>
          <w:rFonts w:ascii="Calibri" w:hAnsi="Calibri" w:cs="Calibri"/>
          <w:color w:val="000000"/>
          <w:sz w:val="20"/>
        </w:rPr>
        <w:t xml:space="preserve">re may be less than presented. </w:t>
      </w:r>
    </w:p>
    <w:p w14:paraId="6559EC61" w14:textId="23ACC759" w:rsidR="00C12911" w:rsidRPr="00C12911" w:rsidRDefault="00BB6BF3" w:rsidP="003A6B58">
      <w:pPr>
        <w:spacing w:after="0"/>
        <w:rPr>
          <w:rFonts w:ascii="Calibri" w:hAnsi="Calibri" w:cs="Calibri"/>
          <w:color w:val="000000"/>
          <w:sz w:val="20"/>
        </w:rPr>
      </w:pPr>
      <w:r>
        <w:rPr>
          <w:rFonts w:ascii="Calibri" w:hAnsi="Calibri" w:cs="Calibri"/>
          <w:color w:val="000000"/>
          <w:sz w:val="20"/>
        </w:rPr>
        <w:t xml:space="preserve">The predicted </w:t>
      </w:r>
      <w:r w:rsidR="00C12911" w:rsidRPr="00C12911">
        <w:rPr>
          <w:rFonts w:ascii="Calibri" w:hAnsi="Calibri" w:cs="Calibri"/>
          <w:color w:val="000000"/>
          <w:sz w:val="20"/>
        </w:rPr>
        <w:t xml:space="preserve">estimates </w:t>
      </w:r>
      <w:r>
        <w:rPr>
          <w:rFonts w:ascii="Calibri" w:hAnsi="Calibri" w:cs="Calibri"/>
          <w:color w:val="000000"/>
          <w:sz w:val="20"/>
        </w:rPr>
        <w:t xml:space="preserve">were </w:t>
      </w:r>
      <w:r w:rsidR="00C12911" w:rsidRPr="00C12911">
        <w:rPr>
          <w:rFonts w:ascii="Calibri" w:hAnsi="Calibri" w:cs="Calibri"/>
          <w:color w:val="000000"/>
          <w:sz w:val="20"/>
        </w:rPr>
        <w:t>agr</w:t>
      </w:r>
      <w:r>
        <w:rPr>
          <w:rFonts w:ascii="Calibri" w:hAnsi="Calibri" w:cs="Calibri"/>
          <w:color w:val="000000"/>
          <w:sz w:val="20"/>
        </w:rPr>
        <w:t>eed between the Sponsors and the Department</w:t>
      </w:r>
      <w:r w:rsidR="00C12911" w:rsidRPr="00C12911">
        <w:rPr>
          <w:rFonts w:ascii="Calibri" w:hAnsi="Calibri" w:cs="Calibri"/>
          <w:color w:val="000000"/>
          <w:sz w:val="20"/>
        </w:rPr>
        <w:t xml:space="preserve"> post PBAC recommendation to list.</w:t>
      </w:r>
      <w:r w:rsidR="004B29E0">
        <w:rPr>
          <w:rFonts w:ascii="Calibri" w:hAnsi="Calibri" w:cs="Calibri"/>
          <w:color w:val="000000"/>
          <w:sz w:val="20"/>
        </w:rPr>
        <w:t xml:space="preserve"> Part-year corrections</w:t>
      </w:r>
      <w:r w:rsidR="004E5331">
        <w:rPr>
          <w:rFonts w:ascii="Calibri" w:hAnsi="Calibri" w:cs="Calibri"/>
          <w:color w:val="000000"/>
          <w:sz w:val="20"/>
        </w:rPr>
        <w:t xml:space="preserve"> have been applied</w:t>
      </w:r>
      <w:r w:rsidR="004B29E0">
        <w:rPr>
          <w:rFonts w:ascii="Calibri" w:hAnsi="Calibri" w:cs="Calibri"/>
          <w:color w:val="000000"/>
          <w:sz w:val="20"/>
        </w:rPr>
        <w:t xml:space="preserve"> to account for the listing date to allow </w:t>
      </w:r>
      <w:r>
        <w:rPr>
          <w:rFonts w:ascii="Calibri" w:hAnsi="Calibri" w:cs="Calibri"/>
          <w:color w:val="000000"/>
          <w:sz w:val="20"/>
        </w:rPr>
        <w:t xml:space="preserve">a </w:t>
      </w:r>
      <w:r w:rsidR="004B29E0">
        <w:rPr>
          <w:rFonts w:ascii="Calibri" w:hAnsi="Calibri" w:cs="Calibri"/>
          <w:color w:val="000000"/>
          <w:sz w:val="20"/>
        </w:rPr>
        <w:t>comparison to the actual figures.</w:t>
      </w:r>
      <w:r w:rsidR="0058077D">
        <w:rPr>
          <w:rFonts w:ascii="Calibri" w:hAnsi="Calibri" w:cs="Calibri"/>
          <w:color w:val="000000"/>
          <w:sz w:val="20"/>
        </w:rPr>
        <w:t xml:space="preserve"> </w:t>
      </w:r>
    </w:p>
    <w:p w14:paraId="00C742CF" w14:textId="1980BC69" w:rsidR="0049796F" w:rsidRDefault="00BB6BF3" w:rsidP="0049796F">
      <w:pPr>
        <w:spacing w:after="0"/>
        <w:rPr>
          <w:rFonts w:ascii="Calibri" w:hAnsi="Calibri" w:cs="Calibri"/>
          <w:color w:val="000000"/>
          <w:sz w:val="20"/>
        </w:rPr>
      </w:pPr>
      <w:r>
        <w:rPr>
          <w:rFonts w:ascii="Calibri" w:hAnsi="Calibri" w:cs="Calibri"/>
          <w:color w:val="000000"/>
          <w:sz w:val="20"/>
        </w:rPr>
        <w:t>The actual figures were sourced from the</w:t>
      </w:r>
      <w:r w:rsidR="00C12911" w:rsidRPr="00C12911">
        <w:rPr>
          <w:rFonts w:ascii="Calibri" w:hAnsi="Calibri" w:cs="Calibri"/>
          <w:color w:val="000000"/>
          <w:sz w:val="20"/>
        </w:rPr>
        <w:t xml:space="preserve"> </w:t>
      </w:r>
      <w:r>
        <w:rPr>
          <w:rFonts w:ascii="Calibri" w:hAnsi="Calibri" w:cs="Calibri"/>
          <w:color w:val="000000"/>
          <w:sz w:val="20"/>
        </w:rPr>
        <w:t xml:space="preserve">Department of Human Services </w:t>
      </w:r>
      <w:r w:rsidRPr="00B609F8">
        <w:rPr>
          <w:rFonts w:eastAsia="Calibri" w:cs="Arial"/>
          <w:sz w:val="20"/>
          <w:szCs w:val="20"/>
        </w:rPr>
        <w:t xml:space="preserve">PBS </w:t>
      </w:r>
      <w:r>
        <w:rPr>
          <w:rFonts w:eastAsia="Calibri" w:cs="Arial"/>
          <w:sz w:val="20"/>
          <w:szCs w:val="20"/>
        </w:rPr>
        <w:t>Prescriptions Database</w:t>
      </w:r>
      <w:r w:rsidRPr="00C12911">
        <w:rPr>
          <w:rFonts w:ascii="Calibri" w:hAnsi="Calibri" w:cs="Calibri"/>
          <w:color w:val="000000"/>
          <w:sz w:val="20"/>
        </w:rPr>
        <w:t xml:space="preserve"> </w:t>
      </w:r>
      <w:r w:rsidR="005B52FF">
        <w:rPr>
          <w:rFonts w:ascii="Calibri" w:hAnsi="Calibri" w:cs="Calibri"/>
          <w:color w:val="000000"/>
          <w:sz w:val="20"/>
        </w:rPr>
        <w:t xml:space="preserve">accessed </w:t>
      </w:r>
      <w:r w:rsidR="004C4BDF">
        <w:rPr>
          <w:rFonts w:ascii="Calibri" w:hAnsi="Calibri" w:cs="Calibri"/>
          <w:color w:val="000000"/>
          <w:sz w:val="20"/>
        </w:rPr>
        <w:t xml:space="preserve">in </w:t>
      </w:r>
      <w:r w:rsidR="005B52FF">
        <w:rPr>
          <w:rFonts w:ascii="Calibri" w:hAnsi="Calibri" w:cs="Calibri"/>
          <w:color w:val="000000"/>
          <w:sz w:val="20"/>
        </w:rPr>
        <w:t>March 2015</w:t>
      </w:r>
      <w:r>
        <w:rPr>
          <w:rFonts w:ascii="Calibri" w:hAnsi="Calibri" w:cs="Calibri"/>
          <w:color w:val="000000"/>
          <w:sz w:val="20"/>
        </w:rPr>
        <w:t>. These figures are</w:t>
      </w:r>
      <w:r w:rsidR="00C12911" w:rsidRPr="00C12911">
        <w:rPr>
          <w:rFonts w:ascii="Calibri" w:hAnsi="Calibri" w:cs="Calibri"/>
          <w:color w:val="000000"/>
          <w:sz w:val="20"/>
        </w:rPr>
        <w:t xml:space="preserve"> based on </w:t>
      </w:r>
      <w:r>
        <w:rPr>
          <w:rFonts w:ascii="Calibri" w:hAnsi="Calibri" w:cs="Calibri"/>
          <w:color w:val="000000"/>
          <w:sz w:val="20"/>
        </w:rPr>
        <w:t xml:space="preserve">the </w:t>
      </w:r>
      <w:r w:rsidR="00C12911" w:rsidRPr="00C12911">
        <w:rPr>
          <w:rFonts w:ascii="Calibri" w:hAnsi="Calibri" w:cs="Calibri"/>
          <w:color w:val="000000"/>
          <w:sz w:val="20"/>
        </w:rPr>
        <w:t>date of prescription supply</w:t>
      </w:r>
      <w:r w:rsidR="004E5331">
        <w:rPr>
          <w:rFonts w:ascii="Calibri" w:hAnsi="Calibri" w:cs="Calibri"/>
          <w:color w:val="000000"/>
          <w:sz w:val="20"/>
        </w:rPr>
        <w:t>.</w:t>
      </w:r>
    </w:p>
    <w:p w14:paraId="5F22B4D8" w14:textId="4B431841" w:rsidR="00736041" w:rsidRPr="005E22C2" w:rsidRDefault="0092741C" w:rsidP="00FE645A">
      <w:pPr>
        <w:pStyle w:val="Heading3"/>
      </w:pPr>
      <w:r>
        <w:t>Discussion</w:t>
      </w:r>
    </w:p>
    <w:p w14:paraId="14995FCF" w14:textId="34B68EDE" w:rsidR="00FD3CE7" w:rsidRPr="001F0BC8" w:rsidRDefault="001037B3" w:rsidP="001F0BC8">
      <w:pPr>
        <w:rPr>
          <w:bCs/>
        </w:rPr>
      </w:pPr>
      <w:r w:rsidRPr="00ED65DA">
        <w:t xml:space="preserve">The PBS and RPBS (R/PBS) actual expenditure on TRA therapy has been significantly less than predicted during the first three years of listing. </w:t>
      </w:r>
      <w:r w:rsidR="00B55670" w:rsidRPr="00ED65DA">
        <w:t xml:space="preserve">The </w:t>
      </w:r>
      <w:r w:rsidRPr="00ED65DA">
        <w:rPr>
          <w:bCs/>
        </w:rPr>
        <w:t>DUSC considered that expenditure on TRAs could potentially exceed the predicted expenditure over the remaining forward</w:t>
      </w:r>
      <w:r w:rsidRPr="00ED65DA">
        <w:t xml:space="preserve"> </w:t>
      </w:r>
      <w:r w:rsidRPr="00ED65DA">
        <w:rPr>
          <w:bCs/>
        </w:rPr>
        <w:t>estimates period given the higher than expected growth in the treated population.</w:t>
      </w:r>
    </w:p>
    <w:p w14:paraId="2F132387" w14:textId="77777777" w:rsidR="006D3DFB" w:rsidRPr="00ED65DA" w:rsidRDefault="006D3DFB" w:rsidP="006D3DFB">
      <w:pPr>
        <w:contextualSpacing/>
        <w:rPr>
          <w:bCs/>
        </w:rPr>
      </w:pPr>
      <w:r w:rsidRPr="00ED65DA">
        <w:rPr>
          <w:bCs/>
        </w:rPr>
        <w:t xml:space="preserve">The total of 303 patients supplied with TRA therapy in the first year of listing (April 2011 to March 2012) was </w:t>
      </w:r>
      <w:r w:rsidRPr="00AC60E4">
        <w:rPr>
          <w:bCs/>
          <w:highlight w:val="black"/>
        </w:rPr>
        <w:t>XX</w:t>
      </w:r>
      <w:r w:rsidRPr="00ED65DA">
        <w:rPr>
          <w:bCs/>
        </w:rPr>
        <w:t>% less than projected (</w:t>
      </w:r>
      <w:r w:rsidRPr="00AC60E4">
        <w:rPr>
          <w:bCs/>
          <w:highlight w:val="black"/>
        </w:rPr>
        <w:t>XXX</w:t>
      </w:r>
      <w:r w:rsidRPr="00ED65DA">
        <w:rPr>
          <w:bCs/>
        </w:rPr>
        <w:t xml:space="preserve"> patients). The DUSC noted the response from the Haematology Society of Australia and New Zealand (HSANZ) and the Australasian Society of Thrombosis and Haemostasis (ASTH) which stated that the lower than anticipated uptake in Year 1 could indicate caution in the prescribing the new TRA therapies due to their associations with thrombotic complications and </w:t>
      </w:r>
      <w:proofErr w:type="spellStart"/>
      <w:r w:rsidRPr="00ED65DA">
        <w:rPr>
          <w:bCs/>
        </w:rPr>
        <w:t>myelofibrosis</w:t>
      </w:r>
      <w:proofErr w:type="spellEnd"/>
      <w:r w:rsidRPr="00ED65DA">
        <w:rPr>
          <w:bCs/>
        </w:rPr>
        <w:t xml:space="preserve">. The actual total number of patients was more than predicted in the third year of listing (506 vs. </w:t>
      </w:r>
      <w:r w:rsidRPr="00325FA7">
        <w:rPr>
          <w:bCs/>
          <w:highlight w:val="black"/>
        </w:rPr>
        <w:t>XXX</w:t>
      </w:r>
      <w:r w:rsidRPr="00ED65DA">
        <w:rPr>
          <w:bCs/>
        </w:rPr>
        <w:t xml:space="preserve">, respectively). The DUSC considered that the higher than expected number of patients could indicate that the availability of TRA therapy is diverting patients from splenectomy. The DUSC noted that the proportion of non-splenectomised patients receiving an approval for </w:t>
      </w:r>
      <w:proofErr w:type="spellStart"/>
      <w:r w:rsidRPr="00ED65DA">
        <w:rPr>
          <w:bCs/>
        </w:rPr>
        <w:t>romiplostim</w:t>
      </w:r>
      <w:proofErr w:type="spellEnd"/>
      <w:r w:rsidRPr="00ED65DA">
        <w:rPr>
          <w:bCs/>
        </w:rPr>
        <w:t xml:space="preserve"> had risen over the first three years of listing, as shown in the following table. </w:t>
      </w:r>
    </w:p>
    <w:tbl>
      <w:tblPr>
        <w:tblStyle w:val="TableGrid"/>
        <w:tblW w:w="0" w:type="auto"/>
        <w:tblLook w:val="04A0" w:firstRow="1" w:lastRow="0" w:firstColumn="1" w:lastColumn="0" w:noHBand="0" w:noVBand="1"/>
        <w:tblCaption w:val="Summary of non-splenectomised patients"/>
        <w:tblDescription w:val="Table of the changes in the proportion of non-splenectomised patients over the first three years of listing for romiplostim"/>
      </w:tblPr>
      <w:tblGrid>
        <w:gridCol w:w="5637"/>
        <w:gridCol w:w="992"/>
        <w:gridCol w:w="850"/>
        <w:gridCol w:w="1043"/>
      </w:tblGrid>
      <w:tr w:rsidR="007E0899" w:rsidRPr="00BA2B8E" w14:paraId="10060BA9" w14:textId="77777777" w:rsidTr="00741122">
        <w:trPr>
          <w:tblHeader/>
        </w:trPr>
        <w:tc>
          <w:tcPr>
            <w:tcW w:w="5637" w:type="dxa"/>
            <w:tcBorders>
              <w:top w:val="nil"/>
              <w:left w:val="nil"/>
              <w:bottom w:val="single" w:sz="4" w:space="0" w:color="auto"/>
              <w:right w:val="single" w:sz="4" w:space="0" w:color="auto"/>
            </w:tcBorders>
          </w:tcPr>
          <w:p w14:paraId="7111266E" w14:textId="77777777" w:rsidR="007E0899" w:rsidRPr="00BA2B8E" w:rsidRDefault="007E0899" w:rsidP="00447EB1">
            <w:pPr>
              <w:pStyle w:val="NoSpacing"/>
              <w:rPr>
                <w:rFonts w:ascii="Calibri" w:hAnsi="Calibri" w:cs="Calibri"/>
                <w:bCs/>
                <w:sz w:val="22"/>
                <w:szCs w:val="22"/>
              </w:rPr>
            </w:pPr>
          </w:p>
        </w:tc>
        <w:tc>
          <w:tcPr>
            <w:tcW w:w="992" w:type="dxa"/>
            <w:tcBorders>
              <w:top w:val="single" w:sz="4" w:space="0" w:color="auto"/>
              <w:left w:val="single" w:sz="4" w:space="0" w:color="auto"/>
              <w:bottom w:val="single" w:sz="4" w:space="0" w:color="auto"/>
              <w:right w:val="single" w:sz="4" w:space="0" w:color="auto"/>
            </w:tcBorders>
          </w:tcPr>
          <w:p w14:paraId="39FC3602" w14:textId="77777777" w:rsidR="007E0899" w:rsidRPr="00BA2B8E" w:rsidRDefault="007E0899" w:rsidP="00447EB1">
            <w:pPr>
              <w:pStyle w:val="NoSpacing"/>
              <w:jc w:val="center"/>
              <w:rPr>
                <w:rFonts w:ascii="Calibri" w:hAnsi="Calibri" w:cs="Calibri"/>
                <w:bCs/>
                <w:sz w:val="22"/>
                <w:szCs w:val="22"/>
              </w:rPr>
            </w:pPr>
            <w:r w:rsidRPr="00BA2B8E">
              <w:rPr>
                <w:rFonts w:ascii="Calibri" w:hAnsi="Calibri" w:cs="Calibri"/>
                <w:bCs/>
                <w:sz w:val="22"/>
                <w:szCs w:val="22"/>
              </w:rPr>
              <w:t>Year 1</w:t>
            </w:r>
          </w:p>
        </w:tc>
        <w:tc>
          <w:tcPr>
            <w:tcW w:w="850" w:type="dxa"/>
            <w:tcBorders>
              <w:top w:val="single" w:sz="4" w:space="0" w:color="auto"/>
              <w:left w:val="single" w:sz="4" w:space="0" w:color="auto"/>
              <w:bottom w:val="single" w:sz="4" w:space="0" w:color="auto"/>
              <w:right w:val="single" w:sz="4" w:space="0" w:color="auto"/>
            </w:tcBorders>
          </w:tcPr>
          <w:p w14:paraId="1BB0C1DF" w14:textId="77777777" w:rsidR="007E0899" w:rsidRPr="00BA2B8E" w:rsidRDefault="007E0899" w:rsidP="00447EB1">
            <w:pPr>
              <w:pStyle w:val="NoSpacing"/>
              <w:jc w:val="center"/>
              <w:rPr>
                <w:rFonts w:ascii="Calibri" w:hAnsi="Calibri" w:cs="Calibri"/>
                <w:bCs/>
                <w:sz w:val="22"/>
                <w:szCs w:val="22"/>
              </w:rPr>
            </w:pPr>
            <w:r w:rsidRPr="00BA2B8E">
              <w:rPr>
                <w:rFonts w:ascii="Calibri" w:hAnsi="Calibri" w:cs="Calibri"/>
                <w:bCs/>
                <w:sz w:val="22"/>
                <w:szCs w:val="22"/>
              </w:rPr>
              <w:t>Year 2</w:t>
            </w:r>
          </w:p>
        </w:tc>
        <w:tc>
          <w:tcPr>
            <w:tcW w:w="1043" w:type="dxa"/>
            <w:tcBorders>
              <w:top w:val="single" w:sz="4" w:space="0" w:color="auto"/>
              <w:left w:val="single" w:sz="4" w:space="0" w:color="auto"/>
              <w:bottom w:val="single" w:sz="4" w:space="0" w:color="auto"/>
            </w:tcBorders>
          </w:tcPr>
          <w:p w14:paraId="670A4500" w14:textId="77777777" w:rsidR="007E0899" w:rsidRPr="00BA2B8E" w:rsidRDefault="007E0899" w:rsidP="00447EB1">
            <w:pPr>
              <w:pStyle w:val="NoSpacing"/>
              <w:jc w:val="center"/>
              <w:rPr>
                <w:rFonts w:ascii="Calibri" w:hAnsi="Calibri" w:cs="Calibri"/>
                <w:bCs/>
                <w:sz w:val="22"/>
                <w:szCs w:val="22"/>
              </w:rPr>
            </w:pPr>
            <w:r w:rsidRPr="00BA2B8E">
              <w:rPr>
                <w:rFonts w:ascii="Calibri" w:hAnsi="Calibri" w:cs="Calibri"/>
                <w:bCs/>
                <w:sz w:val="22"/>
                <w:szCs w:val="22"/>
              </w:rPr>
              <w:t>Year 3</w:t>
            </w:r>
          </w:p>
        </w:tc>
      </w:tr>
      <w:tr w:rsidR="007159E2" w:rsidRPr="00BA2B8E" w14:paraId="1F64BB12" w14:textId="77777777" w:rsidTr="007159E2">
        <w:tc>
          <w:tcPr>
            <w:tcW w:w="5637" w:type="dxa"/>
            <w:tcBorders>
              <w:top w:val="single" w:sz="4" w:space="0" w:color="auto"/>
              <w:bottom w:val="single" w:sz="4" w:space="0" w:color="auto"/>
              <w:right w:val="single" w:sz="4" w:space="0" w:color="auto"/>
            </w:tcBorders>
          </w:tcPr>
          <w:p w14:paraId="52FA1322" w14:textId="5691D018" w:rsidR="007159E2" w:rsidRPr="00845070" w:rsidRDefault="007159E2" w:rsidP="00447EB1">
            <w:pPr>
              <w:pStyle w:val="NoSpacing"/>
              <w:rPr>
                <w:rFonts w:ascii="Calibri" w:hAnsi="Calibri" w:cs="Calibri"/>
                <w:bCs/>
                <w:sz w:val="22"/>
                <w:szCs w:val="22"/>
              </w:rPr>
            </w:pPr>
            <w:r w:rsidRPr="00845070">
              <w:rPr>
                <w:rFonts w:ascii="Calibri" w:hAnsi="Calibri" w:cs="Calibri"/>
                <w:bCs/>
                <w:sz w:val="22"/>
                <w:szCs w:val="22"/>
              </w:rPr>
              <w:t xml:space="preserve">Proportion of non-splenectomised patients receiving an initial or grandfathered application for </w:t>
            </w:r>
            <w:proofErr w:type="spellStart"/>
            <w:r w:rsidRPr="00845070">
              <w:rPr>
                <w:rFonts w:ascii="Calibri" w:hAnsi="Calibri" w:cs="Calibri"/>
                <w:bCs/>
                <w:sz w:val="22"/>
                <w:szCs w:val="22"/>
              </w:rPr>
              <w:t>romiplostim</w:t>
            </w:r>
            <w:proofErr w:type="spellEnd"/>
          </w:p>
        </w:tc>
        <w:tc>
          <w:tcPr>
            <w:tcW w:w="992" w:type="dxa"/>
            <w:tcBorders>
              <w:top w:val="single" w:sz="4" w:space="0" w:color="auto"/>
              <w:left w:val="single" w:sz="4" w:space="0" w:color="auto"/>
              <w:bottom w:val="single" w:sz="4" w:space="0" w:color="auto"/>
              <w:right w:val="single" w:sz="4" w:space="0" w:color="auto"/>
            </w:tcBorders>
          </w:tcPr>
          <w:p w14:paraId="5EBCD6CB" w14:textId="0C84A535" w:rsidR="007159E2" w:rsidRPr="00845070" w:rsidRDefault="00676A8F" w:rsidP="00447EB1">
            <w:pPr>
              <w:pStyle w:val="NoSpacing"/>
              <w:jc w:val="center"/>
              <w:rPr>
                <w:rFonts w:ascii="Calibri" w:hAnsi="Calibri" w:cs="Calibri"/>
                <w:bCs/>
                <w:sz w:val="22"/>
                <w:szCs w:val="22"/>
              </w:rPr>
            </w:pPr>
            <w:r w:rsidRPr="00845070">
              <w:rPr>
                <w:rFonts w:ascii="Calibri" w:hAnsi="Calibri" w:cs="Calibri"/>
                <w:bCs/>
                <w:sz w:val="22"/>
                <w:szCs w:val="22"/>
              </w:rPr>
              <w:t>46</w:t>
            </w:r>
            <w:r w:rsidR="007159E2" w:rsidRPr="00845070">
              <w:rPr>
                <w:rFonts w:ascii="Calibri" w:hAnsi="Calibri" w:cs="Calibri"/>
                <w:bCs/>
                <w:sz w:val="22"/>
                <w:szCs w:val="22"/>
              </w:rPr>
              <w:t>%</w:t>
            </w:r>
          </w:p>
        </w:tc>
        <w:tc>
          <w:tcPr>
            <w:tcW w:w="850" w:type="dxa"/>
            <w:tcBorders>
              <w:top w:val="single" w:sz="4" w:space="0" w:color="auto"/>
              <w:left w:val="single" w:sz="4" w:space="0" w:color="auto"/>
              <w:bottom w:val="single" w:sz="4" w:space="0" w:color="auto"/>
              <w:right w:val="single" w:sz="4" w:space="0" w:color="auto"/>
            </w:tcBorders>
          </w:tcPr>
          <w:p w14:paraId="0D89029D" w14:textId="7CB3B410" w:rsidR="007159E2" w:rsidRPr="00845070" w:rsidRDefault="007159E2" w:rsidP="00447EB1">
            <w:pPr>
              <w:pStyle w:val="NoSpacing"/>
              <w:jc w:val="center"/>
              <w:rPr>
                <w:rFonts w:ascii="Calibri" w:hAnsi="Calibri" w:cs="Calibri"/>
                <w:bCs/>
                <w:sz w:val="22"/>
                <w:szCs w:val="22"/>
              </w:rPr>
            </w:pPr>
            <w:r w:rsidRPr="00845070">
              <w:rPr>
                <w:rFonts w:ascii="Calibri" w:hAnsi="Calibri" w:cs="Calibri"/>
                <w:bCs/>
                <w:sz w:val="22"/>
                <w:szCs w:val="22"/>
              </w:rPr>
              <w:t>68%</w:t>
            </w:r>
          </w:p>
        </w:tc>
        <w:tc>
          <w:tcPr>
            <w:tcW w:w="1043" w:type="dxa"/>
            <w:tcBorders>
              <w:top w:val="single" w:sz="4" w:space="0" w:color="auto"/>
              <w:left w:val="single" w:sz="4" w:space="0" w:color="auto"/>
              <w:bottom w:val="single" w:sz="4" w:space="0" w:color="auto"/>
            </w:tcBorders>
          </w:tcPr>
          <w:p w14:paraId="5C3604D8" w14:textId="16507509" w:rsidR="007159E2" w:rsidRPr="00845070" w:rsidRDefault="007159E2" w:rsidP="00447EB1">
            <w:pPr>
              <w:pStyle w:val="NoSpacing"/>
              <w:jc w:val="center"/>
              <w:rPr>
                <w:rFonts w:ascii="Calibri" w:hAnsi="Calibri" w:cs="Calibri"/>
                <w:bCs/>
                <w:sz w:val="22"/>
                <w:szCs w:val="22"/>
              </w:rPr>
            </w:pPr>
            <w:r w:rsidRPr="00845070">
              <w:rPr>
                <w:rFonts w:ascii="Calibri" w:hAnsi="Calibri" w:cs="Calibri"/>
                <w:bCs/>
                <w:sz w:val="22"/>
                <w:szCs w:val="22"/>
              </w:rPr>
              <w:t>76%</w:t>
            </w:r>
          </w:p>
        </w:tc>
      </w:tr>
      <w:tr w:rsidR="007159E2" w:rsidRPr="00BA2B8E" w14:paraId="1FAA1DE0" w14:textId="77777777" w:rsidTr="007159E2">
        <w:tc>
          <w:tcPr>
            <w:tcW w:w="5637" w:type="dxa"/>
            <w:tcBorders>
              <w:top w:val="single" w:sz="4" w:space="0" w:color="auto"/>
              <w:bottom w:val="single" w:sz="4" w:space="0" w:color="auto"/>
              <w:right w:val="single" w:sz="4" w:space="0" w:color="auto"/>
            </w:tcBorders>
          </w:tcPr>
          <w:p w14:paraId="27C68242" w14:textId="27A69790" w:rsidR="007159E2" w:rsidRPr="00845070" w:rsidRDefault="007159E2" w:rsidP="00447EB1">
            <w:pPr>
              <w:pStyle w:val="NoSpacing"/>
              <w:rPr>
                <w:rFonts w:ascii="Calibri" w:hAnsi="Calibri" w:cs="Calibri"/>
                <w:bCs/>
                <w:sz w:val="22"/>
                <w:szCs w:val="22"/>
              </w:rPr>
            </w:pPr>
            <w:r w:rsidRPr="00845070">
              <w:rPr>
                <w:rFonts w:ascii="Calibri" w:hAnsi="Calibri" w:cs="Calibri"/>
                <w:bCs/>
                <w:sz w:val="22"/>
                <w:szCs w:val="22"/>
              </w:rPr>
              <w:t xml:space="preserve">Number of patients receiving an initial or grandfathered application for </w:t>
            </w:r>
            <w:proofErr w:type="spellStart"/>
            <w:r w:rsidRPr="00845070">
              <w:rPr>
                <w:rFonts w:ascii="Calibri" w:hAnsi="Calibri" w:cs="Calibri"/>
                <w:bCs/>
                <w:sz w:val="22"/>
                <w:szCs w:val="22"/>
              </w:rPr>
              <w:t>romiplostim</w:t>
            </w:r>
            <w:proofErr w:type="spellEnd"/>
          </w:p>
        </w:tc>
        <w:tc>
          <w:tcPr>
            <w:tcW w:w="992" w:type="dxa"/>
            <w:tcBorders>
              <w:top w:val="single" w:sz="4" w:space="0" w:color="auto"/>
              <w:left w:val="single" w:sz="4" w:space="0" w:color="auto"/>
              <w:bottom w:val="single" w:sz="4" w:space="0" w:color="auto"/>
              <w:right w:val="single" w:sz="4" w:space="0" w:color="auto"/>
            </w:tcBorders>
          </w:tcPr>
          <w:p w14:paraId="057FE743" w14:textId="3D11391E" w:rsidR="007159E2" w:rsidRPr="00845070" w:rsidRDefault="007159E2" w:rsidP="00447EB1">
            <w:pPr>
              <w:pStyle w:val="NoSpacing"/>
              <w:jc w:val="center"/>
              <w:rPr>
                <w:rFonts w:ascii="Calibri" w:hAnsi="Calibri" w:cs="Calibri"/>
                <w:bCs/>
                <w:sz w:val="22"/>
                <w:szCs w:val="22"/>
              </w:rPr>
            </w:pPr>
            <w:r w:rsidRPr="00845070">
              <w:rPr>
                <w:rFonts w:ascii="Calibri" w:hAnsi="Calibri" w:cs="Calibri"/>
                <w:bCs/>
                <w:sz w:val="22"/>
                <w:szCs w:val="22"/>
              </w:rPr>
              <w:t>154</w:t>
            </w:r>
          </w:p>
        </w:tc>
        <w:tc>
          <w:tcPr>
            <w:tcW w:w="850" w:type="dxa"/>
            <w:tcBorders>
              <w:top w:val="single" w:sz="4" w:space="0" w:color="auto"/>
              <w:left w:val="single" w:sz="4" w:space="0" w:color="auto"/>
              <w:bottom w:val="single" w:sz="4" w:space="0" w:color="auto"/>
              <w:right w:val="single" w:sz="4" w:space="0" w:color="auto"/>
            </w:tcBorders>
          </w:tcPr>
          <w:p w14:paraId="16D79B2E" w14:textId="58C90A84" w:rsidR="007159E2" w:rsidRPr="00845070" w:rsidRDefault="007159E2" w:rsidP="00447EB1">
            <w:pPr>
              <w:pStyle w:val="NoSpacing"/>
              <w:jc w:val="center"/>
              <w:rPr>
                <w:rFonts w:ascii="Calibri" w:hAnsi="Calibri" w:cs="Calibri"/>
                <w:bCs/>
                <w:sz w:val="22"/>
                <w:szCs w:val="22"/>
              </w:rPr>
            </w:pPr>
            <w:r w:rsidRPr="00845070">
              <w:rPr>
                <w:rFonts w:ascii="Calibri" w:hAnsi="Calibri" w:cs="Calibri"/>
                <w:bCs/>
                <w:sz w:val="22"/>
                <w:szCs w:val="22"/>
              </w:rPr>
              <w:t>53</w:t>
            </w:r>
          </w:p>
        </w:tc>
        <w:tc>
          <w:tcPr>
            <w:tcW w:w="1043" w:type="dxa"/>
            <w:tcBorders>
              <w:top w:val="single" w:sz="4" w:space="0" w:color="auto"/>
              <w:left w:val="single" w:sz="4" w:space="0" w:color="auto"/>
              <w:bottom w:val="single" w:sz="4" w:space="0" w:color="auto"/>
            </w:tcBorders>
          </w:tcPr>
          <w:p w14:paraId="68690322" w14:textId="33A542E5" w:rsidR="007159E2" w:rsidRPr="00845070" w:rsidRDefault="007159E2" w:rsidP="00447EB1">
            <w:pPr>
              <w:pStyle w:val="NoSpacing"/>
              <w:jc w:val="center"/>
              <w:rPr>
                <w:rFonts w:ascii="Calibri" w:hAnsi="Calibri" w:cs="Calibri"/>
                <w:bCs/>
                <w:sz w:val="22"/>
                <w:szCs w:val="22"/>
              </w:rPr>
            </w:pPr>
            <w:r w:rsidRPr="00845070">
              <w:rPr>
                <w:rFonts w:ascii="Calibri" w:hAnsi="Calibri" w:cs="Calibri"/>
                <w:bCs/>
                <w:sz w:val="22"/>
                <w:szCs w:val="22"/>
              </w:rPr>
              <w:t>45</w:t>
            </w:r>
          </w:p>
        </w:tc>
      </w:tr>
      <w:tr w:rsidR="007159E2" w:rsidRPr="00BA2B8E" w14:paraId="756D5CD0" w14:textId="77777777" w:rsidTr="00447EB1">
        <w:tc>
          <w:tcPr>
            <w:tcW w:w="5637" w:type="dxa"/>
            <w:tcBorders>
              <w:top w:val="single" w:sz="4" w:space="0" w:color="auto"/>
              <w:right w:val="single" w:sz="4" w:space="0" w:color="auto"/>
            </w:tcBorders>
          </w:tcPr>
          <w:p w14:paraId="4B14958C" w14:textId="660415F8" w:rsidR="007159E2" w:rsidRPr="00845070" w:rsidRDefault="007159E2" w:rsidP="00447EB1">
            <w:pPr>
              <w:pStyle w:val="NoSpacing"/>
              <w:rPr>
                <w:rFonts w:ascii="Calibri" w:hAnsi="Calibri" w:cs="Calibri"/>
                <w:bCs/>
                <w:sz w:val="22"/>
                <w:szCs w:val="22"/>
              </w:rPr>
            </w:pPr>
            <w:r w:rsidRPr="00845070">
              <w:rPr>
                <w:rFonts w:ascii="Calibri" w:hAnsi="Calibri" w:cs="Calibri"/>
                <w:bCs/>
                <w:sz w:val="22"/>
                <w:szCs w:val="22"/>
              </w:rPr>
              <w:t xml:space="preserve">Number of non-splenectomised patients receiving an initial or grandfathered application for </w:t>
            </w:r>
            <w:proofErr w:type="spellStart"/>
            <w:r w:rsidRPr="00845070">
              <w:rPr>
                <w:rFonts w:ascii="Calibri" w:hAnsi="Calibri" w:cs="Calibri"/>
                <w:bCs/>
                <w:sz w:val="22"/>
                <w:szCs w:val="22"/>
              </w:rPr>
              <w:t>romiplostim</w:t>
            </w:r>
            <w:proofErr w:type="spellEnd"/>
          </w:p>
        </w:tc>
        <w:tc>
          <w:tcPr>
            <w:tcW w:w="992" w:type="dxa"/>
            <w:tcBorders>
              <w:top w:val="single" w:sz="4" w:space="0" w:color="auto"/>
              <w:left w:val="single" w:sz="4" w:space="0" w:color="auto"/>
              <w:right w:val="single" w:sz="4" w:space="0" w:color="auto"/>
            </w:tcBorders>
          </w:tcPr>
          <w:p w14:paraId="6FB9E8A9" w14:textId="45CBAF93" w:rsidR="007159E2" w:rsidRPr="00845070" w:rsidRDefault="007159E2" w:rsidP="00447EB1">
            <w:pPr>
              <w:pStyle w:val="NoSpacing"/>
              <w:jc w:val="center"/>
              <w:rPr>
                <w:rFonts w:ascii="Calibri" w:hAnsi="Calibri" w:cs="Calibri"/>
                <w:bCs/>
                <w:sz w:val="22"/>
                <w:szCs w:val="22"/>
              </w:rPr>
            </w:pPr>
            <w:r w:rsidRPr="00845070">
              <w:rPr>
                <w:rFonts w:ascii="Calibri" w:hAnsi="Calibri" w:cs="Calibri"/>
                <w:bCs/>
                <w:sz w:val="22"/>
                <w:szCs w:val="22"/>
              </w:rPr>
              <w:t>71</w:t>
            </w:r>
          </w:p>
        </w:tc>
        <w:tc>
          <w:tcPr>
            <w:tcW w:w="850" w:type="dxa"/>
            <w:tcBorders>
              <w:top w:val="single" w:sz="4" w:space="0" w:color="auto"/>
              <w:left w:val="single" w:sz="4" w:space="0" w:color="auto"/>
              <w:right w:val="single" w:sz="4" w:space="0" w:color="auto"/>
            </w:tcBorders>
          </w:tcPr>
          <w:p w14:paraId="4A1F7C34" w14:textId="321B6422" w:rsidR="007159E2" w:rsidRPr="00845070" w:rsidRDefault="007159E2" w:rsidP="00447EB1">
            <w:pPr>
              <w:pStyle w:val="NoSpacing"/>
              <w:jc w:val="center"/>
              <w:rPr>
                <w:rFonts w:ascii="Calibri" w:hAnsi="Calibri" w:cs="Calibri"/>
                <w:bCs/>
                <w:sz w:val="22"/>
                <w:szCs w:val="22"/>
              </w:rPr>
            </w:pPr>
            <w:r w:rsidRPr="00845070">
              <w:rPr>
                <w:rFonts w:ascii="Calibri" w:hAnsi="Calibri" w:cs="Calibri"/>
                <w:bCs/>
                <w:sz w:val="22"/>
                <w:szCs w:val="22"/>
              </w:rPr>
              <w:t>36</w:t>
            </w:r>
          </w:p>
        </w:tc>
        <w:tc>
          <w:tcPr>
            <w:tcW w:w="1043" w:type="dxa"/>
            <w:tcBorders>
              <w:top w:val="single" w:sz="4" w:space="0" w:color="auto"/>
              <w:left w:val="single" w:sz="4" w:space="0" w:color="auto"/>
            </w:tcBorders>
          </w:tcPr>
          <w:p w14:paraId="34ECA471" w14:textId="5FDD3C00" w:rsidR="007159E2" w:rsidRPr="00845070" w:rsidRDefault="007159E2" w:rsidP="00447EB1">
            <w:pPr>
              <w:pStyle w:val="NoSpacing"/>
              <w:jc w:val="center"/>
              <w:rPr>
                <w:rFonts w:ascii="Calibri" w:hAnsi="Calibri" w:cs="Calibri"/>
                <w:bCs/>
                <w:sz w:val="22"/>
                <w:szCs w:val="22"/>
              </w:rPr>
            </w:pPr>
            <w:r w:rsidRPr="00845070">
              <w:rPr>
                <w:rFonts w:ascii="Calibri" w:hAnsi="Calibri" w:cs="Calibri"/>
                <w:bCs/>
                <w:sz w:val="22"/>
                <w:szCs w:val="22"/>
              </w:rPr>
              <w:t>34</w:t>
            </w:r>
          </w:p>
        </w:tc>
      </w:tr>
    </w:tbl>
    <w:p w14:paraId="76696AE4" w14:textId="77777777" w:rsidR="007E0899" w:rsidRPr="00BA2B8E" w:rsidRDefault="007E0899" w:rsidP="007E0899">
      <w:pPr>
        <w:pStyle w:val="NoSpacing"/>
        <w:rPr>
          <w:rFonts w:ascii="Calibri" w:hAnsi="Calibri" w:cs="Calibri"/>
          <w:bCs/>
          <w:sz w:val="22"/>
          <w:szCs w:val="22"/>
        </w:rPr>
      </w:pPr>
      <w:r w:rsidRPr="00BA2B8E">
        <w:rPr>
          <w:rFonts w:ascii="Calibri" w:hAnsi="Calibri" w:cs="Calibri"/>
          <w:bCs/>
          <w:sz w:val="22"/>
          <w:szCs w:val="22"/>
        </w:rPr>
        <w:t>Source: Department of Human Services, 4 May 2015.</w:t>
      </w:r>
    </w:p>
    <w:p w14:paraId="423AD472" w14:textId="77777777" w:rsidR="005C29E5" w:rsidRDefault="005C29E5" w:rsidP="004D4814"/>
    <w:p w14:paraId="1FA71747" w14:textId="7E094EC8" w:rsidR="00F04D40" w:rsidRDefault="00F04D40" w:rsidP="00E71735">
      <w:pPr>
        <w:spacing w:after="0"/>
        <w:rPr>
          <w:bCs/>
        </w:rPr>
      </w:pPr>
      <w:r>
        <w:lastRenderedPageBreak/>
        <w:t xml:space="preserve">Patients who have a medical contraindication to splenectomy, or are refractory to splenectomy, are eligible to receive second-line TRA therapy. Based on a literature review of case series from </w:t>
      </w:r>
      <w:r w:rsidRPr="009F5DA7">
        <w:rPr>
          <w:highlight w:val="black"/>
        </w:rPr>
        <w:t>XXXXXXXXXXXXXXXXXXXXXXXXXXXXXX</w:t>
      </w:r>
      <w:r>
        <w:t xml:space="preserve"> </w:t>
      </w:r>
      <w:r w:rsidRPr="004F4E21">
        <w:t>reported a response rat</w:t>
      </w:r>
      <w:r>
        <w:t xml:space="preserve">e to splenectomy of </w:t>
      </w:r>
      <w:r w:rsidRPr="009F5DA7">
        <w:rPr>
          <w:highlight w:val="black"/>
        </w:rPr>
        <w:t>XX</w:t>
      </w:r>
      <w:r w:rsidRPr="004F4E21">
        <w:t xml:space="preserve">%, thus it was assumed </w:t>
      </w:r>
      <w:r>
        <w:t xml:space="preserve">for the modelled estimates that </w:t>
      </w:r>
      <w:r w:rsidRPr="009F5DA7">
        <w:rPr>
          <w:highlight w:val="black"/>
        </w:rPr>
        <w:t>XX</w:t>
      </w:r>
      <w:r w:rsidRPr="00447B60">
        <w:t>% of</w:t>
      </w:r>
      <w:r w:rsidRPr="004F4E21">
        <w:t xml:space="preserve"> patients would be refractory to splenectomy.</w:t>
      </w:r>
      <w:r w:rsidRPr="00E64CC0">
        <w:t xml:space="preserve"> </w:t>
      </w:r>
      <w:r>
        <w:t xml:space="preserve">This assumption appears to be reasonable as it is consistent with more recent analyses of response rates to splenectomy. For example, </w:t>
      </w:r>
      <w:proofErr w:type="spellStart"/>
      <w:r>
        <w:t>Vianelli</w:t>
      </w:r>
      <w:proofErr w:type="spellEnd"/>
      <w:r>
        <w:t xml:space="preserve"> et al. (2013) conducted a retrospective analysis of 233 ITP patients who underwent splenectomy with a minimum ten year follow up period. They reported that a </w:t>
      </w:r>
      <w:r w:rsidRPr="00E64CC0">
        <w:t>long-term stable response</w:t>
      </w:r>
      <w:r>
        <w:t xml:space="preserve"> was achieved in 60% of patients. A requirement for the initiation on TRA therapy is the demonstration of failure or intolerance to prior corticosteroid or immunoglobulin therapy. To predict the eligible population it was assumed that </w:t>
      </w:r>
      <w:r w:rsidRPr="00C05549">
        <w:rPr>
          <w:highlight w:val="black"/>
        </w:rPr>
        <w:t>XX</w:t>
      </w:r>
      <w:r>
        <w:t xml:space="preserve">% of patients would fail prior therapy based on the </w:t>
      </w:r>
      <w:r w:rsidRPr="00C05549">
        <w:rPr>
          <w:highlight w:val="black"/>
        </w:rPr>
        <w:t>XXXXXXXXXXXXXXXXXXXXXXXXXXXXXXXX</w:t>
      </w:r>
      <w:r>
        <w:t>. The response rates to prior therapy can be highly variable, for instance they can range from between 50-80% for dexamethasone or be as low as 23% for methylprednisolone (</w:t>
      </w:r>
      <w:proofErr w:type="spellStart"/>
      <w:r>
        <w:t>Provan</w:t>
      </w:r>
      <w:proofErr w:type="spellEnd"/>
      <w:r>
        <w:t xml:space="preserve"> et al., 2010). Given this variation, it is possible that the number of incident patients was under predicted by underestimating the failure rate on prior therapy. </w:t>
      </w:r>
      <w:r w:rsidRPr="00F46BAF">
        <w:t xml:space="preserve">The </w:t>
      </w:r>
      <w:r w:rsidRPr="00F46BAF">
        <w:rPr>
          <w:bCs/>
        </w:rPr>
        <w:t>DUSC noted that reporting from the National Blood Authority (NBA) indicates that the use of immunoglobulin therapy for idi</w:t>
      </w:r>
      <w:r w:rsidR="00D11A8D">
        <w:rPr>
          <w:bCs/>
        </w:rPr>
        <w:t xml:space="preserve">opathic thrombocytopenic </w:t>
      </w:r>
      <w:proofErr w:type="spellStart"/>
      <w:r w:rsidR="00D11A8D">
        <w:rPr>
          <w:bCs/>
        </w:rPr>
        <w:t>purpura</w:t>
      </w:r>
      <w:proofErr w:type="spellEnd"/>
      <w:r w:rsidRPr="00F46BAF">
        <w:rPr>
          <w:bCs/>
        </w:rPr>
        <w:t xml:space="preserve"> (ITP) has been declining since the financial year that the TRA agents were first listed, as shown in the following table.</w:t>
      </w:r>
    </w:p>
    <w:p w14:paraId="06150405" w14:textId="77777777" w:rsidR="00E71735" w:rsidRPr="00F46BAF" w:rsidRDefault="00E71735" w:rsidP="00E71735">
      <w:pPr>
        <w:spacing w:after="0"/>
        <w:rPr>
          <w:bCs/>
        </w:rPr>
      </w:pPr>
    </w:p>
    <w:tbl>
      <w:tblPr>
        <w:tblStyle w:val="TableGrid"/>
        <w:tblW w:w="0" w:type="auto"/>
        <w:tblLook w:val="04A0" w:firstRow="1" w:lastRow="0" w:firstColumn="1" w:lastColumn="0" w:noHBand="0" w:noVBand="1"/>
        <w:tblCaption w:val="Summary of immunoglobulin therapy use"/>
        <w:tblDescription w:val="Table presenting the number of ITP patients using immunoglobulin therapy in 2011-12, 2012-13 and 2013-14"/>
      </w:tblPr>
      <w:tblGrid>
        <w:gridCol w:w="3794"/>
        <w:gridCol w:w="1559"/>
        <w:gridCol w:w="1559"/>
        <w:gridCol w:w="1610"/>
      </w:tblGrid>
      <w:tr w:rsidR="004D4814" w:rsidRPr="00F46BAF" w14:paraId="7E1B4AA1" w14:textId="77777777" w:rsidTr="00741122">
        <w:trPr>
          <w:tblHeader/>
        </w:trPr>
        <w:tc>
          <w:tcPr>
            <w:tcW w:w="3794" w:type="dxa"/>
            <w:tcBorders>
              <w:top w:val="nil"/>
              <w:left w:val="nil"/>
            </w:tcBorders>
          </w:tcPr>
          <w:p w14:paraId="24675582" w14:textId="77777777" w:rsidR="004D4814" w:rsidRPr="00F46BAF" w:rsidRDefault="004D4814" w:rsidP="00447EB1">
            <w:pPr>
              <w:rPr>
                <w:bCs/>
              </w:rPr>
            </w:pPr>
          </w:p>
        </w:tc>
        <w:tc>
          <w:tcPr>
            <w:tcW w:w="1559" w:type="dxa"/>
          </w:tcPr>
          <w:p w14:paraId="2B48335F" w14:textId="77777777" w:rsidR="004D4814" w:rsidRPr="00F46BAF" w:rsidRDefault="004D4814" w:rsidP="00447EB1">
            <w:pPr>
              <w:jc w:val="center"/>
              <w:rPr>
                <w:bCs/>
              </w:rPr>
            </w:pPr>
            <w:r w:rsidRPr="00F46BAF">
              <w:rPr>
                <w:bCs/>
              </w:rPr>
              <w:t>2011-12</w:t>
            </w:r>
          </w:p>
        </w:tc>
        <w:tc>
          <w:tcPr>
            <w:tcW w:w="1559" w:type="dxa"/>
          </w:tcPr>
          <w:p w14:paraId="0BE78082" w14:textId="77777777" w:rsidR="004D4814" w:rsidRPr="00F46BAF" w:rsidRDefault="004D4814" w:rsidP="00447EB1">
            <w:pPr>
              <w:jc w:val="center"/>
              <w:rPr>
                <w:bCs/>
              </w:rPr>
            </w:pPr>
            <w:r w:rsidRPr="00F46BAF">
              <w:rPr>
                <w:bCs/>
              </w:rPr>
              <w:t>2012-13</w:t>
            </w:r>
          </w:p>
        </w:tc>
        <w:tc>
          <w:tcPr>
            <w:tcW w:w="1610" w:type="dxa"/>
          </w:tcPr>
          <w:p w14:paraId="4B39A928" w14:textId="77777777" w:rsidR="004D4814" w:rsidRPr="00F46BAF" w:rsidRDefault="004D4814" w:rsidP="00447EB1">
            <w:pPr>
              <w:jc w:val="center"/>
              <w:rPr>
                <w:bCs/>
              </w:rPr>
            </w:pPr>
            <w:r w:rsidRPr="00F46BAF">
              <w:rPr>
                <w:bCs/>
              </w:rPr>
              <w:t>2013-14</w:t>
            </w:r>
          </w:p>
        </w:tc>
      </w:tr>
      <w:tr w:rsidR="004D4814" w:rsidRPr="00F46BAF" w14:paraId="737E867C" w14:textId="77777777" w:rsidTr="00447EB1">
        <w:tc>
          <w:tcPr>
            <w:tcW w:w="3794" w:type="dxa"/>
          </w:tcPr>
          <w:p w14:paraId="780B004A" w14:textId="77777777" w:rsidR="004D4814" w:rsidRPr="00F46BAF" w:rsidRDefault="004D4814" w:rsidP="00447EB1">
            <w:pPr>
              <w:rPr>
                <w:bCs/>
              </w:rPr>
            </w:pPr>
            <w:r w:rsidRPr="00F46BAF">
              <w:rPr>
                <w:bCs/>
              </w:rPr>
              <w:t>Total number of ITP patients</w:t>
            </w:r>
          </w:p>
        </w:tc>
        <w:tc>
          <w:tcPr>
            <w:tcW w:w="1559" w:type="dxa"/>
          </w:tcPr>
          <w:p w14:paraId="5917162F" w14:textId="77777777" w:rsidR="004D4814" w:rsidRPr="00F46BAF" w:rsidRDefault="004D4814" w:rsidP="00447EB1">
            <w:pPr>
              <w:jc w:val="center"/>
              <w:rPr>
                <w:bCs/>
              </w:rPr>
            </w:pPr>
            <w:r w:rsidRPr="00F46BAF">
              <w:rPr>
                <w:bCs/>
              </w:rPr>
              <w:t>3,039</w:t>
            </w:r>
          </w:p>
        </w:tc>
        <w:tc>
          <w:tcPr>
            <w:tcW w:w="1559" w:type="dxa"/>
          </w:tcPr>
          <w:p w14:paraId="65BAFA4A" w14:textId="77777777" w:rsidR="004D4814" w:rsidRPr="00F46BAF" w:rsidRDefault="004D4814" w:rsidP="00447EB1">
            <w:pPr>
              <w:jc w:val="center"/>
              <w:rPr>
                <w:bCs/>
              </w:rPr>
            </w:pPr>
            <w:r w:rsidRPr="00F46BAF">
              <w:rPr>
                <w:bCs/>
              </w:rPr>
              <w:t>941</w:t>
            </w:r>
          </w:p>
        </w:tc>
        <w:tc>
          <w:tcPr>
            <w:tcW w:w="1610" w:type="dxa"/>
          </w:tcPr>
          <w:p w14:paraId="5120D454" w14:textId="77777777" w:rsidR="004D4814" w:rsidRPr="00F46BAF" w:rsidRDefault="004D4814" w:rsidP="00447EB1">
            <w:pPr>
              <w:jc w:val="center"/>
              <w:rPr>
                <w:bCs/>
              </w:rPr>
            </w:pPr>
            <w:r w:rsidRPr="00F46BAF">
              <w:rPr>
                <w:bCs/>
              </w:rPr>
              <w:t>878</w:t>
            </w:r>
          </w:p>
        </w:tc>
      </w:tr>
    </w:tbl>
    <w:p w14:paraId="57FA396F" w14:textId="77777777" w:rsidR="004D4814" w:rsidRPr="00F46BAF" w:rsidRDefault="004D4814" w:rsidP="004D4814">
      <w:pPr>
        <w:rPr>
          <w:bCs/>
        </w:rPr>
      </w:pPr>
      <w:r w:rsidRPr="00F46BAF">
        <w:rPr>
          <w:bCs/>
        </w:rPr>
        <w:t>Source: National Blood Authority, ‘</w:t>
      </w:r>
      <w:r w:rsidRPr="00F46BAF">
        <w:rPr>
          <w:bCs/>
          <w:iCs/>
        </w:rPr>
        <w:t>Report on the Issue and Use of Immunoglobulin (Ig)</w:t>
      </w:r>
      <w:r w:rsidRPr="00F46BAF">
        <w:rPr>
          <w:bCs/>
        </w:rPr>
        <w:t>’, Annual Reports for the 2011-12, 2012-13 and 2013-14 financial years.</w:t>
      </w:r>
    </w:p>
    <w:p w14:paraId="2621673E" w14:textId="25B03567" w:rsidR="00CF403A" w:rsidRPr="00F46BAF" w:rsidRDefault="004D3D5C" w:rsidP="00CF403A">
      <w:pPr>
        <w:rPr>
          <w:bCs/>
        </w:rPr>
      </w:pPr>
      <w:r w:rsidRPr="00F46BAF">
        <w:rPr>
          <w:bCs/>
        </w:rPr>
        <w:t xml:space="preserve">The </w:t>
      </w:r>
      <w:r w:rsidR="004D4814" w:rsidRPr="00F46BAF">
        <w:rPr>
          <w:bCs/>
        </w:rPr>
        <w:t xml:space="preserve">DUSC noted AIHW National Hospital Morbidity Database figures which showed a fall in the number of procedures for splenectomy between 2011-12 and 2012-13 (800 vs. 749, respectively). </w:t>
      </w:r>
      <w:r w:rsidR="00562A0E" w:rsidRPr="00F46BAF">
        <w:rPr>
          <w:bCs/>
        </w:rPr>
        <w:t xml:space="preserve">The </w:t>
      </w:r>
      <w:r w:rsidR="004D4814" w:rsidRPr="00F46BAF">
        <w:rPr>
          <w:bCs/>
        </w:rPr>
        <w:t>DUSC noted that in addition to the treatment of ITP there were other factors which would influence this trend, such as splenectomy arising from trauma.</w:t>
      </w:r>
    </w:p>
    <w:p w14:paraId="405D7E4C" w14:textId="77777777" w:rsidR="000A555D" w:rsidRPr="008923F8" w:rsidRDefault="000A555D" w:rsidP="000A555D">
      <w:r>
        <w:t xml:space="preserve">The number of continuing patients has exceeded the estimates from a higher than expected number of patients initiating on TRA therapy (Table 6). The assumed discontinuation rates for patients commencing on the first period of continuing treatment </w:t>
      </w:r>
      <w:r w:rsidRPr="00B63636">
        <w:t>(</w:t>
      </w:r>
      <w:r w:rsidRPr="00DD5EC4">
        <w:rPr>
          <w:highlight w:val="black"/>
        </w:rPr>
        <w:t>XXXX</w:t>
      </w:r>
      <w:r w:rsidRPr="00B63636">
        <w:t xml:space="preserve">% for non-splenectomised based on </w:t>
      </w:r>
      <w:r w:rsidRPr="002553AB">
        <w:rPr>
          <w:highlight w:val="black"/>
        </w:rPr>
        <w:t>XXXXXXXXX</w:t>
      </w:r>
      <w:r>
        <w:t xml:space="preserve"> </w:t>
      </w:r>
      <w:r w:rsidRPr="00B63636">
        <w:t xml:space="preserve">and </w:t>
      </w:r>
      <w:r w:rsidRPr="002553AB">
        <w:rPr>
          <w:highlight w:val="black"/>
        </w:rPr>
        <w:t>XXXXX</w:t>
      </w:r>
      <w:r w:rsidRPr="00B63636">
        <w:t xml:space="preserve">% for splenectomised based on </w:t>
      </w:r>
      <w:r w:rsidRPr="00CE2D9B">
        <w:rPr>
          <w:highlight w:val="black"/>
        </w:rPr>
        <w:t>XXXXXXXXX</w:t>
      </w:r>
      <w:r w:rsidRPr="00B63636">
        <w:t xml:space="preserve">) appear reasonable. For patients initiating TRA therapy in the first year of listing, 78% went on to receive a first course of continuing treatment. The assumption for the annual discontinuation rate </w:t>
      </w:r>
      <w:r w:rsidRPr="0015599C">
        <w:rPr>
          <w:highlight w:val="black"/>
        </w:rPr>
        <w:t>XXX</w:t>
      </w:r>
      <w:r w:rsidRPr="00B63636">
        <w:t>% was significantly</w:t>
      </w:r>
      <w:r>
        <w:t xml:space="preserve"> less than the actual annual discontinuation rates for both </w:t>
      </w:r>
      <w:proofErr w:type="spellStart"/>
      <w:r>
        <w:t>romiplostim</w:t>
      </w:r>
      <w:proofErr w:type="spellEnd"/>
      <w:r>
        <w:t xml:space="preserve"> and </w:t>
      </w:r>
      <w:proofErr w:type="spellStart"/>
      <w:r>
        <w:t>eltrombopag</w:t>
      </w:r>
      <w:proofErr w:type="spellEnd"/>
      <w:r>
        <w:t xml:space="preserve">. Of the 147 patients initiating TRA therapy in the first year of listing, 55% commencing on </w:t>
      </w:r>
      <w:proofErr w:type="spellStart"/>
      <w:r>
        <w:t>romiplostim</w:t>
      </w:r>
      <w:proofErr w:type="spellEnd"/>
      <w:r>
        <w:t xml:space="preserve"> and 78% starting on </w:t>
      </w:r>
      <w:proofErr w:type="spellStart"/>
      <w:r>
        <w:t>eltrombopag</w:t>
      </w:r>
      <w:proofErr w:type="spellEnd"/>
      <w:r>
        <w:t xml:space="preserve"> had discontinued by the third year of listing (Figure 3). Overall, 61% of patients had discontinued after three years of TRA therapy (Figure 3). </w:t>
      </w:r>
    </w:p>
    <w:p w14:paraId="3DDCB31A" w14:textId="72B886F2" w:rsidR="004D4814" w:rsidRPr="004E1F1D" w:rsidRDefault="00447B60" w:rsidP="004D4814">
      <w:r w:rsidRPr="004E1F1D">
        <w:t xml:space="preserve">The </w:t>
      </w:r>
      <w:r w:rsidR="004D4814" w:rsidRPr="004E1F1D">
        <w:t xml:space="preserve">mean daily dose </w:t>
      </w:r>
      <w:r w:rsidRPr="004E1F1D">
        <w:t xml:space="preserve">of </w:t>
      </w:r>
      <w:proofErr w:type="spellStart"/>
      <w:r w:rsidRPr="004E1F1D">
        <w:t>eltrombopag</w:t>
      </w:r>
      <w:proofErr w:type="spellEnd"/>
      <w:r w:rsidRPr="004E1F1D">
        <w:t xml:space="preserve"> for continuers was 54 mg.</w:t>
      </w:r>
      <w:r w:rsidR="004D4814" w:rsidRPr="004E1F1D">
        <w:t xml:space="preserve"> </w:t>
      </w:r>
      <w:r w:rsidR="00C649F5" w:rsidRPr="004E1F1D">
        <w:t xml:space="preserve">The </w:t>
      </w:r>
      <w:r w:rsidR="004D4814" w:rsidRPr="004E1F1D">
        <w:t xml:space="preserve">DUSC considered that the </w:t>
      </w:r>
      <w:proofErr w:type="spellStart"/>
      <w:r w:rsidR="004D4814" w:rsidRPr="004E1F1D">
        <w:t>eltrombopag</w:t>
      </w:r>
      <w:proofErr w:type="spellEnd"/>
      <w:r w:rsidR="004D4814" w:rsidRPr="004E1F1D">
        <w:t xml:space="preserve"> dosing figures indicate that clinicians are treating to target for this agent. </w:t>
      </w:r>
    </w:p>
    <w:p w14:paraId="67D8283B" w14:textId="1CE45AC4" w:rsidR="00175D7E" w:rsidRDefault="00EE7E58" w:rsidP="003C28C7">
      <w:pPr>
        <w:rPr>
          <w:rFonts w:eastAsia="Times New Roman" w:cs="Times New Roman"/>
          <w:szCs w:val="20"/>
        </w:rPr>
      </w:pPr>
      <w:r>
        <w:rPr>
          <w:rFonts w:eastAsia="Times New Roman" w:cs="Times New Roman"/>
          <w:szCs w:val="20"/>
        </w:rPr>
        <w:lastRenderedPageBreak/>
        <w:t xml:space="preserve">For all patients initiating TRA therapy in the first year of listing (n=147), the mean time on therapy was 1.3 years. For this analysis, patients were assumed to have discontinued therapy if </w:t>
      </w:r>
      <w:r w:rsidR="00240102">
        <w:t xml:space="preserve">the date of their last supply of a TRA medicine was greater than 81 days from the specified analysis end date (31 December 2014). That is, three times longer than the median time to re-supply (27 days). </w:t>
      </w:r>
      <w:r w:rsidR="00FA6A72">
        <w:t>It is possible that some patients may have had interrupted treatment for a period longer than 81 days before resuming therapy. A sensitivity analysis was undertaken which doubled the assumption for discontinuation (i.e. an increase from 81 to 160 day</w:t>
      </w:r>
      <w:r w:rsidR="00AD6F72">
        <w:t>s). This was found to have a min</w:t>
      </w:r>
      <w:r w:rsidR="00FA6A72">
        <w:t>imal impact on the results with an additional three patients censored and a slight reduction in the mean time on treatment (1.2 years compared to 1.3 years).</w:t>
      </w:r>
    </w:p>
    <w:p w14:paraId="448AB866" w14:textId="142970E5" w:rsidR="00470022" w:rsidRDefault="001037B3" w:rsidP="003C28C7">
      <w:r>
        <w:t>Of the 147 patients initiating on PBS subsidised TRA therapy during the first year of listing (April 2011 to March 2012), 60 patients (41%) switched from their initial therapy. The mean time on TRA therapy was slightly longer for patients who switched therapy (1.5 years) or who were grandfathered (1.4 years) compared to all initiators (1.3 years).</w:t>
      </w:r>
      <w:r>
        <w:rPr>
          <w:i/>
        </w:rPr>
        <w:t xml:space="preserve"> </w:t>
      </w:r>
      <w:r w:rsidR="008F1EF9" w:rsidRPr="008F1EF9">
        <w:t>Gonzalez-Porras</w:t>
      </w:r>
      <w:r w:rsidR="00794F02">
        <w:t xml:space="preserve"> et al. (2015) reported </w:t>
      </w:r>
      <w:r w:rsidR="00DC44CC">
        <w:t>that response can be well maintained in patients</w:t>
      </w:r>
      <w:r w:rsidR="00F26D62">
        <w:t xml:space="preserve"> after</w:t>
      </w:r>
      <w:r w:rsidR="00DC44CC">
        <w:t xml:space="preserve"> switching from </w:t>
      </w:r>
      <w:proofErr w:type="spellStart"/>
      <w:r w:rsidR="00DC44CC">
        <w:t>romiplostim</w:t>
      </w:r>
      <w:proofErr w:type="spellEnd"/>
      <w:r w:rsidR="00DC44CC">
        <w:t xml:space="preserve"> to </w:t>
      </w:r>
      <w:proofErr w:type="spellStart"/>
      <w:r w:rsidR="00DC44CC">
        <w:t>eltrombopag</w:t>
      </w:r>
      <w:proofErr w:type="spellEnd"/>
      <w:r w:rsidR="00DC44CC">
        <w:t xml:space="preserve">. However, while the majority of participants in this trial had chronic ITP (86%) and the proportion of non-splenectomised patients is similar to that expected for the PBS </w:t>
      </w:r>
      <w:r w:rsidR="00DC44CC" w:rsidRPr="00BB386D">
        <w:t xml:space="preserve">population (around 60%), patients had a longer time on </w:t>
      </w:r>
      <w:proofErr w:type="spellStart"/>
      <w:r w:rsidR="00DC44CC" w:rsidRPr="00BB386D">
        <w:t>romiplostim</w:t>
      </w:r>
      <w:proofErr w:type="spellEnd"/>
      <w:r w:rsidR="00DC44CC" w:rsidRPr="00BB386D">
        <w:t xml:space="preserve"> (median 12 months) prior to switching than the PBS population and one-third of patients had received</w:t>
      </w:r>
      <w:r w:rsidR="00F26D62" w:rsidRPr="00BB386D">
        <w:t xml:space="preserve"> prior</w:t>
      </w:r>
      <w:r w:rsidR="00DC44CC" w:rsidRPr="00BB386D">
        <w:t xml:space="preserve"> rituximab.</w:t>
      </w:r>
      <w:r w:rsidRPr="00BB386D">
        <w:t xml:space="preserve"> </w:t>
      </w:r>
      <w:r w:rsidR="00736E48" w:rsidRPr="00BB386D">
        <w:t xml:space="preserve">The </w:t>
      </w:r>
      <w:r w:rsidRPr="00BB386D">
        <w:rPr>
          <w:bCs/>
        </w:rPr>
        <w:t xml:space="preserve">DUSC noted that there was only a marginal difference between the </w:t>
      </w:r>
      <w:proofErr w:type="gramStart"/>
      <w:r w:rsidRPr="00BB386D">
        <w:rPr>
          <w:bCs/>
        </w:rPr>
        <w:t>time</w:t>
      </w:r>
      <w:proofErr w:type="gramEnd"/>
      <w:r w:rsidRPr="00BB386D">
        <w:rPr>
          <w:bCs/>
        </w:rPr>
        <w:t xml:space="preserve"> on treatment for patients who switched therapy compared to all patients initiating on TRA therapy.</w:t>
      </w:r>
      <w:r w:rsidR="009B40D8" w:rsidRPr="00BB386D">
        <w:rPr>
          <w:bCs/>
        </w:rPr>
        <w:t xml:space="preserve"> </w:t>
      </w:r>
      <w:proofErr w:type="gramStart"/>
      <w:r w:rsidR="00780A0F" w:rsidRPr="00BB386D">
        <w:t>A large proportion (46%) of initiating patients in Year 1 were</w:t>
      </w:r>
      <w:proofErr w:type="gramEnd"/>
      <w:r w:rsidR="00780A0F" w:rsidRPr="00BB386D">
        <w:t xml:space="preserve"> grandfathered. To examine if treatment experienced grandfathered patients may have</w:t>
      </w:r>
      <w:r w:rsidR="00780A0F">
        <w:t xml:space="preserve"> biased the </w:t>
      </w:r>
      <w:r w:rsidR="009B20A8">
        <w:t>length of treatment results</w:t>
      </w:r>
      <w:r w:rsidR="00213907">
        <w:t>,</w:t>
      </w:r>
      <w:r w:rsidR="00780A0F">
        <w:t xml:space="preserve"> their time on treatment was analyse</w:t>
      </w:r>
      <w:r w:rsidR="00213907">
        <w:t>d</w:t>
      </w:r>
      <w:r w:rsidR="00780A0F">
        <w:t xml:space="preserve"> separately (see Figures 6 and 7). Compared to all initiators the mean time on treatment for grandfathered patients was similar (</w:t>
      </w:r>
      <w:r w:rsidR="00213907">
        <w:t>1.4 years (529 days) vs. 1.3 years (461 days), Figures 2 and 6).</w:t>
      </w:r>
      <w:r w:rsidR="00FA20ED">
        <w:t xml:space="preserve"> As such, the inclusion of grandfathered patients in the cohort of initiating patients does not appear to bias the length of treatment results.</w:t>
      </w:r>
    </w:p>
    <w:p w14:paraId="22D4183C" w14:textId="667050A8" w:rsidR="003F39FC" w:rsidRPr="005E22C2" w:rsidRDefault="003F39FC" w:rsidP="003F39FC">
      <w:pPr>
        <w:pStyle w:val="Heading3"/>
      </w:pPr>
      <w:r>
        <w:t>DUSC Consideration</w:t>
      </w:r>
    </w:p>
    <w:p w14:paraId="7396B301" w14:textId="0EE70919" w:rsidR="00C34069" w:rsidRPr="00FD6634" w:rsidRDefault="00E2021D" w:rsidP="00C34069">
      <w:pPr>
        <w:contextualSpacing/>
        <w:rPr>
          <w:bCs/>
        </w:rPr>
      </w:pPr>
      <w:r>
        <w:rPr>
          <w:bCs/>
        </w:rPr>
        <w:t xml:space="preserve">The </w:t>
      </w:r>
      <w:r w:rsidR="00C34069" w:rsidRPr="00FD6634">
        <w:rPr>
          <w:bCs/>
        </w:rPr>
        <w:t xml:space="preserve">DUSC noted that splenectomy has been the established second-line treatment in adults with ITP unresponsive to initial corticosteroid therapy. </w:t>
      </w:r>
      <w:r>
        <w:rPr>
          <w:bCs/>
        </w:rPr>
        <w:t xml:space="preserve">The </w:t>
      </w:r>
      <w:r w:rsidR="00C34069" w:rsidRPr="00FD6634">
        <w:rPr>
          <w:bCs/>
        </w:rPr>
        <w:t xml:space="preserve">DUSC observed the recommendation in current guidelines to defer splenectomy for at least one year after the time of ITP diagnosis as a large proportion of patients enter remission during that time. </w:t>
      </w:r>
      <w:r>
        <w:rPr>
          <w:bCs/>
        </w:rPr>
        <w:t xml:space="preserve">The </w:t>
      </w:r>
      <w:r w:rsidR="00C34069" w:rsidRPr="00FD6634">
        <w:rPr>
          <w:bCs/>
        </w:rPr>
        <w:t xml:space="preserve">DUSC noted that around two thirds of patients achieve normal platelet counts post-splenectomy with no additional therapy required and most of the remainder have an improvement in platelet counts. </w:t>
      </w:r>
    </w:p>
    <w:p w14:paraId="775E2FBD" w14:textId="77777777" w:rsidR="00C34069" w:rsidRPr="00FD6634" w:rsidRDefault="00C34069" w:rsidP="00C34069">
      <w:pPr>
        <w:contextualSpacing/>
        <w:rPr>
          <w:bCs/>
        </w:rPr>
      </w:pPr>
    </w:p>
    <w:p w14:paraId="735A4D22" w14:textId="2ECBFABA" w:rsidR="00C34069" w:rsidRPr="00FD6634" w:rsidRDefault="00E2021D" w:rsidP="00C34069">
      <w:pPr>
        <w:contextualSpacing/>
        <w:rPr>
          <w:bCs/>
        </w:rPr>
      </w:pPr>
      <w:r>
        <w:rPr>
          <w:bCs/>
        </w:rPr>
        <w:t xml:space="preserve">The </w:t>
      </w:r>
      <w:r w:rsidR="00C34069" w:rsidRPr="00FD6634">
        <w:rPr>
          <w:bCs/>
        </w:rPr>
        <w:t xml:space="preserve">DUSC noted the advice from the </w:t>
      </w:r>
      <w:r w:rsidR="00967C42" w:rsidRPr="00FD6634">
        <w:rPr>
          <w:bCs/>
        </w:rPr>
        <w:t xml:space="preserve">Haematology Society of Australia and New Zealand (HSANZ) and the Australasian Society of Thrombosis and Haemostasis (ASTH) </w:t>
      </w:r>
      <w:r w:rsidR="00C34069" w:rsidRPr="00FD6634">
        <w:rPr>
          <w:bCs/>
        </w:rPr>
        <w:t xml:space="preserve">that there are emerging risks associated with splenectomy which may impact on its acceptability to physicians and patients, including malignancy, a greater risk of venous thromboembolism and sepsis. </w:t>
      </w:r>
      <w:r w:rsidR="009E1B2B">
        <w:rPr>
          <w:bCs/>
        </w:rPr>
        <w:t xml:space="preserve">The </w:t>
      </w:r>
      <w:r w:rsidR="00C34069" w:rsidRPr="00FD6634">
        <w:rPr>
          <w:bCs/>
        </w:rPr>
        <w:t xml:space="preserve">DUSC considered that the introduction of TRA therapy may have altered practice to divert patients from splenectomy. </w:t>
      </w:r>
      <w:r w:rsidR="00D867B6">
        <w:rPr>
          <w:bCs/>
        </w:rPr>
        <w:t xml:space="preserve">The </w:t>
      </w:r>
      <w:r w:rsidR="00C34069" w:rsidRPr="00FD6634">
        <w:rPr>
          <w:bCs/>
        </w:rPr>
        <w:t xml:space="preserve">DUSC noted that over the first three </w:t>
      </w:r>
      <w:r w:rsidR="00C34069" w:rsidRPr="00FD6634">
        <w:rPr>
          <w:bCs/>
        </w:rPr>
        <w:lastRenderedPageBreak/>
        <w:t xml:space="preserve">years of listing, there was an increasing trend towards patients initiating on </w:t>
      </w:r>
      <w:proofErr w:type="spellStart"/>
      <w:r w:rsidR="00C34069" w:rsidRPr="00FD6634">
        <w:rPr>
          <w:bCs/>
        </w:rPr>
        <w:t>romiplostim</w:t>
      </w:r>
      <w:proofErr w:type="spellEnd"/>
      <w:r w:rsidR="00C34069" w:rsidRPr="00FD6634">
        <w:rPr>
          <w:bCs/>
        </w:rPr>
        <w:t xml:space="preserve"> being non-splenectomised. </w:t>
      </w:r>
      <w:r w:rsidR="009E1B2B">
        <w:rPr>
          <w:bCs/>
        </w:rPr>
        <w:t xml:space="preserve">The </w:t>
      </w:r>
      <w:r w:rsidR="00C34069" w:rsidRPr="00FD6634">
        <w:rPr>
          <w:bCs/>
        </w:rPr>
        <w:t xml:space="preserve">DUSC observed that under the current restrictions there are no set guidelines to establish eligibility for a TRA on the basis of a medical contraindication to surgery. The supporting documentation required is in the form of a letter from the clinician making the assessment stating the clinical reasons why surgery is contraindicated. </w:t>
      </w:r>
      <w:r w:rsidR="00744307">
        <w:rPr>
          <w:bCs/>
        </w:rPr>
        <w:t xml:space="preserve">The </w:t>
      </w:r>
      <w:r w:rsidR="00C34069" w:rsidRPr="00FD6634">
        <w:rPr>
          <w:bCs/>
        </w:rPr>
        <w:t>DUSC considered that the PBAC may wish to seek advice from clinicians on the guidelines and criteria which are used to establish contraindication to splenectomy.</w:t>
      </w:r>
    </w:p>
    <w:p w14:paraId="42A57BE3" w14:textId="77777777" w:rsidR="00C34069" w:rsidRPr="00FD6634" w:rsidRDefault="00C34069" w:rsidP="00C34069">
      <w:pPr>
        <w:contextualSpacing/>
        <w:rPr>
          <w:bCs/>
        </w:rPr>
      </w:pPr>
    </w:p>
    <w:p w14:paraId="36A1660F" w14:textId="77777777" w:rsidR="00C34069" w:rsidRPr="00FD6634" w:rsidRDefault="00C34069" w:rsidP="00C34069">
      <w:pPr>
        <w:contextualSpacing/>
        <w:rPr>
          <w:bCs/>
        </w:rPr>
      </w:pPr>
      <w:r w:rsidRPr="00FD6634">
        <w:rPr>
          <w:bCs/>
        </w:rPr>
        <w:t xml:space="preserve">Another way that the introduction of TRA therapy may have altered practice is the reduction in use of other immunotherapies such as rituximab. As rituximab is not PBS subsidised for chronic ITP, such use would be through public hospitals or private supply, the utilisation of which cannot be assessed from the PBS prescriptions data. </w:t>
      </w:r>
    </w:p>
    <w:p w14:paraId="68D51767" w14:textId="77777777" w:rsidR="00C34069" w:rsidRPr="00FD6634" w:rsidRDefault="00C34069" w:rsidP="00C34069">
      <w:pPr>
        <w:contextualSpacing/>
        <w:rPr>
          <w:bCs/>
        </w:rPr>
      </w:pPr>
    </w:p>
    <w:p w14:paraId="73185727" w14:textId="0D840863" w:rsidR="00C34069" w:rsidRPr="00FD6634" w:rsidRDefault="00655777" w:rsidP="00C34069">
      <w:pPr>
        <w:rPr>
          <w:bCs/>
        </w:rPr>
      </w:pPr>
      <w:r>
        <w:rPr>
          <w:bCs/>
        </w:rPr>
        <w:t xml:space="preserve">The </w:t>
      </w:r>
      <w:r w:rsidR="00C34069" w:rsidRPr="00FD6634">
        <w:rPr>
          <w:bCs/>
        </w:rPr>
        <w:t xml:space="preserve">DUSC noted that the mean time on treatment of 1.3 years for all initiating patients was lower than expected based on clinical trial data. </w:t>
      </w:r>
      <w:r>
        <w:rPr>
          <w:bCs/>
        </w:rPr>
        <w:t xml:space="preserve">The </w:t>
      </w:r>
      <w:r w:rsidR="00C34069" w:rsidRPr="00FD6634">
        <w:rPr>
          <w:bCs/>
        </w:rPr>
        <w:t>DUSC considered that the provision in the restriction to allow treatment breaks and re-initiation without the need to requalify encourages appropriate use of the TRAs. The HSANZ and ASTH advised that clinicians may attempt to wean or withdraw therapy once durable complete remission is achieved. Furthermore, experienced clinicians may accept a lower range of platelet counts also minimising patient exposure and thus overall utilisation of TRAs.</w:t>
      </w:r>
    </w:p>
    <w:p w14:paraId="7A35CDE2" w14:textId="534F12DB" w:rsidR="00C34069" w:rsidRPr="00FD6634" w:rsidRDefault="00D45AA5" w:rsidP="00C34069">
      <w:pPr>
        <w:rPr>
          <w:bCs/>
        </w:rPr>
      </w:pPr>
      <w:r>
        <w:rPr>
          <w:bCs/>
        </w:rPr>
        <w:t xml:space="preserve">The </w:t>
      </w:r>
      <w:r w:rsidR="00C34069" w:rsidRPr="00FD6634">
        <w:rPr>
          <w:bCs/>
        </w:rPr>
        <w:t xml:space="preserve">DUSC recalled the November 2014 submission for </w:t>
      </w:r>
      <w:proofErr w:type="spellStart"/>
      <w:r w:rsidR="00C34069" w:rsidRPr="00FD6634">
        <w:rPr>
          <w:bCs/>
        </w:rPr>
        <w:t>eltrombopag</w:t>
      </w:r>
      <w:proofErr w:type="spellEnd"/>
      <w:r w:rsidR="00C34069" w:rsidRPr="00FD6634">
        <w:rPr>
          <w:bCs/>
        </w:rPr>
        <w:t xml:space="preserve"> which sought to amend the restriction to allow switching of TRA therapy beyond 24 weeks. </w:t>
      </w:r>
      <w:r w:rsidR="0047666A">
        <w:rPr>
          <w:bCs/>
        </w:rPr>
        <w:t xml:space="preserve">The </w:t>
      </w:r>
      <w:r w:rsidR="00C34069" w:rsidRPr="00FD6634">
        <w:rPr>
          <w:bCs/>
        </w:rPr>
        <w:t xml:space="preserve">DUSC noted the PBAC’s concerns that allowing switching in stable patients might prolong TRA therapy unnecessarily. Patients on </w:t>
      </w:r>
      <w:proofErr w:type="spellStart"/>
      <w:r w:rsidR="00C34069" w:rsidRPr="00FD6634">
        <w:rPr>
          <w:bCs/>
        </w:rPr>
        <w:t>romiplostim</w:t>
      </w:r>
      <w:proofErr w:type="spellEnd"/>
      <w:r w:rsidR="00C34069" w:rsidRPr="00FD6634">
        <w:rPr>
          <w:bCs/>
        </w:rPr>
        <w:t xml:space="preserve"> who may only need episodic therapy could instead take oral </w:t>
      </w:r>
      <w:proofErr w:type="spellStart"/>
      <w:r w:rsidR="00C34069" w:rsidRPr="00FD6634">
        <w:rPr>
          <w:bCs/>
        </w:rPr>
        <w:t>eltrombopag</w:t>
      </w:r>
      <w:proofErr w:type="spellEnd"/>
      <w:r w:rsidR="00C34069" w:rsidRPr="00FD6634">
        <w:rPr>
          <w:bCs/>
        </w:rPr>
        <w:t xml:space="preserve"> rather than having a trial off therapy. However, the DUSC observed that the mean time on TRA therapy was similar for all initiating patients compared to those who switched their therapy. </w:t>
      </w:r>
      <w:r w:rsidR="008255C6">
        <w:rPr>
          <w:bCs/>
        </w:rPr>
        <w:t xml:space="preserve">The </w:t>
      </w:r>
      <w:r w:rsidR="00C34069" w:rsidRPr="00FD6634">
        <w:rPr>
          <w:bCs/>
        </w:rPr>
        <w:t xml:space="preserve">DUSC noted the response from the HSANZ and ASTH that, in addition to an inadequate response or loss of response, switching occurs for several other reasons. For </w:t>
      </w:r>
      <w:proofErr w:type="spellStart"/>
      <w:r w:rsidR="00C34069" w:rsidRPr="00FD6634">
        <w:rPr>
          <w:bCs/>
        </w:rPr>
        <w:t>romiplostim</w:t>
      </w:r>
      <w:proofErr w:type="spellEnd"/>
      <w:r w:rsidR="00C34069" w:rsidRPr="00FD6634">
        <w:rPr>
          <w:bCs/>
        </w:rPr>
        <w:t xml:space="preserve">, patients can experience intolerance or discomfort with injected therapy and may lack the competency to self-administer subcutaneous injections. Patients may prefer the convenience of less frequent </w:t>
      </w:r>
      <w:proofErr w:type="spellStart"/>
      <w:r w:rsidR="00C34069" w:rsidRPr="00FD6634">
        <w:rPr>
          <w:bCs/>
        </w:rPr>
        <w:t>romiplostim</w:t>
      </w:r>
      <w:proofErr w:type="spellEnd"/>
      <w:r w:rsidR="00C34069" w:rsidRPr="00FD6634">
        <w:rPr>
          <w:bCs/>
        </w:rPr>
        <w:t xml:space="preserve"> injections rather than taking daily oral </w:t>
      </w:r>
      <w:proofErr w:type="spellStart"/>
      <w:r w:rsidR="00C34069" w:rsidRPr="00FD6634">
        <w:rPr>
          <w:bCs/>
        </w:rPr>
        <w:t>eltrombopag</w:t>
      </w:r>
      <w:proofErr w:type="spellEnd"/>
      <w:r w:rsidR="00C34069" w:rsidRPr="00FD6634">
        <w:rPr>
          <w:bCs/>
        </w:rPr>
        <w:t xml:space="preserve">.  Patients may also experience difficulty in adhering to the dietary requirements for </w:t>
      </w:r>
      <w:proofErr w:type="spellStart"/>
      <w:r w:rsidR="00C34069" w:rsidRPr="00FD6634">
        <w:rPr>
          <w:bCs/>
        </w:rPr>
        <w:t>eltrombopag</w:t>
      </w:r>
      <w:proofErr w:type="spellEnd"/>
      <w:r w:rsidR="00C34069" w:rsidRPr="00FD6634">
        <w:rPr>
          <w:bCs/>
        </w:rPr>
        <w:t xml:space="preserve"> (exclusion of concomitant ingestion of divalent </w:t>
      </w:r>
      <w:proofErr w:type="spellStart"/>
      <w:r w:rsidR="00C34069" w:rsidRPr="00FD6634">
        <w:rPr>
          <w:bCs/>
        </w:rPr>
        <w:t>cations</w:t>
      </w:r>
      <w:proofErr w:type="spellEnd"/>
      <w:r w:rsidR="00C34069" w:rsidRPr="00FD6634">
        <w:rPr>
          <w:bCs/>
        </w:rPr>
        <w:t>).</w:t>
      </w:r>
    </w:p>
    <w:p w14:paraId="0CD2DDE1" w14:textId="74D8548C" w:rsidR="00C34069" w:rsidRPr="00FD6634" w:rsidRDefault="00DD4FB2" w:rsidP="00C34069">
      <w:pPr>
        <w:rPr>
          <w:bCs/>
        </w:rPr>
      </w:pPr>
      <w:r>
        <w:rPr>
          <w:bCs/>
        </w:rPr>
        <w:t xml:space="preserve">The </w:t>
      </w:r>
      <w:r w:rsidR="00C34069" w:rsidRPr="00FD6634">
        <w:rPr>
          <w:bCs/>
        </w:rPr>
        <w:t>DUSC noted the request from HSANZ and the ASTH to extend the eligibility for continuing TRA therapy to patients with a platelet count of &lt; 10 x 10</w:t>
      </w:r>
      <w:r w:rsidR="00C34069" w:rsidRPr="00FD6634">
        <w:rPr>
          <w:bCs/>
          <w:vertAlign w:val="superscript"/>
        </w:rPr>
        <w:t>9</w:t>
      </w:r>
      <w:r w:rsidR="00C34069" w:rsidRPr="00FD6634">
        <w:rPr>
          <w:bCs/>
        </w:rPr>
        <w:t>/L before commencement who achieve a post platelet count of 20-30 x 10</w:t>
      </w:r>
      <w:r w:rsidR="00C34069" w:rsidRPr="00FD6634">
        <w:rPr>
          <w:bCs/>
          <w:vertAlign w:val="superscript"/>
        </w:rPr>
        <w:t>9</w:t>
      </w:r>
      <w:r w:rsidR="00C34069" w:rsidRPr="00FD6634">
        <w:rPr>
          <w:bCs/>
        </w:rPr>
        <w:t>/L. Presently, continuing therapy is only available if the platelet count is greater than 30 x 10</w:t>
      </w:r>
      <w:r w:rsidR="00C34069" w:rsidRPr="00FD6634">
        <w:rPr>
          <w:bCs/>
          <w:vertAlign w:val="superscript"/>
        </w:rPr>
        <w:t>9</w:t>
      </w:r>
      <w:r w:rsidR="00C34069" w:rsidRPr="00FD6634">
        <w:rPr>
          <w:bCs/>
        </w:rPr>
        <w:t>/L and if this is double the baseline (pre-treatment) platelet count.</w:t>
      </w:r>
      <w:r w:rsidR="000F66AE">
        <w:rPr>
          <w:bCs/>
        </w:rPr>
        <w:t xml:space="preserve">  The DUSC referred this request to the PBAC</w:t>
      </w:r>
      <w:r w:rsidR="00737FF5">
        <w:rPr>
          <w:bCs/>
        </w:rPr>
        <w:t xml:space="preserve"> for consideration</w:t>
      </w:r>
      <w:r w:rsidR="00AE107D">
        <w:rPr>
          <w:bCs/>
        </w:rPr>
        <w:t>.</w:t>
      </w:r>
    </w:p>
    <w:p w14:paraId="11BA02F0" w14:textId="41E19067" w:rsidR="00162FAF" w:rsidRDefault="00C34069" w:rsidP="00C34069">
      <w:pPr>
        <w:rPr>
          <w:bCs/>
          <w:i/>
        </w:rPr>
      </w:pPr>
      <w:r w:rsidRPr="00FD6634">
        <w:rPr>
          <w:bCs/>
        </w:rPr>
        <w:t xml:space="preserve">Based on annual reporting from the NBA there appears to have been a significant diversion away from immunoglobulin therapy in adult ITP patients over the last three financial years </w:t>
      </w:r>
      <w:r w:rsidRPr="00FD6634">
        <w:rPr>
          <w:bCs/>
        </w:rPr>
        <w:lastRenderedPageBreak/>
        <w:t xml:space="preserve">to 2013-14. </w:t>
      </w:r>
      <w:r w:rsidR="005653A0">
        <w:rPr>
          <w:bCs/>
        </w:rPr>
        <w:t xml:space="preserve">The </w:t>
      </w:r>
      <w:r w:rsidRPr="00FD6634">
        <w:rPr>
          <w:bCs/>
        </w:rPr>
        <w:t>DUSC considered that this could partly reflect a tightening in the criteria to access intravenous immunoglobulin (</w:t>
      </w:r>
      <w:proofErr w:type="spellStart"/>
      <w:r w:rsidRPr="00FD6634">
        <w:rPr>
          <w:bCs/>
        </w:rPr>
        <w:t>IVIg</w:t>
      </w:r>
      <w:proofErr w:type="spellEnd"/>
      <w:r w:rsidRPr="00FD6634">
        <w:rPr>
          <w:bCs/>
        </w:rPr>
        <w:t xml:space="preserve">). </w:t>
      </w:r>
    </w:p>
    <w:p w14:paraId="76731F95" w14:textId="77777777" w:rsidR="00DC202E" w:rsidRDefault="00DC202E" w:rsidP="00DC202E">
      <w:pPr>
        <w:pStyle w:val="Heading3"/>
      </w:pPr>
      <w:r>
        <w:t>DUSC actions</w:t>
      </w:r>
    </w:p>
    <w:p w14:paraId="7AE639A1" w14:textId="77777777" w:rsidR="00F73C22" w:rsidRPr="002A67FF" w:rsidRDefault="00F73C22" w:rsidP="007875CE">
      <w:pPr>
        <w:spacing w:after="0"/>
      </w:pPr>
      <w:r w:rsidRPr="002A67FF">
        <w:t>DUSC referred the report to the PBAC to consider:</w:t>
      </w:r>
    </w:p>
    <w:p w14:paraId="3F82E9F7" w14:textId="640E9DDA" w:rsidR="00F73C22" w:rsidRPr="00F73C22" w:rsidRDefault="007E1A5F" w:rsidP="007875CE">
      <w:pPr>
        <w:pStyle w:val="ListParagraph"/>
        <w:numPr>
          <w:ilvl w:val="0"/>
          <w:numId w:val="20"/>
        </w:numPr>
        <w:spacing w:after="0"/>
      </w:pPr>
      <w:r>
        <w:t>A</w:t>
      </w:r>
      <w:r w:rsidRPr="00A3003A">
        <w:t xml:space="preserve"> request from the</w:t>
      </w:r>
      <w:r>
        <w:t xml:space="preserve"> </w:t>
      </w:r>
      <w:r w:rsidRPr="00FE0EA9">
        <w:t xml:space="preserve">Haematology Society of Australia and New Zealand (HSANZ) and the Australasian Society of Thrombosis and Haemostasis (ASTH) </w:t>
      </w:r>
      <w:r w:rsidRPr="00CD62E0">
        <w:t xml:space="preserve">to </w:t>
      </w:r>
      <w:r>
        <w:t xml:space="preserve">extend </w:t>
      </w:r>
      <w:r w:rsidRPr="00CD62E0">
        <w:t xml:space="preserve">the eligibility for continuing TRA therapy </w:t>
      </w:r>
      <w:r>
        <w:t xml:space="preserve">for patients who do not qualify for ongoing PBS supply based on platelet count alone. </w:t>
      </w:r>
    </w:p>
    <w:p w14:paraId="1C56772F" w14:textId="4B80B4C6" w:rsidR="00F73C22" w:rsidRPr="00F73C22" w:rsidRDefault="007E1A5F" w:rsidP="007875CE">
      <w:pPr>
        <w:pStyle w:val="ListParagraph"/>
        <w:numPr>
          <w:ilvl w:val="0"/>
          <w:numId w:val="20"/>
        </w:numPr>
        <w:spacing w:after="0"/>
      </w:pPr>
      <w:r>
        <w:t>W</w:t>
      </w:r>
      <w:r w:rsidR="00F73C22" w:rsidRPr="00F73C22">
        <w:t xml:space="preserve">hether clinical advice should be sought on the criteria for establishing suitability for splenectomy. </w:t>
      </w:r>
      <w:r w:rsidR="003B697E">
        <w:t xml:space="preserve">The </w:t>
      </w:r>
      <w:r w:rsidR="00F73C22" w:rsidRPr="00F73C22">
        <w:t>DUSC noted that the supporting documentation currently required is in the form of a letter from the clinician stating the clinical reasons why surgery is contraindicated. A checkbox of criteria for establishing contraindication to splenectomy on the authority application form could be an alternate method that would reduce administrative burden for clinicians and improve data collection.</w:t>
      </w:r>
    </w:p>
    <w:p w14:paraId="3B8384C7" w14:textId="77777777" w:rsidR="003678FD" w:rsidRPr="0092516A" w:rsidRDefault="003678FD" w:rsidP="003678FD">
      <w:pPr>
        <w:pStyle w:val="Heading3"/>
      </w:pPr>
      <w:r w:rsidRPr="0092516A">
        <w:t>Context for analysis</w:t>
      </w:r>
    </w:p>
    <w:p w14:paraId="3F8987B5" w14:textId="77777777" w:rsidR="003678FD" w:rsidRPr="00241E48" w:rsidRDefault="003678FD" w:rsidP="003678FD">
      <w:pPr>
        <w:spacing w:after="240"/>
        <w:rPr>
          <w:rFonts w:eastAsiaTheme="majorEastAsia" w:cstheme="majorBidi"/>
          <w:bCs/>
        </w:rPr>
      </w:pPr>
      <w:r w:rsidRPr="00241E48">
        <w:rPr>
          <w:rFonts w:eastAsiaTheme="majorEastAsia" w:cstheme="majorBidi"/>
          <w:bCs/>
        </w:rPr>
        <w:t>The DUSC is a Sub Committee of the Pharmaceutical Benefits Advisory Committee (PBAC). The DUSC assesses estimates on projected usage an</w:t>
      </w:r>
      <w:r>
        <w:rPr>
          <w:rFonts w:eastAsiaTheme="majorEastAsia" w:cstheme="majorBidi"/>
          <w:bCs/>
        </w:rPr>
        <w:t>d financial cost of medicines.</w:t>
      </w:r>
    </w:p>
    <w:p w14:paraId="1A27F430" w14:textId="77777777" w:rsidR="003678FD" w:rsidRPr="00241E48" w:rsidRDefault="003678FD" w:rsidP="003678FD">
      <w:pPr>
        <w:spacing w:after="240"/>
        <w:rPr>
          <w:rFonts w:eastAsiaTheme="majorEastAsia" w:cstheme="majorBidi"/>
          <w:bCs/>
        </w:rPr>
      </w:pPr>
      <w:r w:rsidRPr="00241E48">
        <w:rPr>
          <w:rFonts w:eastAsiaTheme="majorEastAsia" w:cstheme="majorBidi"/>
          <w:bCs/>
        </w:rP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14:paraId="09CF8937" w14:textId="77777777" w:rsidR="003678FD" w:rsidRDefault="003678FD" w:rsidP="003678FD">
      <w:pPr>
        <w:spacing w:after="240"/>
        <w:rPr>
          <w:rFonts w:eastAsiaTheme="majorEastAsia" w:cstheme="majorBidi"/>
          <w:bCs/>
        </w:rPr>
      </w:pPr>
      <w:r w:rsidRPr="00241E48">
        <w:rPr>
          <w:rFonts w:eastAsiaTheme="majorEastAsia" w:cstheme="majorBidi"/>
          <w:bCs/>
        </w:rPr>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14:paraId="44243EFB" w14:textId="0190ABB3" w:rsidR="00D14180" w:rsidRPr="00E53CB8" w:rsidRDefault="003678FD" w:rsidP="00E53CB8">
      <w:pPr>
        <w:spacing w:after="0"/>
        <w:rPr>
          <w:rFonts w:eastAsiaTheme="majorEastAsia" w:cstheme="majorBidi"/>
          <w:bCs/>
        </w:rPr>
      </w:pPr>
      <w:r>
        <w:rPr>
          <w:rFonts w:eastAsiaTheme="majorEastAsia" w:cstheme="majorBidi"/>
          <w:bCs/>
        </w:rPr>
        <w:t xml:space="preserve">The </w:t>
      </w:r>
      <w:r w:rsidRPr="00CB5441">
        <w:rPr>
          <w:rFonts w:eastAsiaTheme="majorEastAsia" w:cstheme="majorBidi"/>
          <w:bCs/>
        </w:rPr>
        <w:t xml:space="preserve">utilisation </w:t>
      </w:r>
      <w:r>
        <w:rPr>
          <w:rFonts w:eastAsiaTheme="majorEastAsia" w:cstheme="majorBidi"/>
          <w:bCs/>
        </w:rPr>
        <w:t>analysis report was</w:t>
      </w:r>
      <w:r w:rsidRPr="00CB5441">
        <w:rPr>
          <w:rFonts w:eastAsiaTheme="majorEastAsia" w:cstheme="majorBidi"/>
          <w:bCs/>
        </w:rPr>
        <w:t xml:space="preserve"> provided to the pharmaceutical sponsors of each d</w:t>
      </w:r>
      <w:r>
        <w:rPr>
          <w:rFonts w:eastAsiaTheme="majorEastAsia" w:cstheme="majorBidi"/>
          <w:bCs/>
        </w:rPr>
        <w:t xml:space="preserve">rug and comments on the report </w:t>
      </w:r>
      <w:r w:rsidRPr="00CB5441">
        <w:rPr>
          <w:rFonts w:eastAsiaTheme="majorEastAsia" w:cstheme="majorBidi"/>
          <w:bCs/>
        </w:rPr>
        <w:t>were provided to DUSC</w:t>
      </w:r>
      <w:r>
        <w:rPr>
          <w:rFonts w:eastAsiaTheme="majorEastAsia" w:cstheme="majorBidi"/>
          <w:bCs/>
        </w:rPr>
        <w:t xml:space="preserve"> prior to its consideration of the analysis.</w:t>
      </w:r>
    </w:p>
    <w:p w14:paraId="551629A9" w14:textId="2617916D" w:rsidR="009E63F4" w:rsidRPr="00E53CB8" w:rsidRDefault="009E63F4" w:rsidP="00E53CB8">
      <w:pPr>
        <w:pStyle w:val="Heading3"/>
      </w:pPr>
      <w:r>
        <w:t>Sponsor’</w:t>
      </w:r>
      <w:r w:rsidRPr="0092516A">
        <w:t>s</w:t>
      </w:r>
      <w:r>
        <w:t xml:space="preserve"> comment</w:t>
      </w:r>
    </w:p>
    <w:p w14:paraId="391A4DEB" w14:textId="34D09257" w:rsidR="00D273F2" w:rsidRDefault="00D273F2" w:rsidP="00D273F2">
      <w:pPr>
        <w:pStyle w:val="Notes"/>
        <w:rPr>
          <w:rFonts w:eastAsiaTheme="majorEastAsia" w:cstheme="majorBidi"/>
          <w:bCs/>
          <w:sz w:val="24"/>
          <w:szCs w:val="24"/>
        </w:rPr>
      </w:pPr>
      <w:r w:rsidRPr="00D273F2">
        <w:rPr>
          <w:rFonts w:eastAsiaTheme="majorEastAsia" w:cstheme="majorBidi"/>
          <w:bCs/>
          <w:sz w:val="24"/>
          <w:szCs w:val="24"/>
        </w:rPr>
        <w:t>Amgen Australia Pty Limited</w:t>
      </w:r>
      <w:r>
        <w:rPr>
          <w:rFonts w:eastAsiaTheme="majorEastAsia" w:cstheme="majorBidi"/>
          <w:bCs/>
          <w:sz w:val="24"/>
          <w:szCs w:val="24"/>
        </w:rPr>
        <w:t>:</w:t>
      </w:r>
    </w:p>
    <w:p w14:paraId="7132BA31" w14:textId="57576D9E" w:rsidR="00E53CB8" w:rsidRDefault="0055322E" w:rsidP="004B3D2B">
      <w:r>
        <w:t xml:space="preserve">In relation to the statement that use “could potentially exceed the predicted expenditure over the remaining forward estimates”, </w:t>
      </w:r>
      <w:r w:rsidRPr="008A350E">
        <w:t>Amgen would like to emphasise that the expenditure on TRAs is significantly less than expected (largely due to discontinuation rates</w:t>
      </w:r>
      <w:r>
        <w:t xml:space="preserve"> being significantly higher than expected</w:t>
      </w:r>
      <w:r w:rsidRPr="008A350E">
        <w:t xml:space="preserve"> and </w:t>
      </w:r>
      <w:r>
        <w:t xml:space="preserve">a total </w:t>
      </w:r>
      <w:r w:rsidRPr="008A350E">
        <w:t>duration</w:t>
      </w:r>
      <w:r>
        <w:t xml:space="preserve"> </w:t>
      </w:r>
      <w:r w:rsidRPr="008A350E">
        <w:t>of therapy</w:t>
      </w:r>
      <w:r>
        <w:t xml:space="preserve"> much lower than anticipated</w:t>
      </w:r>
      <w:r w:rsidRPr="008A350E">
        <w:t>)</w:t>
      </w:r>
      <w:r>
        <w:t xml:space="preserve">.  With regard to the increase in proportion of non-splenectomised years, this intervention was rarely conducted at the time of listing and remains so today.  It is important to note that when the actual patient numbers are considered, the number of non-splenectomised patients initiated to </w:t>
      </w:r>
      <w:proofErr w:type="spellStart"/>
      <w:r>
        <w:t>romiplostim</w:t>
      </w:r>
      <w:proofErr w:type="spellEnd"/>
      <w:r>
        <w:t xml:space="preserve"> therapy is in decline. </w:t>
      </w:r>
    </w:p>
    <w:p w14:paraId="55103FAF" w14:textId="77BCED91" w:rsidR="00B72C32" w:rsidRPr="00D273F2" w:rsidRDefault="00B72C32" w:rsidP="004B3D2B">
      <w:r>
        <w:lastRenderedPageBreak/>
        <w:t xml:space="preserve">Finally, the listing of </w:t>
      </w:r>
      <w:proofErr w:type="spellStart"/>
      <w:r>
        <w:t>romiplostim</w:t>
      </w:r>
      <w:proofErr w:type="spellEnd"/>
      <w:r>
        <w:t xml:space="preserve"> was granted on the grounds that there were a “</w:t>
      </w:r>
      <w:r w:rsidRPr="008A350E">
        <w:t>group of patients with severe ITP who were receiving at least 4</w:t>
      </w:r>
      <w:r>
        <w:t xml:space="preserve"> </w:t>
      </w:r>
      <w:proofErr w:type="spellStart"/>
      <w:r w:rsidRPr="008A350E">
        <w:t>IVIg</w:t>
      </w:r>
      <w:proofErr w:type="spellEnd"/>
      <w:r w:rsidRPr="008A350E">
        <w:t xml:space="preserve"> treatments per annum, and averaging at least 5.4</w:t>
      </w:r>
      <w:r>
        <w:t xml:space="preserve"> treatments per annum” (</w:t>
      </w:r>
      <w:proofErr w:type="spellStart"/>
      <w:r>
        <w:t>romiplostim</w:t>
      </w:r>
      <w:proofErr w:type="spellEnd"/>
      <w:r>
        <w:t xml:space="preserve"> PSD March 2010).  The current restriction was targeted at these patients and the NBA data demonstrating the significant reduction in </w:t>
      </w:r>
      <w:proofErr w:type="spellStart"/>
      <w:r>
        <w:t>IVIg</w:t>
      </w:r>
      <w:proofErr w:type="spellEnd"/>
      <w:r>
        <w:t xml:space="preserve"> use over the period which TRA therapy has been PBS listed supports that the intended population is being reached.</w:t>
      </w:r>
    </w:p>
    <w:p w14:paraId="30F011E1" w14:textId="689EF2AC" w:rsidR="00D273F2" w:rsidRDefault="00D273F2" w:rsidP="004B3D2B">
      <w:r w:rsidRPr="00D273F2">
        <w:t>Novartis Pharmaceuticals Australia Pty Limited</w:t>
      </w:r>
      <w:r>
        <w:t>:</w:t>
      </w:r>
    </w:p>
    <w:p w14:paraId="0B2F19E7" w14:textId="7734205D" w:rsidR="00A111AF" w:rsidRPr="00D273F2" w:rsidRDefault="001D1AD4" w:rsidP="004B3D2B">
      <w:r>
        <w:rPr>
          <w:sz w:val="22"/>
        </w:rPr>
        <w:t>The sponsor has no comment.</w:t>
      </w:r>
    </w:p>
    <w:p w14:paraId="6D27E4E7" w14:textId="77777777" w:rsidR="00AA2E06" w:rsidRDefault="00AA2E06" w:rsidP="00AA2E06">
      <w:pPr>
        <w:pStyle w:val="Heading4"/>
      </w:pPr>
      <w:r w:rsidRPr="00A4020E">
        <w:t>Disclaimer</w:t>
      </w:r>
    </w:p>
    <w:p w14:paraId="2E856802" w14:textId="77777777" w:rsidR="00AA2E06" w:rsidRDefault="00AA2E06" w:rsidP="00AA2E06">
      <w:r>
        <w:t>The information provided in this report does not constitute medical advice and is not intended to take the place of professional medical advice or care.  It is not intended to define what constitutes reasonable, appropriate or best care for any individual for any given health issue.  The information should not be used as a substitute for the judgement and skill of a medical practitioner.</w:t>
      </w:r>
    </w:p>
    <w:p w14:paraId="4EF3D264" w14:textId="77777777" w:rsidR="00AA2E06" w:rsidRDefault="00AA2E06" w:rsidP="00AA2E06">
      <w:r>
        <w:t>The Department of Health (</w:t>
      </w:r>
      <w:proofErr w:type="spellStart"/>
      <w:r>
        <w:t>DoH</w:t>
      </w:r>
      <w:proofErr w:type="spellEnd"/>
      <w:r>
        <w:t>) has made all reasonable efforts to ensure that information provided in this report is accurate. The information provided in this report was up-to-date when it was considered by the Drug Utilisation Sub-committee of the Pharmaceutical Benefits Advisory Committee.  The context for that information may have changed since publication.</w:t>
      </w:r>
    </w:p>
    <w:p w14:paraId="7ADB32F9" w14:textId="77777777" w:rsidR="00AA2E06" w:rsidRDefault="00AA2E06" w:rsidP="00AA2E06">
      <w:r>
        <w:t xml:space="preserve">To the extent provided by law, </w:t>
      </w:r>
      <w:proofErr w:type="spellStart"/>
      <w:r>
        <w:t>DoH</w:t>
      </w:r>
      <w:proofErr w:type="spellEnd"/>
      <w:r>
        <w:t xml:space="preserve"> makes no warranties or representations as to accuracy or completeness of information contained in this report. </w:t>
      </w:r>
    </w:p>
    <w:p w14:paraId="463F62D5" w14:textId="77777777" w:rsidR="00AA2E06" w:rsidRDefault="00AA2E06" w:rsidP="00AA2E06">
      <w:r>
        <w:t xml:space="preserve">To the fullest extent permitted by law, neither the </w:t>
      </w:r>
      <w:proofErr w:type="spellStart"/>
      <w:r>
        <w:t>DoH</w:t>
      </w:r>
      <w:proofErr w:type="spellEnd"/>
      <w:r>
        <w:t xml:space="preserve"> nor any </w:t>
      </w:r>
      <w:proofErr w:type="spellStart"/>
      <w:r>
        <w:t>DoH</w:t>
      </w:r>
      <w:proofErr w:type="spellEnd"/>
      <w:r>
        <w:t xml:space="preserve">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p w14:paraId="37874F65" w14:textId="5CFD99A6" w:rsidR="0016100B" w:rsidRDefault="0016100B">
      <w:pPr>
        <w:spacing w:line="276" w:lineRule="auto"/>
      </w:pPr>
      <w:r>
        <w:br w:type="page"/>
      </w:r>
    </w:p>
    <w:p w14:paraId="35AA6988" w14:textId="78B246BD" w:rsidR="004B306F" w:rsidRPr="00EA26CC" w:rsidRDefault="004B306F" w:rsidP="003B7E50">
      <w:pPr>
        <w:pStyle w:val="Heading4"/>
      </w:pPr>
      <w:r w:rsidRPr="00EA26CC">
        <w:lastRenderedPageBreak/>
        <w:t>References</w:t>
      </w:r>
    </w:p>
    <w:p w14:paraId="226A43AC" w14:textId="4C463FAF" w:rsidR="00EF07A8" w:rsidRPr="00AB252E" w:rsidRDefault="00B20696" w:rsidP="00AB252E">
      <w:pPr>
        <w:autoSpaceDE w:val="0"/>
        <w:autoSpaceDN w:val="0"/>
        <w:adjustRightInd w:val="0"/>
        <w:spacing w:before="240" w:after="240"/>
        <w:rPr>
          <w:rFonts w:eastAsia="Batang"/>
        </w:rPr>
      </w:pPr>
      <w:proofErr w:type="gramStart"/>
      <w:r>
        <w:rPr>
          <w:rFonts w:eastAsia="Batang"/>
        </w:rPr>
        <w:t>(American Society of Haematology Guidelines, 2011).</w:t>
      </w:r>
      <w:proofErr w:type="gramEnd"/>
      <w:r>
        <w:rPr>
          <w:rFonts w:eastAsia="Batang"/>
        </w:rPr>
        <w:t xml:space="preserve"> </w:t>
      </w:r>
      <w:proofErr w:type="spellStart"/>
      <w:r w:rsidRPr="00B90752">
        <w:rPr>
          <w:rFonts w:eastAsia="Batang"/>
        </w:rPr>
        <w:t>Neunert</w:t>
      </w:r>
      <w:proofErr w:type="spellEnd"/>
      <w:r w:rsidRPr="00B90752">
        <w:rPr>
          <w:rFonts w:eastAsia="Batang"/>
        </w:rPr>
        <w:t xml:space="preserve">, C., Lim, W., Crowther, M. et al.  </w:t>
      </w:r>
      <w:proofErr w:type="gramStart"/>
      <w:r w:rsidRPr="00B90752">
        <w:rPr>
          <w:rFonts w:eastAsia="Batang"/>
        </w:rPr>
        <w:t xml:space="preserve">(2011) The American Society of </w:t>
      </w:r>
      <w:proofErr w:type="spellStart"/>
      <w:r w:rsidRPr="00B90752">
        <w:rPr>
          <w:rFonts w:eastAsia="Batang"/>
        </w:rPr>
        <w:t>Hematology</w:t>
      </w:r>
      <w:proofErr w:type="spellEnd"/>
      <w:r w:rsidRPr="00B90752">
        <w:rPr>
          <w:rFonts w:eastAsia="Batang"/>
        </w:rPr>
        <w:t xml:space="preserve"> 2011 evidence-based practice guideline </w:t>
      </w:r>
      <w:proofErr w:type="spellStart"/>
      <w:r w:rsidRPr="00B90752">
        <w:rPr>
          <w:rFonts w:eastAsia="Batang"/>
        </w:rPr>
        <w:t>forimmune</w:t>
      </w:r>
      <w:proofErr w:type="spellEnd"/>
      <w:r w:rsidRPr="00B90752">
        <w:rPr>
          <w:rFonts w:eastAsia="Batang"/>
        </w:rPr>
        <w:t xml:space="preserve"> thrombocytopenia.</w:t>
      </w:r>
      <w:proofErr w:type="gramEnd"/>
      <w:r w:rsidRPr="00B90752">
        <w:rPr>
          <w:rFonts w:eastAsia="Batang"/>
        </w:rPr>
        <w:t xml:space="preserve"> Blood 117(16):4190-4207.</w:t>
      </w:r>
    </w:p>
    <w:p w14:paraId="3747B9E0" w14:textId="3E060181" w:rsidR="00DF274A" w:rsidRPr="00AB252E" w:rsidRDefault="00EF07A8" w:rsidP="00AB252E">
      <w:pPr>
        <w:spacing w:before="240" w:after="240"/>
        <w:rPr>
          <w:b/>
          <w:highlight w:val="black"/>
        </w:rPr>
      </w:pPr>
      <w:r w:rsidRPr="00EF07A8">
        <w:rPr>
          <w:b/>
          <w:highlight w:val="black"/>
        </w:rPr>
        <w:t>XXXXXXXXXXXXXXXXXXXXXXXXXXXXXXXXXXXXXXXXXXXXXXXXXXXXXXXXXXXXXXXXXXXXXXXXXXXXXXXXXXXXXXXXXXXXXXXXXXXXXXXXXXXXXXXXXXXXXXXXXXXXXXXXXXXXXXXXXXXXXXXXXXXXXXXXXXXXXXXXXXXXXXXXXXXXXXXXXXXXXXXXXXXXXXXXXXXXXXXXX</w:t>
      </w:r>
      <w:r w:rsidRPr="00EF07A8">
        <w:rPr>
          <w:highlight w:val="black"/>
        </w:rPr>
        <w:t>XXXXXXXXXXXXXXXXXXXXXXXXXXXXXXXXXXX</w:t>
      </w:r>
    </w:p>
    <w:p w14:paraId="55B299EB" w14:textId="1953135A" w:rsidR="00DF274A" w:rsidRPr="00AB252E" w:rsidRDefault="00B20696" w:rsidP="00AB252E">
      <w:pPr>
        <w:spacing w:before="240" w:after="240"/>
        <w:rPr>
          <w:rFonts w:eastAsia="Batang"/>
        </w:rPr>
      </w:pPr>
      <w:r w:rsidRPr="00692A9D">
        <w:rPr>
          <w:rFonts w:eastAsia="Batang"/>
        </w:rPr>
        <w:t xml:space="preserve">(Australian ITP Chart Audit) “A Retrospective, Observational Study of Patients with Chronic Immune (Idiopathic) Thrombocytopenic </w:t>
      </w:r>
      <w:proofErr w:type="spellStart"/>
      <w:r w:rsidRPr="00692A9D">
        <w:rPr>
          <w:rFonts w:eastAsia="Batang"/>
        </w:rPr>
        <w:t>Purpura</w:t>
      </w:r>
      <w:proofErr w:type="spellEnd"/>
      <w:r w:rsidRPr="00692A9D">
        <w:rPr>
          <w:rFonts w:eastAsia="Batang"/>
        </w:rPr>
        <w:t xml:space="preserve"> (ITP) to determine Standard of Care (SOC) in Australia”. Conducted for the July 2009 Main Submission for </w:t>
      </w:r>
      <w:proofErr w:type="spellStart"/>
      <w:r w:rsidRPr="00692A9D">
        <w:rPr>
          <w:rFonts w:eastAsia="Batang"/>
        </w:rPr>
        <w:t>romiplostim</w:t>
      </w:r>
      <w:proofErr w:type="spellEnd"/>
      <w:r w:rsidRPr="00692A9D">
        <w:rPr>
          <w:rFonts w:eastAsia="Batang"/>
        </w:rPr>
        <w:t>, referred to as the Australian ITP Chart Audit.</w:t>
      </w:r>
    </w:p>
    <w:p w14:paraId="26BAE821" w14:textId="07748A82" w:rsidR="00DF274A" w:rsidRPr="00AB252E" w:rsidRDefault="006E4AB7" w:rsidP="00AB252E">
      <w:pPr>
        <w:spacing w:before="240" w:after="240"/>
        <w:rPr>
          <w:rFonts w:eastAsia="Batang"/>
          <w:highlight w:val="black"/>
        </w:rPr>
      </w:pPr>
      <w:r w:rsidRPr="006E4AB7">
        <w:rPr>
          <w:rFonts w:eastAsia="Batang"/>
          <w:highlight w:val="black"/>
        </w:rPr>
        <w:t>XXXXXXXXXXXXXXXXXXXXXXXXXXXXXXXXXXXXXXXXXXXXXXXXXXXXXXXXXXXXXXXXXXXXXXXXXXXXXXXXXXXXXXXXXXXXXXXXXXXXXXXXXXXXXXXXXXXXXXXXXXXXXXXXXXXXXXXXXXXXXXXXXXXXXXXXXXXXXXXXX</w:t>
      </w:r>
    </w:p>
    <w:p w14:paraId="2F6DA15C" w14:textId="1CF24C22" w:rsidR="00B20696" w:rsidRDefault="00B20696" w:rsidP="00AB252E">
      <w:pPr>
        <w:autoSpaceDE w:val="0"/>
        <w:autoSpaceDN w:val="0"/>
        <w:adjustRightInd w:val="0"/>
        <w:spacing w:before="240" w:after="240"/>
        <w:rPr>
          <w:rFonts w:eastAsia="Batang"/>
        </w:rPr>
      </w:pPr>
      <w:proofErr w:type="spellStart"/>
      <w:r w:rsidRPr="00C57A4C">
        <w:rPr>
          <w:rFonts w:eastAsia="Batang"/>
        </w:rPr>
        <w:t>Bussel</w:t>
      </w:r>
      <w:proofErr w:type="spellEnd"/>
      <w:r>
        <w:rPr>
          <w:rFonts w:eastAsia="Batang"/>
        </w:rPr>
        <w:t xml:space="preserve">, J.B. </w:t>
      </w:r>
      <w:r w:rsidRPr="00C57A4C">
        <w:rPr>
          <w:rFonts w:eastAsia="Batang"/>
        </w:rPr>
        <w:t>,</w:t>
      </w:r>
      <w:r>
        <w:rPr>
          <w:rFonts w:eastAsia="Batang"/>
        </w:rPr>
        <w:t xml:space="preserve"> </w:t>
      </w:r>
      <w:proofErr w:type="spellStart"/>
      <w:r w:rsidRPr="00C57A4C">
        <w:rPr>
          <w:rFonts w:eastAsia="Batang"/>
        </w:rPr>
        <w:t>Kuter</w:t>
      </w:r>
      <w:proofErr w:type="spellEnd"/>
      <w:r>
        <w:rPr>
          <w:rFonts w:eastAsia="Batang"/>
        </w:rPr>
        <w:t xml:space="preserve">, D.J. </w:t>
      </w:r>
      <w:r w:rsidRPr="00C57A4C">
        <w:rPr>
          <w:rFonts w:eastAsia="Batang"/>
        </w:rPr>
        <w:t>,</w:t>
      </w:r>
      <w:r>
        <w:rPr>
          <w:rFonts w:eastAsia="Batang"/>
        </w:rPr>
        <w:t xml:space="preserve"> </w:t>
      </w:r>
      <w:proofErr w:type="spellStart"/>
      <w:r w:rsidRPr="00C57A4C">
        <w:rPr>
          <w:rFonts w:eastAsia="Batang"/>
        </w:rPr>
        <w:t>Pullarkat</w:t>
      </w:r>
      <w:proofErr w:type="spellEnd"/>
      <w:r>
        <w:rPr>
          <w:rFonts w:eastAsia="Batang"/>
        </w:rPr>
        <w:t>, V. et al.</w:t>
      </w:r>
      <w:r w:rsidRPr="00C57A4C">
        <w:rPr>
          <w:rFonts w:eastAsia="Batang"/>
        </w:rPr>
        <w:t xml:space="preserve"> (2009) Safety and efficacy of long-term treatment with </w:t>
      </w:r>
      <w:proofErr w:type="spellStart"/>
      <w:r>
        <w:rPr>
          <w:rFonts w:eastAsia="Batang"/>
        </w:rPr>
        <w:t>romiplostim</w:t>
      </w:r>
      <w:proofErr w:type="spellEnd"/>
      <w:r>
        <w:rPr>
          <w:rFonts w:eastAsia="Batang"/>
        </w:rPr>
        <w:t xml:space="preserve"> in thrombocytopenic </w:t>
      </w:r>
      <w:r w:rsidRPr="00C57A4C">
        <w:rPr>
          <w:rFonts w:eastAsia="Batang"/>
        </w:rPr>
        <w:t xml:space="preserve">patients with chronic ITP. </w:t>
      </w:r>
      <w:proofErr w:type="gramStart"/>
      <w:r>
        <w:rPr>
          <w:rFonts w:eastAsia="Batang"/>
        </w:rPr>
        <w:t>Blood</w:t>
      </w:r>
      <w:r w:rsidRPr="00C57A4C">
        <w:rPr>
          <w:rFonts w:eastAsia="Batang"/>
        </w:rPr>
        <w:t xml:space="preserve"> 113:</w:t>
      </w:r>
      <w:r>
        <w:rPr>
          <w:rFonts w:eastAsia="Batang"/>
        </w:rPr>
        <w:t xml:space="preserve"> </w:t>
      </w:r>
      <w:r w:rsidRPr="00C57A4C">
        <w:rPr>
          <w:rFonts w:eastAsia="Batang"/>
        </w:rPr>
        <w:t>2161-2171.</w:t>
      </w:r>
      <w:proofErr w:type="gramEnd"/>
    </w:p>
    <w:p w14:paraId="2FD03697" w14:textId="165F82F4" w:rsidR="00B20696" w:rsidRDefault="00B20696" w:rsidP="00AB252E">
      <w:pPr>
        <w:autoSpaceDE w:val="0"/>
        <w:autoSpaceDN w:val="0"/>
        <w:adjustRightInd w:val="0"/>
        <w:spacing w:before="240" w:after="240"/>
        <w:rPr>
          <w:rFonts w:eastAsia="Batang"/>
        </w:rPr>
      </w:pPr>
      <w:r w:rsidRPr="00932610">
        <w:rPr>
          <w:rFonts w:eastAsia="Batang"/>
        </w:rPr>
        <w:t xml:space="preserve">Gonzalez-Porras, J.R., </w:t>
      </w:r>
      <w:proofErr w:type="spellStart"/>
      <w:r w:rsidRPr="00932610">
        <w:rPr>
          <w:rFonts w:eastAsia="Batang"/>
        </w:rPr>
        <w:t>Mingot</w:t>
      </w:r>
      <w:proofErr w:type="spellEnd"/>
      <w:r w:rsidRPr="00932610">
        <w:rPr>
          <w:rFonts w:eastAsia="Batang"/>
        </w:rPr>
        <w:t xml:space="preserve">-Castellano, M.E., Andrade, M.M. et al. (2015) Use of </w:t>
      </w:r>
      <w:proofErr w:type="spellStart"/>
      <w:r w:rsidRPr="00932610">
        <w:rPr>
          <w:rFonts w:eastAsia="Batang"/>
        </w:rPr>
        <w:t>eltrombopag</w:t>
      </w:r>
      <w:proofErr w:type="spellEnd"/>
      <w:r w:rsidRPr="00932610">
        <w:rPr>
          <w:rFonts w:eastAsia="Batang"/>
        </w:rPr>
        <w:t xml:space="preserve"> after </w:t>
      </w:r>
      <w:proofErr w:type="spellStart"/>
      <w:r w:rsidRPr="00932610">
        <w:rPr>
          <w:rFonts w:eastAsia="Batang"/>
        </w:rPr>
        <w:t>romiplostim</w:t>
      </w:r>
      <w:proofErr w:type="spellEnd"/>
      <w:r w:rsidRPr="00932610">
        <w:rPr>
          <w:rFonts w:eastAsia="Batang"/>
        </w:rPr>
        <w:t xml:space="preserve"> in primary immune</w:t>
      </w:r>
      <w:r>
        <w:rPr>
          <w:rFonts w:eastAsia="Batang"/>
        </w:rPr>
        <w:t xml:space="preserve"> t</w:t>
      </w:r>
      <w:r w:rsidRPr="00932610">
        <w:rPr>
          <w:rFonts w:eastAsia="Batang"/>
        </w:rPr>
        <w:t xml:space="preserve">hrombocytopenia. </w:t>
      </w:r>
      <w:proofErr w:type="gramStart"/>
      <w:r w:rsidRPr="00932610">
        <w:rPr>
          <w:rFonts w:eastAsia="Batang"/>
        </w:rPr>
        <w:t>British Journal of Haematology</w:t>
      </w:r>
      <w:r>
        <w:rPr>
          <w:rFonts w:eastAsia="Batang"/>
        </w:rPr>
        <w:t>.</w:t>
      </w:r>
      <w:proofErr w:type="gramEnd"/>
      <w:r>
        <w:rPr>
          <w:rFonts w:eastAsia="Batang"/>
        </w:rPr>
        <w:t xml:space="preserve"> 169:</w:t>
      </w:r>
      <w:r w:rsidRPr="00932610">
        <w:rPr>
          <w:rFonts w:eastAsia="Batang"/>
        </w:rPr>
        <w:t xml:space="preserve"> 111–116</w:t>
      </w:r>
      <w:r>
        <w:rPr>
          <w:rFonts w:eastAsia="Batang"/>
        </w:rPr>
        <w:t>.</w:t>
      </w:r>
    </w:p>
    <w:p w14:paraId="7C36B7C7" w14:textId="692F92DF" w:rsidR="001F1338" w:rsidRDefault="00B20696" w:rsidP="00AB252E">
      <w:pPr>
        <w:autoSpaceDE w:val="0"/>
        <w:autoSpaceDN w:val="0"/>
        <w:adjustRightInd w:val="0"/>
        <w:spacing w:before="240" w:after="240"/>
        <w:rPr>
          <w:rFonts w:eastAsia="Batang"/>
        </w:rPr>
      </w:pPr>
      <w:proofErr w:type="spellStart"/>
      <w:r w:rsidRPr="003D367E">
        <w:rPr>
          <w:rFonts w:eastAsia="Batang"/>
        </w:rPr>
        <w:t>Kojouri</w:t>
      </w:r>
      <w:proofErr w:type="spellEnd"/>
      <w:r w:rsidRPr="003D367E">
        <w:rPr>
          <w:rFonts w:eastAsia="Batang"/>
        </w:rPr>
        <w:t xml:space="preserve">, K., </w:t>
      </w:r>
      <w:proofErr w:type="spellStart"/>
      <w:r w:rsidRPr="003D367E">
        <w:rPr>
          <w:rFonts w:eastAsia="Batang"/>
        </w:rPr>
        <w:t>Vesely</w:t>
      </w:r>
      <w:proofErr w:type="spellEnd"/>
      <w:r w:rsidRPr="003D367E">
        <w:rPr>
          <w:rFonts w:eastAsia="Batang"/>
        </w:rPr>
        <w:t xml:space="preserve">, S.K., Terrell, D.R. and George, J.N. (2004) Splenectomy for adult patients with idiopathic thrombocytopenic </w:t>
      </w:r>
      <w:proofErr w:type="spellStart"/>
      <w:r w:rsidRPr="003D367E">
        <w:rPr>
          <w:rFonts w:eastAsia="Batang"/>
        </w:rPr>
        <w:t>purpura</w:t>
      </w:r>
      <w:proofErr w:type="spellEnd"/>
      <w:r w:rsidRPr="003D367E">
        <w:rPr>
          <w:rFonts w:eastAsia="Batang"/>
        </w:rPr>
        <w:t xml:space="preserve">: a systematic review to assess long-term platelet count responses, prediction of response, and surgical complications. </w:t>
      </w:r>
      <w:proofErr w:type="gramStart"/>
      <w:r w:rsidRPr="003D367E">
        <w:rPr>
          <w:rFonts w:eastAsia="Batang"/>
        </w:rPr>
        <w:t>Blood 104:2623-2634.</w:t>
      </w:r>
      <w:proofErr w:type="gramEnd"/>
    </w:p>
    <w:p w14:paraId="1D511C45" w14:textId="612252BF" w:rsidR="004457F8" w:rsidRPr="00AB252E" w:rsidRDefault="001F1338" w:rsidP="00AB252E">
      <w:pPr>
        <w:autoSpaceDE w:val="0"/>
        <w:autoSpaceDN w:val="0"/>
        <w:adjustRightInd w:val="0"/>
        <w:spacing w:before="240" w:after="240"/>
        <w:rPr>
          <w:rFonts w:eastAsia="Batang"/>
        </w:rPr>
      </w:pPr>
      <w:r w:rsidRPr="001F1338">
        <w:rPr>
          <w:rFonts w:eastAsia="Batang"/>
          <w:highlight w:val="black"/>
        </w:rPr>
        <w:t>XXXXXXXXXXXXXXXXXXXXXXXXXXXXXXXXXXXXXXXXXXXXXXXXXXXXXXXXXXXXXXXXXXXXXXXXXXXXXXXXXXXXXXXXXXXXXX</w:t>
      </w:r>
    </w:p>
    <w:p w14:paraId="382942CA" w14:textId="7CCD4C24" w:rsidR="004457F8" w:rsidRDefault="00B20696" w:rsidP="00AB252E">
      <w:pPr>
        <w:spacing w:before="240" w:after="240"/>
      </w:pPr>
      <w:proofErr w:type="spellStart"/>
      <w:r w:rsidRPr="003D367E">
        <w:t>Provan</w:t>
      </w:r>
      <w:proofErr w:type="spellEnd"/>
      <w:r>
        <w:t xml:space="preserve">, D., </w:t>
      </w:r>
      <w:r w:rsidRPr="003D367E">
        <w:t>Stasi</w:t>
      </w:r>
      <w:r>
        <w:t xml:space="preserve">, R., </w:t>
      </w:r>
      <w:r w:rsidRPr="003D367E">
        <w:t>Newland</w:t>
      </w:r>
      <w:r>
        <w:t>, A.C. et al</w:t>
      </w:r>
      <w:r w:rsidRPr="003D367E">
        <w:t>(2010) International consensus report on the investigation and management of primary immune thrombocytopenia. Blood, Volume 115, Number 2.168-186.</w:t>
      </w:r>
    </w:p>
    <w:p w14:paraId="0382B9A7" w14:textId="77777777" w:rsidR="00B20696" w:rsidRPr="00633E7D" w:rsidRDefault="00B20696" w:rsidP="00AB252E">
      <w:pPr>
        <w:spacing w:before="240" w:after="240" w:line="276" w:lineRule="auto"/>
      </w:pPr>
      <w:proofErr w:type="gramStart"/>
      <w:r>
        <w:t xml:space="preserve">Public Summary Document </w:t>
      </w:r>
      <w:proofErr w:type="spellStart"/>
      <w:r>
        <w:t>Eltrombopag</w:t>
      </w:r>
      <w:proofErr w:type="spellEnd"/>
      <w:r>
        <w:t xml:space="preserve"> November 2010 PBAC meeting.</w:t>
      </w:r>
      <w:proofErr w:type="gramEnd"/>
      <w:r>
        <w:t xml:space="preserve"> Accessed on 20 April 2015 at: </w:t>
      </w:r>
      <w:r w:rsidRPr="00633E7D">
        <w:t>http://www.pbs.gov.au/info/industry/listing/elements/pbac-meetings/psd/2010-11/pbac-psd-eltrombopag-olamine-nov10</w:t>
      </w:r>
    </w:p>
    <w:p w14:paraId="4918FFB4" w14:textId="77777777" w:rsidR="00B20696" w:rsidRDefault="00B20696" w:rsidP="00B20696">
      <w:pPr>
        <w:spacing w:line="276" w:lineRule="auto"/>
      </w:pPr>
      <w:r>
        <w:t xml:space="preserve">Public Summary Document </w:t>
      </w:r>
      <w:proofErr w:type="spellStart"/>
      <w:r>
        <w:t>Eltrombopag</w:t>
      </w:r>
      <w:proofErr w:type="spellEnd"/>
      <w:r>
        <w:t xml:space="preserve"> March 2011 PBAC meeting. Accessed on 7 April 2015 at: </w:t>
      </w:r>
      <w:r w:rsidRPr="009C6BA1">
        <w:t>http://www.pbs.gov.au/info/industry/listing/elements/pbac-meetings/psd/2011-03/pbac-psd-eltrombopag-march11</w:t>
      </w:r>
    </w:p>
    <w:p w14:paraId="5F167388" w14:textId="77777777" w:rsidR="00B20696" w:rsidRDefault="00B20696" w:rsidP="00B20696">
      <w:pPr>
        <w:spacing w:line="276" w:lineRule="auto"/>
        <w:rPr>
          <w:rStyle w:val="Hyperlink"/>
        </w:rPr>
      </w:pPr>
      <w:proofErr w:type="gramStart"/>
      <w:r>
        <w:lastRenderedPageBreak/>
        <w:t xml:space="preserve">Public Summary Document </w:t>
      </w:r>
      <w:proofErr w:type="spellStart"/>
      <w:r>
        <w:t>Eltrombopag</w:t>
      </w:r>
      <w:proofErr w:type="spellEnd"/>
      <w:r>
        <w:t xml:space="preserve"> November 2014 PBAC meeting.</w:t>
      </w:r>
      <w:proofErr w:type="gramEnd"/>
      <w:r>
        <w:t xml:space="preserve"> Accessed on 7 April 2015 at: </w:t>
      </w:r>
      <w:r w:rsidRPr="009C6BA1">
        <w:t>http://www.pbs.gov.au/info/industry/listing/elements/pbac-meetings/psd/2014-11/eltrombopag-psd-11-2014</w:t>
      </w:r>
    </w:p>
    <w:p w14:paraId="7B5B0BC2" w14:textId="77777777" w:rsidR="00B20696" w:rsidRDefault="00B20696" w:rsidP="00B20696">
      <w:pPr>
        <w:spacing w:line="276" w:lineRule="auto"/>
      </w:pPr>
      <w:proofErr w:type="gramStart"/>
      <w:r>
        <w:t xml:space="preserve">Public Summary Document </w:t>
      </w:r>
      <w:proofErr w:type="spellStart"/>
      <w:r>
        <w:t>Romiplostim</w:t>
      </w:r>
      <w:proofErr w:type="spellEnd"/>
      <w:r>
        <w:t xml:space="preserve"> July 2009 PBAC meeting.</w:t>
      </w:r>
      <w:proofErr w:type="gramEnd"/>
      <w:r>
        <w:t xml:space="preserve"> Accessed on 20 April 2015 at: </w:t>
      </w:r>
      <w:r w:rsidRPr="009C6BA1">
        <w:t>http://www.pbs.gov.au/info/industry/listing/elements/pbac-meetings/psd/2009-07/pbac-psd-Romiplostim-jul09</w:t>
      </w:r>
    </w:p>
    <w:p w14:paraId="6EDF0C22" w14:textId="77777777" w:rsidR="00B20696" w:rsidRDefault="00B20696" w:rsidP="00B20696">
      <w:pPr>
        <w:spacing w:line="276" w:lineRule="auto"/>
      </w:pPr>
      <w:r>
        <w:t xml:space="preserve">Public Summary Document </w:t>
      </w:r>
      <w:proofErr w:type="spellStart"/>
      <w:r>
        <w:t>Romiplostim</w:t>
      </w:r>
      <w:proofErr w:type="spellEnd"/>
      <w:r>
        <w:t xml:space="preserve"> March 2010 PBAC meeting. Accessed on 20 April 2015 at: </w:t>
      </w:r>
      <w:r w:rsidRPr="009C6BA1">
        <w:t>http://www.pbs.gov.au/info/industry/listing/elements/pbac-meetings/psd/2010-03/pbac-psd-romiplostim-mar10</w:t>
      </w:r>
    </w:p>
    <w:p w14:paraId="7DE15B86" w14:textId="77777777" w:rsidR="00B20696" w:rsidRPr="007B20F7" w:rsidRDefault="00B20696" w:rsidP="00B20696">
      <w:pPr>
        <w:spacing w:line="276" w:lineRule="auto"/>
      </w:pPr>
      <w:proofErr w:type="gramStart"/>
      <w:r>
        <w:t xml:space="preserve">Public Summary Document </w:t>
      </w:r>
      <w:proofErr w:type="spellStart"/>
      <w:r>
        <w:t>Romiplostim</w:t>
      </w:r>
      <w:proofErr w:type="spellEnd"/>
      <w:r>
        <w:t xml:space="preserve"> July 2010 PBAC meeting.</w:t>
      </w:r>
      <w:proofErr w:type="gramEnd"/>
      <w:r>
        <w:t xml:space="preserve"> Accessed on 7 April 2015 at: </w:t>
      </w:r>
      <w:r w:rsidRPr="009C6BA1">
        <w:t>http://www.pbs.gov.au/info/industry/listing/elements/pbac-meetings/psd/2010-07/pbac-psd-Romiplostin-july10</w:t>
      </w:r>
    </w:p>
    <w:p w14:paraId="49812887" w14:textId="76359D33" w:rsidR="00B20696" w:rsidRDefault="00B20696" w:rsidP="00FA3102">
      <w:r w:rsidRPr="00A3344F">
        <w:t xml:space="preserve">(RAISE trial). </w:t>
      </w:r>
      <w:proofErr w:type="gramStart"/>
      <w:r w:rsidRPr="00A3344F">
        <w:t>TRA105325 Clinical Study Report.</w:t>
      </w:r>
      <w:proofErr w:type="gramEnd"/>
      <w:r w:rsidRPr="00A3344F">
        <w:t xml:space="preserve"> EXTEND (</w:t>
      </w:r>
      <w:proofErr w:type="spellStart"/>
      <w:r w:rsidRPr="00A3344F">
        <w:t>Eltrombopag</w:t>
      </w:r>
      <w:proofErr w:type="spellEnd"/>
      <w:r w:rsidRPr="00A3344F">
        <w:t xml:space="preserve"> </w:t>
      </w:r>
      <w:proofErr w:type="spellStart"/>
      <w:r w:rsidRPr="00A3344F">
        <w:t>eXTENded</w:t>
      </w:r>
      <w:proofErr w:type="spellEnd"/>
      <w:r w:rsidRPr="00A3344F">
        <w:t xml:space="preserve"> Dosing study): an extension study of </w:t>
      </w:r>
      <w:proofErr w:type="spellStart"/>
      <w:r w:rsidRPr="00A3344F">
        <w:t>eltrombopa</w:t>
      </w:r>
      <w:r w:rsidR="0050273E">
        <w:t>g</w:t>
      </w:r>
      <w:proofErr w:type="spellEnd"/>
      <w:r w:rsidR="0050273E">
        <w:t xml:space="preserve"> </w:t>
      </w:r>
      <w:proofErr w:type="spellStart"/>
      <w:r w:rsidR="0050273E">
        <w:t>olamine</w:t>
      </w:r>
      <w:proofErr w:type="spellEnd"/>
      <w:r w:rsidRPr="00A3344F">
        <w:t xml:space="preserve"> (SB-497115-GR) in adults with idiopathic thrombocytopenic </w:t>
      </w:r>
      <w:proofErr w:type="spellStart"/>
      <w:r w:rsidRPr="00A3344F">
        <w:t>purpura</w:t>
      </w:r>
      <w:proofErr w:type="spellEnd"/>
      <w:r w:rsidRPr="00A3344F">
        <w:t xml:space="preserve"> (ITP) previously enrolled in an </w:t>
      </w:r>
      <w:proofErr w:type="spellStart"/>
      <w:r w:rsidRPr="00A3344F">
        <w:t>eltrombopag</w:t>
      </w:r>
      <w:proofErr w:type="spellEnd"/>
      <w:r w:rsidRPr="00A3344F">
        <w:t xml:space="preserve"> study. 23-9-2008.</w:t>
      </w:r>
    </w:p>
    <w:p w14:paraId="605F00A0" w14:textId="58E6F6D9" w:rsidR="00C71560" w:rsidRPr="007D4CD2" w:rsidRDefault="00C71560" w:rsidP="00FA3102">
      <w:pPr>
        <w:rPr>
          <w:highlight w:val="black"/>
        </w:rPr>
      </w:pPr>
      <w:r w:rsidRPr="007D4CD2">
        <w:rPr>
          <w:highlight w:val="black"/>
        </w:rPr>
        <w:t>XXXXXXXXXXXXXXXXXXXXXXXXXXXXXXXXXXXXXXXXXXXXXXXXXXXXXXXXXXXXXXXXXXXXXXXXXXXXXXXXXXXXXXXXXXXXXXXXXXXXXXXXXXXXXXXXXXXXXXXXXXXXXXXXXXXXXXXXXXXXXXXXXXXXXXXXXXXXXXXXXXXXXXXXXXXXXXXX</w:t>
      </w:r>
    </w:p>
    <w:p w14:paraId="45852F5A" w14:textId="5309E385" w:rsidR="00C71560" w:rsidRPr="00FA3102" w:rsidRDefault="00C71560" w:rsidP="00FA3102">
      <w:pPr>
        <w:rPr>
          <w:b/>
          <w:highlight w:val="black"/>
        </w:rPr>
      </w:pPr>
      <w:r w:rsidRPr="007D4CD2">
        <w:rPr>
          <w:highlight w:val="black"/>
        </w:rPr>
        <w:t>XXXXXXXXXXXXXXXXXXXXXXXXXXXXXXXXXXXXXXXXXXXXXXXXXXXXXXXXXXXXXXXXXXXXXXXXXXXXXXXXXXXXXXXXXXXXXXXXXXXXXXXXXXXXXXXXXXXXXXXXXXXXXXXXXXXXXXXXXXXXXXXX</w:t>
      </w:r>
    </w:p>
    <w:p w14:paraId="6D2FDCF0" w14:textId="30369101" w:rsidR="00C71560" w:rsidRPr="00FA3102" w:rsidRDefault="00C71560" w:rsidP="00FA3102">
      <w:pPr>
        <w:rPr>
          <w:highlight w:val="black"/>
        </w:rPr>
      </w:pPr>
      <w:r w:rsidRPr="007D4CD2">
        <w:rPr>
          <w:highlight w:val="black"/>
        </w:rPr>
        <w:t>XXXXXXXXXXXXXXXXXXXXXXXXXXXXXXXXXXXXXXXXXXXXXXXXXXXXXXXXXXXXXXXXXXXXXXXXXXXXXXXXXXXXXXXXXXXXXXXXXXXXXXXXXXXXXXXXXXXXXXXXXXXXXXXXXXXXXXXXXXXXXXXXXXXXXXXXXXXXXXXXXXXXXXXXXXXXXXXXXXXXXXXXXXXXXXXXXXXXXXXXXXXXXXXXXXXXXXXXXXX</w:t>
      </w:r>
    </w:p>
    <w:p w14:paraId="657C438E" w14:textId="3CF6579B" w:rsidR="005648BB" w:rsidRPr="0050273E" w:rsidRDefault="00B20696" w:rsidP="00FA3102">
      <w:proofErr w:type="spellStart"/>
      <w:r w:rsidRPr="00191755">
        <w:t>Vianelli</w:t>
      </w:r>
      <w:proofErr w:type="spellEnd"/>
      <w:r w:rsidRPr="00191755">
        <w:t xml:space="preserve">, N., </w:t>
      </w:r>
      <w:proofErr w:type="spellStart"/>
      <w:r w:rsidRPr="00191755">
        <w:t>Palandri</w:t>
      </w:r>
      <w:proofErr w:type="spellEnd"/>
      <w:r w:rsidRPr="00191755">
        <w:t xml:space="preserve">, N., </w:t>
      </w:r>
      <w:proofErr w:type="spellStart"/>
      <w:proofErr w:type="gramStart"/>
      <w:r w:rsidRPr="00191755">
        <w:t>Polverelli</w:t>
      </w:r>
      <w:proofErr w:type="spellEnd"/>
      <w:proofErr w:type="gramEnd"/>
      <w:r w:rsidRPr="00191755">
        <w:t>, F. et al. (2013) Splenectomy as a curative treatment for immune thrombocytopenia: a retrospective analysis of 233 patients with a minimum follow</w:t>
      </w:r>
      <w:r w:rsidR="0050273E">
        <w:t xml:space="preserve"> up of 10 years. </w:t>
      </w:r>
      <w:proofErr w:type="spellStart"/>
      <w:r w:rsidR="0050273E">
        <w:t>Haematologica</w:t>
      </w:r>
      <w:proofErr w:type="spellEnd"/>
      <w:r w:rsidR="0050273E">
        <w:t xml:space="preserve"> </w:t>
      </w:r>
      <w:r w:rsidRPr="00191755">
        <w:t>98(6): 875-880.</w:t>
      </w:r>
    </w:p>
    <w:sectPr w:rsidR="005648BB" w:rsidRPr="0050273E" w:rsidSect="00705DAD">
      <w:footerReference w:type="even" r:id="rId36"/>
      <w:footerReference w:type="default" r:id="rId37"/>
      <w:footerReference w:type="first" r:id="rId38"/>
      <w:pgSz w:w="11906" w:h="16838"/>
      <w:pgMar w:top="1644" w:right="1361" w:bottom="1644" w:left="158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350FC2" w14:textId="77777777" w:rsidR="003E25A0" w:rsidRDefault="003E25A0" w:rsidP="00A35800">
      <w:r>
        <w:separator/>
      </w:r>
    </w:p>
  </w:endnote>
  <w:endnote w:type="continuationSeparator" w:id="0">
    <w:p w14:paraId="45A4A8C8" w14:textId="77777777" w:rsidR="003E25A0" w:rsidRDefault="003E25A0" w:rsidP="00A3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skerville">
    <w:altName w:val="Times New Roman"/>
    <w:charset w:val="00"/>
    <w:family w:val="auto"/>
    <w:pitch w:val="variable"/>
    <w:sig w:usb0="80000063" w:usb1="00000000" w:usb2="00000000" w:usb3="00000000" w:csb0="000001FB" w:csb1="00000000"/>
  </w:font>
  <w:font w:name="MS Gothic">
    <w:altName w:val="ＭＳ ゴシック"/>
    <w:panose1 w:val="020B0609070205080204"/>
    <w:charset w:val="80"/>
    <w:family w:val="modern"/>
    <w:pitch w:val="fixed"/>
    <w:sig w:usb0="E00002FF" w:usb1="6AC7FDFB" w:usb2="00000012" w:usb3="00000000" w:csb0="0002009F" w:csb1="00000000"/>
  </w:font>
  <w:font w:name="Lucida Bright">
    <w:panose1 w:val="0204060205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Neue Condensed">
    <w:altName w:val="HelveticaNeue Condensed"/>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9D5E5" w14:textId="77777777" w:rsidR="003E25A0" w:rsidRDefault="003E25A0"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D9F9A1E" w14:textId="77777777" w:rsidR="003E25A0" w:rsidRDefault="003E25A0" w:rsidP="00A358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2419521"/>
      <w:docPartObj>
        <w:docPartGallery w:val="Page Numbers (Bottom of Page)"/>
        <w:docPartUnique/>
      </w:docPartObj>
    </w:sdtPr>
    <w:sdtEndPr/>
    <w:sdtContent>
      <w:sdt>
        <w:sdtPr>
          <w:id w:val="-1641338544"/>
          <w:docPartObj>
            <w:docPartGallery w:val="Page Numbers (Top of Page)"/>
            <w:docPartUnique/>
          </w:docPartObj>
        </w:sdtPr>
        <w:sdtEndPr/>
        <w:sdtContent>
          <w:p w14:paraId="1EDF8A3F" w14:textId="66ED29C4" w:rsidR="003E25A0" w:rsidRPr="00CB6ABE" w:rsidRDefault="003E25A0" w:rsidP="00A72484">
            <w:pPr>
              <w:pStyle w:val="Footer"/>
              <w:jc w:val="center"/>
              <w:rPr>
                <w:i/>
                <w:sz w:val="20"/>
                <w:szCs w:val="20"/>
              </w:rPr>
            </w:pPr>
            <w:r>
              <w:rPr>
                <w:i/>
                <w:sz w:val="20"/>
                <w:szCs w:val="20"/>
              </w:rPr>
              <w:t>Public Release Document, June 2015 DUSC Meeting</w:t>
            </w:r>
          </w:p>
          <w:p w14:paraId="00C764B6" w14:textId="77777777" w:rsidR="003E25A0" w:rsidRDefault="003E25A0" w:rsidP="00A72484">
            <w:pPr>
              <w:pStyle w:val="Footer"/>
              <w:jc w:val="center"/>
            </w:pPr>
            <w:r w:rsidRPr="00CB6ABE">
              <w:rPr>
                <w:i/>
                <w:sz w:val="20"/>
                <w:szCs w:val="20"/>
              </w:rPr>
              <w:t xml:space="preserve">Page </w:t>
            </w:r>
            <w:r w:rsidRPr="00CB6ABE">
              <w:rPr>
                <w:bCs/>
                <w:i/>
                <w:sz w:val="20"/>
                <w:szCs w:val="20"/>
              </w:rPr>
              <w:fldChar w:fldCharType="begin"/>
            </w:r>
            <w:r w:rsidRPr="00CB6ABE">
              <w:rPr>
                <w:bCs/>
                <w:i/>
                <w:sz w:val="20"/>
                <w:szCs w:val="20"/>
              </w:rPr>
              <w:instrText xml:space="preserve"> PAGE </w:instrText>
            </w:r>
            <w:r w:rsidRPr="00CB6ABE">
              <w:rPr>
                <w:bCs/>
                <w:i/>
                <w:sz w:val="20"/>
                <w:szCs w:val="20"/>
              </w:rPr>
              <w:fldChar w:fldCharType="separate"/>
            </w:r>
            <w:r w:rsidR="00AA2EDA">
              <w:rPr>
                <w:bCs/>
                <w:i/>
                <w:noProof/>
                <w:sz w:val="20"/>
                <w:szCs w:val="20"/>
              </w:rPr>
              <w:t>21</w:t>
            </w:r>
            <w:r w:rsidRPr="00CB6ABE">
              <w:rPr>
                <w:bCs/>
                <w:i/>
                <w:sz w:val="20"/>
                <w:szCs w:val="20"/>
              </w:rPr>
              <w:fldChar w:fldCharType="end"/>
            </w:r>
            <w:r w:rsidRPr="00CB6ABE">
              <w:rPr>
                <w:i/>
                <w:sz w:val="20"/>
                <w:szCs w:val="20"/>
              </w:rPr>
              <w:t xml:space="preserve"> of </w:t>
            </w:r>
            <w:r w:rsidRPr="00CB6ABE">
              <w:rPr>
                <w:bCs/>
                <w:i/>
                <w:sz w:val="20"/>
                <w:szCs w:val="20"/>
              </w:rPr>
              <w:fldChar w:fldCharType="begin"/>
            </w:r>
            <w:r w:rsidRPr="00CB6ABE">
              <w:rPr>
                <w:bCs/>
                <w:i/>
                <w:sz w:val="20"/>
                <w:szCs w:val="20"/>
              </w:rPr>
              <w:instrText xml:space="preserve"> NUMPAGES  </w:instrText>
            </w:r>
            <w:r w:rsidRPr="00CB6ABE">
              <w:rPr>
                <w:bCs/>
                <w:i/>
                <w:sz w:val="20"/>
                <w:szCs w:val="20"/>
              </w:rPr>
              <w:fldChar w:fldCharType="separate"/>
            </w:r>
            <w:r w:rsidR="00AA2EDA">
              <w:rPr>
                <w:bCs/>
                <w:i/>
                <w:noProof/>
                <w:sz w:val="20"/>
                <w:szCs w:val="20"/>
              </w:rPr>
              <w:t>30</w:t>
            </w:r>
            <w:r w:rsidRPr="00CB6ABE">
              <w:rPr>
                <w:bCs/>
                <w:i/>
                <w:sz w:val="20"/>
                <w:szCs w:val="20"/>
              </w:rPr>
              <w:fldChar w:fldCharType="end"/>
            </w:r>
          </w:p>
        </w:sdtContent>
      </w:sdt>
    </w:sdtContent>
  </w:sdt>
  <w:p w14:paraId="16541DE1" w14:textId="77777777" w:rsidR="003E25A0" w:rsidRDefault="003E25A0" w:rsidP="00A3580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0082579"/>
      <w:docPartObj>
        <w:docPartGallery w:val="Page Numbers (Top of Page)"/>
        <w:docPartUnique/>
      </w:docPartObj>
    </w:sdtPr>
    <w:sdtEndPr/>
    <w:sdtContent>
      <w:p w14:paraId="5440CFC6" w14:textId="41233345" w:rsidR="003E25A0" w:rsidRPr="00CB6ABE" w:rsidRDefault="003E25A0" w:rsidP="00E61E98">
        <w:pPr>
          <w:pStyle w:val="Footer"/>
          <w:jc w:val="center"/>
          <w:rPr>
            <w:i/>
            <w:sz w:val="20"/>
            <w:szCs w:val="20"/>
          </w:rPr>
        </w:pPr>
        <w:r>
          <w:rPr>
            <w:i/>
            <w:sz w:val="20"/>
            <w:szCs w:val="20"/>
          </w:rPr>
          <w:t>Public Release Document, June 2015 DUSC Meeting</w:t>
        </w:r>
      </w:p>
      <w:p w14:paraId="556FC19C" w14:textId="77777777" w:rsidR="003E25A0" w:rsidRDefault="003E25A0" w:rsidP="00E61E98">
        <w:pPr>
          <w:pStyle w:val="Footer"/>
          <w:jc w:val="center"/>
        </w:pPr>
        <w:r w:rsidRPr="00CB6ABE">
          <w:rPr>
            <w:i/>
            <w:sz w:val="20"/>
            <w:szCs w:val="20"/>
          </w:rPr>
          <w:t xml:space="preserve">Page </w:t>
        </w:r>
        <w:r w:rsidRPr="00CB6ABE">
          <w:rPr>
            <w:bCs/>
            <w:i/>
            <w:sz w:val="20"/>
            <w:szCs w:val="20"/>
          </w:rPr>
          <w:fldChar w:fldCharType="begin"/>
        </w:r>
        <w:r w:rsidRPr="00CB6ABE">
          <w:rPr>
            <w:bCs/>
            <w:i/>
            <w:sz w:val="20"/>
            <w:szCs w:val="20"/>
          </w:rPr>
          <w:instrText xml:space="preserve"> PAGE </w:instrText>
        </w:r>
        <w:r w:rsidRPr="00CB6ABE">
          <w:rPr>
            <w:bCs/>
            <w:i/>
            <w:sz w:val="20"/>
            <w:szCs w:val="20"/>
          </w:rPr>
          <w:fldChar w:fldCharType="separate"/>
        </w:r>
        <w:r w:rsidR="00AA2EDA">
          <w:rPr>
            <w:bCs/>
            <w:i/>
            <w:noProof/>
            <w:sz w:val="20"/>
            <w:szCs w:val="20"/>
          </w:rPr>
          <w:t>1</w:t>
        </w:r>
        <w:r w:rsidRPr="00CB6ABE">
          <w:rPr>
            <w:bCs/>
            <w:i/>
            <w:sz w:val="20"/>
            <w:szCs w:val="20"/>
          </w:rPr>
          <w:fldChar w:fldCharType="end"/>
        </w:r>
        <w:r w:rsidRPr="00CB6ABE">
          <w:rPr>
            <w:i/>
            <w:sz w:val="20"/>
            <w:szCs w:val="20"/>
          </w:rPr>
          <w:t xml:space="preserve"> of </w:t>
        </w:r>
        <w:r w:rsidRPr="00CB6ABE">
          <w:rPr>
            <w:bCs/>
            <w:i/>
            <w:sz w:val="20"/>
            <w:szCs w:val="20"/>
          </w:rPr>
          <w:fldChar w:fldCharType="begin"/>
        </w:r>
        <w:r w:rsidRPr="00CB6ABE">
          <w:rPr>
            <w:bCs/>
            <w:i/>
            <w:sz w:val="20"/>
            <w:szCs w:val="20"/>
          </w:rPr>
          <w:instrText xml:space="preserve"> NUMPAGES  </w:instrText>
        </w:r>
        <w:r w:rsidRPr="00CB6ABE">
          <w:rPr>
            <w:bCs/>
            <w:i/>
            <w:sz w:val="20"/>
            <w:szCs w:val="20"/>
          </w:rPr>
          <w:fldChar w:fldCharType="separate"/>
        </w:r>
        <w:r w:rsidR="00AA2EDA">
          <w:rPr>
            <w:bCs/>
            <w:i/>
            <w:noProof/>
            <w:sz w:val="20"/>
            <w:szCs w:val="20"/>
          </w:rPr>
          <w:t>30</w:t>
        </w:r>
        <w:r w:rsidRPr="00CB6ABE">
          <w:rPr>
            <w:bCs/>
            <w:i/>
            <w:sz w:val="20"/>
            <w:szCs w:val="20"/>
          </w:rPr>
          <w:fldChar w:fldCharType="end"/>
        </w:r>
      </w:p>
    </w:sdtContent>
  </w:sdt>
  <w:p w14:paraId="44F9CDD2" w14:textId="77777777" w:rsidR="003E25A0" w:rsidRDefault="003E25A0" w:rsidP="00EB1D9B">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75EEDE" w14:textId="77777777" w:rsidR="003E25A0" w:rsidRDefault="003E25A0" w:rsidP="00A35800">
      <w:r>
        <w:separator/>
      </w:r>
    </w:p>
  </w:footnote>
  <w:footnote w:type="continuationSeparator" w:id="0">
    <w:p w14:paraId="7E2CA1E4" w14:textId="77777777" w:rsidR="003E25A0" w:rsidRDefault="003E25A0" w:rsidP="00A35800">
      <w:r>
        <w:continuationSeparator/>
      </w:r>
    </w:p>
  </w:footnote>
  <w:footnote w:id="1">
    <w:p w14:paraId="616EE31C" w14:textId="51C6C5DA" w:rsidR="003E25A0" w:rsidRPr="00BC5AE2" w:rsidRDefault="003E25A0" w:rsidP="00787722">
      <w:pPr>
        <w:pStyle w:val="FootnoteText"/>
        <w:rPr>
          <w:sz w:val="20"/>
        </w:rPr>
      </w:pPr>
      <w:r w:rsidRPr="00BC5AE2">
        <w:rPr>
          <w:rStyle w:val="FootnoteReference"/>
          <w:sz w:val="20"/>
        </w:rPr>
        <w:footnoteRef/>
      </w:r>
      <w:r w:rsidRPr="00BC5AE2">
        <w:rPr>
          <w:sz w:val="20"/>
        </w:rPr>
        <w:t xml:space="preserve"> </w:t>
      </w:r>
      <w:proofErr w:type="gramStart"/>
      <w:r w:rsidRPr="00BC5AE2">
        <w:rPr>
          <w:sz w:val="20"/>
        </w:rPr>
        <w:t>PBS statistics</w:t>
      </w:r>
      <w:r>
        <w:rPr>
          <w:sz w:val="20"/>
        </w:rPr>
        <w:t>.</w:t>
      </w:r>
      <w:proofErr w:type="gramEnd"/>
      <w:r>
        <w:rPr>
          <w:sz w:val="20"/>
        </w:rPr>
        <w:t xml:space="preserve"> </w:t>
      </w:r>
      <w:proofErr w:type="gramStart"/>
      <w:r>
        <w:rPr>
          <w:sz w:val="20"/>
        </w:rPr>
        <w:t>Australian Government Department of Human Services Medicare.</w:t>
      </w:r>
      <w:proofErr w:type="gramEnd"/>
      <w:r>
        <w:rPr>
          <w:sz w:val="20"/>
        </w:rPr>
        <w:t xml:space="preserve"> Canberra. </w:t>
      </w:r>
      <w:proofErr w:type="gramStart"/>
      <w:r>
        <w:rPr>
          <w:sz w:val="20"/>
        </w:rPr>
        <w:t>Available from</w:t>
      </w:r>
      <w:r w:rsidR="00C6087B">
        <w:rPr>
          <w:sz w:val="20"/>
        </w:rPr>
        <w:t xml:space="preserve"> the</w:t>
      </w:r>
      <w:r>
        <w:rPr>
          <w:sz w:val="20"/>
        </w:rPr>
        <w:t xml:space="preserve"> </w:t>
      </w:r>
      <w:hyperlink r:id="rId1" w:history="1">
        <w:r w:rsidR="00C6087B">
          <w:rPr>
            <w:rStyle w:val="Hyperlink"/>
            <w:sz w:val="20"/>
          </w:rPr>
          <w:t>Department of Human Services website</w:t>
        </w:r>
      </w:hyperlink>
      <w:r>
        <w:rPr>
          <w:sz w:val="20"/>
        </w:rPr>
        <w:t>.</w:t>
      </w:r>
      <w:proofErr w:type="gramEnd"/>
    </w:p>
  </w:footnote>
  <w:footnote w:id="2">
    <w:p w14:paraId="15FF2A86" w14:textId="02EADCBF" w:rsidR="003E25A0" w:rsidRDefault="003E25A0">
      <w:pPr>
        <w:pStyle w:val="FootnoteText"/>
      </w:pPr>
      <w:r>
        <w:rPr>
          <w:rStyle w:val="FootnoteReference"/>
        </w:rPr>
        <w:footnoteRef/>
      </w:r>
      <w:r>
        <w:t xml:space="preserve"> The figure of 147 initiating patients excludes a small number of patients who received an authority approval for initial treatment and initial grandfathered treatment. It therefore differs to the 150 initial patients reported in Table 6.</w:t>
      </w:r>
    </w:p>
  </w:footnote>
  <w:footnote w:id="3">
    <w:p w14:paraId="05D28AA5" w14:textId="052C5BA4" w:rsidR="003E25A0" w:rsidRDefault="003E25A0">
      <w:pPr>
        <w:pStyle w:val="FootnoteText"/>
      </w:pPr>
      <w:r>
        <w:rPr>
          <w:rStyle w:val="FootnoteReference"/>
        </w:rPr>
        <w:footnoteRef/>
      </w:r>
      <w:r>
        <w:t xml:space="preserve"> Continuers were defined has having a date of last supply within three times the median time to re-supply (27 days) from the specified end-date (31 December 2014).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F5678"/>
    <w:multiLevelType w:val="hybridMultilevel"/>
    <w:tmpl w:val="1A1E5E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19852C81"/>
    <w:multiLevelType w:val="multilevel"/>
    <w:tmpl w:val="06E4D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A80650"/>
    <w:multiLevelType w:val="hybridMultilevel"/>
    <w:tmpl w:val="BF70C0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20A1004B"/>
    <w:multiLevelType w:val="hybridMultilevel"/>
    <w:tmpl w:val="C4FA2E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2400588B"/>
    <w:multiLevelType w:val="hybridMultilevel"/>
    <w:tmpl w:val="4D90E9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2EE01593"/>
    <w:multiLevelType w:val="hybridMultilevel"/>
    <w:tmpl w:val="BFE8D2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2FAC0437"/>
    <w:multiLevelType w:val="hybridMultilevel"/>
    <w:tmpl w:val="CFE6571C"/>
    <w:lvl w:ilvl="0" w:tplc="1672812A">
      <w:start w:val="1"/>
      <w:numFmt w:val="decimal"/>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7">
    <w:nsid w:val="30667341"/>
    <w:multiLevelType w:val="hybridMultilevel"/>
    <w:tmpl w:val="CA1879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3464203A"/>
    <w:multiLevelType w:val="hybridMultilevel"/>
    <w:tmpl w:val="14E872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37D52ADD"/>
    <w:multiLevelType w:val="hybridMultilevel"/>
    <w:tmpl w:val="3A30C3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2753679"/>
    <w:multiLevelType w:val="hybridMultilevel"/>
    <w:tmpl w:val="D76CE8D4"/>
    <w:lvl w:ilvl="0" w:tplc="214497BA">
      <w:numFmt w:val="bullet"/>
      <w:lvlText w:val="-"/>
      <w:lvlJc w:val="left"/>
      <w:pPr>
        <w:ind w:left="1080" w:hanging="360"/>
      </w:pPr>
      <w:rPr>
        <w:rFonts w:ascii="Calibri" w:eastAsiaTheme="minorEastAsia" w:hAnsi="Calibri"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nsid w:val="4F1F0DFC"/>
    <w:multiLevelType w:val="hybridMultilevel"/>
    <w:tmpl w:val="8200A2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52D877C0"/>
    <w:multiLevelType w:val="hybridMultilevel"/>
    <w:tmpl w:val="9C5E49C6"/>
    <w:lvl w:ilvl="0" w:tplc="0C090001">
      <w:start w:val="1"/>
      <w:numFmt w:val="bullet"/>
      <w:lvlText w:val=""/>
      <w:lvlJc w:val="left"/>
      <w:pPr>
        <w:ind w:left="6" w:hanging="360"/>
      </w:pPr>
      <w:rPr>
        <w:rFonts w:ascii="Symbol" w:hAnsi="Symbol" w:hint="default"/>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13">
    <w:nsid w:val="67475834"/>
    <w:multiLevelType w:val="hybridMultilevel"/>
    <w:tmpl w:val="0C6E12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6E807C56"/>
    <w:multiLevelType w:val="hybridMultilevel"/>
    <w:tmpl w:val="62A82E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72880EB7"/>
    <w:multiLevelType w:val="hybridMultilevel"/>
    <w:tmpl w:val="811C8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744B2376"/>
    <w:multiLevelType w:val="hybridMultilevel"/>
    <w:tmpl w:val="3F2619E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77763F80"/>
    <w:multiLevelType w:val="hybridMultilevel"/>
    <w:tmpl w:val="208841D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8">
    <w:nsid w:val="78511E72"/>
    <w:multiLevelType w:val="hybridMultilevel"/>
    <w:tmpl w:val="3A8C5EAA"/>
    <w:lvl w:ilvl="0" w:tplc="214497BA">
      <w:numFmt w:val="bullet"/>
      <w:lvlText w:val="-"/>
      <w:lvlJc w:val="left"/>
      <w:pPr>
        <w:ind w:left="720" w:hanging="360"/>
      </w:pPr>
      <w:rPr>
        <w:rFonts w:ascii="Calibri" w:eastAsiaTheme="minorEastAsia"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7B801FEF"/>
    <w:multiLevelType w:val="hybridMultilevel"/>
    <w:tmpl w:val="AA8AE8DE"/>
    <w:lvl w:ilvl="0" w:tplc="7A880F1A">
      <w:numFmt w:val="bullet"/>
      <w:lvlText w:val="-"/>
      <w:lvlJc w:val="left"/>
      <w:pPr>
        <w:ind w:left="720" w:hanging="360"/>
      </w:pPr>
      <w:rPr>
        <w:rFonts w:ascii="Calibri" w:eastAsiaTheme="minorEastAsia" w:hAnsi="Calibri" w:cs="Baskerville"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7"/>
  </w:num>
  <w:num w:numId="4">
    <w:abstractNumId w:val="5"/>
  </w:num>
  <w:num w:numId="5">
    <w:abstractNumId w:val="0"/>
  </w:num>
  <w:num w:numId="6">
    <w:abstractNumId w:val="18"/>
  </w:num>
  <w:num w:numId="7">
    <w:abstractNumId w:val="19"/>
  </w:num>
  <w:num w:numId="8">
    <w:abstractNumId w:val="14"/>
  </w:num>
  <w:num w:numId="9">
    <w:abstractNumId w:val="1"/>
  </w:num>
  <w:num w:numId="10">
    <w:abstractNumId w:val="3"/>
  </w:num>
  <w:num w:numId="11">
    <w:abstractNumId w:val="16"/>
  </w:num>
  <w:num w:numId="12">
    <w:abstractNumId w:val="10"/>
  </w:num>
  <w:num w:numId="13">
    <w:abstractNumId w:val="2"/>
  </w:num>
  <w:num w:numId="14">
    <w:abstractNumId w:val="6"/>
  </w:num>
  <w:num w:numId="15">
    <w:abstractNumId w:val="13"/>
  </w:num>
  <w:num w:numId="16">
    <w:abstractNumId w:val="17"/>
  </w:num>
  <w:num w:numId="17">
    <w:abstractNumId w:val="11"/>
  </w:num>
  <w:num w:numId="18">
    <w:abstractNumId w:val="4"/>
  </w:num>
  <w:num w:numId="19">
    <w:abstractNumId w:val="1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041"/>
    <w:rsid w:val="00000294"/>
    <w:rsid w:val="00000C5F"/>
    <w:rsid w:val="000016B1"/>
    <w:rsid w:val="00001BEA"/>
    <w:rsid w:val="00001D02"/>
    <w:rsid w:val="00001E32"/>
    <w:rsid w:val="000029D2"/>
    <w:rsid w:val="00002C4A"/>
    <w:rsid w:val="000038FC"/>
    <w:rsid w:val="00003952"/>
    <w:rsid w:val="000039A6"/>
    <w:rsid w:val="000039CA"/>
    <w:rsid w:val="00004457"/>
    <w:rsid w:val="00004E06"/>
    <w:rsid w:val="00004EB4"/>
    <w:rsid w:val="0000678F"/>
    <w:rsid w:val="00007429"/>
    <w:rsid w:val="00010080"/>
    <w:rsid w:val="0001136B"/>
    <w:rsid w:val="00011B6F"/>
    <w:rsid w:val="00012657"/>
    <w:rsid w:val="0001342A"/>
    <w:rsid w:val="00013BD0"/>
    <w:rsid w:val="00015948"/>
    <w:rsid w:val="00015B03"/>
    <w:rsid w:val="00016B6D"/>
    <w:rsid w:val="00017523"/>
    <w:rsid w:val="00021129"/>
    <w:rsid w:val="000215C3"/>
    <w:rsid w:val="00021BBC"/>
    <w:rsid w:val="00022256"/>
    <w:rsid w:val="00023EB4"/>
    <w:rsid w:val="00024EF4"/>
    <w:rsid w:val="000278B9"/>
    <w:rsid w:val="00027C93"/>
    <w:rsid w:val="0003002E"/>
    <w:rsid w:val="00030907"/>
    <w:rsid w:val="0003137D"/>
    <w:rsid w:val="0003305E"/>
    <w:rsid w:val="0003382F"/>
    <w:rsid w:val="00034DE8"/>
    <w:rsid w:val="00034F59"/>
    <w:rsid w:val="000355B1"/>
    <w:rsid w:val="00035FDC"/>
    <w:rsid w:val="0003615A"/>
    <w:rsid w:val="000374B2"/>
    <w:rsid w:val="00040868"/>
    <w:rsid w:val="00041352"/>
    <w:rsid w:val="0004172F"/>
    <w:rsid w:val="00041779"/>
    <w:rsid w:val="00041BC0"/>
    <w:rsid w:val="000435BF"/>
    <w:rsid w:val="00043804"/>
    <w:rsid w:val="000438DA"/>
    <w:rsid w:val="00043BF8"/>
    <w:rsid w:val="00044DA1"/>
    <w:rsid w:val="000511D9"/>
    <w:rsid w:val="000524E3"/>
    <w:rsid w:val="000546BE"/>
    <w:rsid w:val="000568BC"/>
    <w:rsid w:val="0005780E"/>
    <w:rsid w:val="00061374"/>
    <w:rsid w:val="00061C9D"/>
    <w:rsid w:val="00063999"/>
    <w:rsid w:val="00063D3F"/>
    <w:rsid w:val="00065294"/>
    <w:rsid w:val="00065363"/>
    <w:rsid w:val="00066984"/>
    <w:rsid w:val="000671B9"/>
    <w:rsid w:val="00067D91"/>
    <w:rsid w:val="000711B7"/>
    <w:rsid w:val="00071A47"/>
    <w:rsid w:val="00071CEC"/>
    <w:rsid w:val="00072036"/>
    <w:rsid w:val="000721DC"/>
    <w:rsid w:val="0007279A"/>
    <w:rsid w:val="00072A1D"/>
    <w:rsid w:val="0007388C"/>
    <w:rsid w:val="00074AD5"/>
    <w:rsid w:val="00074E73"/>
    <w:rsid w:val="000764E4"/>
    <w:rsid w:val="00076CB6"/>
    <w:rsid w:val="000777D0"/>
    <w:rsid w:val="00080EC9"/>
    <w:rsid w:val="00081737"/>
    <w:rsid w:val="00081A57"/>
    <w:rsid w:val="00081C98"/>
    <w:rsid w:val="00083905"/>
    <w:rsid w:val="00084041"/>
    <w:rsid w:val="00084C1A"/>
    <w:rsid w:val="0008540A"/>
    <w:rsid w:val="0008575C"/>
    <w:rsid w:val="00085D95"/>
    <w:rsid w:val="000866FB"/>
    <w:rsid w:val="00086E8F"/>
    <w:rsid w:val="000876BC"/>
    <w:rsid w:val="0009041D"/>
    <w:rsid w:val="00090A82"/>
    <w:rsid w:val="00090AA3"/>
    <w:rsid w:val="00090B2D"/>
    <w:rsid w:val="00090B3B"/>
    <w:rsid w:val="00091613"/>
    <w:rsid w:val="000922F1"/>
    <w:rsid w:val="00092735"/>
    <w:rsid w:val="0009393B"/>
    <w:rsid w:val="00094DCF"/>
    <w:rsid w:val="00095DE6"/>
    <w:rsid w:val="00096EA8"/>
    <w:rsid w:val="000974A2"/>
    <w:rsid w:val="00097717"/>
    <w:rsid w:val="000A03B5"/>
    <w:rsid w:val="000A06DC"/>
    <w:rsid w:val="000A13B4"/>
    <w:rsid w:val="000A17C1"/>
    <w:rsid w:val="000A1C4D"/>
    <w:rsid w:val="000A277F"/>
    <w:rsid w:val="000A2EDD"/>
    <w:rsid w:val="000A2EE3"/>
    <w:rsid w:val="000A3042"/>
    <w:rsid w:val="000A3998"/>
    <w:rsid w:val="000A4192"/>
    <w:rsid w:val="000A439F"/>
    <w:rsid w:val="000A468B"/>
    <w:rsid w:val="000A505C"/>
    <w:rsid w:val="000A5271"/>
    <w:rsid w:val="000A555D"/>
    <w:rsid w:val="000B020E"/>
    <w:rsid w:val="000B0C20"/>
    <w:rsid w:val="000B0D1B"/>
    <w:rsid w:val="000B0EAE"/>
    <w:rsid w:val="000B2970"/>
    <w:rsid w:val="000B2EB6"/>
    <w:rsid w:val="000B3112"/>
    <w:rsid w:val="000B3409"/>
    <w:rsid w:val="000B3B1C"/>
    <w:rsid w:val="000B3C28"/>
    <w:rsid w:val="000B4EA6"/>
    <w:rsid w:val="000B5D68"/>
    <w:rsid w:val="000B6064"/>
    <w:rsid w:val="000B7028"/>
    <w:rsid w:val="000B796C"/>
    <w:rsid w:val="000C0E62"/>
    <w:rsid w:val="000C1696"/>
    <w:rsid w:val="000C17F6"/>
    <w:rsid w:val="000C1C0A"/>
    <w:rsid w:val="000C238D"/>
    <w:rsid w:val="000C283F"/>
    <w:rsid w:val="000C412F"/>
    <w:rsid w:val="000C44C4"/>
    <w:rsid w:val="000C4529"/>
    <w:rsid w:val="000C46BB"/>
    <w:rsid w:val="000C6F7C"/>
    <w:rsid w:val="000C78BD"/>
    <w:rsid w:val="000C7D8B"/>
    <w:rsid w:val="000C7E44"/>
    <w:rsid w:val="000D0B6C"/>
    <w:rsid w:val="000D0F20"/>
    <w:rsid w:val="000D205F"/>
    <w:rsid w:val="000D3D08"/>
    <w:rsid w:val="000D4967"/>
    <w:rsid w:val="000D5E02"/>
    <w:rsid w:val="000D7217"/>
    <w:rsid w:val="000D77A2"/>
    <w:rsid w:val="000D7EB4"/>
    <w:rsid w:val="000E152E"/>
    <w:rsid w:val="000E2039"/>
    <w:rsid w:val="000E245C"/>
    <w:rsid w:val="000E29CC"/>
    <w:rsid w:val="000E4279"/>
    <w:rsid w:val="000E485D"/>
    <w:rsid w:val="000E4DF3"/>
    <w:rsid w:val="000E63A7"/>
    <w:rsid w:val="000E63BF"/>
    <w:rsid w:val="000E64D1"/>
    <w:rsid w:val="000E67F8"/>
    <w:rsid w:val="000E7896"/>
    <w:rsid w:val="000E7965"/>
    <w:rsid w:val="000E7C4B"/>
    <w:rsid w:val="000F061A"/>
    <w:rsid w:val="000F06A6"/>
    <w:rsid w:val="000F16B2"/>
    <w:rsid w:val="000F2F51"/>
    <w:rsid w:val="000F66AE"/>
    <w:rsid w:val="000F6DCC"/>
    <w:rsid w:val="000F6F8B"/>
    <w:rsid w:val="000F7D47"/>
    <w:rsid w:val="000F7F68"/>
    <w:rsid w:val="00100C7F"/>
    <w:rsid w:val="00101CD8"/>
    <w:rsid w:val="00101DB4"/>
    <w:rsid w:val="00102615"/>
    <w:rsid w:val="00102873"/>
    <w:rsid w:val="00102E89"/>
    <w:rsid w:val="001037B3"/>
    <w:rsid w:val="00103945"/>
    <w:rsid w:val="001042E7"/>
    <w:rsid w:val="001045B8"/>
    <w:rsid w:val="00105CC8"/>
    <w:rsid w:val="00106001"/>
    <w:rsid w:val="00106860"/>
    <w:rsid w:val="00110F98"/>
    <w:rsid w:val="0011152A"/>
    <w:rsid w:val="001117C7"/>
    <w:rsid w:val="00111A18"/>
    <w:rsid w:val="0011210B"/>
    <w:rsid w:val="001127A9"/>
    <w:rsid w:val="00113D74"/>
    <w:rsid w:val="00114136"/>
    <w:rsid w:val="001141DD"/>
    <w:rsid w:val="001144E4"/>
    <w:rsid w:val="00114D4A"/>
    <w:rsid w:val="00115953"/>
    <w:rsid w:val="00115BD2"/>
    <w:rsid w:val="00116BFE"/>
    <w:rsid w:val="001170B7"/>
    <w:rsid w:val="00117567"/>
    <w:rsid w:val="00117C5C"/>
    <w:rsid w:val="00117F02"/>
    <w:rsid w:val="001202A9"/>
    <w:rsid w:val="00120BEA"/>
    <w:rsid w:val="0012330E"/>
    <w:rsid w:val="00123F7F"/>
    <w:rsid w:val="001240A4"/>
    <w:rsid w:val="00124F00"/>
    <w:rsid w:val="00125DE5"/>
    <w:rsid w:val="00126638"/>
    <w:rsid w:val="00126D16"/>
    <w:rsid w:val="001273E8"/>
    <w:rsid w:val="001276CA"/>
    <w:rsid w:val="00127779"/>
    <w:rsid w:val="00127D56"/>
    <w:rsid w:val="00130E06"/>
    <w:rsid w:val="00131161"/>
    <w:rsid w:val="0013122D"/>
    <w:rsid w:val="0013253C"/>
    <w:rsid w:val="00132622"/>
    <w:rsid w:val="00133C28"/>
    <w:rsid w:val="001340FB"/>
    <w:rsid w:val="00134442"/>
    <w:rsid w:val="00134C97"/>
    <w:rsid w:val="0013641B"/>
    <w:rsid w:val="00137950"/>
    <w:rsid w:val="00140A92"/>
    <w:rsid w:val="00141511"/>
    <w:rsid w:val="0014154C"/>
    <w:rsid w:val="00141F8A"/>
    <w:rsid w:val="001420B3"/>
    <w:rsid w:val="00143556"/>
    <w:rsid w:val="001438E3"/>
    <w:rsid w:val="00143E7A"/>
    <w:rsid w:val="00145274"/>
    <w:rsid w:val="00145292"/>
    <w:rsid w:val="0014720C"/>
    <w:rsid w:val="001523D3"/>
    <w:rsid w:val="0015383B"/>
    <w:rsid w:val="00153D61"/>
    <w:rsid w:val="0015502F"/>
    <w:rsid w:val="001556A1"/>
    <w:rsid w:val="00155857"/>
    <w:rsid w:val="0015687F"/>
    <w:rsid w:val="0015691C"/>
    <w:rsid w:val="00156FEB"/>
    <w:rsid w:val="00157070"/>
    <w:rsid w:val="0016019E"/>
    <w:rsid w:val="00160D8B"/>
    <w:rsid w:val="0016100B"/>
    <w:rsid w:val="00161403"/>
    <w:rsid w:val="001626A6"/>
    <w:rsid w:val="00162B0D"/>
    <w:rsid w:val="00162BBF"/>
    <w:rsid w:val="00162FAF"/>
    <w:rsid w:val="0016305E"/>
    <w:rsid w:val="001645B6"/>
    <w:rsid w:val="00164791"/>
    <w:rsid w:val="001658B0"/>
    <w:rsid w:val="00165DB6"/>
    <w:rsid w:val="00166432"/>
    <w:rsid w:val="00166782"/>
    <w:rsid w:val="00166C57"/>
    <w:rsid w:val="001676A4"/>
    <w:rsid w:val="00171507"/>
    <w:rsid w:val="00172F1D"/>
    <w:rsid w:val="001741A2"/>
    <w:rsid w:val="00174380"/>
    <w:rsid w:val="001753F3"/>
    <w:rsid w:val="00175D7E"/>
    <w:rsid w:val="0017630C"/>
    <w:rsid w:val="00177DCF"/>
    <w:rsid w:val="00180B0D"/>
    <w:rsid w:val="00180EDF"/>
    <w:rsid w:val="00180F10"/>
    <w:rsid w:val="0018129D"/>
    <w:rsid w:val="00183287"/>
    <w:rsid w:val="001838CF"/>
    <w:rsid w:val="0018404F"/>
    <w:rsid w:val="00185696"/>
    <w:rsid w:val="00185A6C"/>
    <w:rsid w:val="0018601F"/>
    <w:rsid w:val="00186BA4"/>
    <w:rsid w:val="00186EF5"/>
    <w:rsid w:val="00191755"/>
    <w:rsid w:val="00192050"/>
    <w:rsid w:val="00192A8B"/>
    <w:rsid w:val="001930BD"/>
    <w:rsid w:val="0019489B"/>
    <w:rsid w:val="00194A0D"/>
    <w:rsid w:val="00195970"/>
    <w:rsid w:val="001A2309"/>
    <w:rsid w:val="001A24C7"/>
    <w:rsid w:val="001A2D35"/>
    <w:rsid w:val="001A30BF"/>
    <w:rsid w:val="001A41B6"/>
    <w:rsid w:val="001A6594"/>
    <w:rsid w:val="001A6B15"/>
    <w:rsid w:val="001A7D34"/>
    <w:rsid w:val="001B0264"/>
    <w:rsid w:val="001B07A8"/>
    <w:rsid w:val="001B0EA0"/>
    <w:rsid w:val="001B178C"/>
    <w:rsid w:val="001B2B9C"/>
    <w:rsid w:val="001B2F1C"/>
    <w:rsid w:val="001B324A"/>
    <w:rsid w:val="001B363B"/>
    <w:rsid w:val="001B480E"/>
    <w:rsid w:val="001B5B86"/>
    <w:rsid w:val="001B5D37"/>
    <w:rsid w:val="001B61C6"/>
    <w:rsid w:val="001B62D7"/>
    <w:rsid w:val="001B6738"/>
    <w:rsid w:val="001B77BF"/>
    <w:rsid w:val="001B7A68"/>
    <w:rsid w:val="001C0D95"/>
    <w:rsid w:val="001C10EB"/>
    <w:rsid w:val="001C1A8C"/>
    <w:rsid w:val="001C1FF4"/>
    <w:rsid w:val="001C2112"/>
    <w:rsid w:val="001C2273"/>
    <w:rsid w:val="001C2FC8"/>
    <w:rsid w:val="001C4016"/>
    <w:rsid w:val="001C4368"/>
    <w:rsid w:val="001C4524"/>
    <w:rsid w:val="001C4F31"/>
    <w:rsid w:val="001C5641"/>
    <w:rsid w:val="001C683A"/>
    <w:rsid w:val="001C6E1B"/>
    <w:rsid w:val="001D1AD4"/>
    <w:rsid w:val="001D1C6D"/>
    <w:rsid w:val="001D39CB"/>
    <w:rsid w:val="001D3F73"/>
    <w:rsid w:val="001D59F2"/>
    <w:rsid w:val="001D658C"/>
    <w:rsid w:val="001D6CBC"/>
    <w:rsid w:val="001D7CAE"/>
    <w:rsid w:val="001E0773"/>
    <w:rsid w:val="001E2484"/>
    <w:rsid w:val="001E31A6"/>
    <w:rsid w:val="001E3335"/>
    <w:rsid w:val="001E3F52"/>
    <w:rsid w:val="001E4CAB"/>
    <w:rsid w:val="001E57CF"/>
    <w:rsid w:val="001E6026"/>
    <w:rsid w:val="001E7933"/>
    <w:rsid w:val="001E797B"/>
    <w:rsid w:val="001E7C9C"/>
    <w:rsid w:val="001F00BB"/>
    <w:rsid w:val="001F084B"/>
    <w:rsid w:val="001F08FA"/>
    <w:rsid w:val="001F0BC8"/>
    <w:rsid w:val="001F0F62"/>
    <w:rsid w:val="001F12E0"/>
    <w:rsid w:val="001F1338"/>
    <w:rsid w:val="001F29CD"/>
    <w:rsid w:val="001F2BAA"/>
    <w:rsid w:val="001F2F3E"/>
    <w:rsid w:val="001F32A1"/>
    <w:rsid w:val="001F3D13"/>
    <w:rsid w:val="001F4906"/>
    <w:rsid w:val="001F5238"/>
    <w:rsid w:val="001F5A7C"/>
    <w:rsid w:val="001F5F81"/>
    <w:rsid w:val="001F6192"/>
    <w:rsid w:val="001F653B"/>
    <w:rsid w:val="001F7474"/>
    <w:rsid w:val="001F7655"/>
    <w:rsid w:val="001F7721"/>
    <w:rsid w:val="0020074B"/>
    <w:rsid w:val="00201BEB"/>
    <w:rsid w:val="00202949"/>
    <w:rsid w:val="00202E44"/>
    <w:rsid w:val="0020432D"/>
    <w:rsid w:val="002055EA"/>
    <w:rsid w:val="002067EF"/>
    <w:rsid w:val="002071BB"/>
    <w:rsid w:val="00207E03"/>
    <w:rsid w:val="002110E0"/>
    <w:rsid w:val="00211100"/>
    <w:rsid w:val="002131AC"/>
    <w:rsid w:val="00213907"/>
    <w:rsid w:val="00213DD8"/>
    <w:rsid w:val="00214013"/>
    <w:rsid w:val="002148E3"/>
    <w:rsid w:val="00214B3F"/>
    <w:rsid w:val="00215046"/>
    <w:rsid w:val="002156ED"/>
    <w:rsid w:val="002167CA"/>
    <w:rsid w:val="00216CDD"/>
    <w:rsid w:val="002177F1"/>
    <w:rsid w:val="00217DEB"/>
    <w:rsid w:val="0022114A"/>
    <w:rsid w:val="0022142B"/>
    <w:rsid w:val="002220CE"/>
    <w:rsid w:val="00222971"/>
    <w:rsid w:val="00223791"/>
    <w:rsid w:val="00224185"/>
    <w:rsid w:val="00224CDD"/>
    <w:rsid w:val="0022548D"/>
    <w:rsid w:val="00226751"/>
    <w:rsid w:val="00226CD3"/>
    <w:rsid w:val="00230CA4"/>
    <w:rsid w:val="0023109C"/>
    <w:rsid w:val="002339AF"/>
    <w:rsid w:val="002339E3"/>
    <w:rsid w:val="0023486D"/>
    <w:rsid w:val="00234CAB"/>
    <w:rsid w:val="00236204"/>
    <w:rsid w:val="0023665F"/>
    <w:rsid w:val="00236983"/>
    <w:rsid w:val="00237BA7"/>
    <w:rsid w:val="002400A2"/>
    <w:rsid w:val="00240102"/>
    <w:rsid w:val="00241915"/>
    <w:rsid w:val="00241C83"/>
    <w:rsid w:val="00241C8B"/>
    <w:rsid w:val="002422D7"/>
    <w:rsid w:val="00242D60"/>
    <w:rsid w:val="00247A8D"/>
    <w:rsid w:val="00247AA6"/>
    <w:rsid w:val="00247B40"/>
    <w:rsid w:val="00250911"/>
    <w:rsid w:val="00251FFA"/>
    <w:rsid w:val="0025221C"/>
    <w:rsid w:val="00252948"/>
    <w:rsid w:val="00253287"/>
    <w:rsid w:val="00253BEB"/>
    <w:rsid w:val="00253F8E"/>
    <w:rsid w:val="0025464F"/>
    <w:rsid w:val="0025484D"/>
    <w:rsid w:val="00254B87"/>
    <w:rsid w:val="00255017"/>
    <w:rsid w:val="00255C78"/>
    <w:rsid w:val="002607CA"/>
    <w:rsid w:val="00260B4B"/>
    <w:rsid w:val="00262087"/>
    <w:rsid w:val="00262A87"/>
    <w:rsid w:val="002639DB"/>
    <w:rsid w:val="00263A6A"/>
    <w:rsid w:val="002642AF"/>
    <w:rsid w:val="002642EB"/>
    <w:rsid w:val="00264AF1"/>
    <w:rsid w:val="00266757"/>
    <w:rsid w:val="00266DD7"/>
    <w:rsid w:val="0026737E"/>
    <w:rsid w:val="0027207B"/>
    <w:rsid w:val="002730A5"/>
    <w:rsid w:val="002732BC"/>
    <w:rsid w:val="00274364"/>
    <w:rsid w:val="00274679"/>
    <w:rsid w:val="0027502A"/>
    <w:rsid w:val="00275266"/>
    <w:rsid w:val="00275CB2"/>
    <w:rsid w:val="00277FFC"/>
    <w:rsid w:val="0028048B"/>
    <w:rsid w:val="00280A9E"/>
    <w:rsid w:val="00280AB7"/>
    <w:rsid w:val="00281AE0"/>
    <w:rsid w:val="00282313"/>
    <w:rsid w:val="00282433"/>
    <w:rsid w:val="002835E7"/>
    <w:rsid w:val="0028399C"/>
    <w:rsid w:val="00284328"/>
    <w:rsid w:val="002869DA"/>
    <w:rsid w:val="00287085"/>
    <w:rsid w:val="00287F80"/>
    <w:rsid w:val="00290285"/>
    <w:rsid w:val="00290896"/>
    <w:rsid w:val="00290F1E"/>
    <w:rsid w:val="00292424"/>
    <w:rsid w:val="0029269D"/>
    <w:rsid w:val="002933C6"/>
    <w:rsid w:val="00293BA6"/>
    <w:rsid w:val="00293E2C"/>
    <w:rsid w:val="0029466E"/>
    <w:rsid w:val="00295A00"/>
    <w:rsid w:val="00295FC4"/>
    <w:rsid w:val="0029668A"/>
    <w:rsid w:val="002A0592"/>
    <w:rsid w:val="002A10F0"/>
    <w:rsid w:val="002A13EC"/>
    <w:rsid w:val="002A1CD6"/>
    <w:rsid w:val="002A1EEF"/>
    <w:rsid w:val="002A1F64"/>
    <w:rsid w:val="002A342E"/>
    <w:rsid w:val="002A34D2"/>
    <w:rsid w:val="002A5CD2"/>
    <w:rsid w:val="002A67FF"/>
    <w:rsid w:val="002A68F4"/>
    <w:rsid w:val="002A6D9F"/>
    <w:rsid w:val="002A70B5"/>
    <w:rsid w:val="002A79B4"/>
    <w:rsid w:val="002B0236"/>
    <w:rsid w:val="002B0E95"/>
    <w:rsid w:val="002B1EA4"/>
    <w:rsid w:val="002B249E"/>
    <w:rsid w:val="002B2B8D"/>
    <w:rsid w:val="002B436D"/>
    <w:rsid w:val="002B64D0"/>
    <w:rsid w:val="002B6B8E"/>
    <w:rsid w:val="002B7E80"/>
    <w:rsid w:val="002C0664"/>
    <w:rsid w:val="002C0DCA"/>
    <w:rsid w:val="002C1A1B"/>
    <w:rsid w:val="002C26E3"/>
    <w:rsid w:val="002C3CCA"/>
    <w:rsid w:val="002C3E61"/>
    <w:rsid w:val="002C41E4"/>
    <w:rsid w:val="002C5128"/>
    <w:rsid w:val="002C583D"/>
    <w:rsid w:val="002C61F9"/>
    <w:rsid w:val="002C6E0C"/>
    <w:rsid w:val="002C6F7F"/>
    <w:rsid w:val="002D085A"/>
    <w:rsid w:val="002D22AE"/>
    <w:rsid w:val="002D3665"/>
    <w:rsid w:val="002D3ACC"/>
    <w:rsid w:val="002D42DA"/>
    <w:rsid w:val="002D439F"/>
    <w:rsid w:val="002D58D9"/>
    <w:rsid w:val="002D5935"/>
    <w:rsid w:val="002D5FFC"/>
    <w:rsid w:val="002D629A"/>
    <w:rsid w:val="002D6855"/>
    <w:rsid w:val="002D697E"/>
    <w:rsid w:val="002D69CC"/>
    <w:rsid w:val="002D7EBC"/>
    <w:rsid w:val="002E07FB"/>
    <w:rsid w:val="002E2360"/>
    <w:rsid w:val="002E276C"/>
    <w:rsid w:val="002E2F4A"/>
    <w:rsid w:val="002E3337"/>
    <w:rsid w:val="002E3465"/>
    <w:rsid w:val="002E47C9"/>
    <w:rsid w:val="002E47D2"/>
    <w:rsid w:val="002E4B52"/>
    <w:rsid w:val="002E55EA"/>
    <w:rsid w:val="002E5913"/>
    <w:rsid w:val="002E5A5D"/>
    <w:rsid w:val="002E5AEF"/>
    <w:rsid w:val="002E61C5"/>
    <w:rsid w:val="002E628D"/>
    <w:rsid w:val="002E6E85"/>
    <w:rsid w:val="002E71EE"/>
    <w:rsid w:val="002E7309"/>
    <w:rsid w:val="002E7B1B"/>
    <w:rsid w:val="002F0B9D"/>
    <w:rsid w:val="002F0DE9"/>
    <w:rsid w:val="002F1049"/>
    <w:rsid w:val="002F1A57"/>
    <w:rsid w:val="002F2FD6"/>
    <w:rsid w:val="002F3426"/>
    <w:rsid w:val="002F45EC"/>
    <w:rsid w:val="002F46BC"/>
    <w:rsid w:val="002F49A8"/>
    <w:rsid w:val="002F4AC7"/>
    <w:rsid w:val="002F5D2D"/>
    <w:rsid w:val="002F61CA"/>
    <w:rsid w:val="002F624C"/>
    <w:rsid w:val="002F70FE"/>
    <w:rsid w:val="002F7722"/>
    <w:rsid w:val="002F77C5"/>
    <w:rsid w:val="00300071"/>
    <w:rsid w:val="003002A0"/>
    <w:rsid w:val="0030069D"/>
    <w:rsid w:val="003019A3"/>
    <w:rsid w:val="00301A71"/>
    <w:rsid w:val="00301C15"/>
    <w:rsid w:val="00301C50"/>
    <w:rsid w:val="00302FEB"/>
    <w:rsid w:val="003034E9"/>
    <w:rsid w:val="00303B0B"/>
    <w:rsid w:val="00303C2F"/>
    <w:rsid w:val="00303EE3"/>
    <w:rsid w:val="0030424C"/>
    <w:rsid w:val="00304432"/>
    <w:rsid w:val="00304480"/>
    <w:rsid w:val="003045C1"/>
    <w:rsid w:val="0030462D"/>
    <w:rsid w:val="00304A48"/>
    <w:rsid w:val="00305B52"/>
    <w:rsid w:val="00306070"/>
    <w:rsid w:val="00306C24"/>
    <w:rsid w:val="003076F5"/>
    <w:rsid w:val="00310ADD"/>
    <w:rsid w:val="00310BEF"/>
    <w:rsid w:val="00312E3C"/>
    <w:rsid w:val="003132BD"/>
    <w:rsid w:val="003134C0"/>
    <w:rsid w:val="0031367D"/>
    <w:rsid w:val="00314370"/>
    <w:rsid w:val="00314D17"/>
    <w:rsid w:val="00315290"/>
    <w:rsid w:val="0031725F"/>
    <w:rsid w:val="00317868"/>
    <w:rsid w:val="00317959"/>
    <w:rsid w:val="00320338"/>
    <w:rsid w:val="00320376"/>
    <w:rsid w:val="003206D9"/>
    <w:rsid w:val="00320707"/>
    <w:rsid w:val="0032165E"/>
    <w:rsid w:val="003216A9"/>
    <w:rsid w:val="003227EA"/>
    <w:rsid w:val="0032357D"/>
    <w:rsid w:val="00324734"/>
    <w:rsid w:val="00327A26"/>
    <w:rsid w:val="00330030"/>
    <w:rsid w:val="00330919"/>
    <w:rsid w:val="00330A76"/>
    <w:rsid w:val="00330B67"/>
    <w:rsid w:val="00331391"/>
    <w:rsid w:val="003327E9"/>
    <w:rsid w:val="00332BB7"/>
    <w:rsid w:val="00333955"/>
    <w:rsid w:val="003339A5"/>
    <w:rsid w:val="00333C08"/>
    <w:rsid w:val="00334A83"/>
    <w:rsid w:val="00334DF3"/>
    <w:rsid w:val="0033526A"/>
    <w:rsid w:val="00335CD6"/>
    <w:rsid w:val="00335DDA"/>
    <w:rsid w:val="00336399"/>
    <w:rsid w:val="003370D0"/>
    <w:rsid w:val="0033748D"/>
    <w:rsid w:val="0033755D"/>
    <w:rsid w:val="00337B1F"/>
    <w:rsid w:val="00337C60"/>
    <w:rsid w:val="00340F95"/>
    <w:rsid w:val="00342A7F"/>
    <w:rsid w:val="0034312D"/>
    <w:rsid w:val="00343209"/>
    <w:rsid w:val="00344396"/>
    <w:rsid w:val="00344477"/>
    <w:rsid w:val="003448CA"/>
    <w:rsid w:val="00344A1A"/>
    <w:rsid w:val="003461FB"/>
    <w:rsid w:val="00347730"/>
    <w:rsid w:val="00351408"/>
    <w:rsid w:val="00351662"/>
    <w:rsid w:val="0035228F"/>
    <w:rsid w:val="003523B9"/>
    <w:rsid w:val="00352AB0"/>
    <w:rsid w:val="003531ED"/>
    <w:rsid w:val="003555AC"/>
    <w:rsid w:val="003559DC"/>
    <w:rsid w:val="00355BAB"/>
    <w:rsid w:val="003565B1"/>
    <w:rsid w:val="003567D3"/>
    <w:rsid w:val="00357E32"/>
    <w:rsid w:val="00357E3C"/>
    <w:rsid w:val="00357EAA"/>
    <w:rsid w:val="00360A16"/>
    <w:rsid w:val="00360C12"/>
    <w:rsid w:val="00361426"/>
    <w:rsid w:val="003621FC"/>
    <w:rsid w:val="00363E01"/>
    <w:rsid w:val="00364796"/>
    <w:rsid w:val="00365FF2"/>
    <w:rsid w:val="00366EEC"/>
    <w:rsid w:val="003678FD"/>
    <w:rsid w:val="0037074B"/>
    <w:rsid w:val="003719F8"/>
    <w:rsid w:val="00372AB7"/>
    <w:rsid w:val="00374328"/>
    <w:rsid w:val="00375053"/>
    <w:rsid w:val="003755FD"/>
    <w:rsid w:val="00375A9A"/>
    <w:rsid w:val="0037614D"/>
    <w:rsid w:val="00377263"/>
    <w:rsid w:val="0037730D"/>
    <w:rsid w:val="00381827"/>
    <w:rsid w:val="00381D67"/>
    <w:rsid w:val="003821C9"/>
    <w:rsid w:val="003823BF"/>
    <w:rsid w:val="00383856"/>
    <w:rsid w:val="00383BC0"/>
    <w:rsid w:val="00386070"/>
    <w:rsid w:val="00387E50"/>
    <w:rsid w:val="0039017F"/>
    <w:rsid w:val="00391A5B"/>
    <w:rsid w:val="00394188"/>
    <w:rsid w:val="0039439B"/>
    <w:rsid w:val="0039495C"/>
    <w:rsid w:val="00395F64"/>
    <w:rsid w:val="003962E3"/>
    <w:rsid w:val="0039705F"/>
    <w:rsid w:val="00397579"/>
    <w:rsid w:val="00397B5E"/>
    <w:rsid w:val="003A0E6D"/>
    <w:rsid w:val="003A0F27"/>
    <w:rsid w:val="003A13DF"/>
    <w:rsid w:val="003A2287"/>
    <w:rsid w:val="003A3305"/>
    <w:rsid w:val="003A4025"/>
    <w:rsid w:val="003A4365"/>
    <w:rsid w:val="003A481D"/>
    <w:rsid w:val="003A500C"/>
    <w:rsid w:val="003A6B58"/>
    <w:rsid w:val="003A6BC7"/>
    <w:rsid w:val="003A6E24"/>
    <w:rsid w:val="003A7355"/>
    <w:rsid w:val="003A7662"/>
    <w:rsid w:val="003A7A61"/>
    <w:rsid w:val="003B0535"/>
    <w:rsid w:val="003B0628"/>
    <w:rsid w:val="003B0901"/>
    <w:rsid w:val="003B0C06"/>
    <w:rsid w:val="003B17B0"/>
    <w:rsid w:val="003B1CF3"/>
    <w:rsid w:val="003B2145"/>
    <w:rsid w:val="003B2815"/>
    <w:rsid w:val="003B2F02"/>
    <w:rsid w:val="003B4317"/>
    <w:rsid w:val="003B4EBD"/>
    <w:rsid w:val="003B6039"/>
    <w:rsid w:val="003B697E"/>
    <w:rsid w:val="003B6DE4"/>
    <w:rsid w:val="003B7433"/>
    <w:rsid w:val="003B7E50"/>
    <w:rsid w:val="003C0066"/>
    <w:rsid w:val="003C10AE"/>
    <w:rsid w:val="003C1595"/>
    <w:rsid w:val="003C2649"/>
    <w:rsid w:val="003C28C7"/>
    <w:rsid w:val="003C3147"/>
    <w:rsid w:val="003C3E78"/>
    <w:rsid w:val="003C46EE"/>
    <w:rsid w:val="003C54DB"/>
    <w:rsid w:val="003C5748"/>
    <w:rsid w:val="003C5D1E"/>
    <w:rsid w:val="003C6040"/>
    <w:rsid w:val="003C6A2A"/>
    <w:rsid w:val="003C715D"/>
    <w:rsid w:val="003D0023"/>
    <w:rsid w:val="003D11DE"/>
    <w:rsid w:val="003D1B07"/>
    <w:rsid w:val="003D20FF"/>
    <w:rsid w:val="003D3638"/>
    <w:rsid w:val="003D367E"/>
    <w:rsid w:val="003D3E64"/>
    <w:rsid w:val="003D578C"/>
    <w:rsid w:val="003D6532"/>
    <w:rsid w:val="003D72B5"/>
    <w:rsid w:val="003D7857"/>
    <w:rsid w:val="003D7C99"/>
    <w:rsid w:val="003D7ECB"/>
    <w:rsid w:val="003D7F63"/>
    <w:rsid w:val="003E0414"/>
    <w:rsid w:val="003E065B"/>
    <w:rsid w:val="003E25A0"/>
    <w:rsid w:val="003E2B82"/>
    <w:rsid w:val="003E42F7"/>
    <w:rsid w:val="003E5186"/>
    <w:rsid w:val="003E57A8"/>
    <w:rsid w:val="003E5861"/>
    <w:rsid w:val="003E6139"/>
    <w:rsid w:val="003E6B0B"/>
    <w:rsid w:val="003E6C7E"/>
    <w:rsid w:val="003F0246"/>
    <w:rsid w:val="003F07A3"/>
    <w:rsid w:val="003F0B7B"/>
    <w:rsid w:val="003F10B9"/>
    <w:rsid w:val="003F1DEF"/>
    <w:rsid w:val="003F3264"/>
    <w:rsid w:val="003F39FC"/>
    <w:rsid w:val="003F3B11"/>
    <w:rsid w:val="003F3F03"/>
    <w:rsid w:val="003F4D7B"/>
    <w:rsid w:val="003F6BD3"/>
    <w:rsid w:val="003F75C4"/>
    <w:rsid w:val="003F7933"/>
    <w:rsid w:val="004002F3"/>
    <w:rsid w:val="00401712"/>
    <w:rsid w:val="00401CDC"/>
    <w:rsid w:val="00402161"/>
    <w:rsid w:val="00402208"/>
    <w:rsid w:val="0040349E"/>
    <w:rsid w:val="0040364E"/>
    <w:rsid w:val="00403BDF"/>
    <w:rsid w:val="004047ED"/>
    <w:rsid w:val="00404A34"/>
    <w:rsid w:val="0040637D"/>
    <w:rsid w:val="004063D3"/>
    <w:rsid w:val="004102D0"/>
    <w:rsid w:val="00410A0A"/>
    <w:rsid w:val="004116DD"/>
    <w:rsid w:val="00411ED6"/>
    <w:rsid w:val="004120E0"/>
    <w:rsid w:val="00412D48"/>
    <w:rsid w:val="00412E49"/>
    <w:rsid w:val="00413F5B"/>
    <w:rsid w:val="00415F97"/>
    <w:rsid w:val="00416074"/>
    <w:rsid w:val="0041654A"/>
    <w:rsid w:val="004169E5"/>
    <w:rsid w:val="00417272"/>
    <w:rsid w:val="00417B2C"/>
    <w:rsid w:val="004234CF"/>
    <w:rsid w:val="004237C9"/>
    <w:rsid w:val="004244B2"/>
    <w:rsid w:val="004244BA"/>
    <w:rsid w:val="00424F5A"/>
    <w:rsid w:val="004257D5"/>
    <w:rsid w:val="00425991"/>
    <w:rsid w:val="00426203"/>
    <w:rsid w:val="00426DF7"/>
    <w:rsid w:val="0042786A"/>
    <w:rsid w:val="00427DCF"/>
    <w:rsid w:val="00430AF5"/>
    <w:rsid w:val="00433515"/>
    <w:rsid w:val="00434D04"/>
    <w:rsid w:val="004405D2"/>
    <w:rsid w:val="004407F6"/>
    <w:rsid w:val="00440A01"/>
    <w:rsid w:val="0044121B"/>
    <w:rsid w:val="0044136C"/>
    <w:rsid w:val="00441DC6"/>
    <w:rsid w:val="00442FE4"/>
    <w:rsid w:val="0044425B"/>
    <w:rsid w:val="004446C0"/>
    <w:rsid w:val="004450C4"/>
    <w:rsid w:val="004457F8"/>
    <w:rsid w:val="00445A23"/>
    <w:rsid w:val="00445DE3"/>
    <w:rsid w:val="004468CC"/>
    <w:rsid w:val="00446E31"/>
    <w:rsid w:val="00447B60"/>
    <w:rsid w:val="00447DA2"/>
    <w:rsid w:val="00447EB1"/>
    <w:rsid w:val="00450C33"/>
    <w:rsid w:val="00450DF3"/>
    <w:rsid w:val="00451281"/>
    <w:rsid w:val="00451A07"/>
    <w:rsid w:val="004526E6"/>
    <w:rsid w:val="0045367B"/>
    <w:rsid w:val="00453F28"/>
    <w:rsid w:val="00457039"/>
    <w:rsid w:val="004573C5"/>
    <w:rsid w:val="0046039A"/>
    <w:rsid w:val="0046039C"/>
    <w:rsid w:val="00460DD7"/>
    <w:rsid w:val="00460FEC"/>
    <w:rsid w:val="00461C26"/>
    <w:rsid w:val="004626C7"/>
    <w:rsid w:val="004629A0"/>
    <w:rsid w:val="004641B2"/>
    <w:rsid w:val="00464705"/>
    <w:rsid w:val="00466C5A"/>
    <w:rsid w:val="00467612"/>
    <w:rsid w:val="00467847"/>
    <w:rsid w:val="00470022"/>
    <w:rsid w:val="00470B35"/>
    <w:rsid w:val="004712DA"/>
    <w:rsid w:val="00471311"/>
    <w:rsid w:val="00472D77"/>
    <w:rsid w:val="004738DA"/>
    <w:rsid w:val="004746D6"/>
    <w:rsid w:val="00474758"/>
    <w:rsid w:val="00474FD2"/>
    <w:rsid w:val="00475090"/>
    <w:rsid w:val="00475AE2"/>
    <w:rsid w:val="00475DC3"/>
    <w:rsid w:val="00476308"/>
    <w:rsid w:val="0047666A"/>
    <w:rsid w:val="0047754B"/>
    <w:rsid w:val="00477704"/>
    <w:rsid w:val="00480103"/>
    <w:rsid w:val="004802FF"/>
    <w:rsid w:val="00480371"/>
    <w:rsid w:val="00481108"/>
    <w:rsid w:val="004816A6"/>
    <w:rsid w:val="00483C72"/>
    <w:rsid w:val="004841A4"/>
    <w:rsid w:val="0048684E"/>
    <w:rsid w:val="004870AC"/>
    <w:rsid w:val="00487181"/>
    <w:rsid w:val="00490136"/>
    <w:rsid w:val="00490386"/>
    <w:rsid w:val="0049042B"/>
    <w:rsid w:val="004906CC"/>
    <w:rsid w:val="004918F0"/>
    <w:rsid w:val="004921C8"/>
    <w:rsid w:val="004924BA"/>
    <w:rsid w:val="00492697"/>
    <w:rsid w:val="00493893"/>
    <w:rsid w:val="00493CB8"/>
    <w:rsid w:val="00494BCD"/>
    <w:rsid w:val="00494C74"/>
    <w:rsid w:val="00497871"/>
    <w:rsid w:val="0049796F"/>
    <w:rsid w:val="004A066F"/>
    <w:rsid w:val="004A0B16"/>
    <w:rsid w:val="004A1246"/>
    <w:rsid w:val="004A153B"/>
    <w:rsid w:val="004A2066"/>
    <w:rsid w:val="004A2764"/>
    <w:rsid w:val="004A3438"/>
    <w:rsid w:val="004A458E"/>
    <w:rsid w:val="004A4F63"/>
    <w:rsid w:val="004A517B"/>
    <w:rsid w:val="004A55E2"/>
    <w:rsid w:val="004A669E"/>
    <w:rsid w:val="004A67C3"/>
    <w:rsid w:val="004A7283"/>
    <w:rsid w:val="004A74A2"/>
    <w:rsid w:val="004B18ED"/>
    <w:rsid w:val="004B23E7"/>
    <w:rsid w:val="004B29E0"/>
    <w:rsid w:val="004B306F"/>
    <w:rsid w:val="004B3D2B"/>
    <w:rsid w:val="004B4608"/>
    <w:rsid w:val="004B471B"/>
    <w:rsid w:val="004B5B29"/>
    <w:rsid w:val="004B5B58"/>
    <w:rsid w:val="004B5CDF"/>
    <w:rsid w:val="004B6249"/>
    <w:rsid w:val="004B632B"/>
    <w:rsid w:val="004B6B86"/>
    <w:rsid w:val="004B6C4D"/>
    <w:rsid w:val="004B6CAF"/>
    <w:rsid w:val="004B6E49"/>
    <w:rsid w:val="004B71DC"/>
    <w:rsid w:val="004B7F8E"/>
    <w:rsid w:val="004C240A"/>
    <w:rsid w:val="004C3186"/>
    <w:rsid w:val="004C4BDF"/>
    <w:rsid w:val="004C5042"/>
    <w:rsid w:val="004C6A40"/>
    <w:rsid w:val="004C6DC5"/>
    <w:rsid w:val="004C74DB"/>
    <w:rsid w:val="004C7D4F"/>
    <w:rsid w:val="004D0C89"/>
    <w:rsid w:val="004D122B"/>
    <w:rsid w:val="004D1242"/>
    <w:rsid w:val="004D166D"/>
    <w:rsid w:val="004D1B77"/>
    <w:rsid w:val="004D37B3"/>
    <w:rsid w:val="004D3D5C"/>
    <w:rsid w:val="004D3E1A"/>
    <w:rsid w:val="004D4814"/>
    <w:rsid w:val="004D48EB"/>
    <w:rsid w:val="004D4F2D"/>
    <w:rsid w:val="004D52AC"/>
    <w:rsid w:val="004D6099"/>
    <w:rsid w:val="004D6CA1"/>
    <w:rsid w:val="004D7DE5"/>
    <w:rsid w:val="004E1480"/>
    <w:rsid w:val="004E1F1D"/>
    <w:rsid w:val="004E2D59"/>
    <w:rsid w:val="004E41E0"/>
    <w:rsid w:val="004E42AA"/>
    <w:rsid w:val="004E48CF"/>
    <w:rsid w:val="004E5331"/>
    <w:rsid w:val="004E59CC"/>
    <w:rsid w:val="004E5BA8"/>
    <w:rsid w:val="004E63F8"/>
    <w:rsid w:val="004E645F"/>
    <w:rsid w:val="004F096A"/>
    <w:rsid w:val="004F0D12"/>
    <w:rsid w:val="004F111A"/>
    <w:rsid w:val="004F38C9"/>
    <w:rsid w:val="004F3EC0"/>
    <w:rsid w:val="004F4056"/>
    <w:rsid w:val="004F4E21"/>
    <w:rsid w:val="004F63A3"/>
    <w:rsid w:val="004F63DC"/>
    <w:rsid w:val="004F7949"/>
    <w:rsid w:val="004F7AD7"/>
    <w:rsid w:val="005011E3"/>
    <w:rsid w:val="00501E95"/>
    <w:rsid w:val="0050273E"/>
    <w:rsid w:val="00503998"/>
    <w:rsid w:val="00504363"/>
    <w:rsid w:val="00504D54"/>
    <w:rsid w:val="0050623B"/>
    <w:rsid w:val="00506512"/>
    <w:rsid w:val="00506CC9"/>
    <w:rsid w:val="005103DA"/>
    <w:rsid w:val="00510A54"/>
    <w:rsid w:val="00510C4D"/>
    <w:rsid w:val="00510DD3"/>
    <w:rsid w:val="00510EDF"/>
    <w:rsid w:val="00511177"/>
    <w:rsid w:val="00511DA6"/>
    <w:rsid w:val="00513B61"/>
    <w:rsid w:val="00515582"/>
    <w:rsid w:val="00516DFD"/>
    <w:rsid w:val="0051700A"/>
    <w:rsid w:val="00523BD9"/>
    <w:rsid w:val="0052434A"/>
    <w:rsid w:val="005278EF"/>
    <w:rsid w:val="00531577"/>
    <w:rsid w:val="005319AA"/>
    <w:rsid w:val="00531BBA"/>
    <w:rsid w:val="00533016"/>
    <w:rsid w:val="005339F6"/>
    <w:rsid w:val="00533CB1"/>
    <w:rsid w:val="005350AC"/>
    <w:rsid w:val="00536512"/>
    <w:rsid w:val="00536847"/>
    <w:rsid w:val="00536BBC"/>
    <w:rsid w:val="005414B7"/>
    <w:rsid w:val="00541E51"/>
    <w:rsid w:val="005420BF"/>
    <w:rsid w:val="00542A62"/>
    <w:rsid w:val="005434AE"/>
    <w:rsid w:val="005448F4"/>
    <w:rsid w:val="00545A73"/>
    <w:rsid w:val="00545FF7"/>
    <w:rsid w:val="00546F2D"/>
    <w:rsid w:val="00547669"/>
    <w:rsid w:val="0055014E"/>
    <w:rsid w:val="00552F1C"/>
    <w:rsid w:val="0055322E"/>
    <w:rsid w:val="005565F0"/>
    <w:rsid w:val="00557C19"/>
    <w:rsid w:val="00561E20"/>
    <w:rsid w:val="00561E9A"/>
    <w:rsid w:val="00562A0E"/>
    <w:rsid w:val="0056377C"/>
    <w:rsid w:val="00563797"/>
    <w:rsid w:val="00563909"/>
    <w:rsid w:val="00563A5F"/>
    <w:rsid w:val="005648BB"/>
    <w:rsid w:val="005653A0"/>
    <w:rsid w:val="005656E7"/>
    <w:rsid w:val="0056713D"/>
    <w:rsid w:val="00567748"/>
    <w:rsid w:val="00570051"/>
    <w:rsid w:val="005703C4"/>
    <w:rsid w:val="00573466"/>
    <w:rsid w:val="00574974"/>
    <w:rsid w:val="00574FBF"/>
    <w:rsid w:val="005751AE"/>
    <w:rsid w:val="00575D9B"/>
    <w:rsid w:val="00575E05"/>
    <w:rsid w:val="0057661F"/>
    <w:rsid w:val="00576B14"/>
    <w:rsid w:val="00576F4B"/>
    <w:rsid w:val="005772C2"/>
    <w:rsid w:val="005778AA"/>
    <w:rsid w:val="0058034D"/>
    <w:rsid w:val="005803CA"/>
    <w:rsid w:val="0058077D"/>
    <w:rsid w:val="00583F20"/>
    <w:rsid w:val="00585825"/>
    <w:rsid w:val="00585DEC"/>
    <w:rsid w:val="0058601D"/>
    <w:rsid w:val="00586BA1"/>
    <w:rsid w:val="00586C87"/>
    <w:rsid w:val="00586F00"/>
    <w:rsid w:val="00587724"/>
    <w:rsid w:val="00587CDD"/>
    <w:rsid w:val="0059015A"/>
    <w:rsid w:val="005902FE"/>
    <w:rsid w:val="005904CD"/>
    <w:rsid w:val="005908FD"/>
    <w:rsid w:val="00591512"/>
    <w:rsid w:val="005917A3"/>
    <w:rsid w:val="00591CD6"/>
    <w:rsid w:val="00592811"/>
    <w:rsid w:val="0059362E"/>
    <w:rsid w:val="00593860"/>
    <w:rsid w:val="005938BA"/>
    <w:rsid w:val="005957A8"/>
    <w:rsid w:val="0059614C"/>
    <w:rsid w:val="005972E0"/>
    <w:rsid w:val="005A1421"/>
    <w:rsid w:val="005A3376"/>
    <w:rsid w:val="005A3ED9"/>
    <w:rsid w:val="005A45A4"/>
    <w:rsid w:val="005A5279"/>
    <w:rsid w:val="005A658D"/>
    <w:rsid w:val="005A6D31"/>
    <w:rsid w:val="005A7F49"/>
    <w:rsid w:val="005B01EA"/>
    <w:rsid w:val="005B1393"/>
    <w:rsid w:val="005B14F6"/>
    <w:rsid w:val="005B1749"/>
    <w:rsid w:val="005B180C"/>
    <w:rsid w:val="005B238E"/>
    <w:rsid w:val="005B47B9"/>
    <w:rsid w:val="005B48B4"/>
    <w:rsid w:val="005B4CCD"/>
    <w:rsid w:val="005B5216"/>
    <w:rsid w:val="005B52FF"/>
    <w:rsid w:val="005B53AD"/>
    <w:rsid w:val="005B5691"/>
    <w:rsid w:val="005B5859"/>
    <w:rsid w:val="005B5F61"/>
    <w:rsid w:val="005B66FF"/>
    <w:rsid w:val="005B7DF6"/>
    <w:rsid w:val="005C1226"/>
    <w:rsid w:val="005C21B9"/>
    <w:rsid w:val="005C29E5"/>
    <w:rsid w:val="005C3404"/>
    <w:rsid w:val="005C40AC"/>
    <w:rsid w:val="005C5D7E"/>
    <w:rsid w:val="005C5F86"/>
    <w:rsid w:val="005C622C"/>
    <w:rsid w:val="005C6661"/>
    <w:rsid w:val="005C754C"/>
    <w:rsid w:val="005D0CEA"/>
    <w:rsid w:val="005D0EC3"/>
    <w:rsid w:val="005D1D7A"/>
    <w:rsid w:val="005D1EC2"/>
    <w:rsid w:val="005D276D"/>
    <w:rsid w:val="005D4A47"/>
    <w:rsid w:val="005D593D"/>
    <w:rsid w:val="005D756F"/>
    <w:rsid w:val="005E08A0"/>
    <w:rsid w:val="005E147D"/>
    <w:rsid w:val="005E1C98"/>
    <w:rsid w:val="005E22C2"/>
    <w:rsid w:val="005E2598"/>
    <w:rsid w:val="005E2C80"/>
    <w:rsid w:val="005E31A4"/>
    <w:rsid w:val="005E43A9"/>
    <w:rsid w:val="005E4B5A"/>
    <w:rsid w:val="005E4F39"/>
    <w:rsid w:val="005F0069"/>
    <w:rsid w:val="005F0E72"/>
    <w:rsid w:val="005F185C"/>
    <w:rsid w:val="005F29BB"/>
    <w:rsid w:val="005F4252"/>
    <w:rsid w:val="005F4CB4"/>
    <w:rsid w:val="005F582A"/>
    <w:rsid w:val="005F5AF9"/>
    <w:rsid w:val="005F64F5"/>
    <w:rsid w:val="005F7CA2"/>
    <w:rsid w:val="00600DF2"/>
    <w:rsid w:val="006014F1"/>
    <w:rsid w:val="006017EF"/>
    <w:rsid w:val="00601BB3"/>
    <w:rsid w:val="00602CD4"/>
    <w:rsid w:val="006034D1"/>
    <w:rsid w:val="006038B9"/>
    <w:rsid w:val="00604E32"/>
    <w:rsid w:val="006054DA"/>
    <w:rsid w:val="00605C7A"/>
    <w:rsid w:val="0060656E"/>
    <w:rsid w:val="00607229"/>
    <w:rsid w:val="00610DFF"/>
    <w:rsid w:val="006120C3"/>
    <w:rsid w:val="006121AA"/>
    <w:rsid w:val="006122E2"/>
    <w:rsid w:val="006133FB"/>
    <w:rsid w:val="006139BA"/>
    <w:rsid w:val="00614375"/>
    <w:rsid w:val="00614C7E"/>
    <w:rsid w:val="0061524F"/>
    <w:rsid w:val="00615317"/>
    <w:rsid w:val="00615B7C"/>
    <w:rsid w:val="00615DDE"/>
    <w:rsid w:val="00617051"/>
    <w:rsid w:val="0061731D"/>
    <w:rsid w:val="00617693"/>
    <w:rsid w:val="0062028D"/>
    <w:rsid w:val="00620933"/>
    <w:rsid w:val="00621914"/>
    <w:rsid w:val="00622619"/>
    <w:rsid w:val="006226B3"/>
    <w:rsid w:val="00623DF9"/>
    <w:rsid w:val="006262FA"/>
    <w:rsid w:val="0062677C"/>
    <w:rsid w:val="00626886"/>
    <w:rsid w:val="006268E7"/>
    <w:rsid w:val="00630C3C"/>
    <w:rsid w:val="00630D49"/>
    <w:rsid w:val="006319B9"/>
    <w:rsid w:val="00631CA5"/>
    <w:rsid w:val="006327AB"/>
    <w:rsid w:val="00633911"/>
    <w:rsid w:val="00633C7B"/>
    <w:rsid w:val="00633CE5"/>
    <w:rsid w:val="00633E5E"/>
    <w:rsid w:val="00633E7D"/>
    <w:rsid w:val="00634A1B"/>
    <w:rsid w:val="00635AEC"/>
    <w:rsid w:val="0063631C"/>
    <w:rsid w:val="006368B3"/>
    <w:rsid w:val="00637841"/>
    <w:rsid w:val="00637935"/>
    <w:rsid w:val="006406FE"/>
    <w:rsid w:val="00640AEA"/>
    <w:rsid w:val="006411DE"/>
    <w:rsid w:val="00641557"/>
    <w:rsid w:val="006419BB"/>
    <w:rsid w:val="0064208D"/>
    <w:rsid w:val="006423E9"/>
    <w:rsid w:val="00642E58"/>
    <w:rsid w:val="0064374B"/>
    <w:rsid w:val="00644107"/>
    <w:rsid w:val="00645119"/>
    <w:rsid w:val="00645E8C"/>
    <w:rsid w:val="0064643E"/>
    <w:rsid w:val="0064738B"/>
    <w:rsid w:val="00647680"/>
    <w:rsid w:val="006479F5"/>
    <w:rsid w:val="00650454"/>
    <w:rsid w:val="00651523"/>
    <w:rsid w:val="00651741"/>
    <w:rsid w:val="006537D9"/>
    <w:rsid w:val="006542AD"/>
    <w:rsid w:val="006542C8"/>
    <w:rsid w:val="00654FBA"/>
    <w:rsid w:val="00655777"/>
    <w:rsid w:val="00655B68"/>
    <w:rsid w:val="006615A3"/>
    <w:rsid w:val="0066272C"/>
    <w:rsid w:val="00662E7B"/>
    <w:rsid w:val="0066310D"/>
    <w:rsid w:val="00663CC7"/>
    <w:rsid w:val="00664AD2"/>
    <w:rsid w:val="00664E96"/>
    <w:rsid w:val="00665DEF"/>
    <w:rsid w:val="006662DA"/>
    <w:rsid w:val="00666712"/>
    <w:rsid w:val="00666928"/>
    <w:rsid w:val="0066723B"/>
    <w:rsid w:val="00667B07"/>
    <w:rsid w:val="00670111"/>
    <w:rsid w:val="00670287"/>
    <w:rsid w:val="00670420"/>
    <w:rsid w:val="00671CA0"/>
    <w:rsid w:val="006731A6"/>
    <w:rsid w:val="006733EA"/>
    <w:rsid w:val="00674AE6"/>
    <w:rsid w:val="006750B1"/>
    <w:rsid w:val="00675903"/>
    <w:rsid w:val="00675BB1"/>
    <w:rsid w:val="00675C63"/>
    <w:rsid w:val="00676A8F"/>
    <w:rsid w:val="00681070"/>
    <w:rsid w:val="00682091"/>
    <w:rsid w:val="006832EF"/>
    <w:rsid w:val="00683849"/>
    <w:rsid w:val="006856AE"/>
    <w:rsid w:val="00687019"/>
    <w:rsid w:val="00687896"/>
    <w:rsid w:val="00687E2D"/>
    <w:rsid w:val="0069084C"/>
    <w:rsid w:val="006924AB"/>
    <w:rsid w:val="00692A9D"/>
    <w:rsid w:val="00692B4C"/>
    <w:rsid w:val="00692FE3"/>
    <w:rsid w:val="006939D5"/>
    <w:rsid w:val="00693BEB"/>
    <w:rsid w:val="006A264F"/>
    <w:rsid w:val="006A3870"/>
    <w:rsid w:val="006A4018"/>
    <w:rsid w:val="006A419D"/>
    <w:rsid w:val="006A4281"/>
    <w:rsid w:val="006A43B9"/>
    <w:rsid w:val="006A443A"/>
    <w:rsid w:val="006A44F5"/>
    <w:rsid w:val="006A5C6F"/>
    <w:rsid w:val="006A6291"/>
    <w:rsid w:val="006A6BB2"/>
    <w:rsid w:val="006A7040"/>
    <w:rsid w:val="006A7127"/>
    <w:rsid w:val="006A73D7"/>
    <w:rsid w:val="006B1106"/>
    <w:rsid w:val="006B20A3"/>
    <w:rsid w:val="006B2CC6"/>
    <w:rsid w:val="006B39C4"/>
    <w:rsid w:val="006B3CA9"/>
    <w:rsid w:val="006B4537"/>
    <w:rsid w:val="006B50AC"/>
    <w:rsid w:val="006B709B"/>
    <w:rsid w:val="006C0D35"/>
    <w:rsid w:val="006C0FAE"/>
    <w:rsid w:val="006C24DB"/>
    <w:rsid w:val="006C447A"/>
    <w:rsid w:val="006C5920"/>
    <w:rsid w:val="006C606A"/>
    <w:rsid w:val="006C6A97"/>
    <w:rsid w:val="006C7384"/>
    <w:rsid w:val="006D01E4"/>
    <w:rsid w:val="006D106E"/>
    <w:rsid w:val="006D155D"/>
    <w:rsid w:val="006D1B38"/>
    <w:rsid w:val="006D1D1D"/>
    <w:rsid w:val="006D2263"/>
    <w:rsid w:val="006D259F"/>
    <w:rsid w:val="006D2D3D"/>
    <w:rsid w:val="006D3DFB"/>
    <w:rsid w:val="006D453C"/>
    <w:rsid w:val="006D4777"/>
    <w:rsid w:val="006D552E"/>
    <w:rsid w:val="006D5BF1"/>
    <w:rsid w:val="006D5DF6"/>
    <w:rsid w:val="006D5ED3"/>
    <w:rsid w:val="006D5FE8"/>
    <w:rsid w:val="006D611C"/>
    <w:rsid w:val="006D7D71"/>
    <w:rsid w:val="006E0181"/>
    <w:rsid w:val="006E023E"/>
    <w:rsid w:val="006E0A39"/>
    <w:rsid w:val="006E2E24"/>
    <w:rsid w:val="006E33EF"/>
    <w:rsid w:val="006E34DE"/>
    <w:rsid w:val="006E3E0D"/>
    <w:rsid w:val="006E4AB7"/>
    <w:rsid w:val="006E50F2"/>
    <w:rsid w:val="006E55C8"/>
    <w:rsid w:val="006E5754"/>
    <w:rsid w:val="006E5C70"/>
    <w:rsid w:val="006E5E77"/>
    <w:rsid w:val="006E6668"/>
    <w:rsid w:val="006E7392"/>
    <w:rsid w:val="006F0895"/>
    <w:rsid w:val="006F0BDD"/>
    <w:rsid w:val="006F12EB"/>
    <w:rsid w:val="006F142D"/>
    <w:rsid w:val="006F147B"/>
    <w:rsid w:val="006F171B"/>
    <w:rsid w:val="006F1839"/>
    <w:rsid w:val="006F1BB6"/>
    <w:rsid w:val="006F2C5A"/>
    <w:rsid w:val="006F5273"/>
    <w:rsid w:val="006F55E4"/>
    <w:rsid w:val="006F58B4"/>
    <w:rsid w:val="006F6E0E"/>
    <w:rsid w:val="006F7811"/>
    <w:rsid w:val="006F7D32"/>
    <w:rsid w:val="006F7F5F"/>
    <w:rsid w:val="007000F6"/>
    <w:rsid w:val="00700BED"/>
    <w:rsid w:val="00701FD1"/>
    <w:rsid w:val="00704510"/>
    <w:rsid w:val="0070527C"/>
    <w:rsid w:val="00705DAD"/>
    <w:rsid w:val="0070729C"/>
    <w:rsid w:val="00710341"/>
    <w:rsid w:val="0071146C"/>
    <w:rsid w:val="007116BC"/>
    <w:rsid w:val="00711983"/>
    <w:rsid w:val="007124D0"/>
    <w:rsid w:val="007133E5"/>
    <w:rsid w:val="0071352B"/>
    <w:rsid w:val="00713D9C"/>
    <w:rsid w:val="00713E64"/>
    <w:rsid w:val="00713EF9"/>
    <w:rsid w:val="0071445D"/>
    <w:rsid w:val="00714E26"/>
    <w:rsid w:val="00715480"/>
    <w:rsid w:val="00715689"/>
    <w:rsid w:val="00715777"/>
    <w:rsid w:val="007159E2"/>
    <w:rsid w:val="0071684A"/>
    <w:rsid w:val="007171B0"/>
    <w:rsid w:val="00720566"/>
    <w:rsid w:val="0072109B"/>
    <w:rsid w:val="00721D2A"/>
    <w:rsid w:val="00722282"/>
    <w:rsid w:val="00722B4A"/>
    <w:rsid w:val="00723A93"/>
    <w:rsid w:val="00723E04"/>
    <w:rsid w:val="00723F1B"/>
    <w:rsid w:val="007247B9"/>
    <w:rsid w:val="00724AC4"/>
    <w:rsid w:val="007255F2"/>
    <w:rsid w:val="00727CD8"/>
    <w:rsid w:val="00727D85"/>
    <w:rsid w:val="0073172F"/>
    <w:rsid w:val="00732B1F"/>
    <w:rsid w:val="00732FFF"/>
    <w:rsid w:val="0073320B"/>
    <w:rsid w:val="007346C7"/>
    <w:rsid w:val="00734898"/>
    <w:rsid w:val="00736041"/>
    <w:rsid w:val="00736E48"/>
    <w:rsid w:val="0073786E"/>
    <w:rsid w:val="00737CF3"/>
    <w:rsid w:val="00737FF5"/>
    <w:rsid w:val="007401A8"/>
    <w:rsid w:val="00740577"/>
    <w:rsid w:val="007408C7"/>
    <w:rsid w:val="00741122"/>
    <w:rsid w:val="00742602"/>
    <w:rsid w:val="00742F6D"/>
    <w:rsid w:val="00743599"/>
    <w:rsid w:val="00743ED5"/>
    <w:rsid w:val="00744307"/>
    <w:rsid w:val="00744385"/>
    <w:rsid w:val="00744DFC"/>
    <w:rsid w:val="0074502A"/>
    <w:rsid w:val="0074695D"/>
    <w:rsid w:val="0074705E"/>
    <w:rsid w:val="00747143"/>
    <w:rsid w:val="00747429"/>
    <w:rsid w:val="00747FE4"/>
    <w:rsid w:val="00751F0D"/>
    <w:rsid w:val="00751FA7"/>
    <w:rsid w:val="00752AD8"/>
    <w:rsid w:val="00752C7F"/>
    <w:rsid w:val="00753DE1"/>
    <w:rsid w:val="00755628"/>
    <w:rsid w:val="00755649"/>
    <w:rsid w:val="00756BB5"/>
    <w:rsid w:val="00757927"/>
    <w:rsid w:val="0076046C"/>
    <w:rsid w:val="00760556"/>
    <w:rsid w:val="00761699"/>
    <w:rsid w:val="007620B3"/>
    <w:rsid w:val="007626E6"/>
    <w:rsid w:val="007630BD"/>
    <w:rsid w:val="0076324B"/>
    <w:rsid w:val="007633CA"/>
    <w:rsid w:val="007636FE"/>
    <w:rsid w:val="00764149"/>
    <w:rsid w:val="0076480F"/>
    <w:rsid w:val="00765A80"/>
    <w:rsid w:val="00767252"/>
    <w:rsid w:val="00767380"/>
    <w:rsid w:val="007673E0"/>
    <w:rsid w:val="00767E0E"/>
    <w:rsid w:val="007745BA"/>
    <w:rsid w:val="0077460A"/>
    <w:rsid w:val="00774BA5"/>
    <w:rsid w:val="00774F93"/>
    <w:rsid w:val="00775760"/>
    <w:rsid w:val="00775AE9"/>
    <w:rsid w:val="00775F9B"/>
    <w:rsid w:val="00776598"/>
    <w:rsid w:val="00776CA5"/>
    <w:rsid w:val="0078005D"/>
    <w:rsid w:val="0078021C"/>
    <w:rsid w:val="00780A0F"/>
    <w:rsid w:val="00780C00"/>
    <w:rsid w:val="00781AEE"/>
    <w:rsid w:val="00782BBD"/>
    <w:rsid w:val="00783A2C"/>
    <w:rsid w:val="00783F08"/>
    <w:rsid w:val="00784600"/>
    <w:rsid w:val="007859EA"/>
    <w:rsid w:val="007875CE"/>
    <w:rsid w:val="00787722"/>
    <w:rsid w:val="007900AC"/>
    <w:rsid w:val="0079277E"/>
    <w:rsid w:val="007939F2"/>
    <w:rsid w:val="00793F4D"/>
    <w:rsid w:val="0079488F"/>
    <w:rsid w:val="0079497E"/>
    <w:rsid w:val="00794F02"/>
    <w:rsid w:val="007951E8"/>
    <w:rsid w:val="00795604"/>
    <w:rsid w:val="007957BB"/>
    <w:rsid w:val="00795844"/>
    <w:rsid w:val="007959B1"/>
    <w:rsid w:val="007961B4"/>
    <w:rsid w:val="00796E84"/>
    <w:rsid w:val="00797EF3"/>
    <w:rsid w:val="007A1A1A"/>
    <w:rsid w:val="007A1A77"/>
    <w:rsid w:val="007A1B04"/>
    <w:rsid w:val="007A2B6C"/>
    <w:rsid w:val="007A2C80"/>
    <w:rsid w:val="007A305E"/>
    <w:rsid w:val="007A34BB"/>
    <w:rsid w:val="007A358E"/>
    <w:rsid w:val="007A4F8A"/>
    <w:rsid w:val="007A59E2"/>
    <w:rsid w:val="007A6E91"/>
    <w:rsid w:val="007A7044"/>
    <w:rsid w:val="007B20F7"/>
    <w:rsid w:val="007B24EE"/>
    <w:rsid w:val="007B4704"/>
    <w:rsid w:val="007B53D7"/>
    <w:rsid w:val="007B63F8"/>
    <w:rsid w:val="007B7671"/>
    <w:rsid w:val="007C0F7E"/>
    <w:rsid w:val="007C126C"/>
    <w:rsid w:val="007C1BE8"/>
    <w:rsid w:val="007C1CAA"/>
    <w:rsid w:val="007C2571"/>
    <w:rsid w:val="007C270F"/>
    <w:rsid w:val="007C3C6F"/>
    <w:rsid w:val="007C403A"/>
    <w:rsid w:val="007C4CFC"/>
    <w:rsid w:val="007C5EB8"/>
    <w:rsid w:val="007C6823"/>
    <w:rsid w:val="007D1704"/>
    <w:rsid w:val="007D2324"/>
    <w:rsid w:val="007D3393"/>
    <w:rsid w:val="007D3CF9"/>
    <w:rsid w:val="007D4CD2"/>
    <w:rsid w:val="007D4F25"/>
    <w:rsid w:val="007D5B42"/>
    <w:rsid w:val="007D6107"/>
    <w:rsid w:val="007D6949"/>
    <w:rsid w:val="007D6E64"/>
    <w:rsid w:val="007E0423"/>
    <w:rsid w:val="007E0899"/>
    <w:rsid w:val="007E11C7"/>
    <w:rsid w:val="007E1226"/>
    <w:rsid w:val="007E13B1"/>
    <w:rsid w:val="007E1614"/>
    <w:rsid w:val="007E1663"/>
    <w:rsid w:val="007E1A5F"/>
    <w:rsid w:val="007E1F28"/>
    <w:rsid w:val="007E26CC"/>
    <w:rsid w:val="007E38A6"/>
    <w:rsid w:val="007E4247"/>
    <w:rsid w:val="007E477B"/>
    <w:rsid w:val="007E5043"/>
    <w:rsid w:val="007E54D3"/>
    <w:rsid w:val="007E5E8B"/>
    <w:rsid w:val="007E7E30"/>
    <w:rsid w:val="007F015E"/>
    <w:rsid w:val="007F0709"/>
    <w:rsid w:val="007F117F"/>
    <w:rsid w:val="007F1C18"/>
    <w:rsid w:val="007F27DF"/>
    <w:rsid w:val="007F2C97"/>
    <w:rsid w:val="007F31CC"/>
    <w:rsid w:val="007F3AA7"/>
    <w:rsid w:val="007F3C46"/>
    <w:rsid w:val="007F4544"/>
    <w:rsid w:val="007F45C4"/>
    <w:rsid w:val="007F4677"/>
    <w:rsid w:val="007F4ABF"/>
    <w:rsid w:val="007F5069"/>
    <w:rsid w:val="007F6024"/>
    <w:rsid w:val="007F638F"/>
    <w:rsid w:val="007F6859"/>
    <w:rsid w:val="007F6A8B"/>
    <w:rsid w:val="007F704E"/>
    <w:rsid w:val="007F737E"/>
    <w:rsid w:val="007F7CEA"/>
    <w:rsid w:val="00800D1E"/>
    <w:rsid w:val="00801501"/>
    <w:rsid w:val="00801BEE"/>
    <w:rsid w:val="00802662"/>
    <w:rsid w:val="00802FFA"/>
    <w:rsid w:val="00803517"/>
    <w:rsid w:val="00803725"/>
    <w:rsid w:val="00803CBE"/>
    <w:rsid w:val="00804968"/>
    <w:rsid w:val="00804BF3"/>
    <w:rsid w:val="00804EDB"/>
    <w:rsid w:val="008059F6"/>
    <w:rsid w:val="008072A4"/>
    <w:rsid w:val="00807843"/>
    <w:rsid w:val="0081022D"/>
    <w:rsid w:val="00810588"/>
    <w:rsid w:val="008105DB"/>
    <w:rsid w:val="00810D63"/>
    <w:rsid w:val="00811639"/>
    <w:rsid w:val="00812950"/>
    <w:rsid w:val="0081309D"/>
    <w:rsid w:val="00813174"/>
    <w:rsid w:val="008134AD"/>
    <w:rsid w:val="00813EED"/>
    <w:rsid w:val="0081412B"/>
    <w:rsid w:val="008142B4"/>
    <w:rsid w:val="00814D49"/>
    <w:rsid w:val="00814F68"/>
    <w:rsid w:val="0081520E"/>
    <w:rsid w:val="00815BB6"/>
    <w:rsid w:val="00816C31"/>
    <w:rsid w:val="00816FE6"/>
    <w:rsid w:val="00817E30"/>
    <w:rsid w:val="00817FFA"/>
    <w:rsid w:val="00820471"/>
    <w:rsid w:val="00821367"/>
    <w:rsid w:val="0082284A"/>
    <w:rsid w:val="00822D1A"/>
    <w:rsid w:val="00823325"/>
    <w:rsid w:val="0082387B"/>
    <w:rsid w:val="00823C5C"/>
    <w:rsid w:val="00823C74"/>
    <w:rsid w:val="00823D44"/>
    <w:rsid w:val="008245A9"/>
    <w:rsid w:val="0082499F"/>
    <w:rsid w:val="008255C6"/>
    <w:rsid w:val="00825803"/>
    <w:rsid w:val="00832324"/>
    <w:rsid w:val="00832436"/>
    <w:rsid w:val="00832D35"/>
    <w:rsid w:val="0083311D"/>
    <w:rsid w:val="008332FC"/>
    <w:rsid w:val="0083460B"/>
    <w:rsid w:val="00834B47"/>
    <w:rsid w:val="00834DD8"/>
    <w:rsid w:val="008353CA"/>
    <w:rsid w:val="008376E6"/>
    <w:rsid w:val="00840134"/>
    <w:rsid w:val="00840E7A"/>
    <w:rsid w:val="0084148D"/>
    <w:rsid w:val="008426F0"/>
    <w:rsid w:val="008429FC"/>
    <w:rsid w:val="00843909"/>
    <w:rsid w:val="008439C0"/>
    <w:rsid w:val="00843BD5"/>
    <w:rsid w:val="00844DBE"/>
    <w:rsid w:val="00844EC2"/>
    <w:rsid w:val="00845070"/>
    <w:rsid w:val="0084517B"/>
    <w:rsid w:val="00846FA3"/>
    <w:rsid w:val="008473F6"/>
    <w:rsid w:val="00847786"/>
    <w:rsid w:val="008478C4"/>
    <w:rsid w:val="00847CFA"/>
    <w:rsid w:val="00850B16"/>
    <w:rsid w:val="0085166C"/>
    <w:rsid w:val="00851997"/>
    <w:rsid w:val="008519E9"/>
    <w:rsid w:val="00852059"/>
    <w:rsid w:val="00852CD9"/>
    <w:rsid w:val="00852E7B"/>
    <w:rsid w:val="00852FDB"/>
    <w:rsid w:val="00853888"/>
    <w:rsid w:val="00853FF7"/>
    <w:rsid w:val="00854047"/>
    <w:rsid w:val="00854500"/>
    <w:rsid w:val="0085574F"/>
    <w:rsid w:val="008559C9"/>
    <w:rsid w:val="00855DEC"/>
    <w:rsid w:val="008602D0"/>
    <w:rsid w:val="00860765"/>
    <w:rsid w:val="00860DA4"/>
    <w:rsid w:val="00863001"/>
    <w:rsid w:val="008637B0"/>
    <w:rsid w:val="0086443D"/>
    <w:rsid w:val="008650F3"/>
    <w:rsid w:val="0086524F"/>
    <w:rsid w:val="00865C6B"/>
    <w:rsid w:val="00865E4A"/>
    <w:rsid w:val="0086625A"/>
    <w:rsid w:val="008703A0"/>
    <w:rsid w:val="00873528"/>
    <w:rsid w:val="00873FFF"/>
    <w:rsid w:val="0087443C"/>
    <w:rsid w:val="008750D6"/>
    <w:rsid w:val="00875758"/>
    <w:rsid w:val="00876231"/>
    <w:rsid w:val="00877917"/>
    <w:rsid w:val="00877AFA"/>
    <w:rsid w:val="00877BA6"/>
    <w:rsid w:val="008800A2"/>
    <w:rsid w:val="008809C7"/>
    <w:rsid w:val="00883369"/>
    <w:rsid w:val="0088347C"/>
    <w:rsid w:val="00883630"/>
    <w:rsid w:val="00884BDF"/>
    <w:rsid w:val="00884C72"/>
    <w:rsid w:val="00885823"/>
    <w:rsid w:val="0088694E"/>
    <w:rsid w:val="00886FA0"/>
    <w:rsid w:val="008923F8"/>
    <w:rsid w:val="00893BD0"/>
    <w:rsid w:val="008943C3"/>
    <w:rsid w:val="00894D54"/>
    <w:rsid w:val="0089559B"/>
    <w:rsid w:val="00895F49"/>
    <w:rsid w:val="00897515"/>
    <w:rsid w:val="008A1B76"/>
    <w:rsid w:val="008A2237"/>
    <w:rsid w:val="008A28A2"/>
    <w:rsid w:val="008A3610"/>
    <w:rsid w:val="008A4A7C"/>
    <w:rsid w:val="008A528F"/>
    <w:rsid w:val="008A5721"/>
    <w:rsid w:val="008A5EFB"/>
    <w:rsid w:val="008A7510"/>
    <w:rsid w:val="008B0C90"/>
    <w:rsid w:val="008B16E2"/>
    <w:rsid w:val="008B1921"/>
    <w:rsid w:val="008B1A43"/>
    <w:rsid w:val="008B24C5"/>
    <w:rsid w:val="008B262C"/>
    <w:rsid w:val="008B2946"/>
    <w:rsid w:val="008B364B"/>
    <w:rsid w:val="008B3C6E"/>
    <w:rsid w:val="008B41D1"/>
    <w:rsid w:val="008B4B18"/>
    <w:rsid w:val="008B52D1"/>
    <w:rsid w:val="008C08B7"/>
    <w:rsid w:val="008C0FD0"/>
    <w:rsid w:val="008C1AAB"/>
    <w:rsid w:val="008C2616"/>
    <w:rsid w:val="008C2E5A"/>
    <w:rsid w:val="008C3530"/>
    <w:rsid w:val="008C3939"/>
    <w:rsid w:val="008C4160"/>
    <w:rsid w:val="008C442F"/>
    <w:rsid w:val="008C4D4E"/>
    <w:rsid w:val="008C54BF"/>
    <w:rsid w:val="008C5B67"/>
    <w:rsid w:val="008C6631"/>
    <w:rsid w:val="008C6D99"/>
    <w:rsid w:val="008C7D84"/>
    <w:rsid w:val="008C7E98"/>
    <w:rsid w:val="008D045B"/>
    <w:rsid w:val="008D0CB8"/>
    <w:rsid w:val="008D0DD1"/>
    <w:rsid w:val="008D0FA7"/>
    <w:rsid w:val="008D13F4"/>
    <w:rsid w:val="008D1B2C"/>
    <w:rsid w:val="008D20EC"/>
    <w:rsid w:val="008D2AE6"/>
    <w:rsid w:val="008D2EBC"/>
    <w:rsid w:val="008D34E1"/>
    <w:rsid w:val="008D39A3"/>
    <w:rsid w:val="008D3F0A"/>
    <w:rsid w:val="008D4FB7"/>
    <w:rsid w:val="008D5CED"/>
    <w:rsid w:val="008D6B23"/>
    <w:rsid w:val="008D6C88"/>
    <w:rsid w:val="008D789A"/>
    <w:rsid w:val="008E2465"/>
    <w:rsid w:val="008E2E39"/>
    <w:rsid w:val="008E4AA8"/>
    <w:rsid w:val="008E4B86"/>
    <w:rsid w:val="008E4C17"/>
    <w:rsid w:val="008E566A"/>
    <w:rsid w:val="008E6624"/>
    <w:rsid w:val="008E75D4"/>
    <w:rsid w:val="008E7F44"/>
    <w:rsid w:val="008F0852"/>
    <w:rsid w:val="008F17C7"/>
    <w:rsid w:val="008F19A2"/>
    <w:rsid w:val="008F1EF9"/>
    <w:rsid w:val="008F2643"/>
    <w:rsid w:val="008F2A2E"/>
    <w:rsid w:val="008F2C42"/>
    <w:rsid w:val="008F31D5"/>
    <w:rsid w:val="008F3691"/>
    <w:rsid w:val="008F429D"/>
    <w:rsid w:val="008F4459"/>
    <w:rsid w:val="008F4911"/>
    <w:rsid w:val="008F49CF"/>
    <w:rsid w:val="008F690A"/>
    <w:rsid w:val="008F77B5"/>
    <w:rsid w:val="00900190"/>
    <w:rsid w:val="00901068"/>
    <w:rsid w:val="00901138"/>
    <w:rsid w:val="009028BE"/>
    <w:rsid w:val="00902FD0"/>
    <w:rsid w:val="00903A40"/>
    <w:rsid w:val="00904C3B"/>
    <w:rsid w:val="009053D3"/>
    <w:rsid w:val="00905F0F"/>
    <w:rsid w:val="00905FC0"/>
    <w:rsid w:val="00906610"/>
    <w:rsid w:val="009076C4"/>
    <w:rsid w:val="009077F2"/>
    <w:rsid w:val="009104A2"/>
    <w:rsid w:val="009108E3"/>
    <w:rsid w:val="009108FD"/>
    <w:rsid w:val="00912B3F"/>
    <w:rsid w:val="00912EDA"/>
    <w:rsid w:val="009132DF"/>
    <w:rsid w:val="0091380E"/>
    <w:rsid w:val="009144C3"/>
    <w:rsid w:val="009164EC"/>
    <w:rsid w:val="00916778"/>
    <w:rsid w:val="00916DD0"/>
    <w:rsid w:val="009202FF"/>
    <w:rsid w:val="00920775"/>
    <w:rsid w:val="009223B5"/>
    <w:rsid w:val="00922B7B"/>
    <w:rsid w:val="0092381E"/>
    <w:rsid w:val="00923C9B"/>
    <w:rsid w:val="0092422F"/>
    <w:rsid w:val="00924A30"/>
    <w:rsid w:val="0092609F"/>
    <w:rsid w:val="0092741C"/>
    <w:rsid w:val="0092754F"/>
    <w:rsid w:val="009276FE"/>
    <w:rsid w:val="00927837"/>
    <w:rsid w:val="00930451"/>
    <w:rsid w:val="0093073A"/>
    <w:rsid w:val="0093111F"/>
    <w:rsid w:val="00931A2A"/>
    <w:rsid w:val="0093237E"/>
    <w:rsid w:val="00932610"/>
    <w:rsid w:val="0093386E"/>
    <w:rsid w:val="00934346"/>
    <w:rsid w:val="009344F7"/>
    <w:rsid w:val="00935689"/>
    <w:rsid w:val="0093599D"/>
    <w:rsid w:val="009379E6"/>
    <w:rsid w:val="009403B5"/>
    <w:rsid w:val="00940E14"/>
    <w:rsid w:val="009428B3"/>
    <w:rsid w:val="00942D65"/>
    <w:rsid w:val="00942D7F"/>
    <w:rsid w:val="009450C1"/>
    <w:rsid w:val="0094568B"/>
    <w:rsid w:val="00945FC2"/>
    <w:rsid w:val="00946CAF"/>
    <w:rsid w:val="009471D5"/>
    <w:rsid w:val="00947412"/>
    <w:rsid w:val="009529A3"/>
    <w:rsid w:val="00952C84"/>
    <w:rsid w:val="0095363C"/>
    <w:rsid w:val="00953D36"/>
    <w:rsid w:val="009558C0"/>
    <w:rsid w:val="009558EA"/>
    <w:rsid w:val="00955B61"/>
    <w:rsid w:val="0095711A"/>
    <w:rsid w:val="00957887"/>
    <w:rsid w:val="00957F52"/>
    <w:rsid w:val="00961E6D"/>
    <w:rsid w:val="009631CC"/>
    <w:rsid w:val="00963C90"/>
    <w:rsid w:val="009641C6"/>
    <w:rsid w:val="0096591E"/>
    <w:rsid w:val="00965BF9"/>
    <w:rsid w:val="0096617B"/>
    <w:rsid w:val="009663B6"/>
    <w:rsid w:val="0096719E"/>
    <w:rsid w:val="009674BC"/>
    <w:rsid w:val="00967C42"/>
    <w:rsid w:val="00970457"/>
    <w:rsid w:val="00971DF0"/>
    <w:rsid w:val="009721C8"/>
    <w:rsid w:val="00972B4B"/>
    <w:rsid w:val="00972CB1"/>
    <w:rsid w:val="009731B2"/>
    <w:rsid w:val="0097408E"/>
    <w:rsid w:val="0097591F"/>
    <w:rsid w:val="00977153"/>
    <w:rsid w:val="0097719C"/>
    <w:rsid w:val="00980286"/>
    <w:rsid w:val="00983D5A"/>
    <w:rsid w:val="00984E53"/>
    <w:rsid w:val="00985B43"/>
    <w:rsid w:val="00985E1A"/>
    <w:rsid w:val="00985E63"/>
    <w:rsid w:val="0098639D"/>
    <w:rsid w:val="00986662"/>
    <w:rsid w:val="0099014D"/>
    <w:rsid w:val="0099055F"/>
    <w:rsid w:val="00991317"/>
    <w:rsid w:val="0099142F"/>
    <w:rsid w:val="009921CA"/>
    <w:rsid w:val="00992BFA"/>
    <w:rsid w:val="00993BE1"/>
    <w:rsid w:val="009941B3"/>
    <w:rsid w:val="00994CFF"/>
    <w:rsid w:val="009950D6"/>
    <w:rsid w:val="009960C0"/>
    <w:rsid w:val="0099628C"/>
    <w:rsid w:val="0099716D"/>
    <w:rsid w:val="00997266"/>
    <w:rsid w:val="00997974"/>
    <w:rsid w:val="00997A30"/>
    <w:rsid w:val="00997AE8"/>
    <w:rsid w:val="009A02EA"/>
    <w:rsid w:val="009A05BC"/>
    <w:rsid w:val="009A11A1"/>
    <w:rsid w:val="009A30BD"/>
    <w:rsid w:val="009A342E"/>
    <w:rsid w:val="009A39C5"/>
    <w:rsid w:val="009A42E7"/>
    <w:rsid w:val="009A43E6"/>
    <w:rsid w:val="009A4CD6"/>
    <w:rsid w:val="009A4F26"/>
    <w:rsid w:val="009A5976"/>
    <w:rsid w:val="009A654F"/>
    <w:rsid w:val="009A7613"/>
    <w:rsid w:val="009A7785"/>
    <w:rsid w:val="009A7AD2"/>
    <w:rsid w:val="009A7E5C"/>
    <w:rsid w:val="009B042F"/>
    <w:rsid w:val="009B064F"/>
    <w:rsid w:val="009B071F"/>
    <w:rsid w:val="009B0C61"/>
    <w:rsid w:val="009B0E62"/>
    <w:rsid w:val="009B13DF"/>
    <w:rsid w:val="009B2077"/>
    <w:rsid w:val="009B20A8"/>
    <w:rsid w:val="009B274A"/>
    <w:rsid w:val="009B3370"/>
    <w:rsid w:val="009B3E10"/>
    <w:rsid w:val="009B3E8F"/>
    <w:rsid w:val="009B40D8"/>
    <w:rsid w:val="009B4BEE"/>
    <w:rsid w:val="009B4D5E"/>
    <w:rsid w:val="009B4F73"/>
    <w:rsid w:val="009B72BE"/>
    <w:rsid w:val="009C0886"/>
    <w:rsid w:val="009C0D22"/>
    <w:rsid w:val="009C129F"/>
    <w:rsid w:val="009C178F"/>
    <w:rsid w:val="009C2A1E"/>
    <w:rsid w:val="009C35F2"/>
    <w:rsid w:val="009C4C5B"/>
    <w:rsid w:val="009C513E"/>
    <w:rsid w:val="009C54BB"/>
    <w:rsid w:val="009C5AE2"/>
    <w:rsid w:val="009C6533"/>
    <w:rsid w:val="009D0A75"/>
    <w:rsid w:val="009D0B31"/>
    <w:rsid w:val="009D24C6"/>
    <w:rsid w:val="009D2549"/>
    <w:rsid w:val="009D26FD"/>
    <w:rsid w:val="009D2AB1"/>
    <w:rsid w:val="009D4883"/>
    <w:rsid w:val="009D56D7"/>
    <w:rsid w:val="009D574B"/>
    <w:rsid w:val="009D698D"/>
    <w:rsid w:val="009D6CDD"/>
    <w:rsid w:val="009E01BC"/>
    <w:rsid w:val="009E05F0"/>
    <w:rsid w:val="009E0666"/>
    <w:rsid w:val="009E0AE7"/>
    <w:rsid w:val="009E1A4B"/>
    <w:rsid w:val="009E1AF0"/>
    <w:rsid w:val="009E1B2B"/>
    <w:rsid w:val="009E1DC8"/>
    <w:rsid w:val="009E21A7"/>
    <w:rsid w:val="009E2767"/>
    <w:rsid w:val="009E2835"/>
    <w:rsid w:val="009E30B3"/>
    <w:rsid w:val="009E30E3"/>
    <w:rsid w:val="009E346A"/>
    <w:rsid w:val="009E34CF"/>
    <w:rsid w:val="009E35F2"/>
    <w:rsid w:val="009E3E3B"/>
    <w:rsid w:val="009E408C"/>
    <w:rsid w:val="009E4384"/>
    <w:rsid w:val="009E5E3B"/>
    <w:rsid w:val="009E63F4"/>
    <w:rsid w:val="009E720D"/>
    <w:rsid w:val="009F2402"/>
    <w:rsid w:val="009F2756"/>
    <w:rsid w:val="009F31B8"/>
    <w:rsid w:val="009F37D9"/>
    <w:rsid w:val="009F3A87"/>
    <w:rsid w:val="009F42AD"/>
    <w:rsid w:val="009F4B13"/>
    <w:rsid w:val="009F4DB7"/>
    <w:rsid w:val="009F512C"/>
    <w:rsid w:val="009F53CB"/>
    <w:rsid w:val="009F71C2"/>
    <w:rsid w:val="00A00DAE"/>
    <w:rsid w:val="00A01871"/>
    <w:rsid w:val="00A01BEB"/>
    <w:rsid w:val="00A035FB"/>
    <w:rsid w:val="00A05831"/>
    <w:rsid w:val="00A05854"/>
    <w:rsid w:val="00A05EDD"/>
    <w:rsid w:val="00A066D3"/>
    <w:rsid w:val="00A06A32"/>
    <w:rsid w:val="00A07DE5"/>
    <w:rsid w:val="00A103ED"/>
    <w:rsid w:val="00A10502"/>
    <w:rsid w:val="00A1104C"/>
    <w:rsid w:val="00A111AF"/>
    <w:rsid w:val="00A11A35"/>
    <w:rsid w:val="00A121CE"/>
    <w:rsid w:val="00A12B7D"/>
    <w:rsid w:val="00A12CC4"/>
    <w:rsid w:val="00A132B6"/>
    <w:rsid w:val="00A133D7"/>
    <w:rsid w:val="00A1367D"/>
    <w:rsid w:val="00A13790"/>
    <w:rsid w:val="00A13879"/>
    <w:rsid w:val="00A13C60"/>
    <w:rsid w:val="00A13CEF"/>
    <w:rsid w:val="00A13D1A"/>
    <w:rsid w:val="00A14808"/>
    <w:rsid w:val="00A15888"/>
    <w:rsid w:val="00A1591C"/>
    <w:rsid w:val="00A212C8"/>
    <w:rsid w:val="00A21973"/>
    <w:rsid w:val="00A2213C"/>
    <w:rsid w:val="00A226A6"/>
    <w:rsid w:val="00A22D89"/>
    <w:rsid w:val="00A2306C"/>
    <w:rsid w:val="00A23794"/>
    <w:rsid w:val="00A24B78"/>
    <w:rsid w:val="00A25854"/>
    <w:rsid w:val="00A265E0"/>
    <w:rsid w:val="00A26D93"/>
    <w:rsid w:val="00A26DBF"/>
    <w:rsid w:val="00A2716B"/>
    <w:rsid w:val="00A3003A"/>
    <w:rsid w:val="00A30714"/>
    <w:rsid w:val="00A309FD"/>
    <w:rsid w:val="00A3240F"/>
    <w:rsid w:val="00A3344F"/>
    <w:rsid w:val="00A334E6"/>
    <w:rsid w:val="00A33642"/>
    <w:rsid w:val="00A35738"/>
    <w:rsid w:val="00A35800"/>
    <w:rsid w:val="00A358CF"/>
    <w:rsid w:val="00A35B8B"/>
    <w:rsid w:val="00A366F7"/>
    <w:rsid w:val="00A371F3"/>
    <w:rsid w:val="00A376C6"/>
    <w:rsid w:val="00A404C9"/>
    <w:rsid w:val="00A41D87"/>
    <w:rsid w:val="00A428B4"/>
    <w:rsid w:val="00A44F4C"/>
    <w:rsid w:val="00A45246"/>
    <w:rsid w:val="00A45510"/>
    <w:rsid w:val="00A45E95"/>
    <w:rsid w:val="00A46047"/>
    <w:rsid w:val="00A51F9B"/>
    <w:rsid w:val="00A52F70"/>
    <w:rsid w:val="00A53580"/>
    <w:rsid w:val="00A53E07"/>
    <w:rsid w:val="00A541A0"/>
    <w:rsid w:val="00A54521"/>
    <w:rsid w:val="00A55113"/>
    <w:rsid w:val="00A562F7"/>
    <w:rsid w:val="00A563AB"/>
    <w:rsid w:val="00A563D3"/>
    <w:rsid w:val="00A57AD0"/>
    <w:rsid w:val="00A57D12"/>
    <w:rsid w:val="00A61AC3"/>
    <w:rsid w:val="00A6296B"/>
    <w:rsid w:val="00A6408C"/>
    <w:rsid w:val="00A64A62"/>
    <w:rsid w:val="00A669D7"/>
    <w:rsid w:val="00A67D59"/>
    <w:rsid w:val="00A7020F"/>
    <w:rsid w:val="00A70F2A"/>
    <w:rsid w:val="00A71AA5"/>
    <w:rsid w:val="00A71CA2"/>
    <w:rsid w:val="00A72306"/>
    <w:rsid w:val="00A723B1"/>
    <w:rsid w:val="00A72484"/>
    <w:rsid w:val="00A7427E"/>
    <w:rsid w:val="00A74615"/>
    <w:rsid w:val="00A74798"/>
    <w:rsid w:val="00A767C8"/>
    <w:rsid w:val="00A76823"/>
    <w:rsid w:val="00A77E8E"/>
    <w:rsid w:val="00A8137E"/>
    <w:rsid w:val="00A8158B"/>
    <w:rsid w:val="00A8198A"/>
    <w:rsid w:val="00A8224B"/>
    <w:rsid w:val="00A8249F"/>
    <w:rsid w:val="00A82D84"/>
    <w:rsid w:val="00A83231"/>
    <w:rsid w:val="00A84514"/>
    <w:rsid w:val="00A84868"/>
    <w:rsid w:val="00A84CAD"/>
    <w:rsid w:val="00A85C08"/>
    <w:rsid w:val="00A85F04"/>
    <w:rsid w:val="00A90345"/>
    <w:rsid w:val="00A90BE8"/>
    <w:rsid w:val="00A90E50"/>
    <w:rsid w:val="00A90FBA"/>
    <w:rsid w:val="00A911A0"/>
    <w:rsid w:val="00A92C47"/>
    <w:rsid w:val="00A94D41"/>
    <w:rsid w:val="00A959AB"/>
    <w:rsid w:val="00A95AB8"/>
    <w:rsid w:val="00A963E1"/>
    <w:rsid w:val="00A96E43"/>
    <w:rsid w:val="00A96F0E"/>
    <w:rsid w:val="00A97866"/>
    <w:rsid w:val="00AA049B"/>
    <w:rsid w:val="00AA100A"/>
    <w:rsid w:val="00AA1C6D"/>
    <w:rsid w:val="00AA245F"/>
    <w:rsid w:val="00AA2E06"/>
    <w:rsid w:val="00AA2EDA"/>
    <w:rsid w:val="00AA3ECA"/>
    <w:rsid w:val="00AA4265"/>
    <w:rsid w:val="00AA476E"/>
    <w:rsid w:val="00AA485A"/>
    <w:rsid w:val="00AA4A4A"/>
    <w:rsid w:val="00AA5363"/>
    <w:rsid w:val="00AA58A7"/>
    <w:rsid w:val="00AA58C3"/>
    <w:rsid w:val="00AA60BD"/>
    <w:rsid w:val="00AA614B"/>
    <w:rsid w:val="00AA6EDD"/>
    <w:rsid w:val="00AA7602"/>
    <w:rsid w:val="00AB0478"/>
    <w:rsid w:val="00AB076A"/>
    <w:rsid w:val="00AB1BFD"/>
    <w:rsid w:val="00AB1C81"/>
    <w:rsid w:val="00AB252E"/>
    <w:rsid w:val="00AB2C07"/>
    <w:rsid w:val="00AB3326"/>
    <w:rsid w:val="00AB3733"/>
    <w:rsid w:val="00AB375D"/>
    <w:rsid w:val="00AB4153"/>
    <w:rsid w:val="00AB451E"/>
    <w:rsid w:val="00AB4561"/>
    <w:rsid w:val="00AB62AB"/>
    <w:rsid w:val="00AB693F"/>
    <w:rsid w:val="00AC350C"/>
    <w:rsid w:val="00AC5345"/>
    <w:rsid w:val="00AC5695"/>
    <w:rsid w:val="00AC60EB"/>
    <w:rsid w:val="00AC628A"/>
    <w:rsid w:val="00AC62E3"/>
    <w:rsid w:val="00AC6556"/>
    <w:rsid w:val="00AC6672"/>
    <w:rsid w:val="00AC699D"/>
    <w:rsid w:val="00AD121A"/>
    <w:rsid w:val="00AD301D"/>
    <w:rsid w:val="00AD4AA0"/>
    <w:rsid w:val="00AD4AA7"/>
    <w:rsid w:val="00AD4DAE"/>
    <w:rsid w:val="00AD6B87"/>
    <w:rsid w:val="00AD6BAA"/>
    <w:rsid w:val="00AD6F72"/>
    <w:rsid w:val="00AE0123"/>
    <w:rsid w:val="00AE0BD7"/>
    <w:rsid w:val="00AE107D"/>
    <w:rsid w:val="00AE1618"/>
    <w:rsid w:val="00AE1AD5"/>
    <w:rsid w:val="00AE1C52"/>
    <w:rsid w:val="00AE28D5"/>
    <w:rsid w:val="00AE2C4E"/>
    <w:rsid w:val="00AE2F4D"/>
    <w:rsid w:val="00AE3FEC"/>
    <w:rsid w:val="00AE5087"/>
    <w:rsid w:val="00AE50FD"/>
    <w:rsid w:val="00AE644F"/>
    <w:rsid w:val="00AE7E5D"/>
    <w:rsid w:val="00AF0830"/>
    <w:rsid w:val="00AF159B"/>
    <w:rsid w:val="00AF2544"/>
    <w:rsid w:val="00AF31B4"/>
    <w:rsid w:val="00AF35C9"/>
    <w:rsid w:val="00AF3C16"/>
    <w:rsid w:val="00AF4797"/>
    <w:rsid w:val="00AF5254"/>
    <w:rsid w:val="00AF5465"/>
    <w:rsid w:val="00AF788C"/>
    <w:rsid w:val="00AF7FE0"/>
    <w:rsid w:val="00B00A66"/>
    <w:rsid w:val="00B01406"/>
    <w:rsid w:val="00B01518"/>
    <w:rsid w:val="00B01F3F"/>
    <w:rsid w:val="00B03A5D"/>
    <w:rsid w:val="00B05310"/>
    <w:rsid w:val="00B05448"/>
    <w:rsid w:val="00B05EE9"/>
    <w:rsid w:val="00B064C6"/>
    <w:rsid w:val="00B06995"/>
    <w:rsid w:val="00B07CF0"/>
    <w:rsid w:val="00B1031A"/>
    <w:rsid w:val="00B10ABD"/>
    <w:rsid w:val="00B10B4D"/>
    <w:rsid w:val="00B110BE"/>
    <w:rsid w:val="00B11A70"/>
    <w:rsid w:val="00B11E4C"/>
    <w:rsid w:val="00B1258C"/>
    <w:rsid w:val="00B12870"/>
    <w:rsid w:val="00B129CB"/>
    <w:rsid w:val="00B131EC"/>
    <w:rsid w:val="00B13849"/>
    <w:rsid w:val="00B14843"/>
    <w:rsid w:val="00B1489D"/>
    <w:rsid w:val="00B151D4"/>
    <w:rsid w:val="00B158D6"/>
    <w:rsid w:val="00B15CE2"/>
    <w:rsid w:val="00B16D33"/>
    <w:rsid w:val="00B1731A"/>
    <w:rsid w:val="00B17640"/>
    <w:rsid w:val="00B17A0B"/>
    <w:rsid w:val="00B17AB6"/>
    <w:rsid w:val="00B205FA"/>
    <w:rsid w:val="00B20696"/>
    <w:rsid w:val="00B2269E"/>
    <w:rsid w:val="00B22839"/>
    <w:rsid w:val="00B22CE3"/>
    <w:rsid w:val="00B23C7D"/>
    <w:rsid w:val="00B249AA"/>
    <w:rsid w:val="00B27959"/>
    <w:rsid w:val="00B30867"/>
    <w:rsid w:val="00B30D85"/>
    <w:rsid w:val="00B30F94"/>
    <w:rsid w:val="00B31EF1"/>
    <w:rsid w:val="00B32753"/>
    <w:rsid w:val="00B3275B"/>
    <w:rsid w:val="00B32D23"/>
    <w:rsid w:val="00B32F3F"/>
    <w:rsid w:val="00B331C4"/>
    <w:rsid w:val="00B336FC"/>
    <w:rsid w:val="00B33AE1"/>
    <w:rsid w:val="00B3427C"/>
    <w:rsid w:val="00B342F3"/>
    <w:rsid w:val="00B34383"/>
    <w:rsid w:val="00B34936"/>
    <w:rsid w:val="00B35E94"/>
    <w:rsid w:val="00B36296"/>
    <w:rsid w:val="00B372CC"/>
    <w:rsid w:val="00B37958"/>
    <w:rsid w:val="00B37C1F"/>
    <w:rsid w:val="00B407DE"/>
    <w:rsid w:val="00B41091"/>
    <w:rsid w:val="00B41116"/>
    <w:rsid w:val="00B43A20"/>
    <w:rsid w:val="00B44615"/>
    <w:rsid w:val="00B4488E"/>
    <w:rsid w:val="00B449C5"/>
    <w:rsid w:val="00B44F05"/>
    <w:rsid w:val="00B461A0"/>
    <w:rsid w:val="00B46854"/>
    <w:rsid w:val="00B46BD9"/>
    <w:rsid w:val="00B477D4"/>
    <w:rsid w:val="00B51AE3"/>
    <w:rsid w:val="00B5246C"/>
    <w:rsid w:val="00B540C7"/>
    <w:rsid w:val="00B541E7"/>
    <w:rsid w:val="00B546A4"/>
    <w:rsid w:val="00B54FE0"/>
    <w:rsid w:val="00B5504C"/>
    <w:rsid w:val="00B55670"/>
    <w:rsid w:val="00B561B9"/>
    <w:rsid w:val="00B56B9D"/>
    <w:rsid w:val="00B56DA5"/>
    <w:rsid w:val="00B60564"/>
    <w:rsid w:val="00B608F2"/>
    <w:rsid w:val="00B61961"/>
    <w:rsid w:val="00B62635"/>
    <w:rsid w:val="00B63636"/>
    <w:rsid w:val="00B6364B"/>
    <w:rsid w:val="00B63EB3"/>
    <w:rsid w:val="00B640E1"/>
    <w:rsid w:val="00B663C7"/>
    <w:rsid w:val="00B66EA6"/>
    <w:rsid w:val="00B6774F"/>
    <w:rsid w:val="00B67915"/>
    <w:rsid w:val="00B67A4C"/>
    <w:rsid w:val="00B67B8A"/>
    <w:rsid w:val="00B702EF"/>
    <w:rsid w:val="00B71264"/>
    <w:rsid w:val="00B7139C"/>
    <w:rsid w:val="00B7238C"/>
    <w:rsid w:val="00B72493"/>
    <w:rsid w:val="00B727CE"/>
    <w:rsid w:val="00B7291F"/>
    <w:rsid w:val="00B7293D"/>
    <w:rsid w:val="00B72C32"/>
    <w:rsid w:val="00B733B0"/>
    <w:rsid w:val="00B74260"/>
    <w:rsid w:val="00B7435F"/>
    <w:rsid w:val="00B74E3D"/>
    <w:rsid w:val="00B77D6E"/>
    <w:rsid w:val="00B80122"/>
    <w:rsid w:val="00B8164E"/>
    <w:rsid w:val="00B81F95"/>
    <w:rsid w:val="00B834E6"/>
    <w:rsid w:val="00B834FD"/>
    <w:rsid w:val="00B83C5D"/>
    <w:rsid w:val="00B847C0"/>
    <w:rsid w:val="00B85C8A"/>
    <w:rsid w:val="00B8623C"/>
    <w:rsid w:val="00B87C99"/>
    <w:rsid w:val="00B87F8B"/>
    <w:rsid w:val="00B90752"/>
    <w:rsid w:val="00B90A9E"/>
    <w:rsid w:val="00B9120F"/>
    <w:rsid w:val="00B91E2C"/>
    <w:rsid w:val="00B924A4"/>
    <w:rsid w:val="00B9448D"/>
    <w:rsid w:val="00B94AC4"/>
    <w:rsid w:val="00B95367"/>
    <w:rsid w:val="00B95440"/>
    <w:rsid w:val="00B95687"/>
    <w:rsid w:val="00B95744"/>
    <w:rsid w:val="00B95A2B"/>
    <w:rsid w:val="00B95DB8"/>
    <w:rsid w:val="00B96BC7"/>
    <w:rsid w:val="00B96D28"/>
    <w:rsid w:val="00B979D8"/>
    <w:rsid w:val="00BA006E"/>
    <w:rsid w:val="00BA02A9"/>
    <w:rsid w:val="00BA0C53"/>
    <w:rsid w:val="00BA1D71"/>
    <w:rsid w:val="00BA2B8E"/>
    <w:rsid w:val="00BA2BC1"/>
    <w:rsid w:val="00BA3F6C"/>
    <w:rsid w:val="00BA5798"/>
    <w:rsid w:val="00BA589B"/>
    <w:rsid w:val="00BA5B0C"/>
    <w:rsid w:val="00BA5C2A"/>
    <w:rsid w:val="00BA5F91"/>
    <w:rsid w:val="00BA676D"/>
    <w:rsid w:val="00BA68A7"/>
    <w:rsid w:val="00BB0D1A"/>
    <w:rsid w:val="00BB1310"/>
    <w:rsid w:val="00BB1D3B"/>
    <w:rsid w:val="00BB29BE"/>
    <w:rsid w:val="00BB386D"/>
    <w:rsid w:val="00BB3F33"/>
    <w:rsid w:val="00BB4AC3"/>
    <w:rsid w:val="00BB4ED3"/>
    <w:rsid w:val="00BB4EF5"/>
    <w:rsid w:val="00BB524A"/>
    <w:rsid w:val="00BB6BF3"/>
    <w:rsid w:val="00BB7222"/>
    <w:rsid w:val="00BB73CD"/>
    <w:rsid w:val="00BB7E75"/>
    <w:rsid w:val="00BC069E"/>
    <w:rsid w:val="00BC0957"/>
    <w:rsid w:val="00BC125B"/>
    <w:rsid w:val="00BC1414"/>
    <w:rsid w:val="00BC171A"/>
    <w:rsid w:val="00BC35ED"/>
    <w:rsid w:val="00BC3ED6"/>
    <w:rsid w:val="00BC42F5"/>
    <w:rsid w:val="00BC4303"/>
    <w:rsid w:val="00BC4E0E"/>
    <w:rsid w:val="00BC4E26"/>
    <w:rsid w:val="00BC652B"/>
    <w:rsid w:val="00BD05E8"/>
    <w:rsid w:val="00BD08A4"/>
    <w:rsid w:val="00BD1090"/>
    <w:rsid w:val="00BD1449"/>
    <w:rsid w:val="00BD2825"/>
    <w:rsid w:val="00BD2A71"/>
    <w:rsid w:val="00BD3F9E"/>
    <w:rsid w:val="00BD4104"/>
    <w:rsid w:val="00BD4B92"/>
    <w:rsid w:val="00BD5F7B"/>
    <w:rsid w:val="00BD64E5"/>
    <w:rsid w:val="00BD65DF"/>
    <w:rsid w:val="00BD6830"/>
    <w:rsid w:val="00BD6875"/>
    <w:rsid w:val="00BD69FE"/>
    <w:rsid w:val="00BD7311"/>
    <w:rsid w:val="00BD73E6"/>
    <w:rsid w:val="00BD7B64"/>
    <w:rsid w:val="00BE0039"/>
    <w:rsid w:val="00BE14E0"/>
    <w:rsid w:val="00BE1AAE"/>
    <w:rsid w:val="00BE2BEB"/>
    <w:rsid w:val="00BE2BFC"/>
    <w:rsid w:val="00BE3198"/>
    <w:rsid w:val="00BE405A"/>
    <w:rsid w:val="00BE44E7"/>
    <w:rsid w:val="00BE4612"/>
    <w:rsid w:val="00BE58C8"/>
    <w:rsid w:val="00BE6B7C"/>
    <w:rsid w:val="00BE719E"/>
    <w:rsid w:val="00BE7E93"/>
    <w:rsid w:val="00BF0694"/>
    <w:rsid w:val="00BF12F1"/>
    <w:rsid w:val="00BF238E"/>
    <w:rsid w:val="00BF2B3F"/>
    <w:rsid w:val="00BF347C"/>
    <w:rsid w:val="00BF3B09"/>
    <w:rsid w:val="00BF3E1C"/>
    <w:rsid w:val="00BF40CC"/>
    <w:rsid w:val="00BF4266"/>
    <w:rsid w:val="00BF449E"/>
    <w:rsid w:val="00BF44E5"/>
    <w:rsid w:val="00BF4689"/>
    <w:rsid w:val="00BF4880"/>
    <w:rsid w:val="00BF583A"/>
    <w:rsid w:val="00BF6152"/>
    <w:rsid w:val="00BF69EF"/>
    <w:rsid w:val="00BF6E38"/>
    <w:rsid w:val="00BF7073"/>
    <w:rsid w:val="00BF7280"/>
    <w:rsid w:val="00BF7CD4"/>
    <w:rsid w:val="00C0076F"/>
    <w:rsid w:val="00C01812"/>
    <w:rsid w:val="00C01963"/>
    <w:rsid w:val="00C01BB0"/>
    <w:rsid w:val="00C02FEB"/>
    <w:rsid w:val="00C03120"/>
    <w:rsid w:val="00C038DE"/>
    <w:rsid w:val="00C03DA6"/>
    <w:rsid w:val="00C043B7"/>
    <w:rsid w:val="00C05659"/>
    <w:rsid w:val="00C0565C"/>
    <w:rsid w:val="00C05988"/>
    <w:rsid w:val="00C065E7"/>
    <w:rsid w:val="00C06C94"/>
    <w:rsid w:val="00C06DE0"/>
    <w:rsid w:val="00C070F3"/>
    <w:rsid w:val="00C07BB7"/>
    <w:rsid w:val="00C10917"/>
    <w:rsid w:val="00C10F12"/>
    <w:rsid w:val="00C11146"/>
    <w:rsid w:val="00C12911"/>
    <w:rsid w:val="00C12BEB"/>
    <w:rsid w:val="00C13258"/>
    <w:rsid w:val="00C14437"/>
    <w:rsid w:val="00C15A68"/>
    <w:rsid w:val="00C169CC"/>
    <w:rsid w:val="00C16D89"/>
    <w:rsid w:val="00C1770D"/>
    <w:rsid w:val="00C178B9"/>
    <w:rsid w:val="00C20210"/>
    <w:rsid w:val="00C20E37"/>
    <w:rsid w:val="00C21242"/>
    <w:rsid w:val="00C213DB"/>
    <w:rsid w:val="00C2235F"/>
    <w:rsid w:val="00C23268"/>
    <w:rsid w:val="00C240A1"/>
    <w:rsid w:val="00C245EA"/>
    <w:rsid w:val="00C2622D"/>
    <w:rsid w:val="00C26DBF"/>
    <w:rsid w:val="00C30043"/>
    <w:rsid w:val="00C306BA"/>
    <w:rsid w:val="00C30C38"/>
    <w:rsid w:val="00C3335A"/>
    <w:rsid w:val="00C34069"/>
    <w:rsid w:val="00C35C44"/>
    <w:rsid w:val="00C35CAE"/>
    <w:rsid w:val="00C375FA"/>
    <w:rsid w:val="00C37665"/>
    <w:rsid w:val="00C40985"/>
    <w:rsid w:val="00C4111B"/>
    <w:rsid w:val="00C4114C"/>
    <w:rsid w:val="00C41246"/>
    <w:rsid w:val="00C42983"/>
    <w:rsid w:val="00C42B79"/>
    <w:rsid w:val="00C42BF3"/>
    <w:rsid w:val="00C4490D"/>
    <w:rsid w:val="00C44BE9"/>
    <w:rsid w:val="00C45316"/>
    <w:rsid w:val="00C45E5F"/>
    <w:rsid w:val="00C45FC4"/>
    <w:rsid w:val="00C46EB0"/>
    <w:rsid w:val="00C478A0"/>
    <w:rsid w:val="00C500E8"/>
    <w:rsid w:val="00C50364"/>
    <w:rsid w:val="00C50884"/>
    <w:rsid w:val="00C52F25"/>
    <w:rsid w:val="00C5394F"/>
    <w:rsid w:val="00C5481A"/>
    <w:rsid w:val="00C5620C"/>
    <w:rsid w:val="00C569A4"/>
    <w:rsid w:val="00C56B9E"/>
    <w:rsid w:val="00C57A4C"/>
    <w:rsid w:val="00C60311"/>
    <w:rsid w:val="00C6087B"/>
    <w:rsid w:val="00C62267"/>
    <w:rsid w:val="00C62D3F"/>
    <w:rsid w:val="00C63C7B"/>
    <w:rsid w:val="00C63D40"/>
    <w:rsid w:val="00C6411C"/>
    <w:rsid w:val="00C649F5"/>
    <w:rsid w:val="00C64C49"/>
    <w:rsid w:val="00C654A9"/>
    <w:rsid w:val="00C65B68"/>
    <w:rsid w:val="00C65EF4"/>
    <w:rsid w:val="00C65F81"/>
    <w:rsid w:val="00C6752E"/>
    <w:rsid w:val="00C70C89"/>
    <w:rsid w:val="00C710D6"/>
    <w:rsid w:val="00C71433"/>
    <w:rsid w:val="00C714D0"/>
    <w:rsid w:val="00C71560"/>
    <w:rsid w:val="00C718EF"/>
    <w:rsid w:val="00C72606"/>
    <w:rsid w:val="00C72D73"/>
    <w:rsid w:val="00C743EC"/>
    <w:rsid w:val="00C75A66"/>
    <w:rsid w:val="00C76316"/>
    <w:rsid w:val="00C76E58"/>
    <w:rsid w:val="00C809C1"/>
    <w:rsid w:val="00C80F1D"/>
    <w:rsid w:val="00C80FDD"/>
    <w:rsid w:val="00C83124"/>
    <w:rsid w:val="00C83289"/>
    <w:rsid w:val="00C83656"/>
    <w:rsid w:val="00C84A6B"/>
    <w:rsid w:val="00C85028"/>
    <w:rsid w:val="00C866F8"/>
    <w:rsid w:val="00C872F8"/>
    <w:rsid w:val="00C87657"/>
    <w:rsid w:val="00C876D3"/>
    <w:rsid w:val="00C90CFE"/>
    <w:rsid w:val="00C9120A"/>
    <w:rsid w:val="00C9190A"/>
    <w:rsid w:val="00C93A66"/>
    <w:rsid w:val="00C93EA1"/>
    <w:rsid w:val="00C943C3"/>
    <w:rsid w:val="00C94E8C"/>
    <w:rsid w:val="00C94F0F"/>
    <w:rsid w:val="00C955B7"/>
    <w:rsid w:val="00C955E9"/>
    <w:rsid w:val="00C9620D"/>
    <w:rsid w:val="00C9761F"/>
    <w:rsid w:val="00CA0223"/>
    <w:rsid w:val="00CA0641"/>
    <w:rsid w:val="00CA0762"/>
    <w:rsid w:val="00CA0C11"/>
    <w:rsid w:val="00CA1474"/>
    <w:rsid w:val="00CA3CD2"/>
    <w:rsid w:val="00CA3CF7"/>
    <w:rsid w:val="00CA3F3E"/>
    <w:rsid w:val="00CA48AF"/>
    <w:rsid w:val="00CA5102"/>
    <w:rsid w:val="00CA569E"/>
    <w:rsid w:val="00CA5956"/>
    <w:rsid w:val="00CA5F45"/>
    <w:rsid w:val="00CA69BF"/>
    <w:rsid w:val="00CA6D67"/>
    <w:rsid w:val="00CA750C"/>
    <w:rsid w:val="00CB0DEE"/>
    <w:rsid w:val="00CB139C"/>
    <w:rsid w:val="00CB173C"/>
    <w:rsid w:val="00CB18B0"/>
    <w:rsid w:val="00CB2692"/>
    <w:rsid w:val="00CB3A82"/>
    <w:rsid w:val="00CB4447"/>
    <w:rsid w:val="00CB6959"/>
    <w:rsid w:val="00CB6B78"/>
    <w:rsid w:val="00CB76D1"/>
    <w:rsid w:val="00CB7BFA"/>
    <w:rsid w:val="00CB7FBF"/>
    <w:rsid w:val="00CC0382"/>
    <w:rsid w:val="00CC0D23"/>
    <w:rsid w:val="00CC1BF6"/>
    <w:rsid w:val="00CC4AA9"/>
    <w:rsid w:val="00CC4F91"/>
    <w:rsid w:val="00CD0482"/>
    <w:rsid w:val="00CD1440"/>
    <w:rsid w:val="00CD30E0"/>
    <w:rsid w:val="00CD315D"/>
    <w:rsid w:val="00CD3DF7"/>
    <w:rsid w:val="00CD4357"/>
    <w:rsid w:val="00CD49A7"/>
    <w:rsid w:val="00CD54C6"/>
    <w:rsid w:val="00CD5941"/>
    <w:rsid w:val="00CD6B16"/>
    <w:rsid w:val="00CD7469"/>
    <w:rsid w:val="00CE1AA4"/>
    <w:rsid w:val="00CE1BF9"/>
    <w:rsid w:val="00CE1C71"/>
    <w:rsid w:val="00CE41CF"/>
    <w:rsid w:val="00CE5865"/>
    <w:rsid w:val="00CE6F64"/>
    <w:rsid w:val="00CE7043"/>
    <w:rsid w:val="00CE7067"/>
    <w:rsid w:val="00CE7798"/>
    <w:rsid w:val="00CE77A8"/>
    <w:rsid w:val="00CF14A1"/>
    <w:rsid w:val="00CF15E4"/>
    <w:rsid w:val="00CF1E28"/>
    <w:rsid w:val="00CF210F"/>
    <w:rsid w:val="00CF21B8"/>
    <w:rsid w:val="00CF2812"/>
    <w:rsid w:val="00CF34D5"/>
    <w:rsid w:val="00CF4018"/>
    <w:rsid w:val="00CF403A"/>
    <w:rsid w:val="00CF40A1"/>
    <w:rsid w:val="00CF4BE1"/>
    <w:rsid w:val="00CF4D1A"/>
    <w:rsid w:val="00CF6F67"/>
    <w:rsid w:val="00CF7720"/>
    <w:rsid w:val="00D015CF"/>
    <w:rsid w:val="00D01DBF"/>
    <w:rsid w:val="00D02211"/>
    <w:rsid w:val="00D02FF2"/>
    <w:rsid w:val="00D05CA1"/>
    <w:rsid w:val="00D06447"/>
    <w:rsid w:val="00D06D19"/>
    <w:rsid w:val="00D07B87"/>
    <w:rsid w:val="00D07F88"/>
    <w:rsid w:val="00D1012A"/>
    <w:rsid w:val="00D10884"/>
    <w:rsid w:val="00D11A8D"/>
    <w:rsid w:val="00D12AD7"/>
    <w:rsid w:val="00D13A13"/>
    <w:rsid w:val="00D13AF7"/>
    <w:rsid w:val="00D14000"/>
    <w:rsid w:val="00D14180"/>
    <w:rsid w:val="00D14237"/>
    <w:rsid w:val="00D1458F"/>
    <w:rsid w:val="00D151EB"/>
    <w:rsid w:val="00D160FE"/>
    <w:rsid w:val="00D1618D"/>
    <w:rsid w:val="00D16AE5"/>
    <w:rsid w:val="00D17F2C"/>
    <w:rsid w:val="00D2055D"/>
    <w:rsid w:val="00D20C27"/>
    <w:rsid w:val="00D21DF4"/>
    <w:rsid w:val="00D220DF"/>
    <w:rsid w:val="00D236FF"/>
    <w:rsid w:val="00D23ACD"/>
    <w:rsid w:val="00D23DF8"/>
    <w:rsid w:val="00D24970"/>
    <w:rsid w:val="00D253BF"/>
    <w:rsid w:val="00D26DBF"/>
    <w:rsid w:val="00D273F2"/>
    <w:rsid w:val="00D27CF8"/>
    <w:rsid w:val="00D27F1B"/>
    <w:rsid w:val="00D3054A"/>
    <w:rsid w:val="00D30719"/>
    <w:rsid w:val="00D32A8E"/>
    <w:rsid w:val="00D32D5E"/>
    <w:rsid w:val="00D330AC"/>
    <w:rsid w:val="00D3353B"/>
    <w:rsid w:val="00D335CD"/>
    <w:rsid w:val="00D34041"/>
    <w:rsid w:val="00D35EE1"/>
    <w:rsid w:val="00D3704A"/>
    <w:rsid w:val="00D3738D"/>
    <w:rsid w:val="00D404D9"/>
    <w:rsid w:val="00D40602"/>
    <w:rsid w:val="00D4140D"/>
    <w:rsid w:val="00D41DB4"/>
    <w:rsid w:val="00D41F9C"/>
    <w:rsid w:val="00D42DBA"/>
    <w:rsid w:val="00D432D5"/>
    <w:rsid w:val="00D443BA"/>
    <w:rsid w:val="00D44844"/>
    <w:rsid w:val="00D448DB"/>
    <w:rsid w:val="00D44EEC"/>
    <w:rsid w:val="00D4587E"/>
    <w:rsid w:val="00D45AA5"/>
    <w:rsid w:val="00D46722"/>
    <w:rsid w:val="00D50218"/>
    <w:rsid w:val="00D502DC"/>
    <w:rsid w:val="00D513CF"/>
    <w:rsid w:val="00D51409"/>
    <w:rsid w:val="00D51758"/>
    <w:rsid w:val="00D52424"/>
    <w:rsid w:val="00D5448E"/>
    <w:rsid w:val="00D54EB2"/>
    <w:rsid w:val="00D559A4"/>
    <w:rsid w:val="00D570EB"/>
    <w:rsid w:val="00D57301"/>
    <w:rsid w:val="00D60149"/>
    <w:rsid w:val="00D603FD"/>
    <w:rsid w:val="00D604EF"/>
    <w:rsid w:val="00D6299C"/>
    <w:rsid w:val="00D64811"/>
    <w:rsid w:val="00D64E5D"/>
    <w:rsid w:val="00D650CE"/>
    <w:rsid w:val="00D6578C"/>
    <w:rsid w:val="00D673BD"/>
    <w:rsid w:val="00D70AB4"/>
    <w:rsid w:val="00D71783"/>
    <w:rsid w:val="00D718F6"/>
    <w:rsid w:val="00D72330"/>
    <w:rsid w:val="00D724CD"/>
    <w:rsid w:val="00D72FFF"/>
    <w:rsid w:val="00D740C7"/>
    <w:rsid w:val="00D75382"/>
    <w:rsid w:val="00D75BC7"/>
    <w:rsid w:val="00D771A6"/>
    <w:rsid w:val="00D77ED9"/>
    <w:rsid w:val="00D80CD6"/>
    <w:rsid w:val="00D81818"/>
    <w:rsid w:val="00D82D7A"/>
    <w:rsid w:val="00D82E8C"/>
    <w:rsid w:val="00D830A3"/>
    <w:rsid w:val="00D83211"/>
    <w:rsid w:val="00D8363D"/>
    <w:rsid w:val="00D83C7C"/>
    <w:rsid w:val="00D84723"/>
    <w:rsid w:val="00D867B6"/>
    <w:rsid w:val="00D87351"/>
    <w:rsid w:val="00D8758B"/>
    <w:rsid w:val="00D875D7"/>
    <w:rsid w:val="00D87DBF"/>
    <w:rsid w:val="00D902D6"/>
    <w:rsid w:val="00D903EC"/>
    <w:rsid w:val="00D91654"/>
    <w:rsid w:val="00D94A02"/>
    <w:rsid w:val="00D94A62"/>
    <w:rsid w:val="00D94BDF"/>
    <w:rsid w:val="00D95721"/>
    <w:rsid w:val="00D95C20"/>
    <w:rsid w:val="00D96DA2"/>
    <w:rsid w:val="00DA04CE"/>
    <w:rsid w:val="00DA0926"/>
    <w:rsid w:val="00DA10BF"/>
    <w:rsid w:val="00DA12B5"/>
    <w:rsid w:val="00DA300A"/>
    <w:rsid w:val="00DA30E7"/>
    <w:rsid w:val="00DA7813"/>
    <w:rsid w:val="00DA7D09"/>
    <w:rsid w:val="00DB1D46"/>
    <w:rsid w:val="00DB33BF"/>
    <w:rsid w:val="00DB3497"/>
    <w:rsid w:val="00DB438B"/>
    <w:rsid w:val="00DB44F3"/>
    <w:rsid w:val="00DB550E"/>
    <w:rsid w:val="00DB5BF0"/>
    <w:rsid w:val="00DB5CA4"/>
    <w:rsid w:val="00DB6126"/>
    <w:rsid w:val="00DB6F26"/>
    <w:rsid w:val="00DB71A7"/>
    <w:rsid w:val="00DB798B"/>
    <w:rsid w:val="00DC0FBC"/>
    <w:rsid w:val="00DC11E0"/>
    <w:rsid w:val="00DC1D27"/>
    <w:rsid w:val="00DC202E"/>
    <w:rsid w:val="00DC2965"/>
    <w:rsid w:val="00DC2A5E"/>
    <w:rsid w:val="00DC3781"/>
    <w:rsid w:val="00DC3CD0"/>
    <w:rsid w:val="00DC3EDA"/>
    <w:rsid w:val="00DC44CC"/>
    <w:rsid w:val="00DC49E9"/>
    <w:rsid w:val="00DC4CDA"/>
    <w:rsid w:val="00DC6759"/>
    <w:rsid w:val="00DC69DE"/>
    <w:rsid w:val="00DC6C53"/>
    <w:rsid w:val="00DC7F4A"/>
    <w:rsid w:val="00DD0489"/>
    <w:rsid w:val="00DD21F7"/>
    <w:rsid w:val="00DD270E"/>
    <w:rsid w:val="00DD4D65"/>
    <w:rsid w:val="00DD4FB2"/>
    <w:rsid w:val="00DD6737"/>
    <w:rsid w:val="00DD740E"/>
    <w:rsid w:val="00DD7858"/>
    <w:rsid w:val="00DE0B96"/>
    <w:rsid w:val="00DE129A"/>
    <w:rsid w:val="00DE1B6F"/>
    <w:rsid w:val="00DE21AD"/>
    <w:rsid w:val="00DE2362"/>
    <w:rsid w:val="00DE3BEA"/>
    <w:rsid w:val="00DE40F4"/>
    <w:rsid w:val="00DE470C"/>
    <w:rsid w:val="00DE4C95"/>
    <w:rsid w:val="00DE65D1"/>
    <w:rsid w:val="00DE6C11"/>
    <w:rsid w:val="00DE6D0E"/>
    <w:rsid w:val="00DE6E21"/>
    <w:rsid w:val="00DE70D3"/>
    <w:rsid w:val="00DE7EBD"/>
    <w:rsid w:val="00DF03B3"/>
    <w:rsid w:val="00DF06C0"/>
    <w:rsid w:val="00DF0B13"/>
    <w:rsid w:val="00DF0E71"/>
    <w:rsid w:val="00DF1630"/>
    <w:rsid w:val="00DF1725"/>
    <w:rsid w:val="00DF1CF8"/>
    <w:rsid w:val="00DF274A"/>
    <w:rsid w:val="00DF2EB8"/>
    <w:rsid w:val="00DF4A94"/>
    <w:rsid w:val="00DF4F82"/>
    <w:rsid w:val="00DF5492"/>
    <w:rsid w:val="00DF5B5A"/>
    <w:rsid w:val="00DF663A"/>
    <w:rsid w:val="00DF6E36"/>
    <w:rsid w:val="00DF7506"/>
    <w:rsid w:val="00DF7B42"/>
    <w:rsid w:val="00E006A1"/>
    <w:rsid w:val="00E013C2"/>
    <w:rsid w:val="00E0217E"/>
    <w:rsid w:val="00E02750"/>
    <w:rsid w:val="00E02C01"/>
    <w:rsid w:val="00E02C74"/>
    <w:rsid w:val="00E02F34"/>
    <w:rsid w:val="00E03FA2"/>
    <w:rsid w:val="00E04C91"/>
    <w:rsid w:val="00E05854"/>
    <w:rsid w:val="00E05CE9"/>
    <w:rsid w:val="00E066C3"/>
    <w:rsid w:val="00E0778F"/>
    <w:rsid w:val="00E10A41"/>
    <w:rsid w:val="00E1222D"/>
    <w:rsid w:val="00E12630"/>
    <w:rsid w:val="00E1353A"/>
    <w:rsid w:val="00E137D9"/>
    <w:rsid w:val="00E13F5E"/>
    <w:rsid w:val="00E142E4"/>
    <w:rsid w:val="00E15131"/>
    <w:rsid w:val="00E1518C"/>
    <w:rsid w:val="00E1564B"/>
    <w:rsid w:val="00E17E9A"/>
    <w:rsid w:val="00E2021D"/>
    <w:rsid w:val="00E20777"/>
    <w:rsid w:val="00E208A0"/>
    <w:rsid w:val="00E20DE0"/>
    <w:rsid w:val="00E228DD"/>
    <w:rsid w:val="00E22BCF"/>
    <w:rsid w:val="00E234E4"/>
    <w:rsid w:val="00E25FAC"/>
    <w:rsid w:val="00E26908"/>
    <w:rsid w:val="00E27F29"/>
    <w:rsid w:val="00E27FA3"/>
    <w:rsid w:val="00E31243"/>
    <w:rsid w:val="00E316F5"/>
    <w:rsid w:val="00E31D61"/>
    <w:rsid w:val="00E332F2"/>
    <w:rsid w:val="00E35050"/>
    <w:rsid w:val="00E3505A"/>
    <w:rsid w:val="00E3554C"/>
    <w:rsid w:val="00E36BDF"/>
    <w:rsid w:val="00E36D4E"/>
    <w:rsid w:val="00E40550"/>
    <w:rsid w:val="00E40917"/>
    <w:rsid w:val="00E411F0"/>
    <w:rsid w:val="00E42A04"/>
    <w:rsid w:val="00E42AD1"/>
    <w:rsid w:val="00E42E27"/>
    <w:rsid w:val="00E43866"/>
    <w:rsid w:val="00E43A72"/>
    <w:rsid w:val="00E43ECD"/>
    <w:rsid w:val="00E45B9F"/>
    <w:rsid w:val="00E47290"/>
    <w:rsid w:val="00E47810"/>
    <w:rsid w:val="00E5003F"/>
    <w:rsid w:val="00E50A90"/>
    <w:rsid w:val="00E50C6A"/>
    <w:rsid w:val="00E5159C"/>
    <w:rsid w:val="00E51962"/>
    <w:rsid w:val="00E53CB8"/>
    <w:rsid w:val="00E54253"/>
    <w:rsid w:val="00E544BB"/>
    <w:rsid w:val="00E54959"/>
    <w:rsid w:val="00E54D81"/>
    <w:rsid w:val="00E56640"/>
    <w:rsid w:val="00E57ED8"/>
    <w:rsid w:val="00E60E68"/>
    <w:rsid w:val="00E613A5"/>
    <w:rsid w:val="00E619DC"/>
    <w:rsid w:val="00E61E7E"/>
    <w:rsid w:val="00E61E98"/>
    <w:rsid w:val="00E62ACA"/>
    <w:rsid w:val="00E62D62"/>
    <w:rsid w:val="00E63A66"/>
    <w:rsid w:val="00E64CC0"/>
    <w:rsid w:val="00E655DB"/>
    <w:rsid w:val="00E66B95"/>
    <w:rsid w:val="00E66C4A"/>
    <w:rsid w:val="00E67399"/>
    <w:rsid w:val="00E677DD"/>
    <w:rsid w:val="00E67B1E"/>
    <w:rsid w:val="00E67E3E"/>
    <w:rsid w:val="00E7040A"/>
    <w:rsid w:val="00E70641"/>
    <w:rsid w:val="00E71735"/>
    <w:rsid w:val="00E71C0F"/>
    <w:rsid w:val="00E73764"/>
    <w:rsid w:val="00E73A88"/>
    <w:rsid w:val="00E74C42"/>
    <w:rsid w:val="00E74DDE"/>
    <w:rsid w:val="00E7555A"/>
    <w:rsid w:val="00E76A8C"/>
    <w:rsid w:val="00E77877"/>
    <w:rsid w:val="00E8090A"/>
    <w:rsid w:val="00E80BAB"/>
    <w:rsid w:val="00E81324"/>
    <w:rsid w:val="00E813A8"/>
    <w:rsid w:val="00E8293C"/>
    <w:rsid w:val="00E83433"/>
    <w:rsid w:val="00E83CE2"/>
    <w:rsid w:val="00E843CC"/>
    <w:rsid w:val="00E8449E"/>
    <w:rsid w:val="00E845C2"/>
    <w:rsid w:val="00E84F08"/>
    <w:rsid w:val="00E852C9"/>
    <w:rsid w:val="00E85528"/>
    <w:rsid w:val="00E86143"/>
    <w:rsid w:val="00E86AFA"/>
    <w:rsid w:val="00E86D42"/>
    <w:rsid w:val="00E87164"/>
    <w:rsid w:val="00E8723D"/>
    <w:rsid w:val="00E8760C"/>
    <w:rsid w:val="00E87B98"/>
    <w:rsid w:val="00E90539"/>
    <w:rsid w:val="00E90725"/>
    <w:rsid w:val="00E91704"/>
    <w:rsid w:val="00E9170D"/>
    <w:rsid w:val="00E92141"/>
    <w:rsid w:val="00E92E73"/>
    <w:rsid w:val="00E92F4E"/>
    <w:rsid w:val="00E93E0B"/>
    <w:rsid w:val="00E951C1"/>
    <w:rsid w:val="00E95F03"/>
    <w:rsid w:val="00E95F87"/>
    <w:rsid w:val="00E9666D"/>
    <w:rsid w:val="00E96729"/>
    <w:rsid w:val="00E97719"/>
    <w:rsid w:val="00EA0227"/>
    <w:rsid w:val="00EA1CBF"/>
    <w:rsid w:val="00EA248D"/>
    <w:rsid w:val="00EA26CC"/>
    <w:rsid w:val="00EA2CA2"/>
    <w:rsid w:val="00EA3488"/>
    <w:rsid w:val="00EA357D"/>
    <w:rsid w:val="00EA3A9A"/>
    <w:rsid w:val="00EA3D0A"/>
    <w:rsid w:val="00EA4475"/>
    <w:rsid w:val="00EA4968"/>
    <w:rsid w:val="00EA54E6"/>
    <w:rsid w:val="00EA628B"/>
    <w:rsid w:val="00EA639B"/>
    <w:rsid w:val="00EA6DED"/>
    <w:rsid w:val="00EA6FB9"/>
    <w:rsid w:val="00EB1D9B"/>
    <w:rsid w:val="00EB24AA"/>
    <w:rsid w:val="00EB24BD"/>
    <w:rsid w:val="00EB27A6"/>
    <w:rsid w:val="00EB2927"/>
    <w:rsid w:val="00EB3068"/>
    <w:rsid w:val="00EB33E0"/>
    <w:rsid w:val="00EB386B"/>
    <w:rsid w:val="00EB44E0"/>
    <w:rsid w:val="00EB4CB2"/>
    <w:rsid w:val="00EB5207"/>
    <w:rsid w:val="00EB5438"/>
    <w:rsid w:val="00EB5E1F"/>
    <w:rsid w:val="00EB6C07"/>
    <w:rsid w:val="00EC028D"/>
    <w:rsid w:val="00EC0566"/>
    <w:rsid w:val="00EC05E7"/>
    <w:rsid w:val="00EC0A26"/>
    <w:rsid w:val="00EC0D01"/>
    <w:rsid w:val="00EC1762"/>
    <w:rsid w:val="00EC2426"/>
    <w:rsid w:val="00EC2441"/>
    <w:rsid w:val="00EC274E"/>
    <w:rsid w:val="00EC3D63"/>
    <w:rsid w:val="00EC408E"/>
    <w:rsid w:val="00EC417F"/>
    <w:rsid w:val="00EC576B"/>
    <w:rsid w:val="00ED0E78"/>
    <w:rsid w:val="00ED100A"/>
    <w:rsid w:val="00ED292D"/>
    <w:rsid w:val="00ED2E0D"/>
    <w:rsid w:val="00ED2F88"/>
    <w:rsid w:val="00ED33EF"/>
    <w:rsid w:val="00ED444B"/>
    <w:rsid w:val="00ED5BA1"/>
    <w:rsid w:val="00ED633B"/>
    <w:rsid w:val="00ED65DA"/>
    <w:rsid w:val="00EE081D"/>
    <w:rsid w:val="00EE0AE2"/>
    <w:rsid w:val="00EE0E96"/>
    <w:rsid w:val="00EE1026"/>
    <w:rsid w:val="00EE2E5A"/>
    <w:rsid w:val="00EE3D96"/>
    <w:rsid w:val="00EE3F09"/>
    <w:rsid w:val="00EE478C"/>
    <w:rsid w:val="00EE4A10"/>
    <w:rsid w:val="00EE4B11"/>
    <w:rsid w:val="00EE4C20"/>
    <w:rsid w:val="00EE4F14"/>
    <w:rsid w:val="00EE523B"/>
    <w:rsid w:val="00EE60A6"/>
    <w:rsid w:val="00EE65ED"/>
    <w:rsid w:val="00EE7E58"/>
    <w:rsid w:val="00EF07A8"/>
    <w:rsid w:val="00EF1EC8"/>
    <w:rsid w:val="00EF1F82"/>
    <w:rsid w:val="00EF23C7"/>
    <w:rsid w:val="00EF26F1"/>
    <w:rsid w:val="00EF38C3"/>
    <w:rsid w:val="00EF3BD4"/>
    <w:rsid w:val="00EF49DF"/>
    <w:rsid w:val="00EF7450"/>
    <w:rsid w:val="00F01C17"/>
    <w:rsid w:val="00F0261B"/>
    <w:rsid w:val="00F03BA4"/>
    <w:rsid w:val="00F04805"/>
    <w:rsid w:val="00F04D40"/>
    <w:rsid w:val="00F056B2"/>
    <w:rsid w:val="00F05B79"/>
    <w:rsid w:val="00F062B6"/>
    <w:rsid w:val="00F06403"/>
    <w:rsid w:val="00F069AE"/>
    <w:rsid w:val="00F10F4F"/>
    <w:rsid w:val="00F12417"/>
    <w:rsid w:val="00F133AD"/>
    <w:rsid w:val="00F1367E"/>
    <w:rsid w:val="00F14F6F"/>
    <w:rsid w:val="00F151FA"/>
    <w:rsid w:val="00F15517"/>
    <w:rsid w:val="00F162EC"/>
    <w:rsid w:val="00F16585"/>
    <w:rsid w:val="00F1660A"/>
    <w:rsid w:val="00F16B51"/>
    <w:rsid w:val="00F21004"/>
    <w:rsid w:val="00F21E40"/>
    <w:rsid w:val="00F2269A"/>
    <w:rsid w:val="00F22E1D"/>
    <w:rsid w:val="00F230B2"/>
    <w:rsid w:val="00F23324"/>
    <w:rsid w:val="00F23DD2"/>
    <w:rsid w:val="00F245A7"/>
    <w:rsid w:val="00F250E0"/>
    <w:rsid w:val="00F26098"/>
    <w:rsid w:val="00F26D62"/>
    <w:rsid w:val="00F27089"/>
    <w:rsid w:val="00F30E5D"/>
    <w:rsid w:val="00F30FB4"/>
    <w:rsid w:val="00F3103B"/>
    <w:rsid w:val="00F31C0C"/>
    <w:rsid w:val="00F32F61"/>
    <w:rsid w:val="00F333C0"/>
    <w:rsid w:val="00F33C58"/>
    <w:rsid w:val="00F33E18"/>
    <w:rsid w:val="00F346DC"/>
    <w:rsid w:val="00F3682D"/>
    <w:rsid w:val="00F37875"/>
    <w:rsid w:val="00F4016E"/>
    <w:rsid w:val="00F40D58"/>
    <w:rsid w:val="00F41FE7"/>
    <w:rsid w:val="00F42239"/>
    <w:rsid w:val="00F439D3"/>
    <w:rsid w:val="00F44109"/>
    <w:rsid w:val="00F44E6B"/>
    <w:rsid w:val="00F45108"/>
    <w:rsid w:val="00F454D1"/>
    <w:rsid w:val="00F45B4C"/>
    <w:rsid w:val="00F46032"/>
    <w:rsid w:val="00F46494"/>
    <w:rsid w:val="00F46755"/>
    <w:rsid w:val="00F46BAF"/>
    <w:rsid w:val="00F52197"/>
    <w:rsid w:val="00F5388F"/>
    <w:rsid w:val="00F54170"/>
    <w:rsid w:val="00F54746"/>
    <w:rsid w:val="00F54FA7"/>
    <w:rsid w:val="00F55AFA"/>
    <w:rsid w:val="00F55C9C"/>
    <w:rsid w:val="00F561F4"/>
    <w:rsid w:val="00F562CE"/>
    <w:rsid w:val="00F5714A"/>
    <w:rsid w:val="00F579F9"/>
    <w:rsid w:val="00F57D23"/>
    <w:rsid w:val="00F6074C"/>
    <w:rsid w:val="00F61141"/>
    <w:rsid w:val="00F6250A"/>
    <w:rsid w:val="00F62B80"/>
    <w:rsid w:val="00F6354C"/>
    <w:rsid w:val="00F63D1B"/>
    <w:rsid w:val="00F67254"/>
    <w:rsid w:val="00F677E3"/>
    <w:rsid w:val="00F67A1D"/>
    <w:rsid w:val="00F70C90"/>
    <w:rsid w:val="00F72BEB"/>
    <w:rsid w:val="00F72E3D"/>
    <w:rsid w:val="00F73C22"/>
    <w:rsid w:val="00F75D6F"/>
    <w:rsid w:val="00F75E3A"/>
    <w:rsid w:val="00F7690E"/>
    <w:rsid w:val="00F76FE0"/>
    <w:rsid w:val="00F80775"/>
    <w:rsid w:val="00F8080B"/>
    <w:rsid w:val="00F80BCA"/>
    <w:rsid w:val="00F81D6B"/>
    <w:rsid w:val="00F82E93"/>
    <w:rsid w:val="00F83025"/>
    <w:rsid w:val="00F853A4"/>
    <w:rsid w:val="00F85C8B"/>
    <w:rsid w:val="00F85EAC"/>
    <w:rsid w:val="00F863E6"/>
    <w:rsid w:val="00F8687A"/>
    <w:rsid w:val="00F87263"/>
    <w:rsid w:val="00F87602"/>
    <w:rsid w:val="00F87E96"/>
    <w:rsid w:val="00F90C29"/>
    <w:rsid w:val="00F9113D"/>
    <w:rsid w:val="00F920D0"/>
    <w:rsid w:val="00F922E9"/>
    <w:rsid w:val="00F928EF"/>
    <w:rsid w:val="00F93FEF"/>
    <w:rsid w:val="00F960D4"/>
    <w:rsid w:val="00F97108"/>
    <w:rsid w:val="00F97770"/>
    <w:rsid w:val="00F97E05"/>
    <w:rsid w:val="00FA0B89"/>
    <w:rsid w:val="00FA1229"/>
    <w:rsid w:val="00FA20ED"/>
    <w:rsid w:val="00FA3102"/>
    <w:rsid w:val="00FA36B7"/>
    <w:rsid w:val="00FA502B"/>
    <w:rsid w:val="00FA5289"/>
    <w:rsid w:val="00FA591E"/>
    <w:rsid w:val="00FA6A72"/>
    <w:rsid w:val="00FB11BD"/>
    <w:rsid w:val="00FB428C"/>
    <w:rsid w:val="00FB4757"/>
    <w:rsid w:val="00FB690E"/>
    <w:rsid w:val="00FB77FA"/>
    <w:rsid w:val="00FC1921"/>
    <w:rsid w:val="00FC1D84"/>
    <w:rsid w:val="00FC30B1"/>
    <w:rsid w:val="00FC356A"/>
    <w:rsid w:val="00FC36D7"/>
    <w:rsid w:val="00FC4947"/>
    <w:rsid w:val="00FC4A73"/>
    <w:rsid w:val="00FC50D1"/>
    <w:rsid w:val="00FC559C"/>
    <w:rsid w:val="00FC599D"/>
    <w:rsid w:val="00FC5EAE"/>
    <w:rsid w:val="00FC708A"/>
    <w:rsid w:val="00FC73C1"/>
    <w:rsid w:val="00FD0AB0"/>
    <w:rsid w:val="00FD0D3E"/>
    <w:rsid w:val="00FD178A"/>
    <w:rsid w:val="00FD18F1"/>
    <w:rsid w:val="00FD1BD1"/>
    <w:rsid w:val="00FD1CC2"/>
    <w:rsid w:val="00FD1CFD"/>
    <w:rsid w:val="00FD24EE"/>
    <w:rsid w:val="00FD2707"/>
    <w:rsid w:val="00FD2E3D"/>
    <w:rsid w:val="00FD3CE7"/>
    <w:rsid w:val="00FD6634"/>
    <w:rsid w:val="00FD6794"/>
    <w:rsid w:val="00FD7561"/>
    <w:rsid w:val="00FE0E31"/>
    <w:rsid w:val="00FE0EA9"/>
    <w:rsid w:val="00FE164E"/>
    <w:rsid w:val="00FE23A4"/>
    <w:rsid w:val="00FE2522"/>
    <w:rsid w:val="00FE262D"/>
    <w:rsid w:val="00FE32DF"/>
    <w:rsid w:val="00FE3981"/>
    <w:rsid w:val="00FE3C53"/>
    <w:rsid w:val="00FE429E"/>
    <w:rsid w:val="00FE487A"/>
    <w:rsid w:val="00FE4CC8"/>
    <w:rsid w:val="00FE5BC9"/>
    <w:rsid w:val="00FE6064"/>
    <w:rsid w:val="00FE6403"/>
    <w:rsid w:val="00FE645A"/>
    <w:rsid w:val="00FE695A"/>
    <w:rsid w:val="00FE6E95"/>
    <w:rsid w:val="00FF00C7"/>
    <w:rsid w:val="00FF1FDD"/>
    <w:rsid w:val="00FF2D9F"/>
    <w:rsid w:val="00FF3FB5"/>
    <w:rsid w:val="00FF432E"/>
    <w:rsid w:val="00FF4691"/>
    <w:rsid w:val="00FF49E7"/>
    <w:rsid w:val="00FF4F8B"/>
    <w:rsid w:val="00FF55B7"/>
    <w:rsid w:val="00FF55CA"/>
    <w:rsid w:val="00FF56F1"/>
    <w:rsid w:val="00FF5806"/>
    <w:rsid w:val="00FF5DC5"/>
    <w:rsid w:val="00FF6420"/>
    <w:rsid w:val="00FF642B"/>
    <w:rsid w:val="00FF6C5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C01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63631C"/>
    <w:pPr>
      <w:keepNext/>
      <w:keepLines/>
      <w:spacing w:before="480" w:after="240"/>
      <w:outlineLvl w:val="0"/>
    </w:pPr>
    <w:rPr>
      <w:rFonts w:eastAsiaTheme="majorEastAsia" w:cstheme="majorBidi"/>
      <w:b/>
      <w:bCs/>
      <w:sz w:val="40"/>
      <w:szCs w:val="28"/>
    </w:rPr>
  </w:style>
  <w:style w:type="paragraph" w:styleId="Heading2">
    <w:name w:val="heading 2"/>
    <w:basedOn w:val="Heading4"/>
    <w:next w:val="Normal"/>
    <w:link w:val="Heading2Char"/>
    <w:uiPriority w:val="9"/>
    <w:unhideWhenUsed/>
    <w:qFormat/>
    <w:rsid w:val="000C46BB"/>
    <w:pPr>
      <w:outlineLvl w:val="1"/>
    </w:pPr>
    <w:rPr>
      <w:i/>
      <w:sz w:val="24"/>
      <w:szCs w:val="24"/>
    </w:rPr>
  </w:style>
  <w:style w:type="paragraph" w:styleId="Heading3">
    <w:name w:val="heading 3"/>
    <w:basedOn w:val="Normal"/>
    <w:next w:val="Normal"/>
    <w:link w:val="Heading3Char"/>
    <w:uiPriority w:val="9"/>
    <w:unhideWhenUsed/>
    <w:qFormat/>
    <w:rsid w:val="00FE645A"/>
    <w:pPr>
      <w:spacing w:before="240"/>
      <w:outlineLvl w:val="2"/>
    </w:pPr>
    <w:rPr>
      <w:b/>
      <w:sz w:val="28"/>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31C"/>
    <w:rPr>
      <w:rFonts w:ascii="Lucida Bright" w:eastAsiaTheme="majorEastAsia" w:hAnsi="Lucida Bright" w:cstheme="majorBidi"/>
      <w:b/>
      <w:bCs/>
      <w:sz w:val="40"/>
      <w:szCs w:val="28"/>
    </w:rPr>
  </w:style>
  <w:style w:type="character" w:customStyle="1" w:styleId="Heading2Char">
    <w:name w:val="Heading 2 Char"/>
    <w:basedOn w:val="DefaultParagraphFont"/>
    <w:link w:val="Heading2"/>
    <w:uiPriority w:val="9"/>
    <w:rsid w:val="000C46BB"/>
    <w:rPr>
      <w:b/>
      <w:i/>
      <w:sz w:val="24"/>
      <w:szCs w:val="24"/>
    </w:rPr>
  </w:style>
  <w:style w:type="character" w:customStyle="1" w:styleId="Heading3Char">
    <w:name w:val="Heading 3 Char"/>
    <w:basedOn w:val="DefaultParagraphFont"/>
    <w:link w:val="Heading3"/>
    <w:uiPriority w:val="9"/>
    <w:rsid w:val="00FE645A"/>
    <w:rPr>
      <w:b/>
      <w:sz w:val="28"/>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245EA"/>
    <w:pPr>
      <w:spacing w:after="20"/>
    </w:pPr>
    <w:rPr>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unhideWhenUsed/>
    <w:rsid w:val="008142B4"/>
    <w:pPr>
      <w:spacing w:after="0"/>
    </w:pPr>
    <w:rPr>
      <w:sz w:val="18"/>
      <w:szCs w:val="20"/>
    </w:rPr>
  </w:style>
  <w:style w:type="character" w:customStyle="1" w:styleId="FootnoteTextChar">
    <w:name w:val="Footnote Text Char"/>
    <w:basedOn w:val="DefaultParagraphFont"/>
    <w:link w:val="FootnoteText"/>
    <w:uiPriority w:val="99"/>
    <w:rsid w:val="008142B4"/>
    <w:rPr>
      <w:sz w:val="18"/>
      <w:szCs w:val="20"/>
    </w:rPr>
  </w:style>
  <w:style w:type="character" w:styleId="FootnoteReference">
    <w:name w:val="footnote reference"/>
    <w:basedOn w:val="DefaultParagraphFont"/>
    <w:uiPriority w:val="99"/>
    <w:semiHidden/>
    <w:unhideWhenUsed/>
    <w:rsid w:val="008142B4"/>
    <w:rPr>
      <w:vertAlign w:val="superscript"/>
    </w:rPr>
  </w:style>
  <w:style w:type="character" w:customStyle="1" w:styleId="TabletitleChar">
    <w:name w:val="Table title Char"/>
    <w:basedOn w:val="Heading4Char"/>
    <w:link w:val="Tabletitle"/>
    <w:rsid w:val="00C245EA"/>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character" w:styleId="Hyperlink">
    <w:name w:val="Hyperlink"/>
    <w:basedOn w:val="DefaultParagraphFont"/>
    <w:uiPriority w:val="99"/>
    <w:unhideWhenUsed/>
    <w:rsid w:val="00804BF3"/>
    <w:rPr>
      <w:color w:val="0000FF"/>
      <w:u w:val="single"/>
    </w:rPr>
  </w:style>
  <w:style w:type="paragraph" w:customStyle="1" w:styleId="DepartmentalHeading3">
    <w:name w:val="Departmental Heading 3"/>
    <w:basedOn w:val="Heading3"/>
    <w:rsid w:val="00DA04CE"/>
    <w:pPr>
      <w:keepNext/>
      <w:spacing w:after="60"/>
    </w:pPr>
    <w:rPr>
      <w:rFonts w:ascii="Arial" w:eastAsia="Times New Roman" w:hAnsi="Arial" w:cs="Times New Roman"/>
      <w:b w:val="0"/>
      <w:i/>
      <w:sz w:val="24"/>
      <w:szCs w:val="20"/>
    </w:rPr>
  </w:style>
  <w:style w:type="paragraph" w:customStyle="1" w:styleId="TableText">
    <w:name w:val="Table Text"/>
    <w:basedOn w:val="Normal"/>
    <w:qFormat/>
    <w:rsid w:val="00002C4A"/>
    <w:pPr>
      <w:spacing w:before="80" w:after="80"/>
    </w:pPr>
    <w:rPr>
      <w:rFonts w:ascii="Arial" w:eastAsia="Times New Roman" w:hAnsi="Arial" w:cs="Times New Roman"/>
      <w:sz w:val="20"/>
      <w:szCs w:val="22"/>
    </w:rPr>
  </w:style>
  <w:style w:type="character" w:styleId="SubtleEmphasis">
    <w:name w:val="Subtle Emphasis"/>
    <w:basedOn w:val="DefaultParagraphFont"/>
    <w:uiPriority w:val="19"/>
    <w:qFormat/>
    <w:rsid w:val="00F57D23"/>
    <w:rPr>
      <w:rFonts w:ascii="Arial" w:hAnsi="Arial"/>
      <w:i w:val="0"/>
      <w:iCs/>
      <w:color w:val="auto"/>
      <w:spacing w:val="0"/>
      <w:sz w:val="20"/>
    </w:rPr>
  </w:style>
  <w:style w:type="paragraph" w:styleId="ListParagraph">
    <w:name w:val="List Paragraph"/>
    <w:basedOn w:val="Normal"/>
    <w:uiPriority w:val="34"/>
    <w:qFormat/>
    <w:rsid w:val="009F3A87"/>
    <w:pPr>
      <w:ind w:left="720"/>
      <w:contextualSpacing/>
    </w:pPr>
  </w:style>
  <w:style w:type="paragraph" w:customStyle="1" w:styleId="PBSNormal">
    <w:name w:val="PBS Normal"/>
    <w:basedOn w:val="Normal"/>
    <w:link w:val="PBSNormalChar"/>
    <w:rsid w:val="003D367E"/>
    <w:pPr>
      <w:spacing w:after="150" w:line="340" w:lineRule="exact"/>
    </w:pPr>
    <w:rPr>
      <w:rFonts w:ascii="Candara" w:eastAsia="Times New Roman" w:hAnsi="Candara" w:cs="Times New Roman"/>
      <w:szCs w:val="20"/>
    </w:rPr>
  </w:style>
  <w:style w:type="character" w:customStyle="1" w:styleId="PBSNormalChar">
    <w:name w:val="PBS Normal Char"/>
    <w:basedOn w:val="DefaultParagraphFont"/>
    <w:link w:val="PBSNormal"/>
    <w:rsid w:val="003D367E"/>
    <w:rPr>
      <w:rFonts w:ascii="Candara" w:eastAsia="Times New Roman" w:hAnsi="Candara" w:cs="Times New Roman"/>
      <w:sz w:val="24"/>
      <w:szCs w:val="20"/>
    </w:rPr>
  </w:style>
  <w:style w:type="character" w:customStyle="1" w:styleId="A8">
    <w:name w:val="A8"/>
    <w:uiPriority w:val="99"/>
    <w:rsid w:val="008A28A2"/>
    <w:rPr>
      <w:rFonts w:ascii="HelveticaNeue Condensed" w:hAnsi="HelveticaNeue Condensed" w:cs="HelveticaNeue Condensed"/>
      <w:color w:val="000000"/>
      <w:sz w:val="15"/>
      <w:szCs w:val="15"/>
    </w:rPr>
  </w:style>
  <w:style w:type="paragraph" w:customStyle="1" w:styleId="Default">
    <w:name w:val="Default"/>
    <w:rsid w:val="009344F7"/>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63631C"/>
    <w:pPr>
      <w:keepNext/>
      <w:keepLines/>
      <w:spacing w:before="480" w:after="240"/>
      <w:outlineLvl w:val="0"/>
    </w:pPr>
    <w:rPr>
      <w:rFonts w:eastAsiaTheme="majorEastAsia" w:cstheme="majorBidi"/>
      <w:b/>
      <w:bCs/>
      <w:sz w:val="40"/>
      <w:szCs w:val="28"/>
    </w:rPr>
  </w:style>
  <w:style w:type="paragraph" w:styleId="Heading2">
    <w:name w:val="heading 2"/>
    <w:basedOn w:val="Heading4"/>
    <w:next w:val="Normal"/>
    <w:link w:val="Heading2Char"/>
    <w:uiPriority w:val="9"/>
    <w:unhideWhenUsed/>
    <w:qFormat/>
    <w:rsid w:val="000C46BB"/>
    <w:pPr>
      <w:outlineLvl w:val="1"/>
    </w:pPr>
    <w:rPr>
      <w:i/>
      <w:sz w:val="24"/>
      <w:szCs w:val="24"/>
    </w:rPr>
  </w:style>
  <w:style w:type="paragraph" w:styleId="Heading3">
    <w:name w:val="heading 3"/>
    <w:basedOn w:val="Normal"/>
    <w:next w:val="Normal"/>
    <w:link w:val="Heading3Char"/>
    <w:uiPriority w:val="9"/>
    <w:unhideWhenUsed/>
    <w:qFormat/>
    <w:rsid w:val="00FE645A"/>
    <w:pPr>
      <w:spacing w:before="240"/>
      <w:outlineLvl w:val="2"/>
    </w:pPr>
    <w:rPr>
      <w:b/>
      <w:sz w:val="28"/>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31C"/>
    <w:rPr>
      <w:rFonts w:ascii="Lucida Bright" w:eastAsiaTheme="majorEastAsia" w:hAnsi="Lucida Bright" w:cstheme="majorBidi"/>
      <w:b/>
      <w:bCs/>
      <w:sz w:val="40"/>
      <w:szCs w:val="28"/>
    </w:rPr>
  </w:style>
  <w:style w:type="character" w:customStyle="1" w:styleId="Heading2Char">
    <w:name w:val="Heading 2 Char"/>
    <w:basedOn w:val="DefaultParagraphFont"/>
    <w:link w:val="Heading2"/>
    <w:uiPriority w:val="9"/>
    <w:rsid w:val="000C46BB"/>
    <w:rPr>
      <w:b/>
      <w:i/>
      <w:sz w:val="24"/>
      <w:szCs w:val="24"/>
    </w:rPr>
  </w:style>
  <w:style w:type="character" w:customStyle="1" w:styleId="Heading3Char">
    <w:name w:val="Heading 3 Char"/>
    <w:basedOn w:val="DefaultParagraphFont"/>
    <w:link w:val="Heading3"/>
    <w:uiPriority w:val="9"/>
    <w:rsid w:val="00FE645A"/>
    <w:rPr>
      <w:b/>
      <w:sz w:val="28"/>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245EA"/>
    <w:pPr>
      <w:spacing w:after="20"/>
    </w:pPr>
    <w:rPr>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unhideWhenUsed/>
    <w:rsid w:val="008142B4"/>
    <w:pPr>
      <w:spacing w:after="0"/>
    </w:pPr>
    <w:rPr>
      <w:sz w:val="18"/>
      <w:szCs w:val="20"/>
    </w:rPr>
  </w:style>
  <w:style w:type="character" w:customStyle="1" w:styleId="FootnoteTextChar">
    <w:name w:val="Footnote Text Char"/>
    <w:basedOn w:val="DefaultParagraphFont"/>
    <w:link w:val="FootnoteText"/>
    <w:uiPriority w:val="99"/>
    <w:rsid w:val="008142B4"/>
    <w:rPr>
      <w:sz w:val="18"/>
      <w:szCs w:val="20"/>
    </w:rPr>
  </w:style>
  <w:style w:type="character" w:styleId="FootnoteReference">
    <w:name w:val="footnote reference"/>
    <w:basedOn w:val="DefaultParagraphFont"/>
    <w:uiPriority w:val="99"/>
    <w:semiHidden/>
    <w:unhideWhenUsed/>
    <w:rsid w:val="008142B4"/>
    <w:rPr>
      <w:vertAlign w:val="superscript"/>
    </w:rPr>
  </w:style>
  <w:style w:type="character" w:customStyle="1" w:styleId="TabletitleChar">
    <w:name w:val="Table title Char"/>
    <w:basedOn w:val="Heading4Char"/>
    <w:link w:val="Tabletitle"/>
    <w:rsid w:val="00C245EA"/>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character" w:styleId="Hyperlink">
    <w:name w:val="Hyperlink"/>
    <w:basedOn w:val="DefaultParagraphFont"/>
    <w:uiPriority w:val="99"/>
    <w:unhideWhenUsed/>
    <w:rsid w:val="00804BF3"/>
    <w:rPr>
      <w:color w:val="0000FF"/>
      <w:u w:val="single"/>
    </w:rPr>
  </w:style>
  <w:style w:type="paragraph" w:customStyle="1" w:styleId="DepartmentalHeading3">
    <w:name w:val="Departmental Heading 3"/>
    <w:basedOn w:val="Heading3"/>
    <w:rsid w:val="00DA04CE"/>
    <w:pPr>
      <w:keepNext/>
      <w:spacing w:after="60"/>
    </w:pPr>
    <w:rPr>
      <w:rFonts w:ascii="Arial" w:eastAsia="Times New Roman" w:hAnsi="Arial" w:cs="Times New Roman"/>
      <w:b w:val="0"/>
      <w:i/>
      <w:sz w:val="24"/>
      <w:szCs w:val="20"/>
    </w:rPr>
  </w:style>
  <w:style w:type="paragraph" w:customStyle="1" w:styleId="TableText">
    <w:name w:val="Table Text"/>
    <w:basedOn w:val="Normal"/>
    <w:qFormat/>
    <w:rsid w:val="00002C4A"/>
    <w:pPr>
      <w:spacing w:before="80" w:after="80"/>
    </w:pPr>
    <w:rPr>
      <w:rFonts w:ascii="Arial" w:eastAsia="Times New Roman" w:hAnsi="Arial" w:cs="Times New Roman"/>
      <w:sz w:val="20"/>
      <w:szCs w:val="22"/>
    </w:rPr>
  </w:style>
  <w:style w:type="character" w:styleId="SubtleEmphasis">
    <w:name w:val="Subtle Emphasis"/>
    <w:basedOn w:val="DefaultParagraphFont"/>
    <w:uiPriority w:val="19"/>
    <w:qFormat/>
    <w:rsid w:val="00F57D23"/>
    <w:rPr>
      <w:rFonts w:ascii="Arial" w:hAnsi="Arial"/>
      <w:i w:val="0"/>
      <w:iCs/>
      <w:color w:val="auto"/>
      <w:spacing w:val="0"/>
      <w:sz w:val="20"/>
    </w:rPr>
  </w:style>
  <w:style w:type="paragraph" w:styleId="ListParagraph">
    <w:name w:val="List Paragraph"/>
    <w:basedOn w:val="Normal"/>
    <w:uiPriority w:val="34"/>
    <w:qFormat/>
    <w:rsid w:val="009F3A87"/>
    <w:pPr>
      <w:ind w:left="720"/>
      <w:contextualSpacing/>
    </w:pPr>
  </w:style>
  <w:style w:type="paragraph" w:customStyle="1" w:styleId="PBSNormal">
    <w:name w:val="PBS Normal"/>
    <w:basedOn w:val="Normal"/>
    <w:link w:val="PBSNormalChar"/>
    <w:rsid w:val="003D367E"/>
    <w:pPr>
      <w:spacing w:after="150" w:line="340" w:lineRule="exact"/>
    </w:pPr>
    <w:rPr>
      <w:rFonts w:ascii="Candara" w:eastAsia="Times New Roman" w:hAnsi="Candara" w:cs="Times New Roman"/>
      <w:szCs w:val="20"/>
    </w:rPr>
  </w:style>
  <w:style w:type="character" w:customStyle="1" w:styleId="PBSNormalChar">
    <w:name w:val="PBS Normal Char"/>
    <w:basedOn w:val="DefaultParagraphFont"/>
    <w:link w:val="PBSNormal"/>
    <w:rsid w:val="003D367E"/>
    <w:rPr>
      <w:rFonts w:ascii="Candara" w:eastAsia="Times New Roman" w:hAnsi="Candara" w:cs="Times New Roman"/>
      <w:sz w:val="24"/>
      <w:szCs w:val="20"/>
    </w:rPr>
  </w:style>
  <w:style w:type="character" w:customStyle="1" w:styleId="A8">
    <w:name w:val="A8"/>
    <w:uiPriority w:val="99"/>
    <w:rsid w:val="008A28A2"/>
    <w:rPr>
      <w:rFonts w:ascii="HelveticaNeue Condensed" w:hAnsi="HelveticaNeue Condensed" w:cs="HelveticaNeue Condensed"/>
      <w:color w:val="000000"/>
      <w:sz w:val="15"/>
      <w:szCs w:val="15"/>
    </w:rPr>
  </w:style>
  <w:style w:type="paragraph" w:customStyle="1" w:styleId="Default">
    <w:name w:val="Default"/>
    <w:rsid w:val="009344F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8449">
      <w:bodyDiv w:val="1"/>
      <w:marLeft w:val="0"/>
      <w:marRight w:val="0"/>
      <w:marTop w:val="0"/>
      <w:marBottom w:val="0"/>
      <w:divBdr>
        <w:top w:val="none" w:sz="0" w:space="0" w:color="auto"/>
        <w:left w:val="none" w:sz="0" w:space="0" w:color="auto"/>
        <w:bottom w:val="none" w:sz="0" w:space="0" w:color="auto"/>
        <w:right w:val="none" w:sz="0" w:space="0" w:color="auto"/>
      </w:divBdr>
      <w:divsChild>
        <w:div w:id="1830364489">
          <w:marLeft w:val="0"/>
          <w:marRight w:val="0"/>
          <w:marTop w:val="240"/>
          <w:marBottom w:val="480"/>
          <w:divBdr>
            <w:top w:val="none" w:sz="0" w:space="0" w:color="auto"/>
            <w:left w:val="none" w:sz="0" w:space="0" w:color="auto"/>
            <w:bottom w:val="none" w:sz="0" w:space="0" w:color="auto"/>
            <w:right w:val="none" w:sz="0" w:space="0" w:color="auto"/>
          </w:divBdr>
          <w:divsChild>
            <w:div w:id="30885866">
              <w:marLeft w:val="0"/>
              <w:marRight w:val="0"/>
              <w:marTop w:val="0"/>
              <w:marBottom w:val="0"/>
              <w:divBdr>
                <w:top w:val="none" w:sz="0" w:space="0" w:color="auto"/>
                <w:left w:val="none" w:sz="0" w:space="0" w:color="auto"/>
                <w:bottom w:val="none" w:sz="0" w:space="0" w:color="auto"/>
                <w:right w:val="none" w:sz="0" w:space="0" w:color="auto"/>
              </w:divBdr>
              <w:divsChild>
                <w:div w:id="2115587088">
                  <w:marLeft w:val="0"/>
                  <w:marRight w:val="0"/>
                  <w:marTop w:val="0"/>
                  <w:marBottom w:val="0"/>
                  <w:divBdr>
                    <w:top w:val="none" w:sz="0" w:space="0" w:color="auto"/>
                    <w:left w:val="none" w:sz="0" w:space="0" w:color="auto"/>
                    <w:bottom w:val="none" w:sz="0" w:space="0" w:color="auto"/>
                    <w:right w:val="none" w:sz="0" w:space="0" w:color="auto"/>
                  </w:divBdr>
                  <w:divsChild>
                    <w:div w:id="834148737">
                      <w:marLeft w:val="0"/>
                      <w:marRight w:val="0"/>
                      <w:marTop w:val="0"/>
                      <w:marBottom w:val="0"/>
                      <w:divBdr>
                        <w:top w:val="none" w:sz="0" w:space="0" w:color="auto"/>
                        <w:left w:val="none" w:sz="0" w:space="0" w:color="auto"/>
                        <w:bottom w:val="none" w:sz="0" w:space="0" w:color="auto"/>
                        <w:right w:val="none" w:sz="0" w:space="0" w:color="auto"/>
                      </w:divBdr>
                      <w:divsChild>
                        <w:div w:id="2110851544">
                          <w:marLeft w:val="0"/>
                          <w:marRight w:val="0"/>
                          <w:marTop w:val="0"/>
                          <w:marBottom w:val="0"/>
                          <w:divBdr>
                            <w:top w:val="none" w:sz="0" w:space="0" w:color="auto"/>
                            <w:left w:val="none" w:sz="0" w:space="0" w:color="auto"/>
                            <w:bottom w:val="none" w:sz="0" w:space="0" w:color="auto"/>
                            <w:right w:val="none" w:sz="0" w:space="0" w:color="auto"/>
                          </w:divBdr>
                          <w:divsChild>
                            <w:div w:id="194288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9136075">
      <w:bodyDiv w:val="1"/>
      <w:marLeft w:val="0"/>
      <w:marRight w:val="0"/>
      <w:marTop w:val="0"/>
      <w:marBottom w:val="0"/>
      <w:divBdr>
        <w:top w:val="none" w:sz="0" w:space="0" w:color="auto"/>
        <w:left w:val="none" w:sz="0" w:space="0" w:color="auto"/>
        <w:bottom w:val="none" w:sz="0" w:space="0" w:color="auto"/>
        <w:right w:val="none" w:sz="0" w:space="0" w:color="auto"/>
      </w:divBdr>
      <w:divsChild>
        <w:div w:id="1941571818">
          <w:marLeft w:val="0"/>
          <w:marRight w:val="0"/>
          <w:marTop w:val="0"/>
          <w:marBottom w:val="0"/>
          <w:divBdr>
            <w:top w:val="none" w:sz="0" w:space="0" w:color="auto"/>
            <w:left w:val="none" w:sz="0" w:space="0" w:color="auto"/>
            <w:bottom w:val="none" w:sz="0" w:space="0" w:color="auto"/>
            <w:right w:val="none" w:sz="0" w:space="0" w:color="auto"/>
          </w:divBdr>
          <w:divsChild>
            <w:div w:id="869026591">
              <w:marLeft w:val="0"/>
              <w:marRight w:val="0"/>
              <w:marTop w:val="0"/>
              <w:marBottom w:val="0"/>
              <w:divBdr>
                <w:top w:val="none" w:sz="0" w:space="0" w:color="auto"/>
                <w:left w:val="none" w:sz="0" w:space="0" w:color="auto"/>
                <w:bottom w:val="none" w:sz="0" w:space="0" w:color="auto"/>
                <w:right w:val="none" w:sz="0" w:space="0" w:color="auto"/>
              </w:divBdr>
              <w:divsChild>
                <w:div w:id="1114791397">
                  <w:marLeft w:val="150"/>
                  <w:marRight w:val="150"/>
                  <w:marTop w:val="0"/>
                  <w:marBottom w:val="0"/>
                  <w:divBdr>
                    <w:top w:val="none" w:sz="0" w:space="0" w:color="auto"/>
                    <w:left w:val="none" w:sz="0" w:space="0" w:color="auto"/>
                    <w:bottom w:val="none" w:sz="0" w:space="0" w:color="auto"/>
                    <w:right w:val="none" w:sz="0" w:space="0" w:color="auto"/>
                  </w:divBdr>
                  <w:divsChild>
                    <w:div w:id="1853883524">
                      <w:marLeft w:val="0"/>
                      <w:marRight w:val="0"/>
                      <w:marTop w:val="0"/>
                      <w:marBottom w:val="0"/>
                      <w:divBdr>
                        <w:top w:val="none" w:sz="0" w:space="0" w:color="auto"/>
                        <w:left w:val="none" w:sz="0" w:space="0" w:color="auto"/>
                        <w:bottom w:val="none" w:sz="0" w:space="0" w:color="auto"/>
                        <w:right w:val="none" w:sz="0" w:space="0" w:color="auto"/>
                      </w:divBdr>
                      <w:divsChild>
                        <w:div w:id="594704031">
                          <w:marLeft w:val="0"/>
                          <w:marRight w:val="0"/>
                          <w:marTop w:val="0"/>
                          <w:marBottom w:val="0"/>
                          <w:divBdr>
                            <w:top w:val="none" w:sz="0" w:space="0" w:color="auto"/>
                            <w:left w:val="none" w:sz="0" w:space="0" w:color="auto"/>
                            <w:bottom w:val="none" w:sz="0" w:space="0" w:color="auto"/>
                            <w:right w:val="none" w:sz="0" w:space="0" w:color="auto"/>
                          </w:divBdr>
                          <w:divsChild>
                            <w:div w:id="15083680">
                              <w:marLeft w:val="0"/>
                              <w:marRight w:val="0"/>
                              <w:marTop w:val="0"/>
                              <w:marBottom w:val="0"/>
                              <w:divBdr>
                                <w:top w:val="none" w:sz="0" w:space="0" w:color="auto"/>
                                <w:left w:val="none" w:sz="0" w:space="0" w:color="auto"/>
                                <w:bottom w:val="none" w:sz="0" w:space="0" w:color="auto"/>
                                <w:right w:val="none" w:sz="0" w:space="0" w:color="auto"/>
                              </w:divBdr>
                              <w:divsChild>
                                <w:div w:id="68890968">
                                  <w:marLeft w:val="0"/>
                                  <w:marRight w:val="0"/>
                                  <w:marTop w:val="0"/>
                                  <w:marBottom w:val="0"/>
                                  <w:divBdr>
                                    <w:top w:val="none" w:sz="0" w:space="0" w:color="auto"/>
                                    <w:left w:val="none" w:sz="0" w:space="0" w:color="auto"/>
                                    <w:bottom w:val="none" w:sz="0" w:space="0" w:color="auto"/>
                                    <w:right w:val="none" w:sz="0" w:space="0" w:color="auto"/>
                                  </w:divBdr>
                                  <w:divsChild>
                                    <w:div w:id="373238670">
                                      <w:marLeft w:val="0"/>
                                      <w:marRight w:val="0"/>
                                      <w:marTop w:val="0"/>
                                      <w:marBottom w:val="0"/>
                                      <w:divBdr>
                                        <w:top w:val="none" w:sz="0" w:space="0" w:color="auto"/>
                                        <w:left w:val="none" w:sz="0" w:space="0" w:color="auto"/>
                                        <w:bottom w:val="none" w:sz="0" w:space="0" w:color="auto"/>
                                        <w:right w:val="none" w:sz="0" w:space="0" w:color="auto"/>
                                      </w:divBdr>
                                      <w:divsChild>
                                        <w:div w:id="1519926373">
                                          <w:marLeft w:val="0"/>
                                          <w:marRight w:val="0"/>
                                          <w:marTop w:val="0"/>
                                          <w:marBottom w:val="0"/>
                                          <w:divBdr>
                                            <w:top w:val="none" w:sz="0" w:space="0" w:color="auto"/>
                                            <w:left w:val="none" w:sz="0" w:space="0" w:color="auto"/>
                                            <w:bottom w:val="none" w:sz="0" w:space="0" w:color="auto"/>
                                            <w:right w:val="none" w:sz="0" w:space="0" w:color="auto"/>
                                          </w:divBdr>
                                          <w:divsChild>
                                            <w:div w:id="664555364">
                                              <w:marLeft w:val="0"/>
                                              <w:marRight w:val="0"/>
                                              <w:marTop w:val="0"/>
                                              <w:marBottom w:val="0"/>
                                              <w:divBdr>
                                                <w:top w:val="none" w:sz="0" w:space="0" w:color="auto"/>
                                                <w:left w:val="none" w:sz="0" w:space="0" w:color="auto"/>
                                                <w:bottom w:val="none" w:sz="0" w:space="0" w:color="auto"/>
                                                <w:right w:val="none" w:sz="0" w:space="0" w:color="auto"/>
                                              </w:divBdr>
                                              <w:divsChild>
                                                <w:div w:id="935595443">
                                                  <w:marLeft w:val="0"/>
                                                  <w:marRight w:val="0"/>
                                                  <w:marTop w:val="0"/>
                                                  <w:marBottom w:val="0"/>
                                                  <w:divBdr>
                                                    <w:top w:val="none" w:sz="0" w:space="0" w:color="auto"/>
                                                    <w:left w:val="none" w:sz="0" w:space="0" w:color="auto"/>
                                                    <w:bottom w:val="none" w:sz="0" w:space="0" w:color="auto"/>
                                                    <w:right w:val="none" w:sz="0" w:space="0" w:color="auto"/>
                                                  </w:divBdr>
                                                  <w:divsChild>
                                                    <w:div w:id="549610801">
                                                      <w:marLeft w:val="0"/>
                                                      <w:marRight w:val="0"/>
                                                      <w:marTop w:val="0"/>
                                                      <w:marBottom w:val="0"/>
                                                      <w:divBdr>
                                                        <w:top w:val="none" w:sz="0" w:space="0" w:color="auto"/>
                                                        <w:left w:val="none" w:sz="0" w:space="0" w:color="auto"/>
                                                        <w:bottom w:val="none" w:sz="0" w:space="0" w:color="auto"/>
                                                        <w:right w:val="none" w:sz="0" w:space="0" w:color="auto"/>
                                                      </w:divBdr>
                                                      <w:divsChild>
                                                        <w:div w:id="409158902">
                                                          <w:marLeft w:val="0"/>
                                                          <w:marRight w:val="0"/>
                                                          <w:marTop w:val="0"/>
                                                          <w:marBottom w:val="0"/>
                                                          <w:divBdr>
                                                            <w:top w:val="none" w:sz="0" w:space="0" w:color="auto"/>
                                                            <w:left w:val="none" w:sz="0" w:space="0" w:color="auto"/>
                                                            <w:bottom w:val="none" w:sz="0" w:space="0" w:color="auto"/>
                                                            <w:right w:val="none" w:sz="0" w:space="0" w:color="auto"/>
                                                          </w:divBdr>
                                                          <w:divsChild>
                                                            <w:div w:id="360981230">
                                                              <w:marLeft w:val="0"/>
                                                              <w:marRight w:val="0"/>
                                                              <w:marTop w:val="0"/>
                                                              <w:marBottom w:val="0"/>
                                                              <w:divBdr>
                                                                <w:top w:val="none" w:sz="0" w:space="0" w:color="auto"/>
                                                                <w:left w:val="none" w:sz="0" w:space="0" w:color="auto"/>
                                                                <w:bottom w:val="none" w:sz="0" w:space="0" w:color="auto"/>
                                                                <w:right w:val="none" w:sz="0" w:space="0" w:color="auto"/>
                                                              </w:divBdr>
                                                              <w:divsChild>
                                                                <w:div w:id="124480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450824156">
      <w:bodyDiv w:val="1"/>
      <w:marLeft w:val="0"/>
      <w:marRight w:val="0"/>
      <w:marTop w:val="0"/>
      <w:marBottom w:val="0"/>
      <w:divBdr>
        <w:top w:val="none" w:sz="0" w:space="0" w:color="auto"/>
        <w:left w:val="none" w:sz="0" w:space="0" w:color="auto"/>
        <w:bottom w:val="none" w:sz="0" w:space="0" w:color="auto"/>
        <w:right w:val="none" w:sz="0" w:space="0" w:color="auto"/>
      </w:divBdr>
    </w:div>
    <w:div w:id="451677909">
      <w:bodyDiv w:val="1"/>
      <w:marLeft w:val="0"/>
      <w:marRight w:val="0"/>
      <w:marTop w:val="0"/>
      <w:marBottom w:val="0"/>
      <w:divBdr>
        <w:top w:val="none" w:sz="0" w:space="0" w:color="auto"/>
        <w:left w:val="none" w:sz="0" w:space="0" w:color="auto"/>
        <w:bottom w:val="none" w:sz="0" w:space="0" w:color="auto"/>
        <w:right w:val="none" w:sz="0" w:space="0" w:color="auto"/>
      </w:divBdr>
    </w:div>
    <w:div w:id="616259137">
      <w:bodyDiv w:val="1"/>
      <w:marLeft w:val="0"/>
      <w:marRight w:val="0"/>
      <w:marTop w:val="0"/>
      <w:marBottom w:val="0"/>
      <w:divBdr>
        <w:top w:val="none" w:sz="0" w:space="0" w:color="auto"/>
        <w:left w:val="none" w:sz="0" w:space="0" w:color="auto"/>
        <w:bottom w:val="none" w:sz="0" w:space="0" w:color="auto"/>
        <w:right w:val="none" w:sz="0" w:space="0" w:color="auto"/>
      </w:divBdr>
      <w:divsChild>
        <w:div w:id="1861312456">
          <w:marLeft w:val="0"/>
          <w:marRight w:val="0"/>
          <w:marTop w:val="0"/>
          <w:marBottom w:val="0"/>
          <w:divBdr>
            <w:top w:val="none" w:sz="0" w:space="0" w:color="auto"/>
            <w:left w:val="none" w:sz="0" w:space="0" w:color="auto"/>
            <w:bottom w:val="none" w:sz="0" w:space="0" w:color="auto"/>
            <w:right w:val="none" w:sz="0" w:space="0" w:color="auto"/>
          </w:divBdr>
          <w:divsChild>
            <w:div w:id="1924023931">
              <w:marLeft w:val="0"/>
              <w:marRight w:val="0"/>
              <w:marTop w:val="0"/>
              <w:marBottom w:val="0"/>
              <w:divBdr>
                <w:top w:val="none" w:sz="0" w:space="0" w:color="auto"/>
                <w:left w:val="none" w:sz="0" w:space="0" w:color="auto"/>
                <w:bottom w:val="none" w:sz="0" w:space="0" w:color="auto"/>
                <w:right w:val="none" w:sz="0" w:space="0" w:color="auto"/>
              </w:divBdr>
              <w:divsChild>
                <w:div w:id="1412505231">
                  <w:marLeft w:val="0"/>
                  <w:marRight w:val="0"/>
                  <w:marTop w:val="0"/>
                  <w:marBottom w:val="0"/>
                  <w:divBdr>
                    <w:top w:val="none" w:sz="0" w:space="0" w:color="auto"/>
                    <w:left w:val="none" w:sz="0" w:space="0" w:color="auto"/>
                    <w:bottom w:val="none" w:sz="0" w:space="0" w:color="auto"/>
                    <w:right w:val="none" w:sz="0" w:space="0" w:color="auto"/>
                  </w:divBdr>
                  <w:divsChild>
                    <w:div w:id="10554405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642427">
      <w:bodyDiv w:val="1"/>
      <w:marLeft w:val="0"/>
      <w:marRight w:val="0"/>
      <w:marTop w:val="0"/>
      <w:marBottom w:val="0"/>
      <w:divBdr>
        <w:top w:val="none" w:sz="0" w:space="0" w:color="auto"/>
        <w:left w:val="none" w:sz="0" w:space="0" w:color="auto"/>
        <w:bottom w:val="none" w:sz="0" w:space="0" w:color="auto"/>
        <w:right w:val="none" w:sz="0" w:space="0" w:color="auto"/>
      </w:divBdr>
    </w:div>
    <w:div w:id="1114516733">
      <w:bodyDiv w:val="1"/>
      <w:marLeft w:val="0"/>
      <w:marRight w:val="0"/>
      <w:marTop w:val="0"/>
      <w:marBottom w:val="0"/>
      <w:divBdr>
        <w:top w:val="none" w:sz="0" w:space="0" w:color="auto"/>
        <w:left w:val="none" w:sz="0" w:space="0" w:color="auto"/>
        <w:bottom w:val="none" w:sz="0" w:space="0" w:color="auto"/>
        <w:right w:val="none" w:sz="0" w:space="0" w:color="auto"/>
      </w:divBdr>
    </w:div>
    <w:div w:id="1141272561">
      <w:bodyDiv w:val="1"/>
      <w:marLeft w:val="0"/>
      <w:marRight w:val="0"/>
      <w:marTop w:val="0"/>
      <w:marBottom w:val="0"/>
      <w:divBdr>
        <w:top w:val="none" w:sz="0" w:space="0" w:color="auto"/>
        <w:left w:val="none" w:sz="0" w:space="0" w:color="auto"/>
        <w:bottom w:val="none" w:sz="0" w:space="0" w:color="auto"/>
        <w:right w:val="none" w:sz="0" w:space="0" w:color="auto"/>
      </w:divBdr>
    </w:div>
    <w:div w:id="1473018045">
      <w:bodyDiv w:val="1"/>
      <w:marLeft w:val="0"/>
      <w:marRight w:val="0"/>
      <w:marTop w:val="0"/>
      <w:marBottom w:val="0"/>
      <w:divBdr>
        <w:top w:val="none" w:sz="0" w:space="0" w:color="auto"/>
        <w:left w:val="none" w:sz="0" w:space="0" w:color="auto"/>
        <w:bottom w:val="none" w:sz="0" w:space="0" w:color="auto"/>
        <w:right w:val="none" w:sz="0" w:space="0" w:color="auto"/>
      </w:divBdr>
    </w:div>
    <w:div w:id="1807700065">
      <w:bodyDiv w:val="1"/>
      <w:marLeft w:val="0"/>
      <w:marRight w:val="0"/>
      <w:marTop w:val="0"/>
      <w:marBottom w:val="0"/>
      <w:divBdr>
        <w:top w:val="none" w:sz="0" w:space="0" w:color="auto"/>
        <w:left w:val="none" w:sz="0" w:space="0" w:color="auto"/>
        <w:bottom w:val="none" w:sz="0" w:space="0" w:color="auto"/>
        <w:right w:val="none" w:sz="0" w:space="0" w:color="auto"/>
      </w:divBdr>
    </w:div>
    <w:div w:id="1812626358">
      <w:bodyDiv w:val="1"/>
      <w:marLeft w:val="0"/>
      <w:marRight w:val="0"/>
      <w:marTop w:val="0"/>
      <w:marBottom w:val="0"/>
      <w:divBdr>
        <w:top w:val="none" w:sz="0" w:space="0" w:color="auto"/>
        <w:left w:val="none" w:sz="0" w:space="0" w:color="auto"/>
        <w:bottom w:val="none" w:sz="0" w:space="0" w:color="auto"/>
        <w:right w:val="none" w:sz="0" w:space="0" w:color="auto"/>
      </w:divBdr>
    </w:div>
    <w:div w:id="1939604056">
      <w:bodyDiv w:val="1"/>
      <w:marLeft w:val="0"/>
      <w:marRight w:val="0"/>
      <w:marTop w:val="0"/>
      <w:marBottom w:val="0"/>
      <w:divBdr>
        <w:top w:val="none" w:sz="0" w:space="0" w:color="auto"/>
        <w:left w:val="none" w:sz="0" w:space="0" w:color="auto"/>
        <w:bottom w:val="none" w:sz="0" w:space="0" w:color="auto"/>
        <w:right w:val="none" w:sz="0" w:space="0" w:color="auto"/>
      </w:divBdr>
    </w:div>
    <w:div w:id="2006199391">
      <w:bodyDiv w:val="1"/>
      <w:marLeft w:val="0"/>
      <w:marRight w:val="0"/>
      <w:marTop w:val="0"/>
      <w:marBottom w:val="0"/>
      <w:divBdr>
        <w:top w:val="none" w:sz="0" w:space="0" w:color="auto"/>
        <w:left w:val="none" w:sz="0" w:space="0" w:color="auto"/>
        <w:bottom w:val="none" w:sz="0" w:space="0" w:color="auto"/>
        <w:right w:val="none" w:sz="0" w:space="0" w:color="auto"/>
      </w:divBdr>
    </w:div>
    <w:div w:id="2048337463">
      <w:bodyDiv w:val="1"/>
      <w:marLeft w:val="0"/>
      <w:marRight w:val="0"/>
      <w:marTop w:val="0"/>
      <w:marBottom w:val="0"/>
      <w:divBdr>
        <w:top w:val="none" w:sz="0" w:space="0" w:color="auto"/>
        <w:left w:val="none" w:sz="0" w:space="0" w:color="auto"/>
        <w:bottom w:val="none" w:sz="0" w:space="0" w:color="auto"/>
        <w:right w:val="none" w:sz="0" w:space="0" w:color="auto"/>
      </w:divBdr>
    </w:div>
    <w:div w:id="208563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bs.gov.au/medicine/item/9698k" TargetMode="External"/><Relationship Id="rId18" Type="http://schemas.openxmlformats.org/officeDocument/2006/relationships/hyperlink" Target="http://www.pbs.gov.au/medicine/item/5826p" TargetMode="External"/><Relationship Id="rId26" Type="http://schemas.openxmlformats.org/officeDocument/2006/relationships/hyperlink" Target="http://www.pbs.gov.au/info/industry/listing/elements/pbac-meetings/psd/2010-11/pbac-psd-eltrombopag-olamine-nov10"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pbs.gov.au/pbs/home" TargetMode="External"/><Relationship Id="rId34"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hyperlink" Target="http://www.pbs.gov.au/medicine/item/9697j" TargetMode="External"/><Relationship Id="rId17" Type="http://schemas.openxmlformats.org/officeDocument/2006/relationships/hyperlink" Target="http://www.pbs.gov.au/medicine/item/5827q" TargetMode="External"/><Relationship Id="rId25" Type="http://schemas.openxmlformats.org/officeDocument/2006/relationships/hyperlink" Target="http://www.pbs.gov.au/info/industry/listing/elements/pbac-meetings/psd/2010-07/pbac-psd-Romiplostin-july10" TargetMode="External"/><Relationship Id="rId33" Type="http://schemas.openxmlformats.org/officeDocument/2006/relationships/image" Target="media/image5.png"/><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pbs.gov.au/medicine/item/5825n" TargetMode="External"/><Relationship Id="rId20" Type="http://schemas.openxmlformats.org/officeDocument/2006/relationships/hyperlink" Target="http://www.pbs.gov.au/medicine/item/5825N-5826P-5827Q-5828R"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bs.gov.au/medicine/item/9696h" TargetMode="External"/><Relationship Id="rId24" Type="http://schemas.openxmlformats.org/officeDocument/2006/relationships/hyperlink" Target="http://www.pbs.gov.au/info/industry/listing/elements/pbac-meetings/psd/2010-03/pbac-psd-romiplostim-mar10" TargetMode="External"/><Relationship Id="rId32" Type="http://schemas.openxmlformats.org/officeDocument/2006/relationships/image" Target="media/image4.png"/><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pbs.gov.au/medicine/item/9696H-9697J-9698K-9699L" TargetMode="External"/><Relationship Id="rId23" Type="http://schemas.openxmlformats.org/officeDocument/2006/relationships/hyperlink" Target="http://www.pbs.gov.au/info/industry/listing/elements/pbac-meetings/psd/2009-07/pbac-psd-Romiplostim-jul09" TargetMode="External"/><Relationship Id="rId28" Type="http://schemas.openxmlformats.org/officeDocument/2006/relationships/hyperlink" Target="http://www.pbs.gov.au/info/industry/listing/elements/pbac-meetings/psd/2014-11/eltrombopag-psd-11-2014" TargetMode="External"/><Relationship Id="rId36" Type="http://schemas.openxmlformats.org/officeDocument/2006/relationships/footer" Target="footer1.xml"/><Relationship Id="rId10" Type="http://schemas.openxmlformats.org/officeDocument/2006/relationships/hyperlink" Target="http://www.tga.gov.au/consumers/information-medicines-cmi.htm" TargetMode="External"/><Relationship Id="rId19" Type="http://schemas.openxmlformats.org/officeDocument/2006/relationships/hyperlink" Target="http://www.pbs.gov.au/medicine/item/5828r" TargetMode="External"/><Relationship Id="rId31"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hyperlink" Target="http://tga.gov.au/hp/information-medicines-pi.htm" TargetMode="External"/><Relationship Id="rId14" Type="http://schemas.openxmlformats.org/officeDocument/2006/relationships/hyperlink" Target="http://www.pbs.gov.au/medicine/item/9699l" TargetMode="External"/><Relationship Id="rId22" Type="http://schemas.openxmlformats.org/officeDocument/2006/relationships/hyperlink" Target="http://www.pbs.gov.au/pbs/home" TargetMode="External"/><Relationship Id="rId27" Type="http://schemas.openxmlformats.org/officeDocument/2006/relationships/hyperlink" Target="http://www.pbs.gov.au/info/industry/listing/elements/pbac-meetings/psd/2011-03/pbac-psd-eltrombopag-march11" TargetMode="External"/><Relationship Id="rId30" Type="http://schemas.openxmlformats.org/officeDocument/2006/relationships/image" Target="media/image2.png"/><Relationship Id="rId35" Type="http://schemas.openxmlformats.org/officeDocument/2006/relationships/image" Target="media/image7.png"/></Relationships>
</file>

<file path=word/_rels/footnotes.xml.rels><?xml version="1.0" encoding="UTF-8" standalone="yes"?>
<Relationships xmlns="http://schemas.openxmlformats.org/package/2006/relationships"><Relationship Id="rId1" Type="http://schemas.openxmlformats.org/officeDocument/2006/relationships/hyperlink" Target="http://www.medicareaustralia.gov.au/provider/pbs/stats.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71B11-CB27-4904-88CB-E2CFA957F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9351</Words>
  <Characters>53301</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2015-10-20T04:53:00Z</dcterms:created>
  <dcterms:modified xsi:type="dcterms:W3CDTF">2015-10-20T22:27:00Z</dcterms:modified>
</cp:coreProperties>
</file>