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D40D93" w:rsidP="00FE645A">
      <w:pPr>
        <w:pStyle w:val="Title"/>
      </w:pPr>
      <w:r>
        <w:t>Dutasteride and dutasteride with tamsulosin</w:t>
      </w:r>
      <w:r w:rsidR="001C4016">
        <w:t xml:space="preserve">: </w:t>
      </w:r>
      <w:r>
        <w:t>analysis of actual versus predicted utilisation</w:t>
      </w:r>
      <w:r w:rsidR="001C4016">
        <w:t xml:space="preserve"> </w:t>
      </w:r>
    </w:p>
    <w:p w:rsidR="00736041" w:rsidRPr="001D390D" w:rsidRDefault="009053D3" w:rsidP="001D390D">
      <w:pPr>
        <w:pStyle w:val="Heading1"/>
      </w:pPr>
      <w:r w:rsidRPr="001D390D">
        <w:t>D</w:t>
      </w:r>
      <w:r w:rsidR="00832324" w:rsidRPr="001D390D">
        <w:t>rug utilisation sub-committee (DUSC)</w:t>
      </w:r>
    </w:p>
    <w:p w:rsidR="009053D3" w:rsidRPr="001D390D" w:rsidRDefault="00E060A9" w:rsidP="001D390D">
      <w:pPr>
        <w:pStyle w:val="Heading2"/>
      </w:pPr>
      <w:r>
        <w:t>June 2015</w:t>
      </w:r>
    </w:p>
    <w:p w:rsidR="000F760B" w:rsidRPr="001D390D" w:rsidRDefault="000F760B" w:rsidP="001D390D">
      <w:pPr>
        <w:pStyle w:val="Heading3"/>
      </w:pPr>
      <w:r w:rsidRPr="001D390D">
        <w:t>Abstract</w:t>
      </w:r>
    </w:p>
    <w:p w:rsidR="000F760B" w:rsidRDefault="000F760B" w:rsidP="00A55579">
      <w:pPr>
        <w:pStyle w:val="Heading4"/>
      </w:pPr>
      <w:r>
        <w:t>Purpose</w:t>
      </w:r>
    </w:p>
    <w:p w:rsidR="00E060A9" w:rsidRDefault="00E060A9" w:rsidP="00E060A9">
      <w:r>
        <w:t>To investigate the utilisation of dutasteride, and dutasteride with tamsulosin fixed dose combination (FDC) product since they were listed on the Pharmaceutical Benefits Scheme (PBS) in February 2011 and August 2011 respectively. The analysis compares the extent of use predicted at the time of listing to actual use.</w:t>
      </w:r>
    </w:p>
    <w:p w:rsidR="00856BB4" w:rsidRDefault="00856BB4" w:rsidP="00A55579">
      <w:pPr>
        <w:pStyle w:val="Heading4"/>
      </w:pPr>
      <w:r w:rsidRPr="00E05D90">
        <w:t>Date of listing on PBS</w:t>
      </w:r>
    </w:p>
    <w:p w:rsidR="00E060A9" w:rsidRPr="00D7323F" w:rsidRDefault="00E060A9" w:rsidP="00E060A9">
      <w:pPr>
        <w:pStyle w:val="Default"/>
        <w:numPr>
          <w:ilvl w:val="0"/>
          <w:numId w:val="3"/>
        </w:numPr>
        <w:spacing w:after="200"/>
      </w:pPr>
      <w:r w:rsidRPr="00D7323F">
        <w:t xml:space="preserve">Dutasteride was listed on the PBS on 1 February 2011. </w:t>
      </w:r>
    </w:p>
    <w:p w:rsidR="00E060A9" w:rsidRPr="00D7323F" w:rsidRDefault="00E060A9" w:rsidP="00E060A9">
      <w:pPr>
        <w:pStyle w:val="Default"/>
        <w:numPr>
          <w:ilvl w:val="0"/>
          <w:numId w:val="3"/>
        </w:numPr>
        <w:spacing w:after="200"/>
      </w:pPr>
      <w:r w:rsidRPr="00D7323F">
        <w:t xml:space="preserve">Dutasteride with tamsulosin FDC was listed on the PBS on 1 August 2011. </w:t>
      </w:r>
    </w:p>
    <w:p w:rsidR="00E060A9" w:rsidRPr="00E060A9" w:rsidRDefault="00E060A9" w:rsidP="00E060A9">
      <w:pPr>
        <w:rPr>
          <w:highlight w:val="yellow"/>
        </w:rPr>
      </w:pPr>
      <w:r w:rsidRPr="00D7323F">
        <w:t xml:space="preserve">Current PBS listing details are available from </w:t>
      </w:r>
      <w:r w:rsidR="008F324C" w:rsidRPr="0084678C">
        <w:t>PBS website.</w:t>
      </w:r>
      <w:r w:rsidRPr="00D7323F">
        <w:t xml:space="preserve"> </w:t>
      </w:r>
    </w:p>
    <w:p w:rsidR="000F760B" w:rsidRDefault="000F760B" w:rsidP="00A55579">
      <w:pPr>
        <w:pStyle w:val="Heading4"/>
      </w:pPr>
      <w:r>
        <w:t>Data Source / methodology</w:t>
      </w:r>
    </w:p>
    <w:p w:rsidR="00E060A9" w:rsidRDefault="00E060A9" w:rsidP="00E060A9">
      <w:r w:rsidRPr="0070304D">
        <w:t>The analysis examined de-identified prescription and Government expenditure data for dutasteride and dutasteride</w:t>
      </w:r>
      <w:r>
        <w:t>/</w:t>
      </w:r>
      <w:r w:rsidRPr="0070304D">
        <w:t>tamsulosin FDC.</w:t>
      </w:r>
      <w:r>
        <w:t xml:space="preserve"> </w:t>
      </w:r>
    </w:p>
    <w:p w:rsidR="00E060A9" w:rsidRPr="00B600EC" w:rsidRDefault="00E060A9" w:rsidP="00E060A9">
      <w:r w:rsidRPr="00B600EC">
        <w:t>The extracted data included the number of prescriptions, the patient beneficiary category and Government expenditure based on the price published in the PBS schedule. All data were based on date of supply to the patient.</w:t>
      </w:r>
    </w:p>
    <w:p w:rsidR="000F760B" w:rsidRDefault="000F760B" w:rsidP="00A55579">
      <w:pPr>
        <w:pStyle w:val="Heading4"/>
      </w:pPr>
      <w:r>
        <w:t>Key Findings</w:t>
      </w:r>
    </w:p>
    <w:p w:rsidR="00E060A9" w:rsidRDefault="00E060A9" w:rsidP="00E060A9">
      <w:pPr>
        <w:pStyle w:val="ListParagraph"/>
        <w:numPr>
          <w:ilvl w:val="0"/>
          <w:numId w:val="4"/>
        </w:numPr>
      </w:pPr>
      <w:r>
        <w:t>The R/PBS utilisation of dutasteride for benign prostatic hyperplasia (including both the single agent listed 1 February 2011, and dutasteride with tamsulosin FDC listed 1 August 2011) has been substantially less than expected.</w:t>
      </w:r>
    </w:p>
    <w:p w:rsidR="00E060A9" w:rsidRDefault="00E060A9" w:rsidP="00E060A9">
      <w:pPr>
        <w:pStyle w:val="ListParagraph"/>
        <w:numPr>
          <w:ilvl w:val="0"/>
          <w:numId w:val="4"/>
        </w:numPr>
      </w:pPr>
      <w:r>
        <w:t xml:space="preserve">Use of single agent dutasteride continues to be low and stable. </w:t>
      </w:r>
    </w:p>
    <w:p w:rsidR="00E060A9" w:rsidRDefault="00E060A9" w:rsidP="00E060A9">
      <w:pPr>
        <w:pStyle w:val="ListParagraph"/>
        <w:numPr>
          <w:ilvl w:val="0"/>
          <w:numId w:val="4"/>
        </w:numPr>
      </w:pPr>
      <w:r>
        <w:lastRenderedPageBreak/>
        <w:t>Growth in the usage of dutasteride with tamsulosin FDC has been slower than expected.</w:t>
      </w:r>
    </w:p>
    <w:p w:rsidR="00E060A9" w:rsidRDefault="00E060A9" w:rsidP="00E060A9">
      <w:pPr>
        <w:pStyle w:val="ListParagraph"/>
        <w:numPr>
          <w:ilvl w:val="0"/>
          <w:numId w:val="4"/>
        </w:numPr>
      </w:pPr>
      <w:r>
        <w:t>Overall utilisation of dutasteride with tamsulosin FDC seems unlikely to reach predicted levels by year 5 of listing.</w:t>
      </w:r>
    </w:p>
    <w:p w:rsidR="00E060A9" w:rsidRPr="00F55F3E" w:rsidRDefault="00E060A9" w:rsidP="00E060A9">
      <w:pPr>
        <w:pStyle w:val="ListParagraph"/>
        <w:numPr>
          <w:ilvl w:val="0"/>
          <w:numId w:val="4"/>
        </w:numPr>
      </w:pPr>
      <w:r>
        <w:t xml:space="preserve">In 2014, </w:t>
      </w:r>
      <w:r w:rsidRPr="000E6743">
        <w:t>63,127</w:t>
      </w:r>
      <w:r>
        <w:t xml:space="preserve"> people received at least one </w:t>
      </w:r>
      <w:r w:rsidRPr="0070304D">
        <w:t>prescription</w:t>
      </w:r>
      <w:r>
        <w:t xml:space="preserve"> for dutasteride with tamsulosin FDC.</w:t>
      </w:r>
    </w:p>
    <w:p w:rsidR="00BB0D1A" w:rsidRDefault="00BB0D1A">
      <w:pPr>
        <w:spacing w:line="276" w:lineRule="auto"/>
        <w:rPr>
          <w:rFonts w:eastAsiaTheme="majorEastAsia" w:cstheme="majorBidi"/>
          <w:b/>
          <w:bCs/>
          <w:sz w:val="32"/>
          <w:szCs w:val="26"/>
        </w:rPr>
      </w:pPr>
      <w:r>
        <w:br w:type="page"/>
      </w:r>
    </w:p>
    <w:p w:rsidR="00E677DD" w:rsidRPr="005E22C2" w:rsidRDefault="00E677DD" w:rsidP="001D390D">
      <w:pPr>
        <w:pStyle w:val="Heading3"/>
      </w:pPr>
      <w:r w:rsidRPr="005E22C2">
        <w:lastRenderedPageBreak/>
        <w:t xml:space="preserve">Purpose of </w:t>
      </w:r>
      <w:r w:rsidR="00D151EB">
        <w:t>analysis</w:t>
      </w:r>
    </w:p>
    <w:p w:rsidR="00E060A9" w:rsidRDefault="00E060A9" w:rsidP="00E060A9">
      <w:r>
        <w:t>Dutasteride and dutasteride with tamsulosin are both PBS listed for treatment of lower urinary tract symptoms (LUTS) due to benign prostatic hyperplasia (BPH). This analysis compares actual with predicted use since listing.</w:t>
      </w:r>
    </w:p>
    <w:p w:rsidR="00E060A9" w:rsidRPr="000E17F1" w:rsidRDefault="00E060A9" w:rsidP="00E060A9">
      <w:r>
        <w:t xml:space="preserve">In June 2013, </w:t>
      </w:r>
      <w:r w:rsidR="00631A88">
        <w:t xml:space="preserve">the </w:t>
      </w:r>
      <w:r>
        <w:t xml:space="preserve">DUSC compared the predicted and actual utilisation of dutasteride and dutasteride with tamsulosin FDC. The analysis considered actual utilisation of dutasteride for the first two years of listing and the FDC for the first 18 months of listing. At the time of consideration, </w:t>
      </w:r>
      <w:r w:rsidR="00E05FDC">
        <w:t xml:space="preserve">the </w:t>
      </w:r>
      <w:r>
        <w:t xml:space="preserve">DUSC noted the lower than predicted initial uptake of these products, but expected this would be overcome and utilisation would eventually reach its predicted level. </w:t>
      </w:r>
      <w:r w:rsidR="00D43870">
        <w:t xml:space="preserve"> The </w:t>
      </w:r>
      <w:r>
        <w:t>DUSC requested further analysis to assess whether this eventuated.</w:t>
      </w:r>
    </w:p>
    <w:p w:rsidR="006537D9" w:rsidRPr="005E22C2" w:rsidRDefault="00736041" w:rsidP="001D390D">
      <w:pPr>
        <w:pStyle w:val="Heading3"/>
      </w:pPr>
      <w:r w:rsidRPr="005E22C2">
        <w:t>Background</w:t>
      </w:r>
    </w:p>
    <w:p w:rsidR="007247B9" w:rsidRPr="00E376AA" w:rsidRDefault="007247B9" w:rsidP="00E376AA">
      <w:pPr>
        <w:pStyle w:val="Heading4"/>
      </w:pPr>
      <w:r w:rsidRPr="00E376AA">
        <w:t>Pharmacology</w:t>
      </w:r>
    </w:p>
    <w:p w:rsidR="00E060A9" w:rsidRPr="000E17F1" w:rsidRDefault="00E060A9" w:rsidP="00E060A9">
      <w:r w:rsidRPr="002936A0">
        <w:rPr>
          <w:rFonts w:ascii="Calibri" w:hAnsi="Calibri" w:cs="Calibri"/>
        </w:rPr>
        <w:t>Dutasteride inhibits the conversion of testosterone to 5α-dihydrotestosterone (DHT), the androgen primarily responsible for the initial development and subsequent enlargement of the prostate gland</w:t>
      </w:r>
      <w:r>
        <w:rPr>
          <w:rStyle w:val="FootnoteReference"/>
        </w:rPr>
        <w:footnoteReference w:id="1"/>
      </w:r>
      <w:r w:rsidRPr="002936A0">
        <w:rPr>
          <w:rFonts w:ascii="Calibri" w:hAnsi="Calibri" w:cs="Calibri"/>
        </w:rPr>
        <w:t>. Tamsulosin inhibits α1a-adrenergic receptors in the stromal prostatic smooth muscle and bladder neck, resulting in relaxation of prostate smooth muscle and improved urodynamics</w:t>
      </w:r>
      <w:r>
        <w:rPr>
          <w:rStyle w:val="FootnoteReference"/>
          <w:rFonts w:ascii="Calibri" w:hAnsi="Calibri" w:cs="Calibri"/>
        </w:rPr>
        <w:footnoteReference w:id="2"/>
      </w:r>
      <w:r w:rsidRPr="002936A0">
        <w:rPr>
          <w:rFonts w:ascii="Calibri" w:hAnsi="Calibri" w:cs="Calibri"/>
        </w:rPr>
        <w:t>.</w:t>
      </w:r>
    </w:p>
    <w:p w:rsidR="001420B3" w:rsidRPr="00DE260E" w:rsidRDefault="001420B3" w:rsidP="00DD70ED">
      <w:pPr>
        <w:pStyle w:val="Heading4"/>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p>
    <w:p w:rsidR="00E060A9" w:rsidRPr="002936A0" w:rsidRDefault="00E060A9" w:rsidP="00E060A9">
      <w:pPr>
        <w:autoSpaceDE w:val="0"/>
        <w:autoSpaceDN w:val="0"/>
        <w:adjustRightInd w:val="0"/>
        <w:rPr>
          <w:rFonts w:ascii="Calibri" w:hAnsi="Calibri" w:cs="Calibri"/>
        </w:rPr>
      </w:pPr>
      <w:r>
        <w:rPr>
          <w:rFonts w:ascii="Calibri" w:hAnsi="Calibri" w:cs="Calibri"/>
        </w:rPr>
        <w:t xml:space="preserve">Dutasteride was registered with the Therapeutic Goods Administration (TGA) on 14 November 2002. Dutasteride is indicated for </w:t>
      </w:r>
      <w:r w:rsidRPr="002936A0">
        <w:rPr>
          <w:rFonts w:ascii="Calibri" w:hAnsi="Calibri" w:cs="Calibri"/>
        </w:rPr>
        <w:t>use as monotherapy for the management of symptomatic</w:t>
      </w:r>
      <w:r>
        <w:rPr>
          <w:rFonts w:ascii="Calibri" w:hAnsi="Calibri" w:cs="Calibri"/>
        </w:rPr>
        <w:t xml:space="preserve"> B</w:t>
      </w:r>
      <w:r w:rsidRPr="002936A0">
        <w:rPr>
          <w:rFonts w:ascii="Calibri" w:hAnsi="Calibri" w:cs="Calibri"/>
        </w:rPr>
        <w:t>PH</w:t>
      </w:r>
      <w:r>
        <w:rPr>
          <w:rFonts w:ascii="Calibri" w:hAnsi="Calibri" w:cs="Calibri"/>
        </w:rPr>
        <w:t>,</w:t>
      </w:r>
      <w:r w:rsidRPr="002936A0">
        <w:rPr>
          <w:rFonts w:ascii="Calibri" w:hAnsi="Calibri" w:cs="Calibri"/>
        </w:rPr>
        <w:t xml:space="preserve"> or as combination therapy with an alpha blocker which is approved for use in BPH and has been dose titrated in accordance with the relevant product recommendations. </w:t>
      </w:r>
    </w:p>
    <w:p w:rsidR="00E060A9" w:rsidRDefault="00E060A9" w:rsidP="00E060A9">
      <w:pPr>
        <w:autoSpaceDE w:val="0"/>
        <w:autoSpaceDN w:val="0"/>
        <w:adjustRightInd w:val="0"/>
        <w:rPr>
          <w:rFonts w:ascii="Calibri" w:hAnsi="Calibri" w:cs="Calibri"/>
        </w:rPr>
      </w:pPr>
      <w:r w:rsidRPr="002936A0">
        <w:rPr>
          <w:rFonts w:ascii="Calibri" w:hAnsi="Calibri" w:cs="Calibri"/>
        </w:rPr>
        <w:t>Dutasteride with tamsulosin</w:t>
      </w:r>
      <w:r>
        <w:rPr>
          <w:rFonts w:ascii="Calibri" w:hAnsi="Calibri" w:cs="Calibri"/>
        </w:rPr>
        <w:t xml:space="preserve"> was registered with the TGA on 28 October 2010. It</w:t>
      </w:r>
      <w:r w:rsidRPr="002936A0">
        <w:rPr>
          <w:rFonts w:ascii="Calibri" w:hAnsi="Calibri" w:cs="Calibri"/>
        </w:rPr>
        <w:t xml:space="preserve"> is indicated for the management of moderate to severe symptomatic BPH. </w:t>
      </w:r>
    </w:p>
    <w:p w:rsidR="008F324C" w:rsidRPr="002936A0" w:rsidRDefault="00E060A9" w:rsidP="008F324C">
      <w:pPr>
        <w:rPr>
          <w:rFonts w:ascii="Calibri" w:hAnsi="Calibri" w:cs="Calibri"/>
        </w:rPr>
      </w:pPr>
      <w:r w:rsidRPr="002936A0">
        <w:rPr>
          <w:rFonts w:ascii="Calibri" w:hAnsi="Calibri" w:cs="Calibri"/>
        </w:rPr>
        <w:t xml:space="preserve">Current </w:t>
      </w:r>
      <w:r w:rsidRPr="0084678C">
        <w:rPr>
          <w:rFonts w:ascii="Calibri" w:hAnsi="Calibri" w:cs="Calibri"/>
        </w:rPr>
        <w:t>Product Information (PI)</w:t>
      </w:r>
      <w:r w:rsidRPr="002936A0">
        <w:rPr>
          <w:rFonts w:ascii="Calibri" w:hAnsi="Calibri" w:cs="Calibri"/>
        </w:rPr>
        <w:t xml:space="preserve"> and </w:t>
      </w:r>
      <w:r w:rsidRPr="0084678C">
        <w:rPr>
          <w:rFonts w:ascii="Calibri" w:hAnsi="Calibri" w:cs="Calibri"/>
        </w:rPr>
        <w:t>Consumer Medicine information (CMI)</w:t>
      </w:r>
      <w:r w:rsidRPr="002936A0">
        <w:rPr>
          <w:rFonts w:ascii="Calibri" w:hAnsi="Calibri" w:cs="Calibri"/>
        </w:rPr>
        <w:t xml:space="preserve"> </w:t>
      </w:r>
      <w:r w:rsidR="0083662D">
        <w:rPr>
          <w:rFonts w:ascii="Calibri" w:hAnsi="Calibri" w:cs="Calibri"/>
        </w:rPr>
        <w:t>are</w:t>
      </w:r>
      <w:r w:rsidRPr="002936A0">
        <w:rPr>
          <w:rFonts w:ascii="Calibri" w:hAnsi="Calibri" w:cs="Calibri"/>
        </w:rPr>
        <w:t xml:space="preserve"> available from</w:t>
      </w:r>
      <w:r w:rsidR="008F324C">
        <w:rPr>
          <w:rFonts w:ascii="Calibri" w:hAnsi="Calibri" w:cs="Calibri"/>
        </w:rPr>
        <w:t xml:space="preserve"> the TGA website.</w:t>
      </w:r>
      <w:r w:rsidRPr="002936A0">
        <w:rPr>
          <w:rFonts w:ascii="Calibri" w:hAnsi="Calibri" w:cs="Calibri"/>
        </w:rPr>
        <w:t xml:space="preserve"> </w:t>
      </w:r>
    </w:p>
    <w:p w:rsidR="008F324C" w:rsidRPr="002936A0" w:rsidRDefault="008F324C" w:rsidP="008F324C">
      <w:pPr>
        <w:rPr>
          <w:rFonts w:ascii="Calibri" w:hAnsi="Calibri" w:cs="Calibri"/>
        </w:rPr>
      </w:pPr>
    </w:p>
    <w:p w:rsidR="006B709B" w:rsidRPr="00DE260E" w:rsidRDefault="006B709B" w:rsidP="00DD70ED">
      <w:pPr>
        <w:pStyle w:val="Heading4"/>
      </w:pPr>
      <w:r w:rsidRPr="00DE260E">
        <w:lastRenderedPageBreak/>
        <w:t>Dosage and administration</w:t>
      </w:r>
    </w:p>
    <w:p w:rsidR="00E060A9" w:rsidRPr="000E17F1" w:rsidRDefault="00E060A9" w:rsidP="00E060A9">
      <w:pPr>
        <w:spacing w:before="240"/>
        <w:rPr>
          <w:b/>
          <w:i/>
        </w:rPr>
      </w:pPr>
      <w:r>
        <w:rPr>
          <w:b/>
          <w:i/>
        </w:rPr>
        <w:t>Dutasterid</w:t>
      </w:r>
      <w:r w:rsidRPr="0080236E">
        <w:rPr>
          <w:b/>
          <w:i/>
        </w:rPr>
        <w:t>e</w:t>
      </w:r>
      <w:r w:rsidRPr="0080236E">
        <w:rPr>
          <w:rStyle w:val="FootnoteReference"/>
          <w:b/>
        </w:rPr>
        <w:footnoteReference w:id="3"/>
      </w:r>
    </w:p>
    <w:p w:rsidR="00E060A9" w:rsidRDefault="00E060A9" w:rsidP="00E060A9">
      <w:r>
        <w:t>In adult males, including the elderly, the recommended dose is one 500</w:t>
      </w:r>
      <w:r w:rsidR="00B461BA">
        <w:t xml:space="preserve"> </w:t>
      </w:r>
      <w:r>
        <w:t>mcg capsule daily. The capsules should be swallowed whole and not chewed or opened.</w:t>
      </w:r>
    </w:p>
    <w:p w:rsidR="00E060A9" w:rsidRDefault="00E060A9" w:rsidP="00E060A9">
      <w:r>
        <w:t>Treatment for at least 6 months is generally necessary to assess whether a beneficial response in symptom relief has been achieved.</w:t>
      </w:r>
    </w:p>
    <w:p w:rsidR="00E060A9" w:rsidRDefault="00E060A9" w:rsidP="00E060A9">
      <w:pPr>
        <w:spacing w:before="240"/>
      </w:pPr>
      <w:r>
        <w:rPr>
          <w:b/>
          <w:i/>
        </w:rPr>
        <w:t>Dutasteride with tamsulosin</w:t>
      </w:r>
      <w:r>
        <w:rPr>
          <w:rStyle w:val="FootnoteReference"/>
          <w:b/>
          <w:i/>
        </w:rPr>
        <w:footnoteReference w:id="4"/>
      </w:r>
    </w:p>
    <w:p w:rsidR="00E060A9" w:rsidRDefault="00E060A9" w:rsidP="00E060A9">
      <w:r>
        <w:t>The recommended dose of dutasteride with tamsulosin is one capsule (500</w:t>
      </w:r>
      <w:r w:rsidR="00250FB8">
        <w:t xml:space="preserve"> </w:t>
      </w:r>
      <w:r>
        <w:t>mcg dutasteride/400</w:t>
      </w:r>
      <w:r w:rsidR="00D663E3">
        <w:t xml:space="preserve"> </w:t>
      </w:r>
      <w:r>
        <w:t>mcg tamsulosin) taken orally approximately 30 minutes after the same meal each day. The capsules should be swallowed whole and not chewed or opened.</w:t>
      </w:r>
    </w:p>
    <w:p w:rsidR="0083662D" w:rsidRPr="002936A0" w:rsidRDefault="0083662D" w:rsidP="0083662D">
      <w:pPr>
        <w:rPr>
          <w:rFonts w:ascii="Calibri" w:hAnsi="Calibri" w:cs="Calibri"/>
        </w:rPr>
      </w:pPr>
      <w:r w:rsidRPr="002936A0">
        <w:rPr>
          <w:rFonts w:ascii="Calibri" w:hAnsi="Calibri" w:cs="Calibri"/>
        </w:rPr>
        <w:t xml:space="preserve">Current </w:t>
      </w:r>
      <w:r w:rsidRPr="0084678C">
        <w:rPr>
          <w:rFonts w:ascii="Calibri" w:hAnsi="Calibri" w:cs="Calibri"/>
        </w:rPr>
        <w:t>Product Information (PI)</w:t>
      </w:r>
      <w:r w:rsidRPr="002936A0">
        <w:rPr>
          <w:rFonts w:ascii="Calibri" w:hAnsi="Calibri" w:cs="Calibri"/>
        </w:rPr>
        <w:t xml:space="preserve"> and </w:t>
      </w:r>
      <w:r w:rsidRPr="0084678C">
        <w:rPr>
          <w:rFonts w:ascii="Calibri" w:hAnsi="Calibri" w:cs="Calibri"/>
        </w:rPr>
        <w:t>Consumer Medicine information (CMI)</w:t>
      </w:r>
      <w:r w:rsidRPr="002936A0">
        <w:rPr>
          <w:rFonts w:ascii="Calibri" w:hAnsi="Calibri" w:cs="Calibri"/>
        </w:rPr>
        <w:t xml:space="preserve"> </w:t>
      </w:r>
      <w:r>
        <w:rPr>
          <w:rFonts w:ascii="Calibri" w:hAnsi="Calibri" w:cs="Calibri"/>
        </w:rPr>
        <w:t>are</w:t>
      </w:r>
      <w:r w:rsidRPr="002936A0">
        <w:rPr>
          <w:rFonts w:ascii="Calibri" w:hAnsi="Calibri" w:cs="Calibri"/>
        </w:rPr>
        <w:t xml:space="preserve"> available from</w:t>
      </w:r>
      <w:r>
        <w:rPr>
          <w:rFonts w:ascii="Calibri" w:hAnsi="Calibri" w:cs="Calibri"/>
        </w:rPr>
        <w:t xml:space="preserve"> the TGA website.</w:t>
      </w:r>
      <w:r w:rsidRPr="002936A0">
        <w:rPr>
          <w:rFonts w:ascii="Calibri" w:hAnsi="Calibri" w:cs="Calibri"/>
        </w:rPr>
        <w:t xml:space="preserve"> </w:t>
      </w:r>
    </w:p>
    <w:p w:rsidR="003E052C" w:rsidRPr="007247B9" w:rsidRDefault="003E052C" w:rsidP="003E052C">
      <w:pPr>
        <w:pStyle w:val="Heading3"/>
      </w:pPr>
      <w:r w:rsidRPr="007247B9">
        <w:t>PBS listing details</w:t>
      </w:r>
      <w:r>
        <w:t xml:space="preserve"> (as at April 2015)</w:t>
      </w:r>
    </w:p>
    <w:p w:rsidR="003E052C" w:rsidRPr="001420B3" w:rsidRDefault="003E052C" w:rsidP="003E052C">
      <w:pPr>
        <w:pStyle w:val="Tabletitle"/>
      </w:pPr>
      <w:r>
        <w:t>Table 1</w:t>
      </w:r>
      <w:r w:rsidRPr="001420B3">
        <w:t xml:space="preserve">: </w:t>
      </w:r>
      <w:r>
        <w:t xml:space="preserve">PBS listing of dutasteride, and dutasteride with tamsulosin </w:t>
      </w:r>
    </w:p>
    <w:tbl>
      <w:tblPr>
        <w:tblStyle w:val="TableGrid"/>
        <w:tblW w:w="8956" w:type="dxa"/>
        <w:tblInd w:w="108" w:type="dxa"/>
        <w:tblLayout w:type="fixed"/>
        <w:tblLook w:val="04A0" w:firstRow="1" w:lastRow="0" w:firstColumn="1" w:lastColumn="0" w:noHBand="0" w:noVBand="1"/>
        <w:tblCaption w:val="Table 1 describes the PBS listing of dutasteride and dutasteride with tamsulosin, it lists the name, form, strength, pack size, maximum quantity, number of repeats, DPMQ and brand name/manufacturer"/>
      </w:tblPr>
      <w:tblGrid>
        <w:gridCol w:w="993"/>
        <w:gridCol w:w="2409"/>
        <w:gridCol w:w="1560"/>
        <w:gridCol w:w="850"/>
        <w:gridCol w:w="1040"/>
        <w:gridCol w:w="2104"/>
      </w:tblGrid>
      <w:tr w:rsidR="003E052C" w:rsidRPr="00A35800" w:rsidTr="00163075">
        <w:trPr>
          <w:trHeight w:val="694"/>
          <w:tblHeader/>
        </w:trPr>
        <w:tc>
          <w:tcPr>
            <w:tcW w:w="993" w:type="dxa"/>
            <w:shd w:val="clear" w:color="auto" w:fill="BFBFBF" w:themeFill="background1" w:themeFillShade="BF"/>
          </w:tcPr>
          <w:p w:rsidR="003E052C" w:rsidRPr="00A35800" w:rsidRDefault="003E052C" w:rsidP="00163075">
            <w:pPr>
              <w:pStyle w:val="Tableheading"/>
              <w:rPr>
                <w:sz w:val="20"/>
                <w:szCs w:val="20"/>
              </w:rPr>
            </w:pPr>
            <w:r w:rsidRPr="00A35800">
              <w:rPr>
                <w:sz w:val="20"/>
                <w:szCs w:val="20"/>
              </w:rPr>
              <w:t>Item</w:t>
            </w:r>
          </w:p>
        </w:tc>
        <w:tc>
          <w:tcPr>
            <w:tcW w:w="2409" w:type="dxa"/>
            <w:shd w:val="clear" w:color="auto" w:fill="BFBFBF" w:themeFill="background1" w:themeFillShade="BF"/>
          </w:tcPr>
          <w:p w:rsidR="003E052C" w:rsidRPr="00A35800" w:rsidRDefault="003E052C" w:rsidP="00163075">
            <w:pPr>
              <w:pStyle w:val="Tableheading"/>
              <w:rPr>
                <w:sz w:val="20"/>
                <w:szCs w:val="20"/>
              </w:rPr>
            </w:pPr>
            <w:r w:rsidRPr="00A35800">
              <w:rPr>
                <w:sz w:val="20"/>
                <w:szCs w:val="20"/>
              </w:rPr>
              <w:t>Name, form &amp; strength, pack size</w:t>
            </w:r>
          </w:p>
        </w:tc>
        <w:tc>
          <w:tcPr>
            <w:tcW w:w="1560" w:type="dxa"/>
            <w:shd w:val="clear" w:color="auto" w:fill="BFBFBF" w:themeFill="background1" w:themeFillShade="BF"/>
          </w:tcPr>
          <w:p w:rsidR="003E052C" w:rsidRPr="00A35800" w:rsidRDefault="003E052C" w:rsidP="00163075">
            <w:pPr>
              <w:pStyle w:val="Tableheading"/>
              <w:rPr>
                <w:sz w:val="20"/>
                <w:szCs w:val="20"/>
              </w:rPr>
            </w:pPr>
            <w:r w:rsidRPr="00A35800">
              <w:rPr>
                <w:sz w:val="20"/>
                <w:szCs w:val="20"/>
              </w:rPr>
              <w:t xml:space="preserve">Max. quant. </w:t>
            </w:r>
          </w:p>
        </w:tc>
        <w:tc>
          <w:tcPr>
            <w:tcW w:w="850" w:type="dxa"/>
            <w:shd w:val="clear" w:color="auto" w:fill="BFBFBF" w:themeFill="background1" w:themeFillShade="BF"/>
          </w:tcPr>
          <w:p w:rsidR="003E052C" w:rsidRPr="00A35800" w:rsidRDefault="003E052C" w:rsidP="00163075">
            <w:pPr>
              <w:pStyle w:val="Tableheading"/>
              <w:rPr>
                <w:sz w:val="20"/>
                <w:szCs w:val="20"/>
              </w:rPr>
            </w:pPr>
            <w:r w:rsidRPr="00A35800">
              <w:rPr>
                <w:sz w:val="20"/>
                <w:szCs w:val="20"/>
              </w:rPr>
              <w:t>R</w:t>
            </w:r>
            <w:r w:rsidR="00321B93">
              <w:rPr>
                <w:sz w:val="20"/>
                <w:szCs w:val="20"/>
              </w:rPr>
              <w:t>e</w:t>
            </w:r>
            <w:r w:rsidRPr="00A35800">
              <w:rPr>
                <w:sz w:val="20"/>
                <w:szCs w:val="20"/>
              </w:rPr>
              <w:t>p</w:t>
            </w:r>
            <w:r w:rsidR="00321B93">
              <w:rPr>
                <w:sz w:val="20"/>
                <w:szCs w:val="20"/>
              </w:rPr>
              <w:t>ea</w:t>
            </w:r>
            <w:r w:rsidRPr="00A35800">
              <w:rPr>
                <w:sz w:val="20"/>
                <w:szCs w:val="20"/>
              </w:rPr>
              <w:t xml:space="preserve">ts </w:t>
            </w:r>
          </w:p>
        </w:tc>
        <w:tc>
          <w:tcPr>
            <w:tcW w:w="1040" w:type="dxa"/>
            <w:shd w:val="clear" w:color="auto" w:fill="BFBFBF" w:themeFill="background1" w:themeFillShade="BF"/>
          </w:tcPr>
          <w:p w:rsidR="003E052C" w:rsidRPr="00A35800" w:rsidRDefault="003E052C" w:rsidP="00163075">
            <w:pPr>
              <w:pStyle w:val="Tableheading"/>
              <w:rPr>
                <w:sz w:val="20"/>
                <w:szCs w:val="20"/>
              </w:rPr>
            </w:pPr>
            <w:r w:rsidRPr="00A35800">
              <w:rPr>
                <w:sz w:val="20"/>
                <w:szCs w:val="20"/>
              </w:rPr>
              <w:t>DPMQ</w:t>
            </w:r>
          </w:p>
        </w:tc>
        <w:tc>
          <w:tcPr>
            <w:tcW w:w="2104" w:type="dxa"/>
            <w:shd w:val="clear" w:color="auto" w:fill="BFBFBF" w:themeFill="background1" w:themeFillShade="BF"/>
          </w:tcPr>
          <w:p w:rsidR="003E052C" w:rsidRPr="00A35800" w:rsidRDefault="003E052C" w:rsidP="00163075">
            <w:pPr>
              <w:pStyle w:val="Tableheading"/>
              <w:rPr>
                <w:sz w:val="20"/>
                <w:szCs w:val="20"/>
              </w:rPr>
            </w:pPr>
            <w:r w:rsidRPr="00A35800">
              <w:rPr>
                <w:sz w:val="20"/>
                <w:szCs w:val="20"/>
              </w:rPr>
              <w:t>Brand name and manufacturer</w:t>
            </w:r>
          </w:p>
        </w:tc>
      </w:tr>
      <w:tr w:rsidR="003E052C" w:rsidRPr="00A35800" w:rsidTr="00163075">
        <w:trPr>
          <w:trHeight w:val="552"/>
          <w:tblHeader/>
        </w:trPr>
        <w:tc>
          <w:tcPr>
            <w:tcW w:w="993" w:type="dxa"/>
            <w:shd w:val="clear" w:color="auto" w:fill="auto"/>
          </w:tcPr>
          <w:p w:rsidR="003E052C" w:rsidRPr="00A35800" w:rsidRDefault="003E052C" w:rsidP="00163075">
            <w:pPr>
              <w:pStyle w:val="Tablewriting"/>
            </w:pPr>
            <w:r>
              <w:t>5468T</w:t>
            </w:r>
            <w:r>
              <w:br/>
            </w:r>
          </w:p>
        </w:tc>
        <w:tc>
          <w:tcPr>
            <w:tcW w:w="2409" w:type="dxa"/>
            <w:shd w:val="clear" w:color="auto" w:fill="auto"/>
          </w:tcPr>
          <w:p w:rsidR="003E052C" w:rsidRPr="00A35800" w:rsidRDefault="003E052C" w:rsidP="00163075">
            <w:pPr>
              <w:pStyle w:val="Tablewriting"/>
            </w:pPr>
            <w:r>
              <w:t>Dutasteride 500 microgram, 30 capsules</w:t>
            </w:r>
          </w:p>
        </w:tc>
        <w:tc>
          <w:tcPr>
            <w:tcW w:w="1560" w:type="dxa"/>
            <w:shd w:val="clear" w:color="auto" w:fill="auto"/>
          </w:tcPr>
          <w:p w:rsidR="003E052C" w:rsidRPr="00A35800" w:rsidRDefault="003E052C" w:rsidP="00163075">
            <w:pPr>
              <w:pStyle w:val="Tablewriting"/>
            </w:pPr>
            <w:r>
              <w:t>30</w:t>
            </w:r>
          </w:p>
        </w:tc>
        <w:tc>
          <w:tcPr>
            <w:tcW w:w="850" w:type="dxa"/>
            <w:shd w:val="clear" w:color="auto" w:fill="auto"/>
          </w:tcPr>
          <w:p w:rsidR="003E052C" w:rsidRPr="00A35800" w:rsidRDefault="003E052C" w:rsidP="00163075">
            <w:pPr>
              <w:pStyle w:val="Tablewriting"/>
            </w:pPr>
            <w:r>
              <w:t>5</w:t>
            </w:r>
          </w:p>
        </w:tc>
        <w:tc>
          <w:tcPr>
            <w:tcW w:w="1040" w:type="dxa"/>
            <w:shd w:val="clear" w:color="auto" w:fill="auto"/>
          </w:tcPr>
          <w:p w:rsidR="003E052C" w:rsidRPr="00A35800" w:rsidRDefault="003E052C" w:rsidP="00163075">
            <w:pPr>
              <w:pStyle w:val="Tablewriting"/>
            </w:pPr>
            <w:r>
              <w:t>$30.77</w:t>
            </w:r>
          </w:p>
        </w:tc>
        <w:tc>
          <w:tcPr>
            <w:tcW w:w="2104" w:type="dxa"/>
            <w:shd w:val="clear" w:color="auto" w:fill="auto"/>
          </w:tcPr>
          <w:p w:rsidR="003E052C" w:rsidRPr="002936A0" w:rsidRDefault="003E052C" w:rsidP="00163075">
            <w:pPr>
              <w:rPr>
                <w:rFonts w:ascii="Calibri" w:hAnsi="Calibri" w:cs="Calibri"/>
                <w:sz w:val="20"/>
              </w:rPr>
            </w:pPr>
            <w:r w:rsidRPr="002936A0">
              <w:rPr>
                <w:rFonts w:ascii="Calibri" w:hAnsi="Calibri" w:cs="Calibri"/>
                <w:sz w:val="20"/>
              </w:rPr>
              <w:t>Avodart®,</w:t>
            </w:r>
          </w:p>
          <w:p w:rsidR="003E052C" w:rsidRPr="00A35800" w:rsidRDefault="003E052C" w:rsidP="00163075">
            <w:pPr>
              <w:pStyle w:val="Tablewriting"/>
            </w:pPr>
            <w:r w:rsidRPr="002936A0">
              <w:rPr>
                <w:rFonts w:ascii="Calibri" w:hAnsi="Calibri"/>
              </w:rPr>
              <w:t>GlaxoSmithKline Australia Pty Ltd</w:t>
            </w:r>
          </w:p>
        </w:tc>
      </w:tr>
      <w:tr w:rsidR="003E052C" w:rsidRPr="00277A1D" w:rsidTr="00163075">
        <w:trPr>
          <w:trHeight w:val="546"/>
          <w:tblHeader/>
        </w:trPr>
        <w:tc>
          <w:tcPr>
            <w:tcW w:w="993" w:type="dxa"/>
            <w:shd w:val="clear" w:color="auto" w:fill="auto"/>
          </w:tcPr>
          <w:p w:rsidR="003E052C" w:rsidRPr="00E428DE" w:rsidRDefault="003E052C" w:rsidP="00163075">
            <w:pPr>
              <w:pStyle w:val="Tablewriting"/>
            </w:pPr>
            <w:r w:rsidRPr="00E428DE">
              <w:t>10095H</w:t>
            </w:r>
            <w:r w:rsidRPr="00956705">
              <w:rPr>
                <w:vertAlign w:val="superscript"/>
              </w:rPr>
              <w:t>a</w:t>
            </w:r>
            <w:r w:rsidRPr="00E428DE">
              <w:br/>
              <w:t>RPBS</w:t>
            </w:r>
          </w:p>
        </w:tc>
        <w:tc>
          <w:tcPr>
            <w:tcW w:w="2409" w:type="dxa"/>
            <w:shd w:val="clear" w:color="auto" w:fill="auto"/>
          </w:tcPr>
          <w:p w:rsidR="003E052C" w:rsidRPr="00E428DE" w:rsidRDefault="003E052C" w:rsidP="00163075">
            <w:pPr>
              <w:pStyle w:val="Tablewriting"/>
            </w:pPr>
            <w:r w:rsidRPr="00E428DE">
              <w:t>Dutasteride 500 microgram, 30 capsules</w:t>
            </w:r>
          </w:p>
        </w:tc>
        <w:tc>
          <w:tcPr>
            <w:tcW w:w="1560" w:type="dxa"/>
            <w:shd w:val="clear" w:color="auto" w:fill="auto"/>
          </w:tcPr>
          <w:p w:rsidR="003E052C" w:rsidRPr="00E428DE" w:rsidRDefault="003E052C" w:rsidP="00163075">
            <w:pPr>
              <w:pStyle w:val="Tablewriting"/>
            </w:pPr>
            <w:r w:rsidRPr="00E428DE">
              <w:t>30</w:t>
            </w:r>
          </w:p>
        </w:tc>
        <w:tc>
          <w:tcPr>
            <w:tcW w:w="850" w:type="dxa"/>
            <w:shd w:val="clear" w:color="auto" w:fill="auto"/>
          </w:tcPr>
          <w:p w:rsidR="003E052C" w:rsidRPr="00E428DE" w:rsidRDefault="003E052C" w:rsidP="00163075">
            <w:pPr>
              <w:pStyle w:val="Tablewriting"/>
            </w:pPr>
            <w:r w:rsidRPr="00E428DE">
              <w:t>5</w:t>
            </w:r>
          </w:p>
        </w:tc>
        <w:tc>
          <w:tcPr>
            <w:tcW w:w="1040" w:type="dxa"/>
            <w:shd w:val="clear" w:color="auto" w:fill="auto"/>
          </w:tcPr>
          <w:p w:rsidR="003E052C" w:rsidRPr="00E428DE" w:rsidRDefault="003E052C" w:rsidP="00163075">
            <w:pPr>
              <w:pStyle w:val="Tablewriting"/>
            </w:pPr>
            <w:r w:rsidRPr="00E428DE">
              <w:t>$30.77</w:t>
            </w:r>
          </w:p>
        </w:tc>
        <w:tc>
          <w:tcPr>
            <w:tcW w:w="2104" w:type="dxa"/>
            <w:shd w:val="clear" w:color="auto" w:fill="auto"/>
          </w:tcPr>
          <w:p w:rsidR="003E052C" w:rsidRPr="00E428DE" w:rsidRDefault="003E052C" w:rsidP="00163075">
            <w:pPr>
              <w:rPr>
                <w:rFonts w:ascii="Calibri" w:hAnsi="Calibri" w:cs="Calibri"/>
                <w:sz w:val="20"/>
              </w:rPr>
            </w:pPr>
            <w:r w:rsidRPr="00E428DE">
              <w:rPr>
                <w:rFonts w:ascii="Calibri" w:hAnsi="Calibri" w:cs="Calibri"/>
                <w:sz w:val="20"/>
              </w:rPr>
              <w:t>Avodart®,</w:t>
            </w:r>
          </w:p>
          <w:p w:rsidR="003E052C" w:rsidRPr="00E428DE" w:rsidRDefault="003E052C" w:rsidP="00163075">
            <w:pPr>
              <w:pStyle w:val="Tablewriting"/>
            </w:pPr>
            <w:r w:rsidRPr="00E428DE">
              <w:rPr>
                <w:rFonts w:ascii="Calibri" w:hAnsi="Calibri"/>
              </w:rPr>
              <w:t>GlaxoSmithKline Australia Pty Ltd</w:t>
            </w:r>
          </w:p>
        </w:tc>
      </w:tr>
      <w:tr w:rsidR="003E052C" w:rsidRPr="00A35800" w:rsidTr="00163075">
        <w:trPr>
          <w:trHeight w:val="546"/>
          <w:tblHeader/>
        </w:trPr>
        <w:tc>
          <w:tcPr>
            <w:tcW w:w="993" w:type="dxa"/>
            <w:shd w:val="clear" w:color="auto" w:fill="auto"/>
          </w:tcPr>
          <w:p w:rsidR="003E052C" w:rsidRDefault="003E052C" w:rsidP="00163075">
            <w:pPr>
              <w:pStyle w:val="Tablewriting"/>
            </w:pPr>
            <w:r>
              <w:t>5490Y</w:t>
            </w:r>
          </w:p>
        </w:tc>
        <w:tc>
          <w:tcPr>
            <w:tcW w:w="2409" w:type="dxa"/>
            <w:shd w:val="clear" w:color="auto" w:fill="auto"/>
          </w:tcPr>
          <w:p w:rsidR="003E052C" w:rsidRDefault="003E052C" w:rsidP="00163075">
            <w:pPr>
              <w:pStyle w:val="Tablewriting"/>
            </w:pPr>
            <w:r>
              <w:t>Dutasteride 500 microgram with tamsulosin hydrochloride 400 microgram, 30 modified release capsules</w:t>
            </w:r>
          </w:p>
        </w:tc>
        <w:tc>
          <w:tcPr>
            <w:tcW w:w="1560" w:type="dxa"/>
            <w:shd w:val="clear" w:color="auto" w:fill="auto"/>
          </w:tcPr>
          <w:p w:rsidR="003E052C" w:rsidRDefault="003E052C" w:rsidP="00163075">
            <w:pPr>
              <w:pStyle w:val="Tablewriting"/>
            </w:pPr>
            <w:r>
              <w:t>30</w:t>
            </w:r>
          </w:p>
        </w:tc>
        <w:tc>
          <w:tcPr>
            <w:tcW w:w="850" w:type="dxa"/>
            <w:shd w:val="clear" w:color="auto" w:fill="auto"/>
          </w:tcPr>
          <w:p w:rsidR="003E052C" w:rsidRDefault="003E052C" w:rsidP="00163075">
            <w:pPr>
              <w:pStyle w:val="Tablewriting"/>
            </w:pPr>
            <w:r>
              <w:t>5</w:t>
            </w:r>
          </w:p>
        </w:tc>
        <w:tc>
          <w:tcPr>
            <w:tcW w:w="1040" w:type="dxa"/>
            <w:shd w:val="clear" w:color="auto" w:fill="auto"/>
          </w:tcPr>
          <w:p w:rsidR="003E052C" w:rsidRDefault="003E052C" w:rsidP="00163075">
            <w:pPr>
              <w:pStyle w:val="Tablewriting"/>
            </w:pPr>
            <w:r>
              <w:t>$35.63</w:t>
            </w:r>
          </w:p>
        </w:tc>
        <w:tc>
          <w:tcPr>
            <w:tcW w:w="2104" w:type="dxa"/>
            <w:shd w:val="clear" w:color="auto" w:fill="auto"/>
          </w:tcPr>
          <w:p w:rsidR="003E052C" w:rsidRPr="002936A0" w:rsidRDefault="003E052C" w:rsidP="00163075">
            <w:pPr>
              <w:rPr>
                <w:rFonts w:ascii="Calibri" w:hAnsi="Calibri" w:cs="Calibri"/>
                <w:sz w:val="20"/>
              </w:rPr>
            </w:pPr>
            <w:r w:rsidRPr="002936A0">
              <w:rPr>
                <w:rFonts w:ascii="Calibri" w:hAnsi="Calibri" w:cs="Calibri"/>
                <w:sz w:val="20"/>
              </w:rPr>
              <w:t>Duodart®,</w:t>
            </w:r>
          </w:p>
          <w:p w:rsidR="003E052C" w:rsidRPr="002936A0" w:rsidRDefault="003E052C" w:rsidP="00163075">
            <w:pPr>
              <w:rPr>
                <w:rFonts w:ascii="Calibri" w:hAnsi="Calibri" w:cs="Calibri"/>
                <w:sz w:val="20"/>
              </w:rPr>
            </w:pPr>
            <w:r w:rsidRPr="002936A0">
              <w:rPr>
                <w:rFonts w:ascii="Calibri" w:hAnsi="Calibri" w:cs="Calibri"/>
                <w:sz w:val="20"/>
              </w:rPr>
              <w:t xml:space="preserve">GlaxoSmithKline </w:t>
            </w:r>
          </w:p>
          <w:p w:rsidR="003E052C" w:rsidRPr="002936A0" w:rsidRDefault="003E052C" w:rsidP="00163075">
            <w:pPr>
              <w:rPr>
                <w:rFonts w:ascii="Calibri" w:hAnsi="Calibri" w:cs="Calibri"/>
                <w:sz w:val="20"/>
              </w:rPr>
            </w:pPr>
            <w:r w:rsidRPr="002936A0">
              <w:rPr>
                <w:rFonts w:ascii="Calibri" w:hAnsi="Calibri" w:cs="Calibri"/>
                <w:sz w:val="20"/>
              </w:rPr>
              <w:t>Australia Pty Ltd</w:t>
            </w:r>
          </w:p>
        </w:tc>
      </w:tr>
      <w:tr w:rsidR="003E052C" w:rsidRPr="00A35800" w:rsidTr="00163075">
        <w:trPr>
          <w:trHeight w:val="546"/>
          <w:tblHeader/>
        </w:trPr>
        <w:tc>
          <w:tcPr>
            <w:tcW w:w="993" w:type="dxa"/>
            <w:shd w:val="clear" w:color="auto" w:fill="auto"/>
          </w:tcPr>
          <w:p w:rsidR="003E052C" w:rsidRDefault="003E052C" w:rsidP="00163075">
            <w:pPr>
              <w:pStyle w:val="Tablewriting"/>
            </w:pPr>
            <w:r>
              <w:t>10102Q</w:t>
            </w:r>
            <w:r w:rsidRPr="00956705">
              <w:rPr>
                <w:vertAlign w:val="superscript"/>
              </w:rPr>
              <w:t>a</w:t>
            </w:r>
          </w:p>
          <w:p w:rsidR="003E052C" w:rsidRDefault="003E052C" w:rsidP="00163075">
            <w:pPr>
              <w:pStyle w:val="Tablewriting"/>
            </w:pPr>
            <w:r>
              <w:t>RPBS</w:t>
            </w:r>
          </w:p>
        </w:tc>
        <w:tc>
          <w:tcPr>
            <w:tcW w:w="2409" w:type="dxa"/>
            <w:shd w:val="clear" w:color="auto" w:fill="auto"/>
          </w:tcPr>
          <w:p w:rsidR="003E052C" w:rsidRDefault="003E052C" w:rsidP="00163075">
            <w:pPr>
              <w:pStyle w:val="Tablewriting"/>
            </w:pPr>
            <w:r>
              <w:t>Dutasteride 500 microgram with tamsulosin hydrochloride 400 microgram, 30 modified release capsules</w:t>
            </w:r>
          </w:p>
        </w:tc>
        <w:tc>
          <w:tcPr>
            <w:tcW w:w="1560" w:type="dxa"/>
            <w:shd w:val="clear" w:color="auto" w:fill="auto"/>
          </w:tcPr>
          <w:p w:rsidR="003E052C" w:rsidRDefault="003E052C" w:rsidP="00163075">
            <w:pPr>
              <w:pStyle w:val="Tablewriting"/>
            </w:pPr>
            <w:r>
              <w:t>30</w:t>
            </w:r>
          </w:p>
        </w:tc>
        <w:tc>
          <w:tcPr>
            <w:tcW w:w="850" w:type="dxa"/>
            <w:shd w:val="clear" w:color="auto" w:fill="auto"/>
          </w:tcPr>
          <w:p w:rsidR="003E052C" w:rsidRDefault="003E052C" w:rsidP="00163075">
            <w:pPr>
              <w:pStyle w:val="Tablewriting"/>
            </w:pPr>
            <w:r>
              <w:t>5</w:t>
            </w:r>
          </w:p>
        </w:tc>
        <w:tc>
          <w:tcPr>
            <w:tcW w:w="1040" w:type="dxa"/>
            <w:shd w:val="clear" w:color="auto" w:fill="auto"/>
          </w:tcPr>
          <w:p w:rsidR="003E052C" w:rsidRDefault="003E052C" w:rsidP="00163075">
            <w:pPr>
              <w:pStyle w:val="Tablewriting"/>
            </w:pPr>
            <w:r>
              <w:t>$35.63</w:t>
            </w:r>
          </w:p>
        </w:tc>
        <w:tc>
          <w:tcPr>
            <w:tcW w:w="2104" w:type="dxa"/>
            <w:shd w:val="clear" w:color="auto" w:fill="auto"/>
          </w:tcPr>
          <w:p w:rsidR="003E052C" w:rsidRPr="002936A0" w:rsidRDefault="003E052C" w:rsidP="00163075">
            <w:pPr>
              <w:rPr>
                <w:rFonts w:ascii="Calibri" w:hAnsi="Calibri" w:cs="Calibri"/>
                <w:sz w:val="20"/>
              </w:rPr>
            </w:pPr>
            <w:r w:rsidRPr="002936A0">
              <w:rPr>
                <w:rFonts w:ascii="Calibri" w:hAnsi="Calibri" w:cs="Calibri"/>
                <w:sz w:val="20"/>
              </w:rPr>
              <w:t>Duodart®,</w:t>
            </w:r>
          </w:p>
          <w:p w:rsidR="003E052C" w:rsidRPr="002936A0" w:rsidRDefault="003E052C" w:rsidP="00163075">
            <w:pPr>
              <w:rPr>
                <w:rFonts w:ascii="Calibri" w:hAnsi="Calibri" w:cs="Calibri"/>
                <w:sz w:val="20"/>
              </w:rPr>
            </w:pPr>
            <w:r w:rsidRPr="002936A0">
              <w:rPr>
                <w:rFonts w:ascii="Calibri" w:hAnsi="Calibri" w:cs="Calibri"/>
                <w:sz w:val="20"/>
              </w:rPr>
              <w:t xml:space="preserve">GlaxoSmithKline </w:t>
            </w:r>
          </w:p>
          <w:p w:rsidR="003E052C" w:rsidRPr="002936A0" w:rsidRDefault="003E052C" w:rsidP="00163075">
            <w:pPr>
              <w:rPr>
                <w:rFonts w:ascii="Calibri" w:hAnsi="Calibri" w:cs="Calibri"/>
                <w:sz w:val="20"/>
              </w:rPr>
            </w:pPr>
            <w:r w:rsidRPr="002936A0">
              <w:rPr>
                <w:rFonts w:ascii="Calibri" w:hAnsi="Calibri" w:cs="Calibri"/>
                <w:sz w:val="20"/>
              </w:rPr>
              <w:t>Australia Pty Ltd</w:t>
            </w:r>
          </w:p>
        </w:tc>
      </w:tr>
    </w:tbl>
    <w:p w:rsidR="003E052C" w:rsidRDefault="003E052C" w:rsidP="003E052C">
      <w:pPr>
        <w:pStyle w:val="Notes"/>
        <w:spacing w:after="60"/>
        <w:rPr>
          <w:sz w:val="16"/>
        </w:rPr>
      </w:pPr>
      <w:r w:rsidRPr="00E428DE">
        <w:rPr>
          <w:sz w:val="16"/>
        </w:rPr>
        <w:t>Source: March 2015 PBS Schedule</w:t>
      </w:r>
    </w:p>
    <w:p w:rsidR="003E052C" w:rsidRPr="00956705" w:rsidRDefault="003E052C" w:rsidP="003E052C">
      <w:pPr>
        <w:pStyle w:val="Notes"/>
        <w:spacing w:after="60"/>
        <w:rPr>
          <w:sz w:val="16"/>
        </w:rPr>
      </w:pPr>
      <w:r>
        <w:rPr>
          <w:sz w:val="16"/>
          <w:vertAlign w:val="superscript"/>
        </w:rPr>
        <w:t xml:space="preserve">a </w:t>
      </w:r>
      <w:r w:rsidRPr="00956705">
        <w:rPr>
          <w:sz w:val="16"/>
        </w:rPr>
        <w:t xml:space="preserve">Listed </w:t>
      </w:r>
      <w:r>
        <w:rPr>
          <w:sz w:val="16"/>
        </w:rPr>
        <w:t>1 June 2014</w:t>
      </w:r>
    </w:p>
    <w:p w:rsidR="004C3186" w:rsidRPr="004F1E15" w:rsidRDefault="004C3186" w:rsidP="004F1E15">
      <w:pPr>
        <w:pStyle w:val="Heading5"/>
      </w:pPr>
      <w:r w:rsidRPr="004F1E15">
        <w:t>Restriction</w:t>
      </w:r>
    </w:p>
    <w:p w:rsidR="003E052C" w:rsidRPr="00D7323F" w:rsidRDefault="003E052C" w:rsidP="003E052C">
      <w:pPr>
        <w:pStyle w:val="Default"/>
        <w:autoSpaceDE/>
        <w:autoSpaceDN/>
        <w:adjustRightInd/>
        <w:spacing w:before="240" w:after="200"/>
      </w:pPr>
      <w:r w:rsidRPr="00D7323F">
        <w:rPr>
          <w:b/>
          <w:bCs/>
        </w:rPr>
        <w:t xml:space="preserve">Dutasteride: Authority Required (STREAMLINED) </w:t>
      </w:r>
    </w:p>
    <w:p w:rsidR="003E052C" w:rsidRPr="00D7323F" w:rsidRDefault="003E052C" w:rsidP="003E052C">
      <w:pPr>
        <w:pStyle w:val="Default"/>
        <w:ind w:left="567" w:hanging="567"/>
      </w:pPr>
      <w:r w:rsidRPr="00D7323F">
        <w:t xml:space="preserve">3667: Treatment, in combination with an alpha-antagonist, of lower urinary tract symptoms due to benign prostatic hyperplasia where treatment was initiated by n urologist. </w:t>
      </w:r>
    </w:p>
    <w:p w:rsidR="003E052C" w:rsidRPr="00D7323F" w:rsidRDefault="003E052C" w:rsidP="003E052C">
      <w:pPr>
        <w:pStyle w:val="Default"/>
        <w:autoSpaceDE/>
        <w:autoSpaceDN/>
        <w:adjustRightInd/>
        <w:spacing w:before="240" w:after="200"/>
        <w:rPr>
          <w:b/>
          <w:bCs/>
        </w:rPr>
      </w:pPr>
      <w:r w:rsidRPr="00D7323F">
        <w:rPr>
          <w:b/>
          <w:bCs/>
        </w:rPr>
        <w:t>Dutasteride: Authority Required</w:t>
      </w:r>
    </w:p>
    <w:p w:rsidR="003E052C" w:rsidRPr="00D7323F" w:rsidRDefault="003E052C" w:rsidP="003E052C">
      <w:pPr>
        <w:pStyle w:val="Default"/>
        <w:spacing w:before="240"/>
        <w:rPr>
          <w:bCs/>
        </w:rPr>
      </w:pPr>
      <w:r w:rsidRPr="00D7323F">
        <w:rPr>
          <w:bCs/>
        </w:rPr>
        <w:t>Benign prostatic hyperplasia</w:t>
      </w:r>
    </w:p>
    <w:p w:rsidR="003E052C" w:rsidRPr="00D7323F" w:rsidRDefault="003E052C" w:rsidP="003E052C">
      <w:pPr>
        <w:pStyle w:val="Default"/>
        <w:spacing w:before="240"/>
        <w:rPr>
          <w:b/>
          <w:bCs/>
        </w:rPr>
      </w:pPr>
      <w:r w:rsidRPr="00D7323F">
        <w:rPr>
          <w:b/>
          <w:bCs/>
        </w:rPr>
        <w:t>Clinical criteria:</w:t>
      </w:r>
    </w:p>
    <w:p w:rsidR="003E052C" w:rsidRPr="00D7323F" w:rsidRDefault="003E052C" w:rsidP="003E052C">
      <w:pPr>
        <w:pStyle w:val="Default"/>
        <w:numPr>
          <w:ilvl w:val="0"/>
          <w:numId w:val="1"/>
        </w:numPr>
        <w:spacing w:before="240"/>
        <w:rPr>
          <w:bCs/>
        </w:rPr>
      </w:pPr>
      <w:r w:rsidRPr="00D7323F">
        <w:rPr>
          <w:bCs/>
        </w:rPr>
        <w:t>Patient must be one in whom surgery is inappropriate; OR</w:t>
      </w:r>
    </w:p>
    <w:p w:rsidR="003E052C" w:rsidRPr="00D7323F" w:rsidRDefault="003E052C" w:rsidP="003E052C">
      <w:pPr>
        <w:pStyle w:val="Default"/>
        <w:numPr>
          <w:ilvl w:val="0"/>
          <w:numId w:val="1"/>
        </w:numPr>
        <w:spacing w:before="240"/>
        <w:rPr>
          <w:bCs/>
        </w:rPr>
      </w:pPr>
      <w:r w:rsidRPr="00D7323F">
        <w:rPr>
          <w:bCs/>
        </w:rPr>
        <w:t>Patient must have failed to respond to other drug treatment or other drug treatment must be contraindicated.</w:t>
      </w:r>
    </w:p>
    <w:p w:rsidR="003E052C" w:rsidRPr="00D7323F" w:rsidRDefault="003E052C" w:rsidP="003E052C">
      <w:pPr>
        <w:pStyle w:val="Default"/>
        <w:autoSpaceDE/>
        <w:autoSpaceDN/>
        <w:adjustRightInd/>
        <w:spacing w:before="240" w:after="200"/>
      </w:pPr>
      <w:r w:rsidRPr="00D7323F">
        <w:rPr>
          <w:b/>
          <w:bCs/>
        </w:rPr>
        <w:t>Dutasteride with tamsulosin: Authority Required (STREAMLINED)</w:t>
      </w:r>
    </w:p>
    <w:p w:rsidR="003E052C" w:rsidRPr="00D7323F" w:rsidRDefault="003E052C" w:rsidP="003E052C">
      <w:pPr>
        <w:pStyle w:val="Default"/>
        <w:ind w:left="567" w:hanging="567"/>
      </w:pPr>
      <w:r w:rsidRPr="00D7323F">
        <w:t>3687: Treatment of lower urinary tract symptoms due to benign prostatic hyperplasia where treatment was initiated by a urologist.</w:t>
      </w:r>
    </w:p>
    <w:p w:rsidR="003E052C" w:rsidRDefault="003E052C" w:rsidP="003E052C">
      <w:pPr>
        <w:pStyle w:val="Heading2"/>
      </w:pPr>
      <w:r>
        <w:t xml:space="preserve">Date of listing on PBS </w:t>
      </w:r>
    </w:p>
    <w:p w:rsidR="003E052C" w:rsidRPr="00D7323F" w:rsidRDefault="003E052C" w:rsidP="003E052C">
      <w:pPr>
        <w:pStyle w:val="Default"/>
        <w:spacing w:after="200"/>
      </w:pPr>
      <w:r w:rsidRPr="00D7323F">
        <w:t xml:space="preserve">Dutasteride was listed on the PBS on 1 February 2011. </w:t>
      </w:r>
    </w:p>
    <w:p w:rsidR="003E052C" w:rsidRPr="00D7323F" w:rsidRDefault="003E052C" w:rsidP="003E052C">
      <w:pPr>
        <w:pStyle w:val="Default"/>
        <w:spacing w:after="200"/>
      </w:pPr>
      <w:r w:rsidRPr="00D7323F">
        <w:t xml:space="preserve">Dutasteride with tamsulosin FDC was listed on the PBS on 1 August 2011. </w:t>
      </w:r>
    </w:p>
    <w:p w:rsidR="003E052C" w:rsidRPr="00D7323F" w:rsidRDefault="003E052C" w:rsidP="003E052C">
      <w:pPr>
        <w:rPr>
          <w:highlight w:val="yellow"/>
        </w:rPr>
      </w:pPr>
      <w:r w:rsidRPr="00D7323F">
        <w:t>Current PBS listing details are available from</w:t>
      </w:r>
      <w:r w:rsidR="0083662D">
        <w:t xml:space="preserve"> the</w:t>
      </w:r>
      <w:r w:rsidRPr="00D7323F">
        <w:t xml:space="preserve"> </w:t>
      </w:r>
      <w:r w:rsidR="0083662D" w:rsidRPr="0084678C">
        <w:t>PBS website</w:t>
      </w:r>
      <w:r w:rsidRPr="00D7323F">
        <w:t xml:space="preserve"> </w:t>
      </w:r>
    </w:p>
    <w:p w:rsidR="0093353F" w:rsidRDefault="0093353F" w:rsidP="0093353F">
      <w:pPr>
        <w:pStyle w:val="Heading3"/>
      </w:pPr>
      <w:r w:rsidRPr="005E22C2">
        <w:t>Relevant aspects of PBAC consideration</w:t>
      </w:r>
    </w:p>
    <w:p w:rsidR="0093353F" w:rsidRPr="00506F11" w:rsidRDefault="0093353F" w:rsidP="0093353F">
      <w:r w:rsidRPr="00506F11">
        <w:rPr>
          <w:b/>
          <w:bCs/>
        </w:rPr>
        <w:t xml:space="preserve">Dutasteride </w:t>
      </w:r>
    </w:p>
    <w:p w:rsidR="0093353F" w:rsidRPr="00506F11" w:rsidRDefault="0093353F" w:rsidP="0093353F">
      <w:r>
        <w:t xml:space="preserve">The </w:t>
      </w:r>
      <w:r w:rsidRPr="00506F11">
        <w:t>PBAC (November</w:t>
      </w:r>
      <w:r>
        <w:t> </w:t>
      </w:r>
      <w:r w:rsidRPr="00506F11">
        <w:t xml:space="preserve">2009) recommended the PBS listing of dutasteride in combination with an alpha-antagonist, on the basis of acceptable cost-effectiveness compared to an alpha-antagonist alone. </w:t>
      </w:r>
    </w:p>
    <w:p w:rsidR="0093353F" w:rsidRPr="00506F11" w:rsidRDefault="0093353F" w:rsidP="0093353F">
      <w:r>
        <w:t xml:space="preserve">The </w:t>
      </w:r>
      <w:r w:rsidRPr="00506F11">
        <w:t xml:space="preserve">PBAC considered uncertainty remained with the utilisation estimates and recommended that a </w:t>
      </w:r>
      <w:r>
        <w:t>RSA</w:t>
      </w:r>
      <w:r w:rsidRPr="00506F11">
        <w:t xml:space="preserve"> be put in place with expenditure capped at the financial estimates provided in the resubmission. </w:t>
      </w:r>
    </w:p>
    <w:p w:rsidR="0093353F" w:rsidRDefault="0093353F" w:rsidP="0093353F">
      <w:r>
        <w:t xml:space="preserve">For further details refer to the </w:t>
      </w:r>
      <w:r w:rsidR="0057130B" w:rsidRPr="0084678C">
        <w:t>Public Summary Document</w:t>
      </w:r>
      <w:r w:rsidR="0057130B">
        <w:t xml:space="preserve"> </w:t>
      </w:r>
      <w:r w:rsidR="0057130B" w:rsidRPr="0057130B">
        <w:t>from the November 2009 PBAC meeting.</w:t>
      </w:r>
    </w:p>
    <w:p w:rsidR="00205B41" w:rsidRDefault="00205B41" w:rsidP="0093353F"/>
    <w:p w:rsidR="00205B41" w:rsidRDefault="00205B41" w:rsidP="0093353F"/>
    <w:p w:rsidR="0093353F" w:rsidRPr="00506F11" w:rsidRDefault="0093353F" w:rsidP="0093353F">
      <w:r w:rsidRPr="00506F11">
        <w:rPr>
          <w:b/>
          <w:bCs/>
        </w:rPr>
        <w:t xml:space="preserve">Dutasteride with tamsulosin </w:t>
      </w:r>
    </w:p>
    <w:p w:rsidR="0093353F" w:rsidRDefault="0093353F" w:rsidP="0093353F">
      <w:r>
        <w:t xml:space="preserve">The </w:t>
      </w:r>
      <w:r w:rsidRPr="00506F11">
        <w:t>PBAC (November</w:t>
      </w:r>
      <w:r>
        <w:t> </w:t>
      </w:r>
      <w:r w:rsidRPr="00506F11">
        <w:t>2010) recommended the listing of dutasteride with tamsulosin on a cost-minimisation basis compared with dutasteride and prazosin.</w:t>
      </w:r>
    </w:p>
    <w:p w:rsidR="00ED633B" w:rsidRPr="00F65F0D" w:rsidRDefault="0093353F" w:rsidP="0093353F">
      <w:r>
        <w:t xml:space="preserve">For further details refer to the </w:t>
      </w:r>
      <w:r w:rsidR="0057130B" w:rsidRPr="0084678C">
        <w:t>Public Summary Document</w:t>
      </w:r>
      <w:r w:rsidR="0057130B">
        <w:t xml:space="preserve"> </w:t>
      </w:r>
      <w:r w:rsidR="0057130B" w:rsidRPr="0057130B">
        <w:t>from the November 2010 PBAC meeting.</w:t>
      </w:r>
    </w:p>
    <w:p w:rsidR="000F2F51" w:rsidRPr="006C4620" w:rsidRDefault="00ED633B" w:rsidP="00C81F99">
      <w:pPr>
        <w:pStyle w:val="Heading4"/>
      </w:pPr>
      <w:r w:rsidRPr="006C4620">
        <w:t>A</w:t>
      </w:r>
      <w:r w:rsidR="000F2F51" w:rsidRPr="006C4620">
        <w:t xml:space="preserve">pproach </w:t>
      </w:r>
      <w:r w:rsidRPr="006C4620">
        <w:t xml:space="preserve">taken to </w:t>
      </w:r>
      <w:r w:rsidR="000F2F51" w:rsidRPr="006C4620">
        <w:t>estimat</w:t>
      </w:r>
      <w:r w:rsidRPr="006C4620">
        <w:t>e</w:t>
      </w:r>
      <w:r w:rsidR="000F2F51" w:rsidRPr="006C4620">
        <w:t xml:space="preserve"> utilisation</w:t>
      </w:r>
    </w:p>
    <w:p w:rsidR="00DF2D8E" w:rsidRPr="00506F11" w:rsidRDefault="00DF2D8E" w:rsidP="00DF2D8E">
      <w:r w:rsidRPr="00506F11">
        <w:t xml:space="preserve">The submission took an epidemiological approach to estimate the eligible population for </w:t>
      </w:r>
      <w:r>
        <w:t>both products</w:t>
      </w:r>
      <w:r w:rsidRPr="00506F11">
        <w:t xml:space="preserve">. </w:t>
      </w:r>
    </w:p>
    <w:p w:rsidR="00DF2D8E" w:rsidRPr="006055DC" w:rsidRDefault="00DF2D8E" w:rsidP="00DF2D8E">
      <w:r w:rsidRPr="006055DC">
        <w:t xml:space="preserve">The dutasteride submission assumed that prazosin use would increase and that finasteride use on the Repatriation Pharmaceutical Benefits Scheme (RPBS) would decrease after listing. The submission also assumed that medical treatment for acute urinary retention and BPH surgery would decrease. </w:t>
      </w:r>
    </w:p>
    <w:p w:rsidR="00DF2D8E" w:rsidRPr="00506F11" w:rsidRDefault="00DF2D8E" w:rsidP="00DF2D8E">
      <w:r w:rsidRPr="006055DC">
        <w:t xml:space="preserve">The submission for dutasteride with tamsulosin assumed that the FDC would substitute within the existing eligible population for dutasteride, with patients previously taking dutasteride and prazosin as individual components switching to the FDC. </w:t>
      </w:r>
    </w:p>
    <w:p w:rsidR="00DF2D8E" w:rsidRPr="00506F11" w:rsidRDefault="00ED7D15" w:rsidP="00DF2D8E">
      <w:r>
        <w:t xml:space="preserve">The </w:t>
      </w:r>
      <w:r w:rsidR="00DF2D8E" w:rsidRPr="00506F11">
        <w:t xml:space="preserve">PBAC considered uncertainty remained with the utilisation estimates. The main areas of uncertainty identified were: </w:t>
      </w:r>
    </w:p>
    <w:p w:rsidR="00DF2D8E" w:rsidRPr="00506F11" w:rsidRDefault="00DF2D8E" w:rsidP="00DF2D8E">
      <w:pPr>
        <w:pStyle w:val="ListParagraph"/>
        <w:numPr>
          <w:ilvl w:val="0"/>
          <w:numId w:val="1"/>
        </w:numPr>
        <w:ind w:left="993" w:hanging="644"/>
      </w:pPr>
      <w:r w:rsidRPr="00506F11">
        <w:t xml:space="preserve">numbers of diagnosed BPH patients </w:t>
      </w:r>
    </w:p>
    <w:p w:rsidR="00DF2D8E" w:rsidRPr="00506F11" w:rsidRDefault="00DF2D8E" w:rsidP="00DF2D8E">
      <w:pPr>
        <w:pStyle w:val="ListParagraph"/>
        <w:numPr>
          <w:ilvl w:val="0"/>
          <w:numId w:val="1"/>
        </w:numPr>
        <w:ind w:left="993" w:hanging="644"/>
      </w:pPr>
      <w:r w:rsidRPr="00506F11">
        <w:t xml:space="preserve">numbers of patients electing to receive drug treatment </w:t>
      </w:r>
    </w:p>
    <w:p w:rsidR="00DF2D8E" w:rsidRPr="00506F11" w:rsidRDefault="00DF2D8E" w:rsidP="00DF2D8E">
      <w:pPr>
        <w:pStyle w:val="ListParagraph"/>
        <w:numPr>
          <w:ilvl w:val="0"/>
          <w:numId w:val="1"/>
        </w:numPr>
        <w:ind w:left="993" w:hanging="644"/>
      </w:pPr>
      <w:r w:rsidRPr="00506F11">
        <w:t xml:space="preserve">whether medical therapy is required post-surgery </w:t>
      </w:r>
    </w:p>
    <w:p w:rsidR="00DF2D8E" w:rsidRPr="00506F11" w:rsidRDefault="00DF2D8E" w:rsidP="00DF2D8E">
      <w:pPr>
        <w:pStyle w:val="ListParagraph"/>
        <w:numPr>
          <w:ilvl w:val="0"/>
          <w:numId w:val="1"/>
        </w:numPr>
        <w:ind w:left="993" w:hanging="644"/>
      </w:pPr>
      <w:r w:rsidRPr="00506F11">
        <w:t xml:space="preserve">applicability of overseas data (where access to dutasteride was greater) to Australian population </w:t>
      </w:r>
    </w:p>
    <w:p w:rsidR="00DF2D8E" w:rsidRDefault="00DF2D8E" w:rsidP="00DF2D8E">
      <w:pPr>
        <w:pStyle w:val="ListParagraph"/>
        <w:numPr>
          <w:ilvl w:val="0"/>
          <w:numId w:val="1"/>
        </w:numPr>
        <w:ind w:left="993" w:hanging="644"/>
      </w:pPr>
      <w:r w:rsidRPr="00506F11">
        <w:t xml:space="preserve">assumed uptake rates </w:t>
      </w:r>
    </w:p>
    <w:p w:rsidR="00DF2D8E" w:rsidRDefault="00DF2D8E" w:rsidP="00DF2D8E">
      <w:pPr>
        <w:pStyle w:val="ListParagraph"/>
        <w:numPr>
          <w:ilvl w:val="0"/>
          <w:numId w:val="1"/>
        </w:numPr>
        <w:ind w:left="993" w:hanging="644"/>
      </w:pPr>
      <w:r>
        <w:t>applicability of RPBS population for finasteride – older patients than in clinical studies may have progressed beyond medical treatment of BPH</w:t>
      </w:r>
    </w:p>
    <w:p w:rsidR="00DF2D8E" w:rsidRDefault="00DF2D8E" w:rsidP="00DF2D8E">
      <w:pPr>
        <w:pStyle w:val="ListParagraph"/>
        <w:numPr>
          <w:ilvl w:val="0"/>
          <w:numId w:val="1"/>
        </w:numPr>
        <w:ind w:left="993" w:hanging="644"/>
        <w:rPr>
          <w:sz w:val="23"/>
          <w:szCs w:val="23"/>
        </w:rPr>
      </w:pPr>
      <w:r>
        <w:t>rate of switching from individual agents (dutasteride and prazosin) to the combination product</w:t>
      </w:r>
    </w:p>
    <w:p w:rsidR="00094DCF" w:rsidRPr="005C25A2" w:rsidRDefault="00ED633B" w:rsidP="000933D3">
      <w:pPr>
        <w:pStyle w:val="Heading4"/>
      </w:pPr>
      <w:r w:rsidRPr="005C25A2">
        <w:t xml:space="preserve">Previous reviews by </w:t>
      </w:r>
      <w:r w:rsidR="005C597F" w:rsidRPr="005C25A2">
        <w:t xml:space="preserve">the </w:t>
      </w:r>
      <w:r w:rsidRPr="005C25A2">
        <w:t>DUSC</w:t>
      </w:r>
    </w:p>
    <w:p w:rsidR="00DF2D8E" w:rsidRDefault="00CB005C" w:rsidP="00DF2D8E">
      <w:r>
        <w:t xml:space="preserve">The </w:t>
      </w:r>
      <w:r w:rsidR="00DF2D8E">
        <w:t xml:space="preserve">DUSC reviewed the utilisation of dutasteride and dutasteride with tamsulosin FDC at the June 2013 meeting. </w:t>
      </w:r>
    </w:p>
    <w:p w:rsidR="00DF2D8E" w:rsidRPr="00A5404C" w:rsidRDefault="00DF2D8E" w:rsidP="00DF2D8E">
      <w:r w:rsidRPr="00A5404C">
        <w:t xml:space="preserve">The initial uptake of both </w:t>
      </w:r>
      <w:r>
        <w:t>the single agent and FDC was lower than expected. The following factors were thought to have contributed:</w:t>
      </w:r>
      <w:r w:rsidRPr="00A5404C">
        <w:t xml:space="preserve"> </w:t>
      </w:r>
    </w:p>
    <w:p w:rsidR="00DF2D8E" w:rsidRPr="00A5404C" w:rsidRDefault="00DF2D8E" w:rsidP="00DF2D8E">
      <w:pPr>
        <w:pStyle w:val="ListParagraph"/>
        <w:numPr>
          <w:ilvl w:val="0"/>
          <w:numId w:val="5"/>
        </w:numPr>
        <w:ind w:left="993" w:hanging="633"/>
      </w:pPr>
      <w:r>
        <w:t xml:space="preserve">initial overestimates of the </w:t>
      </w:r>
      <w:r w:rsidRPr="00A5404C">
        <w:t xml:space="preserve">eligible population </w:t>
      </w:r>
      <w:r>
        <w:t>and/</w:t>
      </w:r>
      <w:r w:rsidRPr="00A5404C">
        <w:t xml:space="preserve">or those presenting for treatment </w:t>
      </w:r>
    </w:p>
    <w:p w:rsidR="00DF2D8E" w:rsidRPr="00A5404C" w:rsidRDefault="00DF2D8E" w:rsidP="00DF2D8E">
      <w:pPr>
        <w:pStyle w:val="ListParagraph"/>
        <w:numPr>
          <w:ilvl w:val="0"/>
          <w:numId w:val="5"/>
        </w:numPr>
        <w:ind w:left="993" w:hanging="633"/>
      </w:pPr>
      <w:r w:rsidRPr="00A5404C">
        <w:t>overestimated</w:t>
      </w:r>
      <w:r>
        <w:t xml:space="preserve"> uptake</w:t>
      </w:r>
      <w:r w:rsidRPr="00A5404C">
        <w:t xml:space="preserve"> with prescribers choosing not to use dutasteride until the combination with tamsulosin was available on the PBS </w:t>
      </w:r>
    </w:p>
    <w:p w:rsidR="00DF2D8E" w:rsidRPr="00A5404C" w:rsidRDefault="00DF2D8E" w:rsidP="00DF2D8E">
      <w:pPr>
        <w:pStyle w:val="ListParagraph"/>
        <w:numPr>
          <w:ilvl w:val="0"/>
          <w:numId w:val="5"/>
        </w:numPr>
        <w:ind w:left="993" w:hanging="633"/>
      </w:pPr>
      <w:r>
        <w:t xml:space="preserve">lower than expected </w:t>
      </w:r>
      <w:r w:rsidRPr="00A5404C">
        <w:t xml:space="preserve">adherence or persistence to therapy </w:t>
      </w:r>
    </w:p>
    <w:p w:rsidR="00DF2D8E" w:rsidRPr="00A5404C" w:rsidRDefault="00DF2D8E" w:rsidP="00DF2D8E">
      <w:pPr>
        <w:pStyle w:val="ListParagraph"/>
        <w:numPr>
          <w:ilvl w:val="0"/>
          <w:numId w:val="5"/>
        </w:numPr>
        <w:ind w:left="993" w:hanging="633"/>
      </w:pPr>
      <w:r>
        <w:t xml:space="preserve">delayed </w:t>
      </w:r>
      <w:r w:rsidRPr="00A5404C">
        <w:t>access to a urologist, which is req</w:t>
      </w:r>
      <w:r>
        <w:t>uired to initiate treatment</w:t>
      </w:r>
    </w:p>
    <w:p w:rsidR="00DF2D8E" w:rsidRPr="00A5404C" w:rsidRDefault="00DF2D8E" w:rsidP="00DF2D8E">
      <w:pPr>
        <w:pStyle w:val="ListParagraph"/>
        <w:numPr>
          <w:ilvl w:val="0"/>
          <w:numId w:val="5"/>
        </w:numPr>
        <w:ind w:left="993" w:hanging="633"/>
      </w:pPr>
      <w:r w:rsidRPr="00A5404C">
        <w:t>the potential for urologists to prefer surgical</w:t>
      </w:r>
      <w:r>
        <w:t xml:space="preserve"> treatment</w:t>
      </w:r>
      <w:r w:rsidRPr="00A5404C">
        <w:t xml:space="preserve"> over medical management </w:t>
      </w:r>
    </w:p>
    <w:p w:rsidR="00DF2D8E" w:rsidRPr="00A5404C" w:rsidRDefault="00DF2D8E" w:rsidP="00DF2D8E">
      <w:pPr>
        <w:pStyle w:val="ListParagraph"/>
        <w:numPr>
          <w:ilvl w:val="0"/>
          <w:numId w:val="5"/>
        </w:numPr>
        <w:ind w:left="993" w:hanging="633"/>
      </w:pPr>
      <w:r w:rsidRPr="00A5404C">
        <w:t>the unfor</w:t>
      </w:r>
      <w:r>
        <w:t>e</w:t>
      </w:r>
      <w:r w:rsidRPr="00A5404C">
        <w:t>seen private market for both single age</w:t>
      </w:r>
      <w:r>
        <w:t>nt and combination dutasteride</w:t>
      </w:r>
    </w:p>
    <w:p w:rsidR="00DF2D8E" w:rsidRPr="00B600EC" w:rsidRDefault="00DF2D8E" w:rsidP="00DF2D8E">
      <w:r w:rsidRPr="00B600EC">
        <w:t>Some prescribing of dutasteride and dutasteride with tamsulosin on private prescription was evident. As these drugs are below the general patient co-payment, some patients may have preferred private prescription if it allowed them to have a larger quantity dispensed at a lower cost.</w:t>
      </w:r>
    </w:p>
    <w:p w:rsidR="00DF2D8E" w:rsidRPr="00B600EC" w:rsidRDefault="00DF2D8E" w:rsidP="00DF2D8E">
      <w:r w:rsidRPr="00B600EC">
        <w:t>The onset of effect for dutasteride is 4–6 months, and patients may</w:t>
      </w:r>
      <w:r>
        <w:t xml:space="preserve"> have been </w:t>
      </w:r>
      <w:r w:rsidRPr="00B600EC">
        <w:t xml:space="preserve">unwilling to persist with treatment for </w:t>
      </w:r>
      <w:r>
        <w:t>the</w:t>
      </w:r>
      <w:r w:rsidRPr="00B600EC">
        <w:t xml:space="preserve"> duration.</w:t>
      </w:r>
    </w:p>
    <w:p w:rsidR="00DF2D8E" w:rsidRPr="00B600EC" w:rsidRDefault="00DF2D8E" w:rsidP="00DF2D8E">
      <w:r w:rsidRPr="00B600EC">
        <w:t xml:space="preserve">Prazosin usage seemed to be unaffected by </w:t>
      </w:r>
      <w:r>
        <w:t>use</w:t>
      </w:r>
      <w:r w:rsidRPr="00B600EC">
        <w:t xml:space="preserve"> of either single agent or FDC dutasteride. An analysis of prazosin and dutasteride co-administration was suggested to ascertain the extent of use for BPH. However, given the very low use of dutasteride it was</w:t>
      </w:r>
      <w:r w:rsidR="0092155D">
        <w:t xml:space="preserve"> </w:t>
      </w:r>
      <w:r w:rsidR="00771819">
        <w:t xml:space="preserve">considered </w:t>
      </w:r>
      <w:r w:rsidR="0092155D">
        <w:t>that this analysis may not be very informative.</w:t>
      </w:r>
    </w:p>
    <w:p w:rsidR="00DF2D8E" w:rsidRPr="00B600EC" w:rsidRDefault="00DF2D8E" w:rsidP="00DF2D8E">
      <w:r w:rsidRPr="00B600EC">
        <w:t xml:space="preserve">Given the large potential population for these products and based on the utilisation in Year 2, </w:t>
      </w:r>
      <w:r w:rsidR="00AD7D55">
        <w:t xml:space="preserve">the </w:t>
      </w:r>
      <w:r w:rsidRPr="00B600EC">
        <w:t>DUSC believed that the factors slowing initial uptake would be overcome, and utilisation would eventually reach its predicted level.</w:t>
      </w:r>
    </w:p>
    <w:p w:rsidR="00E677DD" w:rsidRPr="005E22C2" w:rsidRDefault="00E677DD" w:rsidP="00E11A6D">
      <w:pPr>
        <w:pStyle w:val="Heading3"/>
      </w:pPr>
      <w:r w:rsidRPr="005E22C2">
        <w:t>Method</w:t>
      </w:r>
      <w:r w:rsidR="001B5D37" w:rsidRPr="005E22C2">
        <w:t>s</w:t>
      </w:r>
    </w:p>
    <w:p w:rsidR="00DF2D8E" w:rsidRDefault="00DF2D8E" w:rsidP="00DF2D8E">
      <w:r w:rsidRPr="00B600EC">
        <w:t>De-identified pharmacy claim data for prescriptions of dutasteride and dutasteride with</w:t>
      </w:r>
      <w:r w:rsidRPr="009625BC">
        <w:rPr>
          <w:sz w:val="23"/>
          <w:szCs w:val="23"/>
        </w:rPr>
        <w:t xml:space="preserve"> </w:t>
      </w:r>
      <w:r w:rsidRPr="00B600EC">
        <w:t>tamsulosin were extracted from the DUSC database for the period February</w:t>
      </w:r>
      <w:r>
        <w:t> </w:t>
      </w:r>
      <w:r w:rsidRPr="00B600EC">
        <w:t>2011 to October</w:t>
      </w:r>
      <w:r>
        <w:t> </w:t>
      </w:r>
      <w:r w:rsidRPr="00B600EC">
        <w:t>2014 inclusive. The DUSC database</w:t>
      </w:r>
      <w:r>
        <w:t xml:space="preserve"> combine</w:t>
      </w:r>
      <w:r w:rsidR="007E2500">
        <w:t>s</w:t>
      </w:r>
      <w:r>
        <w:t xml:space="preserve"> data</w:t>
      </w:r>
      <w:r w:rsidRPr="00B600EC">
        <w:t xml:space="preserve"> for PBS prescriptions submitted to the Department of Human Services (DHS) for payment of a PBS/RPBS subsidy by the Government, with an estimate of under general co-payment and private prescriptions based on dispensing data from a sample of pharmacies</w:t>
      </w:r>
      <w:r>
        <w:t xml:space="preserve"> until March 2012</w:t>
      </w:r>
      <w:r w:rsidRPr="00B600EC">
        <w:t xml:space="preserve">. Actual under co-payment data became available from 1 April 2012 and the estimate was discontinued. </w:t>
      </w:r>
    </w:p>
    <w:p w:rsidR="00DF2D8E" w:rsidRDefault="00DF2D8E" w:rsidP="00DF2D8E">
      <w:r w:rsidRPr="00B600EC">
        <w:t xml:space="preserve">Private estimates </w:t>
      </w:r>
      <w:r>
        <w:t>were</w:t>
      </w:r>
      <w:r w:rsidRPr="00B600EC">
        <w:t xml:space="preserve"> included for the first two years of listing as per </w:t>
      </w:r>
      <w:r w:rsidR="00D62426">
        <w:t xml:space="preserve">the </w:t>
      </w:r>
      <w:r w:rsidRPr="00B600EC">
        <w:t>prior report</w:t>
      </w:r>
      <w:r>
        <w:t>, but were unavailable</w:t>
      </w:r>
      <w:r w:rsidRPr="00B600EC">
        <w:t xml:space="preserve"> for the </w:t>
      </w:r>
      <w:r>
        <w:t>third</w:t>
      </w:r>
      <w:r w:rsidRPr="00B600EC">
        <w:t xml:space="preserve"> and</w:t>
      </w:r>
      <w:r>
        <w:t xml:space="preserve"> fourth </w:t>
      </w:r>
      <w:r w:rsidRPr="00B600EC">
        <w:t xml:space="preserve">years of listing. </w:t>
      </w:r>
    </w:p>
    <w:p w:rsidR="00DF2D8E" w:rsidRPr="00B600EC" w:rsidRDefault="00DF2D8E" w:rsidP="00DF2D8E">
      <w:r w:rsidRPr="00B600EC">
        <w:t xml:space="preserve">The actual data presented for year </w:t>
      </w:r>
      <w:r>
        <w:t>four</w:t>
      </w:r>
      <w:r w:rsidRPr="00B600EC">
        <w:t xml:space="preserve"> is a part year, as complete data was only available for the first nine months (February 2013 to October 2014).</w:t>
      </w:r>
    </w:p>
    <w:p w:rsidR="00DF2D8E" w:rsidRPr="00B600EC" w:rsidRDefault="00DF2D8E" w:rsidP="00DF2D8E">
      <w:r w:rsidRPr="00B600EC">
        <w:t>The extracted data included the number of prescriptions, the patient beneficiary category and Government expenditure based on the price published in the PBS schedule. All data were based on date of supply to the patient.</w:t>
      </w:r>
    </w:p>
    <w:p w:rsidR="00DF2D8E" w:rsidRDefault="00DF2D8E" w:rsidP="00DF2D8E">
      <w:r w:rsidRPr="00B600EC">
        <w:t xml:space="preserve">The estimates of use presented in this report are those agreed between the Sponsor and </w:t>
      </w:r>
      <w:r>
        <w:t>the then Department of Health and Ageing (</w:t>
      </w:r>
      <w:r w:rsidRPr="00B600EC">
        <w:t>DoHA</w:t>
      </w:r>
      <w:r>
        <w:t xml:space="preserve">) </w:t>
      </w:r>
      <w:r w:rsidRPr="00B600EC">
        <w:t>post PBAC recommendation to list.</w:t>
      </w:r>
    </w:p>
    <w:p w:rsidR="00DF2D8E" w:rsidRPr="00B600EC" w:rsidRDefault="00DF2D8E" w:rsidP="00DF2D8E">
      <w:r w:rsidRPr="00576906">
        <w:t xml:space="preserve">Length of treatment analysis was performed using DHS supplied </w:t>
      </w:r>
      <w:r>
        <w:t>prescription</w:t>
      </w:r>
      <w:r w:rsidRPr="00576906">
        <w:t xml:space="preserve"> data using the methodology described in Appendix </w:t>
      </w:r>
      <w:r>
        <w:t>B</w:t>
      </w:r>
      <w:r w:rsidRPr="00576906">
        <w:t>.</w:t>
      </w:r>
      <w:r w:rsidRPr="00576906">
        <w:rPr>
          <w:rFonts w:eastAsia="Calibri" w:cs="Times New Roman"/>
        </w:rPr>
        <w:t xml:space="preserve"> </w:t>
      </w:r>
      <w:r w:rsidRPr="00576906">
        <w:t xml:space="preserve">Length of treatment analyses used </w:t>
      </w:r>
      <w:r>
        <w:t>prescription</w:t>
      </w:r>
      <w:r w:rsidRPr="00576906">
        <w:t xml:space="preserve"> data from </w:t>
      </w:r>
      <w:r>
        <w:t>February 2011 to December 2014</w:t>
      </w:r>
      <w:r w:rsidRPr="00576906">
        <w:t xml:space="preserve"> inclusive.</w:t>
      </w:r>
    </w:p>
    <w:p w:rsidR="00C714D0" w:rsidRPr="005E22C2" w:rsidRDefault="00C714D0" w:rsidP="00E11A6D">
      <w:pPr>
        <w:pStyle w:val="Heading3"/>
      </w:pPr>
      <w:r w:rsidRPr="005E22C2">
        <w:t>Results</w:t>
      </w:r>
    </w:p>
    <w:p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Pr="005E22C2" w:rsidRDefault="00736041" w:rsidP="0038097B">
      <w:pPr>
        <w:pStyle w:val="Heading5"/>
      </w:pPr>
      <w:r w:rsidRPr="005E22C2">
        <w:t>Overall utilisation</w:t>
      </w:r>
    </w:p>
    <w:p w:rsidR="00DF2D8E" w:rsidRDefault="00DF2D8E" w:rsidP="00DF2D8E">
      <w:pPr>
        <w:spacing w:line="276" w:lineRule="auto"/>
        <w:rPr>
          <w:rFonts w:ascii="Calibri" w:hAnsi="Calibri" w:cs="Calibri"/>
          <w:color w:val="000000"/>
        </w:rPr>
      </w:pPr>
      <w:r w:rsidRPr="002936A0">
        <w:rPr>
          <w:rFonts w:ascii="Calibri" w:hAnsi="Calibri" w:cs="Calibri"/>
          <w:color w:val="000000"/>
        </w:rPr>
        <w:t xml:space="preserve">Table </w:t>
      </w:r>
      <w:r>
        <w:rPr>
          <w:rFonts w:ascii="Calibri" w:hAnsi="Calibri" w:cs="Calibri"/>
          <w:color w:val="000000"/>
        </w:rPr>
        <w:t>2</w:t>
      </w:r>
      <w:r w:rsidRPr="002936A0">
        <w:rPr>
          <w:rFonts w:ascii="Calibri" w:hAnsi="Calibri" w:cs="Calibri"/>
          <w:color w:val="000000"/>
        </w:rPr>
        <w:t xml:space="preserve"> presents prescription volume data for the first </w:t>
      </w:r>
      <w:r>
        <w:rPr>
          <w:rFonts w:ascii="Calibri" w:hAnsi="Calibri" w:cs="Calibri"/>
          <w:color w:val="000000"/>
        </w:rPr>
        <w:t>three</w:t>
      </w:r>
      <w:r w:rsidRPr="002936A0">
        <w:rPr>
          <w:rFonts w:ascii="Calibri" w:hAnsi="Calibri" w:cs="Calibri"/>
          <w:color w:val="000000"/>
        </w:rPr>
        <w:t xml:space="preserve"> years</w:t>
      </w:r>
      <w:r>
        <w:rPr>
          <w:rFonts w:ascii="Calibri" w:hAnsi="Calibri" w:cs="Calibri"/>
          <w:color w:val="000000"/>
        </w:rPr>
        <w:t>, and the first nine months of the fourth year,</w:t>
      </w:r>
      <w:r w:rsidRPr="002936A0">
        <w:rPr>
          <w:rFonts w:ascii="Calibri" w:hAnsi="Calibri" w:cs="Calibri"/>
          <w:color w:val="000000"/>
        </w:rPr>
        <w:t xml:space="preserve"> </w:t>
      </w:r>
      <w:r>
        <w:rPr>
          <w:rFonts w:ascii="Calibri" w:hAnsi="Calibri" w:cs="Calibri"/>
          <w:color w:val="000000"/>
        </w:rPr>
        <w:t>from 1 February 2011 (</w:t>
      </w:r>
      <w:r w:rsidRPr="002936A0">
        <w:rPr>
          <w:rFonts w:ascii="Calibri" w:hAnsi="Calibri" w:cs="Calibri"/>
          <w:color w:val="000000"/>
        </w:rPr>
        <w:t>the date of PBS listing of dutasteride</w:t>
      </w:r>
      <w:r>
        <w:rPr>
          <w:rFonts w:ascii="Calibri" w:hAnsi="Calibri" w:cs="Calibri"/>
          <w:color w:val="000000"/>
        </w:rPr>
        <w:t>)</w:t>
      </w:r>
      <w:r w:rsidRPr="002936A0">
        <w:rPr>
          <w:rFonts w:ascii="Calibri" w:hAnsi="Calibri" w:cs="Calibri"/>
          <w:color w:val="000000"/>
        </w:rPr>
        <w:t>. The same time periods are used for assessing dutasteride with tamsulosin FDC product</w:t>
      </w:r>
      <w:r>
        <w:rPr>
          <w:rFonts w:ascii="Calibri" w:hAnsi="Calibri" w:cs="Calibri"/>
          <w:color w:val="000000"/>
        </w:rPr>
        <w:t xml:space="preserve"> </w:t>
      </w:r>
      <w:r w:rsidRPr="002936A0">
        <w:rPr>
          <w:rFonts w:ascii="Calibri" w:hAnsi="Calibri" w:cs="Calibri"/>
          <w:color w:val="000000"/>
        </w:rPr>
        <w:t>utilisation</w:t>
      </w:r>
      <w:r>
        <w:rPr>
          <w:rFonts w:ascii="Calibri" w:hAnsi="Calibri" w:cs="Calibri"/>
          <w:color w:val="000000"/>
        </w:rPr>
        <w:t xml:space="preserve"> (listed from 1 August </w:t>
      </w:r>
      <w:r w:rsidRPr="002936A0">
        <w:rPr>
          <w:rFonts w:ascii="Calibri" w:hAnsi="Calibri" w:cs="Calibri"/>
          <w:color w:val="000000"/>
        </w:rPr>
        <w:t xml:space="preserve">2011) </w:t>
      </w:r>
      <w:r>
        <w:rPr>
          <w:rFonts w:ascii="Calibri" w:hAnsi="Calibri" w:cs="Calibri"/>
          <w:color w:val="000000"/>
        </w:rPr>
        <w:t>because it</w:t>
      </w:r>
      <w:r w:rsidRPr="002936A0">
        <w:rPr>
          <w:rFonts w:ascii="Calibri" w:hAnsi="Calibri" w:cs="Calibri"/>
          <w:color w:val="000000"/>
        </w:rPr>
        <w:t xml:space="preserve"> allows predicted versus actual comparison of the total dutasteride market, consistent with the epidemiological basis of the estimates. </w:t>
      </w:r>
      <w:r w:rsidRPr="004135D2">
        <w:rPr>
          <w:rFonts w:ascii="Calibri" w:hAnsi="Calibri" w:cs="Calibri"/>
          <w:color w:val="000000"/>
        </w:rPr>
        <w:t>Utilisation of the FDC product specifically for the first year of its listing is provided as a footnote to the table.</w:t>
      </w:r>
      <w:r>
        <w:rPr>
          <w:rFonts w:ascii="Calibri" w:hAnsi="Calibri" w:cs="Calibri"/>
          <w:color w:val="000000"/>
        </w:rPr>
        <w:t xml:space="preserve"> Actual prescription volume data categorised by </w:t>
      </w:r>
      <w:r w:rsidRPr="00246FA2">
        <w:rPr>
          <w:rFonts w:ascii="Calibri" w:hAnsi="Calibri" w:cs="Calibri"/>
          <w:color w:val="000000"/>
        </w:rPr>
        <w:t>prescription</w:t>
      </w:r>
      <w:r>
        <w:rPr>
          <w:rFonts w:ascii="Calibri" w:hAnsi="Calibri" w:cs="Calibri"/>
          <w:color w:val="000000"/>
        </w:rPr>
        <w:t xml:space="preserve"> type is provided in Appendix A.</w:t>
      </w:r>
    </w:p>
    <w:p w:rsidR="00DF2D8E" w:rsidRPr="00083EF1" w:rsidRDefault="00DF2D8E" w:rsidP="00083EF1">
      <w:pPr>
        <w:spacing w:line="276" w:lineRule="auto"/>
        <w:rPr>
          <w:b/>
        </w:rPr>
      </w:pPr>
      <w:r w:rsidRPr="00083EF1">
        <w:rPr>
          <w:b/>
        </w:rPr>
        <w:t xml:space="preserve">Table 2: number of R/PBS prescriptions for dutasteride (5468T) and dutasteride with tamsulosin FDC (5490Y) supplied </w:t>
      </w:r>
    </w:p>
    <w:tbl>
      <w:tblPr>
        <w:tblStyle w:val="TableGrid"/>
        <w:tblW w:w="0" w:type="auto"/>
        <w:tblInd w:w="108" w:type="dxa"/>
        <w:tblLook w:val="04A0" w:firstRow="1" w:lastRow="0" w:firstColumn="1" w:lastColumn="0" w:noHBand="0" w:noVBand="1"/>
        <w:tblCaption w:val="Table 2 shows a comparison of the actual and predicted number of R/PBS scripts supplied in the first 4 years of listing"/>
      </w:tblPr>
      <w:tblGrid>
        <w:gridCol w:w="1397"/>
        <w:gridCol w:w="1012"/>
        <w:gridCol w:w="825"/>
        <w:gridCol w:w="1012"/>
        <w:gridCol w:w="911"/>
        <w:gridCol w:w="1012"/>
        <w:gridCol w:w="942"/>
        <w:gridCol w:w="1012"/>
        <w:gridCol w:w="942"/>
      </w:tblGrid>
      <w:tr w:rsidR="00DF2D8E" w:rsidTr="00163075">
        <w:trPr>
          <w:tblHeader/>
        </w:trPr>
        <w:tc>
          <w:tcPr>
            <w:tcW w:w="0" w:type="auto"/>
            <w:shd w:val="clear" w:color="auto" w:fill="BFBFBF" w:themeFill="background1" w:themeFillShade="BF"/>
          </w:tcPr>
          <w:p w:rsidR="00DF2D8E" w:rsidRDefault="00DF2D8E" w:rsidP="00163075">
            <w:pPr>
              <w:spacing w:line="276" w:lineRule="auto"/>
              <w:rPr>
                <w:rFonts w:ascii="Calibri" w:hAnsi="Calibri" w:cs="Calibri"/>
                <w:b/>
                <w:color w:val="000000"/>
                <w:sz w:val="20"/>
              </w:rPr>
            </w:pPr>
          </w:p>
        </w:tc>
        <w:tc>
          <w:tcPr>
            <w:tcW w:w="0" w:type="auto"/>
            <w:tcBorders>
              <w:righ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Year 1</w:t>
            </w:r>
          </w:p>
        </w:tc>
        <w:tc>
          <w:tcPr>
            <w:tcW w:w="0" w:type="auto"/>
            <w:tcBorders>
              <w:lef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p>
        </w:tc>
        <w:tc>
          <w:tcPr>
            <w:tcW w:w="0" w:type="auto"/>
            <w:tcBorders>
              <w:righ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Year 2</w:t>
            </w:r>
          </w:p>
        </w:tc>
        <w:tc>
          <w:tcPr>
            <w:tcW w:w="0" w:type="auto"/>
            <w:tcBorders>
              <w:lef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p>
        </w:tc>
        <w:tc>
          <w:tcPr>
            <w:tcW w:w="0" w:type="auto"/>
            <w:tcBorders>
              <w:righ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Year 3</w:t>
            </w:r>
          </w:p>
        </w:tc>
        <w:tc>
          <w:tcPr>
            <w:tcW w:w="0" w:type="auto"/>
            <w:tcBorders>
              <w:lef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p>
        </w:tc>
        <w:tc>
          <w:tcPr>
            <w:tcW w:w="0" w:type="auto"/>
            <w:tcBorders>
              <w:righ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Year 4</w:t>
            </w:r>
            <w:r w:rsidRPr="001E7718">
              <w:rPr>
                <w:rFonts w:ascii="Calibri" w:hAnsi="Calibri" w:cs="Calibri"/>
                <w:b/>
                <w:color w:val="000000"/>
                <w:sz w:val="20"/>
                <w:szCs w:val="20"/>
                <w:vertAlign w:val="superscript"/>
              </w:rPr>
              <w:t>d</w:t>
            </w:r>
          </w:p>
        </w:tc>
        <w:tc>
          <w:tcPr>
            <w:tcW w:w="0" w:type="auto"/>
            <w:tcBorders>
              <w:left w:val="nil"/>
            </w:tcBorders>
            <w:shd w:val="clear" w:color="auto" w:fill="BFBFBF" w:themeFill="background1" w:themeFillShade="BF"/>
            <w:vAlign w:val="center"/>
          </w:tcPr>
          <w:p w:rsidR="00DF2D8E" w:rsidRPr="001E7718" w:rsidRDefault="00DF2D8E" w:rsidP="00163075">
            <w:pPr>
              <w:spacing w:line="276" w:lineRule="auto"/>
              <w:jc w:val="center"/>
              <w:rPr>
                <w:rFonts w:ascii="Calibri" w:hAnsi="Calibri" w:cs="Calibri"/>
                <w:b/>
                <w:color w:val="000000"/>
                <w:sz w:val="20"/>
                <w:szCs w:val="20"/>
              </w:rPr>
            </w:pPr>
          </w:p>
        </w:tc>
      </w:tr>
      <w:tr w:rsidR="00DF2D8E" w:rsidRPr="004358FE" w:rsidTr="00163075">
        <w:trPr>
          <w:trHeight w:val="661"/>
          <w:tblHeader/>
        </w:trPr>
        <w:tc>
          <w:tcPr>
            <w:tcW w:w="0" w:type="auto"/>
            <w:shd w:val="clear" w:color="auto" w:fill="BFBFBF" w:themeFill="background1" w:themeFillShade="BF"/>
          </w:tcPr>
          <w:p w:rsidR="00DF2D8E" w:rsidRPr="004358FE" w:rsidRDefault="00DF2D8E" w:rsidP="00163075">
            <w:pPr>
              <w:spacing w:line="276" w:lineRule="auto"/>
              <w:rPr>
                <w:rFonts w:ascii="Calibri" w:hAnsi="Calibri" w:cs="Calibri"/>
                <w:b/>
                <w:color w:val="000000"/>
                <w:sz w:val="19"/>
                <w:szCs w:val="19"/>
              </w:rPr>
            </w:pP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Predicted</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Style w:val="IntenseReference"/>
                <w:bCs w:val="0"/>
                <w:i w:val="0"/>
                <w:smallCaps w:val="0"/>
                <w:color w:val="auto"/>
                <w:sz w:val="20"/>
                <w:szCs w:val="20"/>
              </w:rPr>
              <w:t>Actual (%</w:t>
            </w:r>
            <w:r w:rsidRPr="001E7718">
              <w:rPr>
                <w:rStyle w:val="IntenseReference"/>
                <w:bCs w:val="0"/>
                <w:i w:val="0"/>
                <w:smallCaps w:val="0"/>
                <w:color w:val="auto"/>
                <w:sz w:val="20"/>
                <w:szCs w:val="20"/>
                <w:vertAlign w:val="superscript"/>
              </w:rPr>
              <w:t>c</w:t>
            </w:r>
            <w:r w:rsidRPr="001E7718">
              <w:rPr>
                <w:rStyle w:val="IntenseReference"/>
                <w:bCs w:val="0"/>
                <w:i w:val="0"/>
                <w:smallCaps w:val="0"/>
                <w:color w:val="auto"/>
                <w:sz w:val="20"/>
                <w:szCs w:val="20"/>
              </w:rPr>
              <w:t>)</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Predicted</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Style w:val="IntenseReference"/>
                <w:bCs w:val="0"/>
                <w:i w:val="0"/>
                <w:smallCaps w:val="0"/>
                <w:color w:val="auto"/>
                <w:sz w:val="20"/>
                <w:szCs w:val="20"/>
              </w:rPr>
              <w:t>Actual (%</w:t>
            </w:r>
            <w:r w:rsidRPr="001E7718">
              <w:rPr>
                <w:rStyle w:val="IntenseReference"/>
                <w:bCs w:val="0"/>
                <w:i w:val="0"/>
                <w:smallCaps w:val="0"/>
                <w:color w:val="auto"/>
                <w:sz w:val="20"/>
                <w:szCs w:val="20"/>
                <w:vertAlign w:val="superscript"/>
              </w:rPr>
              <w:t>c</w:t>
            </w:r>
            <w:r w:rsidRPr="001E7718">
              <w:rPr>
                <w:rStyle w:val="IntenseReference"/>
                <w:bCs w:val="0"/>
                <w:i w:val="0"/>
                <w:smallCaps w:val="0"/>
                <w:color w:val="auto"/>
                <w:sz w:val="20"/>
                <w:szCs w:val="20"/>
              </w:rPr>
              <w:t>)</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Predicted</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Style w:val="IntenseReference"/>
                <w:bCs w:val="0"/>
                <w:i w:val="0"/>
                <w:smallCaps w:val="0"/>
                <w:color w:val="auto"/>
                <w:sz w:val="20"/>
                <w:szCs w:val="20"/>
              </w:rPr>
              <w:t>Actual (%</w:t>
            </w:r>
            <w:r w:rsidRPr="001E7718">
              <w:rPr>
                <w:rStyle w:val="IntenseReference"/>
                <w:bCs w:val="0"/>
                <w:i w:val="0"/>
                <w:smallCaps w:val="0"/>
                <w:color w:val="auto"/>
                <w:sz w:val="20"/>
                <w:szCs w:val="20"/>
                <w:vertAlign w:val="superscript"/>
              </w:rPr>
              <w:t>c</w:t>
            </w:r>
            <w:r w:rsidRPr="001E7718">
              <w:rPr>
                <w:rStyle w:val="IntenseReference"/>
                <w:bCs w:val="0"/>
                <w:i w:val="0"/>
                <w:smallCaps w:val="0"/>
                <w:color w:val="auto"/>
                <w:sz w:val="20"/>
                <w:szCs w:val="20"/>
              </w:rPr>
              <w:t>)</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Fonts w:ascii="Calibri" w:hAnsi="Calibri" w:cs="Calibri"/>
                <w:b/>
                <w:color w:val="000000"/>
                <w:sz w:val="20"/>
                <w:szCs w:val="20"/>
              </w:rPr>
              <w:t>Predicted</w:t>
            </w:r>
          </w:p>
        </w:tc>
        <w:tc>
          <w:tcPr>
            <w:tcW w:w="0" w:type="auto"/>
            <w:shd w:val="clear" w:color="auto" w:fill="BFBFBF" w:themeFill="background1" w:themeFillShade="BF"/>
          </w:tcPr>
          <w:p w:rsidR="00DF2D8E" w:rsidRPr="001E7718" w:rsidRDefault="00DF2D8E" w:rsidP="00163075">
            <w:pPr>
              <w:spacing w:line="276" w:lineRule="auto"/>
              <w:jc w:val="center"/>
              <w:rPr>
                <w:rFonts w:ascii="Calibri" w:hAnsi="Calibri" w:cs="Calibri"/>
                <w:b/>
                <w:color w:val="000000"/>
                <w:sz w:val="20"/>
                <w:szCs w:val="20"/>
              </w:rPr>
            </w:pPr>
            <w:r w:rsidRPr="001E7718">
              <w:rPr>
                <w:rStyle w:val="IntenseReference"/>
                <w:bCs w:val="0"/>
                <w:i w:val="0"/>
                <w:smallCaps w:val="0"/>
                <w:color w:val="auto"/>
                <w:sz w:val="20"/>
                <w:szCs w:val="20"/>
              </w:rPr>
              <w:t>Actual (%</w:t>
            </w:r>
            <w:r w:rsidRPr="001E7718">
              <w:rPr>
                <w:rStyle w:val="IntenseReference"/>
                <w:bCs w:val="0"/>
                <w:i w:val="0"/>
                <w:smallCaps w:val="0"/>
                <w:color w:val="auto"/>
                <w:sz w:val="20"/>
                <w:szCs w:val="20"/>
                <w:vertAlign w:val="superscript"/>
              </w:rPr>
              <w:t>c</w:t>
            </w:r>
            <w:r w:rsidRPr="001E7718">
              <w:rPr>
                <w:rStyle w:val="IntenseReference"/>
                <w:bCs w:val="0"/>
                <w:i w:val="0"/>
                <w:smallCaps w:val="0"/>
                <w:color w:val="auto"/>
                <w:sz w:val="20"/>
                <w:szCs w:val="20"/>
              </w:rPr>
              <w:t>)</w:t>
            </w:r>
          </w:p>
        </w:tc>
      </w:tr>
      <w:tr w:rsidR="00DF2D8E" w:rsidTr="00163075">
        <w:trPr>
          <w:trHeight w:val="842"/>
        </w:trPr>
        <w:tc>
          <w:tcPr>
            <w:tcW w:w="0" w:type="auto"/>
          </w:tcPr>
          <w:p w:rsidR="00DF2D8E" w:rsidRDefault="00DF2D8E" w:rsidP="00163075">
            <w:pPr>
              <w:spacing w:line="276" w:lineRule="auto"/>
              <w:rPr>
                <w:rFonts w:ascii="Calibri" w:hAnsi="Calibri" w:cs="Calibri"/>
                <w:b/>
                <w:color w:val="000000"/>
                <w:sz w:val="20"/>
              </w:rPr>
            </w:pPr>
            <w:r>
              <w:rPr>
                <w:rFonts w:ascii="Calibri" w:hAnsi="Calibri" w:cs="Calibri"/>
                <w:b/>
                <w:color w:val="000000"/>
                <w:sz w:val="20"/>
              </w:rPr>
              <w:t>Dutasteride</w:t>
            </w:r>
            <w:r w:rsidRPr="002A3CED">
              <w:rPr>
                <w:rFonts w:ascii="Calibri" w:hAnsi="Calibri" w:cs="Calibri"/>
                <w:b/>
                <w:color w:val="000000"/>
                <w:sz w:val="20"/>
                <w:vertAlign w:val="superscript"/>
              </w:rPr>
              <w:t>a</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cs="Calibri"/>
                <w:sz w:val="20"/>
              </w:rPr>
              <w:t>205,633</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cs="Calibri"/>
                <w:sz w:val="20"/>
              </w:rPr>
              <w:t>30,794</w:t>
            </w:r>
            <w:r w:rsidRPr="006055DC">
              <w:rPr>
                <w:rFonts w:cs="Calibri"/>
                <w:sz w:val="20"/>
              </w:rPr>
              <w:br/>
              <w:t xml:space="preserve"> (15%)</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cs="Calibri"/>
                <w:sz w:val="20"/>
              </w:rPr>
              <w:t>396,216</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cs="Calibri"/>
                <w:sz w:val="20"/>
              </w:rPr>
              <w:t>33,220</w:t>
            </w:r>
            <w:r w:rsidRPr="006055DC">
              <w:rPr>
                <w:rFonts w:cs="Calibri"/>
                <w:sz w:val="20"/>
              </w:rPr>
              <w:br/>
              <w:t xml:space="preserve"> (8%)</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sz w:val="20"/>
                <w:szCs w:val="20"/>
              </w:rPr>
              <w:t>397,007</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35,686</w:t>
            </w:r>
            <w:r w:rsidRPr="006055DC">
              <w:rPr>
                <w:rStyle w:val="IntenseReference"/>
                <w:b w:val="0"/>
                <w:bCs w:val="0"/>
                <w:i w:val="0"/>
                <w:smallCaps w:val="0"/>
                <w:color w:val="auto"/>
                <w:spacing w:val="0"/>
                <w:sz w:val="20"/>
                <w:szCs w:val="20"/>
              </w:rPr>
              <w:br/>
            </w:r>
            <w:r w:rsidRPr="006055DC">
              <w:rPr>
                <w:rStyle w:val="IntenseReference"/>
                <w:b w:val="0"/>
                <w:bCs w:val="0"/>
                <w:i w:val="0"/>
                <w:smallCaps w:val="0"/>
                <w:color w:val="auto"/>
                <w:sz w:val="20"/>
                <w:szCs w:val="20"/>
              </w:rPr>
              <w:t xml:space="preserve"> (9%)</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373,037</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28,301</w:t>
            </w:r>
            <w:r w:rsidRPr="006055DC">
              <w:rPr>
                <w:rStyle w:val="IntenseReference"/>
                <w:b w:val="0"/>
                <w:bCs w:val="0"/>
                <w:i w:val="0"/>
                <w:smallCaps w:val="0"/>
                <w:color w:val="auto"/>
                <w:sz w:val="20"/>
                <w:szCs w:val="20"/>
              </w:rPr>
              <w:t xml:space="preserve"> </w:t>
            </w:r>
            <w:r w:rsidRPr="006055DC">
              <w:rPr>
                <w:rStyle w:val="IntenseReference"/>
                <w:b w:val="0"/>
                <w:bCs w:val="0"/>
                <w:i w:val="0"/>
                <w:smallCaps w:val="0"/>
                <w:color w:val="auto"/>
                <w:sz w:val="20"/>
                <w:szCs w:val="20"/>
              </w:rPr>
              <w:br/>
              <w:t>(8%)</w:t>
            </w:r>
          </w:p>
        </w:tc>
      </w:tr>
      <w:tr w:rsidR="00DF2D8E" w:rsidTr="00163075">
        <w:trPr>
          <w:trHeight w:val="842"/>
        </w:trPr>
        <w:tc>
          <w:tcPr>
            <w:tcW w:w="0" w:type="auto"/>
          </w:tcPr>
          <w:p w:rsidR="00DF2D8E" w:rsidRDefault="00DF2D8E" w:rsidP="00163075">
            <w:pPr>
              <w:spacing w:line="276" w:lineRule="auto"/>
              <w:rPr>
                <w:rFonts w:ascii="Calibri" w:hAnsi="Calibri" w:cs="Calibri"/>
                <w:b/>
                <w:color w:val="000000"/>
                <w:sz w:val="20"/>
              </w:rPr>
            </w:pPr>
            <w:r>
              <w:rPr>
                <w:rFonts w:ascii="Calibri" w:hAnsi="Calibri" w:cs="Calibri"/>
                <w:b/>
                <w:color w:val="000000"/>
                <w:sz w:val="20"/>
              </w:rPr>
              <w:t>Dutasteride + tamsulosin</w:t>
            </w:r>
            <w:r w:rsidRPr="002A3CED">
              <w:rPr>
                <w:rFonts w:ascii="Calibri" w:hAnsi="Calibri" w:cs="Calibri"/>
                <w:b/>
                <w:color w:val="000000"/>
                <w:sz w:val="20"/>
                <w:vertAlign w:val="superscript"/>
              </w:rPr>
              <w:t>b</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ascii="Calibri" w:hAnsi="Calibri" w:cs="Calibri"/>
                <w:sz w:val="20"/>
              </w:rPr>
              <w:t>139,443</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ascii="Calibri" w:hAnsi="Calibri" w:cs="Calibri"/>
                <w:sz w:val="20"/>
              </w:rPr>
              <w:t>38,660</w:t>
            </w:r>
            <w:r w:rsidRPr="006055DC">
              <w:rPr>
                <w:rFonts w:ascii="Calibri" w:hAnsi="Calibri" w:cs="Calibri"/>
                <w:sz w:val="20"/>
              </w:rPr>
              <w:br/>
              <w:t>(28%</w:t>
            </w:r>
            <w:r w:rsidRPr="006055DC">
              <w:rPr>
                <w:rFonts w:ascii="Calibri" w:hAnsi="Calibri" w:cs="Calibri"/>
                <w:sz w:val="20"/>
                <w:vertAlign w:val="superscript"/>
              </w:rPr>
              <w:t>e</w:t>
            </w:r>
            <w:r w:rsidRPr="006055DC">
              <w:rPr>
                <w:rFonts w:ascii="Calibri" w:hAnsi="Calibri" w:cs="Calibri"/>
                <w:sz w:val="20"/>
              </w:rPr>
              <w:t>)</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ascii="Calibri" w:hAnsi="Calibri" w:cs="Calibri"/>
                <w:sz w:val="20"/>
              </w:rPr>
              <w:t>333,172</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Fonts w:ascii="Calibri" w:hAnsi="Calibri" w:cs="Calibri"/>
                <w:sz w:val="20"/>
              </w:rPr>
              <w:t>214,307</w:t>
            </w:r>
            <w:r w:rsidRPr="006055DC">
              <w:rPr>
                <w:rFonts w:ascii="Calibri" w:hAnsi="Calibri" w:cs="Calibri"/>
                <w:sz w:val="20"/>
              </w:rPr>
              <w:br/>
              <w:t>(64%)</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508,701</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360,922</w:t>
            </w:r>
            <w:r w:rsidRPr="006055DC">
              <w:rPr>
                <w:rStyle w:val="IntenseReference"/>
                <w:b w:val="0"/>
                <w:bCs w:val="0"/>
                <w:i w:val="0"/>
                <w:smallCaps w:val="0"/>
                <w:color w:val="auto"/>
                <w:spacing w:val="0"/>
                <w:sz w:val="20"/>
                <w:szCs w:val="20"/>
              </w:rPr>
              <w:br/>
            </w:r>
            <w:r w:rsidRPr="006055DC">
              <w:rPr>
                <w:rStyle w:val="IntenseReference"/>
                <w:b w:val="0"/>
                <w:bCs w:val="0"/>
                <w:i w:val="0"/>
                <w:smallCaps w:val="0"/>
                <w:color w:val="auto"/>
                <w:sz w:val="20"/>
                <w:szCs w:val="20"/>
              </w:rPr>
              <w:t xml:space="preserve"> (71%)</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711,419</w:t>
            </w:r>
          </w:p>
        </w:tc>
        <w:tc>
          <w:tcPr>
            <w:tcW w:w="0" w:type="auto"/>
          </w:tcPr>
          <w:p w:rsidR="00DF2D8E" w:rsidRPr="006055DC" w:rsidRDefault="00DF2D8E" w:rsidP="00163075">
            <w:pPr>
              <w:spacing w:line="276" w:lineRule="auto"/>
              <w:jc w:val="center"/>
              <w:rPr>
                <w:rFonts w:ascii="Calibri" w:hAnsi="Calibri" w:cs="Calibri"/>
                <w:b/>
                <w:color w:val="000000"/>
                <w:sz w:val="20"/>
              </w:rPr>
            </w:pPr>
            <w:r w:rsidRPr="006055DC">
              <w:rPr>
                <w:rStyle w:val="IntenseReference"/>
                <w:b w:val="0"/>
                <w:bCs w:val="0"/>
                <w:i w:val="0"/>
                <w:smallCaps w:val="0"/>
                <w:color w:val="auto"/>
                <w:spacing w:val="0"/>
                <w:sz w:val="20"/>
                <w:szCs w:val="20"/>
              </w:rPr>
              <w:t>353,789</w:t>
            </w:r>
            <w:r w:rsidRPr="006055DC">
              <w:rPr>
                <w:rStyle w:val="IntenseReference"/>
                <w:b w:val="0"/>
                <w:bCs w:val="0"/>
                <w:i w:val="0"/>
                <w:smallCaps w:val="0"/>
                <w:color w:val="auto"/>
                <w:spacing w:val="0"/>
                <w:sz w:val="20"/>
                <w:szCs w:val="20"/>
              </w:rPr>
              <w:br/>
            </w:r>
            <w:r w:rsidRPr="006055DC">
              <w:rPr>
                <w:rStyle w:val="IntenseReference"/>
                <w:b w:val="0"/>
                <w:bCs w:val="0"/>
                <w:i w:val="0"/>
                <w:smallCaps w:val="0"/>
                <w:color w:val="auto"/>
                <w:sz w:val="20"/>
                <w:szCs w:val="20"/>
              </w:rPr>
              <w:t xml:space="preserve"> (50%)</w:t>
            </w:r>
          </w:p>
        </w:tc>
      </w:tr>
      <w:tr w:rsidR="00DF2D8E" w:rsidTr="00163075">
        <w:trPr>
          <w:trHeight w:val="842"/>
        </w:trPr>
        <w:tc>
          <w:tcPr>
            <w:tcW w:w="0" w:type="auto"/>
          </w:tcPr>
          <w:p w:rsidR="00DF2D8E" w:rsidRDefault="00DF2D8E" w:rsidP="00163075">
            <w:pPr>
              <w:spacing w:line="276" w:lineRule="auto"/>
              <w:rPr>
                <w:rFonts w:ascii="Calibri" w:hAnsi="Calibri" w:cs="Calibri"/>
                <w:b/>
                <w:color w:val="000000"/>
                <w:sz w:val="20"/>
              </w:rPr>
            </w:pPr>
            <w:r w:rsidRPr="00E52C5F">
              <w:rPr>
                <w:rStyle w:val="IntenseReference"/>
                <w:bCs w:val="0"/>
                <w:i w:val="0"/>
                <w:smallCaps w:val="0"/>
                <w:color w:val="auto"/>
                <w:sz w:val="20"/>
                <w:szCs w:val="20"/>
              </w:rPr>
              <w:t xml:space="preserve">Total </w:t>
            </w:r>
          </w:p>
        </w:tc>
        <w:tc>
          <w:tcPr>
            <w:tcW w:w="0" w:type="auto"/>
          </w:tcPr>
          <w:p w:rsidR="00DF2D8E" w:rsidRPr="006055DC" w:rsidRDefault="00DF2D8E" w:rsidP="00163075">
            <w:pPr>
              <w:spacing w:line="276" w:lineRule="auto"/>
              <w:jc w:val="center"/>
              <w:rPr>
                <w:rFonts w:ascii="Calibri" w:hAnsi="Calibri" w:cs="Calibri"/>
                <w:sz w:val="20"/>
              </w:rPr>
            </w:pPr>
          </w:p>
        </w:tc>
        <w:tc>
          <w:tcPr>
            <w:tcW w:w="0" w:type="auto"/>
          </w:tcPr>
          <w:p w:rsidR="00DF2D8E" w:rsidRPr="006055DC" w:rsidRDefault="00DF2D8E" w:rsidP="00163075">
            <w:pPr>
              <w:spacing w:line="276" w:lineRule="auto"/>
              <w:jc w:val="center"/>
              <w:rPr>
                <w:rFonts w:ascii="Calibri" w:hAnsi="Calibri" w:cs="Calibri"/>
                <w:sz w:val="20"/>
              </w:rPr>
            </w:pPr>
            <w:r w:rsidRPr="006055DC">
              <w:rPr>
                <w:rFonts w:ascii="Calibri" w:hAnsi="Calibri" w:cs="Calibri"/>
                <w:sz w:val="20"/>
              </w:rPr>
              <w:t>90,018</w:t>
            </w:r>
          </w:p>
        </w:tc>
        <w:tc>
          <w:tcPr>
            <w:tcW w:w="0" w:type="auto"/>
          </w:tcPr>
          <w:p w:rsidR="00DF2D8E" w:rsidRPr="006055DC" w:rsidRDefault="00DF2D8E" w:rsidP="00163075">
            <w:pPr>
              <w:spacing w:line="276" w:lineRule="auto"/>
              <w:jc w:val="center"/>
              <w:rPr>
                <w:rFonts w:ascii="Calibri" w:hAnsi="Calibri" w:cs="Calibri"/>
                <w:sz w:val="20"/>
              </w:rPr>
            </w:pPr>
          </w:p>
        </w:tc>
        <w:tc>
          <w:tcPr>
            <w:tcW w:w="0" w:type="auto"/>
          </w:tcPr>
          <w:p w:rsidR="00DF2D8E" w:rsidRPr="006055DC" w:rsidRDefault="00DF2D8E" w:rsidP="00163075">
            <w:pPr>
              <w:autoSpaceDE w:val="0"/>
              <w:autoSpaceDN w:val="0"/>
              <w:adjustRightInd w:val="0"/>
              <w:spacing w:after="60"/>
              <w:jc w:val="center"/>
              <w:rPr>
                <w:rFonts w:ascii="Calibri" w:hAnsi="Calibri" w:cs="Calibri"/>
                <w:sz w:val="20"/>
              </w:rPr>
            </w:pPr>
            <w:r w:rsidRPr="006055DC">
              <w:rPr>
                <w:rFonts w:ascii="Calibri" w:hAnsi="Calibri" w:cs="Calibri"/>
                <w:sz w:val="20"/>
              </w:rPr>
              <w:t>262,882</w:t>
            </w:r>
          </w:p>
          <w:p w:rsidR="00DF2D8E" w:rsidRPr="006055DC" w:rsidRDefault="00DF2D8E" w:rsidP="00163075">
            <w:pPr>
              <w:spacing w:line="276" w:lineRule="auto"/>
              <w:jc w:val="center"/>
              <w:rPr>
                <w:rFonts w:ascii="Calibri" w:hAnsi="Calibri" w:cs="Calibri"/>
                <w:sz w:val="20"/>
              </w:rPr>
            </w:pPr>
          </w:p>
        </w:tc>
        <w:tc>
          <w:tcPr>
            <w:tcW w:w="0" w:type="auto"/>
          </w:tcPr>
          <w:p w:rsidR="00DF2D8E" w:rsidRPr="006055DC" w:rsidRDefault="00DF2D8E" w:rsidP="00163075">
            <w:pPr>
              <w:spacing w:line="276" w:lineRule="auto"/>
              <w:jc w:val="center"/>
              <w:rPr>
                <w:rStyle w:val="IntenseReference"/>
                <w:b w:val="0"/>
                <w:bCs w:val="0"/>
                <w:i w:val="0"/>
                <w:smallCaps w:val="0"/>
                <w:color w:val="auto"/>
                <w:spacing w:val="0"/>
                <w:sz w:val="20"/>
                <w:szCs w:val="20"/>
              </w:rPr>
            </w:pPr>
          </w:p>
        </w:tc>
        <w:tc>
          <w:tcPr>
            <w:tcW w:w="0" w:type="auto"/>
          </w:tcPr>
          <w:p w:rsidR="00DF2D8E" w:rsidRPr="006055DC" w:rsidRDefault="00DF2D8E" w:rsidP="00163075">
            <w:pPr>
              <w:spacing w:line="276" w:lineRule="auto"/>
              <w:jc w:val="center"/>
              <w:rPr>
                <w:rStyle w:val="IntenseReference"/>
                <w:b w:val="0"/>
                <w:bCs w:val="0"/>
                <w:i w:val="0"/>
                <w:smallCaps w:val="0"/>
                <w:color w:val="auto"/>
                <w:spacing w:val="0"/>
                <w:sz w:val="20"/>
                <w:szCs w:val="20"/>
              </w:rPr>
            </w:pPr>
            <w:r w:rsidRPr="006055DC">
              <w:rPr>
                <w:rStyle w:val="IntenseReference"/>
                <w:b w:val="0"/>
                <w:bCs w:val="0"/>
                <w:i w:val="0"/>
                <w:smallCaps w:val="0"/>
                <w:color w:val="auto"/>
                <w:sz w:val="20"/>
                <w:szCs w:val="20"/>
              </w:rPr>
              <w:t>396,608</w:t>
            </w:r>
          </w:p>
        </w:tc>
        <w:tc>
          <w:tcPr>
            <w:tcW w:w="0" w:type="auto"/>
          </w:tcPr>
          <w:p w:rsidR="00DF2D8E" w:rsidRPr="006055DC" w:rsidRDefault="00DF2D8E" w:rsidP="00163075">
            <w:pPr>
              <w:spacing w:line="276" w:lineRule="auto"/>
              <w:jc w:val="center"/>
              <w:rPr>
                <w:rStyle w:val="IntenseReference"/>
                <w:b w:val="0"/>
                <w:bCs w:val="0"/>
                <w:i w:val="0"/>
                <w:smallCaps w:val="0"/>
                <w:color w:val="auto"/>
                <w:spacing w:val="0"/>
                <w:sz w:val="20"/>
                <w:szCs w:val="20"/>
              </w:rPr>
            </w:pPr>
          </w:p>
        </w:tc>
        <w:tc>
          <w:tcPr>
            <w:tcW w:w="0" w:type="auto"/>
          </w:tcPr>
          <w:p w:rsidR="00DF2D8E" w:rsidRPr="006055DC" w:rsidRDefault="00DF2D8E" w:rsidP="00163075">
            <w:pPr>
              <w:spacing w:line="276" w:lineRule="auto"/>
              <w:jc w:val="center"/>
              <w:rPr>
                <w:rStyle w:val="IntenseReference"/>
                <w:b w:val="0"/>
                <w:bCs w:val="0"/>
                <w:i w:val="0"/>
                <w:smallCaps w:val="0"/>
                <w:color w:val="auto"/>
                <w:spacing w:val="0"/>
                <w:sz w:val="20"/>
                <w:szCs w:val="20"/>
              </w:rPr>
            </w:pPr>
            <w:r w:rsidRPr="006055DC">
              <w:rPr>
                <w:rStyle w:val="IntenseReference"/>
                <w:b w:val="0"/>
                <w:bCs w:val="0"/>
                <w:i w:val="0"/>
                <w:smallCaps w:val="0"/>
                <w:color w:val="auto"/>
                <w:sz w:val="20"/>
                <w:szCs w:val="20"/>
              </w:rPr>
              <w:t>382,090</w:t>
            </w:r>
          </w:p>
        </w:tc>
      </w:tr>
    </w:tbl>
    <w:p w:rsidR="00DF2D8E" w:rsidRPr="001E7718" w:rsidRDefault="00DF2D8E" w:rsidP="00DF2D8E">
      <w:pPr>
        <w:pStyle w:val="Notes"/>
      </w:pPr>
      <w:r w:rsidRPr="001E7718">
        <w:t xml:space="preserve">Source: Predicted - estimates agreed between the Sponsor and DoHA post PBAC recommendation to list. Actual - DUSC database accessed March 2015, based on date of prescription supply. </w:t>
      </w:r>
      <w:r>
        <w:br/>
      </w:r>
      <w:r w:rsidRPr="001E7718">
        <w:rPr>
          <w:bCs/>
          <w:vertAlign w:val="superscript"/>
        </w:rPr>
        <w:t>a</w:t>
      </w:r>
      <w:r w:rsidRPr="001E7718">
        <w:rPr>
          <w:bCs/>
        </w:rPr>
        <w:t>listed 1 February 2011</w:t>
      </w:r>
      <w:r>
        <w:br/>
      </w:r>
      <w:r w:rsidRPr="001E7718">
        <w:rPr>
          <w:vertAlign w:val="superscript"/>
        </w:rPr>
        <w:t>b</w:t>
      </w:r>
      <w:r>
        <w:t>listed 1 August 2011</w:t>
      </w:r>
      <w:r>
        <w:br/>
      </w:r>
      <w:r w:rsidRPr="001E7718">
        <w:rPr>
          <w:vertAlign w:val="superscript"/>
        </w:rPr>
        <w:t>c</w:t>
      </w:r>
      <w:r w:rsidRPr="001E7718">
        <w:t>pe</w:t>
      </w:r>
      <w:r>
        <w:t>rcent of predicted use</w:t>
      </w:r>
      <w:r>
        <w:br/>
      </w:r>
      <w:r w:rsidRPr="001E7718">
        <w:rPr>
          <w:vertAlign w:val="superscript"/>
        </w:rPr>
        <w:t>d</w:t>
      </w:r>
      <w:r w:rsidRPr="001E7718">
        <w:t>actual data presented for year 4 is a part year, as complete data was only available for February 2013 to October 2014</w:t>
      </w:r>
      <w:r>
        <w:br/>
      </w:r>
      <w:r w:rsidRPr="001E7718">
        <w:rPr>
          <w:vertAlign w:val="superscript"/>
        </w:rPr>
        <w:t>e</w:t>
      </w:r>
      <w:r w:rsidRPr="001E7718">
        <w:t>between Aug 11 and Jul 12 there were 124,456 R/PBS prescriptions for dutasteride with tamsulosin FDC</w:t>
      </w:r>
    </w:p>
    <w:p w:rsidR="00083EF1" w:rsidRPr="00205B41" w:rsidRDefault="00DF2D8E" w:rsidP="00D40D93">
      <w:r>
        <w:t xml:space="preserve">Table 3 presents data on the number of patients who received at least one R/PBS prescription for dutasteride or dutasteride with tamsulosin FDC in years 2012, 2013 and 2014. </w:t>
      </w:r>
    </w:p>
    <w:p w:rsidR="00DF2D8E" w:rsidRDefault="00DF2D8E" w:rsidP="00DF2D8E">
      <w:pPr>
        <w:pStyle w:val="Tabletitle"/>
      </w:pPr>
      <w:r>
        <w:t>Table 3:</w:t>
      </w:r>
      <w:r w:rsidRPr="002936A0">
        <w:t xml:space="preserve"> </w:t>
      </w:r>
      <w:r>
        <w:t>n</w:t>
      </w:r>
      <w:r w:rsidRPr="002936A0">
        <w:t xml:space="preserve">umber of </w:t>
      </w:r>
      <w:r>
        <w:t>patients who received at least 1 R/PBS prescription</w:t>
      </w:r>
      <w:r w:rsidRPr="002936A0">
        <w:t xml:space="preserve"> for</w:t>
      </w:r>
      <w:r>
        <w:t xml:space="preserve"> dutasteride (5468T) and</w:t>
      </w:r>
      <w:r w:rsidRPr="002936A0">
        <w:t xml:space="preserve"> dutasteride with tamsulosin FDC (</w:t>
      </w:r>
      <w:r>
        <w:t>5490Y)</w:t>
      </w:r>
    </w:p>
    <w:tbl>
      <w:tblPr>
        <w:tblStyle w:val="TableGrid"/>
        <w:tblW w:w="0" w:type="auto"/>
        <w:tblInd w:w="108" w:type="dxa"/>
        <w:tblLayout w:type="fixed"/>
        <w:tblLook w:val="04A0" w:firstRow="1" w:lastRow="0" w:firstColumn="1" w:lastColumn="0" w:noHBand="0" w:noVBand="1"/>
        <w:tblCaption w:val="Table 2 shows a comparison of the actual and predicted number of R/PBS scripts supplied in the first 4 years of listing"/>
      </w:tblPr>
      <w:tblGrid>
        <w:gridCol w:w="1276"/>
        <w:gridCol w:w="973"/>
        <w:gridCol w:w="973"/>
        <w:gridCol w:w="973"/>
        <w:gridCol w:w="973"/>
        <w:gridCol w:w="973"/>
        <w:gridCol w:w="974"/>
      </w:tblGrid>
      <w:tr w:rsidR="00DF2D8E" w:rsidTr="00163075">
        <w:trPr>
          <w:tblHeader/>
        </w:trPr>
        <w:tc>
          <w:tcPr>
            <w:tcW w:w="1276" w:type="dxa"/>
            <w:shd w:val="clear" w:color="auto" w:fill="BFBFBF" w:themeFill="background1" w:themeFillShade="BF"/>
          </w:tcPr>
          <w:p w:rsidR="00DF2D8E" w:rsidRPr="00A2603B" w:rsidRDefault="00DF2D8E" w:rsidP="00163075">
            <w:pPr>
              <w:spacing w:line="276" w:lineRule="auto"/>
              <w:rPr>
                <w:rFonts w:cs="Calibri"/>
                <w:b/>
                <w:color w:val="000000"/>
                <w:sz w:val="20"/>
              </w:rPr>
            </w:pPr>
          </w:p>
        </w:tc>
        <w:tc>
          <w:tcPr>
            <w:tcW w:w="973" w:type="dxa"/>
            <w:tcBorders>
              <w:right w:val="nil"/>
            </w:tcBorders>
            <w:shd w:val="clear" w:color="auto" w:fill="BFBFBF" w:themeFill="background1" w:themeFillShade="BF"/>
          </w:tcPr>
          <w:p w:rsidR="00DF2D8E" w:rsidRPr="00A2603B" w:rsidRDefault="00DF2D8E" w:rsidP="00163075">
            <w:pPr>
              <w:spacing w:line="276" w:lineRule="auto"/>
              <w:jc w:val="center"/>
              <w:rPr>
                <w:rFonts w:cs="Calibri"/>
                <w:b/>
                <w:color w:val="000000"/>
                <w:sz w:val="20"/>
              </w:rPr>
            </w:pPr>
            <w:r w:rsidRPr="00A2603B">
              <w:rPr>
                <w:rFonts w:cs="Calibri"/>
                <w:b/>
                <w:color w:val="000000"/>
                <w:sz w:val="20"/>
              </w:rPr>
              <w:t>2012</w:t>
            </w:r>
          </w:p>
        </w:tc>
        <w:tc>
          <w:tcPr>
            <w:tcW w:w="973" w:type="dxa"/>
            <w:tcBorders>
              <w:left w:val="nil"/>
            </w:tcBorders>
            <w:shd w:val="clear" w:color="auto" w:fill="BFBFBF" w:themeFill="background1" w:themeFillShade="BF"/>
          </w:tcPr>
          <w:p w:rsidR="00DF2D8E" w:rsidRPr="00A2603B" w:rsidRDefault="00DF2D8E" w:rsidP="00163075">
            <w:pPr>
              <w:spacing w:line="276" w:lineRule="auto"/>
              <w:jc w:val="center"/>
              <w:rPr>
                <w:rFonts w:cs="Calibri"/>
                <w:b/>
                <w:color w:val="000000"/>
                <w:sz w:val="20"/>
              </w:rPr>
            </w:pPr>
          </w:p>
        </w:tc>
        <w:tc>
          <w:tcPr>
            <w:tcW w:w="973" w:type="dxa"/>
            <w:tcBorders>
              <w:right w:val="nil"/>
            </w:tcBorders>
            <w:shd w:val="clear" w:color="auto" w:fill="BFBFBF" w:themeFill="background1" w:themeFillShade="BF"/>
          </w:tcPr>
          <w:p w:rsidR="00DF2D8E" w:rsidRPr="00A2603B" w:rsidRDefault="00DF2D8E" w:rsidP="00163075">
            <w:pPr>
              <w:spacing w:line="276" w:lineRule="auto"/>
              <w:jc w:val="center"/>
              <w:rPr>
                <w:rFonts w:cs="Calibri"/>
                <w:b/>
                <w:color w:val="000000"/>
                <w:sz w:val="20"/>
              </w:rPr>
            </w:pPr>
            <w:r w:rsidRPr="00A2603B">
              <w:rPr>
                <w:rFonts w:cs="Calibri"/>
                <w:b/>
                <w:color w:val="000000"/>
                <w:sz w:val="20"/>
              </w:rPr>
              <w:t>2013</w:t>
            </w:r>
          </w:p>
        </w:tc>
        <w:tc>
          <w:tcPr>
            <w:tcW w:w="973" w:type="dxa"/>
            <w:tcBorders>
              <w:left w:val="nil"/>
            </w:tcBorders>
            <w:shd w:val="clear" w:color="auto" w:fill="BFBFBF" w:themeFill="background1" w:themeFillShade="BF"/>
          </w:tcPr>
          <w:p w:rsidR="00DF2D8E" w:rsidRPr="00A2603B" w:rsidRDefault="00DF2D8E" w:rsidP="00163075">
            <w:pPr>
              <w:spacing w:line="276" w:lineRule="auto"/>
              <w:jc w:val="center"/>
              <w:rPr>
                <w:rFonts w:cs="Calibri"/>
                <w:b/>
                <w:color w:val="000000"/>
                <w:sz w:val="20"/>
              </w:rPr>
            </w:pPr>
          </w:p>
        </w:tc>
        <w:tc>
          <w:tcPr>
            <w:tcW w:w="973" w:type="dxa"/>
            <w:tcBorders>
              <w:right w:val="nil"/>
            </w:tcBorders>
            <w:shd w:val="clear" w:color="auto" w:fill="BFBFBF" w:themeFill="background1" w:themeFillShade="BF"/>
          </w:tcPr>
          <w:p w:rsidR="00DF2D8E" w:rsidRPr="00A2603B" w:rsidRDefault="00DF2D8E" w:rsidP="00163075">
            <w:pPr>
              <w:spacing w:line="276" w:lineRule="auto"/>
              <w:jc w:val="center"/>
              <w:rPr>
                <w:rFonts w:cs="Calibri"/>
                <w:b/>
                <w:color w:val="000000"/>
                <w:sz w:val="20"/>
              </w:rPr>
            </w:pPr>
            <w:r w:rsidRPr="00A2603B">
              <w:rPr>
                <w:rFonts w:cs="Calibri"/>
                <w:b/>
                <w:color w:val="000000"/>
                <w:sz w:val="20"/>
              </w:rPr>
              <w:t>2014</w:t>
            </w:r>
            <w:r w:rsidRPr="00A2603B">
              <w:rPr>
                <w:rFonts w:cs="Calibri"/>
                <w:b/>
                <w:color w:val="000000"/>
                <w:sz w:val="20"/>
                <w:vertAlign w:val="superscript"/>
              </w:rPr>
              <w:t xml:space="preserve"> d</w:t>
            </w:r>
          </w:p>
        </w:tc>
        <w:tc>
          <w:tcPr>
            <w:tcW w:w="974" w:type="dxa"/>
            <w:tcBorders>
              <w:left w:val="nil"/>
            </w:tcBorders>
            <w:shd w:val="clear" w:color="auto" w:fill="BFBFBF" w:themeFill="background1" w:themeFillShade="BF"/>
          </w:tcPr>
          <w:p w:rsidR="00DF2D8E" w:rsidRPr="00A2603B" w:rsidRDefault="00DF2D8E" w:rsidP="00163075">
            <w:pPr>
              <w:spacing w:line="276" w:lineRule="auto"/>
              <w:rPr>
                <w:rFonts w:cs="Calibri"/>
                <w:b/>
                <w:color w:val="000000"/>
                <w:sz w:val="20"/>
                <w:vertAlign w:val="superscript"/>
              </w:rPr>
            </w:pPr>
          </w:p>
        </w:tc>
      </w:tr>
      <w:tr w:rsidR="00DF2D8E" w:rsidRPr="004358FE" w:rsidTr="00163075">
        <w:trPr>
          <w:trHeight w:val="661"/>
          <w:tblHeader/>
        </w:trPr>
        <w:tc>
          <w:tcPr>
            <w:tcW w:w="1276" w:type="dxa"/>
            <w:shd w:val="clear" w:color="auto" w:fill="BFBFBF" w:themeFill="background1" w:themeFillShade="BF"/>
          </w:tcPr>
          <w:p w:rsidR="00DF2D8E" w:rsidRPr="00A2603B" w:rsidRDefault="00DF2D8E" w:rsidP="00163075">
            <w:pPr>
              <w:spacing w:line="276" w:lineRule="auto"/>
              <w:rPr>
                <w:rFonts w:cs="Calibri"/>
                <w:b/>
                <w:color w:val="000000"/>
                <w:sz w:val="19"/>
                <w:szCs w:val="19"/>
              </w:rPr>
            </w:pPr>
          </w:p>
        </w:tc>
        <w:tc>
          <w:tcPr>
            <w:tcW w:w="973" w:type="dxa"/>
            <w:shd w:val="clear" w:color="auto" w:fill="BFBFBF" w:themeFill="background1" w:themeFillShade="BF"/>
          </w:tcPr>
          <w:p w:rsidR="00DF2D8E" w:rsidRPr="00A2603B" w:rsidRDefault="00DF2D8E" w:rsidP="00163075">
            <w:pPr>
              <w:spacing w:line="276" w:lineRule="auto"/>
              <w:jc w:val="center"/>
              <w:rPr>
                <w:rFonts w:cs="Calibri"/>
                <w:b/>
                <w:color w:val="000000"/>
                <w:sz w:val="19"/>
                <w:szCs w:val="19"/>
              </w:rPr>
            </w:pPr>
            <w:r w:rsidRPr="00A2603B">
              <w:rPr>
                <w:rFonts w:cs="Calibri"/>
                <w:b/>
                <w:color w:val="000000"/>
                <w:sz w:val="19"/>
                <w:szCs w:val="19"/>
              </w:rPr>
              <w:t>Predicted</w:t>
            </w:r>
          </w:p>
        </w:tc>
        <w:tc>
          <w:tcPr>
            <w:tcW w:w="973" w:type="dxa"/>
            <w:shd w:val="clear" w:color="auto" w:fill="BFBFBF" w:themeFill="background1" w:themeFillShade="BF"/>
          </w:tcPr>
          <w:p w:rsidR="00DF2D8E" w:rsidRPr="00A2603B" w:rsidRDefault="00DF2D8E" w:rsidP="00163075">
            <w:pPr>
              <w:spacing w:line="276" w:lineRule="auto"/>
              <w:jc w:val="center"/>
              <w:rPr>
                <w:rFonts w:cs="Calibri"/>
                <w:b/>
                <w:color w:val="000000"/>
                <w:sz w:val="19"/>
                <w:szCs w:val="19"/>
              </w:rPr>
            </w:pPr>
            <w:r w:rsidRPr="00A2603B">
              <w:rPr>
                <w:rStyle w:val="IntenseReference"/>
                <w:bCs w:val="0"/>
                <w:i w:val="0"/>
                <w:smallCaps w:val="0"/>
                <w:color w:val="auto"/>
                <w:sz w:val="20"/>
                <w:szCs w:val="20"/>
              </w:rPr>
              <w:t>Actual (%</w:t>
            </w:r>
            <w:r w:rsidRPr="00A2603B">
              <w:rPr>
                <w:rStyle w:val="IntenseReference"/>
                <w:bCs w:val="0"/>
                <w:i w:val="0"/>
                <w:smallCaps w:val="0"/>
                <w:color w:val="auto"/>
                <w:sz w:val="20"/>
                <w:szCs w:val="20"/>
                <w:vertAlign w:val="superscript"/>
              </w:rPr>
              <w:t>c</w:t>
            </w:r>
            <w:r w:rsidRPr="00A2603B">
              <w:rPr>
                <w:rStyle w:val="IntenseReference"/>
                <w:bCs w:val="0"/>
                <w:i w:val="0"/>
                <w:smallCaps w:val="0"/>
                <w:color w:val="auto"/>
                <w:sz w:val="20"/>
                <w:szCs w:val="20"/>
              </w:rPr>
              <w:t>)</w:t>
            </w:r>
          </w:p>
        </w:tc>
        <w:tc>
          <w:tcPr>
            <w:tcW w:w="973" w:type="dxa"/>
            <w:shd w:val="clear" w:color="auto" w:fill="BFBFBF" w:themeFill="background1" w:themeFillShade="BF"/>
          </w:tcPr>
          <w:p w:rsidR="00DF2D8E" w:rsidRPr="00A2603B" w:rsidRDefault="00DF2D8E" w:rsidP="00163075">
            <w:pPr>
              <w:spacing w:line="276" w:lineRule="auto"/>
              <w:jc w:val="center"/>
              <w:rPr>
                <w:rFonts w:cs="Calibri"/>
                <w:b/>
                <w:color w:val="000000"/>
                <w:sz w:val="19"/>
                <w:szCs w:val="19"/>
              </w:rPr>
            </w:pPr>
            <w:r w:rsidRPr="00A2603B">
              <w:rPr>
                <w:rFonts w:cs="Calibri"/>
                <w:b/>
                <w:color w:val="000000"/>
                <w:sz w:val="19"/>
                <w:szCs w:val="19"/>
              </w:rPr>
              <w:t>Predicted</w:t>
            </w:r>
          </w:p>
        </w:tc>
        <w:tc>
          <w:tcPr>
            <w:tcW w:w="973" w:type="dxa"/>
            <w:shd w:val="clear" w:color="auto" w:fill="BFBFBF" w:themeFill="background1" w:themeFillShade="BF"/>
          </w:tcPr>
          <w:p w:rsidR="00DF2D8E" w:rsidRPr="00A2603B" w:rsidRDefault="00DF2D8E" w:rsidP="00163075">
            <w:pPr>
              <w:spacing w:line="276" w:lineRule="auto"/>
              <w:jc w:val="center"/>
              <w:rPr>
                <w:rFonts w:cs="Calibri"/>
                <w:b/>
                <w:color w:val="000000"/>
                <w:sz w:val="19"/>
                <w:szCs w:val="19"/>
              </w:rPr>
            </w:pPr>
            <w:r w:rsidRPr="00A2603B">
              <w:rPr>
                <w:rStyle w:val="IntenseReference"/>
                <w:bCs w:val="0"/>
                <w:i w:val="0"/>
                <w:smallCaps w:val="0"/>
                <w:color w:val="auto"/>
                <w:sz w:val="20"/>
                <w:szCs w:val="20"/>
              </w:rPr>
              <w:t>Actual (%</w:t>
            </w:r>
            <w:r w:rsidRPr="00A2603B">
              <w:rPr>
                <w:rStyle w:val="IntenseReference"/>
                <w:bCs w:val="0"/>
                <w:i w:val="0"/>
                <w:smallCaps w:val="0"/>
                <w:color w:val="auto"/>
                <w:sz w:val="20"/>
                <w:szCs w:val="20"/>
                <w:vertAlign w:val="superscript"/>
              </w:rPr>
              <w:t>c</w:t>
            </w:r>
            <w:r w:rsidRPr="00A2603B">
              <w:rPr>
                <w:rStyle w:val="IntenseReference"/>
                <w:bCs w:val="0"/>
                <w:i w:val="0"/>
                <w:smallCaps w:val="0"/>
                <w:color w:val="auto"/>
                <w:sz w:val="20"/>
                <w:szCs w:val="20"/>
              </w:rPr>
              <w:t>)</w:t>
            </w:r>
          </w:p>
        </w:tc>
        <w:tc>
          <w:tcPr>
            <w:tcW w:w="973" w:type="dxa"/>
            <w:shd w:val="clear" w:color="auto" w:fill="BFBFBF" w:themeFill="background1" w:themeFillShade="BF"/>
          </w:tcPr>
          <w:p w:rsidR="00DF2D8E" w:rsidRPr="00A2603B" w:rsidRDefault="00DF2D8E" w:rsidP="00163075">
            <w:pPr>
              <w:spacing w:line="276" w:lineRule="auto"/>
              <w:jc w:val="center"/>
              <w:rPr>
                <w:rFonts w:cs="Calibri"/>
                <w:b/>
                <w:color w:val="000000"/>
                <w:sz w:val="19"/>
                <w:szCs w:val="19"/>
              </w:rPr>
            </w:pPr>
            <w:r w:rsidRPr="00A2603B">
              <w:rPr>
                <w:rFonts w:cs="Calibri"/>
                <w:b/>
                <w:color w:val="000000"/>
                <w:sz w:val="19"/>
                <w:szCs w:val="19"/>
              </w:rPr>
              <w:t>Predicted</w:t>
            </w:r>
          </w:p>
        </w:tc>
        <w:tc>
          <w:tcPr>
            <w:tcW w:w="974" w:type="dxa"/>
            <w:shd w:val="clear" w:color="auto" w:fill="BFBFBF" w:themeFill="background1" w:themeFillShade="BF"/>
          </w:tcPr>
          <w:p w:rsidR="00DF2D8E" w:rsidRPr="00A2603B" w:rsidRDefault="00DF2D8E" w:rsidP="00163075">
            <w:pPr>
              <w:spacing w:line="276" w:lineRule="auto"/>
              <w:jc w:val="center"/>
              <w:rPr>
                <w:rFonts w:cs="Calibri"/>
                <w:b/>
                <w:color w:val="000000"/>
                <w:sz w:val="19"/>
                <w:szCs w:val="19"/>
              </w:rPr>
            </w:pPr>
            <w:r w:rsidRPr="00A2603B">
              <w:rPr>
                <w:rStyle w:val="IntenseReference"/>
                <w:bCs w:val="0"/>
                <w:i w:val="0"/>
                <w:smallCaps w:val="0"/>
                <w:color w:val="auto"/>
                <w:sz w:val="20"/>
                <w:szCs w:val="20"/>
              </w:rPr>
              <w:t>Actual (%</w:t>
            </w:r>
            <w:r w:rsidRPr="00A2603B">
              <w:rPr>
                <w:rStyle w:val="IntenseReference"/>
                <w:bCs w:val="0"/>
                <w:i w:val="0"/>
                <w:smallCaps w:val="0"/>
                <w:color w:val="auto"/>
                <w:sz w:val="20"/>
                <w:szCs w:val="20"/>
                <w:vertAlign w:val="superscript"/>
              </w:rPr>
              <w:t>c</w:t>
            </w:r>
            <w:r w:rsidRPr="00A2603B">
              <w:rPr>
                <w:rStyle w:val="IntenseReference"/>
                <w:bCs w:val="0"/>
                <w:i w:val="0"/>
                <w:smallCaps w:val="0"/>
                <w:color w:val="auto"/>
                <w:sz w:val="20"/>
                <w:szCs w:val="20"/>
              </w:rPr>
              <w:t>)</w:t>
            </w:r>
          </w:p>
        </w:tc>
      </w:tr>
      <w:tr w:rsidR="00DF2D8E" w:rsidTr="00163075">
        <w:trPr>
          <w:trHeight w:val="842"/>
        </w:trPr>
        <w:tc>
          <w:tcPr>
            <w:tcW w:w="1276" w:type="dxa"/>
          </w:tcPr>
          <w:p w:rsidR="00DF2D8E" w:rsidRPr="00A2603B" w:rsidRDefault="00DF2D8E" w:rsidP="00163075">
            <w:pPr>
              <w:spacing w:line="276" w:lineRule="auto"/>
              <w:rPr>
                <w:rFonts w:cs="Calibri"/>
                <w:b/>
                <w:color w:val="000000"/>
                <w:sz w:val="20"/>
              </w:rPr>
            </w:pPr>
            <w:r w:rsidRPr="00A2603B">
              <w:rPr>
                <w:rFonts w:cs="Calibri"/>
                <w:b/>
                <w:color w:val="000000"/>
                <w:sz w:val="20"/>
              </w:rPr>
              <w:t>Dutasteride</w:t>
            </w:r>
          </w:p>
        </w:tc>
        <w:tc>
          <w:tcPr>
            <w:tcW w:w="973"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88,483</w:t>
            </w:r>
          </w:p>
        </w:tc>
        <w:tc>
          <w:tcPr>
            <w:tcW w:w="973" w:type="dxa"/>
          </w:tcPr>
          <w:p w:rsidR="00DF2D8E" w:rsidRPr="006055DC" w:rsidRDefault="00DF2D8E" w:rsidP="00163075">
            <w:pPr>
              <w:jc w:val="center"/>
              <w:rPr>
                <w:sz w:val="20"/>
                <w:szCs w:val="20"/>
              </w:rPr>
            </w:pPr>
            <w:r w:rsidRPr="006055DC">
              <w:rPr>
                <w:sz w:val="20"/>
                <w:szCs w:val="20"/>
              </w:rPr>
              <w:t>4,723 (5%)</w:t>
            </w:r>
          </w:p>
        </w:tc>
        <w:tc>
          <w:tcPr>
            <w:tcW w:w="973"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120,045</w:t>
            </w:r>
          </w:p>
        </w:tc>
        <w:tc>
          <w:tcPr>
            <w:tcW w:w="973" w:type="dxa"/>
          </w:tcPr>
          <w:p w:rsidR="00DF2D8E" w:rsidRPr="006055DC" w:rsidRDefault="00DF2D8E" w:rsidP="00163075">
            <w:pPr>
              <w:jc w:val="center"/>
              <w:rPr>
                <w:sz w:val="20"/>
                <w:szCs w:val="20"/>
              </w:rPr>
            </w:pPr>
            <w:r w:rsidRPr="006055DC">
              <w:rPr>
                <w:sz w:val="20"/>
                <w:szCs w:val="20"/>
              </w:rPr>
              <w:t>4,638 (4%)</w:t>
            </w:r>
          </w:p>
        </w:tc>
        <w:tc>
          <w:tcPr>
            <w:tcW w:w="973"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129,638</w:t>
            </w:r>
          </w:p>
        </w:tc>
        <w:tc>
          <w:tcPr>
            <w:tcW w:w="974"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4,872 (4%)</w:t>
            </w:r>
          </w:p>
        </w:tc>
      </w:tr>
      <w:tr w:rsidR="00DF2D8E" w:rsidTr="00163075">
        <w:trPr>
          <w:trHeight w:val="842"/>
        </w:trPr>
        <w:tc>
          <w:tcPr>
            <w:tcW w:w="1276" w:type="dxa"/>
          </w:tcPr>
          <w:p w:rsidR="00DF2D8E" w:rsidRPr="00A2603B" w:rsidRDefault="00DF2D8E" w:rsidP="00163075">
            <w:pPr>
              <w:spacing w:line="276" w:lineRule="auto"/>
              <w:rPr>
                <w:rFonts w:cs="Calibri"/>
                <w:b/>
                <w:color w:val="000000"/>
                <w:sz w:val="20"/>
              </w:rPr>
            </w:pPr>
            <w:r w:rsidRPr="00A2603B">
              <w:rPr>
                <w:rFonts w:cs="Calibri"/>
                <w:b/>
                <w:color w:val="000000"/>
                <w:sz w:val="20"/>
              </w:rPr>
              <w:t>Dutasteride + tamsulosin</w:t>
            </w:r>
            <w:r w:rsidRPr="00A2603B">
              <w:rPr>
                <w:rFonts w:cs="Calibri"/>
                <w:b/>
                <w:color w:val="000000"/>
                <w:sz w:val="20"/>
                <w:vertAlign w:val="superscript"/>
              </w:rPr>
              <w:t>b</w:t>
            </w:r>
          </w:p>
        </w:tc>
        <w:tc>
          <w:tcPr>
            <w:tcW w:w="973"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44,604</w:t>
            </w:r>
          </w:p>
        </w:tc>
        <w:tc>
          <w:tcPr>
            <w:tcW w:w="973" w:type="dxa"/>
          </w:tcPr>
          <w:p w:rsidR="00DF2D8E" w:rsidRPr="006055DC" w:rsidRDefault="00DF2D8E" w:rsidP="00163075">
            <w:pPr>
              <w:jc w:val="center"/>
              <w:rPr>
                <w:sz w:val="20"/>
                <w:szCs w:val="20"/>
              </w:rPr>
            </w:pPr>
            <w:r w:rsidRPr="006055DC">
              <w:rPr>
                <w:sz w:val="20"/>
                <w:szCs w:val="20"/>
              </w:rPr>
              <w:t>31,716</w:t>
            </w:r>
            <w:r w:rsidRPr="006055DC">
              <w:rPr>
                <w:sz w:val="20"/>
                <w:szCs w:val="20"/>
              </w:rPr>
              <w:br/>
              <w:t>(71%)</w:t>
            </w:r>
          </w:p>
          <w:p w:rsidR="00DF2D8E" w:rsidRPr="006055DC" w:rsidRDefault="00DF2D8E" w:rsidP="00163075">
            <w:pPr>
              <w:spacing w:line="276" w:lineRule="auto"/>
              <w:jc w:val="center"/>
              <w:rPr>
                <w:rFonts w:cs="Calibri"/>
                <w:color w:val="000000"/>
                <w:sz w:val="20"/>
                <w:szCs w:val="20"/>
              </w:rPr>
            </w:pPr>
          </w:p>
        </w:tc>
        <w:tc>
          <w:tcPr>
            <w:tcW w:w="973"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72,518</w:t>
            </w:r>
          </w:p>
        </w:tc>
        <w:tc>
          <w:tcPr>
            <w:tcW w:w="973" w:type="dxa"/>
          </w:tcPr>
          <w:p w:rsidR="00DF2D8E" w:rsidRPr="006055DC" w:rsidRDefault="00DF2D8E" w:rsidP="00163075">
            <w:pPr>
              <w:jc w:val="center"/>
              <w:rPr>
                <w:sz w:val="20"/>
                <w:szCs w:val="20"/>
              </w:rPr>
            </w:pPr>
            <w:r w:rsidRPr="006055DC">
              <w:rPr>
                <w:sz w:val="20"/>
                <w:szCs w:val="20"/>
              </w:rPr>
              <w:t>49,830</w:t>
            </w:r>
            <w:r w:rsidRPr="006055DC">
              <w:rPr>
                <w:sz w:val="20"/>
                <w:szCs w:val="20"/>
              </w:rPr>
              <w:br/>
              <w:t>(69%)</w:t>
            </w:r>
          </w:p>
          <w:p w:rsidR="00DF2D8E" w:rsidRPr="006055DC" w:rsidRDefault="00DF2D8E" w:rsidP="00163075">
            <w:pPr>
              <w:spacing w:line="276" w:lineRule="auto"/>
              <w:jc w:val="center"/>
              <w:rPr>
                <w:rFonts w:cs="Calibri"/>
                <w:color w:val="000000"/>
                <w:sz w:val="20"/>
                <w:szCs w:val="20"/>
              </w:rPr>
            </w:pPr>
          </w:p>
        </w:tc>
        <w:tc>
          <w:tcPr>
            <w:tcW w:w="973"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91,277</w:t>
            </w:r>
          </w:p>
        </w:tc>
        <w:tc>
          <w:tcPr>
            <w:tcW w:w="974" w:type="dxa"/>
          </w:tcPr>
          <w:p w:rsidR="00DF2D8E" w:rsidRPr="006055DC" w:rsidRDefault="00DF2D8E" w:rsidP="00163075">
            <w:pPr>
              <w:spacing w:line="276" w:lineRule="auto"/>
              <w:jc w:val="center"/>
              <w:rPr>
                <w:rFonts w:cs="Calibri"/>
                <w:color w:val="000000"/>
                <w:sz w:val="20"/>
                <w:szCs w:val="20"/>
              </w:rPr>
            </w:pPr>
            <w:r w:rsidRPr="006055DC">
              <w:rPr>
                <w:rFonts w:cs="Calibri"/>
                <w:color w:val="000000"/>
                <w:sz w:val="20"/>
                <w:szCs w:val="20"/>
              </w:rPr>
              <w:t>63,127</w:t>
            </w:r>
            <w:r w:rsidRPr="006055DC">
              <w:rPr>
                <w:rFonts w:cs="Calibri"/>
                <w:color w:val="000000"/>
                <w:sz w:val="20"/>
                <w:szCs w:val="20"/>
              </w:rPr>
              <w:br/>
              <w:t>(69%)</w:t>
            </w:r>
          </w:p>
          <w:p w:rsidR="00DF2D8E" w:rsidRPr="006055DC" w:rsidRDefault="00DF2D8E" w:rsidP="00163075">
            <w:pPr>
              <w:spacing w:line="276" w:lineRule="auto"/>
              <w:rPr>
                <w:rFonts w:cs="Calibri"/>
                <w:color w:val="000000"/>
                <w:sz w:val="20"/>
                <w:szCs w:val="20"/>
              </w:rPr>
            </w:pPr>
          </w:p>
        </w:tc>
      </w:tr>
      <w:tr w:rsidR="00DF2D8E" w:rsidTr="00163075">
        <w:trPr>
          <w:trHeight w:val="842"/>
        </w:trPr>
        <w:tc>
          <w:tcPr>
            <w:tcW w:w="1276" w:type="dxa"/>
          </w:tcPr>
          <w:p w:rsidR="00DF2D8E" w:rsidRPr="00A2603B" w:rsidRDefault="00DF2D8E" w:rsidP="00163075">
            <w:pPr>
              <w:spacing w:line="276" w:lineRule="auto"/>
              <w:rPr>
                <w:rFonts w:cs="Calibri"/>
                <w:b/>
                <w:color w:val="000000"/>
                <w:sz w:val="20"/>
              </w:rPr>
            </w:pPr>
            <w:r w:rsidRPr="00A2603B">
              <w:rPr>
                <w:rFonts w:cs="Calibri"/>
                <w:b/>
                <w:color w:val="000000"/>
                <w:sz w:val="20"/>
              </w:rPr>
              <w:t>Total</w:t>
            </w:r>
          </w:p>
        </w:tc>
        <w:tc>
          <w:tcPr>
            <w:tcW w:w="973" w:type="dxa"/>
          </w:tcPr>
          <w:p w:rsidR="00DF2D8E" w:rsidRPr="006055DC" w:rsidRDefault="00DF2D8E" w:rsidP="00163075">
            <w:pPr>
              <w:spacing w:line="276" w:lineRule="auto"/>
              <w:jc w:val="center"/>
              <w:rPr>
                <w:rFonts w:cs="Calibri"/>
                <w:color w:val="000000"/>
                <w:sz w:val="20"/>
                <w:szCs w:val="20"/>
              </w:rPr>
            </w:pPr>
          </w:p>
        </w:tc>
        <w:tc>
          <w:tcPr>
            <w:tcW w:w="973" w:type="dxa"/>
          </w:tcPr>
          <w:p w:rsidR="00DF2D8E" w:rsidRPr="006055DC" w:rsidRDefault="00DF2D8E" w:rsidP="00163075">
            <w:pPr>
              <w:jc w:val="center"/>
              <w:rPr>
                <w:rFonts w:cs="Arial"/>
                <w:sz w:val="20"/>
                <w:szCs w:val="20"/>
              </w:rPr>
            </w:pPr>
            <w:r w:rsidRPr="006055DC">
              <w:rPr>
                <w:rFonts w:cs="Arial"/>
                <w:sz w:val="20"/>
                <w:szCs w:val="20"/>
              </w:rPr>
              <w:t>36,439</w:t>
            </w:r>
          </w:p>
          <w:p w:rsidR="00DF2D8E" w:rsidRPr="006055DC" w:rsidRDefault="00DF2D8E" w:rsidP="00163075">
            <w:pPr>
              <w:jc w:val="center"/>
              <w:rPr>
                <w:sz w:val="20"/>
                <w:szCs w:val="20"/>
              </w:rPr>
            </w:pPr>
          </w:p>
        </w:tc>
        <w:tc>
          <w:tcPr>
            <w:tcW w:w="973" w:type="dxa"/>
          </w:tcPr>
          <w:p w:rsidR="00DF2D8E" w:rsidRPr="006055DC" w:rsidRDefault="00DF2D8E" w:rsidP="00163075">
            <w:pPr>
              <w:spacing w:line="276" w:lineRule="auto"/>
              <w:jc w:val="center"/>
              <w:rPr>
                <w:rFonts w:cs="Calibri"/>
                <w:color w:val="000000"/>
                <w:sz w:val="20"/>
                <w:szCs w:val="20"/>
              </w:rPr>
            </w:pPr>
          </w:p>
        </w:tc>
        <w:tc>
          <w:tcPr>
            <w:tcW w:w="973" w:type="dxa"/>
          </w:tcPr>
          <w:p w:rsidR="00DF2D8E" w:rsidRPr="006055DC" w:rsidRDefault="00DF2D8E" w:rsidP="00163075">
            <w:pPr>
              <w:jc w:val="center"/>
              <w:rPr>
                <w:rFonts w:cs="Arial"/>
                <w:sz w:val="20"/>
                <w:szCs w:val="20"/>
              </w:rPr>
            </w:pPr>
            <w:r w:rsidRPr="006055DC">
              <w:rPr>
                <w:rFonts w:cs="Arial"/>
                <w:sz w:val="20"/>
                <w:szCs w:val="20"/>
              </w:rPr>
              <w:t>54,468</w:t>
            </w:r>
          </w:p>
          <w:p w:rsidR="00DF2D8E" w:rsidRPr="006055DC" w:rsidRDefault="00DF2D8E" w:rsidP="00163075">
            <w:pPr>
              <w:jc w:val="center"/>
              <w:rPr>
                <w:sz w:val="20"/>
                <w:szCs w:val="20"/>
              </w:rPr>
            </w:pPr>
          </w:p>
        </w:tc>
        <w:tc>
          <w:tcPr>
            <w:tcW w:w="973" w:type="dxa"/>
          </w:tcPr>
          <w:p w:rsidR="00DF2D8E" w:rsidRPr="006055DC" w:rsidRDefault="00DF2D8E" w:rsidP="00163075">
            <w:pPr>
              <w:spacing w:line="276" w:lineRule="auto"/>
              <w:jc w:val="center"/>
              <w:rPr>
                <w:rFonts w:cs="Calibri"/>
                <w:color w:val="000000"/>
                <w:sz w:val="20"/>
                <w:szCs w:val="20"/>
              </w:rPr>
            </w:pPr>
          </w:p>
        </w:tc>
        <w:tc>
          <w:tcPr>
            <w:tcW w:w="974" w:type="dxa"/>
          </w:tcPr>
          <w:p w:rsidR="00DF2D8E" w:rsidRPr="006055DC" w:rsidRDefault="00DF2D8E" w:rsidP="00163075">
            <w:pPr>
              <w:jc w:val="center"/>
              <w:rPr>
                <w:rFonts w:cs="Arial"/>
                <w:sz w:val="20"/>
                <w:szCs w:val="20"/>
              </w:rPr>
            </w:pPr>
            <w:r w:rsidRPr="006055DC">
              <w:rPr>
                <w:rFonts w:cs="Arial"/>
                <w:sz w:val="20"/>
                <w:szCs w:val="20"/>
              </w:rPr>
              <w:t>67,999</w:t>
            </w:r>
          </w:p>
          <w:p w:rsidR="00DF2D8E" w:rsidRPr="006055DC" w:rsidRDefault="00DF2D8E" w:rsidP="00163075">
            <w:pPr>
              <w:spacing w:line="276" w:lineRule="auto"/>
              <w:jc w:val="center"/>
              <w:rPr>
                <w:rFonts w:cs="Calibri"/>
                <w:color w:val="000000"/>
                <w:sz w:val="20"/>
                <w:szCs w:val="20"/>
              </w:rPr>
            </w:pPr>
          </w:p>
        </w:tc>
      </w:tr>
    </w:tbl>
    <w:p w:rsidR="00DF2D8E" w:rsidRPr="001E7718" w:rsidRDefault="00DF2D8E" w:rsidP="00DF2D8E">
      <w:pPr>
        <w:pStyle w:val="Notes"/>
      </w:pPr>
      <w:r w:rsidRPr="001E7718">
        <w:t xml:space="preserve">Source: Predicted - estimates agreed between the Sponsor and DoHA post PBAC recommendation to list. Actual - DUSC database accessed March 2015, based on date of prescription supply. </w:t>
      </w:r>
      <w:r>
        <w:br/>
      </w:r>
      <w:r w:rsidRPr="001E7718">
        <w:rPr>
          <w:bCs/>
          <w:vertAlign w:val="superscript"/>
        </w:rPr>
        <w:t>a</w:t>
      </w:r>
      <w:r w:rsidRPr="001E7718">
        <w:rPr>
          <w:bCs/>
        </w:rPr>
        <w:t>listed 1 February 2011</w:t>
      </w:r>
      <w:r>
        <w:br/>
      </w:r>
      <w:r w:rsidRPr="001E7718">
        <w:rPr>
          <w:vertAlign w:val="superscript"/>
        </w:rPr>
        <w:t>b</w:t>
      </w:r>
      <w:r>
        <w:t>listed 1 August 2011</w:t>
      </w:r>
      <w:r>
        <w:br/>
      </w:r>
      <w:r w:rsidRPr="001E7718">
        <w:rPr>
          <w:vertAlign w:val="superscript"/>
        </w:rPr>
        <w:t>c</w:t>
      </w:r>
      <w:r>
        <w:t>percent of predicted use</w:t>
      </w:r>
      <w:r>
        <w:br/>
      </w:r>
      <w:r w:rsidRPr="001E7718">
        <w:rPr>
          <w:vertAlign w:val="superscript"/>
        </w:rPr>
        <w:t>d</w:t>
      </w:r>
      <w:r w:rsidRPr="001E7718">
        <w:t>actual data presented for 2014 is a part year, as complete data was only available up until October 2014</w:t>
      </w:r>
    </w:p>
    <w:p w:rsidR="00DF2D8E" w:rsidRPr="00A53D44" w:rsidRDefault="00DF2D8E" w:rsidP="00DF2D8E">
      <w:pPr>
        <w:spacing w:line="276" w:lineRule="auto"/>
      </w:pPr>
      <w:r>
        <w:br w:type="page"/>
      </w:r>
      <w:r w:rsidRPr="00A53D44">
        <w:t xml:space="preserve">Figure </w:t>
      </w:r>
      <w:r>
        <w:t>1</w:t>
      </w:r>
      <w:r w:rsidRPr="00A53D44">
        <w:t xml:space="preserve"> shows the length of treatment for first treatment episode and all treatment episodes, the latter with and without accounting for breaks in treatment.</w:t>
      </w:r>
      <w:r w:rsidRPr="00A53D44">
        <w:rPr>
          <w:rFonts w:eastAsia="Calibri" w:cs="Times New Roman"/>
          <w:b/>
          <w:noProof/>
          <w:u w:val="single"/>
        </w:rPr>
        <w:t xml:space="preserve"> </w:t>
      </w:r>
    </w:p>
    <w:p w:rsidR="00DF2D8E" w:rsidRPr="00A53D44" w:rsidRDefault="00DF2D8E" w:rsidP="00DF2D8E">
      <w:pPr>
        <w:spacing w:before="60" w:after="60"/>
        <w:rPr>
          <w:b/>
        </w:rPr>
      </w:pPr>
      <w:r>
        <w:rPr>
          <w:noProof/>
        </w:rPr>
        <w:drawing>
          <wp:inline distT="0" distB="0" distL="0" distR="0" wp14:anchorId="2132C611" wp14:editId="542EE3E0">
            <wp:extent cx="5687695" cy="4265771"/>
            <wp:effectExtent l="0" t="0" r="8255" b="1905"/>
            <wp:docPr id="1" name="Picture 1" descr="Figure 1 shows the length of treatment for first treatment episode, and all treatment episode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7695" cy="4265771"/>
                    </a:xfrm>
                    <a:prstGeom prst="rect">
                      <a:avLst/>
                    </a:prstGeom>
                    <a:noFill/>
                    <a:ln>
                      <a:noFill/>
                    </a:ln>
                  </pic:spPr>
                </pic:pic>
              </a:graphicData>
            </a:graphic>
          </wp:inline>
        </w:drawing>
      </w:r>
      <w:r w:rsidRPr="001E7718">
        <w:rPr>
          <w:rStyle w:val="FiguretitleChar"/>
        </w:rPr>
        <w:t xml:space="preserve">Figure 1: length of treatment on dutasteride and </w:t>
      </w:r>
      <w:r>
        <w:rPr>
          <w:rStyle w:val="FiguretitleChar"/>
        </w:rPr>
        <w:t>dutasteride with tamsulosin FDC</w:t>
      </w:r>
    </w:p>
    <w:p w:rsidR="00DF2D8E" w:rsidRDefault="00DF2D8E" w:rsidP="00DF2D8E">
      <w:pPr>
        <w:pStyle w:val="Figurecaption"/>
        <w:spacing w:after="200"/>
      </w:pPr>
      <w:r w:rsidRPr="00DA7CC6">
        <w:t>Source:</w:t>
      </w:r>
      <w:r w:rsidRPr="00B77935">
        <w:t xml:space="preserve"> </w:t>
      </w:r>
      <w:r w:rsidRPr="00CD67F9">
        <w:t xml:space="preserve">DHS PBS supplied </w:t>
      </w:r>
      <w:r w:rsidRPr="00246FA2">
        <w:t>prescription</w:t>
      </w:r>
      <w:r w:rsidRPr="00CD67F9">
        <w:t xml:space="preserve"> database for </w:t>
      </w:r>
      <w:r w:rsidRPr="00246FA2">
        <w:t xml:space="preserve">prescription </w:t>
      </w:r>
      <w:r w:rsidRPr="00CD67F9">
        <w:t xml:space="preserve">s supplied from </w:t>
      </w:r>
      <w:r>
        <w:t>February 2011 to December 2014 inclusive.</w:t>
      </w:r>
    </w:p>
    <w:p w:rsidR="00DF2D8E" w:rsidRDefault="00DF2D8E" w:rsidP="00DF2D8E">
      <w:r>
        <w:t xml:space="preserve">Around 40% of patients remained on treatment over four years. Accounting for interruptions in therapy had a minor early impact on the duration of treatment but did not influence the persistence on treatment in the longer term. For patients on their first episode of treatment, around one-third remained on their first episode of treatment for four years. </w:t>
      </w:r>
    </w:p>
    <w:p w:rsidR="00DF2D8E" w:rsidRDefault="00DF2D8E" w:rsidP="00DF2D8E">
      <w:r w:rsidRPr="002F5550">
        <w:t>The Kaplan Meier (KM) analysis used to produce Figure 1 was also used to estimate the median and mean lengths of treatment with dutasteride or dutasteride with tamsulosin FDC for the three different measures</w:t>
      </w:r>
      <w:r>
        <w:t xml:space="preserve"> (Table 4). </w:t>
      </w:r>
    </w:p>
    <w:p w:rsidR="00DF2D8E" w:rsidRDefault="00DF2D8E" w:rsidP="00DF2D8E">
      <w:pPr>
        <w:spacing w:line="276" w:lineRule="auto"/>
        <w:rPr>
          <w:b/>
        </w:rPr>
      </w:pPr>
      <w:r>
        <w:br w:type="page"/>
      </w:r>
    </w:p>
    <w:p w:rsidR="00DF2D8E" w:rsidRDefault="00DF2D8E" w:rsidP="00D40D93">
      <w:pPr>
        <w:pStyle w:val="Figuretitle"/>
      </w:pPr>
      <w:r>
        <w:t xml:space="preserve">Table 4: </w:t>
      </w:r>
      <w:r w:rsidRPr="00D40D93">
        <w:t>median</w:t>
      </w:r>
      <w:r>
        <w:t xml:space="preserve"> and mean time spent on treatment with either dutasteride or dutasteride with tamsulosin FDC in months.</w:t>
      </w:r>
    </w:p>
    <w:tbl>
      <w:tblPr>
        <w:tblStyle w:val="TableGrid"/>
        <w:tblW w:w="0" w:type="auto"/>
        <w:tblInd w:w="108" w:type="dxa"/>
        <w:tblLook w:val="04A0" w:firstRow="1" w:lastRow="0" w:firstColumn="1" w:lastColumn="0" w:noHBand="0" w:noVBand="1"/>
        <w:tblCaption w:val="Table 4: median and mean time spent on treatment with either dutasteride or dutasterid with tamsulosin FDC in months"/>
      </w:tblPr>
      <w:tblGrid>
        <w:gridCol w:w="2185"/>
        <w:gridCol w:w="2293"/>
        <w:gridCol w:w="2293"/>
      </w:tblGrid>
      <w:tr w:rsidR="00DF2D8E" w:rsidRPr="002F5550" w:rsidTr="008F324C">
        <w:trPr>
          <w:tblHeader/>
        </w:trPr>
        <w:tc>
          <w:tcPr>
            <w:tcW w:w="2185" w:type="dxa"/>
            <w:shd w:val="clear" w:color="auto" w:fill="A6A6A6" w:themeFill="background1" w:themeFillShade="A6"/>
          </w:tcPr>
          <w:p w:rsidR="00DF2D8E" w:rsidRPr="002F5550" w:rsidRDefault="00DF2D8E" w:rsidP="00163075">
            <w:pPr>
              <w:pStyle w:val="Figurecaption"/>
              <w:spacing w:after="200"/>
              <w:rPr>
                <w:b/>
              </w:rPr>
            </w:pPr>
          </w:p>
        </w:tc>
        <w:tc>
          <w:tcPr>
            <w:tcW w:w="2293" w:type="dxa"/>
            <w:shd w:val="clear" w:color="auto" w:fill="A6A6A6" w:themeFill="background1" w:themeFillShade="A6"/>
          </w:tcPr>
          <w:p w:rsidR="00DF2D8E" w:rsidRPr="002F5550" w:rsidRDefault="00DF2D8E" w:rsidP="00163075">
            <w:pPr>
              <w:pStyle w:val="Figurecaption"/>
              <w:spacing w:after="200"/>
              <w:rPr>
                <w:b/>
              </w:rPr>
            </w:pPr>
            <w:r w:rsidRPr="002F5550">
              <w:rPr>
                <w:b/>
              </w:rPr>
              <w:t xml:space="preserve">Median </w:t>
            </w:r>
          </w:p>
        </w:tc>
        <w:tc>
          <w:tcPr>
            <w:tcW w:w="2293" w:type="dxa"/>
            <w:shd w:val="clear" w:color="auto" w:fill="A6A6A6" w:themeFill="background1" w:themeFillShade="A6"/>
          </w:tcPr>
          <w:p w:rsidR="00DF2D8E" w:rsidRPr="002F5550" w:rsidRDefault="00DF2D8E" w:rsidP="00163075">
            <w:pPr>
              <w:pStyle w:val="Figurecaption"/>
              <w:spacing w:after="200"/>
              <w:rPr>
                <w:b/>
              </w:rPr>
            </w:pPr>
            <w:r w:rsidRPr="002F5550">
              <w:rPr>
                <w:b/>
              </w:rPr>
              <w:t>Mean</w:t>
            </w:r>
          </w:p>
        </w:tc>
      </w:tr>
      <w:tr w:rsidR="00DF2D8E" w:rsidTr="00163075">
        <w:trPr>
          <w:trHeight w:val="594"/>
        </w:trPr>
        <w:tc>
          <w:tcPr>
            <w:tcW w:w="2185" w:type="dxa"/>
          </w:tcPr>
          <w:p w:rsidR="00DF2D8E" w:rsidRPr="002F5550" w:rsidRDefault="00DF2D8E" w:rsidP="00163075">
            <w:pPr>
              <w:pStyle w:val="Figurecaption"/>
              <w:spacing w:after="200"/>
              <w:rPr>
                <w:b/>
              </w:rPr>
            </w:pPr>
            <w:r w:rsidRPr="002F5550">
              <w:rPr>
                <w:b/>
              </w:rPr>
              <w:t>First episode of treatment</w:t>
            </w:r>
          </w:p>
        </w:tc>
        <w:tc>
          <w:tcPr>
            <w:tcW w:w="2293" w:type="dxa"/>
          </w:tcPr>
          <w:p w:rsidR="00DF2D8E" w:rsidRDefault="00DF2D8E" w:rsidP="00163075">
            <w:pPr>
              <w:pStyle w:val="Figurecaption"/>
              <w:spacing w:after="200"/>
            </w:pPr>
            <w:r>
              <w:t>8.7 months</w:t>
            </w:r>
          </w:p>
        </w:tc>
        <w:tc>
          <w:tcPr>
            <w:tcW w:w="2293" w:type="dxa"/>
          </w:tcPr>
          <w:p w:rsidR="00DF2D8E" w:rsidRDefault="00DF2D8E" w:rsidP="00163075">
            <w:pPr>
              <w:pStyle w:val="Figurecaption"/>
              <w:spacing w:after="200"/>
            </w:pPr>
            <w:r>
              <w:t>17.9 months</w:t>
            </w:r>
          </w:p>
        </w:tc>
      </w:tr>
      <w:tr w:rsidR="00DF2D8E" w:rsidTr="00163075">
        <w:tc>
          <w:tcPr>
            <w:tcW w:w="2185" w:type="dxa"/>
          </w:tcPr>
          <w:p w:rsidR="00DF2D8E" w:rsidRPr="002F5550" w:rsidRDefault="00DF2D8E" w:rsidP="00163075">
            <w:pPr>
              <w:pStyle w:val="Figurecaption"/>
              <w:spacing w:after="200"/>
              <w:rPr>
                <w:b/>
              </w:rPr>
            </w:pPr>
            <w:r w:rsidRPr="002F5550">
              <w:rPr>
                <w:b/>
              </w:rPr>
              <w:t>All treatment excluding breaks</w:t>
            </w:r>
          </w:p>
        </w:tc>
        <w:tc>
          <w:tcPr>
            <w:tcW w:w="2293" w:type="dxa"/>
          </w:tcPr>
          <w:p w:rsidR="00DF2D8E" w:rsidRDefault="00DF2D8E" w:rsidP="00163075">
            <w:pPr>
              <w:pStyle w:val="Figurecaption"/>
              <w:spacing w:after="200"/>
            </w:pPr>
            <w:r>
              <w:t>18.8 months</w:t>
            </w:r>
          </w:p>
        </w:tc>
        <w:tc>
          <w:tcPr>
            <w:tcW w:w="2293" w:type="dxa"/>
          </w:tcPr>
          <w:p w:rsidR="00DF2D8E" w:rsidRDefault="00DF2D8E" w:rsidP="00163075">
            <w:pPr>
              <w:pStyle w:val="Figurecaption"/>
              <w:spacing w:after="200"/>
            </w:pPr>
            <w:r>
              <w:t>23.2 months</w:t>
            </w:r>
          </w:p>
        </w:tc>
      </w:tr>
      <w:tr w:rsidR="00DF2D8E" w:rsidTr="00163075">
        <w:tc>
          <w:tcPr>
            <w:tcW w:w="2185" w:type="dxa"/>
          </w:tcPr>
          <w:p w:rsidR="00DF2D8E" w:rsidRPr="002F5550" w:rsidRDefault="00DF2D8E" w:rsidP="00163075">
            <w:pPr>
              <w:pStyle w:val="Figurecaption"/>
              <w:spacing w:after="200"/>
              <w:rPr>
                <w:b/>
              </w:rPr>
            </w:pPr>
            <w:r w:rsidRPr="002F5550">
              <w:rPr>
                <w:b/>
              </w:rPr>
              <w:t>All treatment including breaks</w:t>
            </w:r>
          </w:p>
        </w:tc>
        <w:tc>
          <w:tcPr>
            <w:tcW w:w="2293" w:type="dxa"/>
          </w:tcPr>
          <w:p w:rsidR="00DF2D8E" w:rsidRDefault="00DF2D8E" w:rsidP="00163075">
            <w:pPr>
              <w:pStyle w:val="Figurecaption"/>
              <w:spacing w:after="200"/>
            </w:pPr>
            <w:r>
              <w:t>22.4 months</w:t>
            </w:r>
          </w:p>
        </w:tc>
        <w:tc>
          <w:tcPr>
            <w:tcW w:w="2293" w:type="dxa"/>
          </w:tcPr>
          <w:p w:rsidR="00DF2D8E" w:rsidRDefault="00DF2D8E" w:rsidP="00163075">
            <w:pPr>
              <w:pStyle w:val="Figurecaption"/>
              <w:spacing w:after="200"/>
            </w:pPr>
            <w:r>
              <w:t>24.0 months</w:t>
            </w:r>
          </w:p>
        </w:tc>
      </w:tr>
    </w:tbl>
    <w:p w:rsidR="00DF2D8E" w:rsidRDefault="00DF2D8E" w:rsidP="00DF2D8E">
      <w:pPr>
        <w:pStyle w:val="Figurecaption"/>
        <w:spacing w:after="200"/>
      </w:pPr>
      <w:r w:rsidRPr="00DA7CC6">
        <w:t>Source:</w:t>
      </w:r>
      <w:r w:rsidRPr="00B77935">
        <w:t xml:space="preserve"> </w:t>
      </w:r>
      <w:r w:rsidRPr="00CD67F9">
        <w:t xml:space="preserve">DHS PBS supplied </w:t>
      </w:r>
      <w:r w:rsidRPr="00246FA2">
        <w:t>prescription</w:t>
      </w:r>
      <w:r w:rsidRPr="00CD67F9">
        <w:t xml:space="preserve"> database for </w:t>
      </w:r>
      <w:r w:rsidRPr="00246FA2">
        <w:t>prescription</w:t>
      </w:r>
      <w:r w:rsidRPr="00CD67F9">
        <w:t xml:space="preserve">s supplied from </w:t>
      </w:r>
      <w:r>
        <w:t>February 2011 to December 2014 inclusive.</w:t>
      </w:r>
    </w:p>
    <w:p w:rsidR="00DF2D8E" w:rsidRDefault="00DF2D8E" w:rsidP="00DF2D8E">
      <w:pPr>
        <w:spacing w:before="200"/>
      </w:pPr>
      <w:r w:rsidRPr="002936A0">
        <w:t xml:space="preserve">Figure </w:t>
      </w:r>
      <w:r>
        <w:t>2</w:t>
      </w:r>
      <w:r w:rsidRPr="002936A0">
        <w:t xml:space="preserve"> presents the number of R/PBS and </w:t>
      </w:r>
      <w:r w:rsidR="003A28E6">
        <w:t>under co-payment</w:t>
      </w:r>
      <w:r w:rsidR="00CF1D87">
        <w:t xml:space="preserve"> </w:t>
      </w:r>
      <w:r w:rsidRPr="002936A0">
        <w:t>prescriptions supplied each month since dutasteride was listed on the PBS.</w:t>
      </w:r>
    </w:p>
    <w:p w:rsidR="00DF2D8E" w:rsidRDefault="00DF2D8E" w:rsidP="00DF2D8E">
      <w:pPr>
        <w:pStyle w:val="Figurecaption"/>
        <w:spacing w:after="200"/>
      </w:pPr>
    </w:p>
    <w:p w:rsidR="00DF2D8E" w:rsidRPr="002936A0" w:rsidRDefault="00DF2D8E" w:rsidP="00D40D93">
      <w:r>
        <w:rPr>
          <w:noProof/>
        </w:rPr>
        <w:drawing>
          <wp:inline distT="0" distB="0" distL="0" distR="0" wp14:anchorId="7C87D525" wp14:editId="4E88464C">
            <wp:extent cx="5648325" cy="5457825"/>
            <wp:effectExtent l="0" t="0" r="9525" b="9525"/>
            <wp:docPr id="3" name="Picture 3" descr="This graph includes the under co-payment prescriptions.  The data period is from February 2011 to October 2012" title="Figure 2 shows the number of PBS and RPBS prescriptions for dutasteride and dutasteride with tamsulosin by month of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47011" cy="5456555"/>
                    </a:xfrm>
                    <a:prstGeom prst="rect">
                      <a:avLst/>
                    </a:prstGeom>
                    <a:noFill/>
                  </pic:spPr>
                </pic:pic>
              </a:graphicData>
            </a:graphic>
          </wp:inline>
        </w:drawing>
      </w:r>
      <w:r w:rsidRPr="00D40D93">
        <w:rPr>
          <w:rStyle w:val="FiguretitleChar"/>
        </w:rPr>
        <w:t>Figure 2: dutasteride and dutasteride with tamsulosin FDC R/PBS prescriptions (including under co-payment) by month of supply.</w:t>
      </w:r>
    </w:p>
    <w:p w:rsidR="00DF2D8E" w:rsidRPr="00B77935" w:rsidRDefault="00DF2D8E" w:rsidP="00DF2D8E">
      <w:pPr>
        <w:pStyle w:val="Figurecaption"/>
        <w:spacing w:after="200"/>
      </w:pPr>
      <w:r w:rsidRPr="00B77935">
        <w:t>Source: DUSC database accessed March 2015</w:t>
      </w:r>
    </w:p>
    <w:p w:rsidR="00DC49E9" w:rsidRPr="005E22C2" w:rsidRDefault="00DC49E9" w:rsidP="00343204">
      <w:pPr>
        <w:pStyle w:val="Heading5"/>
      </w:pPr>
      <w:r w:rsidRPr="005E22C2">
        <w:t>Changes in the use of other drugs</w:t>
      </w:r>
    </w:p>
    <w:p w:rsidR="00DF2D8E" w:rsidRDefault="00DF2D8E" w:rsidP="00DF2D8E">
      <w:r w:rsidRPr="009106C3">
        <w:t>The</w:t>
      </w:r>
      <w:r>
        <w:t xml:space="preserve"> dutasteride</w:t>
      </w:r>
      <w:r w:rsidRPr="009106C3">
        <w:t xml:space="preserve"> submission assumed that the use of prazosin would increase with the PBS listing of</w:t>
      </w:r>
      <w:r>
        <w:t xml:space="preserve"> single agent</w:t>
      </w:r>
      <w:r w:rsidRPr="009106C3">
        <w:t xml:space="preserve"> dutasteride due to the need to co-administer the drug with an alpha-antagonist.</w:t>
      </w:r>
      <w:r>
        <w:t xml:space="preserve"> Initial analysis failed to demonstrate a</w:t>
      </w:r>
      <w:r w:rsidRPr="009106C3">
        <w:t xml:space="preserve"> clear increase in use of prazosin following the listing of dutasteride.</w:t>
      </w:r>
      <w:r>
        <w:t xml:space="preserve"> Further</w:t>
      </w:r>
      <w:r w:rsidRPr="009106C3">
        <w:t xml:space="preserve"> analysis of prazosin and dutasteride co-administration </w:t>
      </w:r>
      <w:r>
        <w:t xml:space="preserve">was not thought to be necessary </w:t>
      </w:r>
      <w:r w:rsidRPr="00377302">
        <w:t xml:space="preserve">due to the continued low </w:t>
      </w:r>
      <w:r>
        <w:t>utilisation</w:t>
      </w:r>
      <w:r w:rsidRPr="00377302">
        <w:t xml:space="preserve"> of single agent dutasteride.</w:t>
      </w:r>
    </w:p>
    <w:p w:rsidR="00DF2D8E" w:rsidRDefault="00DF2D8E" w:rsidP="00DF2D8E">
      <w:pPr>
        <w:pStyle w:val="DepartmentalNormal"/>
        <w:tabs>
          <w:tab w:val="left" w:pos="2700"/>
        </w:tabs>
        <w:jc w:val="both"/>
        <w:rPr>
          <w:rFonts w:ascii="Calibri" w:hAnsi="Calibri" w:cs="Calibri"/>
        </w:rPr>
      </w:pPr>
      <w:r w:rsidRPr="00377302">
        <w:rPr>
          <w:rFonts w:ascii="Calibri" w:hAnsi="Calibri" w:cs="Calibri"/>
          <w:szCs w:val="24"/>
        </w:rPr>
        <w:t>The dutasteride submission</w:t>
      </w:r>
      <w:r>
        <w:rPr>
          <w:rFonts w:ascii="Calibri" w:hAnsi="Calibri" w:cs="Calibri"/>
        </w:rPr>
        <w:t xml:space="preserve"> also</w:t>
      </w:r>
      <w:r w:rsidRPr="00377302">
        <w:rPr>
          <w:rFonts w:ascii="Calibri" w:hAnsi="Calibri" w:cs="Calibri"/>
          <w:szCs w:val="24"/>
        </w:rPr>
        <w:t xml:space="preserve"> assumed that RPBS usage of finasteride would </w:t>
      </w:r>
      <w:r w:rsidRPr="00377302">
        <w:rPr>
          <w:rFonts w:ascii="Calibri" w:hAnsi="Calibri" w:cs="Calibri"/>
        </w:rPr>
        <w:t>decrease</w:t>
      </w:r>
      <w:r>
        <w:rPr>
          <w:rFonts w:ascii="Calibri" w:hAnsi="Calibri" w:cs="Calibri"/>
        </w:rPr>
        <w:t xml:space="preserve">. However, usage has continued to be low and stable. The number of finasteride prescriptions in the most recent complete year (year 3 after listing of single agent dutasteride, January 2013-February 2014), was </w:t>
      </w:r>
      <w:r w:rsidRPr="00FC3AB0">
        <w:rPr>
          <w:rFonts w:ascii="Calibri" w:hAnsi="Calibri" w:cs="Calibri"/>
        </w:rPr>
        <w:t>35,686</w:t>
      </w:r>
      <w:r>
        <w:rPr>
          <w:rFonts w:ascii="Calibri" w:hAnsi="Calibri" w:cs="Calibri"/>
        </w:rPr>
        <w:t>.</w:t>
      </w:r>
    </w:p>
    <w:p w:rsidR="00DF2D8E" w:rsidRDefault="00DF2D8E" w:rsidP="00DF2D8E">
      <w:pPr>
        <w:pStyle w:val="DepartmentalNormal"/>
        <w:tabs>
          <w:tab w:val="left" w:pos="2700"/>
        </w:tabs>
        <w:jc w:val="both"/>
        <w:rPr>
          <w:rFonts w:ascii="Calibri" w:hAnsi="Calibri" w:cs="Calibri"/>
        </w:rPr>
      </w:pPr>
    </w:p>
    <w:p w:rsidR="00DF2D8E" w:rsidRDefault="00DF2D8E" w:rsidP="00DF2D8E">
      <w:r>
        <w:t xml:space="preserve">Use of single agent tamsulosin has been steady at approximately 50, 000 </w:t>
      </w:r>
      <w:r w:rsidRPr="00246FA2">
        <w:t>prescription</w:t>
      </w:r>
      <w:r>
        <w:t>s per year, since the last report.</w:t>
      </w:r>
    </w:p>
    <w:p w:rsidR="00736041" w:rsidRPr="005E22C2" w:rsidRDefault="001B5D37" w:rsidP="0085256D">
      <w:pPr>
        <w:pStyle w:val="Heading4"/>
      </w:pPr>
      <w:r w:rsidRPr="005E22C2">
        <w:t xml:space="preserve">Analysis </w:t>
      </w:r>
      <w:r w:rsidR="00481108" w:rsidRPr="005E22C2">
        <w:t xml:space="preserve">of </w:t>
      </w:r>
      <w:r w:rsidR="0063631C">
        <w:t>e</w:t>
      </w:r>
      <w:r w:rsidR="00736041" w:rsidRPr="005E22C2">
        <w:t>xpenditure</w:t>
      </w:r>
    </w:p>
    <w:p w:rsidR="00DF2D8E" w:rsidRPr="006055DC" w:rsidRDefault="00DF2D8E" w:rsidP="00DF2D8E">
      <w:pPr>
        <w:pStyle w:val="Tabletitle"/>
      </w:pPr>
      <w:r w:rsidRPr="00C538C4">
        <w:t>Table</w:t>
      </w:r>
      <w:r>
        <w:t xml:space="preserve"> 5:</w:t>
      </w:r>
      <w:r w:rsidRPr="00C56289">
        <w:t xml:space="preserve"> </w:t>
      </w:r>
      <w:r>
        <w:t>t</w:t>
      </w:r>
      <w:r w:rsidRPr="00C56289">
        <w:t>otal R/PBS cost to the government for dutasteride (5468T)</w:t>
      </w:r>
      <w:r>
        <w:t xml:space="preserve"> </w:t>
      </w:r>
      <w:r w:rsidRPr="00C56289">
        <w:t xml:space="preserve">from 1 February 2011 </w:t>
      </w:r>
      <w:r>
        <w:t>(</w:t>
      </w:r>
      <w:r w:rsidRPr="006055DC">
        <w:t>date of listing) to 31 January 2012 (Year 1) and 31 October 2015 (month 9 of Year 4)</w:t>
      </w:r>
    </w:p>
    <w:tbl>
      <w:tblPr>
        <w:tblStyle w:val="TableGrid"/>
        <w:tblW w:w="4941" w:type="pct"/>
        <w:tblInd w:w="108" w:type="dxa"/>
        <w:tblLook w:val="04A0" w:firstRow="1" w:lastRow="0" w:firstColumn="1" w:lastColumn="0" w:noHBand="0" w:noVBand="1"/>
        <w:tblCaption w:val="Table 3 shows the predicted vs actual expenditure in the first four years of dutasteride listing on the PBS"/>
      </w:tblPr>
      <w:tblGrid>
        <w:gridCol w:w="1340"/>
        <w:gridCol w:w="1954"/>
        <w:gridCol w:w="1822"/>
        <w:gridCol w:w="2047"/>
        <w:gridCol w:w="1902"/>
      </w:tblGrid>
      <w:tr w:rsidR="00DF2D8E" w:rsidRPr="006055DC" w:rsidTr="00DF2D8E">
        <w:trPr>
          <w:tblHeader/>
        </w:trPr>
        <w:tc>
          <w:tcPr>
            <w:tcW w:w="739" w:type="pct"/>
            <w:shd w:val="clear" w:color="auto" w:fill="BFBFBF" w:themeFill="background1" w:themeFillShade="BF"/>
          </w:tcPr>
          <w:p w:rsidR="00DF2D8E" w:rsidRPr="006055DC" w:rsidRDefault="00DF2D8E" w:rsidP="00163075">
            <w:pPr>
              <w:rPr>
                <w:b/>
                <w:sz w:val="20"/>
                <w:szCs w:val="20"/>
              </w:rPr>
            </w:pPr>
          </w:p>
        </w:tc>
        <w:tc>
          <w:tcPr>
            <w:tcW w:w="1078" w:type="pct"/>
            <w:shd w:val="clear" w:color="auto" w:fill="BFBFBF" w:themeFill="background1" w:themeFillShade="BF"/>
          </w:tcPr>
          <w:p w:rsidR="00DF2D8E" w:rsidRPr="006055DC" w:rsidRDefault="00DF2D8E" w:rsidP="00163075">
            <w:pPr>
              <w:spacing w:before="60" w:after="60"/>
              <w:jc w:val="center"/>
              <w:rPr>
                <w:b/>
                <w:sz w:val="20"/>
                <w:szCs w:val="20"/>
              </w:rPr>
            </w:pPr>
            <w:r w:rsidRPr="006055DC">
              <w:rPr>
                <w:b/>
                <w:sz w:val="20"/>
                <w:szCs w:val="20"/>
              </w:rPr>
              <w:t>Year 1</w:t>
            </w:r>
          </w:p>
        </w:tc>
        <w:tc>
          <w:tcPr>
            <w:tcW w:w="1005" w:type="pct"/>
            <w:shd w:val="clear" w:color="auto" w:fill="BFBFBF" w:themeFill="background1" w:themeFillShade="BF"/>
            <w:vAlign w:val="center"/>
          </w:tcPr>
          <w:p w:rsidR="00DF2D8E" w:rsidRPr="006055DC" w:rsidRDefault="00DF2D8E" w:rsidP="00163075">
            <w:pPr>
              <w:spacing w:before="60" w:after="60"/>
              <w:jc w:val="center"/>
              <w:rPr>
                <w:b/>
                <w:sz w:val="20"/>
                <w:szCs w:val="20"/>
              </w:rPr>
            </w:pPr>
            <w:r w:rsidRPr="006055DC">
              <w:rPr>
                <w:rStyle w:val="IntenseReference"/>
                <w:bCs w:val="0"/>
                <w:i w:val="0"/>
                <w:smallCaps w:val="0"/>
                <w:color w:val="auto"/>
                <w:sz w:val="20"/>
                <w:szCs w:val="20"/>
              </w:rPr>
              <w:t>Year 2</w:t>
            </w:r>
          </w:p>
        </w:tc>
        <w:tc>
          <w:tcPr>
            <w:tcW w:w="1129" w:type="pct"/>
            <w:shd w:val="clear" w:color="auto" w:fill="BFBFBF" w:themeFill="background1" w:themeFillShade="BF"/>
            <w:vAlign w:val="center"/>
          </w:tcPr>
          <w:p w:rsidR="00DF2D8E" w:rsidRPr="006055DC" w:rsidRDefault="00DF2D8E" w:rsidP="00163075">
            <w:pPr>
              <w:spacing w:before="60" w:after="60"/>
              <w:jc w:val="center"/>
              <w:rPr>
                <w:b/>
                <w:sz w:val="20"/>
                <w:szCs w:val="20"/>
              </w:rPr>
            </w:pPr>
            <w:r w:rsidRPr="006055DC">
              <w:rPr>
                <w:rStyle w:val="IntenseReference"/>
                <w:bCs w:val="0"/>
                <w:i w:val="0"/>
                <w:smallCaps w:val="0"/>
                <w:color w:val="auto"/>
                <w:sz w:val="20"/>
                <w:szCs w:val="20"/>
              </w:rPr>
              <w:t>Year 3</w:t>
            </w:r>
          </w:p>
        </w:tc>
        <w:tc>
          <w:tcPr>
            <w:tcW w:w="1050" w:type="pct"/>
            <w:shd w:val="clear" w:color="auto" w:fill="BFBFBF" w:themeFill="background1" w:themeFillShade="BF"/>
            <w:vAlign w:val="center"/>
          </w:tcPr>
          <w:p w:rsidR="00DF2D8E" w:rsidRPr="006055DC" w:rsidRDefault="00DF2D8E" w:rsidP="00163075">
            <w:pPr>
              <w:spacing w:before="60" w:after="60"/>
              <w:jc w:val="center"/>
              <w:rPr>
                <w:b/>
                <w:sz w:val="20"/>
                <w:szCs w:val="20"/>
              </w:rPr>
            </w:pPr>
            <w:r w:rsidRPr="006055DC">
              <w:rPr>
                <w:rStyle w:val="IntenseReference"/>
                <w:bCs w:val="0"/>
                <w:i w:val="0"/>
                <w:smallCaps w:val="0"/>
                <w:color w:val="auto"/>
                <w:sz w:val="20"/>
                <w:szCs w:val="20"/>
              </w:rPr>
              <w:t>Year 4</w:t>
            </w:r>
            <w:r w:rsidRPr="006055DC">
              <w:rPr>
                <w:rStyle w:val="IntenseReference"/>
                <w:bCs w:val="0"/>
                <w:i w:val="0"/>
                <w:smallCaps w:val="0"/>
                <w:color w:val="auto"/>
                <w:sz w:val="20"/>
                <w:szCs w:val="20"/>
                <w:vertAlign w:val="superscript"/>
              </w:rPr>
              <w:t>b</w:t>
            </w:r>
          </w:p>
        </w:tc>
      </w:tr>
      <w:tr w:rsidR="00DF2D8E" w:rsidRPr="006055DC" w:rsidTr="00DF2D8E">
        <w:tc>
          <w:tcPr>
            <w:tcW w:w="739" w:type="pct"/>
          </w:tcPr>
          <w:p w:rsidR="00DF2D8E" w:rsidRPr="006055DC" w:rsidRDefault="00DF2D8E" w:rsidP="00163075">
            <w:pPr>
              <w:spacing w:before="60" w:after="60"/>
              <w:rPr>
                <w:sz w:val="20"/>
                <w:szCs w:val="20"/>
              </w:rPr>
            </w:pPr>
            <w:r w:rsidRPr="006055DC">
              <w:rPr>
                <w:sz w:val="20"/>
                <w:szCs w:val="20"/>
              </w:rPr>
              <w:t>Predicted</w:t>
            </w:r>
          </w:p>
        </w:tc>
        <w:tc>
          <w:tcPr>
            <w:tcW w:w="1078" w:type="pct"/>
            <w:vAlign w:val="center"/>
          </w:tcPr>
          <w:p w:rsidR="00DF2D8E" w:rsidRPr="006055DC" w:rsidRDefault="00DF2D8E" w:rsidP="009A6BA7">
            <w:pPr>
              <w:jc w:val="center"/>
              <w:rPr>
                <w:sz w:val="20"/>
                <w:szCs w:val="20"/>
              </w:rPr>
            </w:pPr>
            <w:r w:rsidRPr="006055DC">
              <w:rPr>
                <w:rFonts w:ascii="Calibri" w:hAnsi="Calibri" w:cs="Calibri"/>
                <w:sz w:val="20"/>
                <w:szCs w:val="20"/>
              </w:rPr>
              <w:t>$</w:t>
            </w:r>
            <w:r w:rsidR="0084678C">
              <w:rPr>
                <w:rFonts w:ascii="Calibri" w:hAnsi="Calibri" w:cs="Calibri"/>
                <w:noProof/>
                <w:color w:val="000000"/>
                <w:sz w:val="20"/>
                <w:szCs w:val="20"/>
                <w:highlight w:val="black"/>
              </w:rPr>
              <w:t>'''''''''''''''''''</w:t>
            </w:r>
          </w:p>
        </w:tc>
        <w:tc>
          <w:tcPr>
            <w:tcW w:w="1005" w:type="pct"/>
            <w:vAlign w:val="center"/>
          </w:tcPr>
          <w:p w:rsidR="00DF2D8E" w:rsidRPr="006055DC" w:rsidRDefault="00DF2D8E" w:rsidP="009A6BA7">
            <w:pPr>
              <w:jc w:val="center"/>
              <w:rPr>
                <w:sz w:val="20"/>
                <w:szCs w:val="20"/>
              </w:rPr>
            </w:pPr>
            <w:r w:rsidRPr="006055DC">
              <w:rPr>
                <w:rFonts w:ascii="Calibri" w:hAnsi="Calibri" w:cs="Calibri"/>
                <w:sz w:val="20"/>
                <w:szCs w:val="20"/>
              </w:rPr>
              <w:t>$</w:t>
            </w:r>
            <w:r w:rsidR="009A6BA7">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129" w:type="pct"/>
            <w:vAlign w:val="center"/>
          </w:tcPr>
          <w:p w:rsidR="00DF2D8E" w:rsidRPr="006055DC" w:rsidRDefault="00DF2D8E" w:rsidP="004F5D39">
            <w:pPr>
              <w:jc w:val="center"/>
              <w:rPr>
                <w:sz w:val="20"/>
                <w:szCs w:val="20"/>
              </w:rPr>
            </w:pPr>
            <w:r w:rsidRPr="006055DC">
              <w:rPr>
                <w:rStyle w:val="IntenseReference"/>
                <w:b w:val="0"/>
                <w:bCs w:val="0"/>
                <w:i w:val="0"/>
                <w:smallCaps w:val="0"/>
                <w:color w:val="auto"/>
                <w:sz w:val="20"/>
                <w:szCs w:val="20"/>
              </w:rPr>
              <w:t>$</w:t>
            </w:r>
            <w:r w:rsidR="004F5D39">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50" w:type="pct"/>
            <w:vAlign w:val="center"/>
          </w:tcPr>
          <w:p w:rsidR="00DF2D8E" w:rsidRPr="006055DC" w:rsidRDefault="00DF2D8E" w:rsidP="004F5D39">
            <w:pPr>
              <w:jc w:val="center"/>
              <w:rPr>
                <w:sz w:val="20"/>
                <w:szCs w:val="20"/>
              </w:rPr>
            </w:pPr>
            <w:r w:rsidRPr="006055DC">
              <w:rPr>
                <w:rStyle w:val="IntenseReference"/>
                <w:b w:val="0"/>
                <w:bCs w:val="0"/>
                <w:i w:val="0"/>
                <w:smallCaps w:val="0"/>
                <w:color w:val="auto"/>
                <w:sz w:val="20"/>
                <w:szCs w:val="20"/>
              </w:rPr>
              <w:t>$</w:t>
            </w:r>
            <w:r w:rsidR="004F5D39">
              <w:rPr>
                <w:rFonts w:ascii="Calibri" w:hAnsi="Calibri" w:cs="Calibri"/>
                <w:sz w:val="20"/>
                <w:szCs w:val="20"/>
              </w:rPr>
              <w:t xml:space="preserve"> </w:t>
            </w:r>
            <w:r w:rsidR="0084678C">
              <w:rPr>
                <w:rFonts w:ascii="Calibri" w:hAnsi="Calibri" w:cs="Calibri"/>
                <w:noProof/>
                <w:color w:val="000000"/>
                <w:sz w:val="20"/>
                <w:szCs w:val="20"/>
                <w:highlight w:val="black"/>
              </w:rPr>
              <w:t>''''''''''''''''''''</w:t>
            </w:r>
          </w:p>
        </w:tc>
      </w:tr>
      <w:tr w:rsidR="00DF2D8E" w:rsidRPr="006055DC" w:rsidTr="00DF2D8E">
        <w:tc>
          <w:tcPr>
            <w:tcW w:w="739" w:type="pct"/>
          </w:tcPr>
          <w:p w:rsidR="00DF2D8E" w:rsidRPr="006055DC" w:rsidRDefault="00DF2D8E" w:rsidP="00163075">
            <w:pPr>
              <w:spacing w:before="60" w:after="60"/>
              <w:rPr>
                <w:sz w:val="20"/>
                <w:szCs w:val="20"/>
              </w:rPr>
            </w:pPr>
            <w:r w:rsidRPr="006055DC">
              <w:rPr>
                <w:sz w:val="20"/>
                <w:szCs w:val="20"/>
              </w:rPr>
              <w:t>Actual (%</w:t>
            </w:r>
            <w:r w:rsidRPr="006055DC">
              <w:rPr>
                <w:sz w:val="20"/>
                <w:szCs w:val="20"/>
                <w:vertAlign w:val="superscript"/>
              </w:rPr>
              <w:t>a</w:t>
            </w:r>
            <w:r w:rsidRPr="006055DC">
              <w:rPr>
                <w:sz w:val="20"/>
                <w:szCs w:val="20"/>
              </w:rPr>
              <w:t>)</w:t>
            </w:r>
          </w:p>
        </w:tc>
        <w:tc>
          <w:tcPr>
            <w:tcW w:w="1078" w:type="pct"/>
            <w:vAlign w:val="center"/>
          </w:tcPr>
          <w:p w:rsidR="00DF2D8E" w:rsidRPr="006055DC" w:rsidRDefault="00F34F5A" w:rsidP="006D0764">
            <w:pPr>
              <w:jc w:val="center"/>
              <w:rPr>
                <w:sz w:val="20"/>
                <w:szCs w:val="20"/>
              </w:rPr>
            </w:pPr>
            <w:r>
              <w:rPr>
                <w:rFonts w:ascii="Calibri" w:hAnsi="Calibri" w:cs="Calibri"/>
                <w:sz w:val="20"/>
                <w:szCs w:val="20"/>
              </w:rPr>
              <w:t>$653,069 (</w:t>
            </w:r>
            <w:r w:rsidR="0084678C">
              <w:rPr>
                <w:rFonts w:ascii="Calibri" w:hAnsi="Calibri" w:cs="Calibri"/>
                <w:noProof/>
                <w:color w:val="000000"/>
                <w:sz w:val="20"/>
                <w:szCs w:val="20"/>
                <w:highlight w:val="black"/>
              </w:rPr>
              <w:t>''''''''''''''''''''</w:t>
            </w:r>
            <w:r w:rsidR="00DF2D8E" w:rsidRPr="006055DC">
              <w:rPr>
                <w:rFonts w:ascii="Calibri" w:hAnsi="Calibri" w:cs="Calibri"/>
                <w:sz w:val="20"/>
                <w:szCs w:val="20"/>
              </w:rPr>
              <w:t>%)</w:t>
            </w:r>
          </w:p>
        </w:tc>
        <w:tc>
          <w:tcPr>
            <w:tcW w:w="1005" w:type="pct"/>
            <w:vAlign w:val="center"/>
          </w:tcPr>
          <w:p w:rsidR="00DF2D8E" w:rsidRPr="006055DC" w:rsidRDefault="00DF2D8E" w:rsidP="00F34F5A">
            <w:pPr>
              <w:jc w:val="center"/>
              <w:rPr>
                <w:sz w:val="20"/>
                <w:szCs w:val="20"/>
              </w:rPr>
            </w:pPr>
            <w:r w:rsidRPr="006055DC">
              <w:rPr>
                <w:rFonts w:ascii="Calibri" w:hAnsi="Calibri" w:cs="Calibri"/>
                <w:sz w:val="20"/>
                <w:szCs w:val="20"/>
              </w:rPr>
              <w:t>$707,006</w:t>
            </w:r>
            <w:r w:rsidR="006D0764">
              <w:rPr>
                <w:rFonts w:ascii="Calibri" w:hAnsi="Calibri" w:cs="Calibri"/>
                <w:sz w:val="20"/>
                <w:szCs w:val="20"/>
              </w:rPr>
              <w:t xml:space="preserve"> </w:t>
            </w:r>
            <w:r w:rsidR="00F34F5A">
              <w:rPr>
                <w:rFonts w:ascii="Calibri" w:hAnsi="Calibri" w:cs="Calibri"/>
                <w:sz w:val="20"/>
                <w:szCs w:val="20"/>
              </w:rPr>
              <w:t>(</w:t>
            </w:r>
            <w:r w:rsidR="0084678C">
              <w:rPr>
                <w:rFonts w:ascii="Calibri" w:hAnsi="Calibri" w:cs="Calibri"/>
                <w:noProof/>
                <w:color w:val="000000"/>
                <w:sz w:val="20"/>
                <w:szCs w:val="20"/>
                <w:highlight w:val="black"/>
              </w:rPr>
              <w:t>'''''''''''''''''''''</w:t>
            </w:r>
            <w:r w:rsidRPr="006055DC">
              <w:rPr>
                <w:rFonts w:ascii="Calibri" w:hAnsi="Calibri" w:cs="Calibri"/>
                <w:sz w:val="20"/>
                <w:szCs w:val="20"/>
              </w:rPr>
              <w:t>%)</w:t>
            </w:r>
          </w:p>
        </w:tc>
        <w:tc>
          <w:tcPr>
            <w:tcW w:w="1129" w:type="pct"/>
            <w:vAlign w:val="center"/>
          </w:tcPr>
          <w:p w:rsidR="00DF2D8E" w:rsidRPr="006055DC" w:rsidRDefault="00DF2D8E" w:rsidP="00F34F5A">
            <w:pPr>
              <w:jc w:val="center"/>
              <w:rPr>
                <w:sz w:val="20"/>
                <w:szCs w:val="20"/>
              </w:rPr>
            </w:pPr>
            <w:r w:rsidRPr="006055DC">
              <w:rPr>
                <w:rStyle w:val="IntenseReference"/>
                <w:b w:val="0"/>
                <w:bCs w:val="0"/>
                <w:i w:val="0"/>
                <w:smallCaps w:val="0"/>
                <w:color w:val="auto"/>
                <w:sz w:val="20"/>
                <w:szCs w:val="20"/>
              </w:rPr>
              <w:t>$771,199</w:t>
            </w:r>
            <w:r w:rsidR="00F34F5A">
              <w:rPr>
                <w:rStyle w:val="IntenseReference"/>
                <w:b w:val="0"/>
                <w:bCs w:val="0"/>
                <w:i w:val="0"/>
                <w:smallCaps w:val="0"/>
                <w:color w:val="auto"/>
                <w:sz w:val="20"/>
                <w:szCs w:val="20"/>
              </w:rPr>
              <w:br/>
            </w:r>
            <w:r w:rsidR="00F34F5A">
              <w:rPr>
                <w:rFonts w:ascii="Calibri" w:hAnsi="Calibri" w:cs="Calibri"/>
                <w:sz w:val="20"/>
                <w:szCs w:val="20"/>
              </w:rPr>
              <w:t>(</w:t>
            </w:r>
            <w:r w:rsidR="0084678C">
              <w:rPr>
                <w:rFonts w:ascii="Calibri" w:hAnsi="Calibri" w:cs="Calibri"/>
                <w:noProof/>
                <w:color w:val="000000"/>
                <w:sz w:val="20"/>
                <w:szCs w:val="20"/>
                <w:highlight w:val="black"/>
              </w:rPr>
              <w:t>''''''''''''''''''</w:t>
            </w:r>
            <w:r w:rsidRPr="006055DC">
              <w:rPr>
                <w:rStyle w:val="IntenseReference"/>
                <w:b w:val="0"/>
                <w:bCs w:val="0"/>
                <w:i w:val="0"/>
                <w:smallCaps w:val="0"/>
                <w:color w:val="auto"/>
                <w:sz w:val="20"/>
                <w:szCs w:val="20"/>
              </w:rPr>
              <w:t>%)</w:t>
            </w:r>
          </w:p>
        </w:tc>
        <w:tc>
          <w:tcPr>
            <w:tcW w:w="1050" w:type="pct"/>
            <w:vAlign w:val="center"/>
          </w:tcPr>
          <w:p w:rsidR="00DF2D8E" w:rsidRPr="006055DC" w:rsidRDefault="00DF2D8E" w:rsidP="006D0764">
            <w:pPr>
              <w:jc w:val="center"/>
              <w:rPr>
                <w:sz w:val="20"/>
                <w:szCs w:val="20"/>
              </w:rPr>
            </w:pPr>
            <w:r w:rsidRPr="006055DC">
              <w:rPr>
                <w:rStyle w:val="IntenseReference"/>
                <w:b w:val="0"/>
                <w:bCs w:val="0"/>
                <w:i w:val="0"/>
                <w:smallCaps w:val="0"/>
                <w:color w:val="auto"/>
                <w:sz w:val="20"/>
                <w:szCs w:val="20"/>
              </w:rPr>
              <w:t>$600,840 (</w:t>
            </w:r>
            <w:r w:rsidR="0084678C">
              <w:rPr>
                <w:rFonts w:ascii="Calibri" w:hAnsi="Calibri" w:cs="Calibri"/>
                <w:noProof/>
                <w:color w:val="000000"/>
                <w:sz w:val="20"/>
                <w:szCs w:val="20"/>
                <w:highlight w:val="black"/>
              </w:rPr>
              <w:t>'''''''''''''''''''''</w:t>
            </w:r>
            <w:r w:rsidRPr="006055DC">
              <w:rPr>
                <w:rStyle w:val="IntenseReference"/>
                <w:b w:val="0"/>
                <w:bCs w:val="0"/>
                <w:i w:val="0"/>
                <w:smallCaps w:val="0"/>
                <w:color w:val="auto"/>
                <w:sz w:val="20"/>
                <w:szCs w:val="20"/>
              </w:rPr>
              <w:t>%)</w:t>
            </w:r>
          </w:p>
        </w:tc>
      </w:tr>
    </w:tbl>
    <w:p w:rsidR="00DF2D8E" w:rsidRPr="006055DC" w:rsidRDefault="00DF2D8E" w:rsidP="00DF2D8E">
      <w:pPr>
        <w:pStyle w:val="Notes"/>
      </w:pPr>
      <w:r w:rsidRPr="006055DC">
        <w:t xml:space="preserve">Source: Predicted - estimates agreed between the Sponsor and DoHA post PBAC recommendation to list. Actual - DUSC database accessed March 2015, based on date of prescription </w:t>
      </w:r>
      <w:r w:rsidRPr="006055DC">
        <w:rPr>
          <w:u w:val="single"/>
        </w:rPr>
        <w:t>supply</w:t>
      </w:r>
      <w:r w:rsidRPr="006055DC">
        <w:t xml:space="preserve">. </w:t>
      </w:r>
      <w:r w:rsidRPr="006055DC">
        <w:br/>
      </w:r>
      <w:r w:rsidRPr="006055DC">
        <w:rPr>
          <w:vertAlign w:val="superscript"/>
        </w:rPr>
        <w:t>a</w:t>
      </w:r>
      <w:r w:rsidRPr="006055DC">
        <w:t>percent of predicted use</w:t>
      </w:r>
      <w:r w:rsidRPr="006055DC">
        <w:br/>
      </w:r>
      <w:r w:rsidRPr="006055DC">
        <w:rPr>
          <w:vertAlign w:val="superscript"/>
        </w:rPr>
        <w:t>b</w:t>
      </w:r>
      <w:r w:rsidRPr="006055DC">
        <w:t>actual data presented for year 4 is a part year, as complete data was only available for February 2013 to October 2014</w:t>
      </w:r>
      <w:r w:rsidRPr="006055DC">
        <w:br/>
      </w:r>
    </w:p>
    <w:p w:rsidR="00DF2D8E" w:rsidRPr="006055DC" w:rsidRDefault="00DF2D8E" w:rsidP="00DF2D8E">
      <w:pPr>
        <w:pStyle w:val="Tabletitle"/>
      </w:pPr>
      <w:r w:rsidRPr="006055DC">
        <w:t>Table 6: total R/PBS cost to the government for dutasteride + tamsulosin (5490Y)</w:t>
      </w:r>
      <w:r w:rsidRPr="006055DC">
        <w:rPr>
          <w:vertAlign w:val="superscript"/>
        </w:rPr>
        <w:t>c</w:t>
      </w:r>
      <w:r w:rsidRPr="006055DC">
        <w:t xml:space="preserve"> from 1 February 2011 to 31 January 2012 (Year 1) and 31 October 2015 (month 9 of Year 4)</w:t>
      </w:r>
    </w:p>
    <w:tbl>
      <w:tblPr>
        <w:tblStyle w:val="TableGrid"/>
        <w:tblW w:w="4941" w:type="pct"/>
        <w:tblInd w:w="108" w:type="dxa"/>
        <w:tblLook w:val="04A0" w:firstRow="1" w:lastRow="0" w:firstColumn="1" w:lastColumn="0" w:noHBand="0" w:noVBand="1"/>
        <w:tblCaption w:val="Table 4 shows the predicted versus actual expenditure on the dutasteride and tamsulosin FDC product in the first four years of single agent dutasteride listing on the PBS"/>
      </w:tblPr>
      <w:tblGrid>
        <w:gridCol w:w="1324"/>
        <w:gridCol w:w="1935"/>
        <w:gridCol w:w="1936"/>
        <w:gridCol w:w="1936"/>
        <w:gridCol w:w="1934"/>
      </w:tblGrid>
      <w:tr w:rsidR="00DF2D8E" w:rsidRPr="006055DC" w:rsidTr="00DF2D8E">
        <w:trPr>
          <w:tblHeader/>
        </w:trPr>
        <w:tc>
          <w:tcPr>
            <w:tcW w:w="730" w:type="pct"/>
            <w:shd w:val="clear" w:color="auto" w:fill="BFBFBF" w:themeFill="background1" w:themeFillShade="BF"/>
          </w:tcPr>
          <w:p w:rsidR="00DF2D8E" w:rsidRPr="006055DC" w:rsidRDefault="00DF2D8E" w:rsidP="00163075">
            <w:pPr>
              <w:rPr>
                <w:b/>
                <w:sz w:val="20"/>
                <w:szCs w:val="20"/>
              </w:rPr>
            </w:pPr>
          </w:p>
        </w:tc>
        <w:tc>
          <w:tcPr>
            <w:tcW w:w="1067" w:type="pct"/>
            <w:shd w:val="clear" w:color="auto" w:fill="BFBFBF" w:themeFill="background1" w:themeFillShade="BF"/>
          </w:tcPr>
          <w:p w:rsidR="00DF2D8E" w:rsidRPr="006055DC" w:rsidRDefault="00DF2D8E" w:rsidP="00163075">
            <w:pPr>
              <w:spacing w:before="60" w:after="60"/>
              <w:jc w:val="center"/>
              <w:rPr>
                <w:b/>
                <w:sz w:val="20"/>
                <w:szCs w:val="20"/>
              </w:rPr>
            </w:pPr>
            <w:r w:rsidRPr="006055DC">
              <w:rPr>
                <w:b/>
                <w:sz w:val="20"/>
                <w:szCs w:val="20"/>
              </w:rPr>
              <w:t>Year 1</w:t>
            </w:r>
          </w:p>
        </w:tc>
        <w:tc>
          <w:tcPr>
            <w:tcW w:w="1068" w:type="pct"/>
            <w:shd w:val="clear" w:color="auto" w:fill="BFBFBF" w:themeFill="background1" w:themeFillShade="BF"/>
            <w:vAlign w:val="center"/>
          </w:tcPr>
          <w:p w:rsidR="00DF2D8E" w:rsidRPr="006055DC" w:rsidRDefault="00DF2D8E" w:rsidP="00163075">
            <w:pPr>
              <w:spacing w:before="60" w:after="60"/>
              <w:jc w:val="center"/>
              <w:rPr>
                <w:b/>
                <w:sz w:val="20"/>
                <w:szCs w:val="20"/>
              </w:rPr>
            </w:pPr>
            <w:r w:rsidRPr="006055DC">
              <w:rPr>
                <w:rStyle w:val="IntenseReference"/>
                <w:bCs w:val="0"/>
                <w:i w:val="0"/>
                <w:smallCaps w:val="0"/>
                <w:color w:val="auto"/>
                <w:sz w:val="20"/>
                <w:szCs w:val="20"/>
              </w:rPr>
              <w:t>Year 2</w:t>
            </w:r>
          </w:p>
        </w:tc>
        <w:tc>
          <w:tcPr>
            <w:tcW w:w="1068" w:type="pct"/>
            <w:shd w:val="clear" w:color="auto" w:fill="BFBFBF" w:themeFill="background1" w:themeFillShade="BF"/>
            <w:vAlign w:val="center"/>
          </w:tcPr>
          <w:p w:rsidR="00DF2D8E" w:rsidRPr="006055DC" w:rsidRDefault="00DF2D8E" w:rsidP="00163075">
            <w:pPr>
              <w:spacing w:before="60" w:after="60"/>
              <w:jc w:val="center"/>
              <w:rPr>
                <w:b/>
                <w:sz w:val="20"/>
                <w:szCs w:val="20"/>
              </w:rPr>
            </w:pPr>
            <w:r w:rsidRPr="006055DC">
              <w:rPr>
                <w:rStyle w:val="IntenseReference"/>
                <w:bCs w:val="0"/>
                <w:i w:val="0"/>
                <w:smallCaps w:val="0"/>
                <w:color w:val="auto"/>
                <w:sz w:val="20"/>
                <w:szCs w:val="20"/>
              </w:rPr>
              <w:t>Year 3</w:t>
            </w:r>
          </w:p>
        </w:tc>
        <w:tc>
          <w:tcPr>
            <w:tcW w:w="1067" w:type="pct"/>
            <w:shd w:val="clear" w:color="auto" w:fill="BFBFBF" w:themeFill="background1" w:themeFillShade="BF"/>
            <w:vAlign w:val="center"/>
          </w:tcPr>
          <w:p w:rsidR="00DF2D8E" w:rsidRPr="006055DC" w:rsidRDefault="00DF2D8E" w:rsidP="00163075">
            <w:pPr>
              <w:spacing w:before="60" w:after="60"/>
              <w:jc w:val="center"/>
              <w:rPr>
                <w:b/>
                <w:sz w:val="20"/>
                <w:szCs w:val="20"/>
              </w:rPr>
            </w:pPr>
            <w:r w:rsidRPr="006055DC">
              <w:rPr>
                <w:rStyle w:val="IntenseReference"/>
                <w:bCs w:val="0"/>
                <w:i w:val="0"/>
                <w:smallCaps w:val="0"/>
                <w:color w:val="auto"/>
                <w:sz w:val="20"/>
                <w:szCs w:val="20"/>
              </w:rPr>
              <w:t>Year 4</w:t>
            </w:r>
            <w:r w:rsidRPr="006055DC">
              <w:rPr>
                <w:rStyle w:val="IntenseReference"/>
                <w:bCs w:val="0"/>
                <w:i w:val="0"/>
                <w:smallCaps w:val="0"/>
                <w:color w:val="auto"/>
                <w:sz w:val="20"/>
                <w:szCs w:val="20"/>
                <w:vertAlign w:val="superscript"/>
              </w:rPr>
              <w:t>b</w:t>
            </w:r>
          </w:p>
        </w:tc>
      </w:tr>
      <w:tr w:rsidR="00DF2D8E" w:rsidRPr="006055DC" w:rsidTr="00DF2D8E">
        <w:tc>
          <w:tcPr>
            <w:tcW w:w="730" w:type="pct"/>
          </w:tcPr>
          <w:p w:rsidR="00DF2D8E" w:rsidRPr="006055DC" w:rsidRDefault="00DF2D8E" w:rsidP="00163075">
            <w:pPr>
              <w:spacing w:before="60" w:after="60"/>
              <w:rPr>
                <w:sz w:val="20"/>
                <w:szCs w:val="20"/>
              </w:rPr>
            </w:pPr>
            <w:r w:rsidRPr="006055DC">
              <w:rPr>
                <w:sz w:val="20"/>
                <w:szCs w:val="20"/>
              </w:rPr>
              <w:t>Predicted</w:t>
            </w:r>
          </w:p>
        </w:tc>
        <w:tc>
          <w:tcPr>
            <w:tcW w:w="1067" w:type="pct"/>
            <w:vAlign w:val="center"/>
          </w:tcPr>
          <w:p w:rsidR="00DF2D8E" w:rsidRPr="006055DC" w:rsidRDefault="00DF2D8E" w:rsidP="00CF3C7F">
            <w:pPr>
              <w:jc w:val="center"/>
              <w:rPr>
                <w:sz w:val="20"/>
                <w:szCs w:val="20"/>
              </w:rPr>
            </w:pPr>
            <w:r w:rsidRPr="006055DC">
              <w:rPr>
                <w:rFonts w:ascii="Calibri" w:hAnsi="Calibri" w:cs="Calibri"/>
                <w:sz w:val="20"/>
                <w:szCs w:val="20"/>
              </w:rPr>
              <w:t>$</w:t>
            </w:r>
            <w:r w:rsidR="00CF3C7F">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68" w:type="pct"/>
            <w:vAlign w:val="center"/>
          </w:tcPr>
          <w:p w:rsidR="00DF2D8E" w:rsidRPr="006055DC" w:rsidRDefault="00DF2D8E" w:rsidP="00CF3C7F">
            <w:pPr>
              <w:jc w:val="center"/>
              <w:rPr>
                <w:sz w:val="20"/>
                <w:szCs w:val="20"/>
              </w:rPr>
            </w:pPr>
            <w:r w:rsidRPr="006055DC">
              <w:rPr>
                <w:rFonts w:ascii="Calibri" w:hAnsi="Calibri" w:cs="Calibri"/>
                <w:sz w:val="20"/>
                <w:szCs w:val="20"/>
              </w:rPr>
              <w:t>$</w:t>
            </w:r>
            <w:r w:rsidR="00CF3C7F">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68" w:type="pct"/>
            <w:vAlign w:val="center"/>
          </w:tcPr>
          <w:p w:rsidR="00DF2D8E" w:rsidRPr="006055DC" w:rsidRDefault="00DF2D8E" w:rsidP="00CF3C7F">
            <w:pPr>
              <w:jc w:val="center"/>
              <w:rPr>
                <w:sz w:val="20"/>
                <w:szCs w:val="20"/>
              </w:rPr>
            </w:pPr>
            <w:r w:rsidRPr="006055DC">
              <w:rPr>
                <w:rFonts w:ascii="Calibri" w:hAnsi="Calibri" w:cs="Calibri"/>
                <w:sz w:val="20"/>
                <w:szCs w:val="20"/>
              </w:rPr>
              <w:t>$</w:t>
            </w:r>
            <w:r w:rsidR="00CF3C7F">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67" w:type="pct"/>
            <w:vAlign w:val="center"/>
          </w:tcPr>
          <w:p w:rsidR="00DF2D8E" w:rsidRPr="006055DC" w:rsidRDefault="00DF2D8E" w:rsidP="00CF3C7F">
            <w:pPr>
              <w:jc w:val="center"/>
              <w:rPr>
                <w:sz w:val="20"/>
                <w:szCs w:val="20"/>
              </w:rPr>
            </w:pPr>
            <w:r w:rsidRPr="006055DC">
              <w:rPr>
                <w:rFonts w:ascii="Calibri" w:hAnsi="Calibri" w:cs="Calibri"/>
                <w:sz w:val="20"/>
                <w:szCs w:val="20"/>
              </w:rPr>
              <w:t>$</w:t>
            </w:r>
            <w:r w:rsidR="00CF3C7F">
              <w:rPr>
                <w:rFonts w:ascii="Calibri" w:hAnsi="Calibri" w:cs="Calibri"/>
                <w:sz w:val="20"/>
                <w:szCs w:val="20"/>
              </w:rPr>
              <w:t xml:space="preserve"> </w:t>
            </w:r>
            <w:r w:rsidR="0084678C">
              <w:rPr>
                <w:rFonts w:ascii="Calibri" w:hAnsi="Calibri" w:cs="Calibri"/>
                <w:noProof/>
                <w:color w:val="000000"/>
                <w:sz w:val="20"/>
                <w:szCs w:val="20"/>
                <w:highlight w:val="black"/>
              </w:rPr>
              <w:t>''''''''''''''''''''</w:t>
            </w:r>
          </w:p>
        </w:tc>
      </w:tr>
      <w:tr w:rsidR="00DF2D8E" w:rsidRPr="006055DC" w:rsidTr="00DF2D8E">
        <w:tc>
          <w:tcPr>
            <w:tcW w:w="730" w:type="pct"/>
          </w:tcPr>
          <w:p w:rsidR="00DF2D8E" w:rsidRPr="006055DC" w:rsidRDefault="00DF2D8E" w:rsidP="00163075">
            <w:pPr>
              <w:spacing w:before="60" w:after="60"/>
              <w:rPr>
                <w:sz w:val="20"/>
                <w:szCs w:val="20"/>
              </w:rPr>
            </w:pPr>
            <w:r w:rsidRPr="006055DC">
              <w:rPr>
                <w:sz w:val="20"/>
                <w:szCs w:val="20"/>
              </w:rPr>
              <w:t>Actual (%</w:t>
            </w:r>
            <w:r w:rsidRPr="006055DC">
              <w:rPr>
                <w:sz w:val="20"/>
                <w:szCs w:val="20"/>
                <w:vertAlign w:val="superscript"/>
              </w:rPr>
              <w:t>a</w:t>
            </w:r>
            <w:r w:rsidRPr="006055DC">
              <w:rPr>
                <w:sz w:val="20"/>
                <w:szCs w:val="20"/>
              </w:rPr>
              <w:t>)</w:t>
            </w:r>
          </w:p>
        </w:tc>
        <w:tc>
          <w:tcPr>
            <w:tcW w:w="1067" w:type="pct"/>
            <w:vAlign w:val="center"/>
          </w:tcPr>
          <w:p w:rsidR="00DF2D8E" w:rsidRPr="006055DC" w:rsidRDefault="00DF2D8E" w:rsidP="00630A50">
            <w:pPr>
              <w:jc w:val="center"/>
              <w:rPr>
                <w:sz w:val="20"/>
                <w:szCs w:val="20"/>
              </w:rPr>
            </w:pPr>
            <w:r w:rsidRPr="006055DC">
              <w:rPr>
                <w:rFonts w:ascii="Calibri" w:hAnsi="Calibri" w:cs="Calibri"/>
                <w:sz w:val="20"/>
                <w:szCs w:val="20"/>
              </w:rPr>
              <w:t>$988,099 (</w:t>
            </w:r>
            <w:r w:rsidR="0084678C">
              <w:rPr>
                <w:rFonts w:ascii="Calibri" w:hAnsi="Calibri" w:cs="Calibri"/>
                <w:noProof/>
                <w:color w:val="000000"/>
                <w:sz w:val="20"/>
                <w:szCs w:val="20"/>
                <w:highlight w:val="black"/>
              </w:rPr>
              <w:t>''''''''''''''''''</w:t>
            </w:r>
            <w:r w:rsidRPr="006055DC">
              <w:rPr>
                <w:rFonts w:ascii="Calibri" w:hAnsi="Calibri" w:cs="Calibri"/>
                <w:sz w:val="20"/>
                <w:szCs w:val="20"/>
              </w:rPr>
              <w:t>%)</w:t>
            </w:r>
          </w:p>
        </w:tc>
        <w:tc>
          <w:tcPr>
            <w:tcW w:w="1068" w:type="pct"/>
            <w:vAlign w:val="center"/>
          </w:tcPr>
          <w:p w:rsidR="00DF2D8E" w:rsidRPr="006055DC" w:rsidRDefault="00DF2D8E" w:rsidP="00CF3C7F">
            <w:pPr>
              <w:jc w:val="center"/>
              <w:rPr>
                <w:sz w:val="20"/>
                <w:szCs w:val="20"/>
              </w:rPr>
            </w:pPr>
            <w:r w:rsidRPr="006055DC">
              <w:rPr>
                <w:rFonts w:ascii="Calibri" w:hAnsi="Calibri" w:cs="Calibri"/>
                <w:sz w:val="20"/>
                <w:szCs w:val="20"/>
              </w:rPr>
              <w:t>$988,099 (</w:t>
            </w:r>
            <w:r w:rsidR="0084678C">
              <w:rPr>
                <w:rFonts w:ascii="Calibri" w:hAnsi="Calibri" w:cs="Calibri"/>
                <w:noProof/>
                <w:color w:val="000000"/>
                <w:sz w:val="20"/>
                <w:szCs w:val="20"/>
                <w:highlight w:val="black"/>
              </w:rPr>
              <w:t>'''''''''''''''''''''</w:t>
            </w:r>
            <w:r w:rsidRPr="006055DC">
              <w:rPr>
                <w:rFonts w:ascii="Calibri" w:hAnsi="Calibri" w:cs="Calibri"/>
                <w:sz w:val="20"/>
                <w:szCs w:val="20"/>
              </w:rPr>
              <w:t>%)</w:t>
            </w:r>
          </w:p>
        </w:tc>
        <w:tc>
          <w:tcPr>
            <w:tcW w:w="1068" w:type="pct"/>
            <w:vAlign w:val="center"/>
          </w:tcPr>
          <w:p w:rsidR="00DF2D8E" w:rsidRPr="006055DC" w:rsidRDefault="00630A50" w:rsidP="00CF3C7F">
            <w:pPr>
              <w:jc w:val="center"/>
              <w:rPr>
                <w:sz w:val="20"/>
                <w:szCs w:val="20"/>
              </w:rPr>
            </w:pPr>
            <w:r>
              <w:rPr>
                <w:rFonts w:ascii="Calibri" w:hAnsi="Calibri" w:cs="Calibri"/>
                <w:sz w:val="20"/>
                <w:szCs w:val="20"/>
              </w:rPr>
              <w:t xml:space="preserve">$988,099 </w:t>
            </w:r>
            <w:r w:rsidR="00CF3C7F">
              <w:rPr>
                <w:rFonts w:ascii="Calibri" w:hAnsi="Calibri" w:cs="Calibri"/>
                <w:sz w:val="20"/>
                <w:szCs w:val="20"/>
              </w:rPr>
              <w:t xml:space="preserve"> </w:t>
            </w:r>
            <w:r>
              <w:rPr>
                <w:rFonts w:ascii="Calibri" w:hAnsi="Calibri" w:cs="Calibri"/>
                <w:sz w:val="20"/>
                <w:szCs w:val="20"/>
              </w:rPr>
              <w:t>(</w:t>
            </w:r>
            <w:r w:rsidR="0084678C">
              <w:rPr>
                <w:rFonts w:ascii="Calibri" w:hAnsi="Calibri" w:cs="Calibri"/>
                <w:noProof/>
                <w:color w:val="000000"/>
                <w:sz w:val="20"/>
                <w:szCs w:val="20"/>
                <w:highlight w:val="black"/>
              </w:rPr>
              <w:t>'''''''''''''''''''''</w:t>
            </w:r>
            <w:r w:rsidR="00DF2D8E" w:rsidRPr="006055DC">
              <w:rPr>
                <w:rFonts w:ascii="Calibri" w:hAnsi="Calibri" w:cs="Calibri"/>
                <w:sz w:val="20"/>
                <w:szCs w:val="20"/>
              </w:rPr>
              <w:t>%)</w:t>
            </w:r>
          </w:p>
        </w:tc>
        <w:tc>
          <w:tcPr>
            <w:tcW w:w="1067" w:type="pct"/>
            <w:vAlign w:val="center"/>
          </w:tcPr>
          <w:p w:rsidR="00DF2D8E" w:rsidRPr="006055DC" w:rsidRDefault="00DF2D8E" w:rsidP="00CF3C7F">
            <w:pPr>
              <w:jc w:val="center"/>
              <w:rPr>
                <w:sz w:val="20"/>
                <w:szCs w:val="20"/>
              </w:rPr>
            </w:pPr>
            <w:r w:rsidRPr="006055DC">
              <w:rPr>
                <w:rFonts w:ascii="Calibri" w:hAnsi="Calibri" w:cs="Calibri"/>
                <w:sz w:val="20"/>
                <w:szCs w:val="20"/>
              </w:rPr>
              <w:t>$988,099 (</w:t>
            </w:r>
            <w:r w:rsidR="0084678C">
              <w:rPr>
                <w:rFonts w:ascii="Calibri" w:hAnsi="Calibri" w:cs="Calibri"/>
                <w:noProof/>
                <w:color w:val="000000"/>
                <w:sz w:val="20"/>
                <w:szCs w:val="20"/>
                <w:highlight w:val="black"/>
              </w:rPr>
              <w:t>'''''''''''''''''''''</w:t>
            </w:r>
            <w:r w:rsidRPr="006055DC">
              <w:rPr>
                <w:rFonts w:ascii="Calibri" w:hAnsi="Calibri" w:cs="Calibri"/>
                <w:sz w:val="20"/>
                <w:szCs w:val="20"/>
              </w:rPr>
              <w:t>%)</w:t>
            </w:r>
          </w:p>
        </w:tc>
      </w:tr>
    </w:tbl>
    <w:p w:rsidR="00DF2D8E" w:rsidRPr="006055DC" w:rsidRDefault="00DF2D8E" w:rsidP="00DF2D8E">
      <w:pPr>
        <w:pStyle w:val="Notes"/>
      </w:pPr>
      <w:r w:rsidRPr="006055DC">
        <w:t xml:space="preserve">Source: Predicted - estimates agreed between the Sponsor and DoHA post PBAC recommendation to list. Actual - DUSC database accessed March 2015, based on date of prescription </w:t>
      </w:r>
      <w:r w:rsidRPr="006055DC">
        <w:rPr>
          <w:u w:val="single"/>
        </w:rPr>
        <w:t>supply</w:t>
      </w:r>
      <w:r w:rsidRPr="006055DC">
        <w:t xml:space="preserve">. </w:t>
      </w:r>
      <w:r w:rsidRPr="006055DC">
        <w:br/>
      </w:r>
      <w:r w:rsidRPr="006055DC">
        <w:rPr>
          <w:vertAlign w:val="superscript"/>
        </w:rPr>
        <w:t>a</w:t>
      </w:r>
      <w:r w:rsidRPr="006055DC">
        <w:t>percent of predicted use</w:t>
      </w:r>
      <w:r w:rsidRPr="006055DC">
        <w:br/>
      </w:r>
      <w:r w:rsidRPr="006055DC">
        <w:rPr>
          <w:vertAlign w:val="superscript"/>
        </w:rPr>
        <w:t>b</w:t>
      </w:r>
      <w:r w:rsidRPr="006055DC">
        <w:t>actual data presented for year 4 is a part year, as complete data was only available for February 2013 to October 2014</w:t>
      </w:r>
      <w:r w:rsidRPr="006055DC">
        <w:br/>
      </w:r>
      <w:r w:rsidRPr="006055DC">
        <w:rPr>
          <w:vertAlign w:val="superscript"/>
        </w:rPr>
        <w:t>c</w:t>
      </w:r>
      <w:r w:rsidRPr="006055DC">
        <w:t>listed 1 August 2011</w:t>
      </w:r>
    </w:p>
    <w:p w:rsidR="00DF2D8E" w:rsidRPr="006055DC" w:rsidRDefault="00DF2D8E" w:rsidP="00DF2D8E">
      <w:pPr>
        <w:pStyle w:val="Tabletitle"/>
      </w:pPr>
      <w:r w:rsidRPr="006055DC">
        <w:t>Table 7: total R/PBS cost to the government for dutasteride (5468T) and dutasteride + tamsulosin (5490Y)</w:t>
      </w:r>
      <w:r w:rsidR="00633650" w:rsidRPr="006055DC">
        <w:rPr>
          <w:vertAlign w:val="superscript"/>
        </w:rPr>
        <w:t>c</w:t>
      </w:r>
      <w:r w:rsidRPr="006055DC">
        <w:t xml:space="preserve"> from 1 February 2011 to 31 January 2012 (Year 1) and 31 October 2015 (month 9 of Year 4)</w:t>
      </w:r>
    </w:p>
    <w:tbl>
      <w:tblPr>
        <w:tblStyle w:val="TableGrid"/>
        <w:tblW w:w="4941" w:type="pct"/>
        <w:tblInd w:w="108" w:type="dxa"/>
        <w:tblLook w:val="04A0" w:firstRow="1" w:lastRow="0" w:firstColumn="1" w:lastColumn="0" w:noHBand="0" w:noVBand="1"/>
        <w:tblCaption w:val="Table 5 shows the total R/PBS expenditure on dutasteride and dutasteride with tamsulosin FDC for the first 4 years of PBS listing"/>
      </w:tblPr>
      <w:tblGrid>
        <w:gridCol w:w="1214"/>
        <w:gridCol w:w="1963"/>
        <w:gridCol w:w="1963"/>
        <w:gridCol w:w="1963"/>
        <w:gridCol w:w="1962"/>
      </w:tblGrid>
      <w:tr w:rsidR="00DF2D8E" w:rsidRPr="006055DC" w:rsidTr="00DF2D8E">
        <w:trPr>
          <w:tblHeader/>
        </w:trPr>
        <w:tc>
          <w:tcPr>
            <w:tcW w:w="669" w:type="pct"/>
            <w:shd w:val="clear" w:color="auto" w:fill="BFBFBF" w:themeFill="background1" w:themeFillShade="BF"/>
          </w:tcPr>
          <w:p w:rsidR="00DF2D8E" w:rsidRPr="006055DC" w:rsidRDefault="00DF2D8E" w:rsidP="00163075">
            <w:pPr>
              <w:rPr>
                <w:b/>
                <w:sz w:val="20"/>
                <w:szCs w:val="20"/>
              </w:rPr>
            </w:pPr>
          </w:p>
        </w:tc>
        <w:tc>
          <w:tcPr>
            <w:tcW w:w="1083" w:type="pct"/>
            <w:shd w:val="clear" w:color="auto" w:fill="BFBFBF" w:themeFill="background1" w:themeFillShade="BF"/>
          </w:tcPr>
          <w:p w:rsidR="00DF2D8E" w:rsidRPr="006055DC" w:rsidRDefault="00DF2D8E" w:rsidP="00163075">
            <w:pPr>
              <w:spacing w:before="60" w:after="60"/>
              <w:jc w:val="center"/>
              <w:rPr>
                <w:b/>
                <w:sz w:val="20"/>
                <w:szCs w:val="20"/>
              </w:rPr>
            </w:pPr>
            <w:r w:rsidRPr="006055DC">
              <w:rPr>
                <w:b/>
                <w:sz w:val="20"/>
                <w:szCs w:val="20"/>
              </w:rPr>
              <w:t>Year 1</w:t>
            </w:r>
          </w:p>
        </w:tc>
        <w:tc>
          <w:tcPr>
            <w:tcW w:w="1083" w:type="pct"/>
            <w:shd w:val="clear" w:color="auto" w:fill="BFBFBF" w:themeFill="background1" w:themeFillShade="BF"/>
            <w:vAlign w:val="center"/>
          </w:tcPr>
          <w:p w:rsidR="00DF2D8E" w:rsidRPr="006055DC" w:rsidRDefault="00DF2D8E" w:rsidP="00163075">
            <w:pPr>
              <w:jc w:val="center"/>
              <w:rPr>
                <w:b/>
                <w:sz w:val="20"/>
                <w:szCs w:val="20"/>
              </w:rPr>
            </w:pPr>
            <w:r w:rsidRPr="006055DC">
              <w:rPr>
                <w:rStyle w:val="IntenseReference"/>
                <w:bCs w:val="0"/>
                <w:i w:val="0"/>
                <w:smallCaps w:val="0"/>
                <w:color w:val="auto"/>
                <w:sz w:val="20"/>
                <w:szCs w:val="20"/>
              </w:rPr>
              <w:t>Year 2</w:t>
            </w:r>
          </w:p>
        </w:tc>
        <w:tc>
          <w:tcPr>
            <w:tcW w:w="1083" w:type="pct"/>
            <w:shd w:val="clear" w:color="auto" w:fill="BFBFBF" w:themeFill="background1" w:themeFillShade="BF"/>
            <w:vAlign w:val="center"/>
          </w:tcPr>
          <w:p w:rsidR="00DF2D8E" w:rsidRPr="006055DC" w:rsidRDefault="00DF2D8E" w:rsidP="00163075">
            <w:pPr>
              <w:jc w:val="center"/>
              <w:rPr>
                <w:b/>
                <w:sz w:val="20"/>
                <w:szCs w:val="20"/>
              </w:rPr>
            </w:pPr>
            <w:r w:rsidRPr="006055DC">
              <w:rPr>
                <w:rStyle w:val="IntenseReference"/>
                <w:bCs w:val="0"/>
                <w:i w:val="0"/>
                <w:smallCaps w:val="0"/>
                <w:color w:val="auto"/>
                <w:sz w:val="20"/>
                <w:szCs w:val="20"/>
              </w:rPr>
              <w:t>Year 3</w:t>
            </w:r>
          </w:p>
        </w:tc>
        <w:tc>
          <w:tcPr>
            <w:tcW w:w="1083" w:type="pct"/>
            <w:shd w:val="clear" w:color="auto" w:fill="BFBFBF" w:themeFill="background1" w:themeFillShade="BF"/>
            <w:vAlign w:val="center"/>
          </w:tcPr>
          <w:p w:rsidR="00DF2D8E" w:rsidRPr="006055DC" w:rsidRDefault="00DF2D8E" w:rsidP="00163075">
            <w:pPr>
              <w:jc w:val="center"/>
              <w:rPr>
                <w:b/>
                <w:sz w:val="20"/>
                <w:szCs w:val="20"/>
              </w:rPr>
            </w:pPr>
            <w:r w:rsidRPr="006055DC">
              <w:rPr>
                <w:rStyle w:val="IntenseReference"/>
                <w:bCs w:val="0"/>
                <w:i w:val="0"/>
                <w:smallCaps w:val="0"/>
                <w:color w:val="auto"/>
                <w:sz w:val="20"/>
                <w:szCs w:val="20"/>
              </w:rPr>
              <w:t>Year 4</w:t>
            </w:r>
            <w:r w:rsidRPr="006055DC">
              <w:rPr>
                <w:rStyle w:val="IntenseReference"/>
                <w:bCs w:val="0"/>
                <w:i w:val="0"/>
                <w:smallCaps w:val="0"/>
                <w:color w:val="auto"/>
                <w:sz w:val="20"/>
                <w:szCs w:val="20"/>
                <w:vertAlign w:val="superscript"/>
              </w:rPr>
              <w:t>b</w:t>
            </w:r>
          </w:p>
        </w:tc>
      </w:tr>
      <w:tr w:rsidR="00DF2D8E" w:rsidRPr="006055DC" w:rsidTr="00DF2D8E">
        <w:tc>
          <w:tcPr>
            <w:tcW w:w="669" w:type="pct"/>
          </w:tcPr>
          <w:p w:rsidR="00DF2D8E" w:rsidRPr="006055DC" w:rsidRDefault="00DF2D8E" w:rsidP="00163075">
            <w:pPr>
              <w:spacing w:before="60" w:after="60"/>
              <w:rPr>
                <w:sz w:val="20"/>
                <w:szCs w:val="20"/>
              </w:rPr>
            </w:pPr>
            <w:r w:rsidRPr="006055DC">
              <w:rPr>
                <w:sz w:val="20"/>
                <w:szCs w:val="20"/>
              </w:rPr>
              <w:t>Predicted</w:t>
            </w:r>
          </w:p>
        </w:tc>
        <w:tc>
          <w:tcPr>
            <w:tcW w:w="1083" w:type="pct"/>
            <w:vAlign w:val="center"/>
          </w:tcPr>
          <w:p w:rsidR="00DF2D8E" w:rsidRPr="006055DC" w:rsidRDefault="00DF2D8E" w:rsidP="007C492E">
            <w:pPr>
              <w:jc w:val="center"/>
              <w:rPr>
                <w:sz w:val="20"/>
                <w:szCs w:val="20"/>
              </w:rPr>
            </w:pPr>
            <w:r w:rsidRPr="006055DC">
              <w:rPr>
                <w:rFonts w:ascii="Calibri" w:hAnsi="Calibri" w:cs="Calibri"/>
                <w:sz w:val="20"/>
                <w:szCs w:val="20"/>
              </w:rPr>
              <w:t>$</w:t>
            </w:r>
            <w:r w:rsidR="007C492E">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83" w:type="pct"/>
            <w:vAlign w:val="center"/>
          </w:tcPr>
          <w:p w:rsidR="00DF2D8E" w:rsidRPr="006055DC" w:rsidRDefault="00DF2D8E" w:rsidP="007C492E">
            <w:pPr>
              <w:jc w:val="center"/>
              <w:rPr>
                <w:sz w:val="20"/>
                <w:szCs w:val="20"/>
              </w:rPr>
            </w:pPr>
            <w:r w:rsidRPr="006055DC">
              <w:rPr>
                <w:rFonts w:ascii="Calibri" w:hAnsi="Calibri" w:cs="Calibri"/>
                <w:sz w:val="20"/>
                <w:szCs w:val="20"/>
              </w:rPr>
              <w:t>$</w:t>
            </w:r>
            <w:r w:rsidR="007C492E">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83" w:type="pct"/>
            <w:vAlign w:val="center"/>
          </w:tcPr>
          <w:p w:rsidR="00DF2D8E" w:rsidRPr="006055DC" w:rsidRDefault="00DF2D8E" w:rsidP="007C492E">
            <w:pPr>
              <w:jc w:val="center"/>
              <w:rPr>
                <w:sz w:val="20"/>
                <w:szCs w:val="20"/>
              </w:rPr>
            </w:pPr>
            <w:r w:rsidRPr="006055DC">
              <w:rPr>
                <w:rFonts w:ascii="Calibri" w:hAnsi="Calibri" w:cs="Calibri"/>
                <w:sz w:val="20"/>
                <w:szCs w:val="20"/>
              </w:rPr>
              <w:t>$</w:t>
            </w:r>
            <w:r w:rsidR="007C492E">
              <w:rPr>
                <w:rFonts w:ascii="Calibri" w:hAnsi="Calibri" w:cs="Calibri"/>
                <w:sz w:val="20"/>
                <w:szCs w:val="20"/>
              </w:rPr>
              <w:t xml:space="preserve"> </w:t>
            </w:r>
            <w:r w:rsidR="0084678C">
              <w:rPr>
                <w:rFonts w:ascii="Calibri" w:hAnsi="Calibri" w:cs="Calibri"/>
                <w:noProof/>
                <w:color w:val="000000"/>
                <w:sz w:val="20"/>
                <w:szCs w:val="20"/>
                <w:highlight w:val="black"/>
              </w:rPr>
              <w:t>''''''''''''''''''''''</w:t>
            </w:r>
          </w:p>
        </w:tc>
        <w:tc>
          <w:tcPr>
            <w:tcW w:w="1083" w:type="pct"/>
            <w:vAlign w:val="center"/>
          </w:tcPr>
          <w:p w:rsidR="00DF2D8E" w:rsidRPr="006055DC" w:rsidRDefault="00DF2D8E" w:rsidP="007C492E">
            <w:pPr>
              <w:jc w:val="center"/>
              <w:rPr>
                <w:sz w:val="20"/>
                <w:szCs w:val="20"/>
              </w:rPr>
            </w:pPr>
            <w:r w:rsidRPr="006055DC">
              <w:rPr>
                <w:rFonts w:ascii="Calibri" w:hAnsi="Calibri" w:cs="Calibri"/>
                <w:sz w:val="20"/>
                <w:szCs w:val="20"/>
              </w:rPr>
              <w:t>$</w:t>
            </w:r>
            <w:r w:rsidR="007C492E">
              <w:rPr>
                <w:rFonts w:ascii="Calibri" w:hAnsi="Calibri" w:cs="Calibri"/>
                <w:sz w:val="20"/>
                <w:szCs w:val="20"/>
              </w:rPr>
              <w:t xml:space="preserve"> </w:t>
            </w:r>
            <w:r w:rsidR="0084678C">
              <w:rPr>
                <w:rFonts w:ascii="Calibri" w:hAnsi="Calibri" w:cs="Calibri"/>
                <w:noProof/>
                <w:color w:val="000000"/>
                <w:sz w:val="20"/>
                <w:szCs w:val="20"/>
                <w:highlight w:val="black"/>
              </w:rPr>
              <w:t>'''''''''''''''''''''</w:t>
            </w:r>
          </w:p>
        </w:tc>
      </w:tr>
      <w:tr w:rsidR="00DF2D8E" w:rsidTr="00DF2D8E">
        <w:tc>
          <w:tcPr>
            <w:tcW w:w="669" w:type="pct"/>
          </w:tcPr>
          <w:p w:rsidR="00DF2D8E" w:rsidRPr="006055DC" w:rsidRDefault="00DF2D8E" w:rsidP="00163075">
            <w:pPr>
              <w:spacing w:before="60" w:after="60"/>
              <w:rPr>
                <w:sz w:val="20"/>
                <w:szCs w:val="20"/>
              </w:rPr>
            </w:pPr>
            <w:r w:rsidRPr="006055DC">
              <w:rPr>
                <w:sz w:val="20"/>
                <w:szCs w:val="20"/>
              </w:rPr>
              <w:t>Actual (%</w:t>
            </w:r>
            <w:r w:rsidRPr="006055DC">
              <w:rPr>
                <w:sz w:val="20"/>
                <w:szCs w:val="20"/>
                <w:vertAlign w:val="superscript"/>
              </w:rPr>
              <w:t>a</w:t>
            </w:r>
            <w:r w:rsidRPr="006055DC">
              <w:rPr>
                <w:sz w:val="20"/>
                <w:szCs w:val="20"/>
              </w:rPr>
              <w:t>)</w:t>
            </w:r>
          </w:p>
        </w:tc>
        <w:tc>
          <w:tcPr>
            <w:tcW w:w="1083" w:type="pct"/>
            <w:vAlign w:val="center"/>
          </w:tcPr>
          <w:p w:rsidR="00DF2D8E" w:rsidRPr="006055DC" w:rsidRDefault="00DF2D8E" w:rsidP="007C492E">
            <w:pPr>
              <w:jc w:val="center"/>
              <w:rPr>
                <w:sz w:val="20"/>
                <w:szCs w:val="20"/>
              </w:rPr>
            </w:pPr>
            <w:r w:rsidRPr="006055DC">
              <w:rPr>
                <w:rFonts w:ascii="Calibri" w:hAnsi="Calibri" w:cs="Calibri"/>
                <w:sz w:val="20"/>
                <w:szCs w:val="20"/>
              </w:rPr>
              <w:t>$1,641,167 (</w:t>
            </w:r>
            <w:r w:rsidR="0084678C">
              <w:rPr>
                <w:rFonts w:ascii="Calibri" w:hAnsi="Calibri" w:cs="Calibri"/>
                <w:noProof/>
                <w:color w:val="000000"/>
                <w:sz w:val="20"/>
                <w:szCs w:val="20"/>
                <w:highlight w:val="black"/>
              </w:rPr>
              <w:t>'''''''''''''''''''''</w:t>
            </w:r>
            <w:r w:rsidRPr="006055DC">
              <w:rPr>
                <w:rFonts w:ascii="Calibri" w:hAnsi="Calibri" w:cs="Calibri"/>
                <w:sz w:val="20"/>
                <w:szCs w:val="20"/>
              </w:rPr>
              <w:t>%)</w:t>
            </w:r>
          </w:p>
        </w:tc>
        <w:tc>
          <w:tcPr>
            <w:tcW w:w="1083" w:type="pct"/>
            <w:vAlign w:val="center"/>
          </w:tcPr>
          <w:p w:rsidR="00DF2D8E" w:rsidRPr="006055DC" w:rsidRDefault="00CE759C" w:rsidP="007C492E">
            <w:pPr>
              <w:jc w:val="center"/>
              <w:rPr>
                <w:sz w:val="20"/>
                <w:szCs w:val="20"/>
              </w:rPr>
            </w:pPr>
            <w:r>
              <w:rPr>
                <w:rFonts w:ascii="Calibri" w:hAnsi="Calibri" w:cs="Calibri"/>
                <w:sz w:val="20"/>
                <w:szCs w:val="20"/>
              </w:rPr>
              <w:t>$1,641,167</w:t>
            </w:r>
            <w:r w:rsidR="007C492E">
              <w:rPr>
                <w:rFonts w:ascii="Calibri" w:hAnsi="Calibri" w:cs="Calibri"/>
                <w:sz w:val="20"/>
                <w:szCs w:val="20"/>
              </w:rPr>
              <w:t xml:space="preserve"> </w:t>
            </w:r>
            <w:r>
              <w:rPr>
                <w:rFonts w:ascii="Calibri" w:hAnsi="Calibri" w:cs="Calibri"/>
                <w:sz w:val="20"/>
                <w:szCs w:val="20"/>
              </w:rPr>
              <w:t>(</w:t>
            </w:r>
            <w:r w:rsidR="0084678C">
              <w:rPr>
                <w:rFonts w:ascii="Calibri" w:hAnsi="Calibri" w:cs="Calibri"/>
                <w:noProof/>
                <w:color w:val="000000"/>
                <w:sz w:val="20"/>
                <w:szCs w:val="20"/>
                <w:highlight w:val="black"/>
              </w:rPr>
              <w:t>''''''''''''''''''''''</w:t>
            </w:r>
            <w:r w:rsidR="00DF2D8E" w:rsidRPr="006055DC">
              <w:rPr>
                <w:rFonts w:ascii="Calibri" w:hAnsi="Calibri" w:cs="Calibri"/>
                <w:sz w:val="20"/>
                <w:szCs w:val="20"/>
              </w:rPr>
              <w:t>%)</w:t>
            </w:r>
          </w:p>
        </w:tc>
        <w:tc>
          <w:tcPr>
            <w:tcW w:w="1083" w:type="pct"/>
            <w:vAlign w:val="center"/>
          </w:tcPr>
          <w:p w:rsidR="00DF2D8E" w:rsidRPr="006055DC" w:rsidRDefault="00DF2D8E" w:rsidP="007C492E">
            <w:pPr>
              <w:jc w:val="center"/>
              <w:rPr>
                <w:sz w:val="20"/>
                <w:szCs w:val="20"/>
              </w:rPr>
            </w:pPr>
            <w:r w:rsidRPr="006055DC">
              <w:rPr>
                <w:rFonts w:ascii="Calibri" w:hAnsi="Calibri" w:cs="Calibri"/>
                <w:sz w:val="20"/>
                <w:szCs w:val="20"/>
              </w:rPr>
              <w:t>$1,641,167 (</w:t>
            </w:r>
            <w:r w:rsidR="0084678C">
              <w:rPr>
                <w:rFonts w:ascii="Calibri" w:hAnsi="Calibri" w:cs="Calibri"/>
                <w:noProof/>
                <w:color w:val="000000"/>
                <w:sz w:val="20"/>
                <w:szCs w:val="20"/>
                <w:highlight w:val="black"/>
              </w:rPr>
              <w:t>'''''''''''''''''''''</w:t>
            </w:r>
            <w:r w:rsidRPr="006055DC">
              <w:rPr>
                <w:rFonts w:ascii="Calibri" w:hAnsi="Calibri" w:cs="Calibri"/>
                <w:sz w:val="20"/>
                <w:szCs w:val="20"/>
              </w:rPr>
              <w:t>%)</w:t>
            </w:r>
          </w:p>
        </w:tc>
        <w:tc>
          <w:tcPr>
            <w:tcW w:w="1083" w:type="pct"/>
            <w:vAlign w:val="center"/>
          </w:tcPr>
          <w:p w:rsidR="00DF2D8E" w:rsidRPr="0050088C" w:rsidRDefault="00DF2D8E" w:rsidP="007C492E">
            <w:pPr>
              <w:jc w:val="center"/>
              <w:rPr>
                <w:sz w:val="20"/>
                <w:szCs w:val="20"/>
              </w:rPr>
            </w:pPr>
            <w:r w:rsidRPr="006055DC">
              <w:rPr>
                <w:rFonts w:ascii="Calibri" w:hAnsi="Calibri" w:cs="Calibri"/>
                <w:sz w:val="20"/>
                <w:szCs w:val="20"/>
              </w:rPr>
              <w:t>$1,641,167 (</w:t>
            </w:r>
            <w:r w:rsidR="0084678C">
              <w:rPr>
                <w:rFonts w:ascii="Calibri" w:hAnsi="Calibri" w:cs="Calibri"/>
                <w:noProof/>
                <w:color w:val="000000"/>
                <w:sz w:val="20"/>
                <w:szCs w:val="20"/>
                <w:highlight w:val="black"/>
              </w:rPr>
              <w:t>'''''''''''''''''''</w:t>
            </w:r>
            <w:r w:rsidRPr="006055DC">
              <w:rPr>
                <w:rFonts w:ascii="Calibri" w:hAnsi="Calibri" w:cs="Calibri"/>
                <w:sz w:val="20"/>
                <w:szCs w:val="20"/>
              </w:rPr>
              <w:t>%)</w:t>
            </w:r>
          </w:p>
        </w:tc>
      </w:tr>
    </w:tbl>
    <w:p w:rsidR="00DF2D8E" w:rsidRPr="001E7718" w:rsidRDefault="00DF2D8E" w:rsidP="00DF2D8E">
      <w:pPr>
        <w:pStyle w:val="Notes"/>
      </w:pPr>
      <w:r w:rsidRPr="001E7718">
        <w:t xml:space="preserve">Source: Predicted - estimates agreed between the Sponsor and DoHA post PBAC recommendation to list. Actual - DUSC database accessed March 2015, based on date of prescription </w:t>
      </w:r>
      <w:r w:rsidRPr="001E7718">
        <w:rPr>
          <w:u w:val="single"/>
        </w:rPr>
        <w:t>supply</w:t>
      </w:r>
      <w:r w:rsidRPr="001E7718">
        <w:t xml:space="preserve">. </w:t>
      </w:r>
      <w:r>
        <w:br/>
      </w:r>
      <w:r w:rsidRPr="001E7718">
        <w:rPr>
          <w:vertAlign w:val="superscript"/>
        </w:rPr>
        <w:t>a</w:t>
      </w:r>
      <w:r w:rsidRPr="001E7718">
        <w:t>percent of predicted use</w:t>
      </w:r>
      <w:r>
        <w:br/>
      </w:r>
      <w:r w:rsidRPr="001E7718">
        <w:rPr>
          <w:vertAlign w:val="superscript"/>
        </w:rPr>
        <w:t>b</w:t>
      </w:r>
      <w:r w:rsidRPr="001E7718">
        <w:t>actual data presented for year 4 is a part year, as complete data was only available for February 2013 to October 2014</w:t>
      </w:r>
      <w:r>
        <w:br/>
      </w:r>
      <w:r w:rsidRPr="001E7718">
        <w:rPr>
          <w:vertAlign w:val="superscript"/>
        </w:rPr>
        <w:t>c</w:t>
      </w:r>
      <w:r w:rsidRPr="001E7718">
        <w:t>listed 1 August 2011</w:t>
      </w:r>
    </w:p>
    <w:p w:rsidR="00736041" w:rsidRPr="005E22C2" w:rsidRDefault="00D151EB" w:rsidP="00E55D60">
      <w:pPr>
        <w:pStyle w:val="Heading4"/>
      </w:pPr>
      <w:r>
        <w:t xml:space="preserve">Analysis </w:t>
      </w:r>
      <w:r w:rsidR="00C0076F" w:rsidRPr="005E22C2">
        <w:t xml:space="preserve">of </w:t>
      </w:r>
      <w:r w:rsidR="0063631C">
        <w:t>a</w:t>
      </w:r>
      <w:r w:rsidR="00C0076F" w:rsidRPr="005E22C2">
        <w:t xml:space="preserve">ctual versus </w:t>
      </w:r>
      <w:r w:rsidR="0063631C">
        <w:t>p</w:t>
      </w:r>
      <w:r w:rsidR="00C0076F" w:rsidRPr="005E22C2">
        <w:t xml:space="preserve">redicted </w:t>
      </w:r>
      <w:r w:rsidR="0063631C">
        <w:t>u</w:t>
      </w:r>
      <w:r w:rsidR="00C0076F" w:rsidRPr="005E22C2">
        <w:t>tilisation</w:t>
      </w:r>
    </w:p>
    <w:p w:rsidR="003E1C46" w:rsidRDefault="003E1C46" w:rsidP="003E1C46">
      <w:r w:rsidRPr="008F7048">
        <w:t xml:space="preserve">The number of prescriptions for single agent dutasteride has been low and stable over the first </w:t>
      </w:r>
      <w:r>
        <w:t>four</w:t>
      </w:r>
      <w:r w:rsidRPr="008F7048">
        <w:t xml:space="preserve"> years of listing. A</w:t>
      </w:r>
      <w:r w:rsidRPr="003C199B">
        <w:t>ctual</w:t>
      </w:r>
      <w:r w:rsidRPr="008F7048">
        <w:t xml:space="preserve"> use, in terms of prescription numbers and expenditure, is substantially lower than predicted.</w:t>
      </w:r>
      <w:r>
        <w:t xml:space="preserve"> </w:t>
      </w:r>
      <w:r w:rsidRPr="008F7048">
        <w:t>The estimates assumed that utilisation of the single agent would continue to increase for the first five years after listing.</w:t>
      </w:r>
      <w:r>
        <w:t xml:space="preserve"> This does not appear to be the case, with utilisation at its peak in the first year of listing.</w:t>
      </w:r>
    </w:p>
    <w:p w:rsidR="001E7511" w:rsidRPr="006055DC" w:rsidRDefault="001E7511" w:rsidP="001E7511">
      <w:pPr>
        <w:rPr>
          <w:rFonts w:ascii="Calibri" w:eastAsia="Times New Roman" w:hAnsi="Calibri" w:cs="Calibri"/>
        </w:rPr>
      </w:pPr>
      <w:r w:rsidRPr="00AF04F9">
        <w:t>Uptake of the dutasteride with tamsulosin FDC following PBS listi</w:t>
      </w:r>
      <w:r>
        <w:t xml:space="preserve">ng on 1 August 2011 was rapid; however, the extent of use was lower than predicted. </w:t>
      </w:r>
      <w:r w:rsidRPr="00E01FF7">
        <w:rPr>
          <w:rFonts w:ascii="Calibri" w:eastAsia="Times New Roman" w:hAnsi="Calibri" w:cs="Calibri"/>
        </w:rPr>
        <w:t xml:space="preserve">While the number of patients </w:t>
      </w:r>
      <w:r w:rsidRPr="006055DC">
        <w:rPr>
          <w:rFonts w:ascii="Calibri" w:eastAsia="Times New Roman" w:hAnsi="Calibri" w:cs="Calibri"/>
        </w:rPr>
        <w:t>on this therapy has steadily increased in 2014, the proportion of actual patients compared to predicted levels has remained stable between 60% and 80% of estimates. The number of prescriptions increased steadily over years 2-3, but has remained between 60% and 80% of estimates. The DUSC noted that given the trend for nine months of data in year 4, the number of prescriptions for dutasteride with tamsulosin in the whole of year 4 will be likely to at least match year 3 levels.</w:t>
      </w:r>
    </w:p>
    <w:p w:rsidR="003E1C46" w:rsidRDefault="003E1C46" w:rsidP="003E1C46">
      <w:pPr>
        <w:rPr>
          <w:rFonts w:ascii="Calibri" w:eastAsia="Times New Roman" w:hAnsi="Calibri" w:cs="Calibri"/>
        </w:rPr>
      </w:pPr>
      <w:r w:rsidRPr="006055DC">
        <w:t>The submission assumed that 23.5% of</w:t>
      </w:r>
      <w:r w:rsidRPr="008F7048">
        <w:t xml:space="preserve"> PBS prescriptions would be for general beneficiary patients.</w:t>
      </w:r>
      <w:r>
        <w:t xml:space="preserve"> </w:t>
      </w:r>
      <w:r w:rsidRPr="00AF04F9">
        <w:t xml:space="preserve">Approximately 17-18% of PBS prescriptions supplied in the first three years of listing were </w:t>
      </w:r>
      <w:r>
        <w:t xml:space="preserve">for general beneficiary </w:t>
      </w:r>
      <w:r w:rsidRPr="00936412">
        <w:t>patients.</w:t>
      </w:r>
      <w:r w:rsidR="00936412" w:rsidRPr="00936412">
        <w:rPr>
          <w:rFonts w:ascii="Calibri" w:eastAsia="Times New Roman" w:hAnsi="Calibri" w:cs="Calibri"/>
        </w:rPr>
        <w:t xml:space="preserve"> The DUSC noted that the difference between predicted and actual percentages for costs compared to prescriptions is due to the proportion of general and concessional patients differing from the estimates.</w:t>
      </w:r>
    </w:p>
    <w:p w:rsidR="003E1C46" w:rsidRDefault="003E1C46" w:rsidP="003E1C46">
      <w:r w:rsidRPr="008F7048">
        <w:t>Overall, the total utilisation for both dutasteride and dutasteride with tamsulosin is signi</w:t>
      </w:r>
      <w:r>
        <w:t xml:space="preserve">ficantly lower than predicted. The rate of growth of the FDC product is slower than expected, although it has not yet plateaued. Use in year 3 was closer to predicted levels than year </w:t>
      </w:r>
      <w:r w:rsidR="00543CF8">
        <w:t>2;</w:t>
      </w:r>
      <w:r>
        <w:t xml:space="preserve"> </w:t>
      </w:r>
      <w:r w:rsidR="00936412">
        <w:t>however</w:t>
      </w:r>
      <w:r>
        <w:t xml:space="preserve"> utilisation remains lower than estimated.</w:t>
      </w:r>
    </w:p>
    <w:p w:rsidR="00591512" w:rsidRDefault="00AB3733" w:rsidP="00FD13CD">
      <w:pPr>
        <w:pStyle w:val="Heading3"/>
      </w:pPr>
      <w:r>
        <w:t>D</w:t>
      </w:r>
      <w:r w:rsidR="007346C7" w:rsidRPr="005E22C2">
        <w:t>iscussion</w:t>
      </w:r>
    </w:p>
    <w:p w:rsidR="003E1C46" w:rsidRDefault="003E1C46" w:rsidP="003E1C46">
      <w:r w:rsidRPr="00153CEE">
        <w:t xml:space="preserve">Overall, the total utilisation for both dutasteride and dutasteride with tamsulosin </w:t>
      </w:r>
      <w:r>
        <w:t>since listing continues to be</w:t>
      </w:r>
      <w:r w:rsidRPr="00153CEE">
        <w:t xml:space="preserve"> much lower than predicted.</w:t>
      </w:r>
      <w:r>
        <w:t xml:space="preserve"> Usage of the dutasteride and tamsulosin FDC are increasing at a much slower rate than expected. </w:t>
      </w:r>
    </w:p>
    <w:p w:rsidR="00936412" w:rsidRPr="00936412" w:rsidRDefault="009758A3" w:rsidP="00936412">
      <w:pPr>
        <w:spacing w:after="0"/>
        <w:rPr>
          <w:rFonts w:ascii="Calibri" w:eastAsia="Times New Roman" w:hAnsi="Calibri" w:cs="Calibri"/>
        </w:rPr>
      </w:pPr>
      <w:r>
        <w:rPr>
          <w:rFonts w:ascii="Calibri" w:eastAsia="Times New Roman" w:hAnsi="Calibri" w:cs="Calibri"/>
        </w:rPr>
        <w:t xml:space="preserve">The </w:t>
      </w:r>
      <w:r w:rsidR="00936412" w:rsidRPr="00936412">
        <w:rPr>
          <w:rFonts w:ascii="Calibri" w:eastAsia="Times New Roman" w:hAnsi="Calibri" w:cs="Calibri"/>
        </w:rPr>
        <w:t>DUSC considered that the lower than expected use of dutasteride and dutasteride with tamsulosin may be due to a number of reasons:</w:t>
      </w:r>
    </w:p>
    <w:p w:rsidR="00936412" w:rsidRPr="00936412" w:rsidRDefault="00936412" w:rsidP="00936412">
      <w:pPr>
        <w:numPr>
          <w:ilvl w:val="0"/>
          <w:numId w:val="7"/>
        </w:numPr>
        <w:spacing w:after="0"/>
        <w:rPr>
          <w:rFonts w:ascii="Calibri" w:eastAsia="Times New Roman" w:hAnsi="Calibri" w:cs="Calibri"/>
        </w:rPr>
      </w:pPr>
      <w:r w:rsidRPr="00936412">
        <w:rPr>
          <w:rFonts w:ascii="Calibri" w:eastAsia="Times New Roman" w:hAnsi="Calibri" w:cs="Calibri"/>
        </w:rPr>
        <w:t>The number of eligible patients may have been overestimated;</w:t>
      </w:r>
    </w:p>
    <w:p w:rsidR="00936412" w:rsidRPr="00936412" w:rsidRDefault="00936412" w:rsidP="00936412">
      <w:pPr>
        <w:numPr>
          <w:ilvl w:val="0"/>
          <w:numId w:val="7"/>
        </w:numPr>
        <w:spacing w:after="0"/>
        <w:rPr>
          <w:rFonts w:ascii="Calibri" w:eastAsia="Times New Roman" w:hAnsi="Calibri" w:cs="Calibri"/>
        </w:rPr>
      </w:pPr>
      <w:r w:rsidRPr="00936412">
        <w:rPr>
          <w:rFonts w:ascii="Calibri" w:eastAsia="Times New Roman" w:hAnsi="Calibri" w:cs="Calibri"/>
        </w:rPr>
        <w:t>The uptake of the therapies may have been overestimated;</w:t>
      </w:r>
    </w:p>
    <w:p w:rsidR="00936412" w:rsidRPr="00936412" w:rsidRDefault="00936412" w:rsidP="00936412">
      <w:pPr>
        <w:numPr>
          <w:ilvl w:val="0"/>
          <w:numId w:val="7"/>
        </w:numPr>
        <w:spacing w:after="0"/>
        <w:rPr>
          <w:rFonts w:ascii="Calibri" w:eastAsia="Times New Roman" w:hAnsi="Calibri" w:cs="Calibri"/>
        </w:rPr>
      </w:pPr>
      <w:r w:rsidRPr="00936412">
        <w:rPr>
          <w:rFonts w:ascii="Calibri" w:eastAsia="Times New Roman" w:hAnsi="Calibri" w:cs="Calibri"/>
        </w:rPr>
        <w:t>Private prescriptions may form a large part of the market - about 30%;</w:t>
      </w:r>
    </w:p>
    <w:p w:rsidR="00936412" w:rsidRPr="00936412" w:rsidRDefault="00936412" w:rsidP="00936412">
      <w:pPr>
        <w:numPr>
          <w:ilvl w:val="0"/>
          <w:numId w:val="7"/>
        </w:numPr>
        <w:spacing w:after="0"/>
        <w:rPr>
          <w:rFonts w:ascii="Calibri" w:eastAsia="Times New Roman" w:hAnsi="Calibri" w:cs="Calibri"/>
        </w:rPr>
      </w:pPr>
      <w:r w:rsidRPr="00936412">
        <w:rPr>
          <w:rFonts w:ascii="Calibri" w:eastAsia="Times New Roman" w:hAnsi="Calibri" w:cs="Calibri"/>
        </w:rPr>
        <w:t>The duration of treatment may have been overestimated;</w:t>
      </w:r>
    </w:p>
    <w:p w:rsidR="00936412" w:rsidRPr="00936412" w:rsidRDefault="00936412" w:rsidP="00936412">
      <w:pPr>
        <w:numPr>
          <w:ilvl w:val="0"/>
          <w:numId w:val="7"/>
        </w:numPr>
        <w:spacing w:after="0"/>
        <w:rPr>
          <w:rFonts w:ascii="Calibri" w:eastAsia="Times New Roman" w:hAnsi="Calibri" w:cs="Calibri"/>
        </w:rPr>
      </w:pPr>
      <w:r w:rsidRPr="00936412">
        <w:rPr>
          <w:rFonts w:ascii="Calibri" w:eastAsia="Times New Roman" w:hAnsi="Calibri" w:cs="Calibri"/>
        </w:rPr>
        <w:t>The restriction requires initiation and review by a urologist, which may be limiting the number of patients commencing therapy; and</w:t>
      </w:r>
    </w:p>
    <w:p w:rsidR="00936412" w:rsidRPr="00936412" w:rsidRDefault="00936412" w:rsidP="00936412">
      <w:pPr>
        <w:numPr>
          <w:ilvl w:val="0"/>
          <w:numId w:val="7"/>
        </w:numPr>
        <w:ind w:left="714" w:hanging="357"/>
        <w:rPr>
          <w:rFonts w:ascii="Calibri" w:eastAsia="Times New Roman" w:hAnsi="Calibri" w:cs="Calibri"/>
        </w:rPr>
      </w:pPr>
      <w:r w:rsidRPr="00936412">
        <w:rPr>
          <w:rFonts w:ascii="Calibri" w:eastAsia="Times New Roman" w:hAnsi="Calibri" w:cs="Calibri"/>
        </w:rPr>
        <w:t>In the case of the dutasteride monotherapy, the requirement for a concomitant alpha antagonist therapy may have contributed to the low uptake. The combination therapy offers patients convenience and fewer co-payments than concomitant agents.</w:t>
      </w:r>
    </w:p>
    <w:p w:rsidR="00936412" w:rsidRPr="001E7511" w:rsidRDefault="00936412" w:rsidP="00936412">
      <w:pPr>
        <w:rPr>
          <w:rFonts w:ascii="Calibri" w:eastAsia="Times New Roman" w:hAnsi="Calibri" w:cs="Calibri"/>
        </w:rPr>
      </w:pPr>
      <w:r w:rsidRPr="001E7511">
        <w:rPr>
          <w:rFonts w:ascii="Calibri" w:eastAsia="Times New Roman" w:hAnsi="Calibri" w:cs="Calibri"/>
        </w:rPr>
        <w:t>The DUSC considered that the similar outcomes in predicted v</w:t>
      </w:r>
      <w:r w:rsidR="00725E3E">
        <w:rPr>
          <w:rFonts w:ascii="Calibri" w:eastAsia="Times New Roman" w:hAnsi="Calibri" w:cs="Calibri"/>
        </w:rPr>
        <w:t>ersu</w:t>
      </w:r>
      <w:r w:rsidRPr="001E7511">
        <w:rPr>
          <w:rFonts w:ascii="Calibri" w:eastAsia="Times New Roman" w:hAnsi="Calibri" w:cs="Calibri"/>
        </w:rPr>
        <w:t>s actual patient and prescription numbers indicates that low adherence to therapy is unlikely to be contributing to the lower than expected utilisation.</w:t>
      </w:r>
    </w:p>
    <w:p w:rsidR="003E1C46" w:rsidRPr="00936412" w:rsidRDefault="003E1C46" w:rsidP="003E1C46">
      <w:pPr>
        <w:spacing w:after="120"/>
      </w:pPr>
      <w:r w:rsidRPr="00936412">
        <w:t>Dutasteride treatment can take at least three to twelve months to have maximum impact on symptoms</w:t>
      </w:r>
      <w:r w:rsidRPr="00936412">
        <w:rPr>
          <w:rStyle w:val="FootnoteReference"/>
        </w:rPr>
        <w:footnoteReference w:id="5"/>
      </w:r>
      <w:r w:rsidRPr="00936412">
        <w:t>. The rate of drop out from treatment is highest during the first year (56% of patients stop treatment), and there are a number of patients who cease treatment before this time. These patients may not have felt the full effects of treatment, and this could indicate that an unwillingness to persist with therapy is contributing to the lower than expected utilisation.</w:t>
      </w:r>
    </w:p>
    <w:p w:rsidR="00936412" w:rsidRPr="00936412" w:rsidRDefault="00936412" w:rsidP="00936412">
      <w:pPr>
        <w:rPr>
          <w:rFonts w:ascii="Calibri" w:eastAsia="Times New Roman" w:hAnsi="Calibri" w:cs="Calibri"/>
        </w:rPr>
      </w:pPr>
      <w:r w:rsidRPr="00936412">
        <w:rPr>
          <w:rFonts w:ascii="Calibri" w:eastAsia="Times New Roman" w:hAnsi="Calibri" w:cs="Calibri"/>
        </w:rPr>
        <w:t>The median treatment time was 22 months, with a mean of 24 months. 30% of patients are thought to remain on the therapy after four years. 17% of patients stop after their first prescription. 56% of patients ceased treatment within the first year. The DUSC noted that there are no data to indicate the reason patients stop after their first prescription. The DUSC considered this may indicate some patients are ceasing therapy due to adverse effects. The DUSC noted that the long time period for onset of effect (3-12 months) may lead patients to believe therapy is not working.</w:t>
      </w:r>
    </w:p>
    <w:p w:rsidR="00B57648" w:rsidRDefault="003E1C46" w:rsidP="003E1C46">
      <w:pPr>
        <w:spacing w:after="120"/>
      </w:pPr>
      <w:r w:rsidRPr="008D12F9">
        <w:t>Due to the chronic nature of BPH, patients may have been expected to be on long-term treatment. However, there is no standard treatment length recommended in the clinical guidelines for the treatment of LUTS due to BPH. This makes it difficult to assess if the actual time patients are spending on treatment is appropriate or not. The data does not provide information on the reasons that patients ceased treatment and therefore it is difficult to assess the impact of persistence on overall utilisation.</w:t>
      </w:r>
    </w:p>
    <w:p w:rsidR="00B57648" w:rsidRPr="008D12F9" w:rsidRDefault="00B57648" w:rsidP="003E1C46">
      <w:pPr>
        <w:spacing w:after="120"/>
      </w:pPr>
      <w:r w:rsidRPr="00B57648">
        <w:t xml:space="preserve">The sponsor response suggested that the lower than expected utilisation may be due to the requirement for a urologist to initiate treatment. </w:t>
      </w:r>
      <w:r w:rsidR="00017C5A">
        <w:t xml:space="preserve"> </w:t>
      </w:r>
      <w:r w:rsidRPr="00B57648">
        <w:t>The DUSC considered the current requirement for initiation of treatment by a urologist, and noted that the market is now mature and the products are well understood. The DUSC suggested that the PBAC consider whether there is an ongoing need for these therapies to be initiated by a urologist.</w:t>
      </w:r>
    </w:p>
    <w:p w:rsidR="00EB7520" w:rsidRDefault="00EB7520" w:rsidP="00FD13CD">
      <w:pPr>
        <w:pStyle w:val="Heading3"/>
      </w:pPr>
      <w:r>
        <w:t>Actions undertaken by the DUSC Secretariat</w:t>
      </w:r>
    </w:p>
    <w:p w:rsidR="002F5158" w:rsidRPr="002F5158" w:rsidRDefault="002F5158" w:rsidP="006055DC">
      <w:r w:rsidRPr="002F5158">
        <w:t xml:space="preserve">A copy of the report and a letter was sent to the Urological Society of Australia and New Zealand </w:t>
      </w:r>
      <w:r w:rsidR="00246E34">
        <w:t xml:space="preserve">requesting </w:t>
      </w:r>
      <w:r w:rsidRPr="002F5158">
        <w:t>consider</w:t>
      </w:r>
      <w:r w:rsidR="00246E34">
        <w:t>ation of</w:t>
      </w:r>
      <w:r w:rsidRPr="002F5158">
        <w:t xml:space="preserve"> the report and comment on the issues surrounding lower than expected utilisation, par</w:t>
      </w:r>
      <w:r w:rsidR="00256A40">
        <w:t>ticularly whether</w:t>
      </w:r>
      <w:r w:rsidRPr="002F5158">
        <w:t xml:space="preserve"> access to a urologist and</w:t>
      </w:r>
      <w:r w:rsidR="00256A40">
        <w:t>/or</w:t>
      </w:r>
      <w:r w:rsidRPr="002F5158">
        <w:t xml:space="preserve"> poor persistence to therapy is affecting utilisation</w:t>
      </w:r>
      <w:r w:rsidR="005975C1">
        <w:t>.</w:t>
      </w:r>
    </w:p>
    <w:p w:rsidR="007346C7" w:rsidRDefault="00957837" w:rsidP="00FD13CD">
      <w:pPr>
        <w:pStyle w:val="Heading3"/>
      </w:pPr>
      <w:r>
        <w:t>DUSC actions</w:t>
      </w:r>
    </w:p>
    <w:p w:rsidR="00936412" w:rsidRPr="00936412" w:rsidRDefault="00936412" w:rsidP="00936412">
      <w:pPr>
        <w:spacing w:after="0"/>
        <w:rPr>
          <w:rFonts w:ascii="Calibri" w:eastAsia="Times New Roman" w:hAnsi="Calibri" w:cs="Calibri"/>
        </w:rPr>
      </w:pPr>
      <w:r w:rsidRPr="00936412">
        <w:rPr>
          <w:rFonts w:ascii="Calibri" w:eastAsia="Times New Roman" w:hAnsi="Calibri" w:cs="Calibri"/>
        </w:rPr>
        <w:t>The DUSC requested that the report be provided to the PBAC.</w:t>
      </w:r>
    </w:p>
    <w:p w:rsidR="00936412" w:rsidRPr="00936412" w:rsidRDefault="00936412" w:rsidP="00936412">
      <w:pPr>
        <w:spacing w:after="0"/>
        <w:rPr>
          <w:rFonts w:ascii="Calibri" w:eastAsia="Times New Roman" w:hAnsi="Calibri" w:cs="Calibri"/>
        </w:rPr>
      </w:pPr>
    </w:p>
    <w:p w:rsidR="00936412" w:rsidRPr="00936412" w:rsidRDefault="00936412" w:rsidP="00936412">
      <w:pPr>
        <w:spacing w:after="0"/>
        <w:rPr>
          <w:rFonts w:ascii="Calibri" w:eastAsia="Times New Roman" w:hAnsi="Calibri" w:cs="Calibri"/>
        </w:rPr>
      </w:pPr>
      <w:r w:rsidRPr="00936412">
        <w:rPr>
          <w:rFonts w:ascii="Calibri" w:eastAsia="Times New Roman" w:hAnsi="Calibri" w:cs="Calibri"/>
        </w:rPr>
        <w:t>The DUSC requested that the PBAC consider amending the restrictions for dutasteride and duta</w:t>
      </w:r>
      <w:bookmarkStart w:id="0" w:name="_GoBack"/>
      <w:bookmarkEnd w:id="0"/>
      <w:r w:rsidRPr="00936412">
        <w:rPr>
          <w:rFonts w:ascii="Calibri" w:eastAsia="Times New Roman" w:hAnsi="Calibri" w:cs="Calibri"/>
        </w:rPr>
        <w:t xml:space="preserve">steride with tamsulosin to remove the </w:t>
      </w:r>
      <w:r w:rsidR="00C87D9B">
        <w:rPr>
          <w:rFonts w:ascii="Calibri" w:eastAsia="Times New Roman" w:hAnsi="Calibri" w:cs="Calibri"/>
        </w:rPr>
        <w:t xml:space="preserve">requirement for treatment to be </w:t>
      </w:r>
      <w:r w:rsidRPr="00936412">
        <w:rPr>
          <w:rFonts w:ascii="Calibri" w:eastAsia="Times New Roman" w:hAnsi="Calibri" w:cs="Calibri"/>
        </w:rPr>
        <w:t xml:space="preserve">initiated by a urologist. The DUSC suggested that the PBAC consider the management of any expansion of the accessibility of dutasteride and dutasteride with tamsulosin </w:t>
      </w:r>
      <w:r w:rsidRPr="006055DC">
        <w:rPr>
          <w:rFonts w:ascii="Calibri" w:eastAsia="Times New Roman" w:hAnsi="Calibri" w:cs="Calibri"/>
        </w:rPr>
        <w:t>with respect to existing risk sharing arrangements.</w:t>
      </w:r>
    </w:p>
    <w:p w:rsidR="00936412" w:rsidRPr="00936412" w:rsidRDefault="00936412" w:rsidP="00936412">
      <w:pPr>
        <w:spacing w:after="0"/>
        <w:rPr>
          <w:rFonts w:ascii="Calibri" w:eastAsia="Times New Roman" w:hAnsi="Calibri" w:cs="Calibri"/>
        </w:rPr>
      </w:pPr>
    </w:p>
    <w:p w:rsidR="00936412" w:rsidRPr="00936412" w:rsidRDefault="00936412" w:rsidP="00936412">
      <w:pPr>
        <w:spacing w:after="0"/>
        <w:rPr>
          <w:rFonts w:ascii="Calibri" w:eastAsia="Times New Roman" w:hAnsi="Calibri" w:cs="Calibri"/>
        </w:rPr>
      </w:pPr>
      <w:r w:rsidRPr="00936412">
        <w:rPr>
          <w:rFonts w:ascii="Calibri" w:eastAsia="Times New Roman" w:hAnsi="Calibri" w:cs="Calibri"/>
        </w:rPr>
        <w:t>The DUSC requested that the Secretariat seek advice from the Urological Society of Australia and New Zealand (USANZ) regarding the impact of removing the requirement for urologist initiation.</w:t>
      </w:r>
    </w:p>
    <w:p w:rsidR="001B50CA" w:rsidRPr="0092516A" w:rsidRDefault="001B50CA" w:rsidP="00FD13CD">
      <w:pPr>
        <w:pStyle w:val="Heading3"/>
      </w:pPr>
      <w:r w:rsidRPr="0092516A">
        <w:t>Context for analysis</w:t>
      </w:r>
    </w:p>
    <w:p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rsidR="003529E0" w:rsidRDefault="003529E0" w:rsidP="00FD13CD">
      <w:pPr>
        <w:pStyle w:val="Heading3"/>
      </w:pPr>
      <w:r>
        <w:t>Sponsor</w:t>
      </w:r>
      <w:r w:rsidRPr="0092516A">
        <w:t>s</w:t>
      </w:r>
      <w:r>
        <w:t>’</w:t>
      </w:r>
      <w:r w:rsidRPr="0092516A">
        <w:t xml:space="preserve"> comments</w:t>
      </w:r>
    </w:p>
    <w:p w:rsidR="00936412" w:rsidRDefault="00936412" w:rsidP="00E153FC">
      <w:r>
        <w:t>GlaxoSmithKline</w:t>
      </w:r>
      <w:r w:rsidR="008D12F9">
        <w:t xml:space="preserve"> Pty Ltd</w:t>
      </w:r>
      <w:r>
        <w:t xml:space="preserve"> Comments:</w:t>
      </w:r>
    </w:p>
    <w:p w:rsidR="00353CF9" w:rsidRDefault="00391F2D" w:rsidP="00E153FC">
      <w:r w:rsidRPr="00391F2D">
        <w:t>GSK Australia welcomes the publication of this report. This is the second DUSC review since the PBS listing of Avodart® and Duodart® to identify significant under utilisation, with current actual usage ≤50% of predicted</w:t>
      </w:r>
      <w:r w:rsidR="00FD7198">
        <w:t xml:space="preserve"> </w:t>
      </w:r>
      <w:r w:rsidR="00893D52">
        <w:t>expenditure</w:t>
      </w:r>
      <w:r w:rsidRPr="00391F2D">
        <w:t xml:space="preserve">.  </w:t>
      </w:r>
      <w:r w:rsidR="00AB16C2">
        <w:t>It is noted that the</w:t>
      </w:r>
      <w:r w:rsidR="00924C19">
        <w:t xml:space="preserve"> </w:t>
      </w:r>
      <w:r w:rsidRPr="00391F2D">
        <w:t xml:space="preserve">likely factors limiting utilisation </w:t>
      </w:r>
      <w:r w:rsidR="00AB16C2">
        <w:t xml:space="preserve">identified </w:t>
      </w:r>
      <w:r w:rsidRPr="00391F2D">
        <w:t xml:space="preserve">in the DUSC 2013 report have again been identified in this review. The relatively high proportion of private scripts supports a conclusion that the current PBS restriction </w:t>
      </w:r>
      <w:r w:rsidR="00906A50">
        <w:t xml:space="preserve">may be </w:t>
      </w:r>
      <w:r w:rsidRPr="00391F2D">
        <w:t>a barrier to treatment and equitable access.  Consistent with this, GSK Australia supports the DUSC recommendation that the PBAC consider amending the restrictions for dutasteride (Avodart) and dutasteride with tamsulosin (Duodart) to remove the requirement for treatment to be initiated by a urologist given that the that the market is now mature and the products are well understood.</w:t>
      </w:r>
    </w:p>
    <w:p w:rsidR="00A424AD" w:rsidRDefault="00A424AD">
      <w:pPr>
        <w:spacing w:line="276" w:lineRule="auto"/>
      </w:pPr>
      <w:r>
        <w:rPr>
          <w:b/>
          <w:bCs/>
        </w:rPr>
        <w:br w:type="page"/>
      </w:r>
    </w:p>
    <w:p w:rsidR="002C6E0C" w:rsidRPr="006055DC" w:rsidRDefault="002C6E0C" w:rsidP="001B4788">
      <w:pPr>
        <w:pStyle w:val="Heading3"/>
      </w:pPr>
      <w:r w:rsidRPr="006055DC">
        <w:t>Appendices</w:t>
      </w:r>
    </w:p>
    <w:p w:rsidR="006055DC" w:rsidRDefault="006055DC" w:rsidP="006055DC">
      <w:pPr>
        <w:pStyle w:val="Heading4"/>
      </w:pPr>
      <w:r>
        <w:t>Appendix A</w:t>
      </w:r>
    </w:p>
    <w:p w:rsidR="006055DC" w:rsidRPr="00C538C4" w:rsidRDefault="006055DC" w:rsidP="006055DC">
      <w:pPr>
        <w:pStyle w:val="Tabletitle"/>
      </w:pPr>
      <w:r>
        <w:t>Table 8</w:t>
      </w:r>
      <w:r w:rsidRPr="00C538C4">
        <w:t xml:space="preserve">: Number of R/PBS prescriptions for dutasteride (5468T) and dutasteride with tamsulosin FDC (5490Y) supplied. </w:t>
      </w:r>
    </w:p>
    <w:tbl>
      <w:tblPr>
        <w:tblStyle w:val="TableGrid"/>
        <w:tblW w:w="0" w:type="auto"/>
        <w:tblInd w:w="108" w:type="dxa"/>
        <w:tblLook w:val="04A0" w:firstRow="1" w:lastRow="0" w:firstColumn="1" w:lastColumn="0" w:noHBand="0" w:noVBand="1"/>
        <w:tblCaption w:val="This table is an appendix and it shows the actual prescription numbers of dutasteride and dutasteride with tamsulosin in the first 4 years of listing broken down in script type"/>
      </w:tblPr>
      <w:tblGrid>
        <w:gridCol w:w="2595"/>
        <w:gridCol w:w="1408"/>
        <w:gridCol w:w="1371"/>
        <w:gridCol w:w="1374"/>
        <w:gridCol w:w="1374"/>
      </w:tblGrid>
      <w:tr w:rsidR="006055DC" w:rsidTr="00163075">
        <w:trPr>
          <w:tblHeader/>
        </w:trPr>
        <w:tc>
          <w:tcPr>
            <w:tcW w:w="2595" w:type="dxa"/>
            <w:shd w:val="clear" w:color="auto" w:fill="BFBFBF" w:themeFill="background1" w:themeFillShade="BF"/>
          </w:tcPr>
          <w:p w:rsidR="006055DC" w:rsidRPr="00E52C5F" w:rsidRDefault="006055DC" w:rsidP="00163075">
            <w:pPr>
              <w:pStyle w:val="Tableheading"/>
              <w:spacing w:beforeLines="60" w:before="144" w:afterLines="60" w:after="144"/>
              <w:rPr>
                <w:rStyle w:val="IntenseReference"/>
                <w:bCs w:val="0"/>
                <w:i w:val="0"/>
                <w:smallCaps w:val="0"/>
                <w:color w:val="auto"/>
                <w:sz w:val="20"/>
                <w:szCs w:val="20"/>
              </w:rPr>
            </w:pPr>
          </w:p>
        </w:tc>
        <w:tc>
          <w:tcPr>
            <w:tcW w:w="1408" w:type="dxa"/>
            <w:shd w:val="clear" w:color="auto" w:fill="BFBFBF" w:themeFill="background1" w:themeFillShade="BF"/>
          </w:tcPr>
          <w:p w:rsidR="006055DC" w:rsidRPr="00E52C5F" w:rsidRDefault="006055DC" w:rsidP="00163075">
            <w:pPr>
              <w:pStyle w:val="Tableheading"/>
              <w:spacing w:beforeLines="60" w:before="144" w:afterLines="60" w:after="144"/>
              <w:rPr>
                <w:rStyle w:val="IntenseReference"/>
                <w:b/>
                <w:bCs w:val="0"/>
                <w:i w:val="0"/>
                <w:smallCaps w:val="0"/>
                <w:color w:val="auto"/>
                <w:sz w:val="20"/>
                <w:szCs w:val="20"/>
              </w:rPr>
            </w:pPr>
            <w:r>
              <w:rPr>
                <w:rStyle w:val="IntenseReference"/>
                <w:b/>
                <w:bCs w:val="0"/>
                <w:i w:val="0"/>
                <w:smallCaps w:val="0"/>
                <w:color w:val="auto"/>
                <w:sz w:val="20"/>
                <w:szCs w:val="20"/>
              </w:rPr>
              <w:t>Year 1</w:t>
            </w:r>
            <w:r>
              <w:rPr>
                <w:rStyle w:val="IntenseReference"/>
                <w:b/>
                <w:bCs w:val="0"/>
                <w:i w:val="0"/>
                <w:smallCaps w:val="0"/>
                <w:color w:val="auto"/>
                <w:sz w:val="20"/>
                <w:szCs w:val="20"/>
              </w:rPr>
              <w:br/>
            </w:r>
            <w:r w:rsidRPr="004F632B">
              <w:rPr>
                <w:rStyle w:val="IntenseReference"/>
                <w:bCs w:val="0"/>
                <w:i w:val="0"/>
                <w:smallCaps w:val="0"/>
                <w:color w:val="auto"/>
                <w:sz w:val="20"/>
                <w:szCs w:val="20"/>
              </w:rPr>
              <w:t>Feb 2011-Jan 2012</w:t>
            </w:r>
          </w:p>
        </w:tc>
        <w:tc>
          <w:tcPr>
            <w:tcW w:w="1371" w:type="dxa"/>
            <w:shd w:val="clear" w:color="auto" w:fill="BFBFBF" w:themeFill="background1" w:themeFillShade="BF"/>
          </w:tcPr>
          <w:p w:rsidR="006055DC" w:rsidRPr="00E52C5F" w:rsidRDefault="006055DC" w:rsidP="00163075">
            <w:pPr>
              <w:pStyle w:val="Tableheading"/>
              <w:spacing w:beforeLines="60" w:before="144" w:afterLines="60" w:after="144"/>
              <w:rPr>
                <w:rStyle w:val="IntenseReference"/>
                <w:b/>
                <w:bCs w:val="0"/>
                <w:i w:val="0"/>
                <w:smallCaps w:val="0"/>
                <w:color w:val="auto"/>
                <w:sz w:val="20"/>
                <w:szCs w:val="20"/>
              </w:rPr>
            </w:pPr>
            <w:r>
              <w:rPr>
                <w:rStyle w:val="IntenseReference"/>
                <w:b/>
                <w:bCs w:val="0"/>
                <w:i w:val="0"/>
                <w:smallCaps w:val="0"/>
                <w:color w:val="auto"/>
                <w:sz w:val="20"/>
                <w:szCs w:val="20"/>
              </w:rPr>
              <w:t>Year 2</w:t>
            </w:r>
            <w:r>
              <w:rPr>
                <w:rStyle w:val="IntenseReference"/>
                <w:b/>
                <w:bCs w:val="0"/>
                <w:i w:val="0"/>
                <w:smallCaps w:val="0"/>
                <w:color w:val="auto"/>
                <w:sz w:val="20"/>
                <w:szCs w:val="20"/>
              </w:rPr>
              <w:br/>
            </w:r>
            <w:r w:rsidRPr="004F632B">
              <w:rPr>
                <w:rStyle w:val="IntenseReference"/>
                <w:bCs w:val="0"/>
                <w:i w:val="0"/>
                <w:smallCaps w:val="0"/>
                <w:color w:val="auto"/>
                <w:sz w:val="20"/>
                <w:szCs w:val="20"/>
              </w:rPr>
              <w:t>Feb 2012-Jan 2013</w:t>
            </w:r>
            <w:r>
              <w:rPr>
                <w:rStyle w:val="IntenseReference"/>
                <w:b/>
                <w:bCs w:val="0"/>
                <w:i w:val="0"/>
                <w:smallCaps w:val="0"/>
                <w:color w:val="auto"/>
                <w:sz w:val="20"/>
                <w:szCs w:val="20"/>
              </w:rPr>
              <w:t xml:space="preserve"> </w:t>
            </w:r>
          </w:p>
        </w:tc>
        <w:tc>
          <w:tcPr>
            <w:tcW w:w="1374" w:type="dxa"/>
            <w:shd w:val="clear" w:color="auto" w:fill="BFBFBF" w:themeFill="background1" w:themeFillShade="BF"/>
          </w:tcPr>
          <w:p w:rsidR="006055DC" w:rsidRPr="00E52C5F" w:rsidRDefault="006055DC" w:rsidP="00163075">
            <w:pPr>
              <w:pStyle w:val="Tableheading"/>
              <w:spacing w:beforeLines="60" w:before="144" w:afterLines="60" w:after="144"/>
              <w:rPr>
                <w:rStyle w:val="IntenseReference"/>
                <w:b/>
                <w:bCs w:val="0"/>
                <w:i w:val="0"/>
                <w:smallCaps w:val="0"/>
                <w:color w:val="auto"/>
                <w:sz w:val="20"/>
                <w:szCs w:val="20"/>
              </w:rPr>
            </w:pPr>
            <w:r>
              <w:rPr>
                <w:rStyle w:val="IntenseReference"/>
                <w:b/>
                <w:bCs w:val="0"/>
                <w:i w:val="0"/>
                <w:smallCaps w:val="0"/>
                <w:color w:val="auto"/>
                <w:sz w:val="20"/>
                <w:szCs w:val="20"/>
              </w:rPr>
              <w:t>Year 3</w:t>
            </w:r>
            <w:r>
              <w:rPr>
                <w:rStyle w:val="IntenseReference"/>
                <w:b/>
                <w:bCs w:val="0"/>
                <w:i w:val="0"/>
                <w:smallCaps w:val="0"/>
                <w:color w:val="auto"/>
                <w:sz w:val="20"/>
                <w:szCs w:val="20"/>
              </w:rPr>
              <w:br/>
            </w:r>
            <w:r w:rsidRPr="004F632B">
              <w:rPr>
                <w:rStyle w:val="IntenseReference"/>
                <w:bCs w:val="0"/>
                <w:i w:val="0"/>
                <w:smallCaps w:val="0"/>
                <w:color w:val="auto"/>
                <w:sz w:val="20"/>
                <w:szCs w:val="20"/>
              </w:rPr>
              <w:t>Feb 2013-Jan 2014</w:t>
            </w:r>
          </w:p>
        </w:tc>
        <w:tc>
          <w:tcPr>
            <w:tcW w:w="1374" w:type="dxa"/>
            <w:shd w:val="clear" w:color="auto" w:fill="BFBFBF" w:themeFill="background1" w:themeFillShade="BF"/>
          </w:tcPr>
          <w:p w:rsidR="006055DC" w:rsidRPr="00E52C5F" w:rsidRDefault="006055DC" w:rsidP="00163075">
            <w:pPr>
              <w:pStyle w:val="Tableheading"/>
              <w:spacing w:beforeLines="60" w:before="144" w:afterLines="60" w:after="144"/>
              <w:rPr>
                <w:rStyle w:val="IntenseReference"/>
                <w:b/>
                <w:bCs w:val="0"/>
                <w:i w:val="0"/>
                <w:smallCaps w:val="0"/>
                <w:color w:val="auto"/>
                <w:sz w:val="20"/>
                <w:szCs w:val="20"/>
              </w:rPr>
            </w:pPr>
            <w:r>
              <w:rPr>
                <w:rStyle w:val="IntenseReference"/>
                <w:b/>
                <w:bCs w:val="0"/>
                <w:i w:val="0"/>
                <w:smallCaps w:val="0"/>
                <w:color w:val="auto"/>
                <w:sz w:val="20"/>
                <w:szCs w:val="20"/>
              </w:rPr>
              <w:t>Year 4</w:t>
            </w:r>
            <w:r>
              <w:rPr>
                <w:rStyle w:val="IntenseReference"/>
                <w:b/>
                <w:bCs w:val="0"/>
                <w:i w:val="0"/>
                <w:smallCaps w:val="0"/>
                <w:color w:val="auto"/>
                <w:sz w:val="20"/>
                <w:szCs w:val="20"/>
              </w:rPr>
              <w:br/>
            </w:r>
            <w:r w:rsidRPr="004F632B">
              <w:rPr>
                <w:rStyle w:val="IntenseReference"/>
                <w:bCs w:val="0"/>
                <w:i w:val="0"/>
                <w:smallCaps w:val="0"/>
                <w:color w:val="auto"/>
                <w:sz w:val="20"/>
                <w:szCs w:val="20"/>
              </w:rPr>
              <w:t>Feb 2014-Oct 2014</w:t>
            </w:r>
          </w:p>
        </w:tc>
      </w:tr>
      <w:tr w:rsidR="006055DC" w:rsidTr="00163075">
        <w:tc>
          <w:tcPr>
            <w:tcW w:w="2595" w:type="dxa"/>
          </w:tcPr>
          <w:p w:rsidR="006055DC" w:rsidRPr="00E52C5F" w:rsidRDefault="006055DC" w:rsidP="00163075">
            <w:pPr>
              <w:spacing w:after="60"/>
              <w:jc w:val="center"/>
              <w:rPr>
                <w:rStyle w:val="IntenseReference"/>
                <w:bCs w:val="0"/>
                <w:i w:val="0"/>
                <w:smallCaps w:val="0"/>
                <w:color w:val="auto"/>
                <w:sz w:val="20"/>
                <w:szCs w:val="20"/>
              </w:rPr>
            </w:pPr>
          </w:p>
        </w:tc>
        <w:tc>
          <w:tcPr>
            <w:tcW w:w="1408"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Actual (%</w:t>
            </w:r>
            <w:r w:rsidRPr="00D76FAA">
              <w:rPr>
                <w:rStyle w:val="IntenseReference"/>
                <w:b w:val="0"/>
                <w:bCs w:val="0"/>
                <w:i w:val="0"/>
                <w:smallCaps w:val="0"/>
                <w:color w:val="auto"/>
                <w:sz w:val="20"/>
                <w:szCs w:val="20"/>
                <w:vertAlign w:val="superscript"/>
              </w:rPr>
              <w:t>e</w:t>
            </w:r>
            <w:r w:rsidRPr="00E52C5F">
              <w:rPr>
                <w:rStyle w:val="IntenseReference"/>
                <w:b w:val="0"/>
                <w:bCs w:val="0"/>
                <w:i w:val="0"/>
                <w:smallCaps w:val="0"/>
                <w:color w:val="auto"/>
                <w:sz w:val="20"/>
                <w:szCs w:val="20"/>
              </w:rPr>
              <w:t>)</w:t>
            </w:r>
          </w:p>
        </w:tc>
        <w:tc>
          <w:tcPr>
            <w:tcW w:w="1371"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Actual (%)</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Actual (%)</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Actual (%)</w:t>
            </w:r>
          </w:p>
        </w:tc>
      </w:tr>
      <w:tr w:rsidR="006055DC" w:rsidTr="00163075">
        <w:tc>
          <w:tcPr>
            <w:tcW w:w="2595" w:type="dxa"/>
          </w:tcPr>
          <w:p w:rsidR="006055DC" w:rsidRPr="00E52C5F" w:rsidRDefault="006055DC" w:rsidP="00163075">
            <w:pPr>
              <w:spacing w:after="60"/>
              <w:rPr>
                <w:rStyle w:val="IntenseReference"/>
                <w:bCs w:val="0"/>
                <w:i w:val="0"/>
                <w:smallCaps w:val="0"/>
                <w:color w:val="auto"/>
                <w:sz w:val="20"/>
                <w:szCs w:val="20"/>
              </w:rPr>
            </w:pPr>
            <w:r w:rsidRPr="00E52C5F">
              <w:rPr>
                <w:rStyle w:val="IntenseReference"/>
                <w:bCs w:val="0"/>
                <w:i w:val="0"/>
                <w:smallCaps w:val="0"/>
                <w:color w:val="auto"/>
                <w:sz w:val="20"/>
                <w:szCs w:val="20"/>
              </w:rPr>
              <w:t>Dutasteride</w:t>
            </w:r>
            <w:r w:rsidRPr="00D76FAA">
              <w:rPr>
                <w:rStyle w:val="IntenseReference"/>
                <w:bCs w:val="0"/>
                <w:i w:val="0"/>
                <w:smallCaps w:val="0"/>
                <w:color w:val="auto"/>
                <w:sz w:val="20"/>
                <w:szCs w:val="20"/>
                <w:vertAlign w:val="superscript"/>
              </w:rPr>
              <w:t>b</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General PBS/under-copay</w:t>
            </w:r>
            <w:r w:rsidRPr="00D76FAA">
              <w:rPr>
                <w:rStyle w:val="IntenseReference"/>
                <w:b w:val="0"/>
                <w:bCs w:val="0"/>
                <w:i w:val="0"/>
                <w:smallCaps w:val="0"/>
                <w:color w:val="auto"/>
                <w:sz w:val="20"/>
                <w:szCs w:val="20"/>
                <w:vertAlign w:val="superscript"/>
              </w:rPr>
              <w:t>a</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5,791</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6,059</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6,242</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5,141</w:t>
            </w: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Concessional PBS</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23,169</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25,056</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27,097</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21,369</w:t>
            </w: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RPBS</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1,834</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2,105</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1,791</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1,791</w:t>
            </w:r>
          </w:p>
        </w:tc>
      </w:tr>
      <w:tr w:rsidR="006055DC" w:rsidTr="00163075">
        <w:tc>
          <w:tcPr>
            <w:tcW w:w="2595" w:type="dxa"/>
            <w:tcBorders>
              <w:bottom w:val="single" w:sz="12" w:space="0" w:color="auto"/>
            </w:tcBorders>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Private</w:t>
            </w:r>
            <w:r w:rsidRPr="00EC7214">
              <w:rPr>
                <w:rFonts w:ascii="Calibri" w:hAnsi="Calibri" w:cs="Calibri"/>
                <w:sz w:val="20"/>
                <w:vertAlign w:val="superscript"/>
              </w:rPr>
              <w:t xml:space="preserve"> d</w:t>
            </w:r>
          </w:p>
        </w:tc>
        <w:tc>
          <w:tcPr>
            <w:tcW w:w="1408" w:type="dxa"/>
            <w:tcBorders>
              <w:bottom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13,739</w:t>
            </w:r>
          </w:p>
        </w:tc>
        <w:tc>
          <w:tcPr>
            <w:tcW w:w="1371" w:type="dxa"/>
            <w:tcBorders>
              <w:bottom w:val="single" w:sz="12" w:space="0" w:color="auto"/>
            </w:tcBorders>
          </w:tcPr>
          <w:p w:rsidR="006055DC" w:rsidRPr="00EC7214" w:rsidRDefault="006055DC" w:rsidP="00163075">
            <w:pPr>
              <w:autoSpaceDE w:val="0"/>
              <w:autoSpaceDN w:val="0"/>
              <w:adjustRightInd w:val="0"/>
              <w:spacing w:after="60"/>
              <w:jc w:val="center"/>
              <w:rPr>
                <w:rFonts w:ascii="Calibri" w:hAnsi="Calibri" w:cs="Calibri"/>
                <w:sz w:val="20"/>
              </w:rPr>
            </w:pPr>
            <w:r w:rsidRPr="00EC7214">
              <w:rPr>
                <w:rFonts w:ascii="Calibri" w:hAnsi="Calibri" w:cs="Calibri"/>
                <w:sz w:val="20"/>
              </w:rPr>
              <w:t>3,971</w:t>
            </w:r>
          </w:p>
        </w:tc>
        <w:tc>
          <w:tcPr>
            <w:tcW w:w="1374" w:type="dxa"/>
            <w:tcBorders>
              <w:bottom w:val="single" w:sz="12" w:space="0" w:color="auto"/>
            </w:tcBorders>
          </w:tcPr>
          <w:p w:rsidR="006055DC" w:rsidRPr="00910B3C" w:rsidRDefault="006055DC" w:rsidP="00163075">
            <w:pPr>
              <w:spacing w:after="60"/>
              <w:jc w:val="center"/>
              <w:rPr>
                <w:rStyle w:val="IntenseReference"/>
                <w:b w:val="0"/>
                <w:bCs w:val="0"/>
                <w:i w:val="0"/>
                <w:smallCaps w:val="0"/>
                <w:color w:val="auto"/>
                <w:sz w:val="20"/>
                <w:szCs w:val="20"/>
              </w:rPr>
            </w:pPr>
            <w:r w:rsidRPr="00910B3C">
              <w:rPr>
                <w:rStyle w:val="IntenseReference"/>
                <w:b w:val="0"/>
                <w:bCs w:val="0"/>
                <w:i w:val="0"/>
                <w:smallCaps w:val="0"/>
                <w:color w:val="auto"/>
                <w:sz w:val="20"/>
                <w:szCs w:val="20"/>
              </w:rPr>
              <w:t>-</w:t>
            </w:r>
          </w:p>
        </w:tc>
        <w:tc>
          <w:tcPr>
            <w:tcW w:w="1374" w:type="dxa"/>
            <w:tcBorders>
              <w:bottom w:val="single" w:sz="12" w:space="0" w:color="auto"/>
            </w:tcBorders>
          </w:tcPr>
          <w:p w:rsidR="006055DC" w:rsidRPr="00910B3C" w:rsidRDefault="006055DC" w:rsidP="00163075">
            <w:pPr>
              <w:spacing w:after="60"/>
              <w:jc w:val="center"/>
              <w:rPr>
                <w:rStyle w:val="IntenseReference"/>
                <w:b w:val="0"/>
                <w:bCs w:val="0"/>
                <w:i w:val="0"/>
                <w:smallCaps w:val="0"/>
                <w:color w:val="auto"/>
                <w:sz w:val="20"/>
                <w:szCs w:val="20"/>
              </w:rPr>
            </w:pPr>
            <w:r w:rsidRPr="00910B3C">
              <w:rPr>
                <w:rStyle w:val="IntenseReference"/>
                <w:b w:val="0"/>
                <w:bCs w:val="0"/>
                <w:i w:val="0"/>
                <w:smallCaps w:val="0"/>
                <w:color w:val="auto"/>
                <w:sz w:val="20"/>
                <w:szCs w:val="20"/>
              </w:rPr>
              <w:t>-</w:t>
            </w:r>
          </w:p>
        </w:tc>
      </w:tr>
      <w:tr w:rsidR="006055DC" w:rsidRPr="00706F7D" w:rsidTr="00163075">
        <w:tc>
          <w:tcPr>
            <w:tcW w:w="2595" w:type="dxa"/>
            <w:tcBorders>
              <w:top w:val="single" w:sz="12" w:space="0" w:color="auto"/>
            </w:tcBorders>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Total R/PBS</w:t>
            </w:r>
          </w:p>
        </w:tc>
        <w:tc>
          <w:tcPr>
            <w:tcW w:w="1408" w:type="dxa"/>
            <w:tcBorders>
              <w:top w:val="single" w:sz="12" w:space="0" w:color="auto"/>
            </w:tcBorders>
          </w:tcPr>
          <w:p w:rsidR="006055DC" w:rsidRPr="00E52C5F" w:rsidRDefault="006055DC" w:rsidP="00163075">
            <w:pPr>
              <w:autoSpaceDE w:val="0"/>
              <w:autoSpaceDN w:val="0"/>
              <w:adjustRightInd w:val="0"/>
              <w:spacing w:after="60"/>
              <w:jc w:val="center"/>
              <w:rPr>
                <w:rFonts w:cs="Calibri"/>
                <w:sz w:val="20"/>
              </w:rPr>
            </w:pPr>
            <w:r w:rsidRPr="00E52C5F">
              <w:rPr>
                <w:rFonts w:cs="Calibri"/>
                <w:sz w:val="20"/>
              </w:rPr>
              <w:t>30,794 (15%)</w:t>
            </w:r>
          </w:p>
        </w:tc>
        <w:tc>
          <w:tcPr>
            <w:tcW w:w="1371" w:type="dxa"/>
            <w:tcBorders>
              <w:top w:val="single" w:sz="12" w:space="0" w:color="auto"/>
            </w:tcBorders>
          </w:tcPr>
          <w:p w:rsidR="006055DC" w:rsidRPr="00E52C5F" w:rsidRDefault="006055DC" w:rsidP="00163075">
            <w:pPr>
              <w:autoSpaceDE w:val="0"/>
              <w:autoSpaceDN w:val="0"/>
              <w:adjustRightInd w:val="0"/>
              <w:spacing w:after="60"/>
              <w:jc w:val="center"/>
              <w:rPr>
                <w:rFonts w:cs="Calibri"/>
                <w:sz w:val="20"/>
              </w:rPr>
            </w:pPr>
            <w:r w:rsidRPr="00E52C5F">
              <w:rPr>
                <w:rFonts w:cs="Calibri"/>
                <w:sz w:val="20"/>
              </w:rPr>
              <w:t>33,220 (8%)</w:t>
            </w:r>
          </w:p>
        </w:tc>
        <w:tc>
          <w:tcPr>
            <w:tcW w:w="1374" w:type="dxa"/>
            <w:tcBorders>
              <w:top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pacing w:val="0"/>
                <w:sz w:val="20"/>
                <w:szCs w:val="20"/>
              </w:rPr>
              <w:t>35,686</w:t>
            </w:r>
            <w:r w:rsidRPr="00E52C5F">
              <w:rPr>
                <w:rStyle w:val="IntenseReference"/>
                <w:b w:val="0"/>
                <w:bCs w:val="0"/>
                <w:i w:val="0"/>
                <w:smallCaps w:val="0"/>
                <w:color w:val="auto"/>
                <w:sz w:val="20"/>
                <w:szCs w:val="20"/>
              </w:rPr>
              <w:t xml:space="preserve"> (9%)</w:t>
            </w:r>
          </w:p>
        </w:tc>
        <w:tc>
          <w:tcPr>
            <w:tcW w:w="1374" w:type="dxa"/>
            <w:tcBorders>
              <w:top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pacing w:val="0"/>
                <w:sz w:val="20"/>
                <w:szCs w:val="20"/>
              </w:rPr>
              <w:t>28,301</w:t>
            </w:r>
            <w:r w:rsidRPr="00E52C5F">
              <w:rPr>
                <w:rStyle w:val="IntenseReference"/>
                <w:b w:val="0"/>
                <w:bCs w:val="0"/>
                <w:i w:val="0"/>
                <w:smallCaps w:val="0"/>
                <w:color w:val="auto"/>
                <w:sz w:val="20"/>
                <w:szCs w:val="20"/>
              </w:rPr>
              <w:t xml:space="preserve"> (8%)</w:t>
            </w:r>
          </w:p>
        </w:tc>
      </w:tr>
      <w:tr w:rsidR="006055DC" w:rsidTr="00163075">
        <w:tc>
          <w:tcPr>
            <w:tcW w:w="2595" w:type="dxa"/>
            <w:tcBorders>
              <w:bottom w:val="single" w:sz="12" w:space="0" w:color="auto"/>
            </w:tcBorders>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Total dutasteride</w:t>
            </w:r>
          </w:p>
        </w:tc>
        <w:tc>
          <w:tcPr>
            <w:tcW w:w="1408" w:type="dxa"/>
            <w:tcBorders>
              <w:bottom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44,533</w:t>
            </w:r>
          </w:p>
        </w:tc>
        <w:tc>
          <w:tcPr>
            <w:tcW w:w="1371" w:type="dxa"/>
            <w:tcBorders>
              <w:bottom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37,191</w:t>
            </w:r>
          </w:p>
        </w:tc>
        <w:tc>
          <w:tcPr>
            <w:tcW w:w="1374" w:type="dxa"/>
            <w:tcBorders>
              <w:bottom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35,686</w:t>
            </w:r>
          </w:p>
        </w:tc>
        <w:tc>
          <w:tcPr>
            <w:tcW w:w="1374" w:type="dxa"/>
            <w:tcBorders>
              <w:bottom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28,301</w:t>
            </w:r>
          </w:p>
        </w:tc>
      </w:tr>
      <w:tr w:rsidR="006055DC" w:rsidTr="00163075">
        <w:tc>
          <w:tcPr>
            <w:tcW w:w="2595" w:type="dxa"/>
            <w:tcBorders>
              <w:top w:val="single" w:sz="12" w:space="0" w:color="auto"/>
            </w:tcBorders>
          </w:tcPr>
          <w:p w:rsidR="006055DC" w:rsidRPr="00E52C5F" w:rsidRDefault="006055DC" w:rsidP="00163075">
            <w:pPr>
              <w:spacing w:after="60"/>
              <w:rPr>
                <w:rStyle w:val="IntenseReference"/>
                <w:bCs w:val="0"/>
                <w:i w:val="0"/>
                <w:smallCaps w:val="0"/>
                <w:color w:val="auto"/>
                <w:sz w:val="20"/>
                <w:szCs w:val="20"/>
              </w:rPr>
            </w:pPr>
            <w:r w:rsidRPr="00E52C5F">
              <w:rPr>
                <w:rStyle w:val="IntenseReference"/>
                <w:bCs w:val="0"/>
                <w:i w:val="0"/>
                <w:smallCaps w:val="0"/>
                <w:color w:val="auto"/>
                <w:sz w:val="20"/>
                <w:szCs w:val="20"/>
              </w:rPr>
              <w:t>Dutasteride + tamsulosin FDC</w:t>
            </w:r>
            <w:r w:rsidRPr="00D76FAA">
              <w:rPr>
                <w:rStyle w:val="IntenseReference"/>
                <w:bCs w:val="0"/>
                <w:i w:val="0"/>
                <w:smallCaps w:val="0"/>
                <w:color w:val="auto"/>
                <w:sz w:val="20"/>
                <w:szCs w:val="20"/>
                <w:vertAlign w:val="superscript"/>
              </w:rPr>
              <w:t>c</w:t>
            </w:r>
          </w:p>
        </w:tc>
        <w:tc>
          <w:tcPr>
            <w:tcW w:w="1408" w:type="dxa"/>
            <w:tcBorders>
              <w:top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p>
        </w:tc>
        <w:tc>
          <w:tcPr>
            <w:tcW w:w="1371" w:type="dxa"/>
            <w:tcBorders>
              <w:top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p>
        </w:tc>
        <w:tc>
          <w:tcPr>
            <w:tcW w:w="1374" w:type="dxa"/>
            <w:tcBorders>
              <w:top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p>
        </w:tc>
        <w:tc>
          <w:tcPr>
            <w:tcW w:w="1374" w:type="dxa"/>
            <w:tcBorders>
              <w:top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General PBS/under-copay</w:t>
            </w:r>
            <w:r w:rsidRPr="00D76FAA">
              <w:rPr>
                <w:rStyle w:val="IntenseReference"/>
                <w:b w:val="0"/>
                <w:bCs w:val="0"/>
                <w:i w:val="0"/>
                <w:smallCaps w:val="0"/>
                <w:color w:val="auto"/>
                <w:sz w:val="20"/>
                <w:szCs w:val="20"/>
                <w:vertAlign w:val="superscript"/>
              </w:rPr>
              <w:t>a</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7,365</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37,999</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6,134</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58,441</w:t>
            </w: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Concessional PBS</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29,350</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165,799</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283,074</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280,086</w:t>
            </w: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RPBS</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1,945</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10,509</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16,507</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z w:val="20"/>
                <w:szCs w:val="20"/>
              </w:rPr>
              <w:t>15,262</w:t>
            </w:r>
          </w:p>
        </w:tc>
      </w:tr>
      <w:tr w:rsidR="006055DC" w:rsidTr="00163075">
        <w:tc>
          <w:tcPr>
            <w:tcW w:w="2595" w:type="dxa"/>
            <w:tcBorders>
              <w:bottom w:val="single" w:sz="12" w:space="0" w:color="auto"/>
            </w:tcBorders>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Private</w:t>
            </w:r>
            <w:r w:rsidRPr="00EC7214">
              <w:rPr>
                <w:rFonts w:ascii="Calibri" w:hAnsi="Calibri" w:cs="Calibri"/>
                <w:sz w:val="20"/>
                <w:vertAlign w:val="superscript"/>
              </w:rPr>
              <w:t>d</w:t>
            </w:r>
          </w:p>
        </w:tc>
        <w:tc>
          <w:tcPr>
            <w:tcW w:w="1408" w:type="dxa"/>
            <w:tcBorders>
              <w:bottom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6,412</w:t>
            </w:r>
            <w:r w:rsidRPr="00E52C5F">
              <w:rPr>
                <w:rFonts w:ascii="Calibri" w:hAnsi="Calibri" w:cs="Calibri"/>
                <w:sz w:val="20"/>
                <w:vertAlign w:val="superscript"/>
              </w:rPr>
              <w:t>f</w:t>
            </w:r>
          </w:p>
        </w:tc>
        <w:tc>
          <w:tcPr>
            <w:tcW w:w="1371" w:type="dxa"/>
            <w:tcBorders>
              <w:bottom w:val="single" w:sz="12" w:space="0" w:color="auto"/>
            </w:tcBorders>
          </w:tcPr>
          <w:p w:rsidR="006055DC" w:rsidRPr="00EC7214" w:rsidRDefault="006055DC" w:rsidP="00163075">
            <w:pPr>
              <w:autoSpaceDE w:val="0"/>
              <w:autoSpaceDN w:val="0"/>
              <w:adjustRightInd w:val="0"/>
              <w:spacing w:after="60"/>
              <w:jc w:val="center"/>
              <w:rPr>
                <w:rFonts w:ascii="Calibri" w:hAnsi="Calibri" w:cs="Calibri"/>
                <w:sz w:val="20"/>
              </w:rPr>
            </w:pPr>
            <w:r w:rsidRPr="00EC7214">
              <w:rPr>
                <w:rFonts w:ascii="Calibri" w:hAnsi="Calibri" w:cs="Calibri"/>
                <w:sz w:val="20"/>
              </w:rPr>
              <w:t>11,384</w:t>
            </w:r>
          </w:p>
        </w:tc>
        <w:tc>
          <w:tcPr>
            <w:tcW w:w="1374" w:type="dxa"/>
            <w:tcBorders>
              <w:bottom w:val="single" w:sz="12" w:space="0" w:color="auto"/>
            </w:tcBorders>
          </w:tcPr>
          <w:p w:rsidR="006055DC" w:rsidRPr="00910B3C" w:rsidRDefault="006055DC" w:rsidP="00163075">
            <w:pPr>
              <w:spacing w:after="60"/>
              <w:jc w:val="center"/>
              <w:rPr>
                <w:rStyle w:val="IntenseReference"/>
                <w:b w:val="0"/>
                <w:bCs w:val="0"/>
                <w:i w:val="0"/>
                <w:smallCaps w:val="0"/>
                <w:color w:val="auto"/>
                <w:sz w:val="20"/>
                <w:szCs w:val="20"/>
              </w:rPr>
            </w:pPr>
            <w:r w:rsidRPr="00910B3C">
              <w:rPr>
                <w:rStyle w:val="IntenseReference"/>
                <w:b w:val="0"/>
                <w:bCs w:val="0"/>
                <w:i w:val="0"/>
                <w:smallCaps w:val="0"/>
                <w:color w:val="auto"/>
                <w:sz w:val="20"/>
                <w:szCs w:val="20"/>
              </w:rPr>
              <w:t>-</w:t>
            </w:r>
          </w:p>
        </w:tc>
        <w:tc>
          <w:tcPr>
            <w:tcW w:w="1374" w:type="dxa"/>
            <w:tcBorders>
              <w:bottom w:val="single" w:sz="12" w:space="0" w:color="auto"/>
            </w:tcBorders>
          </w:tcPr>
          <w:p w:rsidR="006055DC" w:rsidRPr="00910B3C" w:rsidRDefault="006055DC" w:rsidP="00163075">
            <w:pPr>
              <w:spacing w:after="60"/>
              <w:jc w:val="center"/>
              <w:rPr>
                <w:rStyle w:val="IntenseReference"/>
                <w:b w:val="0"/>
                <w:bCs w:val="0"/>
                <w:i w:val="0"/>
                <w:smallCaps w:val="0"/>
                <w:color w:val="auto"/>
                <w:sz w:val="20"/>
                <w:szCs w:val="20"/>
              </w:rPr>
            </w:pPr>
            <w:r w:rsidRPr="00910B3C">
              <w:rPr>
                <w:rStyle w:val="IntenseReference"/>
                <w:b w:val="0"/>
                <w:bCs w:val="0"/>
                <w:i w:val="0"/>
                <w:smallCaps w:val="0"/>
                <w:color w:val="auto"/>
                <w:sz w:val="20"/>
                <w:szCs w:val="20"/>
              </w:rPr>
              <w:t>-</w:t>
            </w:r>
          </w:p>
        </w:tc>
      </w:tr>
      <w:tr w:rsidR="006055DC" w:rsidTr="00163075">
        <w:tc>
          <w:tcPr>
            <w:tcW w:w="2595" w:type="dxa"/>
            <w:tcBorders>
              <w:top w:val="single" w:sz="12" w:space="0" w:color="auto"/>
            </w:tcBorders>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Total R/PBS</w:t>
            </w:r>
          </w:p>
        </w:tc>
        <w:tc>
          <w:tcPr>
            <w:tcW w:w="1408" w:type="dxa"/>
            <w:tcBorders>
              <w:top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38,660(28%</w:t>
            </w:r>
            <w:r w:rsidRPr="00E52C5F">
              <w:rPr>
                <w:rFonts w:ascii="Calibri" w:hAnsi="Calibri" w:cs="Calibri"/>
                <w:sz w:val="20"/>
                <w:vertAlign w:val="superscript"/>
              </w:rPr>
              <w:t>g</w:t>
            </w:r>
            <w:r w:rsidRPr="00E52C5F">
              <w:rPr>
                <w:rFonts w:ascii="Calibri" w:hAnsi="Calibri" w:cs="Calibri"/>
                <w:sz w:val="20"/>
              </w:rPr>
              <w:t>)</w:t>
            </w:r>
          </w:p>
        </w:tc>
        <w:tc>
          <w:tcPr>
            <w:tcW w:w="1371" w:type="dxa"/>
            <w:tcBorders>
              <w:top w:val="single" w:sz="12" w:space="0" w:color="auto"/>
            </w:tcBorders>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214,307 (64%)</w:t>
            </w:r>
          </w:p>
        </w:tc>
        <w:tc>
          <w:tcPr>
            <w:tcW w:w="1374" w:type="dxa"/>
            <w:tcBorders>
              <w:top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pacing w:val="0"/>
                <w:sz w:val="20"/>
                <w:szCs w:val="20"/>
              </w:rPr>
              <w:t>360,922</w:t>
            </w:r>
            <w:r w:rsidRPr="00E52C5F">
              <w:rPr>
                <w:rStyle w:val="IntenseReference"/>
                <w:b w:val="0"/>
                <w:bCs w:val="0"/>
                <w:i w:val="0"/>
                <w:smallCaps w:val="0"/>
                <w:color w:val="auto"/>
                <w:sz w:val="20"/>
                <w:szCs w:val="20"/>
              </w:rPr>
              <w:t xml:space="preserve"> (71%)</w:t>
            </w:r>
          </w:p>
        </w:tc>
        <w:tc>
          <w:tcPr>
            <w:tcW w:w="1374" w:type="dxa"/>
            <w:tcBorders>
              <w:top w:val="single" w:sz="12" w:space="0" w:color="auto"/>
            </w:tcBorders>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pacing w:val="0"/>
                <w:sz w:val="20"/>
                <w:szCs w:val="20"/>
              </w:rPr>
              <w:t>353,789</w:t>
            </w:r>
            <w:r w:rsidRPr="00E52C5F">
              <w:rPr>
                <w:rStyle w:val="IntenseReference"/>
                <w:b w:val="0"/>
                <w:bCs w:val="0"/>
                <w:i w:val="0"/>
                <w:smallCaps w:val="0"/>
                <w:color w:val="auto"/>
                <w:sz w:val="20"/>
                <w:szCs w:val="20"/>
              </w:rPr>
              <w:t xml:space="preserve"> (50%)</w:t>
            </w:r>
          </w:p>
        </w:tc>
      </w:tr>
      <w:tr w:rsidR="006055DC" w:rsidTr="00163075">
        <w:tc>
          <w:tcPr>
            <w:tcW w:w="2595" w:type="dxa"/>
          </w:tcPr>
          <w:p w:rsidR="006055DC" w:rsidRPr="00E52C5F" w:rsidRDefault="006055DC" w:rsidP="00163075">
            <w:pPr>
              <w:spacing w:after="60"/>
              <w:rPr>
                <w:rStyle w:val="IntenseReference"/>
                <w:b w:val="0"/>
                <w:bCs w:val="0"/>
                <w:i w:val="0"/>
                <w:smallCaps w:val="0"/>
                <w:color w:val="auto"/>
                <w:sz w:val="20"/>
                <w:szCs w:val="20"/>
              </w:rPr>
            </w:pPr>
            <w:r w:rsidRPr="00E52C5F">
              <w:rPr>
                <w:rStyle w:val="IntenseReference"/>
                <w:b w:val="0"/>
                <w:bCs w:val="0"/>
                <w:i w:val="0"/>
                <w:smallCaps w:val="0"/>
                <w:color w:val="auto"/>
                <w:sz w:val="20"/>
                <w:szCs w:val="20"/>
              </w:rPr>
              <w:t>Total dutasteride + tamsulosin FDC</w:t>
            </w:r>
          </w:p>
        </w:tc>
        <w:tc>
          <w:tcPr>
            <w:tcW w:w="1408"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45,485</w:t>
            </w:r>
          </w:p>
        </w:tc>
        <w:tc>
          <w:tcPr>
            <w:tcW w:w="1371" w:type="dxa"/>
          </w:tcPr>
          <w:p w:rsidR="006055DC" w:rsidRPr="00E52C5F" w:rsidRDefault="006055DC" w:rsidP="00163075">
            <w:pPr>
              <w:autoSpaceDE w:val="0"/>
              <w:autoSpaceDN w:val="0"/>
              <w:adjustRightInd w:val="0"/>
              <w:spacing w:after="60"/>
              <w:jc w:val="center"/>
              <w:rPr>
                <w:rFonts w:ascii="Calibri" w:hAnsi="Calibri" w:cs="Calibri"/>
                <w:sz w:val="20"/>
              </w:rPr>
            </w:pPr>
            <w:r w:rsidRPr="00E52C5F">
              <w:rPr>
                <w:rFonts w:ascii="Calibri" w:hAnsi="Calibri" w:cs="Calibri"/>
                <w:sz w:val="20"/>
              </w:rPr>
              <w:t>224,467</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pacing w:val="0"/>
                <w:sz w:val="20"/>
                <w:szCs w:val="20"/>
              </w:rPr>
              <w:t>360,922</w:t>
            </w:r>
          </w:p>
        </w:tc>
        <w:tc>
          <w:tcPr>
            <w:tcW w:w="1374" w:type="dxa"/>
          </w:tcPr>
          <w:p w:rsidR="006055DC" w:rsidRPr="00E52C5F" w:rsidRDefault="006055DC" w:rsidP="00163075">
            <w:pPr>
              <w:spacing w:after="60"/>
              <w:jc w:val="center"/>
              <w:rPr>
                <w:rStyle w:val="IntenseReference"/>
                <w:b w:val="0"/>
                <w:bCs w:val="0"/>
                <w:i w:val="0"/>
                <w:smallCaps w:val="0"/>
                <w:color w:val="auto"/>
                <w:sz w:val="20"/>
                <w:szCs w:val="20"/>
              </w:rPr>
            </w:pPr>
            <w:r w:rsidRPr="00E52C5F">
              <w:rPr>
                <w:rStyle w:val="IntenseReference"/>
                <w:b w:val="0"/>
                <w:bCs w:val="0"/>
                <w:i w:val="0"/>
                <w:smallCaps w:val="0"/>
                <w:color w:val="auto"/>
                <w:spacing w:val="0"/>
                <w:sz w:val="20"/>
                <w:szCs w:val="20"/>
              </w:rPr>
              <w:t>353,789</w:t>
            </w:r>
          </w:p>
        </w:tc>
      </w:tr>
      <w:tr w:rsidR="006055DC" w:rsidRPr="003502F9" w:rsidTr="00163075">
        <w:tc>
          <w:tcPr>
            <w:tcW w:w="2595" w:type="dxa"/>
            <w:tcBorders>
              <w:top w:val="single" w:sz="12" w:space="0" w:color="auto"/>
            </w:tcBorders>
          </w:tcPr>
          <w:p w:rsidR="006055DC" w:rsidRPr="003502F9" w:rsidRDefault="006055DC" w:rsidP="00163075">
            <w:pPr>
              <w:spacing w:after="60"/>
              <w:rPr>
                <w:rStyle w:val="IntenseReference"/>
                <w:bCs w:val="0"/>
                <w:i w:val="0"/>
                <w:smallCaps w:val="0"/>
                <w:color w:val="auto"/>
                <w:sz w:val="20"/>
                <w:szCs w:val="20"/>
              </w:rPr>
            </w:pPr>
            <w:r w:rsidRPr="003502F9">
              <w:rPr>
                <w:rStyle w:val="IntenseReference"/>
                <w:bCs w:val="0"/>
                <w:i w:val="0"/>
                <w:smallCaps w:val="0"/>
                <w:color w:val="auto"/>
                <w:sz w:val="20"/>
                <w:szCs w:val="20"/>
              </w:rPr>
              <w:t>Total dutasteride (single agent and FDC)</w:t>
            </w:r>
          </w:p>
        </w:tc>
        <w:tc>
          <w:tcPr>
            <w:tcW w:w="1408" w:type="dxa"/>
            <w:tcBorders>
              <w:top w:val="single" w:sz="12" w:space="0" w:color="auto"/>
            </w:tcBorders>
          </w:tcPr>
          <w:p w:rsidR="006055DC" w:rsidRPr="003502F9" w:rsidRDefault="006055DC" w:rsidP="00163075">
            <w:pPr>
              <w:autoSpaceDE w:val="0"/>
              <w:autoSpaceDN w:val="0"/>
              <w:adjustRightInd w:val="0"/>
              <w:spacing w:after="60"/>
              <w:jc w:val="center"/>
              <w:rPr>
                <w:rFonts w:ascii="Calibri" w:hAnsi="Calibri" w:cs="Calibri"/>
                <w:b/>
                <w:sz w:val="20"/>
              </w:rPr>
            </w:pPr>
            <w:r w:rsidRPr="003502F9">
              <w:rPr>
                <w:rFonts w:ascii="Calibri" w:hAnsi="Calibri" w:cs="Calibri"/>
                <w:b/>
                <w:sz w:val="20"/>
              </w:rPr>
              <w:t>90,018</w:t>
            </w:r>
          </w:p>
        </w:tc>
        <w:tc>
          <w:tcPr>
            <w:tcW w:w="1371" w:type="dxa"/>
            <w:tcBorders>
              <w:top w:val="single" w:sz="12" w:space="0" w:color="auto"/>
            </w:tcBorders>
          </w:tcPr>
          <w:p w:rsidR="006055DC" w:rsidRPr="003502F9" w:rsidRDefault="006055DC" w:rsidP="00163075">
            <w:pPr>
              <w:autoSpaceDE w:val="0"/>
              <w:autoSpaceDN w:val="0"/>
              <w:adjustRightInd w:val="0"/>
              <w:spacing w:after="60"/>
              <w:jc w:val="center"/>
              <w:rPr>
                <w:rFonts w:ascii="Calibri" w:hAnsi="Calibri" w:cs="Calibri"/>
                <w:b/>
                <w:sz w:val="20"/>
              </w:rPr>
            </w:pPr>
            <w:r w:rsidRPr="003502F9">
              <w:rPr>
                <w:rFonts w:ascii="Calibri" w:hAnsi="Calibri" w:cs="Calibri"/>
                <w:b/>
                <w:sz w:val="20"/>
              </w:rPr>
              <w:t>262,882</w:t>
            </w:r>
          </w:p>
          <w:p w:rsidR="006055DC" w:rsidRPr="003502F9" w:rsidRDefault="006055DC" w:rsidP="00163075">
            <w:pPr>
              <w:autoSpaceDE w:val="0"/>
              <w:autoSpaceDN w:val="0"/>
              <w:adjustRightInd w:val="0"/>
              <w:spacing w:after="60"/>
              <w:jc w:val="center"/>
              <w:rPr>
                <w:rFonts w:ascii="Calibri" w:hAnsi="Calibri" w:cs="Calibri"/>
                <w:b/>
                <w:sz w:val="20"/>
              </w:rPr>
            </w:pPr>
          </w:p>
        </w:tc>
        <w:tc>
          <w:tcPr>
            <w:tcW w:w="1374" w:type="dxa"/>
            <w:tcBorders>
              <w:top w:val="single" w:sz="12" w:space="0" w:color="auto"/>
            </w:tcBorders>
          </w:tcPr>
          <w:p w:rsidR="006055DC" w:rsidRPr="003502F9" w:rsidRDefault="006055DC" w:rsidP="00163075">
            <w:pPr>
              <w:spacing w:after="60"/>
              <w:jc w:val="center"/>
              <w:rPr>
                <w:rStyle w:val="IntenseReference"/>
                <w:bCs w:val="0"/>
                <w:i w:val="0"/>
                <w:smallCaps w:val="0"/>
                <w:color w:val="auto"/>
                <w:sz w:val="20"/>
                <w:szCs w:val="20"/>
              </w:rPr>
            </w:pPr>
            <w:r w:rsidRPr="003502F9">
              <w:rPr>
                <w:rStyle w:val="IntenseReference"/>
                <w:bCs w:val="0"/>
                <w:i w:val="0"/>
                <w:smallCaps w:val="0"/>
                <w:color w:val="auto"/>
                <w:sz w:val="20"/>
                <w:szCs w:val="20"/>
              </w:rPr>
              <w:t>396,608</w:t>
            </w:r>
          </w:p>
        </w:tc>
        <w:tc>
          <w:tcPr>
            <w:tcW w:w="1374" w:type="dxa"/>
            <w:tcBorders>
              <w:top w:val="single" w:sz="12" w:space="0" w:color="auto"/>
            </w:tcBorders>
          </w:tcPr>
          <w:p w:rsidR="006055DC" w:rsidRPr="003502F9" w:rsidRDefault="006055DC" w:rsidP="00163075">
            <w:pPr>
              <w:spacing w:after="60"/>
              <w:jc w:val="center"/>
              <w:rPr>
                <w:rStyle w:val="IntenseReference"/>
                <w:bCs w:val="0"/>
                <w:i w:val="0"/>
                <w:smallCaps w:val="0"/>
                <w:color w:val="auto"/>
                <w:sz w:val="20"/>
                <w:szCs w:val="20"/>
              </w:rPr>
            </w:pPr>
            <w:r w:rsidRPr="003502F9">
              <w:rPr>
                <w:rStyle w:val="IntenseReference"/>
                <w:bCs w:val="0"/>
                <w:i w:val="0"/>
                <w:smallCaps w:val="0"/>
                <w:color w:val="auto"/>
                <w:sz w:val="20"/>
                <w:szCs w:val="20"/>
              </w:rPr>
              <w:t>382,090</w:t>
            </w:r>
          </w:p>
        </w:tc>
      </w:tr>
    </w:tbl>
    <w:p w:rsidR="006055DC" w:rsidRPr="001E7718" w:rsidRDefault="006055DC" w:rsidP="006055DC">
      <w:pPr>
        <w:pStyle w:val="Notes"/>
      </w:pPr>
      <w:r w:rsidRPr="001E7718">
        <w:t xml:space="preserve">Source: DUSC database accessed March 2015, based on date of prescription supply. </w:t>
      </w:r>
      <w:r>
        <w:br/>
      </w:r>
      <w:r w:rsidRPr="001E7718">
        <w:rPr>
          <w:vertAlign w:val="superscript"/>
        </w:rPr>
        <w:t>a</w:t>
      </w:r>
      <w:r w:rsidRPr="001E7718">
        <w:t xml:space="preserve"> under co-payment prescriptions estimated from Guild Survey to April 2012, then actual prescription data collected by DHS (Medicare)</w:t>
      </w:r>
      <w:r>
        <w:br/>
      </w:r>
      <w:r w:rsidRPr="001E7718">
        <w:rPr>
          <w:bCs/>
          <w:vertAlign w:val="superscript"/>
        </w:rPr>
        <w:t>b</w:t>
      </w:r>
      <w:r w:rsidRPr="001E7718">
        <w:rPr>
          <w:bCs/>
        </w:rPr>
        <w:t>listed 1 February 2011</w:t>
      </w:r>
      <w:r>
        <w:br/>
      </w:r>
      <w:r w:rsidRPr="001E7718">
        <w:rPr>
          <w:vertAlign w:val="superscript"/>
        </w:rPr>
        <w:t>c</w:t>
      </w:r>
      <w:r>
        <w:t>listed 1 August 2011</w:t>
      </w:r>
      <w:r>
        <w:br/>
      </w:r>
      <w:r w:rsidRPr="001E7718">
        <w:rPr>
          <w:vertAlign w:val="superscript"/>
        </w:rPr>
        <w:t xml:space="preserve">d </w:t>
      </w:r>
      <w:r w:rsidRPr="001E7718">
        <w:t>estimate of private prescriptions only available up to August 2012</w:t>
      </w:r>
      <w:r>
        <w:br/>
      </w:r>
      <w:r w:rsidRPr="001E7718">
        <w:rPr>
          <w:vertAlign w:val="superscript"/>
        </w:rPr>
        <w:t>e</w:t>
      </w:r>
      <w:r>
        <w:t xml:space="preserve"> percent of predicted use</w:t>
      </w:r>
      <w:r>
        <w:br/>
      </w:r>
      <w:r w:rsidRPr="001E7718">
        <w:rPr>
          <w:vertAlign w:val="superscript"/>
        </w:rPr>
        <w:t>f</w:t>
      </w:r>
      <w:r w:rsidRPr="001E7718">
        <w:t xml:space="preserve"> from 1 August 2011. Private prescription utilisation prior to PBS listin</w:t>
      </w:r>
      <w:r>
        <w:t>g is presented in Figure 7.1.1.</w:t>
      </w:r>
      <w:r>
        <w:br/>
      </w:r>
      <w:r w:rsidRPr="001E7718">
        <w:rPr>
          <w:vertAlign w:val="superscript"/>
        </w:rPr>
        <w:t>g</w:t>
      </w:r>
      <w:r>
        <w:rPr>
          <w:vertAlign w:val="superscript"/>
        </w:rPr>
        <w:t xml:space="preserve"> </w:t>
      </w:r>
      <w:r w:rsidRPr="001E7718">
        <w:t>Between Aug 11 and Jul 12 there were 124,456 R/PBS prescriptions for dutasteride with tamsulosin FDC</w:t>
      </w:r>
    </w:p>
    <w:p w:rsidR="006055DC" w:rsidRDefault="006055DC" w:rsidP="006055DC">
      <w:pPr>
        <w:spacing w:line="276" w:lineRule="auto"/>
        <w:rPr>
          <w:b/>
          <w:sz w:val="32"/>
          <w:szCs w:val="32"/>
        </w:rPr>
      </w:pPr>
      <w:r>
        <w:br w:type="page"/>
      </w:r>
    </w:p>
    <w:p w:rsidR="006055DC" w:rsidRDefault="00664DF6" w:rsidP="006055DC">
      <w:pPr>
        <w:pStyle w:val="Heading4"/>
      </w:pPr>
      <w:r>
        <w:t>Appendix B</w:t>
      </w:r>
    </w:p>
    <w:p w:rsidR="006055DC" w:rsidRPr="009B5CFA" w:rsidRDefault="006055DC" w:rsidP="006055DC">
      <w:pPr>
        <w:pStyle w:val="Heading2"/>
        <w:rPr>
          <w:rFonts w:cs="Times New Roman"/>
          <w:i w:val="0"/>
          <w:sz w:val="28"/>
        </w:rPr>
      </w:pPr>
      <w:r w:rsidRPr="009B5CFA">
        <w:rPr>
          <w:sz w:val="28"/>
        </w:rPr>
        <w:t>Detailed methodology for Kaplan Meier length of treatment analyses</w:t>
      </w:r>
    </w:p>
    <w:p w:rsidR="006055DC" w:rsidRDefault="006055DC" w:rsidP="006055DC">
      <w:pPr>
        <w:tabs>
          <w:tab w:val="left" w:pos="4058"/>
        </w:tabs>
        <w:rPr>
          <w:rFonts w:eastAsia="Calibri" w:cs="Times New Roman"/>
        </w:rPr>
      </w:pPr>
      <w:r>
        <w:rPr>
          <w:rFonts w:eastAsia="Calibri" w:cs="Times New Roman"/>
        </w:rPr>
        <w:t xml:space="preserve">A break in treatment is defined as a gap of 2 x Standard Coverage Days (SCD) in drug coverage which is equivalent to 3 x SCDs between </w:t>
      </w:r>
      <w:r w:rsidRPr="00246FA2">
        <w:rPr>
          <w:rFonts w:eastAsia="Calibri" w:cs="Times New Roman"/>
        </w:rPr>
        <w:t>prescription</w:t>
      </w:r>
      <w:r>
        <w:rPr>
          <w:rFonts w:eastAsia="Calibri" w:cs="Times New Roman"/>
        </w:rPr>
        <w:t xml:space="preserve"> supply. An episode is defined as the time from the first </w:t>
      </w:r>
      <w:r w:rsidRPr="00246FA2">
        <w:rPr>
          <w:rFonts w:eastAsia="Calibri" w:cs="Times New Roman"/>
        </w:rPr>
        <w:t>prescription</w:t>
      </w:r>
      <w:r>
        <w:rPr>
          <w:rFonts w:eastAsia="Calibri" w:cs="Times New Roman"/>
        </w:rPr>
        <w:t xml:space="preserve"> to the last </w:t>
      </w:r>
      <w:r w:rsidRPr="00246FA2">
        <w:rPr>
          <w:rFonts w:eastAsia="Calibri" w:cs="Times New Roman"/>
        </w:rPr>
        <w:t>prescription</w:t>
      </w:r>
      <w:r>
        <w:rPr>
          <w:rFonts w:eastAsia="Calibri" w:cs="Times New Roman"/>
        </w:rPr>
        <w:t xml:space="preserve"> before a break plus one SCD (</w:t>
      </w:r>
      <w:r w:rsidR="00321B93">
        <w:rPr>
          <w:rFonts w:eastAsia="Calibri" w:cs="Times New Roman"/>
        </w:rPr>
        <w:t>i.e.</w:t>
      </w:r>
      <w:r>
        <w:rPr>
          <w:rFonts w:eastAsia="Calibri" w:cs="Times New Roman"/>
        </w:rPr>
        <w:t xml:space="preserve"> the coverage of the last </w:t>
      </w:r>
      <w:r w:rsidRPr="00246FA2">
        <w:rPr>
          <w:rFonts w:eastAsia="Calibri" w:cs="Times New Roman"/>
        </w:rPr>
        <w:t>prescription</w:t>
      </w:r>
      <w:r>
        <w:rPr>
          <w:rFonts w:eastAsia="Calibri" w:cs="Times New Roman"/>
        </w:rPr>
        <w:t xml:space="preserve">). The </w:t>
      </w:r>
      <w:r w:rsidRPr="00246FA2">
        <w:rPr>
          <w:rFonts w:eastAsia="Calibri" w:cs="Times New Roman"/>
        </w:rPr>
        <w:t>prescription</w:t>
      </w:r>
      <w:r>
        <w:rPr>
          <w:rFonts w:eastAsia="Calibri" w:cs="Times New Roman"/>
        </w:rPr>
        <w:t xml:space="preserve"> after a break in treatment is defined as the first </w:t>
      </w:r>
      <w:r w:rsidRPr="00246FA2">
        <w:rPr>
          <w:rFonts w:eastAsia="Calibri" w:cs="Times New Roman"/>
        </w:rPr>
        <w:t>prescription</w:t>
      </w:r>
      <w:r>
        <w:rPr>
          <w:rFonts w:eastAsia="Calibri" w:cs="Times New Roman"/>
        </w:rPr>
        <w:t xml:space="preserve"> of the next episode. The SCDs are equal to the median time to re-supply of </w:t>
      </w:r>
      <w:r w:rsidRPr="00246FA2">
        <w:rPr>
          <w:rFonts w:eastAsia="Calibri" w:cs="Times New Roman"/>
        </w:rPr>
        <w:t>prescription</w:t>
      </w:r>
      <w:r>
        <w:rPr>
          <w:rFonts w:eastAsia="Calibri" w:cs="Times New Roman"/>
        </w:rPr>
        <w:t>s calculated at the drug level. The table below shows the SCDs used in this analysis.</w:t>
      </w:r>
    </w:p>
    <w:tbl>
      <w:tblPr>
        <w:tblStyle w:val="TableGrid"/>
        <w:tblW w:w="0" w:type="auto"/>
        <w:tblInd w:w="108" w:type="dxa"/>
        <w:tblLook w:val="04A0" w:firstRow="1" w:lastRow="0" w:firstColumn="1" w:lastColumn="0" w:noHBand="0" w:noVBand="1"/>
        <w:tblCaption w:val="Median time to re-supply for dutasteride and dutasteride with tamsulosin"/>
        <w:tblDescription w:val="The table shows the median time, in days, to re-supply or repeat dispensing of dutasteride and dutasteride with tamsulosin."/>
      </w:tblPr>
      <w:tblGrid>
        <w:gridCol w:w="2268"/>
        <w:gridCol w:w="4111"/>
      </w:tblGrid>
      <w:tr w:rsidR="006055DC" w:rsidTr="00163075">
        <w:trPr>
          <w:tblHeader/>
        </w:trPr>
        <w:tc>
          <w:tcPr>
            <w:tcW w:w="2268" w:type="dxa"/>
            <w:shd w:val="clear" w:color="auto" w:fill="BFBFBF" w:themeFill="background1" w:themeFillShade="BF"/>
          </w:tcPr>
          <w:p w:rsidR="006055DC" w:rsidRPr="00AF60C0" w:rsidRDefault="006055DC" w:rsidP="00163075">
            <w:pPr>
              <w:rPr>
                <w:b/>
                <w:sz w:val="20"/>
                <w:szCs w:val="20"/>
              </w:rPr>
            </w:pPr>
            <w:r w:rsidRPr="00AF60C0">
              <w:rPr>
                <w:b/>
                <w:sz w:val="20"/>
                <w:szCs w:val="20"/>
              </w:rPr>
              <w:t>Drug</w:t>
            </w:r>
          </w:p>
          <w:p w:rsidR="006055DC" w:rsidRPr="00AF60C0" w:rsidRDefault="006055DC" w:rsidP="00163075">
            <w:pPr>
              <w:rPr>
                <w:b/>
                <w:sz w:val="20"/>
                <w:szCs w:val="20"/>
              </w:rPr>
            </w:pPr>
          </w:p>
        </w:tc>
        <w:tc>
          <w:tcPr>
            <w:tcW w:w="4111" w:type="dxa"/>
            <w:shd w:val="clear" w:color="auto" w:fill="BFBFBF" w:themeFill="background1" w:themeFillShade="BF"/>
          </w:tcPr>
          <w:p w:rsidR="006055DC" w:rsidRPr="00AF60C0" w:rsidRDefault="006055DC" w:rsidP="00163075">
            <w:pPr>
              <w:tabs>
                <w:tab w:val="left" w:pos="4058"/>
              </w:tabs>
              <w:jc w:val="center"/>
              <w:rPr>
                <w:rFonts w:eastAsia="Calibri"/>
                <w:b/>
                <w:sz w:val="20"/>
                <w:szCs w:val="20"/>
              </w:rPr>
            </w:pPr>
            <w:r w:rsidRPr="00AF60C0">
              <w:rPr>
                <w:rFonts w:eastAsia="Calibri"/>
                <w:b/>
                <w:sz w:val="20"/>
                <w:szCs w:val="20"/>
              </w:rPr>
              <w:t>Median time to re-supply by any item of the specified drug = SCD (days)</w:t>
            </w:r>
          </w:p>
        </w:tc>
      </w:tr>
      <w:tr w:rsidR="006055DC" w:rsidTr="00163075">
        <w:tc>
          <w:tcPr>
            <w:tcW w:w="2268" w:type="dxa"/>
          </w:tcPr>
          <w:p w:rsidR="006055DC" w:rsidRPr="00AF60C0" w:rsidRDefault="006055DC" w:rsidP="00163075">
            <w:pPr>
              <w:keepNext/>
              <w:keepLines/>
              <w:outlineLvl w:val="1"/>
              <w:rPr>
                <w:rFonts w:eastAsiaTheme="majorEastAsia" w:cstheme="majorBidi"/>
                <w:bCs/>
                <w:sz w:val="20"/>
                <w:szCs w:val="20"/>
              </w:rPr>
            </w:pPr>
            <w:r>
              <w:rPr>
                <w:rFonts w:eastAsiaTheme="majorEastAsia" w:cstheme="majorBidi"/>
                <w:bCs/>
                <w:sz w:val="20"/>
                <w:szCs w:val="20"/>
              </w:rPr>
              <w:t>dutasteride</w:t>
            </w:r>
            <w:r w:rsidRPr="00AF60C0">
              <w:rPr>
                <w:rFonts w:eastAsiaTheme="majorEastAsia" w:cstheme="majorBidi"/>
                <w:bCs/>
                <w:sz w:val="20"/>
                <w:szCs w:val="20"/>
              </w:rPr>
              <w:t xml:space="preserve"> </w:t>
            </w:r>
          </w:p>
        </w:tc>
        <w:tc>
          <w:tcPr>
            <w:tcW w:w="4111" w:type="dxa"/>
          </w:tcPr>
          <w:p w:rsidR="006055DC" w:rsidRPr="00AF60C0" w:rsidRDefault="006055DC" w:rsidP="00163075">
            <w:pPr>
              <w:jc w:val="center"/>
              <w:rPr>
                <w:sz w:val="20"/>
                <w:szCs w:val="20"/>
              </w:rPr>
            </w:pPr>
            <w:r w:rsidRPr="00AF60C0">
              <w:rPr>
                <w:sz w:val="20"/>
                <w:szCs w:val="20"/>
              </w:rPr>
              <w:t>30</w:t>
            </w:r>
          </w:p>
        </w:tc>
      </w:tr>
      <w:tr w:rsidR="006055DC" w:rsidTr="00163075">
        <w:tc>
          <w:tcPr>
            <w:tcW w:w="2268" w:type="dxa"/>
          </w:tcPr>
          <w:p w:rsidR="006055DC" w:rsidRPr="00AF60C0" w:rsidRDefault="006055DC" w:rsidP="00163075">
            <w:pPr>
              <w:keepNext/>
              <w:keepLines/>
              <w:outlineLvl w:val="1"/>
              <w:rPr>
                <w:rFonts w:eastAsiaTheme="majorEastAsia" w:cstheme="majorBidi"/>
                <w:bCs/>
                <w:sz w:val="20"/>
                <w:szCs w:val="20"/>
              </w:rPr>
            </w:pPr>
            <w:r>
              <w:rPr>
                <w:rFonts w:eastAsiaTheme="majorEastAsia" w:cstheme="majorBidi"/>
                <w:bCs/>
                <w:sz w:val="20"/>
                <w:szCs w:val="20"/>
              </w:rPr>
              <w:t>dutasteride with tamsulosin</w:t>
            </w:r>
            <w:r w:rsidRPr="00AF60C0">
              <w:rPr>
                <w:rFonts w:eastAsiaTheme="majorEastAsia" w:cstheme="majorBidi"/>
                <w:bCs/>
                <w:sz w:val="20"/>
                <w:szCs w:val="20"/>
              </w:rPr>
              <w:t xml:space="preserve"> </w:t>
            </w:r>
          </w:p>
        </w:tc>
        <w:tc>
          <w:tcPr>
            <w:tcW w:w="4111" w:type="dxa"/>
          </w:tcPr>
          <w:p w:rsidR="006055DC" w:rsidRPr="00AF60C0" w:rsidRDefault="006055DC" w:rsidP="00163075">
            <w:pPr>
              <w:jc w:val="center"/>
              <w:rPr>
                <w:sz w:val="20"/>
                <w:szCs w:val="20"/>
              </w:rPr>
            </w:pPr>
            <w:r w:rsidRPr="00AF60C0">
              <w:rPr>
                <w:sz w:val="20"/>
                <w:szCs w:val="20"/>
              </w:rPr>
              <w:t>30</w:t>
            </w:r>
          </w:p>
        </w:tc>
      </w:tr>
    </w:tbl>
    <w:p w:rsidR="006055DC" w:rsidRDefault="006055DC" w:rsidP="006055DC">
      <w:pPr>
        <w:tabs>
          <w:tab w:val="left" w:pos="4058"/>
        </w:tabs>
        <w:rPr>
          <w:rFonts w:eastAsia="Calibri" w:cs="Times New Roman"/>
        </w:rPr>
      </w:pPr>
    </w:p>
    <w:p w:rsidR="006055DC" w:rsidRDefault="006055DC" w:rsidP="006055DC">
      <w:pPr>
        <w:tabs>
          <w:tab w:val="left" w:pos="4058"/>
        </w:tabs>
        <w:rPr>
          <w:rFonts w:eastAsia="Calibri" w:cs="Times New Roman"/>
        </w:rPr>
      </w:pPr>
      <w:r>
        <w:rPr>
          <w:rFonts w:eastAsia="Calibri" w:cs="Times New Roman"/>
        </w:rPr>
        <w:t>The data period used in the length of treatment analysis was from February 2011 (the listing of dutasteride) December 2014 inclusive (based on date of supply). A patient was deemed to be continuing treatment (</w:t>
      </w:r>
      <w:r w:rsidR="00321B93">
        <w:rPr>
          <w:rFonts w:eastAsia="Calibri" w:cs="Times New Roman"/>
        </w:rPr>
        <w:t>i.e.</w:t>
      </w:r>
      <w:r>
        <w:rPr>
          <w:rFonts w:eastAsia="Calibri" w:cs="Times New Roman"/>
        </w:rPr>
        <w:t xml:space="preserve"> censored for the purposes of the KM analysis) at the end of the data period if the supply of their last </w:t>
      </w:r>
      <w:r w:rsidRPr="00246FA2">
        <w:rPr>
          <w:rFonts w:eastAsia="Calibri" w:cs="Times New Roman"/>
        </w:rPr>
        <w:t xml:space="preserve">prescription </w:t>
      </w:r>
      <w:r>
        <w:rPr>
          <w:rFonts w:eastAsia="Calibri" w:cs="Times New Roman"/>
        </w:rPr>
        <w:t>was within 3 x SCDs (which is equivalent to the item coverage end date being within 2 x SCDs) of the end of the data period (</w:t>
      </w:r>
      <w:r w:rsidR="00321B93">
        <w:rPr>
          <w:rFonts w:eastAsia="Calibri" w:cs="Times New Roman"/>
        </w:rPr>
        <w:t>i.e.</w:t>
      </w:r>
      <w:r>
        <w:rPr>
          <w:rFonts w:eastAsia="Calibri" w:cs="Times New Roman"/>
        </w:rPr>
        <w:t xml:space="preserve"> 31 December 2014). Patients initiating in 2014 are excluded as they have minimal follow-up time. Three lengths of treatment were calculated, </w:t>
      </w:r>
      <w:r w:rsidR="00321B93">
        <w:rPr>
          <w:rFonts w:eastAsia="Calibri" w:cs="Times New Roman"/>
        </w:rPr>
        <w:t>i.e.</w:t>
      </w:r>
      <w:r>
        <w:rPr>
          <w:rFonts w:eastAsia="Calibri" w:cs="Times New Roman"/>
        </w:rPr>
        <w:t xml:space="preserve"> the length of;</w:t>
      </w:r>
    </w:p>
    <w:p w:rsidR="006055DC" w:rsidRDefault="006055DC" w:rsidP="006055DC">
      <w:pPr>
        <w:pStyle w:val="ListParagraph"/>
        <w:numPr>
          <w:ilvl w:val="0"/>
          <w:numId w:val="8"/>
        </w:numPr>
        <w:tabs>
          <w:tab w:val="left" w:pos="4058"/>
        </w:tabs>
        <w:rPr>
          <w:rFonts w:eastAsia="Calibri" w:cs="Times New Roman"/>
        </w:rPr>
      </w:pPr>
      <w:r>
        <w:rPr>
          <w:rFonts w:eastAsia="Calibri" w:cs="Times New Roman"/>
        </w:rPr>
        <w:t xml:space="preserve">the </w:t>
      </w:r>
      <w:r w:rsidRPr="00DB07D2">
        <w:rPr>
          <w:rFonts w:eastAsia="Calibri" w:cs="Times New Roman"/>
        </w:rPr>
        <w:t>first episode of treatment (</w:t>
      </w:r>
      <w:r w:rsidR="00321B93" w:rsidRPr="00DB07D2">
        <w:rPr>
          <w:rFonts w:eastAsia="Calibri" w:cs="Times New Roman"/>
        </w:rPr>
        <w:t>i.e.</w:t>
      </w:r>
      <w:r w:rsidRPr="00DB07D2">
        <w:rPr>
          <w:rFonts w:eastAsia="Calibri" w:cs="Times New Roman"/>
        </w:rPr>
        <w:t xml:space="preserve"> up t</w:t>
      </w:r>
      <w:r>
        <w:rPr>
          <w:rFonts w:eastAsia="Calibri" w:cs="Times New Roman"/>
        </w:rPr>
        <w:t>o the first break in treatment);</w:t>
      </w:r>
    </w:p>
    <w:p w:rsidR="006055DC" w:rsidRDefault="006055DC" w:rsidP="006055DC">
      <w:pPr>
        <w:pStyle w:val="ListParagraph"/>
        <w:numPr>
          <w:ilvl w:val="0"/>
          <w:numId w:val="8"/>
        </w:numPr>
        <w:tabs>
          <w:tab w:val="left" w:pos="4058"/>
        </w:tabs>
        <w:rPr>
          <w:rFonts w:eastAsia="Calibri" w:cs="Times New Roman"/>
        </w:rPr>
      </w:pPr>
      <w:r>
        <w:rPr>
          <w:rFonts w:eastAsia="Calibri" w:cs="Times New Roman"/>
        </w:rPr>
        <w:t>all treatment excluding breaks (</w:t>
      </w:r>
      <w:r w:rsidR="00321B93">
        <w:rPr>
          <w:rFonts w:eastAsia="Calibri" w:cs="Times New Roman"/>
        </w:rPr>
        <w:t>i.e.</w:t>
      </w:r>
      <w:r>
        <w:rPr>
          <w:rFonts w:eastAsia="Calibri" w:cs="Times New Roman"/>
        </w:rPr>
        <w:t xml:space="preserve"> the sum of all episodes); and</w:t>
      </w:r>
    </w:p>
    <w:p w:rsidR="006055DC" w:rsidRPr="00DB07D2" w:rsidRDefault="006055DC" w:rsidP="006055DC">
      <w:pPr>
        <w:pStyle w:val="ListParagraph"/>
        <w:numPr>
          <w:ilvl w:val="0"/>
          <w:numId w:val="8"/>
        </w:numPr>
        <w:tabs>
          <w:tab w:val="left" w:pos="4058"/>
        </w:tabs>
        <w:rPr>
          <w:rFonts w:eastAsia="Calibri" w:cs="Times New Roman"/>
        </w:rPr>
      </w:pPr>
      <w:r>
        <w:rPr>
          <w:rFonts w:eastAsia="Calibri" w:cs="Times New Roman"/>
        </w:rPr>
        <w:t>all treatment including breaks (</w:t>
      </w:r>
      <w:r w:rsidR="00321B93">
        <w:rPr>
          <w:rFonts w:eastAsia="Calibri" w:cs="Times New Roman"/>
        </w:rPr>
        <w:t>i.e.</w:t>
      </w:r>
      <w:r>
        <w:rPr>
          <w:rFonts w:eastAsia="Calibri" w:cs="Times New Roman"/>
        </w:rPr>
        <w:t xml:space="preserve"> the time from the first </w:t>
      </w:r>
      <w:r w:rsidRPr="00246FA2">
        <w:rPr>
          <w:rFonts w:eastAsia="Calibri" w:cs="Times New Roman"/>
        </w:rPr>
        <w:t>prescription</w:t>
      </w:r>
      <w:r>
        <w:rPr>
          <w:rFonts w:eastAsia="Calibri" w:cs="Times New Roman"/>
        </w:rPr>
        <w:t xml:space="preserve"> of the first episode to the last </w:t>
      </w:r>
      <w:r w:rsidRPr="00246FA2">
        <w:rPr>
          <w:rFonts w:eastAsia="Calibri" w:cs="Times New Roman"/>
        </w:rPr>
        <w:t xml:space="preserve">prescription </w:t>
      </w:r>
      <w:r>
        <w:rPr>
          <w:rFonts w:eastAsia="Calibri" w:cs="Times New Roman"/>
        </w:rPr>
        <w:t>of the last episode plus one SCD (</w:t>
      </w:r>
      <w:r w:rsidR="00321B93">
        <w:rPr>
          <w:rFonts w:eastAsia="Calibri" w:cs="Times New Roman"/>
        </w:rPr>
        <w:t>i.e.</w:t>
      </w:r>
      <w:r>
        <w:rPr>
          <w:rFonts w:eastAsia="Calibri" w:cs="Times New Roman"/>
        </w:rPr>
        <w:t xml:space="preserve"> the coverage of the last </w:t>
      </w:r>
      <w:r w:rsidRPr="00246FA2">
        <w:rPr>
          <w:rFonts w:eastAsia="Calibri" w:cs="Times New Roman"/>
        </w:rPr>
        <w:t>prescription</w:t>
      </w:r>
      <w:r>
        <w:rPr>
          <w:rFonts w:eastAsia="Calibri" w:cs="Times New Roman"/>
        </w:rPr>
        <w:t>).</w:t>
      </w:r>
    </w:p>
    <w:p w:rsidR="006055DC" w:rsidRDefault="006055DC" w:rsidP="006055DC">
      <w:pPr>
        <w:rPr>
          <w:rFonts w:eastAsia="Calibri" w:cs="Times New Roman"/>
        </w:rPr>
      </w:pPr>
      <w:r>
        <w:rPr>
          <w:rFonts w:eastAsia="Calibri" w:cs="Times New Roman"/>
        </w:rPr>
        <w:t>When two</w:t>
      </w:r>
      <w:r w:rsidRPr="005525B5">
        <w:rPr>
          <w:rFonts w:eastAsia="Calibri" w:cs="Times New Roman"/>
        </w:rPr>
        <w:t xml:space="preserve"> different strengths</w:t>
      </w:r>
      <w:r>
        <w:rPr>
          <w:rFonts w:eastAsia="Calibri" w:cs="Times New Roman"/>
        </w:rPr>
        <w:t xml:space="preserve"> (</w:t>
      </w:r>
      <w:r w:rsidR="00321B93">
        <w:rPr>
          <w:rFonts w:eastAsia="Calibri" w:cs="Times New Roman"/>
        </w:rPr>
        <w:t>i.e.</w:t>
      </w:r>
      <w:r>
        <w:rPr>
          <w:rFonts w:eastAsia="Calibri" w:cs="Times New Roman"/>
        </w:rPr>
        <w:t xml:space="preserve"> PBS items)</w:t>
      </w:r>
      <w:r w:rsidRPr="005525B5">
        <w:rPr>
          <w:rFonts w:eastAsia="Calibri" w:cs="Times New Roman"/>
        </w:rPr>
        <w:t xml:space="preserve"> </w:t>
      </w:r>
      <w:r>
        <w:rPr>
          <w:rFonts w:eastAsia="Calibri" w:cs="Times New Roman"/>
        </w:rPr>
        <w:t>of the same drug were</w:t>
      </w:r>
      <w:r w:rsidRPr="005525B5">
        <w:rPr>
          <w:rFonts w:eastAsia="Calibri" w:cs="Times New Roman"/>
        </w:rPr>
        <w:t xml:space="preserve"> supplied on the same day </w:t>
      </w:r>
      <w:r>
        <w:rPr>
          <w:rFonts w:eastAsia="Calibri" w:cs="Times New Roman"/>
        </w:rPr>
        <w:t>it wa</w:t>
      </w:r>
      <w:r w:rsidRPr="005525B5">
        <w:rPr>
          <w:rFonts w:eastAsia="Calibri" w:cs="Times New Roman"/>
        </w:rPr>
        <w:t>s assumed that these strength</w:t>
      </w:r>
      <w:r>
        <w:rPr>
          <w:rFonts w:eastAsia="Calibri" w:cs="Times New Roman"/>
        </w:rPr>
        <w:t>s</w:t>
      </w:r>
      <w:r w:rsidRPr="005525B5">
        <w:rPr>
          <w:rFonts w:eastAsia="Calibri" w:cs="Times New Roman"/>
        </w:rPr>
        <w:t xml:space="preserve"> </w:t>
      </w:r>
      <w:r>
        <w:rPr>
          <w:rFonts w:eastAsia="Calibri" w:cs="Times New Roman"/>
        </w:rPr>
        <w:t>were</w:t>
      </w:r>
      <w:r w:rsidRPr="005525B5">
        <w:rPr>
          <w:rFonts w:eastAsia="Calibri" w:cs="Times New Roman"/>
        </w:rPr>
        <w:t xml:space="preserve"> taken concurrently</w:t>
      </w:r>
      <w:r>
        <w:rPr>
          <w:rFonts w:eastAsia="Calibri" w:cs="Times New Roman"/>
        </w:rPr>
        <w:t xml:space="preserve"> (</w:t>
      </w:r>
      <w:r w:rsidR="00321B93">
        <w:rPr>
          <w:rFonts w:eastAsia="Calibri" w:cs="Times New Roman"/>
        </w:rPr>
        <w:t>i.e.</w:t>
      </w:r>
      <w:r>
        <w:rPr>
          <w:rFonts w:eastAsia="Calibri" w:cs="Times New Roman"/>
        </w:rPr>
        <w:t xml:space="preserve"> were necessary to achieve the prescribed dose). This is not considered stockpiling.</w:t>
      </w:r>
    </w:p>
    <w:p w:rsidR="006055DC" w:rsidRPr="00C11021" w:rsidRDefault="006055DC" w:rsidP="006055DC">
      <w:pPr>
        <w:pStyle w:val="Heading2"/>
      </w:pPr>
      <w:r w:rsidRPr="006055DC">
        <w:t>Stockpiling</w:t>
      </w:r>
    </w:p>
    <w:p w:rsidR="006055DC" w:rsidRPr="005525B5" w:rsidRDefault="006055DC" w:rsidP="006055DC">
      <w:pPr>
        <w:rPr>
          <w:rFonts w:eastAsia="Calibri" w:cs="Times New Roman"/>
        </w:rPr>
      </w:pPr>
      <w:r w:rsidRPr="005525B5">
        <w:rPr>
          <w:rFonts w:eastAsia="Calibri" w:cs="Times New Roman"/>
        </w:rPr>
        <w:t xml:space="preserve">In previous KM analyses performed by DUSC the issues of </w:t>
      </w:r>
      <w:r>
        <w:rPr>
          <w:rFonts w:eastAsia="Calibri" w:cs="Times New Roman"/>
        </w:rPr>
        <w:t xml:space="preserve">both </w:t>
      </w:r>
      <w:r w:rsidRPr="005525B5">
        <w:rPr>
          <w:rFonts w:eastAsia="Calibri" w:cs="Times New Roman"/>
        </w:rPr>
        <w:t>same-day and non-same-day stockpiling of supplies has been addressed. Non-same-day stockpiling is when a patient gets the next supply of a drug earlier than expected (</w:t>
      </w:r>
      <w:r w:rsidR="00321B93" w:rsidRPr="005525B5">
        <w:rPr>
          <w:rFonts w:eastAsia="Calibri" w:cs="Times New Roman"/>
        </w:rPr>
        <w:t>i.e.</w:t>
      </w:r>
      <w:r w:rsidRPr="005525B5">
        <w:rPr>
          <w:rFonts w:eastAsia="Calibri" w:cs="Times New Roman"/>
        </w:rPr>
        <w:t xml:space="preserve"> before the median time to re-supply). This most commonly occurs late in the calendar year when a patient is on the PBS Safety Net. The risk of not allowing for this is that a break in treatment may be imputed for a patient early in the calendar year, where in fact the patient is simply consuming the stockpiled drug. The trade-off risk of allowing for non-same-day stockpiling is that a patient may consistently have a less than median time to re-supply (</w:t>
      </w:r>
      <w:r w:rsidR="00321B93" w:rsidRPr="005525B5">
        <w:rPr>
          <w:rFonts w:eastAsia="Calibri" w:cs="Times New Roman"/>
        </w:rPr>
        <w:t>e.g.</w:t>
      </w:r>
      <w:r w:rsidRPr="005525B5">
        <w:rPr>
          <w:rFonts w:eastAsia="Calibri" w:cs="Times New Roman"/>
        </w:rPr>
        <w:t xml:space="preserve"> because they have a high prescribed dose) and so the imputed coverage end date gets to be significant further than the real coverage end date. This means a break in treatment may be missed. In this KM analysis non-same-day stockpiling was not allowed for because the risk of stockpiling of these drugs was considered low</w:t>
      </w:r>
      <w:r>
        <w:rPr>
          <w:rFonts w:eastAsia="Calibri" w:cs="Times New Roman"/>
        </w:rPr>
        <w:t>.</w:t>
      </w:r>
    </w:p>
    <w:p w:rsidR="006055DC" w:rsidRDefault="006055DC" w:rsidP="006055DC">
      <w:r w:rsidRPr="005525B5">
        <w:rPr>
          <w:rFonts w:eastAsia="Calibri" w:cs="Times New Roman"/>
        </w:rPr>
        <w:t>Same-day stockpiling is deemed to have occurred when there are multiple supplies of the same PBS item on the same day. Supplies of different strengths on the same day is deemed to be necessary for the supply of the prescribed dose and so not considered to be stockpiling. Multiple supplies of the same strength on the same day are most likely due to stockpiling (</w:t>
      </w:r>
      <w:r w:rsidR="00321B93" w:rsidRPr="005525B5">
        <w:rPr>
          <w:rFonts w:eastAsia="Calibri" w:cs="Times New Roman"/>
        </w:rPr>
        <w:t>i.e.</w:t>
      </w:r>
      <w:r w:rsidRPr="005525B5">
        <w:rPr>
          <w:rFonts w:eastAsia="Calibri" w:cs="Times New Roman"/>
        </w:rPr>
        <w:t xml:space="preserve"> if such a quantity were required for the prescribed dose then the prescriber should have requested an increased maximum quantity). Thus same-day stockpiling is taken into account in this analysis.</w:t>
      </w:r>
      <w:r>
        <w:t xml:space="preserve"> </w:t>
      </w:r>
    </w:p>
    <w:p w:rsidR="0020129D" w:rsidRDefault="0020129D">
      <w:pPr>
        <w:spacing w:line="276" w:lineRule="auto"/>
        <w:rPr>
          <w:rFonts w:eastAsiaTheme="majorEastAsia" w:cstheme="majorBidi"/>
          <w:b/>
          <w:bCs/>
          <w:sz w:val="32"/>
          <w:szCs w:val="32"/>
        </w:rPr>
      </w:pPr>
      <w:r>
        <w:br w:type="page"/>
      </w:r>
    </w:p>
    <w:p w:rsidR="00FE645A" w:rsidRDefault="00A4020E" w:rsidP="001B4788">
      <w:pPr>
        <w:pStyle w:val="Heading3"/>
      </w:pPr>
      <w:r w:rsidRPr="00A4020E">
        <w:t>Disclaimer</w:t>
      </w:r>
    </w:p>
    <w:p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rsidR="000B268E" w:rsidRPr="000B268E" w:rsidRDefault="000B268E" w:rsidP="00125FC2">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rsidR="000B268E" w:rsidRPr="000B268E" w:rsidRDefault="000B268E" w:rsidP="00125FC2">
      <w:r w:rsidRPr="000B268E">
        <w:t xml:space="preserve">To the extent provided by law, DoH makes no warranties or representations as to accuracy or completeness of information contained in this report. </w:t>
      </w:r>
    </w:p>
    <w:p w:rsidR="005C4023" w:rsidRPr="000B268E" w:rsidRDefault="000B268E" w:rsidP="00125FC2">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945324">
      <w:headerReference w:type="even" r:id="rId11"/>
      <w:headerReference w:type="default" r:id="rId12"/>
      <w:footerReference w:type="even" r:id="rId13"/>
      <w:footerReference w:type="default" r:id="rId14"/>
      <w:headerReference w:type="first" r:id="rId15"/>
      <w:footerReference w:type="first" r:id="rId1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8C" w:rsidRDefault="0084678C" w:rsidP="00A35800">
      <w:r>
        <w:separator/>
      </w:r>
    </w:p>
  </w:endnote>
  <w:endnote w:type="continuationSeparator" w:id="0">
    <w:p w:rsidR="0084678C" w:rsidRDefault="0084678C"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75" w:rsidRDefault="00163075"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63075" w:rsidRDefault="00163075"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rsidR="00163075" w:rsidRPr="00CB6ABE" w:rsidRDefault="00163075" w:rsidP="00CB6ABE">
            <w:pPr>
              <w:pStyle w:val="Footer"/>
              <w:jc w:val="center"/>
              <w:rPr>
                <w:i/>
                <w:sz w:val="20"/>
                <w:szCs w:val="20"/>
              </w:rPr>
            </w:pPr>
            <w:r>
              <w:rPr>
                <w:i/>
                <w:sz w:val="20"/>
                <w:szCs w:val="20"/>
              </w:rPr>
              <w:t>Public Release Document, Month Year DUSC Meeting</w:t>
            </w:r>
          </w:p>
          <w:p w:rsidR="00163075" w:rsidRDefault="00163075"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84678C">
              <w:rPr>
                <w:bCs/>
                <w:i/>
                <w:noProof/>
                <w:sz w:val="20"/>
                <w:szCs w:val="20"/>
              </w:rPr>
              <w:t>16</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84678C">
              <w:rPr>
                <w:bCs/>
                <w:i/>
                <w:noProof/>
                <w:sz w:val="20"/>
                <w:szCs w:val="20"/>
              </w:rPr>
              <w:t>20</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075" w:rsidRDefault="00163075">
    <w:pPr>
      <w:pStyle w:val="Footer"/>
    </w:pPr>
    <w:r>
      <w:t>Last updated 3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8C" w:rsidRDefault="0084678C" w:rsidP="00A35800">
      <w:r>
        <w:separator/>
      </w:r>
    </w:p>
  </w:footnote>
  <w:footnote w:type="continuationSeparator" w:id="0">
    <w:p w:rsidR="0084678C" w:rsidRDefault="0084678C" w:rsidP="00A35800">
      <w:r>
        <w:continuationSeparator/>
      </w:r>
    </w:p>
  </w:footnote>
  <w:footnote w:id="1">
    <w:p w:rsidR="00163075" w:rsidRDefault="00163075" w:rsidP="00E060A9">
      <w:pPr>
        <w:pStyle w:val="FootnoteText"/>
      </w:pPr>
      <w:r>
        <w:rPr>
          <w:rStyle w:val="FootnoteReference"/>
        </w:rPr>
        <w:footnoteRef/>
      </w:r>
      <w:r>
        <w:t xml:space="preserve"> Dutasteride (Avodart) Product Information. Available from </w:t>
      </w:r>
      <w:hyperlink r:id="rId1" w:history="1">
        <w:r w:rsidRPr="008616AB">
          <w:rPr>
            <w:rStyle w:val="Hyperlink"/>
          </w:rPr>
          <w:t>https://www.ebs.tga.gov.au</w:t>
        </w:r>
      </w:hyperlink>
      <w:r>
        <w:t>, Accessed 2 Mar 2015</w:t>
      </w:r>
    </w:p>
  </w:footnote>
  <w:footnote w:id="2">
    <w:p w:rsidR="00163075" w:rsidRDefault="00163075" w:rsidP="00E060A9">
      <w:pPr>
        <w:pStyle w:val="FootnoteText"/>
      </w:pPr>
      <w:r>
        <w:rPr>
          <w:rStyle w:val="FootnoteReference"/>
        </w:rPr>
        <w:footnoteRef/>
      </w:r>
      <w:r>
        <w:t xml:space="preserve"> Dutasteride and tamsulosin (Duodart) Product Information. Available from </w:t>
      </w:r>
      <w:hyperlink r:id="rId2" w:history="1">
        <w:r w:rsidRPr="008616AB">
          <w:rPr>
            <w:rStyle w:val="Hyperlink"/>
          </w:rPr>
          <w:t>https://www.ebs.tga.gov.au</w:t>
        </w:r>
      </w:hyperlink>
      <w:r>
        <w:t>, Accessed 2 Mar 2015</w:t>
      </w:r>
    </w:p>
  </w:footnote>
  <w:footnote w:id="3">
    <w:p w:rsidR="00163075" w:rsidRDefault="00163075" w:rsidP="00E060A9">
      <w:pPr>
        <w:pStyle w:val="FootnoteText"/>
      </w:pPr>
      <w:r>
        <w:rPr>
          <w:rStyle w:val="FootnoteReference"/>
        </w:rPr>
        <w:footnoteRef/>
      </w:r>
      <w:r>
        <w:t xml:space="preserve"> Dutasteride (Avodart) Consumer Medicine Information. Available from </w:t>
      </w:r>
      <w:hyperlink r:id="rId3" w:history="1">
        <w:r w:rsidRPr="008616AB">
          <w:rPr>
            <w:rStyle w:val="Hyperlink"/>
          </w:rPr>
          <w:t>https://www.ebs.tga.gov.au</w:t>
        </w:r>
      </w:hyperlink>
      <w:r>
        <w:t>, Accessed 2 Mar 2015</w:t>
      </w:r>
    </w:p>
  </w:footnote>
  <w:footnote w:id="4">
    <w:p w:rsidR="00163075" w:rsidRDefault="00163075" w:rsidP="00E060A9">
      <w:pPr>
        <w:pStyle w:val="FootnoteText"/>
      </w:pPr>
      <w:r>
        <w:rPr>
          <w:rStyle w:val="FootnoteReference"/>
        </w:rPr>
        <w:footnoteRef/>
      </w:r>
      <w:r>
        <w:t xml:space="preserve"> Dutasteride with tamsulosin (Duodart) Consumer Medicine Information. Available from </w:t>
      </w:r>
      <w:hyperlink r:id="rId4" w:history="1">
        <w:r w:rsidRPr="008616AB">
          <w:rPr>
            <w:rStyle w:val="Hyperlink"/>
          </w:rPr>
          <w:t>https://www.ebs.tga.gov.au</w:t>
        </w:r>
      </w:hyperlink>
      <w:r>
        <w:t>, Accessed 2 Mar 2015</w:t>
      </w:r>
    </w:p>
    <w:p w:rsidR="00163075" w:rsidRDefault="00163075" w:rsidP="00E060A9">
      <w:pPr>
        <w:pStyle w:val="FootnoteText"/>
      </w:pPr>
    </w:p>
  </w:footnote>
  <w:footnote w:id="5">
    <w:p w:rsidR="00163075" w:rsidRDefault="00163075" w:rsidP="003E1C46">
      <w:pPr>
        <w:pStyle w:val="ListParagraph"/>
        <w:ind w:left="0"/>
      </w:pPr>
      <w:r w:rsidRPr="00083F99">
        <w:rPr>
          <w:rStyle w:val="FootnoteReference"/>
          <w:sz w:val="18"/>
          <w:szCs w:val="18"/>
        </w:rPr>
        <w:footnoteRef/>
      </w:r>
      <w:r w:rsidRPr="00083F99">
        <w:rPr>
          <w:sz w:val="18"/>
          <w:szCs w:val="18"/>
        </w:rPr>
        <w:t xml:space="preserve"> </w:t>
      </w:r>
      <w:r w:rsidRPr="00665593">
        <w:rPr>
          <w:i/>
          <w:iCs/>
          <w:sz w:val="18"/>
          <w:szCs w:val="18"/>
        </w:rPr>
        <w:t>AMH Aged Care Companion</w:t>
      </w:r>
      <w:r w:rsidRPr="00665593">
        <w:rPr>
          <w:sz w:val="18"/>
          <w:szCs w:val="18"/>
        </w:rPr>
        <w:t> 2014, Australian Medicines Handbook Pty Ltd; Adelaide.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8C" w:rsidRDefault="008467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8C" w:rsidRDefault="008467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78C" w:rsidRDefault="008467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D60F6"/>
    <w:multiLevelType w:val="hybridMultilevel"/>
    <w:tmpl w:val="FD683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B220000"/>
    <w:multiLevelType w:val="hybridMultilevel"/>
    <w:tmpl w:val="58DA3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34B83EDF"/>
    <w:multiLevelType w:val="hybridMultilevel"/>
    <w:tmpl w:val="868C1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22B1FC7"/>
    <w:multiLevelType w:val="hybridMultilevel"/>
    <w:tmpl w:val="B222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4BB08C3"/>
    <w:multiLevelType w:val="hybridMultilevel"/>
    <w:tmpl w:val="D70218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D251DA3"/>
    <w:multiLevelType w:val="hybridMultilevel"/>
    <w:tmpl w:val="5A224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1AD7C88"/>
    <w:multiLevelType w:val="hybridMultilevel"/>
    <w:tmpl w:val="74102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0"/>
  </w:num>
  <w:num w:numId="4">
    <w:abstractNumId w:val="3"/>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62FB"/>
    <w:rsid w:val="0001288E"/>
    <w:rsid w:val="00017C5A"/>
    <w:rsid w:val="00022617"/>
    <w:rsid w:val="00046D7D"/>
    <w:rsid w:val="00046E5B"/>
    <w:rsid w:val="00051A07"/>
    <w:rsid w:val="0005619F"/>
    <w:rsid w:val="00071EA0"/>
    <w:rsid w:val="00083EF1"/>
    <w:rsid w:val="000930FC"/>
    <w:rsid w:val="000933D3"/>
    <w:rsid w:val="00094B95"/>
    <w:rsid w:val="00094DCF"/>
    <w:rsid w:val="00095D51"/>
    <w:rsid w:val="000A1CFD"/>
    <w:rsid w:val="000B268E"/>
    <w:rsid w:val="000B796C"/>
    <w:rsid w:val="000C6E5D"/>
    <w:rsid w:val="000C7D8B"/>
    <w:rsid w:val="000D7BBC"/>
    <w:rsid w:val="000E295D"/>
    <w:rsid w:val="000E485D"/>
    <w:rsid w:val="000E5482"/>
    <w:rsid w:val="000F20EC"/>
    <w:rsid w:val="000F22BC"/>
    <w:rsid w:val="000F2F51"/>
    <w:rsid w:val="000F760B"/>
    <w:rsid w:val="00100D01"/>
    <w:rsid w:val="00110E59"/>
    <w:rsid w:val="00112FB2"/>
    <w:rsid w:val="00113D74"/>
    <w:rsid w:val="00117C5C"/>
    <w:rsid w:val="00120A9B"/>
    <w:rsid w:val="00125FC2"/>
    <w:rsid w:val="00130892"/>
    <w:rsid w:val="001327FB"/>
    <w:rsid w:val="001354DE"/>
    <w:rsid w:val="001420B3"/>
    <w:rsid w:val="0014260F"/>
    <w:rsid w:val="0015691C"/>
    <w:rsid w:val="001577A1"/>
    <w:rsid w:val="00163075"/>
    <w:rsid w:val="001714FD"/>
    <w:rsid w:val="00174183"/>
    <w:rsid w:val="001759EC"/>
    <w:rsid w:val="001B4788"/>
    <w:rsid w:val="001B50CA"/>
    <w:rsid w:val="001B5D37"/>
    <w:rsid w:val="001C2785"/>
    <w:rsid w:val="001C4016"/>
    <w:rsid w:val="001D2DCB"/>
    <w:rsid w:val="001D390D"/>
    <w:rsid w:val="001E31A6"/>
    <w:rsid w:val="001E7511"/>
    <w:rsid w:val="001E759A"/>
    <w:rsid w:val="001F2C97"/>
    <w:rsid w:val="001F2F3E"/>
    <w:rsid w:val="0020129D"/>
    <w:rsid w:val="00203EB1"/>
    <w:rsid w:val="00205B41"/>
    <w:rsid w:val="002104AA"/>
    <w:rsid w:val="00214013"/>
    <w:rsid w:val="00215730"/>
    <w:rsid w:val="0023366D"/>
    <w:rsid w:val="0024294B"/>
    <w:rsid w:val="00246E34"/>
    <w:rsid w:val="002509D5"/>
    <w:rsid w:val="00250FB8"/>
    <w:rsid w:val="00250FCC"/>
    <w:rsid w:val="00252D19"/>
    <w:rsid w:val="00256A40"/>
    <w:rsid w:val="00275D5A"/>
    <w:rsid w:val="002801FD"/>
    <w:rsid w:val="00283076"/>
    <w:rsid w:val="0028594C"/>
    <w:rsid w:val="00293430"/>
    <w:rsid w:val="002B2FC3"/>
    <w:rsid w:val="002C4942"/>
    <w:rsid w:val="002C586B"/>
    <w:rsid w:val="002C6E0C"/>
    <w:rsid w:val="002D472A"/>
    <w:rsid w:val="002E3337"/>
    <w:rsid w:val="002F49A8"/>
    <w:rsid w:val="002F5158"/>
    <w:rsid w:val="002F61CA"/>
    <w:rsid w:val="002F63ED"/>
    <w:rsid w:val="0030749C"/>
    <w:rsid w:val="003136EA"/>
    <w:rsid w:val="00313B8D"/>
    <w:rsid w:val="00321B93"/>
    <w:rsid w:val="003370D0"/>
    <w:rsid w:val="00340F95"/>
    <w:rsid w:val="00343204"/>
    <w:rsid w:val="00347CBC"/>
    <w:rsid w:val="0035296F"/>
    <w:rsid w:val="003529E0"/>
    <w:rsid w:val="003531ED"/>
    <w:rsid w:val="00353CF9"/>
    <w:rsid w:val="0038097B"/>
    <w:rsid w:val="003811C7"/>
    <w:rsid w:val="00387035"/>
    <w:rsid w:val="0039017F"/>
    <w:rsid w:val="00391F2D"/>
    <w:rsid w:val="00395FD3"/>
    <w:rsid w:val="003A28E6"/>
    <w:rsid w:val="003D6756"/>
    <w:rsid w:val="003E052C"/>
    <w:rsid w:val="003E1C46"/>
    <w:rsid w:val="003E4221"/>
    <w:rsid w:val="003F2C10"/>
    <w:rsid w:val="004451B2"/>
    <w:rsid w:val="00462FF4"/>
    <w:rsid w:val="00481108"/>
    <w:rsid w:val="0049042B"/>
    <w:rsid w:val="004A458E"/>
    <w:rsid w:val="004B23E7"/>
    <w:rsid w:val="004B306F"/>
    <w:rsid w:val="004B552B"/>
    <w:rsid w:val="004C3186"/>
    <w:rsid w:val="004C5042"/>
    <w:rsid w:val="004D14BD"/>
    <w:rsid w:val="004D4D31"/>
    <w:rsid w:val="004E4FE2"/>
    <w:rsid w:val="004F1E15"/>
    <w:rsid w:val="004F5D39"/>
    <w:rsid w:val="00503998"/>
    <w:rsid w:val="0050623B"/>
    <w:rsid w:val="00513949"/>
    <w:rsid w:val="005300B4"/>
    <w:rsid w:val="005339F6"/>
    <w:rsid w:val="00543CF8"/>
    <w:rsid w:val="00561CB4"/>
    <w:rsid w:val="0057130B"/>
    <w:rsid w:val="00585DF4"/>
    <w:rsid w:val="00591512"/>
    <w:rsid w:val="005975C1"/>
    <w:rsid w:val="005C25A2"/>
    <w:rsid w:val="005C2AE7"/>
    <w:rsid w:val="005C4023"/>
    <w:rsid w:val="005C55C6"/>
    <w:rsid w:val="005C597F"/>
    <w:rsid w:val="005C66AD"/>
    <w:rsid w:val="005D436A"/>
    <w:rsid w:val="005E147D"/>
    <w:rsid w:val="005E22C2"/>
    <w:rsid w:val="005F26A0"/>
    <w:rsid w:val="006055DC"/>
    <w:rsid w:val="00606906"/>
    <w:rsid w:val="0062148D"/>
    <w:rsid w:val="0063021F"/>
    <w:rsid w:val="00630A50"/>
    <w:rsid w:val="00630CA0"/>
    <w:rsid w:val="00631A88"/>
    <w:rsid w:val="0063254F"/>
    <w:rsid w:val="00633650"/>
    <w:rsid w:val="00635817"/>
    <w:rsid w:val="0063631C"/>
    <w:rsid w:val="00645D51"/>
    <w:rsid w:val="006537D9"/>
    <w:rsid w:val="00664DF6"/>
    <w:rsid w:val="00665DEF"/>
    <w:rsid w:val="00675BB1"/>
    <w:rsid w:val="0069451E"/>
    <w:rsid w:val="006A44F5"/>
    <w:rsid w:val="006B4537"/>
    <w:rsid w:val="006B4A29"/>
    <w:rsid w:val="006B709B"/>
    <w:rsid w:val="006C4620"/>
    <w:rsid w:val="006D0764"/>
    <w:rsid w:val="006E0181"/>
    <w:rsid w:val="006F4851"/>
    <w:rsid w:val="00705309"/>
    <w:rsid w:val="00705DAD"/>
    <w:rsid w:val="007247B9"/>
    <w:rsid w:val="00725E3E"/>
    <w:rsid w:val="007264DB"/>
    <w:rsid w:val="00727D85"/>
    <w:rsid w:val="007346C7"/>
    <w:rsid w:val="00736041"/>
    <w:rsid w:val="007408C7"/>
    <w:rsid w:val="0075110A"/>
    <w:rsid w:val="00752C7F"/>
    <w:rsid w:val="00752EE4"/>
    <w:rsid w:val="00761ACF"/>
    <w:rsid w:val="00770AA8"/>
    <w:rsid w:val="00771819"/>
    <w:rsid w:val="00776598"/>
    <w:rsid w:val="0079348C"/>
    <w:rsid w:val="00796B2F"/>
    <w:rsid w:val="00796CB9"/>
    <w:rsid w:val="00796E84"/>
    <w:rsid w:val="007B3C3F"/>
    <w:rsid w:val="007C492E"/>
    <w:rsid w:val="007D2B3D"/>
    <w:rsid w:val="007E2500"/>
    <w:rsid w:val="007E5CE8"/>
    <w:rsid w:val="00800C2D"/>
    <w:rsid w:val="008142B4"/>
    <w:rsid w:val="00832324"/>
    <w:rsid w:val="0083662D"/>
    <w:rsid w:val="00843674"/>
    <w:rsid w:val="0084678C"/>
    <w:rsid w:val="0085256D"/>
    <w:rsid w:val="00852A4C"/>
    <w:rsid w:val="00856BB4"/>
    <w:rsid w:val="00887EFB"/>
    <w:rsid w:val="00893D52"/>
    <w:rsid w:val="00896025"/>
    <w:rsid w:val="00896403"/>
    <w:rsid w:val="00897097"/>
    <w:rsid w:val="008A682B"/>
    <w:rsid w:val="008B1B96"/>
    <w:rsid w:val="008D12F9"/>
    <w:rsid w:val="008F324C"/>
    <w:rsid w:val="00902FD0"/>
    <w:rsid w:val="009053D3"/>
    <w:rsid w:val="00905AB4"/>
    <w:rsid w:val="00906A50"/>
    <w:rsid w:val="00917613"/>
    <w:rsid w:val="0092155D"/>
    <w:rsid w:val="00924C19"/>
    <w:rsid w:val="0093111F"/>
    <w:rsid w:val="0093353F"/>
    <w:rsid w:val="00935689"/>
    <w:rsid w:val="00936412"/>
    <w:rsid w:val="009379BA"/>
    <w:rsid w:val="0094366B"/>
    <w:rsid w:val="00945324"/>
    <w:rsid w:val="00957837"/>
    <w:rsid w:val="0096189A"/>
    <w:rsid w:val="009663B6"/>
    <w:rsid w:val="009758A3"/>
    <w:rsid w:val="00980286"/>
    <w:rsid w:val="00980972"/>
    <w:rsid w:val="009957E6"/>
    <w:rsid w:val="009A4CD6"/>
    <w:rsid w:val="009A52BD"/>
    <w:rsid w:val="009A6BA7"/>
    <w:rsid w:val="009C0886"/>
    <w:rsid w:val="009C35F2"/>
    <w:rsid w:val="009C7C43"/>
    <w:rsid w:val="009C7DEB"/>
    <w:rsid w:val="009D2BB9"/>
    <w:rsid w:val="009D41C8"/>
    <w:rsid w:val="009E2173"/>
    <w:rsid w:val="009E21A7"/>
    <w:rsid w:val="009E3ED0"/>
    <w:rsid w:val="009E405B"/>
    <w:rsid w:val="009F4D9E"/>
    <w:rsid w:val="00A103ED"/>
    <w:rsid w:val="00A108F9"/>
    <w:rsid w:val="00A13C60"/>
    <w:rsid w:val="00A343D5"/>
    <w:rsid w:val="00A35800"/>
    <w:rsid w:val="00A36FA8"/>
    <w:rsid w:val="00A3777D"/>
    <w:rsid w:val="00A4020E"/>
    <w:rsid w:val="00A424AD"/>
    <w:rsid w:val="00A54DDE"/>
    <w:rsid w:val="00A55579"/>
    <w:rsid w:val="00A633B5"/>
    <w:rsid w:val="00A66F8C"/>
    <w:rsid w:val="00A832B2"/>
    <w:rsid w:val="00A84CAD"/>
    <w:rsid w:val="00A93F72"/>
    <w:rsid w:val="00AB16C2"/>
    <w:rsid w:val="00AB3733"/>
    <w:rsid w:val="00AD7D55"/>
    <w:rsid w:val="00AE4EAB"/>
    <w:rsid w:val="00AF6BB9"/>
    <w:rsid w:val="00AF6DE8"/>
    <w:rsid w:val="00B02AB9"/>
    <w:rsid w:val="00B05310"/>
    <w:rsid w:val="00B22AE8"/>
    <w:rsid w:val="00B34127"/>
    <w:rsid w:val="00B461BA"/>
    <w:rsid w:val="00B573D9"/>
    <w:rsid w:val="00B57648"/>
    <w:rsid w:val="00B624F2"/>
    <w:rsid w:val="00B9120F"/>
    <w:rsid w:val="00B924A4"/>
    <w:rsid w:val="00B95FB9"/>
    <w:rsid w:val="00BB0D1A"/>
    <w:rsid w:val="00BB1D3B"/>
    <w:rsid w:val="00BC35ED"/>
    <w:rsid w:val="00BC55C3"/>
    <w:rsid w:val="00BC68CE"/>
    <w:rsid w:val="00BD5B9D"/>
    <w:rsid w:val="00BE5D65"/>
    <w:rsid w:val="00BF238E"/>
    <w:rsid w:val="00BF6D5C"/>
    <w:rsid w:val="00C0076F"/>
    <w:rsid w:val="00C048DD"/>
    <w:rsid w:val="00C26824"/>
    <w:rsid w:val="00C41246"/>
    <w:rsid w:val="00C45E5F"/>
    <w:rsid w:val="00C5010F"/>
    <w:rsid w:val="00C60DA4"/>
    <w:rsid w:val="00C672F4"/>
    <w:rsid w:val="00C675DB"/>
    <w:rsid w:val="00C714D0"/>
    <w:rsid w:val="00C75822"/>
    <w:rsid w:val="00C81F99"/>
    <w:rsid w:val="00C87D9B"/>
    <w:rsid w:val="00C94FEA"/>
    <w:rsid w:val="00C97AFA"/>
    <w:rsid w:val="00CB005C"/>
    <w:rsid w:val="00CB16A9"/>
    <w:rsid w:val="00CB4FDE"/>
    <w:rsid w:val="00CB6ABE"/>
    <w:rsid w:val="00CD4A29"/>
    <w:rsid w:val="00CE001C"/>
    <w:rsid w:val="00CE2CDF"/>
    <w:rsid w:val="00CE417B"/>
    <w:rsid w:val="00CE759C"/>
    <w:rsid w:val="00CF1D87"/>
    <w:rsid w:val="00CF3C7F"/>
    <w:rsid w:val="00CF4E29"/>
    <w:rsid w:val="00CF6FB3"/>
    <w:rsid w:val="00D13C41"/>
    <w:rsid w:val="00D151EB"/>
    <w:rsid w:val="00D30378"/>
    <w:rsid w:val="00D344EC"/>
    <w:rsid w:val="00D40D93"/>
    <w:rsid w:val="00D43870"/>
    <w:rsid w:val="00D5677F"/>
    <w:rsid w:val="00D56BB9"/>
    <w:rsid w:val="00D62426"/>
    <w:rsid w:val="00D6439E"/>
    <w:rsid w:val="00D650CE"/>
    <w:rsid w:val="00D663E3"/>
    <w:rsid w:val="00D8758B"/>
    <w:rsid w:val="00D963BE"/>
    <w:rsid w:val="00D97EFF"/>
    <w:rsid w:val="00DA7D09"/>
    <w:rsid w:val="00DB6053"/>
    <w:rsid w:val="00DC49E9"/>
    <w:rsid w:val="00DD43E6"/>
    <w:rsid w:val="00DD70ED"/>
    <w:rsid w:val="00DE0B96"/>
    <w:rsid w:val="00DE260E"/>
    <w:rsid w:val="00DF063A"/>
    <w:rsid w:val="00DF0B13"/>
    <w:rsid w:val="00DF2D8E"/>
    <w:rsid w:val="00DF4A94"/>
    <w:rsid w:val="00E05FDC"/>
    <w:rsid w:val="00E060A9"/>
    <w:rsid w:val="00E066C3"/>
    <w:rsid w:val="00E06753"/>
    <w:rsid w:val="00E11A6D"/>
    <w:rsid w:val="00E1353A"/>
    <w:rsid w:val="00E14D65"/>
    <w:rsid w:val="00E153FC"/>
    <w:rsid w:val="00E1564B"/>
    <w:rsid w:val="00E17F16"/>
    <w:rsid w:val="00E208A0"/>
    <w:rsid w:val="00E376AA"/>
    <w:rsid w:val="00E41C8B"/>
    <w:rsid w:val="00E47DF3"/>
    <w:rsid w:val="00E55D60"/>
    <w:rsid w:val="00E628EA"/>
    <w:rsid w:val="00E677DD"/>
    <w:rsid w:val="00E85C2B"/>
    <w:rsid w:val="00E924A7"/>
    <w:rsid w:val="00E95C92"/>
    <w:rsid w:val="00EB6C07"/>
    <w:rsid w:val="00EB7520"/>
    <w:rsid w:val="00EC028D"/>
    <w:rsid w:val="00EC4C5A"/>
    <w:rsid w:val="00ED06CD"/>
    <w:rsid w:val="00ED633B"/>
    <w:rsid w:val="00ED7D15"/>
    <w:rsid w:val="00EE478C"/>
    <w:rsid w:val="00F11CFC"/>
    <w:rsid w:val="00F11DA1"/>
    <w:rsid w:val="00F134CE"/>
    <w:rsid w:val="00F34F5A"/>
    <w:rsid w:val="00F43923"/>
    <w:rsid w:val="00F54DC7"/>
    <w:rsid w:val="00F61326"/>
    <w:rsid w:val="00F66BF2"/>
    <w:rsid w:val="00F71E6D"/>
    <w:rsid w:val="00F762E2"/>
    <w:rsid w:val="00F97B23"/>
    <w:rsid w:val="00FC4A73"/>
    <w:rsid w:val="00FD13CD"/>
    <w:rsid w:val="00FD7198"/>
    <w:rsid w:val="00FE645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D40D93"/>
  </w:style>
  <w:style w:type="character" w:customStyle="1" w:styleId="FiguretitleChar">
    <w:name w:val="Figure title Char"/>
    <w:basedOn w:val="TabletitleChar"/>
    <w:link w:val="Figuretitle"/>
    <w:rsid w:val="00D40D93"/>
    <w:rPr>
      <w:rFonts w:eastAsiaTheme="majorEastAsia" w:cstheme="majorBidi"/>
      <w:b/>
      <w:bCs/>
      <w:sz w:val="24"/>
      <w:szCs w:val="24"/>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34"/>
    <w:qFormat/>
    <w:rsid w:val="00E060A9"/>
    <w:pPr>
      <w:ind w:left="720"/>
      <w:contextualSpacing/>
    </w:pPr>
  </w:style>
  <w:style w:type="paragraph" w:customStyle="1" w:styleId="Default">
    <w:name w:val="Default"/>
    <w:rsid w:val="00E060A9"/>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72"/>
    <w:rsid w:val="00E060A9"/>
    <w:rPr>
      <w:sz w:val="24"/>
      <w:szCs w:val="24"/>
    </w:rPr>
  </w:style>
  <w:style w:type="character" w:styleId="IntenseReference">
    <w:name w:val="Intense Reference"/>
    <w:basedOn w:val="DefaultParagraphFont"/>
    <w:uiPriority w:val="32"/>
    <w:qFormat/>
    <w:rsid w:val="00DF2D8E"/>
    <w:rPr>
      <w:b/>
      <w:bCs/>
      <w:i/>
      <w:smallCaps/>
      <w:color w:val="C0504D" w:themeColor="accent2"/>
      <w:spacing w:val="5"/>
      <w:u w:val="none"/>
    </w:rPr>
  </w:style>
  <w:style w:type="paragraph" w:customStyle="1" w:styleId="DepartmentalNormal">
    <w:name w:val="Departmental Normal"/>
    <w:basedOn w:val="Normal"/>
    <w:rsid w:val="00DF2D8E"/>
    <w:pPr>
      <w:spacing w:after="0"/>
    </w:pPr>
    <w:rPr>
      <w:rFonts w:ascii="Times New Roman" w:eastAsia="Times New Roman" w:hAnsi="Times New Roman" w:cs="Times New Roman"/>
      <w:szCs w:val="20"/>
    </w:rPr>
  </w:style>
  <w:style w:type="paragraph" w:customStyle="1" w:styleId="DepartmentalHeading3">
    <w:name w:val="Departmental Heading 3"/>
    <w:basedOn w:val="Heading3"/>
    <w:rsid w:val="003E1C46"/>
    <w:pPr>
      <w:keepLines w:val="0"/>
      <w:spacing w:before="240" w:after="60"/>
    </w:pPr>
    <w:rPr>
      <w:rFonts w:ascii="Arial" w:eastAsia="Times New Roman" w:hAnsi="Arial" w:cs="Times New Roman"/>
      <w:b w:val="0"/>
      <w:bCs w:val="0"/>
      <w:i/>
      <w:sz w:val="24"/>
      <w:szCs w:val="20"/>
    </w:rPr>
  </w:style>
  <w:style w:type="character" w:styleId="FollowedHyperlink">
    <w:name w:val="FollowedHyperlink"/>
    <w:basedOn w:val="DefaultParagraphFont"/>
    <w:uiPriority w:val="99"/>
    <w:semiHidden/>
    <w:unhideWhenUsed/>
    <w:rsid w:val="008F32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D40D93"/>
  </w:style>
  <w:style w:type="character" w:customStyle="1" w:styleId="FiguretitleChar">
    <w:name w:val="Figure title Char"/>
    <w:basedOn w:val="TabletitleChar"/>
    <w:link w:val="Figuretitle"/>
    <w:rsid w:val="00D40D93"/>
    <w:rPr>
      <w:rFonts w:eastAsiaTheme="majorEastAsia" w:cstheme="majorBidi"/>
      <w:b/>
      <w:bCs/>
      <w:sz w:val="24"/>
      <w:szCs w:val="24"/>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34"/>
    <w:qFormat/>
    <w:rsid w:val="00E060A9"/>
    <w:pPr>
      <w:ind w:left="720"/>
      <w:contextualSpacing/>
    </w:pPr>
  </w:style>
  <w:style w:type="paragraph" w:customStyle="1" w:styleId="Default">
    <w:name w:val="Default"/>
    <w:rsid w:val="00E060A9"/>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link w:val="ListParagraph"/>
    <w:uiPriority w:val="72"/>
    <w:rsid w:val="00E060A9"/>
    <w:rPr>
      <w:sz w:val="24"/>
      <w:szCs w:val="24"/>
    </w:rPr>
  </w:style>
  <w:style w:type="character" w:styleId="IntenseReference">
    <w:name w:val="Intense Reference"/>
    <w:basedOn w:val="DefaultParagraphFont"/>
    <w:uiPriority w:val="32"/>
    <w:qFormat/>
    <w:rsid w:val="00DF2D8E"/>
    <w:rPr>
      <w:b/>
      <w:bCs/>
      <w:i/>
      <w:smallCaps/>
      <w:color w:val="C0504D" w:themeColor="accent2"/>
      <w:spacing w:val="5"/>
      <w:u w:val="none"/>
    </w:rPr>
  </w:style>
  <w:style w:type="paragraph" w:customStyle="1" w:styleId="DepartmentalNormal">
    <w:name w:val="Departmental Normal"/>
    <w:basedOn w:val="Normal"/>
    <w:rsid w:val="00DF2D8E"/>
    <w:pPr>
      <w:spacing w:after="0"/>
    </w:pPr>
    <w:rPr>
      <w:rFonts w:ascii="Times New Roman" w:eastAsia="Times New Roman" w:hAnsi="Times New Roman" w:cs="Times New Roman"/>
      <w:szCs w:val="20"/>
    </w:rPr>
  </w:style>
  <w:style w:type="paragraph" w:customStyle="1" w:styleId="DepartmentalHeading3">
    <w:name w:val="Departmental Heading 3"/>
    <w:basedOn w:val="Heading3"/>
    <w:rsid w:val="003E1C46"/>
    <w:pPr>
      <w:keepLines w:val="0"/>
      <w:spacing w:before="240" w:after="60"/>
    </w:pPr>
    <w:rPr>
      <w:rFonts w:ascii="Arial" w:eastAsia="Times New Roman" w:hAnsi="Arial" w:cs="Times New Roman"/>
      <w:b w:val="0"/>
      <w:bCs w:val="0"/>
      <w:i/>
      <w:sz w:val="24"/>
      <w:szCs w:val="20"/>
    </w:rPr>
  </w:style>
  <w:style w:type="character" w:styleId="FollowedHyperlink">
    <w:name w:val="FollowedHyperlink"/>
    <w:basedOn w:val="DefaultParagraphFont"/>
    <w:uiPriority w:val="99"/>
    <w:semiHidden/>
    <w:unhideWhenUsed/>
    <w:rsid w:val="008F32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0227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s.tga.gov.au"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 Id="rId4" Type="http://schemas.openxmlformats.org/officeDocument/2006/relationships/hyperlink" Target="https://www.ebs.tg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BA070-03AD-46FB-8E48-92E51541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4994</Words>
  <Characters>28467</Characters>
  <Application>Microsoft Office Word</Application>
  <DocSecurity>0</DocSecurity>
  <Lines>237</Lines>
  <Paragraphs>66</Paragraphs>
  <ScaleCrop>false</ScaleCrop>
  <LinksUpToDate>false</LinksUpToDate>
  <CharactersWithSpaces>33395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2015-10-08T23:09:00Z</dcterms:created>
  <dcterms:modified xsi:type="dcterms:W3CDTF">2015-10-08T23:10:00Z</dcterms:modified>
</cp:coreProperties>
</file>