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EF741C" w:rsidP="00FE645A">
      <w:pPr>
        <w:pStyle w:val="Title"/>
      </w:pPr>
      <w:r>
        <w:t>Age Related Macular Degeneration: utilisation analysis</w:t>
      </w:r>
    </w:p>
    <w:p w:rsidR="00736041" w:rsidRDefault="009053D3" w:rsidP="00A35800">
      <w:pPr>
        <w:pStyle w:val="Heading1"/>
      </w:pPr>
      <w:r>
        <w:t>D</w:t>
      </w:r>
      <w:r w:rsidR="00832324" w:rsidRPr="0063631C">
        <w:t xml:space="preserve">rug utilisation sub-committee </w:t>
      </w:r>
      <w:r w:rsidR="00832324">
        <w:t>(DUSC)</w:t>
      </w:r>
    </w:p>
    <w:p w:rsidR="009053D3" w:rsidRPr="000C46BB" w:rsidRDefault="00111623" w:rsidP="000C46BB">
      <w:pPr>
        <w:pStyle w:val="Heading2"/>
      </w:pPr>
      <w:r>
        <w:t>June 2015</w:t>
      </w:r>
    </w:p>
    <w:p w:rsidR="005C6661" w:rsidRDefault="005C6661" w:rsidP="005C6661">
      <w:pPr>
        <w:pStyle w:val="Heading3"/>
      </w:pPr>
      <w:r>
        <w:t>Abstract</w:t>
      </w:r>
    </w:p>
    <w:p w:rsidR="005C6661" w:rsidRDefault="005C6661" w:rsidP="005C6661">
      <w:pPr>
        <w:pStyle w:val="Heading2"/>
      </w:pPr>
      <w:r>
        <w:t>Pur</w:t>
      </w:r>
      <w:bookmarkStart w:id="0" w:name="_GoBack"/>
      <w:bookmarkEnd w:id="0"/>
      <w:r>
        <w:t>pose</w:t>
      </w:r>
    </w:p>
    <w:p w:rsidR="00BC3060" w:rsidRDefault="00BC3060" w:rsidP="00BC3060">
      <w:pPr>
        <w:pStyle w:val="NoSpacing"/>
      </w:pPr>
      <w:r>
        <w:t>To assess the utilisation of PBS listed medicines for age related macular degeneration (AMD), including a 24 month predicted versus actual analysis of aflibercept (listed 1 December 2012).</w:t>
      </w:r>
    </w:p>
    <w:p w:rsidR="002D144A" w:rsidRDefault="002D144A" w:rsidP="005C6661">
      <w:pPr>
        <w:pStyle w:val="Heading2"/>
      </w:pPr>
      <w:r>
        <w:t>Date of listing on the P</w:t>
      </w:r>
      <w:r w:rsidR="00A95FA5">
        <w:t xml:space="preserve">harmaceutical </w:t>
      </w:r>
      <w:r>
        <w:t>B</w:t>
      </w:r>
      <w:r w:rsidR="00A95FA5">
        <w:t xml:space="preserve">enefits </w:t>
      </w:r>
      <w:r>
        <w:t>S</w:t>
      </w:r>
      <w:r w:rsidR="00A95FA5">
        <w:t>cheme (PBS)</w:t>
      </w:r>
    </w:p>
    <w:p w:rsidR="002D144A" w:rsidRDefault="00820309" w:rsidP="00820309">
      <w:pPr>
        <w:pStyle w:val="ListParagraph"/>
        <w:numPr>
          <w:ilvl w:val="0"/>
          <w:numId w:val="4"/>
        </w:numPr>
      </w:pPr>
      <w:r>
        <w:t>Ranibizumab listed 1 August 2007</w:t>
      </w:r>
    </w:p>
    <w:p w:rsidR="00820309" w:rsidRPr="002D144A" w:rsidRDefault="00820309" w:rsidP="00820309">
      <w:pPr>
        <w:pStyle w:val="ListParagraph"/>
        <w:numPr>
          <w:ilvl w:val="0"/>
          <w:numId w:val="4"/>
        </w:numPr>
      </w:pPr>
      <w:r>
        <w:t>Aflibercept listed 1 December 2012</w:t>
      </w:r>
    </w:p>
    <w:p w:rsidR="005C6661" w:rsidRDefault="005C6661" w:rsidP="005C6661">
      <w:pPr>
        <w:pStyle w:val="Heading2"/>
      </w:pPr>
      <w:r>
        <w:t>Data Source / methodology</w:t>
      </w:r>
    </w:p>
    <w:p w:rsidR="00820309" w:rsidRDefault="00820309" w:rsidP="00820309">
      <w:pPr>
        <w:pStyle w:val="NoSpacing"/>
      </w:pPr>
      <w:r>
        <w:t xml:space="preserve">Data </w:t>
      </w:r>
      <w:r w:rsidRPr="00143FC1">
        <w:t xml:space="preserve">were extracted from </w:t>
      </w:r>
      <w:r>
        <w:t xml:space="preserve">the </w:t>
      </w:r>
      <w:r w:rsidRPr="00143FC1">
        <w:t xml:space="preserve">Department of Human Services </w:t>
      </w:r>
      <w:r>
        <w:t xml:space="preserve">(DHS) </w:t>
      </w:r>
      <w:r w:rsidRPr="00143FC1">
        <w:t>Medicare Pharmacy Claims database</w:t>
      </w:r>
      <w:r w:rsidRPr="00143FC1" w:rsidDel="002136B0">
        <w:t xml:space="preserve"> </w:t>
      </w:r>
      <w:r w:rsidRPr="00143FC1">
        <w:t xml:space="preserve">for the period </w:t>
      </w:r>
      <w:r>
        <w:t>August 2007</w:t>
      </w:r>
      <w:r w:rsidRPr="00143FC1">
        <w:t xml:space="preserve"> </w:t>
      </w:r>
      <w:r w:rsidRPr="002D325D">
        <w:t xml:space="preserve">to </w:t>
      </w:r>
      <w:r>
        <w:t>December 2014</w:t>
      </w:r>
      <w:r w:rsidRPr="00143FC1">
        <w:t>, inclusive.</w:t>
      </w:r>
      <w:r>
        <w:t xml:space="preserve"> </w:t>
      </w:r>
    </w:p>
    <w:p w:rsidR="005C6661" w:rsidRPr="009F29EB" w:rsidRDefault="005C6661" w:rsidP="005C6661">
      <w:pPr>
        <w:pStyle w:val="Heading2"/>
      </w:pPr>
      <w:r>
        <w:t>Key Findings</w:t>
      </w:r>
    </w:p>
    <w:p w:rsidR="00820309" w:rsidRPr="009F29EB" w:rsidRDefault="00820309" w:rsidP="00820309">
      <w:pPr>
        <w:pStyle w:val="NoSpacing"/>
        <w:numPr>
          <w:ilvl w:val="0"/>
          <w:numId w:val="1"/>
        </w:numPr>
      </w:pPr>
      <w:r w:rsidRPr="009F29EB">
        <w:t xml:space="preserve">In 2014, 36,739 patients received at least one treatment for AMD. A total of 249,772 injections of aflibercept and ranibizumab were supplied through the PBS at a cost to Government of about $250 million.   </w:t>
      </w:r>
    </w:p>
    <w:p w:rsidR="00820309" w:rsidRPr="009F29EB" w:rsidRDefault="00820309" w:rsidP="00820309">
      <w:pPr>
        <w:pStyle w:val="NoSpacing"/>
        <w:numPr>
          <w:ilvl w:val="0"/>
          <w:numId w:val="1"/>
        </w:numPr>
      </w:pPr>
      <w:r w:rsidRPr="009F29EB">
        <w:t>Between 7,000 and 8,000 new patients start treatment for wet AMD each year. The number of new patients is relatively stable.</w:t>
      </w:r>
    </w:p>
    <w:p w:rsidR="00820309" w:rsidRPr="00646010" w:rsidRDefault="00820309" w:rsidP="00820309">
      <w:pPr>
        <w:pStyle w:val="NoSpacing"/>
        <w:numPr>
          <w:ilvl w:val="0"/>
          <w:numId w:val="1"/>
        </w:numPr>
      </w:pPr>
      <w:r w:rsidRPr="009F29EB">
        <w:t xml:space="preserve">The majority of patients remain on treatment for many years and therefore the total number of patients continues </w:t>
      </w:r>
      <w:r w:rsidRPr="00646010">
        <w:t xml:space="preserve">to grow.  Approximately half of patients are treated for at least 4 years, and there are almost 3,000 patients who are in their seventh year of treatment. </w:t>
      </w:r>
    </w:p>
    <w:p w:rsidR="00820309" w:rsidRPr="00646010" w:rsidRDefault="00820309" w:rsidP="00820309">
      <w:pPr>
        <w:pStyle w:val="NoSpacing"/>
        <w:numPr>
          <w:ilvl w:val="0"/>
          <w:numId w:val="1"/>
        </w:numPr>
      </w:pPr>
      <w:r w:rsidRPr="00646010">
        <w:t>The average number of injections per treated patient increased between 2007 and 2010. From 2011 onwards the number of injections per patient appears to have stabilised, with new patients receiving an average of 8.4</w:t>
      </w:r>
      <w:r w:rsidRPr="001C2211">
        <w:t xml:space="preserve"> injections in their first year of treatment, and continuing patients receiving an average of </w:t>
      </w:r>
      <w:r w:rsidRPr="00646010">
        <w:t>7.1</w:t>
      </w:r>
      <w:r w:rsidRPr="001C2211">
        <w:t xml:space="preserve"> injections </w:t>
      </w:r>
      <w:r w:rsidRPr="00646010">
        <w:t xml:space="preserve">per year. </w:t>
      </w:r>
    </w:p>
    <w:p w:rsidR="00820309" w:rsidRPr="00646010" w:rsidRDefault="00820309" w:rsidP="00820309">
      <w:pPr>
        <w:pStyle w:val="NoSpacing"/>
        <w:numPr>
          <w:ilvl w:val="0"/>
          <w:numId w:val="1"/>
        </w:numPr>
      </w:pPr>
      <w:r w:rsidRPr="00646010">
        <w:t xml:space="preserve">The rate of bilateral treatment appears to be increasing, although there is limited information available to estimate this use. </w:t>
      </w:r>
    </w:p>
    <w:p w:rsidR="00820309" w:rsidRPr="00646010" w:rsidRDefault="00820309" w:rsidP="00820309">
      <w:pPr>
        <w:pStyle w:val="NoSpacing"/>
        <w:numPr>
          <w:ilvl w:val="0"/>
          <w:numId w:val="1"/>
        </w:numPr>
      </w:pPr>
      <w:r w:rsidRPr="00646010">
        <w:lastRenderedPageBreak/>
        <w:t>There was rapid uptake of aflibercept following its PBS listing, reaching approximately 50% of the AMD market within 6</w:t>
      </w:r>
      <w:r w:rsidRPr="001C2211">
        <w:t xml:space="preserve"> </w:t>
      </w:r>
      <w:r w:rsidRPr="00646010">
        <w:t xml:space="preserve">months.  Aflibercept is used both in new patients and in prevalent patients who switched from ranibizumab. </w:t>
      </w:r>
    </w:p>
    <w:p w:rsidR="00820309" w:rsidRPr="00646010" w:rsidRDefault="00820309" w:rsidP="00820309">
      <w:pPr>
        <w:pStyle w:val="NoSpacing"/>
        <w:numPr>
          <w:ilvl w:val="0"/>
          <w:numId w:val="1"/>
        </w:numPr>
      </w:pPr>
      <w:r w:rsidRPr="00646010">
        <w:t>The number of injections of ranibizumab or aflibercept per patient appears to be similar. Patients who initiated AMD treatment between December 2012 and November 2013 and were only treated with one agent used an average of 9.30 injections of ranibizumab and 8.28 injections of aflibercept. For continuing patients, those who switched to aflibercept had a higher average number of injections in the next 12 months (8.71) than those who remained on ranibizumab (6.90).</w:t>
      </w:r>
    </w:p>
    <w:p w:rsidR="00820309" w:rsidRPr="00646010" w:rsidRDefault="00820309" w:rsidP="00820309">
      <w:pPr>
        <w:pStyle w:val="NoSpacing"/>
        <w:numPr>
          <w:ilvl w:val="0"/>
          <w:numId w:val="1"/>
        </w:numPr>
      </w:pPr>
      <w:r>
        <w:t>U</w:t>
      </w:r>
      <w:r w:rsidRPr="00646010">
        <w:t>tilisation of aflibercept and ranibizumab for wet AMD will continue to increase in t</w:t>
      </w:r>
      <w:r>
        <w:t>o the future due to an ageing population, high rates of continuation on treatment and a high number of injections per patient per year.</w:t>
      </w:r>
    </w:p>
    <w:p w:rsidR="00BB0D1A" w:rsidRDefault="00BB0D1A">
      <w:pPr>
        <w:spacing w:line="276" w:lineRule="auto"/>
        <w:rPr>
          <w:rFonts w:eastAsiaTheme="majorEastAsia" w:cstheme="majorBidi"/>
          <w:b/>
          <w:bCs/>
          <w:sz w:val="32"/>
          <w:szCs w:val="26"/>
        </w:rPr>
      </w:pPr>
      <w:r>
        <w:br w:type="page"/>
      </w:r>
    </w:p>
    <w:p w:rsidR="00E677DD" w:rsidRDefault="00E677DD" w:rsidP="000C46BB">
      <w:pPr>
        <w:pStyle w:val="Heading4"/>
      </w:pPr>
      <w:r w:rsidRPr="000C46BB">
        <w:lastRenderedPageBreak/>
        <w:t xml:space="preserve">Purpose of </w:t>
      </w:r>
      <w:r w:rsidR="00D151EB" w:rsidRPr="000C46BB">
        <w:t>analysis</w:t>
      </w:r>
    </w:p>
    <w:p w:rsidR="00820309" w:rsidRPr="005E22C2" w:rsidRDefault="00820309" w:rsidP="00820309">
      <w:r>
        <w:t>To assess the utilisation of PBS listed medicines for age related macular degeneration (AMD), including a 24 month predicted versus actual analysis of aflibercept.</w:t>
      </w:r>
    </w:p>
    <w:p w:rsidR="006537D9" w:rsidRDefault="00736041" w:rsidP="001E4CAB">
      <w:pPr>
        <w:pStyle w:val="Heading4"/>
      </w:pPr>
      <w:r w:rsidRPr="005E22C2">
        <w:t>Background</w:t>
      </w:r>
    </w:p>
    <w:p w:rsidR="00820309" w:rsidRDefault="00820309" w:rsidP="00820309">
      <w:pPr>
        <w:rPr>
          <w:highlight w:val="yellow"/>
        </w:rPr>
      </w:pPr>
      <w:r>
        <w:t xml:space="preserve">The medicines included in this review are those currently listed on the PBS for the treatment of AMD: verteporfin (listed 1 August 2007), ranibizumab (listed 1 August 2007) and aflibercept (listed 1 December 2012).  The use of verteporfin is very low but is included for completeness. The detailed analyses in this report focus on aflibercept and ranibizumab. </w:t>
      </w:r>
    </w:p>
    <w:p w:rsidR="007247B9" w:rsidRDefault="007247B9" w:rsidP="00FE645A">
      <w:pPr>
        <w:pStyle w:val="Heading3"/>
      </w:pPr>
      <w:r>
        <w:t>Pharmacology</w:t>
      </w:r>
    </w:p>
    <w:p w:rsidR="00820309" w:rsidRDefault="00820309" w:rsidP="00820309">
      <w:r w:rsidRPr="00C764C9">
        <w:t>Ranibizumab and aflibercept are antineovascularisation agents, ATC code: S01LA04 and S01LA05 respectively.</w:t>
      </w:r>
    </w:p>
    <w:p w:rsidR="00820309" w:rsidRPr="00B924C3" w:rsidRDefault="00820309" w:rsidP="00820309">
      <w:r w:rsidRPr="00C764C9">
        <w:t xml:space="preserve">Ranibizumab is a humanised recombinant monoclonal antibody fragment targeted against human vascular endothelial growth factor A (VEGF-A). Aflibercept is a recombinant fusion protein consisting of portions of human VEGF receptor 1 and 2 extracellular domains fused </w:t>
      </w:r>
      <w:r w:rsidRPr="00B924C3">
        <w:t xml:space="preserve">to the Fc portion of human IgG1. </w:t>
      </w:r>
    </w:p>
    <w:p w:rsidR="00820309" w:rsidRPr="007247B9" w:rsidRDefault="00820309" w:rsidP="00820309">
      <w:r w:rsidRPr="00B924C3">
        <w:t>Verteporfin is used as a light-activated drug (photosensitiser). Treatment with verteporfin requires administration of both verteporfin by intravenous infusion and nonthermal red light.</w:t>
      </w:r>
    </w:p>
    <w:p w:rsidR="001420B3" w:rsidRPr="005E22C2" w:rsidRDefault="00A52918" w:rsidP="00FE645A">
      <w:pPr>
        <w:pStyle w:val="Heading3"/>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820309" w:rsidRPr="001F2E26" w:rsidRDefault="00820309" w:rsidP="00820309">
      <w:pPr>
        <w:pStyle w:val="Tabletitle"/>
      </w:pPr>
      <w:r>
        <w:t xml:space="preserve">Table </w:t>
      </w:r>
      <w:r w:rsidR="004F27C3">
        <w:rPr>
          <w:noProof/>
        </w:rPr>
        <w:t>1</w:t>
      </w:r>
      <w:r>
        <w:t xml:space="preserve">: </w:t>
      </w:r>
      <w:r w:rsidRPr="001F2E26">
        <w:t>TGA approved indications</w:t>
      </w:r>
    </w:p>
    <w:tbl>
      <w:tblPr>
        <w:tblStyle w:val="TableGrid"/>
        <w:tblW w:w="0" w:type="auto"/>
        <w:tblLook w:val="04A0" w:firstRow="1" w:lastRow="0" w:firstColumn="1" w:lastColumn="0" w:noHBand="0" w:noVBand="1"/>
        <w:tblCaption w:val="TGA approved indications"/>
        <w:tblDescription w:val="Ranibizumab is TGA approved for neovascular (wet) age-related macular degeneration, visual impairment due to diabetic macular oedema, visual impariment due to macular oedema secondary to RVO and visual impariment due to CNV secondary to pathologic myopia. Aflibercept is not TGA  approved for visual impariment due to CNV secondary to pathologic myopia. Verteporfin is only TGA approved for neovascular (wet) age-related macular degeneration."/>
      </w:tblPr>
      <w:tblGrid>
        <w:gridCol w:w="3618"/>
        <w:gridCol w:w="2009"/>
        <w:gridCol w:w="1949"/>
        <w:gridCol w:w="1597"/>
      </w:tblGrid>
      <w:tr w:rsidR="00820309" w:rsidRPr="0069151D" w:rsidTr="00E6440B">
        <w:trPr>
          <w:tblHeader/>
        </w:trPr>
        <w:tc>
          <w:tcPr>
            <w:tcW w:w="3618" w:type="dxa"/>
            <w:shd w:val="clear" w:color="auto" w:fill="BFBFBF" w:themeFill="background1" w:themeFillShade="BF"/>
          </w:tcPr>
          <w:p w:rsidR="00820309" w:rsidRPr="0069151D" w:rsidRDefault="00820309" w:rsidP="00D4559A">
            <w:pPr>
              <w:pStyle w:val="Tableheading"/>
              <w:rPr>
                <w:sz w:val="20"/>
                <w:szCs w:val="20"/>
              </w:rPr>
            </w:pPr>
          </w:p>
        </w:tc>
        <w:tc>
          <w:tcPr>
            <w:tcW w:w="2009"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Ranibizumab</w:t>
            </w:r>
          </w:p>
        </w:tc>
        <w:tc>
          <w:tcPr>
            <w:tcW w:w="1949"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Aflibercept</w:t>
            </w:r>
          </w:p>
        </w:tc>
        <w:tc>
          <w:tcPr>
            <w:tcW w:w="1597" w:type="dxa"/>
            <w:shd w:val="clear" w:color="auto" w:fill="BFBFBF" w:themeFill="background1" w:themeFillShade="BF"/>
          </w:tcPr>
          <w:p w:rsidR="00820309" w:rsidRPr="0069151D" w:rsidRDefault="00820309" w:rsidP="00D4559A">
            <w:pPr>
              <w:pStyle w:val="Tableheading"/>
              <w:rPr>
                <w:sz w:val="20"/>
                <w:szCs w:val="20"/>
                <w:highlight w:val="green"/>
              </w:rPr>
            </w:pPr>
            <w:r w:rsidRPr="0069151D">
              <w:rPr>
                <w:sz w:val="20"/>
                <w:szCs w:val="20"/>
              </w:rPr>
              <w:t>Verteporfin</w:t>
            </w:r>
          </w:p>
        </w:tc>
      </w:tr>
      <w:tr w:rsidR="00820309" w:rsidRPr="00953CD4" w:rsidTr="00D4559A">
        <w:tc>
          <w:tcPr>
            <w:tcW w:w="3618" w:type="dxa"/>
          </w:tcPr>
          <w:p w:rsidR="00820309" w:rsidRPr="00953CD4" w:rsidRDefault="00820309" w:rsidP="00D4559A">
            <w:pPr>
              <w:pStyle w:val="Tablewriting"/>
            </w:pPr>
            <w:r w:rsidRPr="00953CD4">
              <w:t>Neovascular (wet) age-related macular degeneration</w:t>
            </w:r>
          </w:p>
        </w:tc>
        <w:tc>
          <w:tcPr>
            <w:tcW w:w="2009" w:type="dxa"/>
            <w:vAlign w:val="center"/>
          </w:tcPr>
          <w:p w:rsidR="00820309" w:rsidRPr="00953CD4" w:rsidRDefault="00820309" w:rsidP="00D4559A">
            <w:pPr>
              <w:jc w:val="center"/>
              <w:rPr>
                <w:sz w:val="28"/>
                <w:szCs w:val="28"/>
              </w:rPr>
            </w:pPr>
            <w:r w:rsidRPr="00953CD4">
              <w:rPr>
                <w:sz w:val="28"/>
                <w:szCs w:val="28"/>
              </w:rPr>
              <w:sym w:font="Wingdings" w:char="F0FC"/>
            </w:r>
          </w:p>
        </w:tc>
        <w:tc>
          <w:tcPr>
            <w:tcW w:w="1949" w:type="dxa"/>
            <w:vAlign w:val="center"/>
          </w:tcPr>
          <w:p w:rsidR="00820309" w:rsidRPr="00953CD4" w:rsidRDefault="00820309" w:rsidP="00D4559A">
            <w:pPr>
              <w:jc w:val="center"/>
            </w:pPr>
            <w:r w:rsidRPr="00953CD4">
              <w:rPr>
                <w:sz w:val="28"/>
                <w:szCs w:val="28"/>
              </w:rPr>
              <w:sym w:font="Wingdings" w:char="F0FC"/>
            </w:r>
          </w:p>
        </w:tc>
        <w:tc>
          <w:tcPr>
            <w:tcW w:w="1597" w:type="dxa"/>
            <w:vAlign w:val="center"/>
          </w:tcPr>
          <w:p w:rsidR="00820309" w:rsidRPr="009D435A" w:rsidRDefault="00820309" w:rsidP="00D4559A">
            <w:pPr>
              <w:jc w:val="center"/>
              <w:rPr>
                <w:sz w:val="28"/>
                <w:szCs w:val="28"/>
                <w:highlight w:val="green"/>
              </w:rPr>
            </w:pPr>
            <w:r w:rsidRPr="00953CD4">
              <w:rPr>
                <w:sz w:val="28"/>
                <w:szCs w:val="28"/>
              </w:rPr>
              <w:sym w:font="Wingdings" w:char="F0FC"/>
            </w:r>
            <w:r w:rsidRPr="001F2E26">
              <w:rPr>
                <w:vertAlign w:val="superscript"/>
              </w:rPr>
              <w:t>a</w:t>
            </w:r>
          </w:p>
        </w:tc>
      </w:tr>
      <w:tr w:rsidR="00820309" w:rsidRPr="00953CD4" w:rsidTr="00D4559A">
        <w:tc>
          <w:tcPr>
            <w:tcW w:w="3618" w:type="dxa"/>
          </w:tcPr>
          <w:p w:rsidR="00820309" w:rsidRPr="00953CD4" w:rsidRDefault="00820309" w:rsidP="00D4559A">
            <w:pPr>
              <w:pStyle w:val="Tablewriting"/>
            </w:pPr>
            <w:r w:rsidRPr="00953CD4">
              <w:t>Visual impairment due to diabetic macular oedema</w:t>
            </w:r>
          </w:p>
        </w:tc>
        <w:tc>
          <w:tcPr>
            <w:tcW w:w="2009" w:type="dxa"/>
            <w:vAlign w:val="center"/>
          </w:tcPr>
          <w:p w:rsidR="00820309" w:rsidRPr="00953CD4" w:rsidRDefault="00820309" w:rsidP="00D4559A">
            <w:pPr>
              <w:jc w:val="center"/>
            </w:pPr>
            <w:r w:rsidRPr="00953CD4">
              <w:rPr>
                <w:sz w:val="28"/>
                <w:szCs w:val="28"/>
              </w:rPr>
              <w:sym w:font="Wingdings" w:char="F0FC"/>
            </w:r>
          </w:p>
        </w:tc>
        <w:tc>
          <w:tcPr>
            <w:tcW w:w="1949" w:type="dxa"/>
            <w:vAlign w:val="center"/>
          </w:tcPr>
          <w:p w:rsidR="00820309" w:rsidRPr="00953CD4" w:rsidRDefault="00820309" w:rsidP="00D4559A">
            <w:pPr>
              <w:jc w:val="center"/>
            </w:pPr>
            <w:r w:rsidRPr="00953CD4">
              <w:rPr>
                <w:sz w:val="28"/>
                <w:szCs w:val="28"/>
              </w:rPr>
              <w:sym w:font="Wingdings" w:char="F0FC"/>
            </w:r>
          </w:p>
        </w:tc>
        <w:tc>
          <w:tcPr>
            <w:tcW w:w="1597" w:type="dxa"/>
            <w:vAlign w:val="center"/>
          </w:tcPr>
          <w:p w:rsidR="00820309" w:rsidRPr="009D435A" w:rsidRDefault="00820309" w:rsidP="00D4559A">
            <w:pPr>
              <w:jc w:val="center"/>
              <w:rPr>
                <w:sz w:val="28"/>
                <w:szCs w:val="28"/>
                <w:highlight w:val="green"/>
              </w:rPr>
            </w:pPr>
            <w:r>
              <w:t>-</w:t>
            </w:r>
          </w:p>
        </w:tc>
      </w:tr>
      <w:tr w:rsidR="00820309" w:rsidRPr="00953CD4" w:rsidTr="00D4559A">
        <w:tc>
          <w:tcPr>
            <w:tcW w:w="3618" w:type="dxa"/>
          </w:tcPr>
          <w:p w:rsidR="00820309" w:rsidRPr="00953CD4" w:rsidRDefault="00820309" w:rsidP="00D4559A">
            <w:pPr>
              <w:pStyle w:val="Tablewriting"/>
            </w:pPr>
            <w:r w:rsidRPr="00953CD4">
              <w:t>Visual impairment due to macular oedema secondary to RVO</w:t>
            </w:r>
          </w:p>
        </w:tc>
        <w:tc>
          <w:tcPr>
            <w:tcW w:w="2009" w:type="dxa"/>
            <w:vAlign w:val="center"/>
          </w:tcPr>
          <w:p w:rsidR="00820309" w:rsidRPr="00953CD4" w:rsidRDefault="00820309" w:rsidP="00D4559A">
            <w:pPr>
              <w:jc w:val="center"/>
            </w:pPr>
            <w:r w:rsidRPr="00953CD4">
              <w:rPr>
                <w:sz w:val="28"/>
                <w:szCs w:val="28"/>
              </w:rPr>
              <w:sym w:font="Wingdings" w:char="F0FC"/>
            </w:r>
          </w:p>
        </w:tc>
        <w:tc>
          <w:tcPr>
            <w:tcW w:w="1949" w:type="dxa"/>
            <w:vAlign w:val="center"/>
          </w:tcPr>
          <w:p w:rsidR="00820309" w:rsidRPr="00953CD4" w:rsidRDefault="00820309" w:rsidP="00D4559A">
            <w:pPr>
              <w:jc w:val="center"/>
            </w:pPr>
            <w:r w:rsidRPr="00953CD4">
              <w:rPr>
                <w:sz w:val="28"/>
                <w:szCs w:val="28"/>
              </w:rPr>
              <w:sym w:font="Wingdings" w:char="F0FC"/>
            </w:r>
          </w:p>
        </w:tc>
        <w:tc>
          <w:tcPr>
            <w:tcW w:w="1597" w:type="dxa"/>
            <w:vAlign w:val="center"/>
          </w:tcPr>
          <w:p w:rsidR="00820309" w:rsidRPr="009D435A" w:rsidRDefault="00820309" w:rsidP="00D4559A">
            <w:pPr>
              <w:jc w:val="center"/>
              <w:rPr>
                <w:sz w:val="28"/>
                <w:szCs w:val="28"/>
                <w:highlight w:val="green"/>
              </w:rPr>
            </w:pPr>
            <w:r>
              <w:t>-</w:t>
            </w:r>
          </w:p>
        </w:tc>
      </w:tr>
      <w:tr w:rsidR="00820309" w:rsidRPr="00953CD4" w:rsidDel="000A2D1D" w:rsidTr="00D4559A">
        <w:tc>
          <w:tcPr>
            <w:tcW w:w="3618" w:type="dxa"/>
          </w:tcPr>
          <w:p w:rsidR="00820309" w:rsidRPr="00953CD4" w:rsidDel="000A2D1D" w:rsidRDefault="00820309" w:rsidP="00D4559A">
            <w:pPr>
              <w:pStyle w:val="Tablewriting"/>
            </w:pPr>
            <w:r>
              <w:t>Visual impairment due to CNV secondary to pathologic myopia</w:t>
            </w:r>
          </w:p>
        </w:tc>
        <w:tc>
          <w:tcPr>
            <w:tcW w:w="2009" w:type="dxa"/>
            <w:vAlign w:val="center"/>
          </w:tcPr>
          <w:p w:rsidR="00820309" w:rsidRPr="00953CD4" w:rsidDel="000A2D1D" w:rsidRDefault="00820309" w:rsidP="00D4559A">
            <w:pPr>
              <w:jc w:val="center"/>
              <w:rPr>
                <w:sz w:val="28"/>
                <w:szCs w:val="28"/>
              </w:rPr>
            </w:pPr>
            <w:r w:rsidRPr="00953CD4">
              <w:rPr>
                <w:sz w:val="28"/>
                <w:szCs w:val="28"/>
              </w:rPr>
              <w:sym w:font="Wingdings" w:char="F0FC"/>
            </w:r>
          </w:p>
        </w:tc>
        <w:tc>
          <w:tcPr>
            <w:tcW w:w="1949" w:type="dxa"/>
            <w:vAlign w:val="center"/>
          </w:tcPr>
          <w:p w:rsidR="00820309" w:rsidDel="000A2D1D" w:rsidRDefault="00820309" w:rsidP="00D4559A">
            <w:pPr>
              <w:jc w:val="center"/>
            </w:pPr>
            <w:r>
              <w:t>-</w:t>
            </w:r>
          </w:p>
        </w:tc>
        <w:tc>
          <w:tcPr>
            <w:tcW w:w="1597" w:type="dxa"/>
            <w:vAlign w:val="center"/>
          </w:tcPr>
          <w:p w:rsidR="00820309" w:rsidDel="000A2D1D" w:rsidRDefault="00820309" w:rsidP="00D4559A">
            <w:pPr>
              <w:jc w:val="center"/>
            </w:pPr>
          </w:p>
        </w:tc>
      </w:tr>
    </w:tbl>
    <w:p w:rsidR="00820309" w:rsidRPr="001F2E26" w:rsidRDefault="00820309" w:rsidP="00820309">
      <w:pPr>
        <w:pStyle w:val="Notes"/>
      </w:pPr>
      <w:r w:rsidRPr="001F2E26">
        <w:rPr>
          <w:vertAlign w:val="superscript"/>
        </w:rPr>
        <w:t xml:space="preserve">a </w:t>
      </w:r>
      <w:r w:rsidRPr="001F2E26">
        <w:t>subfoveal choroidal neovascularisation due to AMD or caused by other macular disease.</w:t>
      </w:r>
      <w:r w:rsidRPr="001F2E26">
        <w:rPr>
          <w:highlight w:val="magenta"/>
        </w:rPr>
        <w:br/>
      </w:r>
      <w:r w:rsidR="00E53CC2">
        <w:t>Source: Lucentis (ranibizumab) Australian approved product information. North Ryde: Novartis Pharmaceuticals Australia Pty Limited. Approved 27 February 2007, last updated 30 January 2015</w:t>
      </w:r>
      <w:r w:rsidR="00E53CC2">
        <w:br/>
        <w:t xml:space="preserve">Eylea (aflibercept) Australian approved product information. </w:t>
      </w:r>
      <w:r w:rsidR="00E53CC2" w:rsidRPr="00E53CC2">
        <w:t>Pymble</w:t>
      </w:r>
      <w:r w:rsidR="00E53CC2">
        <w:t xml:space="preserve">: </w:t>
      </w:r>
      <w:r w:rsidR="00E53CC2" w:rsidRPr="00E53CC2">
        <w:t>Bayer Australia Ltd</w:t>
      </w:r>
      <w:r w:rsidR="00E53CC2">
        <w:t xml:space="preserve">. Approved </w:t>
      </w:r>
      <w:r w:rsidR="00E53CC2" w:rsidRPr="00E53CC2">
        <w:t>7 March 2012</w:t>
      </w:r>
      <w:r w:rsidR="00E53CC2">
        <w:t xml:space="preserve">, last updated </w:t>
      </w:r>
      <w:r w:rsidR="00E53CC2" w:rsidRPr="00E53CC2">
        <w:t>15 April 2015</w:t>
      </w:r>
      <w:r w:rsidR="00E53CC2">
        <w:br/>
        <w:t xml:space="preserve">Visudyne (verteporfin) Australian approved product information. North Ryde: Novartis Pharmaceuticals Australia Pty Limited. Approved 1 August 2007, last updated 24 September 2013 </w:t>
      </w:r>
      <w:r w:rsidR="00E53CC2">
        <w:br/>
      </w:r>
      <w:r w:rsidRPr="001F2E26">
        <w:t>Sourced 4 May 2015</w:t>
      </w:r>
    </w:p>
    <w:p w:rsidR="006B709B" w:rsidRDefault="006B709B" w:rsidP="00FE645A">
      <w:pPr>
        <w:pStyle w:val="Heading3"/>
      </w:pPr>
      <w:r>
        <w:lastRenderedPageBreak/>
        <w:t>Dosage and administration</w:t>
      </w:r>
    </w:p>
    <w:p w:rsidR="00820309" w:rsidRPr="00E01E0B" w:rsidRDefault="00820309" w:rsidP="00820309">
      <w:pPr>
        <w:pStyle w:val="Tabletitle"/>
      </w:pPr>
      <w:r w:rsidRPr="002B67ED">
        <w:t xml:space="preserve">Table </w:t>
      </w:r>
      <w:r w:rsidR="004F27C3">
        <w:rPr>
          <w:noProof/>
        </w:rPr>
        <w:t>2</w:t>
      </w:r>
      <w:r w:rsidRPr="002B67ED">
        <w:t>: Dosage and administration of ranibizumab</w:t>
      </w:r>
      <w:r>
        <w:t xml:space="preserve">, </w:t>
      </w:r>
      <w:r w:rsidRPr="00643181">
        <w:t>aflibercept and verteporfin for</w:t>
      </w:r>
      <w:r>
        <w:t xml:space="preserve"> AMD</w:t>
      </w:r>
    </w:p>
    <w:tbl>
      <w:tblPr>
        <w:tblStyle w:val="TableGrid"/>
        <w:tblW w:w="9039" w:type="dxa"/>
        <w:tblLook w:val="04A0" w:firstRow="1" w:lastRow="0" w:firstColumn="1" w:lastColumn="0" w:noHBand="0" w:noVBand="1"/>
        <w:tblCaption w:val="Dosage and frequency of administration "/>
        <w:tblDescription w:val="Dose and frequency of administration of ranibizumab, aflibercept and verteporfin for AMD from Product Information on the TGA website"/>
      </w:tblPr>
      <w:tblGrid>
        <w:gridCol w:w="2376"/>
        <w:gridCol w:w="6663"/>
      </w:tblGrid>
      <w:tr w:rsidR="00820309" w:rsidRPr="0069151D" w:rsidTr="00E6440B">
        <w:trPr>
          <w:tblHeader/>
        </w:trPr>
        <w:tc>
          <w:tcPr>
            <w:tcW w:w="2376"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Brand name and sponsor</w:t>
            </w:r>
          </w:p>
        </w:tc>
        <w:tc>
          <w:tcPr>
            <w:tcW w:w="6663"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Dose and frequency of administration from Product Information</w:t>
            </w:r>
          </w:p>
        </w:tc>
      </w:tr>
      <w:tr w:rsidR="00820309" w:rsidRPr="00A35800" w:rsidTr="00D4559A">
        <w:trPr>
          <w:cantSplit/>
        </w:trPr>
        <w:tc>
          <w:tcPr>
            <w:tcW w:w="2376" w:type="dxa"/>
            <w:vAlign w:val="center"/>
          </w:tcPr>
          <w:p w:rsidR="00820309" w:rsidRDefault="00820309" w:rsidP="00D4559A">
            <w:pPr>
              <w:pStyle w:val="Tablewriting"/>
            </w:pPr>
            <w:r>
              <w:t xml:space="preserve">Ranibizumab (Lucentis®), </w:t>
            </w:r>
            <w:r w:rsidRPr="002A570C">
              <w:t>Novartis Pharmaceuticals Australia Pty Limited</w:t>
            </w:r>
          </w:p>
        </w:tc>
        <w:tc>
          <w:tcPr>
            <w:tcW w:w="6663" w:type="dxa"/>
          </w:tcPr>
          <w:p w:rsidR="00820309" w:rsidRDefault="00820309" w:rsidP="00D4559A">
            <w:pPr>
              <w:pStyle w:val="Tablewriting"/>
            </w:pPr>
            <w:r w:rsidRPr="00D10AD2">
              <w:t>0.5</w:t>
            </w:r>
            <w:r>
              <w:t> </w:t>
            </w:r>
            <w:r w:rsidRPr="00D10AD2">
              <w:t>mg (0.05</w:t>
            </w:r>
            <w:r>
              <w:t> </w:t>
            </w:r>
            <w:r w:rsidRPr="00D10AD2">
              <w:t>mL) or 0.3</w:t>
            </w:r>
            <w:r>
              <w:t> </w:t>
            </w:r>
            <w:r w:rsidRPr="00D10AD2">
              <w:t>mg (0.03</w:t>
            </w:r>
            <w:r>
              <w:t> </w:t>
            </w:r>
            <w:r w:rsidRPr="00D10AD2">
              <w:t>mL)</w:t>
            </w:r>
            <w:r>
              <w:t xml:space="preserve"> given as a single intravitreal injection</w:t>
            </w:r>
          </w:p>
          <w:p w:rsidR="00820309" w:rsidRDefault="00820309" w:rsidP="00D4559A">
            <w:pPr>
              <w:pStyle w:val="Tablewriting"/>
            </w:pPr>
            <w:r>
              <w:t xml:space="preserve">Ranibizumab is given monthly. The interval between two doses should not be shorter than 1 month. Although less effective, treatment might be reduced to one injection every 3 months after the first three injections (e.g. if monthly injections are not feasible) but, compared to continued monthly doses, dosing every 3 months may lead to a lead to an approximate  5-letter (1-line) loss of visual acuity benefit, on average, over the following nine months. </w:t>
            </w:r>
          </w:p>
          <w:p w:rsidR="00820309" w:rsidRPr="00D10AD2" w:rsidRDefault="00820309" w:rsidP="00D4559A">
            <w:pPr>
              <w:pStyle w:val="Tablewriting"/>
            </w:pPr>
            <w:r>
              <w:t xml:space="preserve">Patients should be evaluated regularly.  </w:t>
            </w:r>
          </w:p>
        </w:tc>
      </w:tr>
      <w:tr w:rsidR="00820309" w:rsidRPr="00A35800" w:rsidTr="00D4559A">
        <w:trPr>
          <w:cantSplit/>
        </w:trPr>
        <w:tc>
          <w:tcPr>
            <w:tcW w:w="2376" w:type="dxa"/>
            <w:vAlign w:val="center"/>
          </w:tcPr>
          <w:p w:rsidR="00820309" w:rsidRDefault="00820309" w:rsidP="00D4559A">
            <w:pPr>
              <w:pStyle w:val="Tablewriting"/>
            </w:pPr>
            <w:r>
              <w:t xml:space="preserve">Aflibercept (Eylea®), </w:t>
            </w:r>
          </w:p>
          <w:p w:rsidR="00820309" w:rsidRDefault="00820309" w:rsidP="00D4559A">
            <w:pPr>
              <w:pStyle w:val="Tablewriting"/>
            </w:pPr>
            <w:r w:rsidRPr="002A570C">
              <w:t>Bayer Australia Ltd</w:t>
            </w:r>
          </w:p>
          <w:p w:rsidR="00820309" w:rsidRDefault="00820309" w:rsidP="00D4559A">
            <w:pPr>
              <w:pStyle w:val="Tablewriting"/>
            </w:pPr>
          </w:p>
        </w:tc>
        <w:tc>
          <w:tcPr>
            <w:tcW w:w="6663" w:type="dxa"/>
          </w:tcPr>
          <w:p w:rsidR="00820309" w:rsidRDefault="00820309" w:rsidP="00D4559A">
            <w:pPr>
              <w:pStyle w:val="Tablewriting"/>
            </w:pPr>
            <w:r w:rsidRPr="00D10AD2">
              <w:t>The injection volume is 50 µL (equivalent to 2 mg aflibercept)</w:t>
            </w:r>
            <w:r>
              <w:t>.</w:t>
            </w:r>
          </w:p>
          <w:p w:rsidR="00820309" w:rsidRDefault="00820309" w:rsidP="00D4559A">
            <w:pPr>
              <w:pStyle w:val="Tablewriting"/>
            </w:pPr>
            <w:r>
              <w:t>Aflibercept treatment is initiated with one injection per month for three consecutive months, followed by one injection every two months. Long term, it is recommended that patients continue to be treated every 2 months.</w:t>
            </w:r>
          </w:p>
          <w:p w:rsidR="00820309" w:rsidRDefault="00820309" w:rsidP="00D4559A">
            <w:pPr>
              <w:pStyle w:val="Tablewriting"/>
            </w:pPr>
            <w:r>
              <w:t>Generally, once optimal visual acuity is achieved and/or there are no signs of disease activity, the treatment interval may be adjusted based on visual and/or anatomic outcomes. The dosing interval can be extended up to every three months.</w:t>
            </w:r>
            <w:r>
              <w:rPr>
                <w:vertAlign w:val="superscript"/>
              </w:rPr>
              <w:t>a</w:t>
            </w:r>
          </w:p>
          <w:p w:rsidR="00820309" w:rsidRPr="00D10AD2" w:rsidRDefault="00820309" w:rsidP="00D4559A">
            <w:pPr>
              <w:pStyle w:val="Tablewriting"/>
            </w:pPr>
            <w:r>
              <w:t>The interval between doses injected in the same eye should not be shorter than one month.</w:t>
            </w:r>
          </w:p>
        </w:tc>
      </w:tr>
      <w:tr w:rsidR="00820309" w:rsidRPr="00A35800" w:rsidTr="00D4559A">
        <w:trPr>
          <w:cantSplit/>
        </w:trPr>
        <w:tc>
          <w:tcPr>
            <w:tcW w:w="2376" w:type="dxa"/>
            <w:vAlign w:val="center"/>
          </w:tcPr>
          <w:p w:rsidR="00820309" w:rsidRDefault="00820309" w:rsidP="00D4559A">
            <w:pPr>
              <w:pStyle w:val="Tablewriting"/>
            </w:pPr>
            <w:r>
              <w:t>V</w:t>
            </w:r>
            <w:r w:rsidRPr="003068B2">
              <w:t>erteporfin</w:t>
            </w:r>
            <w:r>
              <w:t xml:space="preserve"> (Visudyne</w:t>
            </w:r>
            <w:r w:rsidR="00E53CC2">
              <w:t>®</w:t>
            </w:r>
            <w:r>
              <w:t xml:space="preserve">), </w:t>
            </w:r>
            <w:r w:rsidRPr="002A570C">
              <w:t>Novartis Pharmaceuticals Australia Pty Limited</w:t>
            </w:r>
          </w:p>
        </w:tc>
        <w:tc>
          <w:tcPr>
            <w:tcW w:w="6663" w:type="dxa"/>
          </w:tcPr>
          <w:p w:rsidR="00820309" w:rsidRDefault="00820309" w:rsidP="00D4559A">
            <w:pPr>
              <w:pStyle w:val="Tablewriting"/>
            </w:pPr>
            <w:r>
              <w:t>10 minute intravenous infusion of v</w:t>
            </w:r>
            <w:r w:rsidRPr="003068B2">
              <w:t>erteporfin</w:t>
            </w:r>
            <w:r>
              <w:t xml:space="preserve"> at a dose of 6 mg/m</w:t>
            </w:r>
            <w:r w:rsidRPr="00522F59">
              <w:rPr>
                <w:vertAlign w:val="superscript"/>
              </w:rPr>
              <w:t>2</w:t>
            </w:r>
            <w:r>
              <w:t xml:space="preserve"> body surface area, diluted in 30 mL infusion solution, followed by </w:t>
            </w:r>
            <w:r w:rsidRPr="007E5792">
              <w:t xml:space="preserve">light activation of </w:t>
            </w:r>
            <w:r>
              <w:t>v</w:t>
            </w:r>
            <w:r w:rsidRPr="003068B2">
              <w:t>erteporfin</w:t>
            </w:r>
            <w:r>
              <w:t xml:space="preserve"> </w:t>
            </w:r>
            <w:r w:rsidRPr="007E5792">
              <w:t>15 minutes after the start of the infusion</w:t>
            </w:r>
            <w:r>
              <w:t>.</w:t>
            </w:r>
          </w:p>
          <w:p w:rsidR="00820309" w:rsidRPr="00D10AD2" w:rsidRDefault="00820309" w:rsidP="00D4559A">
            <w:pPr>
              <w:pStyle w:val="Tablewriting"/>
            </w:pPr>
            <w:r>
              <w:t>Patients should be re-evaluated every 3 months. In the event of recurrent CNV leakage, v</w:t>
            </w:r>
            <w:r w:rsidRPr="003068B2">
              <w:t>erteporfin</w:t>
            </w:r>
            <w:r>
              <w:t xml:space="preserve"> treatment should be repeated.</w:t>
            </w:r>
          </w:p>
        </w:tc>
      </w:tr>
    </w:tbl>
    <w:p w:rsidR="00E53CC2" w:rsidRPr="001F2E26" w:rsidRDefault="00E53CC2" w:rsidP="00E53CC2">
      <w:pPr>
        <w:pStyle w:val="Notes"/>
      </w:pPr>
      <w:r>
        <w:t>Source: Lucentis (ranibizumab) Australian approved product information. North Ryde: Novartis Pharmaceuticals Australia Pty Limited. Approved 27 February 2007, last updated 30 January 2015</w:t>
      </w:r>
      <w:r>
        <w:br/>
        <w:t xml:space="preserve">Eylea (aflibercept) Australian approved product information. </w:t>
      </w:r>
      <w:r w:rsidRPr="00E53CC2">
        <w:t>Pymble</w:t>
      </w:r>
      <w:r>
        <w:t xml:space="preserve">: </w:t>
      </w:r>
      <w:r w:rsidRPr="00E53CC2">
        <w:t>Bayer Australia Ltd</w:t>
      </w:r>
      <w:r>
        <w:t xml:space="preserve">. Approved </w:t>
      </w:r>
      <w:r w:rsidRPr="00E53CC2">
        <w:t>7 March 2012</w:t>
      </w:r>
      <w:r>
        <w:t xml:space="preserve">, last updated </w:t>
      </w:r>
      <w:r w:rsidRPr="00E53CC2">
        <w:t>15 April 2015</w:t>
      </w:r>
      <w:r>
        <w:br/>
        <w:t xml:space="preserve">Visudyne (verteporfin) Australian approved product information. North Ryde: Novartis Pharmaceuticals Australia Pty Limited. Approved 1 August 2007, last updated 24 September 2013 </w:t>
      </w:r>
      <w:r>
        <w:br/>
      </w:r>
      <w:r w:rsidRPr="001F2E26">
        <w:t>Sourced 4 May 2015</w:t>
      </w:r>
    </w:p>
    <w:p w:rsidR="00820309" w:rsidRPr="00522F59" w:rsidRDefault="00820309" w:rsidP="00820309">
      <w:pPr>
        <w:pStyle w:val="Notes"/>
      </w:pPr>
      <w:r w:rsidRPr="00522F59">
        <w:rPr>
          <w:vertAlign w:val="superscript"/>
        </w:rPr>
        <w:t>a</w:t>
      </w:r>
      <w:r w:rsidRPr="00522F59">
        <w:t xml:space="preserve">The aflibercept </w:t>
      </w:r>
      <w:r>
        <w:t>Product Information (</w:t>
      </w:r>
      <w:r w:rsidRPr="00522F59">
        <w:t>PI</w:t>
      </w:r>
      <w:r>
        <w:t>)</w:t>
      </w:r>
      <w:r w:rsidRPr="00522F59">
        <w:t xml:space="preserve"> contains further information regarding dosing and administration as follows: Once optimal visual acuity is achieved and/or there are no signs of disease activity, treatment may then be continued with a treat and extend regimen with gradually increased treatment intervals to maintain stable visual and/or anatomic outcomes. If disease activity persists or recurs, the treatment interval may be shortened accordingly Monitoring should be done at injection visits. There is limited information on the optimal dosing interval and monitoring interval especially for long term (e.g. &gt; 12 months) treatment. The monitoring and treatment schedule should be determined by the treating ophthalmologist based on the individual patient’s response. If visual and anatomic outcomes indicate that the patient is not benefiting from continued treatment, aflibercept should be discontinued.</w:t>
      </w:r>
    </w:p>
    <w:p w:rsidR="000910BB" w:rsidRPr="002F61CA" w:rsidRDefault="000910BB" w:rsidP="000910BB">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rsidR="00DF0B13" w:rsidRPr="007247B9" w:rsidRDefault="00DF0B13" w:rsidP="00A6422E">
      <w:pPr>
        <w:pStyle w:val="Heading3"/>
        <w:keepNext/>
      </w:pPr>
      <w:r w:rsidRPr="007247B9">
        <w:lastRenderedPageBreak/>
        <w:t>PBS listing details</w:t>
      </w:r>
      <w:r w:rsidR="00D151EB">
        <w:t xml:space="preserve"> (as </w:t>
      </w:r>
      <w:r w:rsidR="00820309">
        <w:t>at 1 March 2015</w:t>
      </w:r>
      <w:r w:rsidR="00D151EB">
        <w:t>)</w:t>
      </w:r>
    </w:p>
    <w:p w:rsidR="00820309" w:rsidRPr="00E01E0B" w:rsidRDefault="00820309" w:rsidP="00820309">
      <w:pPr>
        <w:pStyle w:val="Tabletitle"/>
      </w:pPr>
      <w:r w:rsidRPr="00E01E0B">
        <w:t xml:space="preserve">Table </w:t>
      </w:r>
      <w:r w:rsidR="004F27C3">
        <w:rPr>
          <w:noProof/>
        </w:rPr>
        <w:t>3</w:t>
      </w:r>
      <w:r w:rsidRPr="00E01E0B">
        <w:t xml:space="preserve">: PBS listing of </w:t>
      </w:r>
      <w:r w:rsidRPr="00643181">
        <w:t>verteporfin</w:t>
      </w:r>
    </w:p>
    <w:tbl>
      <w:tblPr>
        <w:tblStyle w:val="TableGrid"/>
        <w:tblW w:w="9180" w:type="dxa"/>
        <w:tblLayout w:type="fixed"/>
        <w:tblLook w:val="04A0" w:firstRow="1" w:lastRow="0" w:firstColumn="1" w:lastColumn="0" w:noHBand="0" w:noVBand="1"/>
        <w:tblCaption w:val="PBS listing of verteporfin"/>
        <w:tblDescription w:val="Verteporfin is available as a 15 mg vial"/>
      </w:tblPr>
      <w:tblGrid>
        <w:gridCol w:w="969"/>
        <w:gridCol w:w="2400"/>
        <w:gridCol w:w="1701"/>
        <w:gridCol w:w="850"/>
        <w:gridCol w:w="1134"/>
        <w:gridCol w:w="2126"/>
      </w:tblGrid>
      <w:tr w:rsidR="00820309" w:rsidRPr="0069151D" w:rsidTr="006C2157">
        <w:trPr>
          <w:trHeight w:val="694"/>
          <w:tblHeader/>
        </w:trPr>
        <w:tc>
          <w:tcPr>
            <w:tcW w:w="969"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Item</w:t>
            </w:r>
          </w:p>
        </w:tc>
        <w:tc>
          <w:tcPr>
            <w:tcW w:w="2400"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Name, form &amp; strength, pack size</w:t>
            </w:r>
          </w:p>
        </w:tc>
        <w:tc>
          <w:tcPr>
            <w:tcW w:w="1701"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 xml:space="preserve">Max. quant. </w:t>
            </w:r>
          </w:p>
        </w:tc>
        <w:tc>
          <w:tcPr>
            <w:tcW w:w="850"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 xml:space="preserve">Rpts </w:t>
            </w:r>
          </w:p>
        </w:tc>
        <w:tc>
          <w:tcPr>
            <w:tcW w:w="1134"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DPMQ</w:t>
            </w:r>
          </w:p>
        </w:tc>
        <w:tc>
          <w:tcPr>
            <w:tcW w:w="2126"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Brand name and manufacturer</w:t>
            </w:r>
          </w:p>
        </w:tc>
      </w:tr>
      <w:tr w:rsidR="00820309" w:rsidRPr="00E01E0B" w:rsidTr="006C2157">
        <w:trPr>
          <w:trHeight w:val="552"/>
          <w:tblHeader/>
        </w:trPr>
        <w:tc>
          <w:tcPr>
            <w:tcW w:w="969" w:type="dxa"/>
            <w:shd w:val="clear" w:color="auto" w:fill="auto"/>
          </w:tcPr>
          <w:p w:rsidR="00820309" w:rsidRPr="00E01E0B" w:rsidRDefault="00820309" w:rsidP="00D4559A">
            <w:pPr>
              <w:pStyle w:val="Tablewriting"/>
            </w:pPr>
            <w:r w:rsidRPr="00EC017C">
              <w:t>1349B</w:t>
            </w:r>
          </w:p>
        </w:tc>
        <w:tc>
          <w:tcPr>
            <w:tcW w:w="2400" w:type="dxa"/>
            <w:shd w:val="clear" w:color="auto" w:fill="auto"/>
          </w:tcPr>
          <w:p w:rsidR="00820309" w:rsidRPr="00E01E0B" w:rsidRDefault="00820309" w:rsidP="00D4559A">
            <w:pPr>
              <w:pStyle w:val="Tablewriting"/>
            </w:pPr>
            <w:r w:rsidRPr="00EC017C">
              <w:t>verteporfin 15 mg injection, 1 x 15 mg vial</w:t>
            </w:r>
          </w:p>
        </w:tc>
        <w:tc>
          <w:tcPr>
            <w:tcW w:w="1701" w:type="dxa"/>
            <w:shd w:val="clear" w:color="auto" w:fill="auto"/>
          </w:tcPr>
          <w:p w:rsidR="00820309" w:rsidRPr="00E01E0B" w:rsidRDefault="00820309" w:rsidP="00D4559A">
            <w:pPr>
              <w:pStyle w:val="Tablewriting"/>
              <w:jc w:val="center"/>
            </w:pPr>
            <w:r>
              <w:t>1</w:t>
            </w:r>
          </w:p>
        </w:tc>
        <w:tc>
          <w:tcPr>
            <w:tcW w:w="850" w:type="dxa"/>
            <w:shd w:val="clear" w:color="auto" w:fill="auto"/>
          </w:tcPr>
          <w:p w:rsidR="00820309" w:rsidRPr="00E01E0B" w:rsidRDefault="00820309" w:rsidP="00D4559A">
            <w:pPr>
              <w:pStyle w:val="Tablewriting"/>
              <w:jc w:val="center"/>
            </w:pPr>
            <w:r>
              <w:t>0</w:t>
            </w:r>
          </w:p>
        </w:tc>
        <w:tc>
          <w:tcPr>
            <w:tcW w:w="1134" w:type="dxa"/>
            <w:shd w:val="clear" w:color="auto" w:fill="auto"/>
          </w:tcPr>
          <w:p w:rsidR="00820309" w:rsidRPr="00E01E0B" w:rsidRDefault="00820309" w:rsidP="00D4559A">
            <w:pPr>
              <w:pStyle w:val="Tablewriting"/>
            </w:pPr>
            <w:r w:rsidRPr="00704DF1">
              <w:t>$2246.70</w:t>
            </w:r>
          </w:p>
        </w:tc>
        <w:tc>
          <w:tcPr>
            <w:tcW w:w="2126" w:type="dxa"/>
            <w:shd w:val="clear" w:color="auto" w:fill="auto"/>
          </w:tcPr>
          <w:p w:rsidR="00820309" w:rsidRDefault="00820309" w:rsidP="00D4559A">
            <w:pPr>
              <w:pStyle w:val="Tablewriting"/>
            </w:pPr>
            <w:r>
              <w:t>Visudyne</w:t>
            </w:r>
          </w:p>
          <w:p w:rsidR="00820309" w:rsidRPr="00E01E0B" w:rsidRDefault="00820309" w:rsidP="00D4559A">
            <w:pPr>
              <w:pStyle w:val="Tablewriting"/>
            </w:pPr>
            <w:r w:rsidRPr="002A570C">
              <w:t>Novartis Pharmaceuticals Australia Pty Limited</w:t>
            </w:r>
          </w:p>
        </w:tc>
      </w:tr>
    </w:tbl>
    <w:p w:rsidR="00820309" w:rsidRDefault="00820309" w:rsidP="00820309">
      <w:pPr>
        <w:pStyle w:val="Notes"/>
      </w:pPr>
      <w:r w:rsidRPr="001E23C5">
        <w:t>Source :http://www</w:t>
      </w:r>
      <w:r>
        <w:t>.pbs.gov.au/medicine/item/1349B</w:t>
      </w:r>
    </w:p>
    <w:p w:rsidR="00820309" w:rsidRPr="00E01E0B" w:rsidRDefault="00820309" w:rsidP="00820309">
      <w:pPr>
        <w:pStyle w:val="Tabletitle"/>
      </w:pPr>
      <w:r w:rsidRPr="00E01E0B">
        <w:t xml:space="preserve">Table </w:t>
      </w:r>
      <w:r w:rsidR="004F27C3">
        <w:rPr>
          <w:noProof/>
        </w:rPr>
        <w:t>4</w:t>
      </w:r>
      <w:r w:rsidRPr="00E01E0B">
        <w:t xml:space="preserve">: PBS listing of </w:t>
      </w:r>
      <w:r>
        <w:t>ranibizumab</w:t>
      </w:r>
    </w:p>
    <w:tbl>
      <w:tblPr>
        <w:tblStyle w:val="TableGrid"/>
        <w:tblW w:w="9180" w:type="dxa"/>
        <w:tblLayout w:type="fixed"/>
        <w:tblLook w:val="04A0" w:firstRow="1" w:lastRow="0" w:firstColumn="1" w:lastColumn="0" w:noHBand="0" w:noVBand="1"/>
        <w:tblCaption w:val="PBS listing of ranibizumab"/>
        <w:tblDescription w:val="Ranibizumab is available as a 2.3 mg of ranibizumab in 0.23 mL solution for intravitreal injection, and a pre-filled syringe containing 1.65 mg of ranibizuamb in 0.165mL solution"/>
      </w:tblPr>
      <w:tblGrid>
        <w:gridCol w:w="969"/>
        <w:gridCol w:w="2400"/>
        <w:gridCol w:w="1701"/>
        <w:gridCol w:w="850"/>
        <w:gridCol w:w="1134"/>
        <w:gridCol w:w="2126"/>
      </w:tblGrid>
      <w:tr w:rsidR="00820309" w:rsidRPr="0069151D" w:rsidTr="006C2157">
        <w:trPr>
          <w:trHeight w:val="694"/>
          <w:tblHeader/>
        </w:trPr>
        <w:tc>
          <w:tcPr>
            <w:tcW w:w="969"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Item</w:t>
            </w:r>
          </w:p>
        </w:tc>
        <w:tc>
          <w:tcPr>
            <w:tcW w:w="2400"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Name, form &amp; strength, pack size</w:t>
            </w:r>
          </w:p>
        </w:tc>
        <w:tc>
          <w:tcPr>
            <w:tcW w:w="1701"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 xml:space="preserve">Max. quant. </w:t>
            </w:r>
          </w:p>
        </w:tc>
        <w:tc>
          <w:tcPr>
            <w:tcW w:w="850"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 xml:space="preserve">Rpts </w:t>
            </w:r>
          </w:p>
        </w:tc>
        <w:tc>
          <w:tcPr>
            <w:tcW w:w="1134"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DPMQ</w:t>
            </w:r>
          </w:p>
        </w:tc>
        <w:tc>
          <w:tcPr>
            <w:tcW w:w="2126"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Brand name and manufacturer</w:t>
            </w:r>
          </w:p>
        </w:tc>
      </w:tr>
      <w:tr w:rsidR="00820309" w:rsidRPr="00E01E0B" w:rsidTr="006C2157">
        <w:trPr>
          <w:trHeight w:val="552"/>
          <w:tblHeader/>
        </w:trPr>
        <w:tc>
          <w:tcPr>
            <w:tcW w:w="969" w:type="dxa"/>
            <w:shd w:val="clear" w:color="auto" w:fill="auto"/>
          </w:tcPr>
          <w:p w:rsidR="00820309" w:rsidRPr="00E01E0B" w:rsidRDefault="00820309" w:rsidP="00D4559A">
            <w:pPr>
              <w:pStyle w:val="Tablewriting"/>
            </w:pPr>
            <w:r w:rsidRPr="002A570C">
              <w:t>1382R</w:t>
            </w:r>
          </w:p>
        </w:tc>
        <w:tc>
          <w:tcPr>
            <w:tcW w:w="2400" w:type="dxa"/>
            <w:shd w:val="clear" w:color="auto" w:fill="auto"/>
          </w:tcPr>
          <w:p w:rsidR="00820309" w:rsidRPr="00E01E0B" w:rsidRDefault="00820309" w:rsidP="00D4559A">
            <w:pPr>
              <w:pStyle w:val="Tablewriting"/>
            </w:pPr>
            <w:r w:rsidRPr="002A570C">
              <w:t>ranibizumab 2.3 mg/0.23 mL injection, 1 x 0.23 mL vial</w:t>
            </w:r>
          </w:p>
        </w:tc>
        <w:tc>
          <w:tcPr>
            <w:tcW w:w="1701" w:type="dxa"/>
            <w:shd w:val="clear" w:color="auto" w:fill="auto"/>
          </w:tcPr>
          <w:p w:rsidR="00820309" w:rsidRPr="00E01E0B" w:rsidRDefault="00820309" w:rsidP="00D4559A">
            <w:pPr>
              <w:pStyle w:val="Tablewriting"/>
              <w:jc w:val="center"/>
            </w:pPr>
            <w:r>
              <w:t>1</w:t>
            </w:r>
          </w:p>
        </w:tc>
        <w:tc>
          <w:tcPr>
            <w:tcW w:w="850" w:type="dxa"/>
            <w:shd w:val="clear" w:color="auto" w:fill="auto"/>
          </w:tcPr>
          <w:p w:rsidR="00820309" w:rsidRPr="00E01E0B" w:rsidRDefault="00820309" w:rsidP="00D4559A">
            <w:pPr>
              <w:pStyle w:val="Tablewriting"/>
              <w:jc w:val="center"/>
            </w:pPr>
            <w:r>
              <w:t>2</w:t>
            </w:r>
          </w:p>
        </w:tc>
        <w:tc>
          <w:tcPr>
            <w:tcW w:w="1134" w:type="dxa"/>
            <w:shd w:val="clear" w:color="auto" w:fill="auto"/>
          </w:tcPr>
          <w:p w:rsidR="00820309" w:rsidRPr="00E01E0B" w:rsidRDefault="00820309" w:rsidP="00D4559A">
            <w:pPr>
              <w:pStyle w:val="Tablewriting"/>
            </w:pPr>
            <w:r w:rsidRPr="002A570C">
              <w:t>$1431.</w:t>
            </w:r>
            <w:r>
              <w:t>50*</w:t>
            </w:r>
          </w:p>
        </w:tc>
        <w:tc>
          <w:tcPr>
            <w:tcW w:w="2126" w:type="dxa"/>
            <w:vMerge w:val="restart"/>
            <w:shd w:val="clear" w:color="auto" w:fill="auto"/>
          </w:tcPr>
          <w:p w:rsidR="00820309" w:rsidRDefault="00820309" w:rsidP="00D4559A">
            <w:pPr>
              <w:pStyle w:val="Tablewriting"/>
            </w:pPr>
            <w:r w:rsidRPr="002A570C">
              <w:t>Lucentis</w:t>
            </w:r>
          </w:p>
          <w:p w:rsidR="00820309" w:rsidRPr="00E01E0B" w:rsidRDefault="00820309" w:rsidP="00D4559A">
            <w:pPr>
              <w:pStyle w:val="Tablewriting"/>
            </w:pPr>
            <w:r w:rsidRPr="002A570C">
              <w:t>Novartis Pharmaceuticals Australia Pty Limited</w:t>
            </w:r>
          </w:p>
        </w:tc>
      </w:tr>
      <w:tr w:rsidR="00820309" w:rsidRPr="00E01E0B" w:rsidTr="006C2157">
        <w:trPr>
          <w:trHeight w:val="552"/>
          <w:tblHeader/>
        </w:trPr>
        <w:tc>
          <w:tcPr>
            <w:tcW w:w="969" w:type="dxa"/>
            <w:shd w:val="clear" w:color="auto" w:fill="auto"/>
          </w:tcPr>
          <w:p w:rsidR="00820309" w:rsidRPr="002A570C" w:rsidRDefault="00820309" w:rsidP="00D4559A">
            <w:pPr>
              <w:pStyle w:val="Tablewriting"/>
            </w:pPr>
            <w:r>
              <w:t>10138N</w:t>
            </w:r>
          </w:p>
        </w:tc>
        <w:tc>
          <w:tcPr>
            <w:tcW w:w="2400" w:type="dxa"/>
            <w:shd w:val="clear" w:color="auto" w:fill="auto"/>
          </w:tcPr>
          <w:p w:rsidR="00820309" w:rsidRPr="002A570C" w:rsidRDefault="00820309" w:rsidP="00D4559A">
            <w:pPr>
              <w:pStyle w:val="Tablewriting"/>
            </w:pPr>
            <w:r w:rsidRPr="00E51BEC">
              <w:t>ranibizumab 1.65 mg/0.165 mL injection, 1 x 0.165 mL syringe</w:t>
            </w:r>
          </w:p>
        </w:tc>
        <w:tc>
          <w:tcPr>
            <w:tcW w:w="1701" w:type="dxa"/>
            <w:shd w:val="clear" w:color="auto" w:fill="auto"/>
          </w:tcPr>
          <w:p w:rsidR="00820309" w:rsidRDefault="00820309" w:rsidP="00D4559A">
            <w:pPr>
              <w:pStyle w:val="Tablewriting"/>
              <w:jc w:val="center"/>
            </w:pPr>
            <w:r>
              <w:t>1</w:t>
            </w:r>
          </w:p>
        </w:tc>
        <w:tc>
          <w:tcPr>
            <w:tcW w:w="850" w:type="dxa"/>
            <w:shd w:val="clear" w:color="auto" w:fill="auto"/>
          </w:tcPr>
          <w:p w:rsidR="00820309" w:rsidRDefault="00820309" w:rsidP="00D4559A">
            <w:pPr>
              <w:pStyle w:val="Tablewriting"/>
              <w:jc w:val="center"/>
            </w:pPr>
            <w:r>
              <w:t>2</w:t>
            </w:r>
          </w:p>
        </w:tc>
        <w:tc>
          <w:tcPr>
            <w:tcW w:w="1134" w:type="dxa"/>
            <w:shd w:val="clear" w:color="auto" w:fill="auto"/>
          </w:tcPr>
          <w:p w:rsidR="00820309" w:rsidRPr="002A570C" w:rsidRDefault="00820309" w:rsidP="00D4559A">
            <w:pPr>
              <w:pStyle w:val="Tablewriting"/>
            </w:pPr>
            <w:r w:rsidRPr="00E51BEC">
              <w:t>$1431.50</w:t>
            </w:r>
            <w:r>
              <w:t>*</w:t>
            </w:r>
          </w:p>
        </w:tc>
        <w:tc>
          <w:tcPr>
            <w:tcW w:w="2126" w:type="dxa"/>
            <w:vMerge/>
            <w:shd w:val="clear" w:color="auto" w:fill="auto"/>
          </w:tcPr>
          <w:p w:rsidR="00820309" w:rsidRPr="002A570C" w:rsidRDefault="00820309" w:rsidP="00D4559A">
            <w:pPr>
              <w:pStyle w:val="Tablewriting"/>
            </w:pPr>
          </w:p>
        </w:tc>
      </w:tr>
    </w:tbl>
    <w:p w:rsidR="00820309" w:rsidRPr="00E01E0B" w:rsidRDefault="00820309" w:rsidP="00820309">
      <w:pPr>
        <w:pStyle w:val="Notes"/>
      </w:pPr>
      <w:r w:rsidRPr="00B81846">
        <w:t>*special pricing arrangement applies</w:t>
      </w:r>
      <w:r w:rsidRPr="00B81846">
        <w:br/>
      </w:r>
      <w:r w:rsidRPr="001E23C5">
        <w:t>Source: http://www.pbs.gov.au/medicine/item/10138N-1382R</w:t>
      </w:r>
    </w:p>
    <w:p w:rsidR="00820309" w:rsidRPr="001420B3" w:rsidRDefault="00820309" w:rsidP="00820309">
      <w:pPr>
        <w:pStyle w:val="Tabletitle"/>
      </w:pPr>
      <w:r w:rsidRPr="00E01E0B">
        <w:t xml:space="preserve">Table </w:t>
      </w:r>
      <w:r w:rsidR="004F27C3">
        <w:rPr>
          <w:noProof/>
        </w:rPr>
        <w:t>5</w:t>
      </w:r>
      <w:r w:rsidRPr="00E01E0B">
        <w:t xml:space="preserve">: PBS listing of </w:t>
      </w:r>
      <w:r>
        <w:t>aflibercept</w:t>
      </w:r>
    </w:p>
    <w:tbl>
      <w:tblPr>
        <w:tblStyle w:val="TableGrid"/>
        <w:tblW w:w="9180" w:type="dxa"/>
        <w:tblLayout w:type="fixed"/>
        <w:tblLook w:val="04A0" w:firstRow="1" w:lastRow="0" w:firstColumn="1" w:lastColumn="0" w:noHBand="0" w:noVBand="1"/>
        <w:tblCaption w:val="PBS listing of aflibercept"/>
        <w:tblDescription w:val="aflibercept is available as a vial containing 4 mg of aflibercept in 0.1 mL"/>
      </w:tblPr>
      <w:tblGrid>
        <w:gridCol w:w="969"/>
        <w:gridCol w:w="2400"/>
        <w:gridCol w:w="1701"/>
        <w:gridCol w:w="850"/>
        <w:gridCol w:w="1134"/>
        <w:gridCol w:w="2126"/>
      </w:tblGrid>
      <w:tr w:rsidR="00820309" w:rsidRPr="0069151D" w:rsidTr="006C2157">
        <w:trPr>
          <w:trHeight w:val="694"/>
          <w:tblHeader/>
        </w:trPr>
        <w:tc>
          <w:tcPr>
            <w:tcW w:w="969"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Item</w:t>
            </w:r>
          </w:p>
        </w:tc>
        <w:tc>
          <w:tcPr>
            <w:tcW w:w="2400"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Name, form &amp; strength, pack size</w:t>
            </w:r>
          </w:p>
        </w:tc>
        <w:tc>
          <w:tcPr>
            <w:tcW w:w="1701"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 xml:space="preserve">Max. quant. </w:t>
            </w:r>
          </w:p>
        </w:tc>
        <w:tc>
          <w:tcPr>
            <w:tcW w:w="850"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 xml:space="preserve">Rpts </w:t>
            </w:r>
          </w:p>
        </w:tc>
        <w:tc>
          <w:tcPr>
            <w:tcW w:w="1134"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DPMQ</w:t>
            </w:r>
          </w:p>
        </w:tc>
        <w:tc>
          <w:tcPr>
            <w:tcW w:w="2126" w:type="dxa"/>
            <w:shd w:val="clear" w:color="auto" w:fill="BFBFBF" w:themeFill="background1" w:themeFillShade="BF"/>
          </w:tcPr>
          <w:p w:rsidR="00820309" w:rsidRPr="0069151D" w:rsidRDefault="00820309" w:rsidP="00D4559A">
            <w:pPr>
              <w:pStyle w:val="Tableheading"/>
              <w:rPr>
                <w:sz w:val="20"/>
                <w:szCs w:val="20"/>
              </w:rPr>
            </w:pPr>
            <w:r w:rsidRPr="0069151D">
              <w:rPr>
                <w:sz w:val="20"/>
                <w:szCs w:val="20"/>
              </w:rPr>
              <w:t>Brand name and manufacturer</w:t>
            </w:r>
          </w:p>
        </w:tc>
      </w:tr>
      <w:tr w:rsidR="00820309" w:rsidRPr="00A35800" w:rsidTr="006C2157">
        <w:trPr>
          <w:trHeight w:val="552"/>
          <w:tblHeader/>
        </w:trPr>
        <w:tc>
          <w:tcPr>
            <w:tcW w:w="969" w:type="dxa"/>
            <w:shd w:val="clear" w:color="auto" w:fill="auto"/>
          </w:tcPr>
          <w:p w:rsidR="00820309" w:rsidRPr="00A35800" w:rsidRDefault="00820309" w:rsidP="00D4559A">
            <w:pPr>
              <w:pStyle w:val="Tablewriting"/>
            </w:pPr>
            <w:r>
              <w:t>2168D</w:t>
            </w:r>
          </w:p>
        </w:tc>
        <w:tc>
          <w:tcPr>
            <w:tcW w:w="2400" w:type="dxa"/>
            <w:shd w:val="clear" w:color="auto" w:fill="auto"/>
          </w:tcPr>
          <w:p w:rsidR="00820309" w:rsidRPr="00A35800" w:rsidRDefault="00820309" w:rsidP="00D4559A">
            <w:pPr>
              <w:pStyle w:val="Tablewriting"/>
            </w:pPr>
            <w:r w:rsidRPr="002A570C">
              <w:t>aflibercept 4 mg/0.1 mL injection, 1 x 0.1 mL vial</w:t>
            </w:r>
          </w:p>
        </w:tc>
        <w:tc>
          <w:tcPr>
            <w:tcW w:w="1701" w:type="dxa"/>
            <w:shd w:val="clear" w:color="auto" w:fill="auto"/>
          </w:tcPr>
          <w:p w:rsidR="00820309" w:rsidRPr="00A35800" w:rsidRDefault="00820309" w:rsidP="00D4559A">
            <w:pPr>
              <w:pStyle w:val="Tablewriting"/>
              <w:jc w:val="center"/>
            </w:pPr>
            <w:r>
              <w:t>1</w:t>
            </w:r>
          </w:p>
        </w:tc>
        <w:tc>
          <w:tcPr>
            <w:tcW w:w="850" w:type="dxa"/>
            <w:shd w:val="clear" w:color="auto" w:fill="auto"/>
          </w:tcPr>
          <w:p w:rsidR="00820309" w:rsidRPr="00A35800" w:rsidRDefault="00820309" w:rsidP="00D4559A">
            <w:pPr>
              <w:pStyle w:val="Tablewriting"/>
              <w:jc w:val="center"/>
            </w:pPr>
            <w:r>
              <w:t>2</w:t>
            </w:r>
          </w:p>
        </w:tc>
        <w:tc>
          <w:tcPr>
            <w:tcW w:w="1134" w:type="dxa"/>
            <w:shd w:val="clear" w:color="auto" w:fill="auto"/>
          </w:tcPr>
          <w:p w:rsidR="00820309" w:rsidRPr="00A35800" w:rsidRDefault="00820309" w:rsidP="00D4559A">
            <w:pPr>
              <w:pStyle w:val="Tablewriting"/>
            </w:pPr>
            <w:r w:rsidRPr="002A570C">
              <w:t>$1431.</w:t>
            </w:r>
            <w:r>
              <w:t>50*</w:t>
            </w:r>
          </w:p>
        </w:tc>
        <w:tc>
          <w:tcPr>
            <w:tcW w:w="2126" w:type="dxa"/>
            <w:shd w:val="clear" w:color="auto" w:fill="auto"/>
          </w:tcPr>
          <w:p w:rsidR="00820309" w:rsidRDefault="00820309" w:rsidP="00D4559A">
            <w:pPr>
              <w:pStyle w:val="Tablewriting"/>
            </w:pPr>
            <w:r>
              <w:t>Eylea</w:t>
            </w:r>
          </w:p>
          <w:p w:rsidR="00820309" w:rsidRPr="00A35800" w:rsidRDefault="00820309" w:rsidP="00D4559A">
            <w:pPr>
              <w:pStyle w:val="Tablewriting"/>
            </w:pPr>
            <w:r w:rsidRPr="002A570C">
              <w:t>Bayer Australia Ltd</w:t>
            </w:r>
          </w:p>
        </w:tc>
      </w:tr>
    </w:tbl>
    <w:p w:rsidR="00DF0B13" w:rsidRDefault="00820309" w:rsidP="00820309">
      <w:pPr>
        <w:pStyle w:val="Notes"/>
      </w:pPr>
      <w:r w:rsidRPr="00B81846">
        <w:t>*special pricing arrangement applies</w:t>
      </w:r>
      <w:r w:rsidRPr="00B81846">
        <w:br/>
      </w:r>
      <w:r w:rsidRPr="001E23C5">
        <w:t>Source: http://www.pbs.gov.au/medicine/item/2168D</w:t>
      </w:r>
    </w:p>
    <w:p w:rsidR="004C3186" w:rsidRDefault="004C3186" w:rsidP="00C245EA">
      <w:pPr>
        <w:pStyle w:val="Heading2"/>
      </w:pPr>
      <w:r>
        <w:t>Restriction</w:t>
      </w:r>
    </w:p>
    <w:p w:rsidR="00820309" w:rsidRDefault="00820309" w:rsidP="00820309">
      <w:r w:rsidRPr="001E312D">
        <w:t>Verteporfin is</w:t>
      </w:r>
      <w:r w:rsidRPr="00643181">
        <w:t xml:space="preserve"> PBS listed as an Authority Required listing as the sole PBS-subsidised therapy,</w:t>
      </w:r>
      <w:r w:rsidRPr="00EC017C">
        <w:t xml:space="preserve"> of predominantly (greater than or equal to 50%) classic, subfoveal choroidal neovascularisation (CNV) due to age-related macular degeneration (AMD), as diagnosed by fluorescein angiography, in a patient with a baseline visual acuity equal to or better than 6/60 (20/200). </w:t>
      </w:r>
    </w:p>
    <w:p w:rsidR="00820309" w:rsidRDefault="00820309" w:rsidP="00820309">
      <w:r w:rsidRPr="002A570C">
        <w:t>Ranibizumab</w:t>
      </w:r>
      <w:r>
        <w:t xml:space="preserve"> and aflibercept are PBS listed as Authority Required listings for treatment of s</w:t>
      </w:r>
      <w:r w:rsidRPr="00B43464">
        <w:t>ubfoveal choroidal neovascularisation (CNV) due to age-related macular degeneration (AMD), as diagnosed by fluorescein angiography.</w:t>
      </w:r>
      <w:r>
        <w:t xml:space="preserve"> </w:t>
      </w:r>
    </w:p>
    <w:p w:rsidR="000910BB" w:rsidRPr="006775F1" w:rsidRDefault="000910BB" w:rsidP="000910BB">
      <w:r w:rsidRPr="006775F1">
        <w:t xml:space="preserve">For </w:t>
      </w:r>
      <w:r>
        <w:t xml:space="preserve">details of the current PBS listing refer to the </w:t>
      </w:r>
      <w:hyperlink r:id="rId11" w:history="1">
        <w:r w:rsidRPr="00645D51">
          <w:rPr>
            <w:rStyle w:val="Hyperlink"/>
          </w:rPr>
          <w:t>PBS website</w:t>
        </w:r>
      </w:hyperlink>
      <w:r>
        <w:rPr>
          <w:rStyle w:val="Hyperlink"/>
        </w:rPr>
        <w:t>.</w:t>
      </w:r>
    </w:p>
    <w:p w:rsidR="009C35F2" w:rsidRPr="00675BB1" w:rsidRDefault="009C35F2" w:rsidP="00A6422E">
      <w:pPr>
        <w:pStyle w:val="Heading2"/>
        <w:keepNext/>
      </w:pPr>
      <w:r w:rsidRPr="00675BB1">
        <w:lastRenderedPageBreak/>
        <w:t>Date of listing on PBS</w:t>
      </w:r>
    </w:p>
    <w:p w:rsidR="00820309" w:rsidRDefault="00820309" w:rsidP="00820309">
      <w:pPr>
        <w:pStyle w:val="ListParagraph"/>
        <w:numPr>
          <w:ilvl w:val="0"/>
          <w:numId w:val="4"/>
        </w:numPr>
      </w:pPr>
      <w:r>
        <w:t>Ranibizumab listed 1 August 2007</w:t>
      </w:r>
    </w:p>
    <w:p w:rsidR="00820309" w:rsidRDefault="00820309" w:rsidP="00820309">
      <w:pPr>
        <w:pStyle w:val="ListParagraph"/>
        <w:numPr>
          <w:ilvl w:val="0"/>
          <w:numId w:val="4"/>
        </w:numPr>
      </w:pPr>
      <w:r>
        <w:t xml:space="preserve">Verteporfin listed </w:t>
      </w:r>
      <w:r w:rsidR="00165665">
        <w:t>1 August 2007</w:t>
      </w:r>
    </w:p>
    <w:p w:rsidR="00820309" w:rsidRPr="002D144A" w:rsidRDefault="00820309" w:rsidP="00820309">
      <w:pPr>
        <w:pStyle w:val="ListParagraph"/>
        <w:numPr>
          <w:ilvl w:val="0"/>
          <w:numId w:val="4"/>
        </w:numPr>
      </w:pPr>
      <w:r>
        <w:t>Aflibercept listed 1 December 2012</w:t>
      </w:r>
    </w:p>
    <w:p w:rsidR="00736041" w:rsidRPr="005E22C2" w:rsidRDefault="00394AEE" w:rsidP="00FE645A">
      <w:pPr>
        <w:pStyle w:val="Heading3"/>
      </w:pPr>
      <w:r>
        <w:t>Relevant aspects of</w:t>
      </w:r>
      <w:r w:rsidR="00736041" w:rsidRPr="005E22C2">
        <w:t xml:space="preserve"> consideration</w:t>
      </w:r>
      <w:r>
        <w:t xml:space="preserve"> by the Pharmaceutical Benefits Advisory Committee (PBAC)</w:t>
      </w:r>
    </w:p>
    <w:p w:rsidR="00820309" w:rsidRPr="00122FEE" w:rsidRDefault="00820309" w:rsidP="00820309">
      <w:pPr>
        <w:rPr>
          <w:b/>
          <w:i/>
        </w:rPr>
      </w:pPr>
      <w:r w:rsidRPr="00122FEE">
        <w:rPr>
          <w:b/>
          <w:i/>
        </w:rPr>
        <w:t>Verteporfin</w:t>
      </w:r>
    </w:p>
    <w:p w:rsidR="00820309" w:rsidRDefault="00820309" w:rsidP="00820309">
      <w:r w:rsidRPr="001E312D">
        <w:t>Verteporfin</w:t>
      </w:r>
      <w:r w:rsidRPr="0041335C">
        <w:t xml:space="preserve"> </w:t>
      </w:r>
      <w:r w:rsidRPr="00A34133">
        <w:t xml:space="preserve">was approved for listing at the </w:t>
      </w:r>
      <w:r>
        <w:t>November 2005</w:t>
      </w:r>
      <w:r w:rsidRPr="00A34133">
        <w:t xml:space="preserve"> PBAC meeting.</w:t>
      </w:r>
      <w:r w:rsidRPr="0041335C">
        <w:t xml:space="preserve"> The PBAC recommended listing on a cost-effectiveness basis for patients with AMD featuring predominantly classic lesions.</w:t>
      </w:r>
      <w:r>
        <w:t xml:space="preserve"> </w:t>
      </w:r>
    </w:p>
    <w:p w:rsidR="003D4E38" w:rsidRDefault="000910BB" w:rsidP="003D4E38">
      <w:r>
        <w:t xml:space="preserve">For further details refer to </w:t>
      </w:r>
      <w:r w:rsidRPr="00F65F0D">
        <w:t xml:space="preserve">the </w:t>
      </w:r>
      <w:hyperlink r:id="rId12" w:history="1">
        <w:r w:rsidRPr="003D4E38">
          <w:rPr>
            <w:rStyle w:val="Hyperlink"/>
          </w:rPr>
          <w:t>Public Summary Document</w:t>
        </w:r>
      </w:hyperlink>
      <w:r>
        <w:t xml:space="preserve"> </w:t>
      </w:r>
      <w:r w:rsidRPr="00F65F0D">
        <w:t xml:space="preserve"> from the </w:t>
      </w:r>
      <w:r>
        <w:t>November 2005</w:t>
      </w:r>
      <w:r w:rsidRPr="00F65F0D">
        <w:t xml:space="preserve"> </w:t>
      </w:r>
      <w:r>
        <w:t xml:space="preserve">PBAC </w:t>
      </w:r>
      <w:r w:rsidR="003D4E38">
        <w:t>meeting.</w:t>
      </w:r>
    </w:p>
    <w:p w:rsidR="00820309" w:rsidRPr="00122FEE" w:rsidRDefault="00820309" w:rsidP="00820309">
      <w:pPr>
        <w:rPr>
          <w:b/>
          <w:i/>
        </w:rPr>
      </w:pPr>
      <w:r w:rsidRPr="00122FEE">
        <w:rPr>
          <w:b/>
          <w:i/>
        </w:rPr>
        <w:t>Ranibizumab</w:t>
      </w:r>
    </w:p>
    <w:p w:rsidR="00820309" w:rsidRPr="009F29EB" w:rsidRDefault="00820309" w:rsidP="00820309">
      <w:r w:rsidRPr="00A34133">
        <w:t xml:space="preserve">Ranibizumab was approved for listing at the March 2007 PBAC meeting. The PBAC recommended listing on the PBS for the treatment of subfoveal choroidal neovascularisation (CNV) due to age related macular degeneration on a cost-effectiveness </w:t>
      </w:r>
      <w:r w:rsidRPr="009F29EB">
        <w:t>basis against verteporfin with photodynamic therapy in predominantly classic disease, and against placebo in minimally classic or occult disease. At this time the PBAC did not agree to the sponsor’s proposed “as needed” (pro re nata, “p.r.n.”) dosing regimen.</w:t>
      </w:r>
    </w:p>
    <w:p w:rsidR="00820309" w:rsidRPr="009F29EB" w:rsidRDefault="00820309" w:rsidP="00820309">
      <w:r w:rsidRPr="009F29EB">
        <w:t xml:space="preserve">Listing was recommended at the price proposed in the submission on the basis of an average incremental cost per extra quality adjusted life year (QALY) gained across all lesion types of $43,771, assuming a patient receives a total of 15 monthly injections of 0.5 mg ranibizumab in a single eye. </w:t>
      </w:r>
    </w:p>
    <w:p w:rsidR="00820309" w:rsidRDefault="000910BB" w:rsidP="00820309">
      <w:r>
        <w:t xml:space="preserve">For further details refer to </w:t>
      </w:r>
      <w:r w:rsidRPr="00F65F0D">
        <w:t xml:space="preserve">the </w:t>
      </w:r>
      <w:hyperlink r:id="rId13" w:history="1">
        <w:r w:rsidRPr="003D4E38">
          <w:rPr>
            <w:rStyle w:val="Hyperlink"/>
          </w:rPr>
          <w:t>Public Summary Document</w:t>
        </w:r>
      </w:hyperlink>
      <w:r>
        <w:t xml:space="preserve"> </w:t>
      </w:r>
      <w:r w:rsidRPr="00F65F0D">
        <w:t xml:space="preserve"> from the </w:t>
      </w:r>
      <w:r>
        <w:t>March 2007</w:t>
      </w:r>
      <w:r w:rsidRPr="00F65F0D">
        <w:t xml:space="preserve"> </w:t>
      </w:r>
      <w:r>
        <w:t xml:space="preserve">PBAC </w:t>
      </w:r>
      <w:r w:rsidR="003D4E38">
        <w:t>meeting.</w:t>
      </w:r>
    </w:p>
    <w:p w:rsidR="00820309" w:rsidRPr="0067116D" w:rsidRDefault="0067116D" w:rsidP="00820309">
      <w:pPr>
        <w:rPr>
          <w:highlight w:val="black"/>
        </w:rPr>
      </w:pPr>
      <w:r>
        <w:rPr>
          <w:noProof/>
          <w:color w:val="000000"/>
          <w:highlight w:val="black"/>
        </w:rPr>
        <w:t>''' ''''''''''''''''''''''' ''''''''''''''''''''' '''' ''''''''''' ''''''''' ''''''''''''''''''' '''''' '''''''''' '''''''''''''''''''''' ''''''' ''''''''''''''''''''''''''''''' '''' '''''''''''''''''''''''' '''''' '''''' '''''''''''''''''''' '''' '''''''''''''''''' ''''''''' ''''''' ''''' '''''''''' ''''''' '''''''''''''' '' ''''''''''''''''''''' ''''' ''''''' '''''''''''''''' '''' ''' '''''''' ''''''''' ''''''''''''''''' '''''' '''''''''''''' '''''''' ''''''' '''''''''''''''''''''''''</w:t>
      </w:r>
    </w:p>
    <w:p w:rsidR="00820309" w:rsidRPr="0067116D" w:rsidRDefault="0067116D" w:rsidP="00820309">
      <w:pPr>
        <w:rPr>
          <w:highlight w:val="black"/>
        </w:rPr>
      </w:pPr>
      <w:r>
        <w:rPr>
          <w:noProof/>
          <w:color w:val="000000"/>
          <w:highlight w:val="black"/>
        </w:rPr>
        <w:t xml:space="preserve">''''''' ''''''''''' ''''''''''''''''''''''' '''''''' ''''''''''''''''''''''''''''' ''''' '''''' ''''''''''''''' ''''''''''''''' '''''''''''''''''' '''''''' '''''''''''''''''' '''''''''''''''''' '''' '''''''''''' '''' ''''''''' ''' '''''''''''' ''''''''''' '''''''' ''''''' '''''''''''''''''''''' ''''' ''''''' ''''''''' '''''''''  </w:t>
      </w:r>
    </w:p>
    <w:p w:rsidR="00820309" w:rsidRPr="0067116D" w:rsidRDefault="0067116D" w:rsidP="00820309">
      <w:pPr>
        <w:rPr>
          <w:highlight w:val="black"/>
        </w:rPr>
      </w:pPr>
      <w:r>
        <w:rPr>
          <w:noProof/>
          <w:color w:val="000000"/>
          <w:highlight w:val="black"/>
        </w:rPr>
        <w:t>''''''' ''''''''' '''''''''''''' '''''' '''''''''''''''' '''''''' ''''''' ''''''''''''''''''''''''''' '''''''''''''''' '''''''''''''' '''''''''''''''''' ''''''' ''''''' '''''''''''''''''''''' ''''''' ''''''' '''''''''''''' ''''''''''''''''''' ''''''''''''''''''''' ''''' '''''''''''''' '''''' ''''''''''''''''''''''''' '''''''''''''''''''''' '''''''' ''''''' '''''''''' '''''''''''''''''''' '''''''''''''''''' '''''' '''''''''''''''''''''''' '''''''''''' '''''''''' '''' '''''''''''''''''' ''''' '''''''''''''''' '''' ''''''''''''''''' '''' ''''' '''''''' '''''''''''''''''' ''''''' '''''' '''''''''''' ''''''''''' ''''''' '''''''''''''''''' '''''''''''''''' ''''' ''''''' ''''''''''' '''' '''''''''''''''''''''</w:t>
      </w:r>
    </w:p>
    <w:p w:rsidR="00820309" w:rsidRPr="00122FEE" w:rsidRDefault="00820309" w:rsidP="00820309">
      <w:pPr>
        <w:rPr>
          <w:b/>
          <w:i/>
        </w:rPr>
      </w:pPr>
      <w:r w:rsidRPr="00122FEE">
        <w:rPr>
          <w:b/>
          <w:i/>
        </w:rPr>
        <w:lastRenderedPageBreak/>
        <w:t>Aflibercept</w:t>
      </w:r>
    </w:p>
    <w:p w:rsidR="00820309" w:rsidRDefault="00820309" w:rsidP="00820309">
      <w:r>
        <w:t xml:space="preserve">Aflibercept </w:t>
      </w:r>
      <w:r w:rsidRPr="00A34133">
        <w:t xml:space="preserve">was </w:t>
      </w:r>
      <w:r>
        <w:t>recommended</w:t>
      </w:r>
      <w:r w:rsidRPr="00A34133">
        <w:t xml:space="preserve"> for listing at the March </w:t>
      </w:r>
      <w:r>
        <w:t>2012</w:t>
      </w:r>
      <w:r w:rsidRPr="00A34133">
        <w:t xml:space="preserve"> PBAC meeting.</w:t>
      </w:r>
      <w:r>
        <w:t xml:space="preserve"> </w:t>
      </w:r>
      <w:r w:rsidRPr="00A34133">
        <w:t>Overall, the PBAC considered the submission’s claim that 2 mg aflibercept administered every second month following three initial monthly injections is non-inferior in terms of efficacy and safety to 0.5 mg of ranibizumab administered monthly (for maintenance of vision) was reasonable</w:t>
      </w:r>
      <w:r>
        <w:t>.</w:t>
      </w:r>
    </w:p>
    <w:p w:rsidR="00820309" w:rsidRDefault="00820309" w:rsidP="00820309">
      <w:r>
        <w:t>The PBAC noted the submission’s cost minimisation analysis compares a treatment frequency for ranibizumab of 8.8 injections per year (based on PBS data analysis for 12-month continuers only) with 7 injections per year for aflibercept. The PBAC noted that there is a high degree of uncertainty regarding the number of injections that will be administered in clinical practice for aflibercept. The analysis of utilisation of ranibizumab shows that this market is changing with longer duration of use and more frequent dosing of ranibizumab.</w:t>
      </w:r>
    </w:p>
    <w:p w:rsidR="00820309" w:rsidRDefault="00820309" w:rsidP="00820309">
      <w:r w:rsidRPr="00A34133">
        <w:t>The PBAC noted the DUSC review of ranibizumab also indicated that approximately 20% of patients were receiving bilateral treatment, and considered that the submission’s estimate of the number of prescriptions dispensed for aflibercept is likely to be underestimated as it is based on single eye treatment. Therefore, the PBAC considered that the price of aflibercept should be based on an injection: injection basis with ranibizumab and that the number of doses required each year should not be taken into account.</w:t>
      </w:r>
    </w:p>
    <w:p w:rsidR="00820309" w:rsidRDefault="00820309" w:rsidP="00820309">
      <w:r w:rsidRPr="001E312D">
        <w:t>The PBAC noted that there was no clinical evidence presented in the submission for use of aflibercept in patients who have failed or are unable to continue treatment with ranibizumab and therefore recommended that the restriction should limit use to treatment naïve patients.</w:t>
      </w:r>
    </w:p>
    <w:p w:rsidR="009F29EB" w:rsidRPr="009F29EB" w:rsidRDefault="000910BB" w:rsidP="00820309">
      <w:r>
        <w:t xml:space="preserve">For further details refer to </w:t>
      </w:r>
      <w:r w:rsidRPr="00F65F0D">
        <w:t xml:space="preserve">the </w:t>
      </w:r>
      <w:hyperlink r:id="rId14" w:history="1">
        <w:r w:rsidRPr="003D4E38">
          <w:rPr>
            <w:rStyle w:val="Hyperlink"/>
          </w:rPr>
          <w:t>Public Summary Document</w:t>
        </w:r>
      </w:hyperlink>
      <w:r>
        <w:t xml:space="preserve"> </w:t>
      </w:r>
      <w:r w:rsidRPr="00F65F0D">
        <w:t xml:space="preserve">from the </w:t>
      </w:r>
      <w:r>
        <w:t>March 2012</w:t>
      </w:r>
      <w:r w:rsidRPr="00F65F0D">
        <w:t xml:space="preserve"> </w:t>
      </w:r>
      <w:r>
        <w:t xml:space="preserve">PBAC </w:t>
      </w:r>
      <w:r w:rsidR="003B4E51">
        <w:t>meeting.</w:t>
      </w:r>
      <w:r w:rsidR="00C2129D">
        <w:t xml:space="preserve"> </w:t>
      </w:r>
    </w:p>
    <w:p w:rsidR="00820309" w:rsidRPr="009F29EB" w:rsidRDefault="00820309" w:rsidP="00820309">
      <w:r w:rsidRPr="009F29EB">
        <w:t>Prior to listing, aflibercept made a submission to the August 2012 PBAC special meeting</w:t>
      </w:r>
      <w:r w:rsidRPr="009F29EB">
        <w:rPr>
          <w:lang w:val="en-US"/>
        </w:rPr>
        <w:t xml:space="preserve"> which requested a change to the restriction recommended at the March 2012 PBAC meeting to allow use of aflibercept in patients who have received prior treatment with ranibizumab</w:t>
      </w:r>
      <w:r w:rsidRPr="009F29EB">
        <w:t xml:space="preserve">. </w:t>
      </w:r>
    </w:p>
    <w:p w:rsidR="00820309" w:rsidRPr="009F29EB" w:rsidRDefault="00820309" w:rsidP="00820309">
      <w:r w:rsidRPr="009F29EB">
        <w:t xml:space="preserve">The PBAC considered that the evidence presented in the submission was supportive of the claim that switching from ranibizumab to aflibercept was likely to have similar efficacy and safety as remaining on ranibizumab in patients who had demonstrated a response to treatment with ranibizumab.  However, the PBAC noted that the trials presented in the submission did not include patients who had failed to respond or were unable to continue treatment with ranibizumab.  The PBAC considered that it was appropriate to limit use of aflibercept in patients switching from ranibizumab to treatment responders, but acknowledged that to write a restriction around this would require inclusion of continuation rules which would be complex and difficult to administer.  The PBAC also noted that the restriction for ranibizumab does not require patients to demonstrate a response in order to access continuing treatment.  The PBAC considered that the invasive </w:t>
      </w:r>
      <w:r w:rsidRPr="009F29EB">
        <w:lastRenderedPageBreak/>
        <w:t>nature of treatment would likely limit use of anti-VEGF treatments in patients who are not achieving a clinical benefit.</w:t>
      </w:r>
    </w:p>
    <w:p w:rsidR="000F2F51" w:rsidRDefault="00ED633B" w:rsidP="00FE645A">
      <w:pPr>
        <w:pStyle w:val="Heading3"/>
      </w:pPr>
      <w:r>
        <w:t>A</w:t>
      </w:r>
      <w:r w:rsidR="000F2F51">
        <w:t xml:space="preserve">pproach </w:t>
      </w:r>
      <w:r>
        <w:t xml:space="preserve">taken to </w:t>
      </w:r>
      <w:r w:rsidR="000F2F51">
        <w:t>estimat</w:t>
      </w:r>
      <w:r>
        <w:t>e</w:t>
      </w:r>
      <w:r w:rsidR="000F2F51">
        <w:t xml:space="preserve"> utilisation</w:t>
      </w:r>
    </w:p>
    <w:p w:rsidR="00D4559A" w:rsidRPr="009337BB" w:rsidRDefault="00D4559A" w:rsidP="00D4559A">
      <w:pPr>
        <w:rPr>
          <w:b/>
          <w:i/>
        </w:rPr>
      </w:pPr>
      <w:r w:rsidRPr="009337BB">
        <w:rPr>
          <w:b/>
          <w:i/>
        </w:rPr>
        <w:t>Ranibizumab March 2007 PBAC submission</w:t>
      </w:r>
    </w:p>
    <w:p w:rsidR="00D4559A" w:rsidRPr="009F29EB" w:rsidRDefault="00D4559A" w:rsidP="00D4559A">
      <w:r w:rsidRPr="009F29EB">
        <w:t>The submission’s estimate of total number of packs of ranibizumab supplied (or prescriptions dispensed) per year assumed that all newly diagnosed eyes received 7 packs in their first year of treatment and continuing eyes received 6 packs in subsequent years, with the exception of the “continuing” cohort in year one</w:t>
      </w:r>
      <w:r w:rsidR="006943DF" w:rsidRPr="009F29EB">
        <w:t>. Most of the patients in the continuing cohort in year one</w:t>
      </w:r>
      <w:r w:rsidRPr="009F29EB">
        <w:t xml:space="preserve"> were counted as being new to ranibizumab treatment and assumed to receive 7 treatments, other than those who received ranibizumab via the Special Access Scheme, who will receive no more than 6 or 5 treatments in the first year of listing.  </w:t>
      </w:r>
    </w:p>
    <w:p w:rsidR="00D4559A" w:rsidRPr="009F29EB" w:rsidRDefault="00D4559A" w:rsidP="00D4559A">
      <w:r w:rsidRPr="009F29EB">
        <w:t>The 5-year economic model incorporated the effects of a proposal offering the PBS a refund for all treatments with ranibizumab beyond 15 injections per eye for the initial three years of listing. The PBAC recommended this maximum be set on a per patient basis, because it would be administratively difficult to monitor PBS usage on a per eye basis.</w:t>
      </w:r>
    </w:p>
    <w:p w:rsidR="00D4559A" w:rsidRPr="009F29EB" w:rsidRDefault="00D4559A" w:rsidP="00D4559A">
      <w:pPr>
        <w:rPr>
          <w:b/>
          <w:i/>
        </w:rPr>
      </w:pPr>
      <w:r w:rsidRPr="009F29EB">
        <w:rPr>
          <w:b/>
          <w:i/>
        </w:rPr>
        <w:t>Aflibercept March 2012 PBAC submission</w:t>
      </w:r>
    </w:p>
    <w:p w:rsidR="00D4559A" w:rsidRPr="0067116D" w:rsidRDefault="0067116D" w:rsidP="00D4559A">
      <w:pPr>
        <w:rPr>
          <w:highlight w:val="black"/>
        </w:rPr>
      </w:pPr>
      <w:r>
        <w:rPr>
          <w:noProof/>
          <w:color w:val="000000"/>
          <w:highlight w:val="black"/>
        </w:rPr>
        <w:t xml:space="preserve">''''''' ''''''''' '''''''''''''''''''' '''''''' '''''''''' ''''' ''' ''''''''''''''''''' ''''''' '''''''' ''''' ''''''''''''''''''''' ''''''''''''' '''''' '''''' ''''''''''''''''''''''''''''' ''''''''''''''''' '''' ''''''''''' ''''''''''''''''' '''''''''''''''''' ''''''' ''''''''' '''''''''''''' ''''''''''''''''''' ''''''''''' '''''''' ''''''''''''''''' ''''''' '''''' ''''''''''''''''''' '''''' ''''''''' ''''' ''''''''''''''''''''' '''''''''''''' '''''' '''''''''''''''' '''''''''''''''''''''' ''''' '''' ''''''''''''''''''''''''' '''''' '''''' ''''''''''' ''''''''' '''''''''''''''' ''''''''' ''''''''''''''''''' ''''''''''''''''' '''''''' '''''''''''''''' ''''''''''''''''''' ''''''''''''''' '''''''' ''''''''' '''''''''''''''''''' '''''''''' '''''''''''''''' '''' '''''''' ''''''''' ''''''' ''''''''''''''''''' '''''' ''''''''''''''''' '''''''''''''''' '''' ''''''''''''''''''''''''' ''''''''''''''''' '''''' ''''''''''''''' '''''' ''''''''''''''''''' ''''''''' '''''''' ''''''''''''''''''''''' ''''''''' ''' '''''' ''''''' ''''''''' ''''' '''''''''''''''''''' </w:t>
      </w:r>
    </w:p>
    <w:p w:rsidR="00D4559A" w:rsidRPr="0067116D" w:rsidRDefault="0067116D" w:rsidP="00D4559A">
      <w:pPr>
        <w:rPr>
          <w:highlight w:val="black"/>
        </w:rPr>
      </w:pPr>
      <w:r>
        <w:rPr>
          <w:noProof/>
          <w:color w:val="000000"/>
          <w:highlight w:val="black"/>
        </w:rPr>
        <w:t xml:space="preserve">''''''' '''''''''''''''''''' ''''''''''''''''' ''''''''''''' ''''''''''''' '''''' ''''''''''''' '''' ''''''''''''''' ''''''''''''''''' '''''''''' '''' '''''''''''''''' ''''''''''''' '''''''''''' ''''''''''''''' ''''''''' ''''''''''''''''''''''''''' '''''' ''''''''''''''''''''' ''''''''''' '''''''' '''''''''' ''''''''''''''''''' ''''''''''''' '''''''' '''''' ''''''''''''''''' '''' '''''''''''' ''''''''''''''''''' '''''''''''''''' '''''''''''' '''''''''''''' '''''''''' '''''''''''''''''' '''''''''''' ''''''''' ''''''''''''''''''''''''' ''''''' ''''''''''''''''' ''''''''' ''''''''' '''''' '''' ''''''' ''''''' ''''' '''''''' '''' ''''''' '''''''' '''''''''''''''' '''''''' ''''''''' '''''' ''''''''''''''''''' '''''''' '''''''''''''''''''''' '''' ''''''''''''''''''''' ''''' '''''' '''''''' '''' '''''''' ''' '''''' ''''' '''''''' ''''''''' '''' '''''''''''''' ''' ''''''''''''' ''''''''''' '''''''' '''''''''''''''''''' '''''' ''''''' ''''''''''''' ''''' '''''''''''''''''' ''''' ''''''''''''''' '''''''''''''''''' '''''''''''''''' '''''''''''''''''''''  </w:t>
      </w:r>
    </w:p>
    <w:p w:rsidR="00D4559A" w:rsidRPr="0067116D" w:rsidRDefault="0067116D" w:rsidP="00D4559A">
      <w:pPr>
        <w:rPr>
          <w:szCs w:val="20"/>
          <w:highlight w:val="black"/>
        </w:rPr>
      </w:pPr>
      <w:r>
        <w:rPr>
          <w:noProof/>
          <w:color w:val="000000"/>
          <w:szCs w:val="20"/>
          <w:highlight w:val="black"/>
        </w:rPr>
        <w:t xml:space="preserve">'''''''' ''''''''''' ''''''''''''''''''''''''''''' '''''''''' ''''''''''''''''''' ''''' ''' ''''''''''''''''''''''''''''''''''' '''''''''' '''''''' '''''''''''''''''''''''''' ''''''''' '''''''' '''''''''''''''''''''' ''' '''''' ''''''''''''''''' ''''''''''' '''''''''''''''''' ''''' ''''''' ''''''''''''''''''''''' '''''' '''''' '''''''''''''''''  '''''''' ''''''''''' ''''''' ''''''''''''''''''''''''' ''''''' ''''' '''''''''''''''''''''' '''''''''' '''''''' ''''''''''''''''''' '''''''''''''''''''' ''''' ''''''''''''''''''''' '''''''' '''''''' '''''' '''''''''' ''''' '''''''''''''''''''' ''''''''''' ''''' '''''''''''''''''''''''' ''''' '''''' ''''''' ''''''' ''''''' ''''''''' '''''''''''''''''''''''' ''''''' '''''''''''''''''''' '''''''''''' ''''''''''' ''''''' ''''''''''' '''''''  </w:t>
      </w:r>
    </w:p>
    <w:p w:rsidR="00D4559A" w:rsidRPr="0067116D" w:rsidRDefault="0067116D" w:rsidP="00D4559A">
      <w:pPr>
        <w:rPr>
          <w:highlight w:val="black"/>
        </w:rPr>
      </w:pPr>
      <w:r>
        <w:rPr>
          <w:noProof/>
          <w:color w:val="000000"/>
          <w:szCs w:val="20"/>
          <w:highlight w:val="black"/>
        </w:rPr>
        <w:t xml:space="preserve">'''''''' '''''''''' ''''''''''' '''''' ''''''''''''''''''''''''' '''''''' '''''''''''''''''''''''' ''''''''''''' '''''''''''''''''' ''' '''''''''''''''''''' ''''''''''''''''' '''''' ''''''''''''''''''''''''' '''' '''''' '''''''''''''''' '''''' ''''''''' ''''''''''''' '''''' '''''''' ''''''''' ''''''''''''''' ''''' '''''''''''''''' ''''''''''''''''''' '''''''''' ''''''''' ''' ''''''''''''''''''' ''''''' '''''''' '''''' ''''''''''''''''''''''' '''''''''''''''''' '''' ''' ''''''''' </w:t>
      </w:r>
      <w:r>
        <w:rPr>
          <w:noProof/>
          <w:color w:val="000000"/>
          <w:szCs w:val="20"/>
          <w:highlight w:val="black"/>
        </w:rPr>
        <w:lastRenderedPageBreak/>
        <w:t>''''''''' ''''''''''''''''' ''''' ''''''''''''''''''' ''''''''''''' '''' '''''''''''''''''''''''''  ''''''' ''''''''''' ''''''''''' ''''''' ''''''''' '''''''''''''' '''''''''''''''' '''''''' ''''''''''''''''''''''' '''' ''''''' '''' ''''''' ''''''''''' '''''''''''''''''''''''' ''''''''''''''''''' ''''''' ''' ''' ''''''''''''''''' ''''''''''''''' '''''''''''''''' '''''''''''''''' ''''''''' ''''''''''''''''''' '''''''''''' '''''''''''''' ''''''''''' '''''''''''''''''' ''''' '''''' ''''''''' '''''' ''''''''''''''' '''''''''''''''' '''' ''''''''''''''''' '''' '''''' '''''''' ''''' '''''''''''''' ''''' ''''''''''''''''' ''''''' ''''''''''' ''''''' '''''' ''''''''' '''''''''''' '''''''''''''''''''' ''''''''' ''''''''''''''''''''' ''''''''''''''''' ''''''''''' ''''''''''''''''''''''''' '''''''''''''''''''' ''''''' '''' ''''''''''''''''''' '''''''''''''''''''' ''''' '''''''''''''' '''''''''''''''''''' ''''''' ''''''''''''''' '''''''''''''' ''''''''''''''''''''''' '''''''' '''''' ''''''''''''''''''''' ''''''''' '''' ''''''''''' ''''''''''' '''' '''''''''''''' ''''''''''''''''''''</w:t>
      </w:r>
    </w:p>
    <w:p w:rsidR="00094DCF" w:rsidRPr="009F29EB" w:rsidRDefault="00ED633B" w:rsidP="00FE645A">
      <w:pPr>
        <w:pStyle w:val="Heading3"/>
      </w:pPr>
      <w:r w:rsidRPr="009F29EB">
        <w:t xml:space="preserve">Previous reviews by </w:t>
      </w:r>
      <w:r w:rsidR="00177B86" w:rsidRPr="009F29EB">
        <w:t xml:space="preserve">the </w:t>
      </w:r>
      <w:r w:rsidRPr="009F29EB">
        <w:t>DUSC</w:t>
      </w:r>
    </w:p>
    <w:p w:rsidR="00D4559A" w:rsidRPr="009F29EB" w:rsidRDefault="00D4559A" w:rsidP="00D4559A">
      <w:r w:rsidRPr="009F29EB">
        <w:t xml:space="preserve">A predicted versus actual analysis of ranibizumab considered by DUSC in June 2009 found that the actual numbers of patients receiving ranibizumab were greater than estimated but the number of  prescriptions/injections supplied and R/PBS benefits paid during the first year of listing were lower than estimated. </w:t>
      </w:r>
    </w:p>
    <w:p w:rsidR="00D4559A" w:rsidRPr="00963617" w:rsidRDefault="00D4559A" w:rsidP="00D4559A">
      <w:r w:rsidRPr="009F29EB">
        <w:t xml:space="preserve">A subsequent analysis of ranibizumab, considered by DUSC in February 2012, found that patterns of treatment did not match to the suggested once monthly treatment recommendation. The average number of prescriptions per patient in their first twelve months of treatment was lower than expected, but was increasing over time. In a cohort commencing </w:t>
      </w:r>
      <w:r>
        <w:t>in August 2007 each patient had on average 5.84 prescriptions in the first 12 months and a cohort commencing in August 2010 had 7.42 in the first 12 months.</w:t>
      </w:r>
    </w:p>
    <w:p w:rsidR="00D4559A" w:rsidRDefault="00630DEE" w:rsidP="00D4559A">
      <w:r>
        <w:t xml:space="preserve">The </w:t>
      </w:r>
      <w:r w:rsidR="00D4559A">
        <w:t>DUSC noted that with an ageing population and the correlation between age and age related macular degeneration, the prevalence rates are likely to continue to increase and thus the number of patients treated is also likely to increase. The Committee also questioned whether the pattern of treatment varied based on age, and if more aggressive treatment protocols were used in younger patients.</w:t>
      </w:r>
    </w:p>
    <w:p w:rsidR="00ED633B" w:rsidRDefault="00D4559A" w:rsidP="00D4559A">
      <w:r>
        <w:t xml:space="preserve">This review was considered by the PBAC at its March 2012 meeting. </w:t>
      </w:r>
      <w:r w:rsidRPr="00417F40">
        <w:t xml:space="preserve">The PBAC noted that the treated prevalence of CNV-AMD is continuing to increase and patients are being treated for a longer period than expected in the original submission for ranibizumab considered by the PBAC. The number of prescriptions per patient in the first 12-months of therapy is also increasing reflecting clinician’s using more frequent administration of ranibizumab over the 4 years since listing. A response to the review provided to DUSC on behalf of retinal specialists reported that clinicians are using a “treat and extend” regimen for management of CNV-AMD which is similar to the protocol in </w:t>
      </w:r>
      <w:r w:rsidR="00117CAF">
        <w:t xml:space="preserve">the </w:t>
      </w:r>
      <w:r w:rsidRPr="00417F40">
        <w:t>CATT Trial.</w:t>
      </w:r>
    </w:p>
    <w:p w:rsidR="00E677DD" w:rsidRPr="005E22C2" w:rsidRDefault="00E677DD" w:rsidP="00587724">
      <w:pPr>
        <w:pStyle w:val="Heading4"/>
      </w:pPr>
      <w:r w:rsidRPr="005E22C2">
        <w:t>Method</w:t>
      </w:r>
      <w:r w:rsidR="001B5D37" w:rsidRPr="005E22C2">
        <w:t>s</w:t>
      </w:r>
    </w:p>
    <w:p w:rsidR="00D4559A" w:rsidRDefault="00D4559A" w:rsidP="003D4E38">
      <w:r>
        <w:t xml:space="preserve">Prescription data </w:t>
      </w:r>
      <w:r w:rsidRPr="00143FC1">
        <w:t xml:space="preserve">were extracted from </w:t>
      </w:r>
      <w:r>
        <w:t xml:space="preserve">the </w:t>
      </w:r>
      <w:r w:rsidRPr="00143FC1">
        <w:t xml:space="preserve">Department of Human Services </w:t>
      </w:r>
      <w:r>
        <w:t xml:space="preserve">(DHS) </w:t>
      </w:r>
      <w:r w:rsidRPr="00143FC1">
        <w:t>Medicare Pharmacy Claims database</w:t>
      </w:r>
      <w:r w:rsidRPr="00143FC1" w:rsidDel="002136B0">
        <w:t xml:space="preserve"> </w:t>
      </w:r>
      <w:r w:rsidRPr="00143FC1">
        <w:t xml:space="preserve">for the period </w:t>
      </w:r>
      <w:r>
        <w:t>August 2007</w:t>
      </w:r>
      <w:r w:rsidRPr="00143FC1">
        <w:t xml:space="preserve"> </w:t>
      </w:r>
      <w:r w:rsidRPr="002D325D">
        <w:t xml:space="preserve">to </w:t>
      </w:r>
      <w:r w:rsidRPr="00643181">
        <w:t>December</w:t>
      </w:r>
      <w:r>
        <w:t xml:space="preserve"> 2014</w:t>
      </w:r>
      <w:r w:rsidRPr="00143FC1">
        <w:t>, inclusive.</w:t>
      </w:r>
      <w:r>
        <w:t xml:space="preserve"> </w:t>
      </w:r>
    </w:p>
    <w:p w:rsidR="00D4559A" w:rsidRDefault="00D4559A" w:rsidP="00D4559A">
      <w:r>
        <w:t>The number of prescriptions is presented for aflibercept, ranibizumab and verteporfin. As verteporfin use is very low, the number of patients and prescription per patient analyses are conducted for aflibercept and ranibizumab only.</w:t>
      </w:r>
    </w:p>
    <w:p w:rsidR="003D4E38" w:rsidRPr="006943DF" w:rsidRDefault="003D4E38" w:rsidP="003D4E38">
      <w:r w:rsidRPr="006943DF">
        <w:t xml:space="preserve">As this analysis uses date of supply prescription data, there may be small differences compared with publicly available Department of Human Services (DHS) Medicare date of </w:t>
      </w:r>
      <w:r w:rsidRPr="006943DF">
        <w:lastRenderedPageBreak/>
        <w:t>processing data.</w:t>
      </w:r>
      <w:r w:rsidRPr="006943DF">
        <w:rPr>
          <w:rStyle w:val="FootnoteReference"/>
        </w:rPr>
        <w:footnoteReference w:id="1"/>
      </w:r>
      <w:r w:rsidRPr="006943DF">
        <w:t xml:space="preserve">  The publicly available DHS Medicare data only includes subsidised R/PBS prescriptions with prescriptions under the patient co-payment not included.  The DHS Medicare data used in this report includes under co-payment prescriptions from 1 April 2012.</w:t>
      </w:r>
    </w:p>
    <w:p w:rsidR="00D4559A" w:rsidRPr="008F4061" w:rsidRDefault="00D4559A" w:rsidP="00D4559A">
      <w:pPr>
        <w:rPr>
          <w:b/>
        </w:rPr>
      </w:pPr>
      <w:r>
        <w:rPr>
          <w:b/>
        </w:rPr>
        <w:t>Overall Utilisation</w:t>
      </w:r>
    </w:p>
    <w:p w:rsidR="00D4559A" w:rsidRDefault="00D4559A" w:rsidP="00D4559A">
      <w:r>
        <w:t>The number of patients supplied ranibizumab and/or aflibercept was determined by counting the number of deidentified personal identification numbers (PINs) in the prescription data over the specified time period. Incident patients are identified by their first prescription for either ranibizumab or aflibercept, since the PBS listing of ranibizumab on 1 August 2007.</w:t>
      </w:r>
      <w:r w:rsidRPr="00143FC1">
        <w:t xml:space="preserve"> </w:t>
      </w:r>
      <w:r>
        <w:t>A patient is assumed to remain on treatment if he or she had further prescriptions of either ranibizumab or aflibercept, no matter how much time has elapsed since the last treatment, whether the patient has been authorised for a second eye, or whether the patient has switched medicine.</w:t>
      </w:r>
    </w:p>
    <w:p w:rsidR="00D4559A" w:rsidRDefault="00D4559A" w:rsidP="00D4559A">
      <w:r w:rsidRPr="00602FC8">
        <w:t>Novartis ran an access program before the listing of ranibizumab on the PBS</w:t>
      </w:r>
      <w:r w:rsidRPr="00CD4B38">
        <w:t xml:space="preserve"> on 1 August 2007. </w:t>
      </w:r>
      <w:r w:rsidRPr="00602FC8">
        <w:t xml:space="preserve">Grandfathered and incident patients are grouped in the current analysis.  </w:t>
      </w:r>
    </w:p>
    <w:p w:rsidR="00D4559A" w:rsidRPr="00353B34" w:rsidRDefault="00D4559A" w:rsidP="00D4559A">
      <w:pPr>
        <w:rPr>
          <w:b/>
        </w:rPr>
      </w:pPr>
      <w:r w:rsidRPr="00353B34">
        <w:rPr>
          <w:b/>
        </w:rPr>
        <w:t>Patient characteristics</w:t>
      </w:r>
    </w:p>
    <w:p w:rsidR="00D4559A" w:rsidRDefault="00D4559A" w:rsidP="00D4559A">
      <w:r>
        <w:t xml:space="preserve">The characteristics of age </w:t>
      </w:r>
      <w:r w:rsidRPr="00B373F9">
        <w:t>and state of residence</w:t>
      </w:r>
      <w:r>
        <w:t>,</w:t>
      </w:r>
      <w:r w:rsidRPr="00B373F9">
        <w:t xml:space="preserve"> </w:t>
      </w:r>
      <w:r>
        <w:t xml:space="preserve">as determined by Medicare enrolment, </w:t>
      </w:r>
      <w:r w:rsidRPr="00B373F9">
        <w:t>of patients</w:t>
      </w:r>
      <w:r>
        <w:t xml:space="preserve"> are reported. These characteristics are identified at the initial prescription.</w:t>
      </w:r>
    </w:p>
    <w:p w:rsidR="00D4559A" w:rsidRDefault="00D4559A" w:rsidP="00D4559A">
      <w:pPr>
        <w:rPr>
          <w:b/>
        </w:rPr>
      </w:pPr>
      <w:r>
        <w:rPr>
          <w:b/>
        </w:rPr>
        <w:t>N</w:t>
      </w:r>
      <w:r w:rsidRPr="00C90C6C">
        <w:rPr>
          <w:b/>
        </w:rPr>
        <w:t xml:space="preserve">umber of </w:t>
      </w:r>
      <w:r>
        <w:rPr>
          <w:b/>
        </w:rPr>
        <w:t>injections</w:t>
      </w:r>
      <w:r w:rsidRPr="00C90C6C">
        <w:rPr>
          <w:b/>
        </w:rPr>
        <w:t xml:space="preserve"> </w:t>
      </w:r>
      <w:r>
        <w:rPr>
          <w:b/>
        </w:rPr>
        <w:t>per patient</w:t>
      </w:r>
    </w:p>
    <w:p w:rsidR="00D4559A" w:rsidRDefault="00D4559A" w:rsidP="00D4559A">
      <w:r>
        <w:t>The number of treatments per patient per year was examined using deidentified individual patient data. The cohorts comprised patients who were supplied an initial prescription for an AMD medicine (either ranibizumab or aflibercept) in each calendar year. Patients’ prescription histories were followed for 12 month periods, from the date of their first supplied prescription, to the end of December 2014. The follow-up period varies from one year</w:t>
      </w:r>
      <w:r w:rsidRPr="00BE2873">
        <w:t xml:space="preserve"> </w:t>
      </w:r>
      <w:r>
        <w:t xml:space="preserve">for those who initiated treatment in 2013, to seven years for those who initiated in 2007. For patients initiating in 2014 there is insufficient follow-up data to assess the number of injections supplied over a full 12 months.  </w:t>
      </w:r>
    </w:p>
    <w:p w:rsidR="00D4559A" w:rsidRDefault="00D4559A" w:rsidP="00D4559A">
      <w:r>
        <w:t>The injections per patient analyses are presented as mean and median for each available 12 month period for each cohort.</w:t>
      </w:r>
    </w:p>
    <w:p w:rsidR="00D4559A" w:rsidRDefault="00D4559A" w:rsidP="00D4559A">
      <w:r>
        <w:t>To assess the patterns of use once aflibercept became available, the analysis of the cohort of patients who initiated in the first year listing year (1 December 2012 to 30 November 2013) are further examined by their initiating and subsequent drugs.</w:t>
      </w:r>
    </w:p>
    <w:p w:rsidR="00E677DD" w:rsidRDefault="00D4559A" w:rsidP="00D4559A">
      <w:r>
        <w:t>Analyses were undertaken in SAS.</w:t>
      </w:r>
    </w:p>
    <w:p w:rsidR="00C714D0" w:rsidRPr="005E22C2" w:rsidRDefault="00C714D0" w:rsidP="00A6422E">
      <w:pPr>
        <w:pStyle w:val="Heading4"/>
        <w:keepNext/>
      </w:pPr>
      <w:r w:rsidRPr="005E22C2">
        <w:lastRenderedPageBreak/>
        <w:t>Results</w:t>
      </w:r>
    </w:p>
    <w:p w:rsidR="00736041" w:rsidRPr="005E22C2"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1F4906">
      <w:pPr>
        <w:pStyle w:val="Heading2"/>
      </w:pPr>
      <w:r w:rsidRPr="00F37C73">
        <w:t>Overall utilisation</w:t>
      </w:r>
    </w:p>
    <w:p w:rsidR="00D4559A" w:rsidRPr="00002AA0" w:rsidRDefault="007F4A04" w:rsidP="00D4559A">
      <w:r>
        <w:t>Figure 1 and Table 6</w:t>
      </w:r>
      <w:r w:rsidR="00D4559A">
        <w:t xml:space="preserve"> show the number of patients starting treatment with PBS subsidised aflibercept or ranibizumab for the first time (initiating), and the total number of patients receiving treatment with aflibercept or ranibizumab (prevalent). </w:t>
      </w:r>
    </w:p>
    <w:p w:rsidR="00D4559A" w:rsidRPr="009337BB" w:rsidRDefault="00D4559A" w:rsidP="00D4559A">
      <w:pPr>
        <w:rPr>
          <w:rFonts w:eastAsiaTheme="majorEastAsia" w:cstheme="majorBidi"/>
          <w:b/>
          <w:color w:val="1F497D" w:themeColor="text2"/>
          <w:lang w:val="en-US"/>
        </w:rPr>
      </w:pPr>
      <w:r>
        <w:rPr>
          <w:noProof/>
        </w:rPr>
        <w:drawing>
          <wp:inline distT="0" distB="0" distL="0" distR="0" wp14:anchorId="20808CFB" wp14:editId="7EAD496E">
            <wp:extent cx="5687695" cy="3712193"/>
            <wp:effectExtent l="0" t="0" r="27305" b="22225"/>
            <wp:docPr id="4" name="Chart 4" descr="Number of initial patients is steady at around 700 per month, the number of patients treated each month is growing and reached 17,454 in December 2014 " title="Number of initial patients and all patients treated each month from August 2007 to December 2014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30B50">
        <w:rPr>
          <w:rStyle w:val="FiguretitleChar"/>
          <w:rFonts w:asciiTheme="minorHAnsi" w:hAnsiTheme="minorHAnsi"/>
        </w:rPr>
        <w:t xml:space="preserve">Figure </w:t>
      </w:r>
      <w:r>
        <w:rPr>
          <w:rStyle w:val="FiguretitleChar"/>
          <w:rFonts w:asciiTheme="minorHAnsi" w:hAnsiTheme="minorHAnsi"/>
        </w:rPr>
        <w:t>1</w:t>
      </w:r>
      <w:r w:rsidRPr="00430B50">
        <w:rPr>
          <w:rStyle w:val="FiguretitleChar"/>
          <w:rFonts w:asciiTheme="minorHAnsi" w:hAnsiTheme="minorHAnsi"/>
        </w:rPr>
        <w:t xml:space="preserve">: Number of initial </w:t>
      </w:r>
      <w:r>
        <w:rPr>
          <w:rStyle w:val="FiguretitleChar"/>
          <w:rFonts w:asciiTheme="minorHAnsi" w:hAnsiTheme="minorHAnsi"/>
        </w:rPr>
        <w:t xml:space="preserve">patients </w:t>
      </w:r>
      <w:r w:rsidRPr="00430B50">
        <w:rPr>
          <w:rStyle w:val="FiguretitleChar"/>
          <w:rFonts w:asciiTheme="minorHAnsi" w:hAnsiTheme="minorHAnsi"/>
        </w:rPr>
        <w:t xml:space="preserve">and </w:t>
      </w:r>
      <w:r>
        <w:rPr>
          <w:rStyle w:val="FiguretitleChar"/>
          <w:rFonts w:asciiTheme="minorHAnsi" w:hAnsiTheme="minorHAnsi"/>
        </w:rPr>
        <w:t xml:space="preserve">all </w:t>
      </w:r>
      <w:r w:rsidRPr="00430B50">
        <w:rPr>
          <w:rStyle w:val="FiguretitleChar"/>
          <w:rFonts w:asciiTheme="minorHAnsi" w:hAnsiTheme="minorHAnsi"/>
        </w:rPr>
        <w:t xml:space="preserve">patients treated </w:t>
      </w:r>
      <w:r>
        <w:rPr>
          <w:rStyle w:val="FiguretitleChar"/>
          <w:rFonts w:asciiTheme="minorHAnsi" w:hAnsiTheme="minorHAnsi"/>
        </w:rPr>
        <w:t>each</w:t>
      </w:r>
      <w:r w:rsidRPr="00430B50">
        <w:rPr>
          <w:rStyle w:val="FiguretitleChar"/>
          <w:rFonts w:asciiTheme="minorHAnsi" w:hAnsiTheme="minorHAnsi"/>
        </w:rPr>
        <w:t xml:space="preserve"> month from August 2007 to </w:t>
      </w:r>
      <w:r>
        <w:rPr>
          <w:rStyle w:val="FiguretitleChar"/>
          <w:rFonts w:asciiTheme="minorHAnsi" w:hAnsiTheme="minorHAnsi"/>
        </w:rPr>
        <w:t>December 2014</w:t>
      </w:r>
      <w:r w:rsidRPr="00430B50">
        <w:rPr>
          <w:rStyle w:val="FiguretitleChar"/>
          <w:rFonts w:asciiTheme="minorHAnsi" w:hAnsiTheme="minorHAnsi"/>
        </w:rPr>
        <w:t xml:space="preserve"> </w:t>
      </w:r>
      <w:r>
        <w:rPr>
          <w:rStyle w:val="FiguretitleChar"/>
          <w:rFonts w:asciiTheme="minorHAnsi" w:hAnsiTheme="minorHAnsi"/>
        </w:rPr>
        <w:br/>
      </w:r>
      <w:r w:rsidRPr="009337BB">
        <w:rPr>
          <w:rStyle w:val="FigurecaptionChar"/>
        </w:rPr>
        <w:t>Source: DHS Medicare Pharmacy Claims database, accessed April 2015</w:t>
      </w:r>
    </w:p>
    <w:p w:rsidR="00D4559A" w:rsidRPr="009337BB" w:rsidRDefault="00D4559A" w:rsidP="00D4559A">
      <w:pPr>
        <w:rPr>
          <w:b/>
        </w:rPr>
      </w:pPr>
      <w:r>
        <w:t>T</w:t>
      </w:r>
      <w:r w:rsidRPr="00EB1CC3">
        <w:t>he number of patients</w:t>
      </w:r>
      <w:r>
        <w:t xml:space="preserve"> initiating treatment</w:t>
      </w:r>
      <w:r w:rsidRPr="00EB1CC3">
        <w:t xml:space="preserve"> is </w:t>
      </w:r>
      <w:r>
        <w:t>stable</w:t>
      </w:r>
      <w:r w:rsidRPr="00EB1CC3">
        <w:t xml:space="preserve"> while the number of prevalent </w:t>
      </w:r>
      <w:r>
        <w:t xml:space="preserve">treated </w:t>
      </w:r>
      <w:r w:rsidRPr="00EB1CC3">
        <w:t>patients continues to grow.</w:t>
      </w:r>
    </w:p>
    <w:p w:rsidR="00D4559A" w:rsidRPr="007170C4" w:rsidRDefault="00D4559A" w:rsidP="00D4559A">
      <w:r>
        <w:t>Figure 2 shows the number of injections (solid line) and number of prescriptions (broken line) for medicines used to treat AMD. The usual maximum quantity per prescription is one injection of either aflibercept or ranibizumab, but some prescriptions are authorised for an increased maximum quantity.</w:t>
      </w:r>
    </w:p>
    <w:p w:rsidR="00D4559A" w:rsidRDefault="00D4559A" w:rsidP="00D4559A"/>
    <w:p w:rsidR="00D4559A" w:rsidRPr="009337BB" w:rsidRDefault="00D4559A" w:rsidP="00D4559A">
      <w:pPr>
        <w:pStyle w:val="Caption"/>
        <w:rPr>
          <w:b w:val="0"/>
          <w:sz w:val="20"/>
          <w:szCs w:val="20"/>
        </w:rPr>
      </w:pPr>
      <w:bookmarkStart w:id="1" w:name="_Ref384135070"/>
      <w:bookmarkStart w:id="2" w:name="_Ref384135092"/>
      <w:r>
        <w:rPr>
          <w:noProof/>
        </w:rPr>
        <w:lastRenderedPageBreak/>
        <w:drawing>
          <wp:inline distT="0" distB="0" distL="0" distR="0" wp14:anchorId="58E6EF67" wp14:editId="2E7B3895">
            <wp:extent cx="5693434" cy="4554747"/>
            <wp:effectExtent l="0" t="0" r="21590" b="17780"/>
            <wp:docPr id="1" name="Chart 1" descr="The number of supplied injections is higher than the number of prescriptions for each drug. The total number of supplied injections is higher than the number of prescriptions." title="Prescriptions and supplied injections for ranibizumab, aflibercept and verteporfin, from August 2007 to Decembe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E4C0A">
        <w:rPr>
          <w:rStyle w:val="FiguretitleChar"/>
          <w:rFonts w:asciiTheme="minorHAnsi" w:hAnsiTheme="minorHAnsi"/>
          <w:b/>
          <w:color w:val="auto"/>
        </w:rPr>
        <w:t xml:space="preserve">Figure </w:t>
      </w:r>
      <w:bookmarkEnd w:id="1"/>
      <w:r>
        <w:rPr>
          <w:rStyle w:val="FiguretitleChar"/>
          <w:rFonts w:asciiTheme="minorHAnsi" w:hAnsiTheme="minorHAnsi"/>
          <w:b/>
          <w:color w:val="auto"/>
        </w:rPr>
        <w:t>2</w:t>
      </w:r>
      <w:r w:rsidRPr="00DE4C0A">
        <w:rPr>
          <w:rStyle w:val="FiguretitleChar"/>
          <w:rFonts w:asciiTheme="minorHAnsi" w:hAnsiTheme="minorHAnsi"/>
          <w:b/>
          <w:color w:val="auto"/>
        </w:rPr>
        <w:t xml:space="preserve">: </w:t>
      </w:r>
      <w:r>
        <w:rPr>
          <w:rStyle w:val="FiguretitleChar"/>
          <w:rFonts w:asciiTheme="minorHAnsi" w:hAnsiTheme="minorHAnsi"/>
          <w:b/>
          <w:color w:val="auto"/>
        </w:rPr>
        <w:t xml:space="preserve">Prescriptions and supplied injections for ranibizumab, </w:t>
      </w:r>
      <w:r w:rsidRPr="00DE4C0A">
        <w:rPr>
          <w:rStyle w:val="FiguretitleChar"/>
          <w:rFonts w:asciiTheme="minorHAnsi" w:hAnsiTheme="minorHAnsi"/>
          <w:b/>
          <w:color w:val="auto"/>
        </w:rPr>
        <w:t>aflibercept</w:t>
      </w:r>
      <w:r>
        <w:rPr>
          <w:rStyle w:val="FiguretitleChar"/>
          <w:rFonts w:asciiTheme="minorHAnsi" w:hAnsiTheme="minorHAnsi"/>
          <w:b/>
          <w:color w:val="auto"/>
        </w:rPr>
        <w:t xml:space="preserve"> and verteporfin</w:t>
      </w:r>
      <w:r w:rsidRPr="00DE4C0A">
        <w:rPr>
          <w:rStyle w:val="FiguretitleChar"/>
          <w:rFonts w:asciiTheme="minorHAnsi" w:hAnsiTheme="minorHAnsi"/>
          <w:b/>
          <w:color w:val="auto"/>
        </w:rPr>
        <w:t xml:space="preserve">, from August 2007 to </w:t>
      </w:r>
      <w:r>
        <w:rPr>
          <w:rStyle w:val="FiguretitleChar"/>
          <w:rFonts w:asciiTheme="minorHAnsi" w:hAnsiTheme="minorHAnsi"/>
          <w:b/>
          <w:color w:val="auto"/>
        </w:rPr>
        <w:t>December 2014</w:t>
      </w:r>
      <w:bookmarkEnd w:id="2"/>
      <w:r>
        <w:rPr>
          <w:rStyle w:val="FiguretitleChar"/>
          <w:rFonts w:asciiTheme="minorHAnsi" w:hAnsiTheme="minorHAnsi"/>
          <w:b/>
          <w:color w:val="auto"/>
        </w:rPr>
        <w:br/>
      </w:r>
      <w:r w:rsidRPr="009337BB">
        <w:rPr>
          <w:rStyle w:val="FigurecaptionChar"/>
          <w:b w:val="0"/>
          <w:color w:val="auto"/>
        </w:rPr>
        <w:t>Source: DHS Medicare Pharmacy Claims database, accessed April 2015</w:t>
      </w:r>
    </w:p>
    <w:p w:rsidR="00D4559A" w:rsidRDefault="00D4559A" w:rsidP="00D4559A">
      <w:r>
        <w:t>T</w:t>
      </w:r>
      <w:r w:rsidRPr="00FE5A22">
        <w:t xml:space="preserve">he </w:t>
      </w:r>
      <w:r>
        <w:t xml:space="preserve">total </w:t>
      </w:r>
      <w:r w:rsidRPr="00FE5A22">
        <w:t xml:space="preserve">number of prescriptions has </w:t>
      </w:r>
      <w:r>
        <w:t xml:space="preserve">increased steadily over the past eight years. There is a small but increasing divergence between the number of injections and prescriptions over time.  </w:t>
      </w:r>
    </w:p>
    <w:p w:rsidR="00D4559A" w:rsidRDefault="00D4559A" w:rsidP="00D4559A">
      <w:r>
        <w:t>Uptake of aflibercept following listing on 1 December 2012 was rapid, reaching 50% market share within 6 months.</w:t>
      </w:r>
      <w:r w:rsidRPr="006C2235">
        <w:t xml:space="preserve"> The addition of aflibercept to the PBS does not appear to have increased the growth of the market beyond the previous trend. Aflibercept is being used in both new patients and for patients switching from ranibizumab (see </w:t>
      </w:r>
      <w:r>
        <w:t xml:space="preserve">pages </w:t>
      </w:r>
      <w:r w:rsidR="002D4C1D">
        <w:t>21-25</w:t>
      </w:r>
      <w:r w:rsidRPr="006C2235">
        <w:t>).</w:t>
      </w:r>
    </w:p>
    <w:p w:rsidR="00D4559A" w:rsidRDefault="00D4559A" w:rsidP="00D4559A">
      <w:r>
        <w:t xml:space="preserve">The use of verteporfin is low with only 132 prescriptions supplied in 2014. Another AMD medicine, anecortave, was listed on the PBS between 1 April 2007 and 30 June 2009. Its use was lower than verteporfin and is not presented in Figure 2. Both verteporfin and anecortave are </w:t>
      </w:r>
      <w:r w:rsidRPr="00F24173">
        <w:t>excluded from further analys</w:t>
      </w:r>
      <w:r>
        <w:t>e</w:t>
      </w:r>
      <w:r w:rsidRPr="00F24173">
        <w:t>s</w:t>
      </w:r>
      <w:r>
        <w:t xml:space="preserve"> in this report</w:t>
      </w:r>
      <w:r w:rsidRPr="00F24173">
        <w:t>.</w:t>
      </w:r>
    </w:p>
    <w:p w:rsidR="00D4559A" w:rsidRDefault="00D4559A" w:rsidP="00D4559A">
      <w:r>
        <w:t>The annual number of patients, prescriptions and injections is summarised in Table </w:t>
      </w:r>
      <w:r w:rsidR="00A6422E">
        <w:t>6</w:t>
      </w:r>
      <w:r>
        <w:t xml:space="preserve">. </w:t>
      </w:r>
    </w:p>
    <w:p w:rsidR="00D4559A" w:rsidRDefault="00D4559A" w:rsidP="00D4559A">
      <w:pPr>
        <w:pStyle w:val="Tabletitle"/>
        <w:keepNext/>
      </w:pPr>
      <w:r w:rsidRPr="00EB1CC3">
        <w:lastRenderedPageBreak/>
        <w:t xml:space="preserve">Table </w:t>
      </w:r>
      <w:r w:rsidR="004F27C3">
        <w:rPr>
          <w:noProof/>
        </w:rPr>
        <w:t>6</w:t>
      </w:r>
      <w:r w:rsidRPr="00EB1CC3">
        <w:t xml:space="preserve">: </w:t>
      </w:r>
      <w:r>
        <w:t>Summary</w:t>
      </w:r>
      <w:r w:rsidRPr="00EB1CC3">
        <w:t xml:space="preserve"> of patients accessing AMD treatment</w:t>
      </w:r>
      <w:r>
        <w:t xml:space="preserve"> and number of supplied prescriptions, supplied injections and injections per patient</w:t>
      </w:r>
      <w:r w:rsidRPr="00EB1CC3">
        <w:t xml:space="preserve"> by calendar year</w:t>
      </w:r>
    </w:p>
    <w:tbl>
      <w:tblPr>
        <w:tblW w:w="0" w:type="auto"/>
        <w:tblCellMar>
          <w:left w:w="0" w:type="dxa"/>
          <w:right w:w="0" w:type="dxa"/>
        </w:tblCellMar>
        <w:tblLook w:val="04A0" w:firstRow="1" w:lastRow="0" w:firstColumn="1" w:lastColumn="0" w:noHBand="0" w:noVBand="1"/>
      </w:tblPr>
      <w:tblGrid>
        <w:gridCol w:w="1368"/>
        <w:gridCol w:w="1368"/>
        <w:gridCol w:w="1368"/>
        <w:gridCol w:w="1368"/>
        <w:gridCol w:w="1368"/>
        <w:gridCol w:w="1368"/>
      </w:tblGrid>
      <w:tr w:rsidR="00D4559A" w:rsidRPr="0069151D" w:rsidTr="00D4559A">
        <w:trPr>
          <w:cantSplit/>
        </w:trPr>
        <w:tc>
          <w:tcPr>
            <w:tcW w:w="136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D4559A" w:rsidRPr="0069151D" w:rsidRDefault="00D4559A" w:rsidP="00D4559A">
            <w:pPr>
              <w:pStyle w:val="Tableheading"/>
              <w:rPr>
                <w:sz w:val="20"/>
                <w:szCs w:val="20"/>
                <w:lang w:eastAsia="en-US"/>
              </w:rPr>
            </w:pPr>
            <w:r w:rsidRPr="0069151D">
              <w:rPr>
                <w:sz w:val="20"/>
                <w:szCs w:val="20"/>
              </w:rPr>
              <w:t> </w:t>
            </w:r>
          </w:p>
        </w:tc>
        <w:tc>
          <w:tcPr>
            <w:tcW w:w="136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4559A" w:rsidRPr="0069151D" w:rsidRDefault="00D4559A" w:rsidP="00D4559A">
            <w:pPr>
              <w:pStyle w:val="Tableheading"/>
              <w:rPr>
                <w:sz w:val="20"/>
                <w:szCs w:val="20"/>
              </w:rPr>
            </w:pPr>
            <w:r w:rsidRPr="0069151D">
              <w:rPr>
                <w:sz w:val="20"/>
                <w:szCs w:val="20"/>
              </w:rPr>
              <w:t>New patients</w:t>
            </w:r>
          </w:p>
        </w:tc>
        <w:tc>
          <w:tcPr>
            <w:tcW w:w="136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4559A" w:rsidRPr="0069151D" w:rsidRDefault="00D4559A" w:rsidP="00D4559A">
            <w:pPr>
              <w:pStyle w:val="Tableheading"/>
              <w:rPr>
                <w:sz w:val="20"/>
                <w:szCs w:val="20"/>
              </w:rPr>
            </w:pPr>
            <w:r w:rsidRPr="0069151D">
              <w:rPr>
                <w:sz w:val="20"/>
                <w:szCs w:val="20"/>
              </w:rPr>
              <w:t>Prevalent patients</w:t>
            </w:r>
          </w:p>
        </w:tc>
        <w:tc>
          <w:tcPr>
            <w:tcW w:w="136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4559A" w:rsidRPr="0069151D" w:rsidRDefault="00D4559A" w:rsidP="00D4559A">
            <w:pPr>
              <w:pStyle w:val="Tableheading"/>
              <w:rPr>
                <w:sz w:val="20"/>
                <w:szCs w:val="20"/>
              </w:rPr>
            </w:pPr>
            <w:r w:rsidRPr="0069151D">
              <w:rPr>
                <w:sz w:val="20"/>
                <w:szCs w:val="20"/>
              </w:rPr>
              <w:t>Prescriptions supplied</w:t>
            </w:r>
          </w:p>
        </w:tc>
        <w:tc>
          <w:tcPr>
            <w:tcW w:w="136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4559A" w:rsidRPr="0069151D" w:rsidRDefault="00D4559A" w:rsidP="00D4559A">
            <w:pPr>
              <w:pStyle w:val="Tableheading"/>
              <w:rPr>
                <w:sz w:val="20"/>
                <w:szCs w:val="20"/>
              </w:rPr>
            </w:pPr>
            <w:r w:rsidRPr="0069151D">
              <w:rPr>
                <w:sz w:val="20"/>
                <w:szCs w:val="20"/>
              </w:rPr>
              <w:t>Injections supplied</w:t>
            </w:r>
          </w:p>
        </w:tc>
        <w:tc>
          <w:tcPr>
            <w:tcW w:w="136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4559A" w:rsidRPr="0069151D" w:rsidRDefault="00D4559A" w:rsidP="00D4559A">
            <w:pPr>
              <w:pStyle w:val="Tableheading"/>
              <w:rPr>
                <w:sz w:val="20"/>
                <w:szCs w:val="20"/>
              </w:rPr>
            </w:pPr>
            <w:r w:rsidRPr="0069151D">
              <w:rPr>
                <w:sz w:val="20"/>
                <w:szCs w:val="20"/>
              </w:rPr>
              <w:t>Calculated injections per prevalent patient</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2007</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7,478</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7,478</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17,482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18,492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2.47</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2008</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8,205</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14,320</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59,786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63,177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4.41</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2009</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8,125</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18,889</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93,087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98,612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5.22</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2010</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7,654</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22,834</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130,814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140,245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6.14</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2011</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7,097</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26,132</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160,194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172,548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6.60</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2012</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6,874</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29,269</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188,027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203,751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6.96</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2013</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7,765</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33,347</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208,919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227,193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6.81</w:t>
            </w:r>
          </w:p>
        </w:tc>
      </w:tr>
      <w:tr w:rsidR="00D4559A" w:rsidRPr="000C3BC5" w:rsidTr="00D4559A">
        <w:trPr>
          <w:cantSplit/>
          <w:trHeight w:val="227"/>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4559A" w:rsidRPr="00994519" w:rsidRDefault="00D4559A" w:rsidP="00D4559A">
            <w:pPr>
              <w:pStyle w:val="Tablewriting"/>
              <w:rPr>
                <w:lang w:eastAsia="en-US"/>
              </w:rPr>
            </w:pPr>
            <w:r>
              <w:rPr>
                <w:rFonts w:ascii="Calibri" w:hAnsi="Calibri"/>
              </w:rPr>
              <w:t>2014</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7,622</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36,739</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229,083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4559A" w:rsidRPr="00994519" w:rsidRDefault="00D4559A" w:rsidP="00D4559A">
            <w:pPr>
              <w:pStyle w:val="Tablewriting"/>
              <w:jc w:val="center"/>
            </w:pPr>
            <w:r>
              <w:rPr>
                <w:rFonts w:ascii="Calibri" w:hAnsi="Calibri"/>
              </w:rPr>
              <w:t xml:space="preserve">   249,772 </w:t>
            </w:r>
          </w:p>
        </w:tc>
        <w:tc>
          <w:tcPr>
            <w:tcW w:w="1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559A" w:rsidRPr="00994519" w:rsidRDefault="00D4559A" w:rsidP="00D4559A">
            <w:pPr>
              <w:pStyle w:val="Tablewriting"/>
              <w:jc w:val="center"/>
            </w:pPr>
            <w:r>
              <w:rPr>
                <w:rFonts w:ascii="Calibri" w:hAnsi="Calibri"/>
              </w:rPr>
              <w:t>6.80</w:t>
            </w:r>
          </w:p>
        </w:tc>
      </w:tr>
    </w:tbl>
    <w:p w:rsidR="00D4559A" w:rsidRPr="00EB1CC3" w:rsidRDefault="00D4559A" w:rsidP="00D4559A">
      <w:pPr>
        <w:pStyle w:val="Notes"/>
      </w:pPr>
      <w:r w:rsidRPr="00EB1CC3">
        <w:t xml:space="preserve">The figure for 2007 represents the first five months of listing </w:t>
      </w:r>
      <w:r w:rsidRPr="00EB1CC3">
        <w:br/>
      </w:r>
      <w:r w:rsidRPr="00BF1554">
        <w:t>Source: DHS Medicare Pharmacy Claims database, accessed April 2015</w:t>
      </w:r>
    </w:p>
    <w:p w:rsidR="00D4559A" w:rsidRPr="007A6D10" w:rsidRDefault="00D4559A" w:rsidP="00D4559A">
      <w:pPr>
        <w:rPr>
          <w:i/>
        </w:rPr>
      </w:pPr>
      <w:r>
        <w:t xml:space="preserve">Over 60,000 patients have been treated since 2007. Approximately 7,600 new patients start treatment each year. This number has been reasonably stable, except in 2012 where the number of new patients was lower than in other years. Aflibercept was PBS listed at the end of this year. </w:t>
      </w:r>
    </w:p>
    <w:p w:rsidR="00D4559A" w:rsidRDefault="00D4559A" w:rsidP="00D4559A">
      <w:r>
        <w:t xml:space="preserve">In </w:t>
      </w:r>
      <w:r w:rsidRPr="00402E82">
        <w:t>2014, 36,739 patients were treated</w:t>
      </w:r>
      <w:r>
        <w:t xml:space="preserve"> with aflibercept and/or ranibizumab</w:t>
      </w:r>
      <w:r w:rsidRPr="00402E82">
        <w:t xml:space="preserve">. </w:t>
      </w:r>
      <w:r>
        <w:t xml:space="preserve">The total number of people on treatment has been increasing each year, although the rate of growth appears to be slowing to a small extent.  For example, when compared to the previous year, growth in 2011 was 14% and in 2014 was 10%. </w:t>
      </w:r>
    </w:p>
    <w:p w:rsidR="00D4559A" w:rsidRDefault="00D4559A" w:rsidP="00D4559A">
      <w:r>
        <w:t>The total numbers of prescriptions and injections have also increased over time. The calculated number of injections per prevalent patient increased progressively until 2011, and has been fairly constant since then (</w:t>
      </w:r>
      <w:r>
        <w:sym w:font="Symbol" w:char="F07E"/>
      </w:r>
      <w:r>
        <w:t xml:space="preserve">6.8 injections/patient/year). </w:t>
      </w:r>
      <w:r w:rsidR="00DE3876">
        <w:t xml:space="preserve">The </w:t>
      </w:r>
      <w:r w:rsidR="00D106B1" w:rsidRPr="00D106B1">
        <w:t>DUSC noted that the patterns of use evolved over several years from the time when ranibizumab was listed and considered it too early to assess whether the availability of aflibercept will change patterns of use in Australian clinical practice.</w:t>
      </w:r>
      <w:r w:rsidR="00D106B1">
        <w:t xml:space="preserve"> </w:t>
      </w:r>
      <w:r>
        <w:t>An analysis of the prescription histories of individual deidentified pa</w:t>
      </w:r>
      <w:r w:rsidR="002D4C1D">
        <w:t>tients, presented on pages 15-16</w:t>
      </w:r>
      <w:r>
        <w:t xml:space="preserve">, provides further insight into how the number of injections per patient has evolved over time. </w:t>
      </w:r>
    </w:p>
    <w:p w:rsidR="00D4559A" w:rsidRDefault="00D4559A" w:rsidP="00D4559A">
      <w:r w:rsidRPr="00E42481">
        <w:t xml:space="preserve">Table </w:t>
      </w:r>
      <w:r w:rsidR="004F27C3">
        <w:t>7</w:t>
      </w:r>
      <w:r w:rsidRPr="00E42481">
        <w:t xml:space="preserve"> shows </w:t>
      </w:r>
      <w:r>
        <w:t xml:space="preserve">that </w:t>
      </w:r>
      <w:r w:rsidRPr="00E42481">
        <w:t xml:space="preserve">the proportion of supplied </w:t>
      </w:r>
      <w:r>
        <w:t>prescriptions</w:t>
      </w:r>
      <w:r w:rsidRPr="00E42481">
        <w:t xml:space="preserve"> </w:t>
      </w:r>
      <w:r>
        <w:t xml:space="preserve">where an increased maximum quantity of two injections was </w:t>
      </w:r>
      <w:r w:rsidRPr="00E42481">
        <w:t>authorised</w:t>
      </w:r>
      <w:r>
        <w:t xml:space="preserve"> has increased slowly over time</w:t>
      </w:r>
      <w:r w:rsidRPr="00E42481">
        <w:t>.</w:t>
      </w:r>
    </w:p>
    <w:p w:rsidR="00D4559A" w:rsidRDefault="00D4559A" w:rsidP="00D4559A">
      <w:pPr>
        <w:spacing w:line="276" w:lineRule="auto"/>
      </w:pPr>
      <w:r>
        <w:br w:type="page"/>
      </w:r>
    </w:p>
    <w:p w:rsidR="00D4559A" w:rsidRPr="00F87574" w:rsidRDefault="00D4559A" w:rsidP="00D4559A">
      <w:pPr>
        <w:pStyle w:val="Tabletitle"/>
      </w:pPr>
      <w:r w:rsidRPr="00F87574">
        <w:lastRenderedPageBreak/>
        <w:t xml:space="preserve">Table </w:t>
      </w:r>
      <w:r w:rsidR="004F27C3">
        <w:rPr>
          <w:noProof/>
        </w:rPr>
        <w:t>7</w:t>
      </w:r>
      <w:r w:rsidRPr="00F87574">
        <w:t>: Proportion of prescriptions by quantity dispensed over time</w:t>
      </w:r>
    </w:p>
    <w:tbl>
      <w:tblPr>
        <w:tblStyle w:val="TableGrid"/>
        <w:tblW w:w="5000" w:type="pct"/>
        <w:tblLook w:val="04A0" w:firstRow="1" w:lastRow="0" w:firstColumn="1" w:lastColumn="0" w:noHBand="0" w:noVBand="1"/>
        <w:tblCaption w:val="Proportion of prescriptions by quantity dispensed over time"/>
        <w:tblDescription w:val="The proportion of prescriptions dispensed with a quantity of two has increased from 5.74% in 2007 to 9.03% in 2014"/>
      </w:tblPr>
      <w:tblGrid>
        <w:gridCol w:w="1595"/>
        <w:gridCol w:w="2091"/>
        <w:gridCol w:w="1829"/>
        <w:gridCol w:w="1829"/>
        <w:gridCol w:w="1829"/>
      </w:tblGrid>
      <w:tr w:rsidR="00D4559A" w:rsidRPr="0069151D" w:rsidTr="00E6440B">
        <w:trPr>
          <w:trHeight w:val="300"/>
          <w:tblHeader/>
        </w:trPr>
        <w:tc>
          <w:tcPr>
            <w:tcW w:w="869" w:type="pct"/>
            <w:shd w:val="clear" w:color="auto" w:fill="BFBFBF" w:themeFill="background1" w:themeFillShade="BF"/>
            <w:noWrap/>
            <w:hideMark/>
          </w:tcPr>
          <w:p w:rsidR="00D4559A" w:rsidRPr="0069151D" w:rsidRDefault="00D4559A" w:rsidP="00D4559A">
            <w:pPr>
              <w:rPr>
                <w:b/>
                <w:bCs/>
                <w:sz w:val="20"/>
                <w:szCs w:val="20"/>
              </w:rPr>
            </w:pPr>
          </w:p>
        </w:tc>
        <w:tc>
          <w:tcPr>
            <w:tcW w:w="1139" w:type="pct"/>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1</w:t>
            </w:r>
          </w:p>
        </w:tc>
        <w:tc>
          <w:tcPr>
            <w:tcW w:w="997" w:type="pct"/>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2</w:t>
            </w:r>
          </w:p>
        </w:tc>
        <w:tc>
          <w:tcPr>
            <w:tcW w:w="997" w:type="pct"/>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3</w:t>
            </w:r>
          </w:p>
        </w:tc>
        <w:tc>
          <w:tcPr>
            <w:tcW w:w="997" w:type="pct"/>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6</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2007</w:t>
            </w:r>
          </w:p>
        </w:tc>
        <w:tc>
          <w:tcPr>
            <w:tcW w:w="1139" w:type="pct"/>
            <w:noWrap/>
            <w:hideMark/>
          </w:tcPr>
          <w:p w:rsidR="00D4559A" w:rsidRPr="007609F3" w:rsidRDefault="00D4559A" w:rsidP="00D4559A">
            <w:pPr>
              <w:pStyle w:val="Tablewriting"/>
              <w:jc w:val="center"/>
            </w:pPr>
            <w:r w:rsidRPr="007609F3">
              <w:t>94.26%</w:t>
            </w:r>
          </w:p>
        </w:tc>
        <w:tc>
          <w:tcPr>
            <w:tcW w:w="997" w:type="pct"/>
            <w:noWrap/>
            <w:hideMark/>
          </w:tcPr>
          <w:p w:rsidR="00D4559A" w:rsidRPr="007609F3" w:rsidRDefault="00D4559A" w:rsidP="00D4559A">
            <w:pPr>
              <w:pStyle w:val="Tablewriting"/>
              <w:jc w:val="center"/>
            </w:pPr>
            <w:r w:rsidRPr="007609F3">
              <w:t>5.74%</w:t>
            </w:r>
          </w:p>
        </w:tc>
        <w:tc>
          <w:tcPr>
            <w:tcW w:w="997" w:type="pct"/>
            <w:noWrap/>
            <w:hideMark/>
          </w:tcPr>
          <w:p w:rsidR="00D4559A" w:rsidRPr="007609F3" w:rsidRDefault="00D4559A" w:rsidP="00D4559A">
            <w:pPr>
              <w:pStyle w:val="Tablewriting"/>
              <w:jc w:val="center"/>
            </w:pPr>
            <w:r w:rsidRPr="007609F3">
              <w:t>0.00%</w:t>
            </w:r>
          </w:p>
        </w:tc>
        <w:tc>
          <w:tcPr>
            <w:tcW w:w="997" w:type="pct"/>
            <w:noWrap/>
            <w:hideMark/>
          </w:tcPr>
          <w:p w:rsidR="00D4559A" w:rsidRPr="007609F3" w:rsidRDefault="00D4559A" w:rsidP="00D4559A">
            <w:pPr>
              <w:pStyle w:val="Tablewriting"/>
              <w:jc w:val="center"/>
            </w:pPr>
            <w:r w:rsidRPr="007609F3">
              <w:t>0.00%</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2008</w:t>
            </w:r>
          </w:p>
        </w:tc>
        <w:tc>
          <w:tcPr>
            <w:tcW w:w="1139" w:type="pct"/>
            <w:noWrap/>
            <w:hideMark/>
          </w:tcPr>
          <w:p w:rsidR="00D4559A" w:rsidRPr="007609F3" w:rsidRDefault="00D4559A" w:rsidP="00D4559A">
            <w:pPr>
              <w:pStyle w:val="Tablewriting"/>
              <w:jc w:val="center"/>
            </w:pPr>
            <w:r w:rsidRPr="007609F3">
              <w:t>94.32%</w:t>
            </w:r>
          </w:p>
        </w:tc>
        <w:tc>
          <w:tcPr>
            <w:tcW w:w="997" w:type="pct"/>
            <w:noWrap/>
            <w:hideMark/>
          </w:tcPr>
          <w:p w:rsidR="00D4559A" w:rsidRPr="007609F3" w:rsidRDefault="00D4559A" w:rsidP="00D4559A">
            <w:pPr>
              <w:pStyle w:val="Tablewriting"/>
              <w:jc w:val="center"/>
            </w:pPr>
            <w:r w:rsidRPr="007609F3">
              <w:t>5.64%</w:t>
            </w:r>
          </w:p>
        </w:tc>
        <w:tc>
          <w:tcPr>
            <w:tcW w:w="997" w:type="pct"/>
            <w:noWrap/>
            <w:hideMark/>
          </w:tcPr>
          <w:p w:rsidR="00D4559A" w:rsidRPr="007609F3" w:rsidRDefault="00D4559A" w:rsidP="00D4559A">
            <w:pPr>
              <w:pStyle w:val="Tablewriting"/>
              <w:jc w:val="center"/>
            </w:pPr>
            <w:r w:rsidRPr="007609F3">
              <w:t>0.04%</w:t>
            </w:r>
          </w:p>
        </w:tc>
        <w:tc>
          <w:tcPr>
            <w:tcW w:w="997" w:type="pct"/>
            <w:noWrap/>
            <w:hideMark/>
          </w:tcPr>
          <w:p w:rsidR="00D4559A" w:rsidRPr="007609F3" w:rsidRDefault="00D4559A" w:rsidP="00D4559A">
            <w:pPr>
              <w:pStyle w:val="Tablewriting"/>
              <w:jc w:val="center"/>
            </w:pPr>
            <w:r w:rsidRPr="007609F3">
              <w:t>0.00%</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2009</w:t>
            </w:r>
          </w:p>
        </w:tc>
        <w:tc>
          <w:tcPr>
            <w:tcW w:w="1139" w:type="pct"/>
            <w:noWrap/>
            <w:hideMark/>
          </w:tcPr>
          <w:p w:rsidR="00D4559A" w:rsidRPr="007609F3" w:rsidRDefault="00D4559A" w:rsidP="00D4559A">
            <w:pPr>
              <w:pStyle w:val="Tablewriting"/>
              <w:jc w:val="center"/>
            </w:pPr>
            <w:r w:rsidRPr="007609F3">
              <w:t>94.06%</w:t>
            </w:r>
          </w:p>
        </w:tc>
        <w:tc>
          <w:tcPr>
            <w:tcW w:w="997" w:type="pct"/>
            <w:noWrap/>
            <w:hideMark/>
          </w:tcPr>
          <w:p w:rsidR="00D4559A" w:rsidRPr="007609F3" w:rsidRDefault="00D4559A" w:rsidP="00D4559A">
            <w:pPr>
              <w:pStyle w:val="Tablewriting"/>
              <w:jc w:val="center"/>
            </w:pPr>
            <w:r w:rsidRPr="007609F3">
              <w:t>5.92%</w:t>
            </w:r>
          </w:p>
        </w:tc>
        <w:tc>
          <w:tcPr>
            <w:tcW w:w="997" w:type="pct"/>
            <w:noWrap/>
            <w:hideMark/>
          </w:tcPr>
          <w:p w:rsidR="00D4559A" w:rsidRPr="007609F3" w:rsidRDefault="00D4559A" w:rsidP="00D4559A">
            <w:pPr>
              <w:pStyle w:val="Tablewriting"/>
              <w:jc w:val="center"/>
            </w:pPr>
            <w:r w:rsidRPr="007609F3">
              <w:t>0.02%</w:t>
            </w:r>
          </w:p>
        </w:tc>
        <w:tc>
          <w:tcPr>
            <w:tcW w:w="997" w:type="pct"/>
            <w:noWrap/>
            <w:hideMark/>
          </w:tcPr>
          <w:p w:rsidR="00D4559A" w:rsidRPr="007609F3" w:rsidRDefault="00D4559A" w:rsidP="00D4559A">
            <w:pPr>
              <w:pStyle w:val="Tablewriting"/>
              <w:jc w:val="center"/>
            </w:pPr>
            <w:r w:rsidRPr="007609F3">
              <w:t>0.00%</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2010</w:t>
            </w:r>
          </w:p>
        </w:tc>
        <w:tc>
          <w:tcPr>
            <w:tcW w:w="1139" w:type="pct"/>
            <w:noWrap/>
            <w:hideMark/>
          </w:tcPr>
          <w:p w:rsidR="00D4559A" w:rsidRPr="007609F3" w:rsidRDefault="00D4559A" w:rsidP="00D4559A">
            <w:pPr>
              <w:pStyle w:val="Tablewriting"/>
              <w:jc w:val="center"/>
            </w:pPr>
            <w:r w:rsidRPr="007609F3">
              <w:t>92.79%</w:t>
            </w:r>
          </w:p>
        </w:tc>
        <w:tc>
          <w:tcPr>
            <w:tcW w:w="997" w:type="pct"/>
            <w:noWrap/>
            <w:hideMark/>
          </w:tcPr>
          <w:p w:rsidR="00D4559A" w:rsidRPr="007609F3" w:rsidRDefault="00D4559A" w:rsidP="00D4559A">
            <w:pPr>
              <w:pStyle w:val="Tablewriting"/>
              <w:jc w:val="center"/>
            </w:pPr>
            <w:r w:rsidRPr="007609F3">
              <w:t>7.20%</w:t>
            </w:r>
          </w:p>
        </w:tc>
        <w:tc>
          <w:tcPr>
            <w:tcW w:w="997" w:type="pct"/>
            <w:noWrap/>
            <w:hideMark/>
          </w:tcPr>
          <w:p w:rsidR="00D4559A" w:rsidRPr="007609F3" w:rsidRDefault="00D4559A" w:rsidP="00D4559A">
            <w:pPr>
              <w:pStyle w:val="Tablewriting"/>
              <w:jc w:val="center"/>
            </w:pPr>
            <w:r w:rsidRPr="007609F3">
              <w:t>0.01%</w:t>
            </w:r>
          </w:p>
        </w:tc>
        <w:tc>
          <w:tcPr>
            <w:tcW w:w="997" w:type="pct"/>
            <w:noWrap/>
            <w:hideMark/>
          </w:tcPr>
          <w:p w:rsidR="00D4559A" w:rsidRPr="007609F3" w:rsidRDefault="00D4559A" w:rsidP="00D4559A">
            <w:pPr>
              <w:pStyle w:val="Tablewriting"/>
              <w:jc w:val="center"/>
            </w:pPr>
            <w:r w:rsidRPr="007609F3">
              <w:t>0.00%</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2011</w:t>
            </w:r>
          </w:p>
        </w:tc>
        <w:tc>
          <w:tcPr>
            <w:tcW w:w="1139" w:type="pct"/>
            <w:noWrap/>
            <w:hideMark/>
          </w:tcPr>
          <w:p w:rsidR="00D4559A" w:rsidRPr="007609F3" w:rsidRDefault="00D4559A" w:rsidP="00D4559A">
            <w:pPr>
              <w:pStyle w:val="Tablewriting"/>
              <w:jc w:val="center"/>
            </w:pPr>
            <w:r w:rsidRPr="007609F3">
              <w:t>92.29%</w:t>
            </w:r>
          </w:p>
        </w:tc>
        <w:tc>
          <w:tcPr>
            <w:tcW w:w="997" w:type="pct"/>
            <w:noWrap/>
            <w:hideMark/>
          </w:tcPr>
          <w:p w:rsidR="00D4559A" w:rsidRPr="007609F3" w:rsidRDefault="00D4559A" w:rsidP="00D4559A">
            <w:pPr>
              <w:pStyle w:val="Tablewriting"/>
              <w:jc w:val="center"/>
            </w:pPr>
            <w:r w:rsidRPr="007609F3">
              <w:t>7.71%</w:t>
            </w:r>
          </w:p>
        </w:tc>
        <w:tc>
          <w:tcPr>
            <w:tcW w:w="997" w:type="pct"/>
            <w:noWrap/>
            <w:hideMark/>
          </w:tcPr>
          <w:p w:rsidR="00D4559A" w:rsidRPr="007609F3" w:rsidRDefault="00D4559A" w:rsidP="00D4559A">
            <w:pPr>
              <w:pStyle w:val="Tablewriting"/>
              <w:jc w:val="center"/>
            </w:pPr>
            <w:r w:rsidRPr="007609F3">
              <w:t>0.00%</w:t>
            </w:r>
          </w:p>
        </w:tc>
        <w:tc>
          <w:tcPr>
            <w:tcW w:w="997" w:type="pct"/>
            <w:noWrap/>
            <w:hideMark/>
          </w:tcPr>
          <w:p w:rsidR="00D4559A" w:rsidRPr="007609F3" w:rsidRDefault="00D4559A" w:rsidP="00D4559A">
            <w:pPr>
              <w:pStyle w:val="Tablewriting"/>
              <w:jc w:val="center"/>
            </w:pPr>
            <w:r w:rsidRPr="007609F3">
              <w:t>0.00%</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2012</w:t>
            </w:r>
          </w:p>
        </w:tc>
        <w:tc>
          <w:tcPr>
            <w:tcW w:w="1139" w:type="pct"/>
            <w:noWrap/>
            <w:hideMark/>
          </w:tcPr>
          <w:p w:rsidR="00D4559A" w:rsidRPr="007609F3" w:rsidRDefault="00D4559A" w:rsidP="00D4559A">
            <w:pPr>
              <w:pStyle w:val="Tablewriting"/>
              <w:jc w:val="center"/>
            </w:pPr>
            <w:r w:rsidRPr="007609F3">
              <w:t>91.64%</w:t>
            </w:r>
          </w:p>
        </w:tc>
        <w:tc>
          <w:tcPr>
            <w:tcW w:w="997" w:type="pct"/>
            <w:noWrap/>
            <w:hideMark/>
          </w:tcPr>
          <w:p w:rsidR="00D4559A" w:rsidRPr="007609F3" w:rsidRDefault="00D4559A" w:rsidP="00D4559A">
            <w:pPr>
              <w:pStyle w:val="Tablewriting"/>
              <w:jc w:val="center"/>
            </w:pPr>
            <w:r w:rsidRPr="007609F3">
              <w:t>8.36%</w:t>
            </w:r>
          </w:p>
        </w:tc>
        <w:tc>
          <w:tcPr>
            <w:tcW w:w="997" w:type="pct"/>
            <w:noWrap/>
            <w:hideMark/>
          </w:tcPr>
          <w:p w:rsidR="00D4559A" w:rsidRPr="007609F3" w:rsidRDefault="00D4559A" w:rsidP="00D4559A">
            <w:pPr>
              <w:pStyle w:val="Tablewriting"/>
              <w:jc w:val="center"/>
            </w:pPr>
            <w:r w:rsidRPr="007609F3">
              <w:t>0.00%</w:t>
            </w:r>
          </w:p>
        </w:tc>
        <w:tc>
          <w:tcPr>
            <w:tcW w:w="997" w:type="pct"/>
            <w:noWrap/>
            <w:hideMark/>
          </w:tcPr>
          <w:p w:rsidR="00D4559A" w:rsidRPr="007609F3" w:rsidRDefault="00D4559A" w:rsidP="00D4559A">
            <w:pPr>
              <w:pStyle w:val="Tablewriting"/>
              <w:jc w:val="center"/>
            </w:pPr>
            <w:r w:rsidRPr="007609F3">
              <w:t>0.00%</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2013</w:t>
            </w:r>
          </w:p>
        </w:tc>
        <w:tc>
          <w:tcPr>
            <w:tcW w:w="1139" w:type="pct"/>
            <w:noWrap/>
            <w:hideMark/>
          </w:tcPr>
          <w:p w:rsidR="00D4559A" w:rsidRPr="007609F3" w:rsidRDefault="00D4559A" w:rsidP="00D4559A">
            <w:pPr>
              <w:pStyle w:val="Tablewriting"/>
              <w:jc w:val="center"/>
            </w:pPr>
            <w:r w:rsidRPr="007609F3">
              <w:t>91.22%</w:t>
            </w:r>
          </w:p>
        </w:tc>
        <w:tc>
          <w:tcPr>
            <w:tcW w:w="997" w:type="pct"/>
            <w:noWrap/>
            <w:hideMark/>
          </w:tcPr>
          <w:p w:rsidR="00D4559A" w:rsidRPr="007609F3" w:rsidRDefault="00D4559A" w:rsidP="00D4559A">
            <w:pPr>
              <w:pStyle w:val="Tablewriting"/>
              <w:jc w:val="center"/>
            </w:pPr>
            <w:r w:rsidRPr="007609F3">
              <w:t>8.74%</w:t>
            </w:r>
          </w:p>
        </w:tc>
        <w:tc>
          <w:tcPr>
            <w:tcW w:w="997" w:type="pct"/>
            <w:noWrap/>
            <w:hideMark/>
          </w:tcPr>
          <w:p w:rsidR="00D4559A" w:rsidRPr="007609F3" w:rsidRDefault="00D4559A" w:rsidP="00D4559A">
            <w:pPr>
              <w:pStyle w:val="Tablewriting"/>
              <w:jc w:val="center"/>
            </w:pPr>
            <w:r w:rsidRPr="007609F3">
              <w:t>0.03%</w:t>
            </w:r>
          </w:p>
        </w:tc>
        <w:tc>
          <w:tcPr>
            <w:tcW w:w="997" w:type="pct"/>
            <w:noWrap/>
            <w:hideMark/>
          </w:tcPr>
          <w:p w:rsidR="00D4559A" w:rsidRPr="007609F3" w:rsidRDefault="00D4559A" w:rsidP="00D4559A">
            <w:pPr>
              <w:pStyle w:val="Tablewriting"/>
              <w:jc w:val="center"/>
            </w:pPr>
            <w:r w:rsidRPr="007609F3">
              <w:t>0.00%</w:t>
            </w:r>
          </w:p>
        </w:tc>
      </w:tr>
      <w:tr w:rsidR="00D4559A" w:rsidRPr="00F93DB0" w:rsidTr="00D4559A">
        <w:trPr>
          <w:trHeight w:val="300"/>
        </w:trPr>
        <w:tc>
          <w:tcPr>
            <w:tcW w:w="869" w:type="pct"/>
            <w:noWrap/>
            <w:hideMark/>
          </w:tcPr>
          <w:p w:rsidR="00D4559A" w:rsidRPr="007609F3" w:rsidRDefault="00D4559A" w:rsidP="00D4559A">
            <w:pPr>
              <w:pStyle w:val="Tablewriting"/>
            </w:pPr>
            <w:r w:rsidRPr="007609F3">
              <w:t>2014</w:t>
            </w:r>
          </w:p>
        </w:tc>
        <w:tc>
          <w:tcPr>
            <w:tcW w:w="1139" w:type="pct"/>
            <w:noWrap/>
            <w:hideMark/>
          </w:tcPr>
          <w:p w:rsidR="00D4559A" w:rsidRPr="007609F3" w:rsidRDefault="00D4559A" w:rsidP="00D4559A">
            <w:pPr>
              <w:pStyle w:val="Tablewriting"/>
              <w:jc w:val="center"/>
            </w:pPr>
            <w:r w:rsidRPr="007609F3">
              <w:t>90.91%</w:t>
            </w:r>
          </w:p>
        </w:tc>
        <w:tc>
          <w:tcPr>
            <w:tcW w:w="997" w:type="pct"/>
            <w:noWrap/>
            <w:hideMark/>
          </w:tcPr>
          <w:p w:rsidR="00D4559A" w:rsidRPr="007609F3" w:rsidRDefault="00D4559A" w:rsidP="00D4559A">
            <w:pPr>
              <w:pStyle w:val="Tablewriting"/>
              <w:jc w:val="center"/>
            </w:pPr>
            <w:r w:rsidRPr="007609F3">
              <w:t>9.03%</w:t>
            </w:r>
          </w:p>
        </w:tc>
        <w:tc>
          <w:tcPr>
            <w:tcW w:w="997" w:type="pct"/>
            <w:noWrap/>
            <w:hideMark/>
          </w:tcPr>
          <w:p w:rsidR="00D4559A" w:rsidRPr="007609F3" w:rsidRDefault="00D4559A" w:rsidP="00D4559A">
            <w:pPr>
              <w:pStyle w:val="Tablewriting"/>
              <w:jc w:val="center"/>
            </w:pPr>
            <w:r w:rsidRPr="007609F3">
              <w:t>0.06%</w:t>
            </w:r>
          </w:p>
        </w:tc>
        <w:tc>
          <w:tcPr>
            <w:tcW w:w="997" w:type="pct"/>
            <w:noWrap/>
            <w:hideMark/>
          </w:tcPr>
          <w:p w:rsidR="00D4559A" w:rsidRPr="007609F3" w:rsidRDefault="00D4559A" w:rsidP="00D4559A">
            <w:pPr>
              <w:pStyle w:val="Tablewriting"/>
              <w:jc w:val="center"/>
            </w:pPr>
            <w:r w:rsidRPr="007609F3">
              <w:t>0.00%</w:t>
            </w:r>
          </w:p>
        </w:tc>
      </w:tr>
    </w:tbl>
    <w:p w:rsidR="00D4559A" w:rsidRDefault="00D4559A" w:rsidP="00D4559A">
      <w:pPr>
        <w:pStyle w:val="Notes"/>
      </w:pPr>
      <w:r w:rsidRPr="001C2211">
        <w:t>Source: DHS Medicare Pharmacy Claims database, accessed April 2015</w:t>
      </w:r>
    </w:p>
    <w:p w:rsidR="00D4559A" w:rsidRPr="00F87574" w:rsidRDefault="00D4559A" w:rsidP="00D4559A">
      <w:r w:rsidRPr="00F87574">
        <w:t xml:space="preserve">A quantity of two suggests the </w:t>
      </w:r>
      <w:r>
        <w:t>injections</w:t>
      </w:r>
      <w:r w:rsidRPr="00F87574">
        <w:t xml:space="preserve"> w</w:t>
      </w:r>
      <w:r>
        <w:t>ere</w:t>
      </w:r>
      <w:r w:rsidRPr="00F87574">
        <w:t xml:space="preserve"> for an increased maximum quantity, perhaps to treat both eyes at once or close together. A quantity of three or six suggests these patients were dispensed all </w:t>
      </w:r>
      <w:r>
        <w:t>of the</w:t>
      </w:r>
      <w:r w:rsidRPr="00F87574">
        <w:t xml:space="preserve"> repeats at once, </w:t>
      </w:r>
      <w:r>
        <w:t>under</w:t>
      </w:r>
      <w:r w:rsidRPr="00F87574">
        <w:t xml:space="preserve"> regulation 24. </w:t>
      </w:r>
      <w:r>
        <w:t xml:space="preserve">Further discussion on the rates of bilateral treatment is provided in a later section. </w:t>
      </w:r>
    </w:p>
    <w:p w:rsidR="00D4559A" w:rsidRPr="006943DF" w:rsidRDefault="00D4559A" w:rsidP="00D4559A">
      <w:pPr>
        <w:rPr>
          <w:b/>
          <w:i/>
        </w:rPr>
      </w:pPr>
      <w:r w:rsidRPr="006943DF">
        <w:rPr>
          <w:b/>
          <w:i/>
        </w:rPr>
        <w:t>Injections per patient and continuation rates</w:t>
      </w:r>
    </w:p>
    <w:p w:rsidR="00D4559A" w:rsidRDefault="00D4559A" w:rsidP="00D4559A">
      <w:r>
        <w:t>T</w:t>
      </w:r>
      <w:r w:rsidRPr="00F8125F">
        <w:t xml:space="preserve">he main uncertainties at the time of listing ranibizumab and aflibercept </w:t>
      </w:r>
      <w:r>
        <w:t xml:space="preserve">included </w:t>
      </w:r>
      <w:r w:rsidRPr="00F8125F">
        <w:t>the number of injections per patient per year, continuation rates</w:t>
      </w:r>
      <w:r>
        <w:t xml:space="preserve"> and duration of treatment</w:t>
      </w:r>
      <w:r w:rsidRPr="00F8125F">
        <w:t xml:space="preserve">. </w:t>
      </w:r>
      <w:r>
        <w:t xml:space="preserve">A utilisation analysis in cohorts of patients initiating AMD treatment in each calendar year was undertaken to examine these factors. The analysis does not distinguish by the drug prescribed because the PBAC recommended aflibercept on an injection : injection basis with ranibizumab. However, the predicted versus actual assessment of aflibercept presented later in this report compares the number of injections of aflibercept and </w:t>
      </w:r>
      <w:r w:rsidR="002D4C1D">
        <w:t>ranibizumab (pages 23-25</w:t>
      </w:r>
      <w:r w:rsidRPr="00DE789D">
        <w:t>).</w:t>
      </w:r>
      <w:r>
        <w:t xml:space="preserve"> </w:t>
      </w:r>
    </w:p>
    <w:p w:rsidR="00D4559A" w:rsidRDefault="00D4559A" w:rsidP="00D4559A">
      <w:r w:rsidRPr="00426A4C">
        <w:t>The following tables represent the cohort</w:t>
      </w:r>
      <w:r>
        <w:t>s</w:t>
      </w:r>
      <w:r w:rsidRPr="00426A4C">
        <w:t xml:space="preserve"> of patients who initiated in each calendar year. </w:t>
      </w:r>
      <w:r>
        <w:t>Individual p</w:t>
      </w:r>
      <w:r w:rsidRPr="00F8125F">
        <w:t xml:space="preserve">atients </w:t>
      </w:r>
      <w:r>
        <w:t>we</w:t>
      </w:r>
      <w:r w:rsidRPr="00F8125F">
        <w:t>re followed in 12 month periods from their initiation date</w:t>
      </w:r>
      <w:r w:rsidRPr="00426A4C">
        <w:t xml:space="preserve">. </w:t>
      </w:r>
      <w:r>
        <w:t xml:space="preserve">A patient is assumed to remain on treatment if he or she had further prescriptions of either ranibizumab or aflibercept, no matter how much time has elapsed since the last treatment, whether the patient has been authorised for a second eye, or whether the patient has switched medicine. </w:t>
      </w:r>
    </w:p>
    <w:p w:rsidR="00D4559A" w:rsidRPr="001A4E51" w:rsidRDefault="00D4559A" w:rsidP="00D4559A">
      <w:r w:rsidRPr="00426A4C">
        <w:t>The number of patients who initiated in 2014 is known, but there is insufficient data available to assess how many injections they received in their first full twelve months.</w:t>
      </w:r>
      <w:r>
        <w:t xml:space="preserve"> </w:t>
      </w:r>
    </w:p>
    <w:p w:rsidR="00D4559A" w:rsidRDefault="00D4559A" w:rsidP="00D4559A">
      <w:pPr>
        <w:spacing w:line="276" w:lineRule="auto"/>
        <w:rPr>
          <w:b/>
        </w:rPr>
      </w:pPr>
      <w:r>
        <w:br w:type="page"/>
      </w:r>
    </w:p>
    <w:p w:rsidR="00D4559A" w:rsidRPr="004F5C85" w:rsidRDefault="00D4559A" w:rsidP="00D4559A">
      <w:pPr>
        <w:pStyle w:val="Tabletitle"/>
      </w:pPr>
      <w:r w:rsidRPr="004F5C85">
        <w:lastRenderedPageBreak/>
        <w:t xml:space="preserve">Table </w:t>
      </w:r>
      <w:r w:rsidR="004F27C3">
        <w:rPr>
          <w:noProof/>
        </w:rPr>
        <w:t>8</w:t>
      </w:r>
      <w:r w:rsidRPr="004F5C85">
        <w:t>: Number and percen</w:t>
      </w:r>
      <w:r>
        <w:t>tage of patients remaining on treatment by initiating year</w:t>
      </w:r>
    </w:p>
    <w:tbl>
      <w:tblPr>
        <w:tblW w:w="8662" w:type="dxa"/>
        <w:tblInd w:w="93" w:type="dxa"/>
        <w:tblLayout w:type="fixed"/>
        <w:tblLook w:val="04A0" w:firstRow="1" w:lastRow="0" w:firstColumn="1" w:lastColumn="0" w:noHBand="0" w:noVBand="1"/>
      </w:tblPr>
      <w:tblGrid>
        <w:gridCol w:w="1575"/>
        <w:gridCol w:w="1012"/>
        <w:gridCol w:w="1012"/>
        <w:gridCol w:w="1013"/>
        <w:gridCol w:w="869"/>
        <w:gridCol w:w="143"/>
        <w:gridCol w:w="717"/>
        <w:gridCol w:w="296"/>
        <w:gridCol w:w="1012"/>
        <w:gridCol w:w="1013"/>
      </w:tblGrid>
      <w:tr w:rsidR="00D4559A" w:rsidRPr="004F5C85" w:rsidTr="00D4559A">
        <w:trPr>
          <w:trHeight w:val="300"/>
        </w:trPr>
        <w:tc>
          <w:tcPr>
            <w:tcW w:w="5481" w:type="dxa"/>
            <w:gridSpan w:val="5"/>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sidRPr="004F5C85">
              <w:rPr>
                <w:rFonts w:ascii="Calibri" w:eastAsia="Times New Roman" w:hAnsi="Calibri" w:cs="Times New Roman"/>
                <w:sz w:val="20"/>
                <w:szCs w:val="20"/>
              </w:rPr>
              <w:t>Patient numbers by initiating year and year of treatment</w:t>
            </w:r>
          </w:p>
        </w:tc>
        <w:tc>
          <w:tcPr>
            <w:tcW w:w="860"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2321" w:type="dxa"/>
            <w:gridSpan w:val="3"/>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4559A" w:rsidRPr="004F5C85" w:rsidRDefault="00D4559A" w:rsidP="00D4559A">
            <w:pPr>
              <w:spacing w:after="0"/>
              <w:rPr>
                <w:rFonts w:ascii="Calibri" w:eastAsia="Times New Roman" w:hAnsi="Calibri" w:cs="Times New Roman"/>
                <w:sz w:val="20"/>
                <w:szCs w:val="20"/>
              </w:rPr>
            </w:pPr>
            <w:r w:rsidRPr="004F5C85">
              <w:rPr>
                <w:rFonts w:ascii="Calibri" w:eastAsia="Times New Roman" w:hAnsi="Calibri" w:cs="Times New Roman"/>
                <w:sz w:val="20"/>
                <w:szCs w:val="20"/>
              </w:rPr>
              <w:t> </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1</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2</w:t>
            </w:r>
          </w:p>
        </w:tc>
        <w:tc>
          <w:tcPr>
            <w:tcW w:w="10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3</w:t>
            </w:r>
          </w:p>
        </w:tc>
        <w:tc>
          <w:tcPr>
            <w:tcW w:w="101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4</w:t>
            </w:r>
          </w:p>
        </w:tc>
        <w:tc>
          <w:tcPr>
            <w:tcW w:w="101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5</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6</w:t>
            </w:r>
          </w:p>
        </w:tc>
        <w:tc>
          <w:tcPr>
            <w:tcW w:w="10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Pr>
                <w:rFonts w:ascii="Calibri" w:hAnsi="Calibri"/>
                <w:b/>
                <w:bCs/>
                <w:sz w:val="20"/>
                <w:szCs w:val="20"/>
              </w:rPr>
              <w:t>Year 7</w:t>
            </w: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2007</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7,478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4,853 </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4,273 </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3,883 </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3,577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3,265 </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2,938 </w:t>
            </w: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2008</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8,205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5,078 </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4,302 </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3,905 </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3,534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3,223 </w:t>
            </w: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2009</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8,125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5,377 </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4,608 </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4,153 </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3,757 </w:t>
            </w: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7,654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5,362 </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4,630 </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4,116 </w:t>
            </w: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2011</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7,097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5,206 </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4,544 </w:t>
            </w: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2012</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6,874 </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5,165 </w:t>
            </w: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2013</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hAnsi="Calibri"/>
                <w:sz w:val="20"/>
                <w:szCs w:val="20"/>
              </w:rPr>
              <w:t xml:space="preserve">      7,765 </w:t>
            </w: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A33234" w:rsidRDefault="00D4559A" w:rsidP="00D4559A">
            <w:pPr>
              <w:spacing w:after="0"/>
              <w:rPr>
                <w:rFonts w:ascii="Calibri" w:eastAsia="Times New Roman" w:hAnsi="Calibri" w:cs="Times New Roman"/>
                <w:sz w:val="20"/>
                <w:szCs w:val="20"/>
              </w:rPr>
            </w:pPr>
            <w:r w:rsidRPr="00A33234">
              <w:rPr>
                <w:rFonts w:ascii="Calibri" w:eastAsia="Times New Roman" w:hAnsi="Calibri" w:cs="Times New Roman"/>
                <w:sz w:val="20"/>
                <w:szCs w:val="20"/>
              </w:rPr>
              <w:t>Initiated 2014</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EA207A" w:rsidRDefault="00D4559A" w:rsidP="00D4559A">
            <w:pPr>
              <w:spacing w:after="0"/>
              <w:rPr>
                <w:rFonts w:ascii="Calibri" w:eastAsia="Times New Roman" w:hAnsi="Calibri" w:cs="Times New Roman"/>
                <w:sz w:val="20"/>
                <w:szCs w:val="20"/>
              </w:rPr>
            </w:pPr>
            <w:r w:rsidRPr="00EA207A">
              <w:rPr>
                <w:rFonts w:ascii="Calibri" w:hAnsi="Calibri"/>
                <w:sz w:val="20"/>
                <w:szCs w:val="20"/>
              </w:rPr>
              <w:t xml:space="preserve">      </w:t>
            </w:r>
            <w:r w:rsidRPr="00A33234">
              <w:rPr>
                <w:rFonts w:ascii="Calibri" w:hAnsi="Calibri"/>
                <w:sz w:val="20"/>
                <w:szCs w:val="20"/>
              </w:rPr>
              <w:t>7,</w:t>
            </w:r>
            <w:r w:rsidRPr="0056210D">
              <w:rPr>
                <w:rFonts w:ascii="Calibri" w:hAnsi="Calibri"/>
                <w:sz w:val="20"/>
                <w:szCs w:val="20"/>
              </w:rPr>
              <w:t>623</w:t>
            </w: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8662" w:type="dxa"/>
            <w:gridSpan w:val="10"/>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sidRPr="004F5C85">
              <w:rPr>
                <w:rFonts w:ascii="Calibri" w:eastAsia="Times New Roman" w:hAnsi="Calibri" w:cs="Times New Roman"/>
                <w:sz w:val="20"/>
                <w:szCs w:val="20"/>
              </w:rPr>
              <w:t>Percentage of continuing patients from the number of initiators in year 1</w:t>
            </w:r>
          </w:p>
        </w:tc>
      </w:tr>
      <w:tr w:rsidR="00D4559A" w:rsidRPr="004F5C85" w:rsidTr="00D4559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1</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2</w:t>
            </w:r>
          </w:p>
        </w:tc>
        <w:tc>
          <w:tcPr>
            <w:tcW w:w="10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3</w:t>
            </w:r>
          </w:p>
        </w:tc>
        <w:tc>
          <w:tcPr>
            <w:tcW w:w="101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4</w:t>
            </w:r>
          </w:p>
        </w:tc>
        <w:tc>
          <w:tcPr>
            <w:tcW w:w="101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5</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sidRPr="00A211EA">
              <w:rPr>
                <w:rFonts w:ascii="Calibri" w:hAnsi="Calibri"/>
                <w:b/>
                <w:bCs/>
                <w:sz w:val="20"/>
                <w:szCs w:val="20"/>
              </w:rPr>
              <w:t>Year 6</w:t>
            </w:r>
          </w:p>
        </w:tc>
        <w:tc>
          <w:tcPr>
            <w:tcW w:w="10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4F5C85" w:rsidRDefault="00D4559A" w:rsidP="00D4559A">
            <w:pPr>
              <w:spacing w:after="0"/>
              <w:jc w:val="center"/>
              <w:rPr>
                <w:rFonts w:ascii="Calibri" w:eastAsia="Times New Roman" w:hAnsi="Calibri" w:cs="Times New Roman"/>
                <w:sz w:val="20"/>
                <w:szCs w:val="20"/>
              </w:rPr>
            </w:pPr>
            <w:r>
              <w:rPr>
                <w:rFonts w:ascii="Calibri" w:hAnsi="Calibri"/>
                <w:b/>
                <w:bCs/>
                <w:sz w:val="20"/>
                <w:szCs w:val="20"/>
              </w:rPr>
              <w:t>Year 7</w:t>
            </w: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2007</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100%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65%</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57%</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52%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48%</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44%</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39%</w:t>
            </w: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2008</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100%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62%</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52%</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43%</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39%</w:t>
            </w: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2009</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100%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66%</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57%</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51%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46%</w:t>
            </w: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100%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70%</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60%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54%</w:t>
            </w: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2011</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100%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73%</w:t>
            </w:r>
          </w:p>
        </w:tc>
        <w:tc>
          <w:tcPr>
            <w:tcW w:w="1013"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64%</w:t>
            </w: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2012</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100%</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75%</w:t>
            </w: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r>
              <w:rPr>
                <w:rFonts w:ascii="Calibri" w:eastAsia="Times New Roman" w:hAnsi="Calibri" w:cs="Times New Roman"/>
                <w:sz w:val="20"/>
                <w:szCs w:val="20"/>
              </w:rPr>
              <w:t>Initiated</w:t>
            </w:r>
            <w:r w:rsidRPr="004F5C85">
              <w:rPr>
                <w:rFonts w:ascii="Calibri" w:eastAsia="Times New Roman" w:hAnsi="Calibri" w:cs="Times New Roman"/>
                <w:sz w:val="20"/>
                <w:szCs w:val="20"/>
              </w:rPr>
              <w:t xml:space="preserve"> 2013</w:t>
            </w:r>
          </w:p>
        </w:tc>
        <w:tc>
          <w:tcPr>
            <w:tcW w:w="1012" w:type="dxa"/>
            <w:tcBorders>
              <w:top w:val="nil"/>
              <w:left w:val="nil"/>
              <w:bottom w:val="single" w:sz="4" w:space="0" w:color="auto"/>
              <w:right w:val="single" w:sz="4" w:space="0" w:color="auto"/>
            </w:tcBorders>
            <w:shd w:val="clear" w:color="auto" w:fill="auto"/>
            <w:noWrap/>
            <w:vAlign w:val="bottom"/>
            <w:hideMark/>
          </w:tcPr>
          <w:p w:rsidR="00D4559A" w:rsidRPr="004F5C85" w:rsidRDefault="00D4559A" w:rsidP="00D4559A">
            <w:pPr>
              <w:spacing w:after="0"/>
              <w:jc w:val="right"/>
              <w:rPr>
                <w:rFonts w:ascii="Calibri" w:eastAsia="Times New Roman" w:hAnsi="Calibri" w:cs="Times New Roman"/>
                <w:sz w:val="20"/>
                <w:szCs w:val="20"/>
              </w:rPr>
            </w:pPr>
            <w:r>
              <w:rPr>
                <w:rFonts w:ascii="Calibri" w:hAnsi="Calibri"/>
                <w:sz w:val="20"/>
                <w:szCs w:val="20"/>
              </w:rPr>
              <w:t>100%</w:t>
            </w: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gridSpan w:val="2"/>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2"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c>
          <w:tcPr>
            <w:tcW w:w="1013" w:type="dxa"/>
            <w:tcBorders>
              <w:top w:val="nil"/>
              <w:left w:val="nil"/>
              <w:bottom w:val="nil"/>
              <w:right w:val="nil"/>
            </w:tcBorders>
            <w:shd w:val="clear" w:color="auto" w:fill="auto"/>
            <w:noWrap/>
            <w:vAlign w:val="bottom"/>
            <w:hideMark/>
          </w:tcPr>
          <w:p w:rsidR="00D4559A" w:rsidRPr="004F5C85" w:rsidRDefault="00D4559A" w:rsidP="00D4559A">
            <w:pPr>
              <w:spacing w:after="0"/>
              <w:rPr>
                <w:rFonts w:ascii="Calibri" w:eastAsia="Times New Roman" w:hAnsi="Calibri" w:cs="Times New Roman"/>
                <w:sz w:val="20"/>
                <w:szCs w:val="20"/>
              </w:rPr>
            </w:pPr>
          </w:p>
        </w:tc>
      </w:tr>
      <w:tr w:rsidR="00D4559A" w:rsidRPr="004F5C85" w:rsidTr="00D4559A">
        <w:trPr>
          <w:trHeight w:val="300"/>
        </w:trPr>
        <w:tc>
          <w:tcPr>
            <w:tcW w:w="8662" w:type="dxa"/>
            <w:gridSpan w:val="10"/>
            <w:tcBorders>
              <w:top w:val="nil"/>
              <w:left w:val="nil"/>
              <w:bottom w:val="nil"/>
              <w:right w:val="nil"/>
            </w:tcBorders>
            <w:shd w:val="clear" w:color="auto" w:fill="auto"/>
            <w:noWrap/>
            <w:vAlign w:val="bottom"/>
          </w:tcPr>
          <w:p w:rsidR="00D4559A" w:rsidRPr="004F5C85" w:rsidRDefault="00D4559A" w:rsidP="00D4559A">
            <w:pPr>
              <w:spacing w:after="0"/>
              <w:rPr>
                <w:rFonts w:ascii="Calibri" w:eastAsia="Times New Roman" w:hAnsi="Calibri" w:cs="Times New Roman"/>
                <w:sz w:val="20"/>
                <w:szCs w:val="20"/>
              </w:rPr>
            </w:pPr>
          </w:p>
        </w:tc>
      </w:tr>
    </w:tbl>
    <w:p w:rsidR="00EC1121" w:rsidRDefault="00D4559A" w:rsidP="00D4559A">
      <w:r w:rsidRPr="00A33234">
        <w:t xml:space="preserve">The majority of patients continue into the second year of treatment. There is a trend of increasing rates of continuation </w:t>
      </w:r>
      <w:r w:rsidRPr="00643181">
        <w:t>into the second year over time</w:t>
      </w:r>
      <w:r w:rsidRPr="00EC4260">
        <w:t xml:space="preserve"> (65% in 2007 up to 75% in 2012). Continuation rates in subsequent years </w:t>
      </w:r>
      <w:r w:rsidRPr="007609F3">
        <w:t xml:space="preserve">remain high.  </w:t>
      </w:r>
      <w:r w:rsidR="00D106B1" w:rsidRPr="00D106B1">
        <w:t xml:space="preserve">The PBAC recommendations were based on clinical trials of one or two year duration, and a modelled economic evaluation for ranibizumab with a 5 year time horizon.  The PBS data show an average age of initiation of 80 years. </w:t>
      </w:r>
      <w:r w:rsidR="006937B9">
        <w:t xml:space="preserve">The </w:t>
      </w:r>
      <w:r w:rsidR="00D106B1" w:rsidRPr="00D106B1">
        <w:t xml:space="preserve">DUSC noted that the average expected age of death of 84-87 years based on ABS statistics would indicate that many patients would not be treated beyond 7 years, but considered that some individuals will likely use aflibercept or ranibizumab for longer periods of time. </w:t>
      </w:r>
    </w:p>
    <w:p w:rsidR="00D4559A" w:rsidRPr="001A4E51" w:rsidRDefault="001015F1" w:rsidP="00D4559A">
      <w:r>
        <w:t xml:space="preserve">The </w:t>
      </w:r>
      <w:r w:rsidR="00D106B1" w:rsidRPr="00D106B1">
        <w:t xml:space="preserve">DUSC considered that discontinuation rates have been lower than anticipated, and duration of use longer than anticipated contributing to the growth in the number of </w:t>
      </w:r>
      <w:r w:rsidR="00645861">
        <w:t xml:space="preserve">prevalent </w:t>
      </w:r>
      <w:r w:rsidR="00D106B1" w:rsidRPr="00D106B1">
        <w:t xml:space="preserve">patients treated. </w:t>
      </w:r>
      <w:r w:rsidR="00064236">
        <w:t xml:space="preserve">The </w:t>
      </w:r>
      <w:r w:rsidR="00D106B1" w:rsidRPr="00D106B1">
        <w:t xml:space="preserve">DUSC noted advice from clinicians that there is minimal trial data to guide decisions regarding treatment cessation, but that ongoing treatment reduces disease progression as well as reducing the risk of a sudden recurrence of disease.  </w:t>
      </w:r>
    </w:p>
    <w:p w:rsidR="00D4559A" w:rsidRPr="00A211EA" w:rsidRDefault="00D4559A" w:rsidP="00D4559A">
      <w:pPr>
        <w:rPr>
          <w:b/>
        </w:rPr>
      </w:pPr>
      <w:r>
        <w:t>The tables below display the mean and median number of injections of ranibizumab and aflibercept patients receive in each year of treatment, by the calendar year of initiation.</w:t>
      </w:r>
    </w:p>
    <w:p w:rsidR="00D4559A" w:rsidRPr="00AC4FA3" w:rsidRDefault="00D4559A" w:rsidP="00A6422E">
      <w:pPr>
        <w:pStyle w:val="Tabletitle"/>
        <w:keepNext/>
      </w:pPr>
      <w:bookmarkStart w:id="3" w:name="_Ref383791174"/>
      <w:r w:rsidRPr="00AC4FA3">
        <w:lastRenderedPageBreak/>
        <w:t xml:space="preserve">Table </w:t>
      </w:r>
      <w:r w:rsidR="004F27C3">
        <w:rPr>
          <w:noProof/>
        </w:rPr>
        <w:t>9</w:t>
      </w:r>
      <w:bookmarkEnd w:id="3"/>
      <w:r w:rsidRPr="00AC4FA3">
        <w:t xml:space="preserve">: </w:t>
      </w:r>
      <w:r>
        <w:t>Average number</w:t>
      </w:r>
      <w:r w:rsidRPr="00AC4FA3">
        <w:t xml:space="preserve"> of </w:t>
      </w:r>
      <w:r>
        <w:t>injections</w:t>
      </w:r>
      <w:r w:rsidRPr="00AC4FA3">
        <w:t xml:space="preserve"> supplied in </w:t>
      </w:r>
      <w:r>
        <w:t xml:space="preserve">each </w:t>
      </w:r>
      <w:r w:rsidRPr="00AC4FA3">
        <w:t>12 months of therapy for patients by initiating year</w:t>
      </w:r>
    </w:p>
    <w:tbl>
      <w:tblPr>
        <w:tblW w:w="91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077"/>
        <w:gridCol w:w="1077"/>
        <w:gridCol w:w="1077"/>
        <w:gridCol w:w="1077"/>
        <w:gridCol w:w="1077"/>
        <w:gridCol w:w="1077"/>
        <w:gridCol w:w="1077"/>
      </w:tblGrid>
      <w:tr w:rsidR="00D4559A" w:rsidRPr="0069151D" w:rsidTr="00D4559A">
        <w:trPr>
          <w:trHeight w:val="255"/>
        </w:trPr>
        <w:tc>
          <w:tcPr>
            <w:tcW w:w="1575" w:type="dxa"/>
            <w:shd w:val="clear" w:color="auto" w:fill="BFBFBF" w:themeFill="background1" w:themeFillShade="BF"/>
            <w:noWrap/>
            <w:vAlign w:val="bottom"/>
          </w:tcPr>
          <w:p w:rsidR="00D4559A" w:rsidRPr="0069151D" w:rsidRDefault="00D4559A" w:rsidP="00A6422E">
            <w:pPr>
              <w:pStyle w:val="Tableheading"/>
              <w:keepNext/>
              <w:rPr>
                <w:rFonts w:eastAsia="Times New Roman" w:cs="Times New Roman"/>
                <w:sz w:val="20"/>
                <w:szCs w:val="20"/>
              </w:rPr>
            </w:pPr>
            <w:r w:rsidRPr="0069151D">
              <w:rPr>
                <w:sz w:val="20"/>
                <w:szCs w:val="20"/>
              </w:rPr>
              <w:t> </w:t>
            </w:r>
          </w:p>
        </w:tc>
        <w:tc>
          <w:tcPr>
            <w:tcW w:w="1077" w:type="dxa"/>
            <w:shd w:val="clear" w:color="auto" w:fill="BFBFBF" w:themeFill="background1" w:themeFillShade="BF"/>
            <w:noWrap/>
            <w:vAlign w:val="bottom"/>
            <w:hideMark/>
          </w:tcPr>
          <w:p w:rsidR="00D4559A" w:rsidRPr="0069151D" w:rsidRDefault="00D4559A" w:rsidP="00A6422E">
            <w:pPr>
              <w:pStyle w:val="Tableheading"/>
              <w:keepNext/>
              <w:rPr>
                <w:rFonts w:eastAsia="Times New Roman" w:cs="Times New Roman"/>
                <w:sz w:val="20"/>
                <w:szCs w:val="20"/>
              </w:rPr>
            </w:pPr>
            <w:r w:rsidRPr="0069151D">
              <w:rPr>
                <w:sz w:val="20"/>
                <w:szCs w:val="20"/>
              </w:rPr>
              <w:t>Year 1</w:t>
            </w:r>
          </w:p>
        </w:tc>
        <w:tc>
          <w:tcPr>
            <w:tcW w:w="1077" w:type="dxa"/>
            <w:shd w:val="clear" w:color="auto" w:fill="BFBFBF" w:themeFill="background1" w:themeFillShade="BF"/>
            <w:noWrap/>
            <w:vAlign w:val="bottom"/>
            <w:hideMark/>
          </w:tcPr>
          <w:p w:rsidR="00D4559A" w:rsidRPr="0069151D" w:rsidRDefault="00D4559A" w:rsidP="00A6422E">
            <w:pPr>
              <w:pStyle w:val="Tableheading"/>
              <w:keepNext/>
              <w:rPr>
                <w:rFonts w:eastAsia="Times New Roman" w:cs="Times New Roman"/>
                <w:sz w:val="20"/>
                <w:szCs w:val="20"/>
              </w:rPr>
            </w:pPr>
            <w:r w:rsidRPr="0069151D">
              <w:rPr>
                <w:sz w:val="20"/>
                <w:szCs w:val="20"/>
              </w:rPr>
              <w:t>Year 2</w:t>
            </w:r>
          </w:p>
        </w:tc>
        <w:tc>
          <w:tcPr>
            <w:tcW w:w="1077" w:type="dxa"/>
            <w:shd w:val="clear" w:color="auto" w:fill="BFBFBF" w:themeFill="background1" w:themeFillShade="BF"/>
            <w:noWrap/>
            <w:vAlign w:val="bottom"/>
            <w:hideMark/>
          </w:tcPr>
          <w:p w:rsidR="00D4559A" w:rsidRPr="0069151D" w:rsidRDefault="00D4559A" w:rsidP="00A6422E">
            <w:pPr>
              <w:pStyle w:val="Tableheading"/>
              <w:keepNext/>
              <w:rPr>
                <w:rFonts w:eastAsia="Times New Roman" w:cs="Times New Roman"/>
                <w:sz w:val="20"/>
                <w:szCs w:val="20"/>
              </w:rPr>
            </w:pPr>
            <w:r w:rsidRPr="0069151D">
              <w:rPr>
                <w:sz w:val="20"/>
                <w:szCs w:val="20"/>
              </w:rPr>
              <w:t>Year 3</w:t>
            </w:r>
          </w:p>
        </w:tc>
        <w:tc>
          <w:tcPr>
            <w:tcW w:w="1077" w:type="dxa"/>
            <w:shd w:val="clear" w:color="auto" w:fill="BFBFBF" w:themeFill="background1" w:themeFillShade="BF"/>
            <w:noWrap/>
            <w:vAlign w:val="bottom"/>
            <w:hideMark/>
          </w:tcPr>
          <w:p w:rsidR="00D4559A" w:rsidRPr="0069151D" w:rsidRDefault="00D4559A" w:rsidP="00A6422E">
            <w:pPr>
              <w:pStyle w:val="Tableheading"/>
              <w:keepNext/>
              <w:rPr>
                <w:rFonts w:eastAsia="Times New Roman" w:cs="Times New Roman"/>
                <w:sz w:val="20"/>
                <w:szCs w:val="20"/>
              </w:rPr>
            </w:pPr>
            <w:r w:rsidRPr="0069151D">
              <w:rPr>
                <w:sz w:val="20"/>
                <w:szCs w:val="20"/>
              </w:rPr>
              <w:t>Year 4</w:t>
            </w:r>
          </w:p>
        </w:tc>
        <w:tc>
          <w:tcPr>
            <w:tcW w:w="1077" w:type="dxa"/>
            <w:shd w:val="clear" w:color="auto" w:fill="BFBFBF" w:themeFill="background1" w:themeFillShade="BF"/>
            <w:noWrap/>
            <w:vAlign w:val="bottom"/>
            <w:hideMark/>
          </w:tcPr>
          <w:p w:rsidR="00D4559A" w:rsidRPr="0069151D" w:rsidRDefault="00D4559A" w:rsidP="00A6422E">
            <w:pPr>
              <w:pStyle w:val="Tableheading"/>
              <w:keepNext/>
              <w:rPr>
                <w:rFonts w:eastAsia="Times New Roman" w:cs="Times New Roman"/>
                <w:sz w:val="20"/>
                <w:szCs w:val="20"/>
              </w:rPr>
            </w:pPr>
            <w:r w:rsidRPr="0069151D">
              <w:rPr>
                <w:sz w:val="20"/>
                <w:szCs w:val="20"/>
              </w:rPr>
              <w:t>Year 5</w:t>
            </w:r>
          </w:p>
        </w:tc>
        <w:tc>
          <w:tcPr>
            <w:tcW w:w="1077" w:type="dxa"/>
            <w:shd w:val="clear" w:color="auto" w:fill="BFBFBF" w:themeFill="background1" w:themeFillShade="BF"/>
            <w:noWrap/>
            <w:vAlign w:val="bottom"/>
            <w:hideMark/>
          </w:tcPr>
          <w:p w:rsidR="00D4559A" w:rsidRPr="0069151D" w:rsidRDefault="00D4559A" w:rsidP="00A6422E">
            <w:pPr>
              <w:pStyle w:val="Tableheading"/>
              <w:keepNext/>
              <w:rPr>
                <w:rFonts w:eastAsia="Times New Roman" w:cs="Times New Roman"/>
                <w:sz w:val="20"/>
                <w:szCs w:val="20"/>
              </w:rPr>
            </w:pPr>
            <w:r w:rsidRPr="0069151D">
              <w:rPr>
                <w:sz w:val="20"/>
                <w:szCs w:val="20"/>
              </w:rPr>
              <w:t>Year 6</w:t>
            </w:r>
          </w:p>
        </w:tc>
        <w:tc>
          <w:tcPr>
            <w:tcW w:w="1077" w:type="dxa"/>
            <w:shd w:val="clear" w:color="auto" w:fill="BFBFBF" w:themeFill="background1" w:themeFillShade="BF"/>
          </w:tcPr>
          <w:p w:rsidR="00D4559A" w:rsidRPr="0069151D" w:rsidRDefault="00D4559A" w:rsidP="00A6422E">
            <w:pPr>
              <w:pStyle w:val="Tableheading"/>
              <w:keepNext/>
              <w:rPr>
                <w:sz w:val="20"/>
                <w:szCs w:val="20"/>
              </w:rPr>
            </w:pPr>
            <w:r w:rsidRPr="0069151D">
              <w:rPr>
                <w:sz w:val="20"/>
                <w:szCs w:val="20"/>
              </w:rPr>
              <w:t>Year 7</w:t>
            </w:r>
          </w:p>
        </w:tc>
      </w:tr>
      <w:tr w:rsidR="00D4559A" w:rsidRPr="00A211EA" w:rsidTr="00D4559A">
        <w:trPr>
          <w:trHeight w:val="255"/>
        </w:trPr>
        <w:tc>
          <w:tcPr>
            <w:tcW w:w="1575" w:type="dxa"/>
            <w:shd w:val="clear" w:color="auto" w:fill="auto"/>
            <w:noWrap/>
            <w:vAlign w:val="bottom"/>
            <w:hideMark/>
          </w:tcPr>
          <w:p w:rsidR="00D4559A" w:rsidRPr="009337BB" w:rsidRDefault="00D4559A" w:rsidP="00A6422E">
            <w:pPr>
              <w:pStyle w:val="Tablewriting"/>
              <w:keepNext/>
              <w:rPr>
                <w:rFonts w:eastAsia="Times New Roman" w:cs="Times New Roman"/>
                <w:b/>
                <w:color w:val="auto"/>
              </w:rPr>
            </w:pPr>
            <w:r w:rsidRPr="009337BB">
              <w:rPr>
                <w:b/>
                <w:color w:val="auto"/>
              </w:rPr>
              <w:t>Initiated 2007</w:t>
            </w:r>
            <w:r w:rsidRPr="009337BB">
              <w:rPr>
                <w:b/>
                <w:color w:val="auto"/>
                <w:vertAlign w:val="superscript"/>
              </w:rPr>
              <w:t>a</w:t>
            </w:r>
          </w:p>
        </w:tc>
        <w:tc>
          <w:tcPr>
            <w:tcW w:w="1077" w:type="dxa"/>
            <w:shd w:val="clear" w:color="auto" w:fill="auto"/>
            <w:noWrap/>
            <w:vAlign w:val="bottom"/>
            <w:hideMark/>
          </w:tcPr>
          <w:p w:rsidR="00D4559A" w:rsidRPr="00A211EA" w:rsidRDefault="00D4559A" w:rsidP="00A6422E">
            <w:pPr>
              <w:pStyle w:val="Tablewriting"/>
              <w:keepNext/>
              <w:jc w:val="center"/>
              <w:rPr>
                <w:rFonts w:eastAsia="Times New Roman" w:cs="Times New Roman"/>
              </w:rPr>
            </w:pPr>
            <w:r>
              <w:t>5.70</w:t>
            </w:r>
          </w:p>
        </w:tc>
        <w:tc>
          <w:tcPr>
            <w:tcW w:w="1077" w:type="dxa"/>
            <w:shd w:val="clear" w:color="auto" w:fill="auto"/>
            <w:noWrap/>
            <w:vAlign w:val="bottom"/>
            <w:hideMark/>
          </w:tcPr>
          <w:p w:rsidR="00D4559A" w:rsidRPr="00A211EA" w:rsidRDefault="00D4559A" w:rsidP="00A6422E">
            <w:pPr>
              <w:pStyle w:val="Tablewriting"/>
              <w:keepNext/>
              <w:jc w:val="center"/>
              <w:rPr>
                <w:rFonts w:eastAsia="Times New Roman" w:cs="Times New Roman"/>
              </w:rPr>
            </w:pPr>
            <w:r>
              <w:t>5.95</w:t>
            </w:r>
          </w:p>
        </w:tc>
        <w:tc>
          <w:tcPr>
            <w:tcW w:w="1077" w:type="dxa"/>
            <w:shd w:val="clear" w:color="auto" w:fill="auto"/>
            <w:noWrap/>
            <w:vAlign w:val="bottom"/>
            <w:hideMark/>
          </w:tcPr>
          <w:p w:rsidR="00D4559A" w:rsidRPr="00A211EA" w:rsidRDefault="00D4559A" w:rsidP="00A6422E">
            <w:pPr>
              <w:pStyle w:val="Tablewriting"/>
              <w:keepNext/>
              <w:jc w:val="center"/>
              <w:rPr>
                <w:rFonts w:eastAsia="Times New Roman" w:cs="Times New Roman"/>
              </w:rPr>
            </w:pPr>
            <w:r>
              <w:t>7.19</w:t>
            </w:r>
          </w:p>
        </w:tc>
        <w:tc>
          <w:tcPr>
            <w:tcW w:w="1077" w:type="dxa"/>
            <w:shd w:val="clear" w:color="auto" w:fill="auto"/>
            <w:noWrap/>
            <w:vAlign w:val="bottom"/>
            <w:hideMark/>
          </w:tcPr>
          <w:p w:rsidR="00D4559A" w:rsidRPr="00A211EA" w:rsidRDefault="00D4559A" w:rsidP="00A6422E">
            <w:pPr>
              <w:pStyle w:val="Tablewriting"/>
              <w:keepNext/>
              <w:jc w:val="center"/>
              <w:rPr>
                <w:rFonts w:eastAsia="Times New Roman" w:cs="Times New Roman"/>
              </w:rPr>
            </w:pPr>
            <w:r>
              <w:t>7.67</w:t>
            </w:r>
          </w:p>
        </w:tc>
        <w:tc>
          <w:tcPr>
            <w:tcW w:w="1077" w:type="dxa"/>
            <w:shd w:val="clear" w:color="auto" w:fill="auto"/>
            <w:noWrap/>
            <w:vAlign w:val="bottom"/>
            <w:hideMark/>
          </w:tcPr>
          <w:p w:rsidR="00D4559A" w:rsidRPr="00A211EA" w:rsidRDefault="00D4559A" w:rsidP="00A6422E">
            <w:pPr>
              <w:pStyle w:val="Tablewriting"/>
              <w:keepNext/>
              <w:jc w:val="center"/>
              <w:rPr>
                <w:rFonts w:eastAsia="Times New Roman" w:cs="Times New Roman"/>
              </w:rPr>
            </w:pPr>
            <w:r>
              <w:t>7.96</w:t>
            </w:r>
          </w:p>
        </w:tc>
        <w:tc>
          <w:tcPr>
            <w:tcW w:w="1077" w:type="dxa"/>
            <w:shd w:val="clear" w:color="auto" w:fill="auto"/>
            <w:noWrap/>
            <w:vAlign w:val="bottom"/>
            <w:hideMark/>
          </w:tcPr>
          <w:p w:rsidR="00D4559A" w:rsidRPr="00A211EA" w:rsidRDefault="00D4559A" w:rsidP="00A6422E">
            <w:pPr>
              <w:pStyle w:val="Tablewriting"/>
              <w:keepNext/>
              <w:jc w:val="center"/>
              <w:rPr>
                <w:rFonts w:eastAsia="Times New Roman" w:cs="Times New Roman"/>
              </w:rPr>
            </w:pPr>
            <w:r>
              <w:t>7.88</w:t>
            </w:r>
          </w:p>
        </w:tc>
        <w:tc>
          <w:tcPr>
            <w:tcW w:w="1077" w:type="dxa"/>
            <w:vAlign w:val="bottom"/>
          </w:tcPr>
          <w:p w:rsidR="00D4559A" w:rsidRDefault="00D4559A" w:rsidP="00A6422E">
            <w:pPr>
              <w:pStyle w:val="Tablewriting"/>
              <w:keepNext/>
              <w:jc w:val="center"/>
            </w:pPr>
            <w:r>
              <w:t>7.66</w:t>
            </w:r>
          </w:p>
        </w:tc>
      </w:tr>
      <w:tr w:rsidR="00D4559A" w:rsidRPr="00A211EA" w:rsidTr="00D4559A">
        <w:trPr>
          <w:trHeight w:val="255"/>
        </w:trPr>
        <w:tc>
          <w:tcPr>
            <w:tcW w:w="1575" w:type="dxa"/>
            <w:shd w:val="clear" w:color="auto" w:fill="auto"/>
            <w:noWrap/>
            <w:vAlign w:val="bottom"/>
            <w:hideMark/>
          </w:tcPr>
          <w:p w:rsidR="00D4559A" w:rsidRPr="009337BB" w:rsidRDefault="00D4559A" w:rsidP="00D4559A">
            <w:pPr>
              <w:pStyle w:val="Tablewriting"/>
              <w:rPr>
                <w:rFonts w:eastAsia="Times New Roman" w:cs="Times New Roman"/>
                <w:b/>
                <w:color w:val="auto"/>
              </w:rPr>
            </w:pPr>
            <w:r w:rsidRPr="009337BB">
              <w:rPr>
                <w:b/>
                <w:color w:val="auto"/>
              </w:rPr>
              <w:t>Initiated 2008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6.11</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6.12</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6.98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7.37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7.62</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7.38</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9337BB" w:rsidRDefault="00D4559A" w:rsidP="00D4559A">
            <w:pPr>
              <w:pStyle w:val="Tablewriting"/>
              <w:rPr>
                <w:rFonts w:eastAsia="Times New Roman" w:cs="Times New Roman"/>
                <w:b/>
                <w:color w:val="auto"/>
              </w:rPr>
            </w:pPr>
            <w:r w:rsidRPr="009337BB">
              <w:rPr>
                <w:b/>
                <w:color w:val="auto"/>
              </w:rPr>
              <w:t>Initiated 2009</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7.23</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6.78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7.30</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7.51</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7.27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9337BB" w:rsidRDefault="00D4559A" w:rsidP="00D4559A">
            <w:pPr>
              <w:pStyle w:val="Tablewriting"/>
              <w:rPr>
                <w:rFonts w:eastAsia="Times New Roman" w:cs="Times New Roman"/>
                <w:b/>
                <w:color w:val="auto"/>
              </w:rPr>
            </w:pPr>
            <w:r w:rsidRPr="009337BB">
              <w:rPr>
                <w:b/>
                <w:color w:val="auto"/>
              </w:rPr>
              <w:t>Initiated 2010</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8.08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7.20</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7.43</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7.47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9337BB" w:rsidRDefault="00D4559A" w:rsidP="00D4559A">
            <w:pPr>
              <w:pStyle w:val="Tablewriting"/>
              <w:rPr>
                <w:rFonts w:eastAsia="Times New Roman" w:cs="Times New Roman"/>
                <w:b/>
                <w:color w:val="auto"/>
              </w:rPr>
            </w:pPr>
            <w:r w:rsidRPr="009337BB">
              <w:rPr>
                <w:b/>
                <w:color w:val="auto"/>
              </w:rPr>
              <w:t>Initiated 2011</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8.31</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7.20</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7.10</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9337BB" w:rsidRDefault="00D4559A" w:rsidP="00D4559A">
            <w:pPr>
              <w:pStyle w:val="Tablewriting"/>
              <w:rPr>
                <w:rFonts w:eastAsia="Times New Roman" w:cs="Times New Roman"/>
                <w:b/>
                <w:color w:val="auto"/>
              </w:rPr>
            </w:pPr>
            <w:r w:rsidRPr="009337BB">
              <w:rPr>
                <w:b/>
                <w:color w:val="auto"/>
              </w:rPr>
              <w:t>Initiated 2012</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8.48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7.04</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tcPr>
          <w:p w:rsidR="00D4559A" w:rsidRPr="009337BB" w:rsidRDefault="00D4559A" w:rsidP="00D4559A">
            <w:pPr>
              <w:pStyle w:val="Tablewriting"/>
              <w:rPr>
                <w:b/>
                <w:color w:val="auto"/>
              </w:rPr>
            </w:pPr>
            <w:r w:rsidRPr="009337BB">
              <w:rPr>
                <w:b/>
                <w:color w:val="auto"/>
              </w:rPr>
              <w:t>Initiated 2013</w:t>
            </w:r>
          </w:p>
        </w:tc>
        <w:tc>
          <w:tcPr>
            <w:tcW w:w="1077" w:type="dxa"/>
            <w:shd w:val="clear" w:color="auto" w:fill="auto"/>
            <w:noWrap/>
            <w:vAlign w:val="bottom"/>
          </w:tcPr>
          <w:p w:rsidR="00D4559A" w:rsidRPr="00A211EA" w:rsidRDefault="00D4559A" w:rsidP="00D4559A">
            <w:pPr>
              <w:pStyle w:val="Tablewriting"/>
              <w:jc w:val="center"/>
            </w:pPr>
            <w:r>
              <w:t>8.29</w:t>
            </w:r>
          </w:p>
        </w:tc>
        <w:tc>
          <w:tcPr>
            <w:tcW w:w="1077" w:type="dxa"/>
            <w:shd w:val="clear" w:color="auto" w:fill="auto"/>
            <w:noWrap/>
            <w:vAlign w:val="bottom"/>
          </w:tcPr>
          <w:p w:rsidR="00D4559A" w:rsidRPr="00A211EA" w:rsidRDefault="00D4559A" w:rsidP="00D4559A">
            <w:pPr>
              <w:pStyle w:val="Tablewriting"/>
              <w:jc w:val="center"/>
            </w:pPr>
            <w:r>
              <w:t>-</w:t>
            </w:r>
          </w:p>
        </w:tc>
        <w:tc>
          <w:tcPr>
            <w:tcW w:w="1077" w:type="dxa"/>
            <w:shd w:val="clear" w:color="auto" w:fill="auto"/>
            <w:noWrap/>
            <w:vAlign w:val="bottom"/>
          </w:tcPr>
          <w:p w:rsidR="00D4559A" w:rsidRPr="00A211EA" w:rsidRDefault="00D4559A" w:rsidP="00D4559A">
            <w:pPr>
              <w:pStyle w:val="Tablewriting"/>
              <w:jc w:val="center"/>
            </w:pPr>
            <w:r>
              <w:t>-</w:t>
            </w:r>
          </w:p>
        </w:tc>
        <w:tc>
          <w:tcPr>
            <w:tcW w:w="1077" w:type="dxa"/>
            <w:shd w:val="clear" w:color="auto" w:fill="auto"/>
            <w:noWrap/>
            <w:vAlign w:val="bottom"/>
          </w:tcPr>
          <w:p w:rsidR="00D4559A" w:rsidRPr="00A211EA" w:rsidRDefault="00D4559A" w:rsidP="00D4559A">
            <w:pPr>
              <w:pStyle w:val="Tablewriting"/>
              <w:jc w:val="center"/>
            </w:pPr>
            <w:r>
              <w:t>-</w:t>
            </w:r>
          </w:p>
        </w:tc>
        <w:tc>
          <w:tcPr>
            <w:tcW w:w="1077" w:type="dxa"/>
            <w:shd w:val="clear" w:color="auto" w:fill="auto"/>
            <w:noWrap/>
            <w:vAlign w:val="bottom"/>
          </w:tcPr>
          <w:p w:rsidR="00D4559A" w:rsidRPr="00A211EA" w:rsidRDefault="00D4559A" w:rsidP="00D4559A">
            <w:pPr>
              <w:pStyle w:val="Tablewriting"/>
              <w:jc w:val="center"/>
            </w:pPr>
            <w:r>
              <w:t>-</w:t>
            </w:r>
          </w:p>
        </w:tc>
        <w:tc>
          <w:tcPr>
            <w:tcW w:w="1077" w:type="dxa"/>
            <w:shd w:val="clear" w:color="auto" w:fill="auto"/>
            <w:noWrap/>
            <w:vAlign w:val="bottom"/>
          </w:tcPr>
          <w:p w:rsidR="00D4559A" w:rsidRPr="00A211EA" w:rsidRDefault="00D4559A" w:rsidP="00D4559A">
            <w:pPr>
              <w:pStyle w:val="Tablewriting"/>
              <w:jc w:val="center"/>
            </w:pPr>
            <w:r>
              <w:t>-</w:t>
            </w:r>
          </w:p>
        </w:tc>
        <w:tc>
          <w:tcPr>
            <w:tcW w:w="1077" w:type="dxa"/>
            <w:vAlign w:val="bottom"/>
          </w:tcPr>
          <w:p w:rsidR="00D4559A" w:rsidRDefault="00D4559A" w:rsidP="00D4559A">
            <w:pPr>
              <w:pStyle w:val="Tablewriting"/>
              <w:jc w:val="center"/>
            </w:pPr>
            <w:r>
              <w:t>-</w:t>
            </w:r>
          </w:p>
        </w:tc>
      </w:tr>
    </w:tbl>
    <w:p w:rsidR="00D4559A" w:rsidRPr="00773094" w:rsidRDefault="00D4559A" w:rsidP="00D4559A">
      <w:pPr>
        <w:pStyle w:val="Notes"/>
        <w:tabs>
          <w:tab w:val="left" w:pos="6480"/>
        </w:tabs>
        <w:rPr>
          <w:rFonts w:cs="Arial"/>
        </w:rPr>
      </w:pPr>
      <w:r w:rsidRPr="00C91353">
        <w:t>Source: DHS Medicare Pharmacy Claim</w:t>
      </w:r>
      <w:r>
        <w:t>s database, accessed March 2015</w:t>
      </w:r>
      <w:r w:rsidRPr="00C91353">
        <w:tab/>
      </w:r>
      <w:r>
        <w:br/>
      </w:r>
      <w:r w:rsidRPr="009337BB">
        <w:rPr>
          <w:rFonts w:cs="Arial"/>
          <w:vertAlign w:val="superscript"/>
        </w:rPr>
        <w:t xml:space="preserve">a </w:t>
      </w:r>
      <w:r w:rsidRPr="00D73349">
        <w:rPr>
          <w:rFonts w:cs="Arial"/>
        </w:rPr>
        <w:t>This cohort may also contain some patients who were grandfathered on to ranibizumab and therefore are not initiators to the therapy.</w:t>
      </w:r>
    </w:p>
    <w:p w:rsidR="00D4559A" w:rsidRPr="00A211EA" w:rsidRDefault="00D4559A" w:rsidP="00D4559A">
      <w:pPr>
        <w:pStyle w:val="Tabletitle"/>
      </w:pPr>
      <w:r w:rsidRPr="00A211EA">
        <w:t xml:space="preserve">Table </w:t>
      </w:r>
      <w:r w:rsidR="004F27C3">
        <w:rPr>
          <w:noProof/>
        </w:rPr>
        <w:t>10</w:t>
      </w:r>
      <w:r w:rsidRPr="00A211EA">
        <w:t xml:space="preserve">: The median number of </w:t>
      </w:r>
      <w:r>
        <w:t>injections</w:t>
      </w:r>
      <w:r w:rsidRPr="00A211EA">
        <w:t xml:space="preserve"> supplied in </w:t>
      </w:r>
      <w:r>
        <w:t>each</w:t>
      </w:r>
      <w:r w:rsidRPr="00A211EA">
        <w:t xml:space="preserve"> 12 months of therapy for patients by initiating year.</w:t>
      </w:r>
    </w:p>
    <w:tbl>
      <w:tblPr>
        <w:tblW w:w="91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077"/>
        <w:gridCol w:w="1077"/>
        <w:gridCol w:w="1077"/>
        <w:gridCol w:w="1077"/>
        <w:gridCol w:w="1077"/>
        <w:gridCol w:w="1077"/>
        <w:gridCol w:w="1077"/>
      </w:tblGrid>
      <w:tr w:rsidR="00D4559A" w:rsidRPr="0069151D" w:rsidTr="00D4559A">
        <w:trPr>
          <w:trHeight w:val="255"/>
        </w:trPr>
        <w:tc>
          <w:tcPr>
            <w:tcW w:w="1575" w:type="dxa"/>
            <w:shd w:val="clear" w:color="auto" w:fill="BFBFBF" w:themeFill="background1" w:themeFillShade="BF"/>
            <w:noWrap/>
            <w:vAlign w:val="bottom"/>
          </w:tcPr>
          <w:p w:rsidR="00D4559A" w:rsidRPr="0069151D" w:rsidRDefault="00D4559A" w:rsidP="00D4559A">
            <w:pPr>
              <w:pStyle w:val="Tableheading"/>
              <w:rPr>
                <w:rFonts w:eastAsia="Times New Roman" w:cs="Times New Roman"/>
                <w:sz w:val="20"/>
                <w:szCs w:val="20"/>
              </w:rPr>
            </w:pPr>
            <w:r w:rsidRPr="0069151D">
              <w:rPr>
                <w:sz w:val="20"/>
                <w:szCs w:val="20"/>
              </w:rPr>
              <w:t> </w:t>
            </w:r>
          </w:p>
        </w:tc>
        <w:tc>
          <w:tcPr>
            <w:tcW w:w="1077" w:type="dxa"/>
            <w:shd w:val="clear" w:color="auto" w:fill="BFBFBF" w:themeFill="background1" w:themeFillShade="BF"/>
            <w:noWrap/>
            <w:vAlign w:val="bottom"/>
            <w:hideMark/>
          </w:tcPr>
          <w:p w:rsidR="00D4559A" w:rsidRPr="0069151D" w:rsidRDefault="00D4559A" w:rsidP="00D4559A">
            <w:pPr>
              <w:pStyle w:val="Tableheading"/>
              <w:rPr>
                <w:rFonts w:eastAsia="Times New Roman" w:cs="Times New Roman"/>
                <w:sz w:val="20"/>
                <w:szCs w:val="20"/>
              </w:rPr>
            </w:pPr>
            <w:r w:rsidRPr="0069151D">
              <w:rPr>
                <w:sz w:val="20"/>
                <w:szCs w:val="20"/>
              </w:rPr>
              <w:t>Year 1</w:t>
            </w:r>
          </w:p>
        </w:tc>
        <w:tc>
          <w:tcPr>
            <w:tcW w:w="1077" w:type="dxa"/>
            <w:shd w:val="clear" w:color="auto" w:fill="BFBFBF" w:themeFill="background1" w:themeFillShade="BF"/>
            <w:noWrap/>
            <w:vAlign w:val="bottom"/>
            <w:hideMark/>
          </w:tcPr>
          <w:p w:rsidR="00D4559A" w:rsidRPr="0069151D" w:rsidRDefault="00D4559A" w:rsidP="00D4559A">
            <w:pPr>
              <w:pStyle w:val="Tableheading"/>
              <w:rPr>
                <w:rFonts w:eastAsia="Times New Roman" w:cs="Times New Roman"/>
                <w:sz w:val="20"/>
                <w:szCs w:val="20"/>
              </w:rPr>
            </w:pPr>
            <w:r w:rsidRPr="0069151D">
              <w:rPr>
                <w:sz w:val="20"/>
                <w:szCs w:val="20"/>
              </w:rPr>
              <w:t>Year 2</w:t>
            </w:r>
          </w:p>
        </w:tc>
        <w:tc>
          <w:tcPr>
            <w:tcW w:w="1077" w:type="dxa"/>
            <w:shd w:val="clear" w:color="auto" w:fill="BFBFBF" w:themeFill="background1" w:themeFillShade="BF"/>
            <w:noWrap/>
            <w:vAlign w:val="bottom"/>
            <w:hideMark/>
          </w:tcPr>
          <w:p w:rsidR="00D4559A" w:rsidRPr="0069151D" w:rsidRDefault="00D4559A" w:rsidP="00D4559A">
            <w:pPr>
              <w:pStyle w:val="Tableheading"/>
              <w:rPr>
                <w:rFonts w:eastAsia="Times New Roman" w:cs="Times New Roman"/>
                <w:sz w:val="20"/>
                <w:szCs w:val="20"/>
              </w:rPr>
            </w:pPr>
            <w:r w:rsidRPr="0069151D">
              <w:rPr>
                <w:sz w:val="20"/>
                <w:szCs w:val="20"/>
              </w:rPr>
              <w:t>Year 3</w:t>
            </w:r>
          </w:p>
        </w:tc>
        <w:tc>
          <w:tcPr>
            <w:tcW w:w="1077" w:type="dxa"/>
            <w:shd w:val="clear" w:color="auto" w:fill="BFBFBF" w:themeFill="background1" w:themeFillShade="BF"/>
            <w:noWrap/>
            <w:vAlign w:val="bottom"/>
            <w:hideMark/>
          </w:tcPr>
          <w:p w:rsidR="00D4559A" w:rsidRPr="0069151D" w:rsidRDefault="00D4559A" w:rsidP="00D4559A">
            <w:pPr>
              <w:pStyle w:val="Tableheading"/>
              <w:rPr>
                <w:rFonts w:eastAsia="Times New Roman" w:cs="Times New Roman"/>
                <w:sz w:val="20"/>
                <w:szCs w:val="20"/>
              </w:rPr>
            </w:pPr>
            <w:r w:rsidRPr="0069151D">
              <w:rPr>
                <w:sz w:val="20"/>
                <w:szCs w:val="20"/>
              </w:rPr>
              <w:t>Year 4</w:t>
            </w:r>
          </w:p>
        </w:tc>
        <w:tc>
          <w:tcPr>
            <w:tcW w:w="1077" w:type="dxa"/>
            <w:shd w:val="clear" w:color="auto" w:fill="BFBFBF" w:themeFill="background1" w:themeFillShade="BF"/>
            <w:noWrap/>
            <w:vAlign w:val="bottom"/>
            <w:hideMark/>
          </w:tcPr>
          <w:p w:rsidR="00D4559A" w:rsidRPr="0069151D" w:rsidRDefault="00D4559A" w:rsidP="00D4559A">
            <w:pPr>
              <w:pStyle w:val="Tableheading"/>
              <w:rPr>
                <w:rFonts w:eastAsia="Times New Roman" w:cs="Times New Roman"/>
                <w:sz w:val="20"/>
                <w:szCs w:val="20"/>
              </w:rPr>
            </w:pPr>
            <w:r w:rsidRPr="0069151D">
              <w:rPr>
                <w:sz w:val="20"/>
                <w:szCs w:val="20"/>
              </w:rPr>
              <w:t>Year 5</w:t>
            </w:r>
          </w:p>
        </w:tc>
        <w:tc>
          <w:tcPr>
            <w:tcW w:w="1077" w:type="dxa"/>
            <w:shd w:val="clear" w:color="auto" w:fill="BFBFBF" w:themeFill="background1" w:themeFillShade="BF"/>
            <w:noWrap/>
            <w:vAlign w:val="bottom"/>
            <w:hideMark/>
          </w:tcPr>
          <w:p w:rsidR="00D4559A" w:rsidRPr="0069151D" w:rsidRDefault="00D4559A" w:rsidP="00D4559A">
            <w:pPr>
              <w:pStyle w:val="Tableheading"/>
              <w:rPr>
                <w:rFonts w:eastAsia="Times New Roman" w:cs="Times New Roman"/>
                <w:sz w:val="20"/>
                <w:szCs w:val="20"/>
              </w:rPr>
            </w:pPr>
            <w:r w:rsidRPr="0069151D">
              <w:rPr>
                <w:sz w:val="20"/>
                <w:szCs w:val="20"/>
              </w:rPr>
              <w:t>Year 6</w:t>
            </w:r>
          </w:p>
        </w:tc>
        <w:tc>
          <w:tcPr>
            <w:tcW w:w="1077" w:type="dxa"/>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Year 7</w:t>
            </w:r>
          </w:p>
        </w:tc>
      </w:tr>
      <w:tr w:rsidR="00D4559A" w:rsidRPr="00A211EA" w:rsidTr="00D4559A">
        <w:trPr>
          <w:trHeight w:val="255"/>
        </w:trPr>
        <w:tc>
          <w:tcPr>
            <w:tcW w:w="1575" w:type="dxa"/>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2007</w:t>
            </w:r>
            <w:r w:rsidRPr="00FC6D78">
              <w:rPr>
                <w:b/>
                <w:vertAlign w:val="superscript"/>
              </w:rPr>
              <w:t>a</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5</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5</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vAlign w:val="bottom"/>
          </w:tcPr>
          <w:p w:rsidR="00D4559A" w:rsidRDefault="00D4559A" w:rsidP="00D4559A">
            <w:pPr>
              <w:pStyle w:val="Tablewriting"/>
              <w:jc w:val="center"/>
            </w:pPr>
            <w:r>
              <w:t>7</w:t>
            </w:r>
          </w:p>
        </w:tc>
      </w:tr>
      <w:tr w:rsidR="00D4559A" w:rsidRPr="00A211EA" w:rsidTr="00D4559A">
        <w:trPr>
          <w:trHeight w:val="255"/>
        </w:trPr>
        <w:tc>
          <w:tcPr>
            <w:tcW w:w="1575" w:type="dxa"/>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2008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5</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2009</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2010</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2011</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7</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2012</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8</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6</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hideMark/>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Default="00D4559A" w:rsidP="00D4559A">
            <w:pPr>
              <w:pStyle w:val="Tablewriting"/>
              <w:jc w:val="center"/>
            </w:pPr>
            <w:r>
              <w:t>-</w:t>
            </w:r>
          </w:p>
        </w:tc>
      </w:tr>
      <w:tr w:rsidR="00D4559A" w:rsidRPr="00A211EA" w:rsidTr="00D4559A">
        <w:trPr>
          <w:trHeight w:val="255"/>
        </w:trPr>
        <w:tc>
          <w:tcPr>
            <w:tcW w:w="1575" w:type="dxa"/>
            <w:shd w:val="clear" w:color="auto" w:fill="auto"/>
            <w:noWrap/>
            <w:vAlign w:val="bottom"/>
          </w:tcPr>
          <w:p w:rsidR="00D4559A" w:rsidRPr="00FC6D78" w:rsidRDefault="00D4559A" w:rsidP="00D4559A">
            <w:pPr>
              <w:pStyle w:val="Tablewriting"/>
              <w:rPr>
                <w:rFonts w:eastAsia="Times New Roman" w:cs="Times New Roman"/>
                <w:b/>
              </w:rPr>
            </w:pPr>
            <w:r w:rsidRPr="00FC6D78">
              <w:rPr>
                <w:b/>
              </w:rPr>
              <w:t>Initiated 2013</w:t>
            </w:r>
          </w:p>
        </w:tc>
        <w:tc>
          <w:tcPr>
            <w:tcW w:w="1077" w:type="dxa"/>
            <w:shd w:val="clear" w:color="auto" w:fill="auto"/>
            <w:noWrap/>
            <w:vAlign w:val="bottom"/>
          </w:tcPr>
          <w:p w:rsidR="00D4559A" w:rsidRPr="00A211EA" w:rsidRDefault="00D4559A" w:rsidP="00D4559A">
            <w:pPr>
              <w:pStyle w:val="Tablewriting"/>
              <w:jc w:val="center"/>
            </w:pPr>
            <w:r>
              <w:t>8</w:t>
            </w:r>
          </w:p>
        </w:tc>
        <w:tc>
          <w:tcPr>
            <w:tcW w:w="1077" w:type="dxa"/>
            <w:shd w:val="clear" w:color="auto" w:fill="auto"/>
            <w:noWrap/>
            <w:vAlign w:val="bottom"/>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tcPr>
          <w:p w:rsidR="00D4559A" w:rsidRPr="00A211EA" w:rsidRDefault="00D4559A" w:rsidP="00D4559A">
            <w:pPr>
              <w:pStyle w:val="Tablewriting"/>
              <w:jc w:val="center"/>
              <w:rPr>
                <w:rFonts w:eastAsia="Times New Roman" w:cs="Times New Roman"/>
              </w:rPr>
            </w:pPr>
            <w:r>
              <w:t>-</w:t>
            </w:r>
          </w:p>
        </w:tc>
        <w:tc>
          <w:tcPr>
            <w:tcW w:w="1077" w:type="dxa"/>
            <w:shd w:val="clear" w:color="auto" w:fill="auto"/>
            <w:noWrap/>
            <w:vAlign w:val="bottom"/>
          </w:tcPr>
          <w:p w:rsidR="00D4559A" w:rsidRPr="00A211EA" w:rsidRDefault="00D4559A" w:rsidP="00D4559A">
            <w:pPr>
              <w:pStyle w:val="Tablewriting"/>
              <w:jc w:val="center"/>
              <w:rPr>
                <w:rFonts w:eastAsia="Times New Roman" w:cs="Times New Roman"/>
              </w:rPr>
            </w:pPr>
            <w:r>
              <w:t>-</w:t>
            </w:r>
          </w:p>
        </w:tc>
        <w:tc>
          <w:tcPr>
            <w:tcW w:w="1077" w:type="dxa"/>
            <w:vAlign w:val="bottom"/>
          </w:tcPr>
          <w:p w:rsidR="00D4559A" w:rsidRPr="00A211EA" w:rsidRDefault="00D4559A" w:rsidP="00D4559A">
            <w:pPr>
              <w:pStyle w:val="Tablewriting"/>
              <w:jc w:val="center"/>
            </w:pPr>
            <w:r>
              <w:t>-</w:t>
            </w:r>
          </w:p>
        </w:tc>
      </w:tr>
    </w:tbl>
    <w:p w:rsidR="00D4559A" w:rsidRPr="00FC6D78" w:rsidRDefault="00D4559A" w:rsidP="00D4559A">
      <w:pPr>
        <w:pStyle w:val="Notes"/>
        <w:rPr>
          <w:rFonts w:cs="Arial"/>
        </w:rPr>
      </w:pPr>
      <w:r w:rsidRPr="00C91353">
        <w:t>Source: DHS Medicare Pharmacy Claim</w:t>
      </w:r>
      <w:r>
        <w:t>s database, accessed March 2015</w:t>
      </w:r>
      <w:r w:rsidRPr="00773094">
        <w:rPr>
          <w:rFonts w:cs="Arial"/>
        </w:rPr>
        <w:t xml:space="preserve"> </w:t>
      </w:r>
      <w:r>
        <w:rPr>
          <w:rFonts w:cs="Arial"/>
        </w:rPr>
        <w:br/>
      </w:r>
      <w:r w:rsidRPr="00FC6D78">
        <w:rPr>
          <w:rFonts w:cs="Arial"/>
          <w:vertAlign w:val="superscript"/>
        </w:rPr>
        <w:t>a</w:t>
      </w:r>
      <w:r w:rsidRPr="00D73349">
        <w:rPr>
          <w:rFonts w:cs="Arial"/>
        </w:rPr>
        <w:t xml:space="preserve"> This cohort may also contain some patients who were grandfathered on to ranibizumab and therefore are not initiators to the therapy.</w:t>
      </w:r>
    </w:p>
    <w:p w:rsidR="00D4559A" w:rsidRPr="00AC4FA3" w:rsidRDefault="00D4559A" w:rsidP="00D4559A">
      <w:r w:rsidRPr="00AC4FA3">
        <w:t xml:space="preserve">The 2012 analysis of AMD investigated the average number of prescriptions supplied in the first 12 months of therapy, and reported that the number of prescriptions filled per cohort was steadily increasing each year. Tables </w:t>
      </w:r>
      <w:r w:rsidR="004F27C3">
        <w:rPr>
          <w:noProof/>
        </w:rPr>
        <w:t>9</w:t>
      </w:r>
      <w:r w:rsidRPr="00AC4FA3">
        <w:t xml:space="preserve"> to 1</w:t>
      </w:r>
      <w:r w:rsidR="004F27C3">
        <w:t>0</w:t>
      </w:r>
      <w:r w:rsidRPr="00AC4FA3">
        <w:t xml:space="preserve"> show the number of </w:t>
      </w:r>
      <w:r w:rsidR="003C3335">
        <w:t>injections</w:t>
      </w:r>
      <w:r w:rsidR="003C3335" w:rsidRPr="00AC4FA3">
        <w:t xml:space="preserve"> </w:t>
      </w:r>
      <w:r w:rsidRPr="00AC4FA3">
        <w:t xml:space="preserve">supplied in the first 12 months of therapy </w:t>
      </w:r>
      <w:r>
        <w:t xml:space="preserve">now </w:t>
      </w:r>
      <w:r w:rsidRPr="00AC4FA3">
        <w:t xml:space="preserve">appears to be stable at around 8 </w:t>
      </w:r>
      <w:r w:rsidR="003C3335">
        <w:t>injections</w:t>
      </w:r>
      <w:r w:rsidR="003C3335" w:rsidRPr="00AC4FA3">
        <w:t xml:space="preserve"> </w:t>
      </w:r>
      <w:r w:rsidRPr="00AC4FA3">
        <w:t xml:space="preserve">per year. Each cohort demonstrates a </w:t>
      </w:r>
      <w:r>
        <w:t>higher number of injections</w:t>
      </w:r>
      <w:r w:rsidRPr="00AC4FA3">
        <w:t xml:space="preserve"> supplied </w:t>
      </w:r>
      <w:r>
        <w:t xml:space="preserve">in the first year of treatment, compared with subsequent years, probably reflecting the more frequent dosing schedule in the first few months of treatment. </w:t>
      </w:r>
    </w:p>
    <w:p w:rsidR="00D4559A" w:rsidRDefault="00D4559A" w:rsidP="00D4559A">
      <w:pPr>
        <w:pStyle w:val="Figurecaption"/>
        <w:rPr>
          <w:sz w:val="24"/>
          <w:szCs w:val="24"/>
          <w:lang w:eastAsia="en-AU"/>
        </w:rPr>
      </w:pPr>
      <w:r w:rsidRPr="00845BF7">
        <w:rPr>
          <w:sz w:val="24"/>
          <w:szCs w:val="24"/>
          <w:lang w:eastAsia="en-AU"/>
        </w:rPr>
        <w:t xml:space="preserve">Of </w:t>
      </w:r>
      <w:r w:rsidRPr="00D33BF8">
        <w:rPr>
          <w:sz w:val="24"/>
          <w:szCs w:val="24"/>
          <w:lang w:eastAsia="en-AU"/>
        </w:rPr>
        <w:t>the 60,821</w:t>
      </w:r>
      <w:r>
        <w:rPr>
          <w:sz w:val="24"/>
          <w:szCs w:val="24"/>
          <w:lang w:eastAsia="en-AU"/>
        </w:rPr>
        <w:t xml:space="preserve"> patients who had been supplied ranibizumab or aflibercept through the PBS up until the end of December 2014, 25,825 (42%) have had more than 15 injections, and 12,763 (21%) have had more than 30 injections. It is not known what </w:t>
      </w:r>
      <w:r w:rsidRPr="009F29EB">
        <w:rPr>
          <w:sz w:val="24"/>
          <w:szCs w:val="24"/>
          <w:lang w:eastAsia="en-AU"/>
        </w:rPr>
        <w:t xml:space="preserve">proportion of these injections have been to treat the same eye. The ranibizumab submission estimated bilateral treatment in 10% of patients, and data from DHS provided in the 2012 DUSC report indicated about 20%.  The proportion of use for bilateral treatment is discussed </w:t>
      </w:r>
      <w:r>
        <w:rPr>
          <w:sz w:val="24"/>
          <w:szCs w:val="24"/>
          <w:lang w:eastAsia="en-AU"/>
        </w:rPr>
        <w:t>further below.</w:t>
      </w:r>
    </w:p>
    <w:p w:rsidR="00D4559A" w:rsidRPr="00B93038" w:rsidRDefault="00D4559A" w:rsidP="00D4559A">
      <w:pPr>
        <w:pStyle w:val="Tabletitle"/>
      </w:pPr>
      <w:r>
        <w:lastRenderedPageBreak/>
        <w:t>Table 1</w:t>
      </w:r>
      <w:r w:rsidR="004F27C3">
        <w:t>1</w:t>
      </w:r>
      <w:r>
        <w:t xml:space="preserve">: Number and percentage of patients who have had more than 15 and 30 injections, by year of initiation </w:t>
      </w:r>
    </w:p>
    <w:tbl>
      <w:tblPr>
        <w:tblStyle w:val="TableGrid"/>
        <w:tblW w:w="0" w:type="auto"/>
        <w:tblInd w:w="108" w:type="dxa"/>
        <w:tblLook w:val="04A0" w:firstRow="1" w:lastRow="0" w:firstColumn="1" w:lastColumn="0" w:noHBand="0" w:noVBand="1"/>
        <w:tblCaption w:val="Number and percentage of patients who have had more than 15 and 30 injections, by year of initiation "/>
        <w:tblDescription w:val="50% of patients who initiated in 2008 have had more than 15 injections. 33% of patients who initiated in 2008 have had more than 30 injections."/>
      </w:tblPr>
      <w:tblGrid>
        <w:gridCol w:w="1789"/>
        <w:gridCol w:w="1819"/>
        <w:gridCol w:w="1819"/>
        <w:gridCol w:w="1819"/>
        <w:gridCol w:w="1819"/>
      </w:tblGrid>
      <w:tr w:rsidR="00D4559A" w:rsidRPr="000868B4" w:rsidTr="006943DF">
        <w:trPr>
          <w:tblHeader/>
        </w:trPr>
        <w:tc>
          <w:tcPr>
            <w:tcW w:w="1789" w:type="dxa"/>
            <w:shd w:val="clear" w:color="auto" w:fill="BFBFBF" w:themeFill="background1" w:themeFillShade="BF"/>
          </w:tcPr>
          <w:p w:rsidR="00D4559A" w:rsidRPr="0069151D" w:rsidRDefault="00D4559A" w:rsidP="00D4559A">
            <w:pPr>
              <w:pStyle w:val="Tableheading"/>
              <w:rPr>
                <w:sz w:val="20"/>
                <w:szCs w:val="20"/>
              </w:rPr>
            </w:pPr>
          </w:p>
        </w:tc>
        <w:tc>
          <w:tcPr>
            <w:tcW w:w="3638" w:type="dxa"/>
            <w:gridSpan w:val="2"/>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15 injections</w:t>
            </w:r>
          </w:p>
        </w:tc>
        <w:tc>
          <w:tcPr>
            <w:tcW w:w="3638" w:type="dxa"/>
            <w:gridSpan w:val="2"/>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30 injections</w:t>
            </w:r>
          </w:p>
        </w:tc>
      </w:tr>
      <w:tr w:rsidR="00D4559A" w:rsidRPr="000868B4" w:rsidTr="006943DF">
        <w:trPr>
          <w:tblHeader/>
        </w:trPr>
        <w:tc>
          <w:tcPr>
            <w:tcW w:w="1789" w:type="dxa"/>
            <w:shd w:val="clear" w:color="auto" w:fill="BFBFBF" w:themeFill="background1" w:themeFillShade="BF"/>
          </w:tcPr>
          <w:p w:rsidR="00D4559A" w:rsidRPr="0069151D" w:rsidRDefault="00D4559A" w:rsidP="00D4559A">
            <w:pPr>
              <w:pStyle w:val="Tableheading"/>
              <w:rPr>
                <w:sz w:val="20"/>
                <w:szCs w:val="20"/>
              </w:rPr>
            </w:pPr>
          </w:p>
        </w:tc>
        <w:tc>
          <w:tcPr>
            <w:tcW w:w="1819" w:type="dxa"/>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Number of patients (%) less than or equal to</w:t>
            </w:r>
          </w:p>
        </w:tc>
        <w:tc>
          <w:tcPr>
            <w:tcW w:w="1819" w:type="dxa"/>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Number of patients (%) more than</w:t>
            </w:r>
          </w:p>
        </w:tc>
        <w:tc>
          <w:tcPr>
            <w:tcW w:w="1819" w:type="dxa"/>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Number of patients (%) less than or equal to</w:t>
            </w:r>
          </w:p>
        </w:tc>
        <w:tc>
          <w:tcPr>
            <w:tcW w:w="1819" w:type="dxa"/>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Number of patients (%) more than</w:t>
            </w:r>
          </w:p>
        </w:tc>
      </w:tr>
      <w:tr w:rsidR="00D4559A" w:rsidRPr="000868B4" w:rsidTr="006943DF">
        <w:tc>
          <w:tcPr>
            <w:tcW w:w="1789" w:type="dxa"/>
            <w:vAlign w:val="bottom"/>
          </w:tcPr>
          <w:p w:rsidR="00D4559A" w:rsidRPr="00FC6D78" w:rsidRDefault="00D4559A" w:rsidP="00D4559A">
            <w:pPr>
              <w:pStyle w:val="Tablewriting"/>
              <w:rPr>
                <w:b/>
              </w:rPr>
            </w:pPr>
            <w:r w:rsidRPr="00FC6D78">
              <w:rPr>
                <w:b/>
              </w:rPr>
              <w:t>Initiated 2007</w:t>
            </w:r>
          </w:p>
        </w:tc>
        <w:tc>
          <w:tcPr>
            <w:tcW w:w="1819" w:type="dxa"/>
          </w:tcPr>
          <w:p w:rsidR="00D4559A" w:rsidRPr="00AD4917" w:rsidRDefault="00D4559A" w:rsidP="00D4559A">
            <w:pPr>
              <w:pStyle w:val="Tablewriting"/>
            </w:pPr>
            <w:r w:rsidRPr="000868B4">
              <w:t>3,441 (46%)</w:t>
            </w:r>
          </w:p>
        </w:tc>
        <w:tc>
          <w:tcPr>
            <w:tcW w:w="1819" w:type="dxa"/>
          </w:tcPr>
          <w:p w:rsidR="00D4559A" w:rsidRPr="00AD4917" w:rsidRDefault="00D4559A" w:rsidP="00D4559A">
            <w:pPr>
              <w:pStyle w:val="Tablewriting"/>
            </w:pPr>
            <w:r w:rsidRPr="000868B4">
              <w:t>4,037 (54%)</w:t>
            </w:r>
          </w:p>
        </w:tc>
        <w:tc>
          <w:tcPr>
            <w:tcW w:w="1819" w:type="dxa"/>
          </w:tcPr>
          <w:p w:rsidR="00D4559A" w:rsidRPr="000868B4" w:rsidRDefault="00D4559A" w:rsidP="00D4559A">
            <w:pPr>
              <w:pStyle w:val="Tablewriting"/>
            </w:pPr>
            <w:r w:rsidRPr="000868B4">
              <w:t>4,671 (62%)</w:t>
            </w:r>
          </w:p>
        </w:tc>
        <w:tc>
          <w:tcPr>
            <w:tcW w:w="1819" w:type="dxa"/>
          </w:tcPr>
          <w:p w:rsidR="00D4559A" w:rsidRPr="000868B4" w:rsidRDefault="00D4559A" w:rsidP="00D4559A">
            <w:pPr>
              <w:pStyle w:val="Tablewriting"/>
            </w:pPr>
            <w:r w:rsidRPr="000868B4">
              <w:t>2,807 (38%)</w:t>
            </w:r>
          </w:p>
        </w:tc>
      </w:tr>
      <w:tr w:rsidR="00D4559A" w:rsidRPr="000868B4" w:rsidTr="006943DF">
        <w:tc>
          <w:tcPr>
            <w:tcW w:w="1789" w:type="dxa"/>
            <w:vAlign w:val="bottom"/>
          </w:tcPr>
          <w:p w:rsidR="00D4559A" w:rsidRPr="00FC6D78" w:rsidRDefault="00D4559A" w:rsidP="00D4559A">
            <w:pPr>
              <w:pStyle w:val="Tablewriting"/>
              <w:rPr>
                <w:b/>
              </w:rPr>
            </w:pPr>
            <w:r w:rsidRPr="00FC6D78">
              <w:rPr>
                <w:b/>
              </w:rPr>
              <w:t>Initiated 2008</w:t>
            </w:r>
          </w:p>
        </w:tc>
        <w:tc>
          <w:tcPr>
            <w:tcW w:w="1819" w:type="dxa"/>
          </w:tcPr>
          <w:p w:rsidR="00D4559A" w:rsidRPr="00AD4917" w:rsidRDefault="00D4559A" w:rsidP="00D4559A">
            <w:pPr>
              <w:pStyle w:val="Tablewriting"/>
            </w:pPr>
            <w:r w:rsidRPr="000868B4">
              <w:t>4,103 (50%)</w:t>
            </w:r>
          </w:p>
        </w:tc>
        <w:tc>
          <w:tcPr>
            <w:tcW w:w="1819" w:type="dxa"/>
          </w:tcPr>
          <w:p w:rsidR="00D4559A" w:rsidRPr="00AD4917" w:rsidRDefault="00D4559A" w:rsidP="00D4559A">
            <w:pPr>
              <w:pStyle w:val="Tablewriting"/>
            </w:pPr>
            <w:r w:rsidRPr="000868B4">
              <w:t>4,102 (50%)</w:t>
            </w:r>
          </w:p>
        </w:tc>
        <w:tc>
          <w:tcPr>
            <w:tcW w:w="1819" w:type="dxa"/>
          </w:tcPr>
          <w:p w:rsidR="00D4559A" w:rsidRPr="000868B4" w:rsidRDefault="00D4559A" w:rsidP="00D4559A">
            <w:pPr>
              <w:pStyle w:val="Tablewriting"/>
            </w:pPr>
            <w:r w:rsidRPr="000868B4">
              <w:t>5,526 (67%)</w:t>
            </w:r>
          </w:p>
        </w:tc>
        <w:tc>
          <w:tcPr>
            <w:tcW w:w="1819" w:type="dxa"/>
          </w:tcPr>
          <w:p w:rsidR="00D4559A" w:rsidRPr="000868B4" w:rsidRDefault="00D4559A" w:rsidP="00D4559A">
            <w:pPr>
              <w:pStyle w:val="Tablewriting"/>
            </w:pPr>
            <w:r w:rsidRPr="000868B4">
              <w:t>2,679 (33%)</w:t>
            </w:r>
          </w:p>
        </w:tc>
      </w:tr>
      <w:tr w:rsidR="00D4559A" w:rsidRPr="000868B4" w:rsidTr="006943DF">
        <w:tc>
          <w:tcPr>
            <w:tcW w:w="1789" w:type="dxa"/>
            <w:vAlign w:val="bottom"/>
          </w:tcPr>
          <w:p w:rsidR="00D4559A" w:rsidRPr="00FC6D78" w:rsidRDefault="00D4559A" w:rsidP="00D4559A">
            <w:pPr>
              <w:pStyle w:val="Tablewriting"/>
              <w:rPr>
                <w:b/>
              </w:rPr>
            </w:pPr>
            <w:r w:rsidRPr="00FC6D78">
              <w:rPr>
                <w:b/>
              </w:rPr>
              <w:t>Initiated 2009</w:t>
            </w:r>
          </w:p>
        </w:tc>
        <w:tc>
          <w:tcPr>
            <w:tcW w:w="1819" w:type="dxa"/>
          </w:tcPr>
          <w:p w:rsidR="00D4559A" w:rsidRPr="000868B4" w:rsidRDefault="00D4559A" w:rsidP="00D4559A">
            <w:pPr>
              <w:pStyle w:val="Tablewriting"/>
            </w:pPr>
            <w:r w:rsidRPr="000868B4">
              <w:t>3,680 (45%)</w:t>
            </w:r>
          </w:p>
        </w:tc>
        <w:tc>
          <w:tcPr>
            <w:tcW w:w="1819" w:type="dxa"/>
          </w:tcPr>
          <w:p w:rsidR="00D4559A" w:rsidRPr="000868B4" w:rsidRDefault="00D4559A" w:rsidP="00D4559A">
            <w:pPr>
              <w:pStyle w:val="Tablewriting"/>
            </w:pPr>
            <w:r w:rsidRPr="000868B4">
              <w:t>4,445 (55%)</w:t>
            </w:r>
          </w:p>
        </w:tc>
        <w:tc>
          <w:tcPr>
            <w:tcW w:w="1819" w:type="dxa"/>
          </w:tcPr>
          <w:p w:rsidR="00D4559A" w:rsidRPr="000868B4" w:rsidRDefault="00D4559A" w:rsidP="00D4559A">
            <w:pPr>
              <w:pStyle w:val="Tablewriting"/>
            </w:pPr>
            <w:r w:rsidRPr="000868B4">
              <w:t>5,417 (67%)</w:t>
            </w:r>
          </w:p>
        </w:tc>
        <w:tc>
          <w:tcPr>
            <w:tcW w:w="1819" w:type="dxa"/>
          </w:tcPr>
          <w:p w:rsidR="00D4559A" w:rsidRPr="000868B4" w:rsidRDefault="00D4559A" w:rsidP="00D4559A">
            <w:pPr>
              <w:pStyle w:val="Tablewriting"/>
            </w:pPr>
            <w:r w:rsidRPr="000868B4">
              <w:t>2,708 (33%)</w:t>
            </w:r>
          </w:p>
        </w:tc>
      </w:tr>
      <w:tr w:rsidR="00D4559A" w:rsidRPr="000868B4" w:rsidTr="006943DF">
        <w:tc>
          <w:tcPr>
            <w:tcW w:w="1789" w:type="dxa"/>
            <w:vAlign w:val="bottom"/>
          </w:tcPr>
          <w:p w:rsidR="00D4559A" w:rsidRPr="00FC6D78" w:rsidRDefault="00D4559A" w:rsidP="00D4559A">
            <w:pPr>
              <w:pStyle w:val="Tablewriting"/>
              <w:rPr>
                <w:b/>
              </w:rPr>
            </w:pPr>
            <w:r w:rsidRPr="00FC6D78">
              <w:rPr>
                <w:b/>
              </w:rPr>
              <w:t>Initiated 2010</w:t>
            </w:r>
          </w:p>
        </w:tc>
        <w:tc>
          <w:tcPr>
            <w:tcW w:w="1819" w:type="dxa"/>
          </w:tcPr>
          <w:p w:rsidR="00D4559A" w:rsidRPr="000868B4" w:rsidRDefault="00D4559A" w:rsidP="00D4559A">
            <w:pPr>
              <w:pStyle w:val="Tablewriting"/>
            </w:pPr>
            <w:r w:rsidRPr="000868B4">
              <w:t>3,285 (43%)</w:t>
            </w:r>
          </w:p>
        </w:tc>
        <w:tc>
          <w:tcPr>
            <w:tcW w:w="1819" w:type="dxa"/>
          </w:tcPr>
          <w:p w:rsidR="00D4559A" w:rsidRPr="000868B4" w:rsidRDefault="00D4559A" w:rsidP="00D4559A">
            <w:pPr>
              <w:pStyle w:val="Tablewriting"/>
            </w:pPr>
            <w:r w:rsidRPr="000868B4">
              <w:t>4,369 (57%)</w:t>
            </w:r>
          </w:p>
        </w:tc>
        <w:tc>
          <w:tcPr>
            <w:tcW w:w="1819" w:type="dxa"/>
          </w:tcPr>
          <w:p w:rsidR="00D4559A" w:rsidRPr="000868B4" w:rsidRDefault="00D4559A" w:rsidP="00D4559A">
            <w:pPr>
              <w:pStyle w:val="Tablewriting"/>
            </w:pPr>
            <w:r w:rsidRPr="000868B4">
              <w:t>5,269 (69%)</w:t>
            </w:r>
          </w:p>
        </w:tc>
        <w:tc>
          <w:tcPr>
            <w:tcW w:w="1819" w:type="dxa"/>
          </w:tcPr>
          <w:p w:rsidR="00D4559A" w:rsidRPr="000868B4" w:rsidRDefault="00D4559A" w:rsidP="00D4559A">
            <w:pPr>
              <w:pStyle w:val="Tablewriting"/>
            </w:pPr>
            <w:r w:rsidRPr="000868B4">
              <w:t>2,385 (31%)</w:t>
            </w:r>
          </w:p>
        </w:tc>
      </w:tr>
      <w:tr w:rsidR="00D4559A" w:rsidRPr="000868B4" w:rsidTr="006943DF">
        <w:tc>
          <w:tcPr>
            <w:tcW w:w="1789" w:type="dxa"/>
            <w:vAlign w:val="bottom"/>
          </w:tcPr>
          <w:p w:rsidR="00D4559A" w:rsidRPr="00FC6D78" w:rsidRDefault="00D4559A" w:rsidP="00D4559A">
            <w:pPr>
              <w:pStyle w:val="Tablewriting"/>
              <w:rPr>
                <w:b/>
              </w:rPr>
            </w:pPr>
            <w:r w:rsidRPr="00FC6D78">
              <w:rPr>
                <w:b/>
              </w:rPr>
              <w:t>Initiated 2011</w:t>
            </w:r>
          </w:p>
        </w:tc>
        <w:tc>
          <w:tcPr>
            <w:tcW w:w="1819" w:type="dxa"/>
          </w:tcPr>
          <w:p w:rsidR="00D4559A" w:rsidRPr="000868B4" w:rsidRDefault="00D4559A" w:rsidP="00D4559A">
            <w:pPr>
              <w:pStyle w:val="Tablewriting"/>
            </w:pPr>
            <w:r w:rsidRPr="000868B4">
              <w:t>3,013 (42%)</w:t>
            </w:r>
          </w:p>
        </w:tc>
        <w:tc>
          <w:tcPr>
            <w:tcW w:w="1819" w:type="dxa"/>
          </w:tcPr>
          <w:p w:rsidR="00D4559A" w:rsidRPr="000868B4" w:rsidRDefault="00D4559A" w:rsidP="00D4559A">
            <w:pPr>
              <w:pStyle w:val="Tablewriting"/>
            </w:pPr>
            <w:r w:rsidRPr="000868B4">
              <w:t>4,084 (58%)</w:t>
            </w:r>
          </w:p>
        </w:tc>
        <w:tc>
          <w:tcPr>
            <w:tcW w:w="1819" w:type="dxa"/>
          </w:tcPr>
          <w:p w:rsidR="00D4559A" w:rsidRPr="000868B4" w:rsidRDefault="00D4559A" w:rsidP="00D4559A">
            <w:pPr>
              <w:pStyle w:val="Tablewriting"/>
            </w:pPr>
            <w:r w:rsidRPr="000868B4">
              <w:t>5,598 (79%)</w:t>
            </w:r>
          </w:p>
        </w:tc>
        <w:tc>
          <w:tcPr>
            <w:tcW w:w="1819" w:type="dxa"/>
          </w:tcPr>
          <w:p w:rsidR="00D4559A" w:rsidRPr="000868B4" w:rsidRDefault="00D4559A" w:rsidP="00D4559A">
            <w:pPr>
              <w:pStyle w:val="Tablewriting"/>
            </w:pPr>
            <w:r w:rsidRPr="000868B4">
              <w:t>1,499 (21%)</w:t>
            </w:r>
          </w:p>
        </w:tc>
      </w:tr>
      <w:tr w:rsidR="00D4559A" w:rsidRPr="000868B4" w:rsidTr="006943DF">
        <w:tc>
          <w:tcPr>
            <w:tcW w:w="1789" w:type="dxa"/>
            <w:vAlign w:val="bottom"/>
          </w:tcPr>
          <w:p w:rsidR="00D4559A" w:rsidRPr="00FC6D78" w:rsidRDefault="00D4559A" w:rsidP="00D4559A">
            <w:pPr>
              <w:pStyle w:val="Tablewriting"/>
              <w:rPr>
                <w:b/>
              </w:rPr>
            </w:pPr>
            <w:r w:rsidRPr="00FC6D78">
              <w:rPr>
                <w:b/>
              </w:rPr>
              <w:t>Initiated 2012</w:t>
            </w:r>
          </w:p>
        </w:tc>
        <w:tc>
          <w:tcPr>
            <w:tcW w:w="1819" w:type="dxa"/>
          </w:tcPr>
          <w:p w:rsidR="00D4559A" w:rsidRPr="000868B4" w:rsidRDefault="00D4559A" w:rsidP="00D4559A">
            <w:pPr>
              <w:pStyle w:val="Tablewriting"/>
            </w:pPr>
            <w:r w:rsidRPr="000868B4">
              <w:t>3,585 (52%)</w:t>
            </w:r>
          </w:p>
        </w:tc>
        <w:tc>
          <w:tcPr>
            <w:tcW w:w="1819" w:type="dxa"/>
          </w:tcPr>
          <w:p w:rsidR="00D4559A" w:rsidRPr="000868B4" w:rsidRDefault="00D4559A" w:rsidP="00D4559A">
            <w:pPr>
              <w:pStyle w:val="Tablewriting"/>
            </w:pPr>
            <w:r w:rsidRPr="000868B4">
              <w:t>3,289 (48%)</w:t>
            </w:r>
          </w:p>
        </w:tc>
        <w:tc>
          <w:tcPr>
            <w:tcW w:w="1819" w:type="dxa"/>
          </w:tcPr>
          <w:p w:rsidR="00D4559A" w:rsidRPr="000868B4" w:rsidRDefault="00D4559A" w:rsidP="00D4559A">
            <w:pPr>
              <w:pStyle w:val="Tablewriting"/>
            </w:pPr>
            <w:r w:rsidRPr="000868B4">
              <w:t>6,284 (91%)</w:t>
            </w:r>
          </w:p>
        </w:tc>
        <w:tc>
          <w:tcPr>
            <w:tcW w:w="1819" w:type="dxa"/>
          </w:tcPr>
          <w:p w:rsidR="00D4559A" w:rsidRPr="000868B4" w:rsidRDefault="00D4559A" w:rsidP="00D4559A">
            <w:pPr>
              <w:pStyle w:val="Tablewriting"/>
            </w:pPr>
            <w:r w:rsidRPr="000868B4">
              <w:t>590 (9%)</w:t>
            </w:r>
          </w:p>
        </w:tc>
      </w:tr>
      <w:tr w:rsidR="00D4559A" w:rsidRPr="000868B4" w:rsidTr="006943DF">
        <w:tc>
          <w:tcPr>
            <w:tcW w:w="1789" w:type="dxa"/>
            <w:vAlign w:val="bottom"/>
          </w:tcPr>
          <w:p w:rsidR="00D4559A" w:rsidRPr="00FC6D78" w:rsidRDefault="00D4559A" w:rsidP="00D4559A">
            <w:pPr>
              <w:pStyle w:val="Tablewriting"/>
              <w:rPr>
                <w:b/>
              </w:rPr>
            </w:pPr>
            <w:r w:rsidRPr="00FC6D78">
              <w:rPr>
                <w:b/>
              </w:rPr>
              <w:t>Initiated 2013</w:t>
            </w:r>
          </w:p>
        </w:tc>
        <w:tc>
          <w:tcPr>
            <w:tcW w:w="1819" w:type="dxa"/>
          </w:tcPr>
          <w:p w:rsidR="00D4559A" w:rsidRPr="000868B4" w:rsidRDefault="00D4559A" w:rsidP="00D4559A">
            <w:pPr>
              <w:pStyle w:val="Tablewriting"/>
            </w:pPr>
            <w:r w:rsidRPr="000868B4">
              <w:t>6,358 (82%)</w:t>
            </w:r>
          </w:p>
        </w:tc>
        <w:tc>
          <w:tcPr>
            <w:tcW w:w="1819" w:type="dxa"/>
          </w:tcPr>
          <w:p w:rsidR="00D4559A" w:rsidRPr="000868B4" w:rsidRDefault="00D4559A" w:rsidP="00D4559A">
            <w:pPr>
              <w:pStyle w:val="Tablewriting"/>
            </w:pPr>
            <w:r w:rsidRPr="000868B4">
              <w:t>1,407 (18%)</w:t>
            </w:r>
          </w:p>
        </w:tc>
        <w:tc>
          <w:tcPr>
            <w:tcW w:w="1819" w:type="dxa"/>
          </w:tcPr>
          <w:p w:rsidR="00D4559A" w:rsidRPr="000868B4" w:rsidRDefault="00D4559A" w:rsidP="00D4559A">
            <w:pPr>
              <w:pStyle w:val="Tablewriting"/>
            </w:pPr>
            <w:r w:rsidRPr="000868B4">
              <w:t>7,670 (99%)</w:t>
            </w:r>
          </w:p>
        </w:tc>
        <w:tc>
          <w:tcPr>
            <w:tcW w:w="1819" w:type="dxa"/>
          </w:tcPr>
          <w:p w:rsidR="00D4559A" w:rsidRPr="000868B4" w:rsidRDefault="00D4559A" w:rsidP="00D4559A">
            <w:pPr>
              <w:pStyle w:val="Tablewriting"/>
            </w:pPr>
            <w:r w:rsidRPr="000868B4">
              <w:t>95 (1%)</w:t>
            </w:r>
          </w:p>
        </w:tc>
      </w:tr>
      <w:tr w:rsidR="00D4559A" w:rsidRPr="000868B4" w:rsidTr="006943DF">
        <w:tc>
          <w:tcPr>
            <w:tcW w:w="1789" w:type="dxa"/>
          </w:tcPr>
          <w:p w:rsidR="00D4559A" w:rsidRPr="00FC6D78" w:rsidRDefault="00D4559A" w:rsidP="00D4559A">
            <w:pPr>
              <w:pStyle w:val="Tablewriting"/>
              <w:rPr>
                <w:b/>
              </w:rPr>
            </w:pPr>
            <w:r w:rsidRPr="00FC6D78">
              <w:rPr>
                <w:b/>
              </w:rPr>
              <w:t>Initiated 2014</w:t>
            </w:r>
          </w:p>
        </w:tc>
        <w:tc>
          <w:tcPr>
            <w:tcW w:w="1819" w:type="dxa"/>
          </w:tcPr>
          <w:p w:rsidR="00D4559A" w:rsidRPr="000868B4" w:rsidRDefault="00D4559A" w:rsidP="00D4559A">
            <w:pPr>
              <w:pStyle w:val="Tablewriting"/>
            </w:pPr>
            <w:r w:rsidRPr="000868B4">
              <w:t>7,531 (99%)</w:t>
            </w:r>
          </w:p>
        </w:tc>
        <w:tc>
          <w:tcPr>
            <w:tcW w:w="1819" w:type="dxa"/>
          </w:tcPr>
          <w:p w:rsidR="00D4559A" w:rsidRPr="000868B4" w:rsidRDefault="00D4559A" w:rsidP="00D4559A">
            <w:pPr>
              <w:pStyle w:val="Tablewriting"/>
            </w:pPr>
            <w:r w:rsidRPr="000868B4">
              <w:t>92 (1%)</w:t>
            </w:r>
          </w:p>
        </w:tc>
        <w:tc>
          <w:tcPr>
            <w:tcW w:w="1819" w:type="dxa"/>
          </w:tcPr>
          <w:p w:rsidR="00D4559A" w:rsidRPr="000868B4" w:rsidRDefault="00D4559A" w:rsidP="00D4559A">
            <w:pPr>
              <w:pStyle w:val="Tablewriting"/>
            </w:pPr>
            <w:r w:rsidRPr="000868B4">
              <w:t>7,623 (100%)</w:t>
            </w:r>
          </w:p>
        </w:tc>
        <w:tc>
          <w:tcPr>
            <w:tcW w:w="1819" w:type="dxa"/>
          </w:tcPr>
          <w:p w:rsidR="00D4559A" w:rsidRPr="000868B4" w:rsidRDefault="00D4559A" w:rsidP="00D4559A">
            <w:pPr>
              <w:pStyle w:val="Tablewriting"/>
            </w:pPr>
            <w:r>
              <w:t>0</w:t>
            </w:r>
          </w:p>
        </w:tc>
      </w:tr>
    </w:tbl>
    <w:p w:rsidR="00D4559A" w:rsidRDefault="00D4559A" w:rsidP="00D4559A">
      <w:pPr>
        <w:pStyle w:val="Notes"/>
      </w:pPr>
      <w:r w:rsidRPr="00C91353">
        <w:t>Source: DHS Medicare Pharmacy Claim</w:t>
      </w:r>
      <w:r>
        <w:t>s database, accessed March 2015</w:t>
      </w:r>
    </w:p>
    <w:p w:rsidR="00D4559A" w:rsidRDefault="00B85F62" w:rsidP="00D4559A">
      <w:r w:rsidRPr="00441F1A">
        <w:t>Between 1 August 2007 and 31 December 2014 a total of 548,145 injections have been supplied for 16</w:t>
      </w:r>
      <w:r w:rsidRPr="00441F1A">
        <w:rPr>
          <w:vertAlign w:val="superscript"/>
        </w:rPr>
        <w:t>th</w:t>
      </w:r>
      <w:r w:rsidRPr="00441F1A">
        <w:t xml:space="preserve"> or subsequent treatments. The number of injections for 31</w:t>
      </w:r>
      <w:r w:rsidRPr="00441F1A">
        <w:rPr>
          <w:vertAlign w:val="superscript"/>
        </w:rPr>
        <w:t>st</w:t>
      </w:r>
      <w:r w:rsidRPr="00441F1A">
        <w:t xml:space="preserve"> or subsequent treatment is 262,716 injections.</w:t>
      </w:r>
    </w:p>
    <w:p w:rsidR="00D4559A" w:rsidRPr="006943DF" w:rsidRDefault="00D4559A" w:rsidP="00D4559A">
      <w:pPr>
        <w:rPr>
          <w:b/>
          <w:i/>
        </w:rPr>
      </w:pPr>
      <w:r w:rsidRPr="006943DF">
        <w:rPr>
          <w:b/>
          <w:i/>
        </w:rPr>
        <w:t>Proportion of use for bilateral treatment</w:t>
      </w:r>
    </w:p>
    <w:p w:rsidR="00D4559A" w:rsidRPr="00E42481" w:rsidRDefault="00D4559A" w:rsidP="00D4559A">
      <w:r w:rsidRPr="00AB4D27">
        <w:t xml:space="preserve">Table </w:t>
      </w:r>
      <w:r w:rsidR="004F27C3">
        <w:t>7</w:t>
      </w:r>
      <w:r w:rsidRPr="00AB4D27">
        <w:t xml:space="preserve"> showed</w:t>
      </w:r>
      <w:r w:rsidRPr="00E42481">
        <w:t xml:space="preserve"> </w:t>
      </w:r>
      <w:r>
        <w:t>that the</w:t>
      </w:r>
      <w:r w:rsidRPr="00E42481">
        <w:t xml:space="preserve"> proportion of supplied </w:t>
      </w:r>
      <w:r>
        <w:t>injections</w:t>
      </w:r>
      <w:r w:rsidRPr="00E42481">
        <w:t xml:space="preserve"> </w:t>
      </w:r>
      <w:r>
        <w:t xml:space="preserve">where an increased maximum quantity was </w:t>
      </w:r>
      <w:r w:rsidRPr="00E42481">
        <w:t>authorised</w:t>
      </w:r>
      <w:r>
        <w:t xml:space="preserve"> was increasing over time</w:t>
      </w:r>
      <w:r w:rsidRPr="00E42481">
        <w:t xml:space="preserve">. </w:t>
      </w:r>
      <w:r>
        <w:t xml:space="preserve">Increased maximum quantities of 2 injections are presumed to be for bilateral treatment. </w:t>
      </w:r>
    </w:p>
    <w:p w:rsidR="00D4559A" w:rsidRDefault="00D4559A" w:rsidP="00D4559A">
      <w:r>
        <w:t>Table 1</w:t>
      </w:r>
      <w:r w:rsidR="004F27C3">
        <w:t>2</w:t>
      </w:r>
      <w:r>
        <w:t xml:space="preserve"> shows the calculated percentage of prescriptions that were supplied with an increased quantity, either 2, 3 or 6 in each year of treatment, by the calendar year of initiation. It suggests that for patients remaining on treatment, the proportion of bilateral use within a group of initiating patients tends to increase with time. </w:t>
      </w:r>
    </w:p>
    <w:p w:rsidR="00D4559A" w:rsidRDefault="00D4559A" w:rsidP="00D4559A">
      <w:pPr>
        <w:pStyle w:val="Tabletitle"/>
        <w:keepNext/>
      </w:pPr>
      <w:r>
        <w:t>Table 1</w:t>
      </w:r>
      <w:r w:rsidR="004F27C3">
        <w:t>2:</w:t>
      </w:r>
      <w:r>
        <w:t xml:space="preserve"> Percentage of prescriptions with an increased maximum quantity, </w:t>
      </w:r>
      <w:r w:rsidRPr="00910E1C">
        <w:t>in each year of treatment, by the calendar year of initiation</w:t>
      </w:r>
    </w:p>
    <w:tbl>
      <w:tblPr>
        <w:tblW w:w="7796" w:type="dxa"/>
        <w:tblInd w:w="93" w:type="dxa"/>
        <w:tblLayout w:type="fixed"/>
        <w:tblLook w:val="04A0" w:firstRow="1" w:lastRow="0" w:firstColumn="1" w:lastColumn="0" w:noHBand="0" w:noVBand="1"/>
      </w:tblPr>
      <w:tblGrid>
        <w:gridCol w:w="1575"/>
        <w:gridCol w:w="888"/>
        <w:gridCol w:w="889"/>
        <w:gridCol w:w="889"/>
        <w:gridCol w:w="888"/>
        <w:gridCol w:w="889"/>
        <w:gridCol w:w="889"/>
        <w:gridCol w:w="889"/>
      </w:tblGrid>
      <w:tr w:rsidR="00D4559A" w:rsidRPr="0069151D" w:rsidTr="00D4559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p>
        </w:tc>
        <w:tc>
          <w:tcPr>
            <w:tcW w:w="88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1</w:t>
            </w:r>
          </w:p>
        </w:tc>
        <w:tc>
          <w:tcPr>
            <w:tcW w:w="8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2</w:t>
            </w:r>
          </w:p>
        </w:tc>
        <w:tc>
          <w:tcPr>
            <w:tcW w:w="8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3</w:t>
            </w:r>
          </w:p>
        </w:tc>
        <w:tc>
          <w:tcPr>
            <w:tcW w:w="88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4</w:t>
            </w:r>
          </w:p>
        </w:tc>
        <w:tc>
          <w:tcPr>
            <w:tcW w:w="8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5</w:t>
            </w:r>
          </w:p>
        </w:tc>
        <w:tc>
          <w:tcPr>
            <w:tcW w:w="8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6</w:t>
            </w:r>
          </w:p>
        </w:tc>
        <w:tc>
          <w:tcPr>
            <w:tcW w:w="8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7</w:t>
            </w:r>
          </w:p>
        </w:tc>
      </w:tr>
      <w:tr w:rsidR="00D4559A" w:rsidRPr="005A4BEA"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2007</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6%</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8%</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10%</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11%</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11%</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11%</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11%</w:t>
            </w:r>
          </w:p>
        </w:tc>
      </w:tr>
      <w:tr w:rsidR="00D4559A" w:rsidRPr="005A4BEA"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2008</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5%</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7%</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9%</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10%</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12%</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13%</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Pr>
                <w:rFonts w:eastAsia="Times New Roman" w:cs="Times New Roman"/>
              </w:rPr>
              <w:t>-</w:t>
            </w:r>
          </w:p>
        </w:tc>
      </w:tr>
      <w:tr w:rsidR="00D4559A" w:rsidRPr="005A4BEA"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2009</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5%</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7%</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9%</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10%</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10%</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r>
      <w:tr w:rsidR="00D4559A" w:rsidRPr="005A4BEA"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2010</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6%</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8%</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10%</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12%</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r>
      <w:tr w:rsidR="00D4559A" w:rsidRPr="005A4BEA"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2011</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5%</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7%</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10%</w:t>
            </w:r>
          </w:p>
        </w:tc>
        <w:tc>
          <w:tcPr>
            <w:tcW w:w="888"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r>
      <w:tr w:rsidR="00D4559A" w:rsidRPr="005A4BEA"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2012</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5%</w:t>
            </w:r>
          </w:p>
        </w:tc>
        <w:tc>
          <w:tcPr>
            <w:tcW w:w="889"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7%</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8"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r>
      <w:tr w:rsidR="00D4559A" w:rsidRPr="005A4BEA" w:rsidTr="00D4559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4559A" w:rsidRPr="00FC6D78" w:rsidRDefault="00D4559A" w:rsidP="00D4559A">
            <w:pPr>
              <w:pStyle w:val="Tablewriting"/>
              <w:rPr>
                <w:rFonts w:eastAsia="Times New Roman" w:cs="Times New Roman"/>
                <w:b/>
              </w:rPr>
            </w:pPr>
            <w:r w:rsidRPr="00FC6D78">
              <w:rPr>
                <w:b/>
              </w:rPr>
              <w:t>Initiated 2013</w:t>
            </w:r>
          </w:p>
        </w:tc>
        <w:tc>
          <w:tcPr>
            <w:tcW w:w="888" w:type="dxa"/>
            <w:tcBorders>
              <w:top w:val="nil"/>
              <w:left w:val="nil"/>
              <w:bottom w:val="single" w:sz="4" w:space="0" w:color="auto"/>
              <w:right w:val="single" w:sz="4" w:space="0" w:color="auto"/>
            </w:tcBorders>
            <w:shd w:val="clear" w:color="auto" w:fill="auto"/>
            <w:noWrap/>
            <w:vAlign w:val="center"/>
            <w:hideMark/>
          </w:tcPr>
          <w:p w:rsidR="00D4559A" w:rsidRPr="005A4BEA" w:rsidRDefault="00D4559A" w:rsidP="00D4559A">
            <w:pPr>
              <w:pStyle w:val="Tablewriting"/>
              <w:jc w:val="center"/>
              <w:rPr>
                <w:rFonts w:eastAsia="Times New Roman" w:cs="Times New Roman"/>
              </w:rPr>
            </w:pPr>
            <w:r w:rsidRPr="005A4BEA">
              <w:t>5%</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8"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c>
          <w:tcPr>
            <w:tcW w:w="889" w:type="dxa"/>
            <w:tcBorders>
              <w:top w:val="nil"/>
              <w:left w:val="nil"/>
              <w:bottom w:val="single" w:sz="4" w:space="0" w:color="auto"/>
              <w:right w:val="single" w:sz="4" w:space="0" w:color="auto"/>
            </w:tcBorders>
            <w:shd w:val="clear" w:color="auto" w:fill="auto"/>
            <w:noWrap/>
            <w:vAlign w:val="bottom"/>
            <w:hideMark/>
          </w:tcPr>
          <w:p w:rsidR="00D4559A" w:rsidRPr="005A4BEA" w:rsidRDefault="00D4559A" w:rsidP="00D4559A">
            <w:pPr>
              <w:pStyle w:val="Tablewriting"/>
              <w:jc w:val="center"/>
              <w:rPr>
                <w:rFonts w:eastAsia="Times New Roman" w:cs="Times New Roman"/>
              </w:rPr>
            </w:pPr>
            <w:r>
              <w:t>-</w:t>
            </w:r>
          </w:p>
        </w:tc>
      </w:tr>
    </w:tbl>
    <w:p w:rsidR="00D4559A" w:rsidRDefault="00D4559A" w:rsidP="00D4559A">
      <w:pPr>
        <w:pStyle w:val="Notes"/>
      </w:pPr>
      <w:r w:rsidRPr="004F2FA4">
        <w:t>Source: DHS Medicare Pharmacy Claims database, accessed April 2015</w:t>
      </w:r>
    </w:p>
    <w:p w:rsidR="00D4559A" w:rsidRDefault="00D4559A" w:rsidP="00D4559A">
      <w:r w:rsidRPr="00F87574">
        <w:lastRenderedPageBreak/>
        <w:t>This is likely an underrepresentation of the total number of patients receiving bilateral treatment. Patients may have received bilateral treatment without being dispensed a quantity of two</w:t>
      </w:r>
      <w:r>
        <w:t>. This may include</w:t>
      </w:r>
      <w:r w:rsidRPr="00F87574">
        <w:t xml:space="preserve"> </w:t>
      </w:r>
      <w:r>
        <w:t>where</w:t>
      </w:r>
      <w:r w:rsidRPr="00F87574">
        <w:t xml:space="preserve"> they were treated in their second eye a few years after the first eye, </w:t>
      </w:r>
      <w:r>
        <w:t xml:space="preserve">if they are supplied two injections at the same time on two different prescriptions, </w:t>
      </w:r>
      <w:r w:rsidRPr="00F87574">
        <w:t xml:space="preserve">or if their two eyes are treated on alternate months. </w:t>
      </w:r>
    </w:p>
    <w:p w:rsidR="00D4559A" w:rsidRDefault="00D4559A" w:rsidP="00D4559A">
      <w:r w:rsidRPr="002017D8">
        <w:t xml:space="preserve">The February 2012 ranibizumab </w:t>
      </w:r>
      <w:r>
        <w:t xml:space="preserve">utilisation analysis </w:t>
      </w:r>
      <w:r w:rsidRPr="002017D8">
        <w:t>included authorit</w:t>
      </w:r>
      <w:r>
        <w:t>y approval</w:t>
      </w:r>
      <w:r w:rsidRPr="002017D8">
        <w:t xml:space="preserve"> data for August 2010. It estimated approximately 20% of</w:t>
      </w:r>
      <w:r>
        <w:t xml:space="preserve"> use is for bilateral treatment;</w:t>
      </w:r>
      <w:r w:rsidRPr="002017D8">
        <w:t xml:space="preserve"> 10.5% were for both eyes at different times, and 11.1% for both eyes simultaneously. </w:t>
      </w:r>
      <w:r w:rsidRPr="00F87574">
        <w:t>Table</w:t>
      </w:r>
      <w:r>
        <w:t>s</w:t>
      </w:r>
      <w:r w:rsidRPr="00F87574">
        <w:t xml:space="preserve"> </w:t>
      </w:r>
      <w:r w:rsidR="004F27C3">
        <w:t>7</w:t>
      </w:r>
      <w:r w:rsidRPr="002017D8">
        <w:t xml:space="preserve"> </w:t>
      </w:r>
      <w:r>
        <w:t>and 1</w:t>
      </w:r>
      <w:r w:rsidR="004F27C3">
        <w:t>2</w:t>
      </w:r>
      <w:r>
        <w:t xml:space="preserve"> </w:t>
      </w:r>
      <w:r w:rsidRPr="002017D8">
        <w:t xml:space="preserve">suggest the proportion of patients receiving bilateral treatment is increasing over time. </w:t>
      </w:r>
    </w:p>
    <w:p w:rsidR="000A3A68" w:rsidRPr="002017D8" w:rsidRDefault="0084610A" w:rsidP="00D4559A">
      <w:r>
        <w:t xml:space="preserve">The </w:t>
      </w:r>
      <w:r w:rsidR="000A3A68" w:rsidRPr="000A3A68">
        <w:t xml:space="preserve">DUSC agreed that bilateral use is increasing over time based on the proportion of prescriptions with an increased maximum quantity of injections. However DUSC considered that this measure underestimates bilateral treatment as it only captures simultaneous bilateral use, whereas bilateral use may also include each eye treated consecutively or alternately. </w:t>
      </w:r>
      <w:r w:rsidR="007C0AED">
        <w:t xml:space="preserve">The </w:t>
      </w:r>
      <w:r w:rsidR="000A3A68" w:rsidRPr="000A3A68">
        <w:t xml:space="preserve">DUSC noted that ophthalmologists are required to specify which eye is being treated when seeking an authority approval to prescribe ranibizumab or aflibercept, but that these data are not readily accessible. </w:t>
      </w:r>
      <w:r w:rsidR="00F97770">
        <w:t xml:space="preserve">The </w:t>
      </w:r>
      <w:r w:rsidR="000A3A68" w:rsidRPr="000A3A68">
        <w:t>DUSC agreed with Stakeholder views that in order to assess the true extent of bilateral treatment the dataset would need to include which eye is being treated.</w:t>
      </w:r>
    </w:p>
    <w:p w:rsidR="00D4559A" w:rsidRPr="006943DF" w:rsidRDefault="00D4559A" w:rsidP="00D4559A">
      <w:pPr>
        <w:rPr>
          <w:b/>
          <w:i/>
        </w:rPr>
      </w:pPr>
      <w:r w:rsidRPr="006943DF">
        <w:rPr>
          <w:b/>
          <w:i/>
        </w:rPr>
        <w:t xml:space="preserve">Age and state/territory of treated patients </w:t>
      </w:r>
    </w:p>
    <w:p w:rsidR="00D4559A" w:rsidRDefault="00D4559A" w:rsidP="00D4559A">
      <w:r>
        <w:t>Table 1</w:t>
      </w:r>
      <w:r w:rsidR="004F27C3">
        <w:t>3</w:t>
      </w:r>
      <w:r>
        <w:t xml:space="preserve"> shows the average age of new patients starting treatment with ranibizumab or aflibercept.  </w:t>
      </w:r>
    </w:p>
    <w:p w:rsidR="00A6422E" w:rsidRDefault="00A6422E">
      <w:pPr>
        <w:spacing w:line="276" w:lineRule="auto"/>
        <w:rPr>
          <w:b/>
        </w:rPr>
      </w:pPr>
      <w:r>
        <w:br w:type="page"/>
      </w:r>
    </w:p>
    <w:p w:rsidR="00D4559A" w:rsidRPr="00970B04" w:rsidRDefault="00D4559A" w:rsidP="00D4559A">
      <w:pPr>
        <w:pStyle w:val="Tabletitle"/>
        <w:keepNext/>
      </w:pPr>
      <w:r w:rsidRPr="00970B04">
        <w:lastRenderedPageBreak/>
        <w:t xml:space="preserve">Table </w:t>
      </w:r>
      <w:r w:rsidR="004F27C3">
        <w:t>13</w:t>
      </w:r>
      <w:r w:rsidRPr="00970B04">
        <w:t xml:space="preserve">: </w:t>
      </w:r>
      <w:r>
        <w:t>Age of patients receiving ranibizumab and aflibercept by year of initiation</w:t>
      </w:r>
    </w:p>
    <w:tbl>
      <w:tblPr>
        <w:tblW w:w="4268" w:type="dxa"/>
        <w:tblInd w:w="93" w:type="dxa"/>
        <w:tblLayout w:type="fixed"/>
        <w:tblLook w:val="04A0" w:firstRow="1" w:lastRow="0" w:firstColumn="1" w:lastColumn="0" w:noHBand="0" w:noVBand="1"/>
      </w:tblPr>
      <w:tblGrid>
        <w:gridCol w:w="1858"/>
        <w:gridCol w:w="2410"/>
      </w:tblGrid>
      <w:tr w:rsidR="00D4559A" w:rsidRPr="0069151D" w:rsidTr="00D4559A">
        <w:trPr>
          <w:trHeight w:val="255"/>
        </w:trPr>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4559A" w:rsidRPr="0069151D" w:rsidRDefault="00D4559A" w:rsidP="00D4559A">
            <w:pPr>
              <w:pStyle w:val="Tableheading"/>
              <w:rPr>
                <w:sz w:val="20"/>
                <w:szCs w:val="20"/>
              </w:rPr>
            </w:pPr>
            <w:r w:rsidRPr="0069151D">
              <w:rPr>
                <w:sz w:val="20"/>
                <w:szCs w:val="20"/>
              </w:rPr>
              <w:t> </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Mean (range)</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2007</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(40 - 102)</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2008</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(25 - 102)</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2009</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(41 - 102)</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2010</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(34 - 102)</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2011</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(28 - 102)</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2012</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(33 - 102)</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2013</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(7 - 103)</w:t>
            </w:r>
          </w:p>
        </w:tc>
      </w:tr>
      <w:tr w:rsidR="00D4559A" w:rsidRPr="00970B04" w:rsidTr="00D4559A">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4559A" w:rsidRPr="00111509" w:rsidRDefault="00D4559A" w:rsidP="00D4559A">
            <w:pPr>
              <w:pStyle w:val="Tablewriting"/>
              <w:rPr>
                <w:rFonts w:eastAsia="Times New Roman" w:cs="Times New Roman"/>
                <w:b/>
              </w:rPr>
            </w:pPr>
            <w:r w:rsidRPr="00111509">
              <w:rPr>
                <w:b/>
              </w:rPr>
              <w:t>Initiated 2014</w:t>
            </w:r>
          </w:p>
        </w:tc>
        <w:tc>
          <w:tcPr>
            <w:tcW w:w="2410" w:type="dxa"/>
            <w:tcBorders>
              <w:top w:val="nil"/>
              <w:left w:val="nil"/>
              <w:bottom w:val="single" w:sz="4" w:space="0" w:color="auto"/>
              <w:right w:val="single" w:sz="4" w:space="0" w:color="auto"/>
            </w:tcBorders>
            <w:shd w:val="clear" w:color="auto" w:fill="auto"/>
            <w:noWrap/>
            <w:vAlign w:val="bottom"/>
            <w:hideMark/>
          </w:tcPr>
          <w:p w:rsidR="00D4559A" w:rsidRDefault="00D4559A" w:rsidP="00D4559A">
            <w:pPr>
              <w:pStyle w:val="Tablewriting"/>
              <w:jc w:val="center"/>
            </w:pPr>
            <w:r>
              <w:t>80</w:t>
            </w:r>
          </w:p>
          <w:p w:rsidR="00D4559A" w:rsidRPr="00970B04" w:rsidRDefault="00D4559A" w:rsidP="00D4559A">
            <w:pPr>
              <w:pStyle w:val="Tablewriting"/>
              <w:jc w:val="center"/>
              <w:rPr>
                <w:rFonts w:eastAsia="Times New Roman" w:cs="Times New Roman"/>
              </w:rPr>
            </w:pPr>
            <w:r>
              <w:t>(23 - 101)</w:t>
            </w:r>
          </w:p>
        </w:tc>
      </w:tr>
    </w:tbl>
    <w:p w:rsidR="00D4559A" w:rsidRPr="00A211EA" w:rsidRDefault="00D4559A" w:rsidP="00D4559A">
      <w:pPr>
        <w:pStyle w:val="Notes"/>
      </w:pPr>
      <w:r w:rsidRPr="00A90E6E">
        <w:t>There were 75 patients excluded from this analysis as their age was missing on their first prescription.</w:t>
      </w:r>
      <w:r w:rsidRPr="00A90E6E">
        <w:br/>
      </w:r>
      <w:r w:rsidRPr="00D16E70">
        <w:t>Source: DHS Medicare Pharmacy Claim</w:t>
      </w:r>
      <w:r>
        <w:t>s database, accessed April 2015</w:t>
      </w:r>
    </w:p>
    <w:p w:rsidR="00D4559A" w:rsidRPr="00AB4D27" w:rsidRDefault="00D4559A" w:rsidP="00D4559A">
      <w:pPr>
        <w:pStyle w:val="Tabletitle"/>
        <w:rPr>
          <w:b w:val="0"/>
        </w:rPr>
      </w:pPr>
      <w:r>
        <w:rPr>
          <w:b w:val="0"/>
        </w:rPr>
        <w:t>T</w:t>
      </w:r>
      <w:r w:rsidRPr="00AB4D27">
        <w:rPr>
          <w:b w:val="0"/>
        </w:rPr>
        <w:t xml:space="preserve">he mean age of the patient population who would receive treatment under the requested PBS indication </w:t>
      </w:r>
      <w:r>
        <w:rPr>
          <w:b w:val="0"/>
        </w:rPr>
        <w:t>was</w:t>
      </w:r>
      <w:r w:rsidRPr="00AB4D27">
        <w:rPr>
          <w:b w:val="0"/>
        </w:rPr>
        <w:t xml:space="preserve"> expected to be 77 to 78 years based on the clinical trial data. This is similar to average </w:t>
      </w:r>
      <w:r>
        <w:rPr>
          <w:b w:val="0"/>
        </w:rPr>
        <w:t xml:space="preserve">initiation </w:t>
      </w:r>
      <w:r w:rsidRPr="00AB4D27">
        <w:rPr>
          <w:b w:val="0"/>
        </w:rPr>
        <w:t xml:space="preserve">age </w:t>
      </w:r>
      <w:r>
        <w:rPr>
          <w:b w:val="0"/>
        </w:rPr>
        <w:t>of PBS patients of</w:t>
      </w:r>
      <w:r w:rsidRPr="00AB4D27">
        <w:rPr>
          <w:b w:val="0"/>
        </w:rPr>
        <w:t xml:space="preserve"> 80 years</w:t>
      </w:r>
      <w:r>
        <w:rPr>
          <w:b w:val="0"/>
        </w:rPr>
        <w:t>.</w:t>
      </w:r>
    </w:p>
    <w:p w:rsidR="00D4559A" w:rsidRPr="00DA371D" w:rsidRDefault="00D4559A" w:rsidP="00D4559A">
      <w:pPr>
        <w:pStyle w:val="Tabletitle"/>
        <w:rPr>
          <w:b w:val="0"/>
        </w:rPr>
      </w:pPr>
      <w:r w:rsidRPr="00DA371D">
        <w:rPr>
          <w:b w:val="0"/>
        </w:rPr>
        <w:t xml:space="preserve">Table </w:t>
      </w:r>
      <w:r>
        <w:rPr>
          <w:b w:val="0"/>
        </w:rPr>
        <w:t>1</w:t>
      </w:r>
      <w:r w:rsidR="004F27C3">
        <w:rPr>
          <w:b w:val="0"/>
        </w:rPr>
        <w:t>4</w:t>
      </w:r>
      <w:r w:rsidRPr="00DA371D">
        <w:rPr>
          <w:b w:val="0"/>
        </w:rPr>
        <w:t xml:space="preserve"> shows </w:t>
      </w:r>
      <w:r>
        <w:rPr>
          <w:b w:val="0"/>
        </w:rPr>
        <w:t xml:space="preserve">the number of people treated in each state/territory. </w:t>
      </w:r>
    </w:p>
    <w:p w:rsidR="00D4559A" w:rsidRDefault="00D4559A" w:rsidP="00D4559A">
      <w:pPr>
        <w:pStyle w:val="Tabletitle"/>
        <w:rPr>
          <w:highlight w:val="yellow"/>
        </w:rPr>
      </w:pPr>
      <w:r w:rsidRPr="00970B04">
        <w:t xml:space="preserve">Table </w:t>
      </w:r>
      <w:r w:rsidR="004F27C3">
        <w:t>14</w:t>
      </w:r>
      <w:r w:rsidRPr="00970B04">
        <w:t xml:space="preserve">: </w:t>
      </w:r>
      <w:r>
        <w:t>Geographical state of patients receiving ranibizumab and aflibercept by year of treatment</w:t>
      </w:r>
    </w:p>
    <w:tbl>
      <w:tblPr>
        <w:tblStyle w:val="TableGrid"/>
        <w:tblW w:w="9066" w:type="dxa"/>
        <w:tblInd w:w="108" w:type="dxa"/>
        <w:tblLayout w:type="fixed"/>
        <w:tblLook w:val="04A0" w:firstRow="1" w:lastRow="0" w:firstColumn="1" w:lastColumn="0" w:noHBand="0" w:noVBand="1"/>
        <w:tblCaption w:val="Geographical state of patients receiving ranibizumab and aflibercept by year of treatment"/>
        <w:tblDescription w:val="Geographical state of patients receiving ranibizumab and aflibercept by year of treatment"/>
      </w:tblPr>
      <w:tblGrid>
        <w:gridCol w:w="773"/>
        <w:gridCol w:w="829"/>
        <w:gridCol w:w="829"/>
        <w:gridCol w:w="829"/>
        <w:gridCol w:w="829"/>
        <w:gridCol w:w="830"/>
        <w:gridCol w:w="829"/>
        <w:gridCol w:w="829"/>
        <w:gridCol w:w="829"/>
        <w:gridCol w:w="830"/>
        <w:gridCol w:w="830"/>
      </w:tblGrid>
      <w:tr w:rsidR="00D4559A" w:rsidRPr="0069151D" w:rsidTr="006943DF">
        <w:trPr>
          <w:trHeight w:val="300"/>
          <w:tblHeader/>
        </w:trPr>
        <w:tc>
          <w:tcPr>
            <w:tcW w:w="773"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Year</w:t>
            </w:r>
          </w:p>
        </w:tc>
        <w:tc>
          <w:tcPr>
            <w:tcW w:w="82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ACT</w:t>
            </w:r>
          </w:p>
        </w:tc>
        <w:tc>
          <w:tcPr>
            <w:tcW w:w="82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NSW</w:t>
            </w:r>
          </w:p>
        </w:tc>
        <w:tc>
          <w:tcPr>
            <w:tcW w:w="82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NT</w:t>
            </w:r>
          </w:p>
        </w:tc>
        <w:tc>
          <w:tcPr>
            <w:tcW w:w="82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QLD</w:t>
            </w:r>
          </w:p>
        </w:tc>
        <w:tc>
          <w:tcPr>
            <w:tcW w:w="83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SA</w:t>
            </w:r>
          </w:p>
        </w:tc>
        <w:tc>
          <w:tcPr>
            <w:tcW w:w="82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TAS</w:t>
            </w:r>
          </w:p>
        </w:tc>
        <w:tc>
          <w:tcPr>
            <w:tcW w:w="82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VIC</w:t>
            </w:r>
          </w:p>
        </w:tc>
        <w:tc>
          <w:tcPr>
            <w:tcW w:w="82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WA</w:t>
            </w:r>
          </w:p>
        </w:tc>
        <w:tc>
          <w:tcPr>
            <w:tcW w:w="830" w:type="dxa"/>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Un-known</w:t>
            </w:r>
          </w:p>
        </w:tc>
        <w:tc>
          <w:tcPr>
            <w:tcW w:w="83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Total</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2007</w:t>
            </w:r>
          </w:p>
        </w:tc>
        <w:tc>
          <w:tcPr>
            <w:tcW w:w="829" w:type="dxa"/>
            <w:noWrap/>
            <w:vAlign w:val="center"/>
            <w:hideMark/>
          </w:tcPr>
          <w:p w:rsidR="00D4559A" w:rsidRPr="00481015" w:rsidRDefault="00D4559A" w:rsidP="00D4559A">
            <w:pPr>
              <w:pStyle w:val="Tablewriting"/>
              <w:jc w:val="center"/>
            </w:pPr>
            <w:r w:rsidRPr="00481015">
              <w:t>156</w:t>
            </w:r>
          </w:p>
        </w:tc>
        <w:tc>
          <w:tcPr>
            <w:tcW w:w="829" w:type="dxa"/>
            <w:noWrap/>
            <w:vAlign w:val="center"/>
            <w:hideMark/>
          </w:tcPr>
          <w:p w:rsidR="00D4559A" w:rsidRPr="00481015" w:rsidRDefault="00D4559A" w:rsidP="00D4559A">
            <w:pPr>
              <w:pStyle w:val="Tablewriting"/>
              <w:jc w:val="center"/>
            </w:pPr>
            <w:r w:rsidRPr="00481015">
              <w:t>3,234</w:t>
            </w:r>
          </w:p>
        </w:tc>
        <w:tc>
          <w:tcPr>
            <w:tcW w:w="829" w:type="dxa"/>
            <w:noWrap/>
            <w:vAlign w:val="center"/>
            <w:hideMark/>
          </w:tcPr>
          <w:p w:rsidR="00D4559A" w:rsidRPr="00481015" w:rsidRDefault="00D4559A" w:rsidP="00D4559A">
            <w:pPr>
              <w:pStyle w:val="Tablewriting"/>
              <w:jc w:val="center"/>
            </w:pPr>
          </w:p>
        </w:tc>
        <w:tc>
          <w:tcPr>
            <w:tcW w:w="829" w:type="dxa"/>
            <w:noWrap/>
            <w:vAlign w:val="center"/>
            <w:hideMark/>
          </w:tcPr>
          <w:p w:rsidR="00D4559A" w:rsidRPr="00481015" w:rsidRDefault="00D4559A" w:rsidP="00D4559A">
            <w:pPr>
              <w:pStyle w:val="Tablewriting"/>
              <w:jc w:val="center"/>
            </w:pPr>
            <w:r w:rsidRPr="00481015">
              <w:t>1,277</w:t>
            </w:r>
          </w:p>
        </w:tc>
        <w:tc>
          <w:tcPr>
            <w:tcW w:w="830" w:type="dxa"/>
            <w:noWrap/>
            <w:vAlign w:val="center"/>
            <w:hideMark/>
          </w:tcPr>
          <w:p w:rsidR="00D4559A" w:rsidRPr="00481015" w:rsidRDefault="00D4559A" w:rsidP="00D4559A">
            <w:pPr>
              <w:pStyle w:val="Tablewriting"/>
              <w:jc w:val="center"/>
            </w:pPr>
            <w:r w:rsidRPr="00481015">
              <w:t>450</w:t>
            </w:r>
          </w:p>
        </w:tc>
        <w:tc>
          <w:tcPr>
            <w:tcW w:w="829" w:type="dxa"/>
            <w:noWrap/>
            <w:vAlign w:val="center"/>
            <w:hideMark/>
          </w:tcPr>
          <w:p w:rsidR="00D4559A" w:rsidRPr="00481015" w:rsidRDefault="00D4559A" w:rsidP="00D4559A">
            <w:pPr>
              <w:pStyle w:val="Tablewriting"/>
              <w:jc w:val="center"/>
            </w:pPr>
            <w:r w:rsidRPr="00481015">
              <w:t>269</w:t>
            </w:r>
          </w:p>
        </w:tc>
        <w:tc>
          <w:tcPr>
            <w:tcW w:w="829" w:type="dxa"/>
            <w:noWrap/>
            <w:vAlign w:val="center"/>
            <w:hideMark/>
          </w:tcPr>
          <w:p w:rsidR="00D4559A" w:rsidRPr="00481015" w:rsidRDefault="00D4559A" w:rsidP="00D4559A">
            <w:pPr>
              <w:pStyle w:val="Tablewriting"/>
              <w:jc w:val="center"/>
            </w:pPr>
            <w:r w:rsidRPr="00481015">
              <w:t>1,655</w:t>
            </w:r>
          </w:p>
        </w:tc>
        <w:tc>
          <w:tcPr>
            <w:tcW w:w="829" w:type="dxa"/>
            <w:noWrap/>
            <w:vAlign w:val="center"/>
            <w:hideMark/>
          </w:tcPr>
          <w:p w:rsidR="00D4559A" w:rsidRPr="00481015" w:rsidRDefault="00D4559A" w:rsidP="00D4559A">
            <w:pPr>
              <w:pStyle w:val="Tablewriting"/>
              <w:jc w:val="center"/>
            </w:pPr>
            <w:r w:rsidRPr="00481015">
              <w:t>431</w:t>
            </w:r>
          </w:p>
        </w:tc>
        <w:tc>
          <w:tcPr>
            <w:tcW w:w="830" w:type="dxa"/>
            <w:vAlign w:val="center"/>
          </w:tcPr>
          <w:p w:rsidR="00D4559A" w:rsidRPr="00481015" w:rsidRDefault="00D4559A" w:rsidP="00D4559A">
            <w:pPr>
              <w:pStyle w:val="Tablewriting"/>
              <w:jc w:val="center"/>
            </w:pPr>
            <w:r w:rsidRPr="00481015">
              <w:t>6</w:t>
            </w:r>
          </w:p>
        </w:tc>
        <w:tc>
          <w:tcPr>
            <w:tcW w:w="830" w:type="dxa"/>
            <w:noWrap/>
            <w:vAlign w:val="center"/>
            <w:hideMark/>
          </w:tcPr>
          <w:p w:rsidR="00D4559A" w:rsidRPr="00481015" w:rsidRDefault="00D4559A" w:rsidP="00D4559A">
            <w:pPr>
              <w:pStyle w:val="Tablewriting"/>
              <w:jc w:val="center"/>
            </w:pPr>
            <w:r w:rsidRPr="00481015">
              <w:t>7,478</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2008</w:t>
            </w:r>
          </w:p>
        </w:tc>
        <w:tc>
          <w:tcPr>
            <w:tcW w:w="829" w:type="dxa"/>
            <w:noWrap/>
            <w:vAlign w:val="center"/>
            <w:hideMark/>
          </w:tcPr>
          <w:p w:rsidR="00D4559A" w:rsidRPr="00481015" w:rsidRDefault="00D4559A" w:rsidP="00D4559A">
            <w:pPr>
              <w:pStyle w:val="Tablewriting"/>
              <w:jc w:val="center"/>
            </w:pPr>
            <w:r w:rsidRPr="00481015">
              <w:t>270</w:t>
            </w:r>
          </w:p>
        </w:tc>
        <w:tc>
          <w:tcPr>
            <w:tcW w:w="829" w:type="dxa"/>
            <w:noWrap/>
            <w:vAlign w:val="center"/>
            <w:hideMark/>
          </w:tcPr>
          <w:p w:rsidR="00D4559A" w:rsidRPr="00481015" w:rsidRDefault="00D4559A" w:rsidP="00D4559A">
            <w:pPr>
              <w:pStyle w:val="Tablewriting"/>
              <w:jc w:val="center"/>
            </w:pPr>
            <w:r w:rsidRPr="00481015">
              <w:t>6,005</w:t>
            </w:r>
          </w:p>
        </w:tc>
        <w:tc>
          <w:tcPr>
            <w:tcW w:w="829" w:type="dxa"/>
            <w:noWrap/>
            <w:vAlign w:val="center"/>
            <w:hideMark/>
          </w:tcPr>
          <w:p w:rsidR="00D4559A" w:rsidRPr="00481015" w:rsidRDefault="00D4559A" w:rsidP="00D4559A">
            <w:pPr>
              <w:pStyle w:val="Tablewriting"/>
              <w:jc w:val="center"/>
            </w:pPr>
            <w:r w:rsidRPr="00481015">
              <w:t>10</w:t>
            </w:r>
          </w:p>
        </w:tc>
        <w:tc>
          <w:tcPr>
            <w:tcW w:w="829" w:type="dxa"/>
            <w:noWrap/>
            <w:vAlign w:val="center"/>
            <w:hideMark/>
          </w:tcPr>
          <w:p w:rsidR="00D4559A" w:rsidRPr="00481015" w:rsidRDefault="00D4559A" w:rsidP="00D4559A">
            <w:pPr>
              <w:pStyle w:val="Tablewriting"/>
              <w:jc w:val="center"/>
            </w:pPr>
            <w:r w:rsidRPr="00481015">
              <w:t>2,702</w:t>
            </w:r>
          </w:p>
        </w:tc>
        <w:tc>
          <w:tcPr>
            <w:tcW w:w="830" w:type="dxa"/>
            <w:noWrap/>
            <w:vAlign w:val="center"/>
            <w:hideMark/>
          </w:tcPr>
          <w:p w:rsidR="00D4559A" w:rsidRPr="00481015" w:rsidRDefault="00D4559A" w:rsidP="00D4559A">
            <w:pPr>
              <w:pStyle w:val="Tablewriting"/>
              <w:jc w:val="center"/>
            </w:pPr>
            <w:r w:rsidRPr="00481015">
              <w:t>912</w:t>
            </w:r>
          </w:p>
        </w:tc>
        <w:tc>
          <w:tcPr>
            <w:tcW w:w="829" w:type="dxa"/>
            <w:noWrap/>
            <w:vAlign w:val="center"/>
            <w:hideMark/>
          </w:tcPr>
          <w:p w:rsidR="00D4559A" w:rsidRPr="00481015" w:rsidRDefault="00D4559A" w:rsidP="00D4559A">
            <w:pPr>
              <w:pStyle w:val="Tablewriting"/>
              <w:jc w:val="center"/>
            </w:pPr>
            <w:r w:rsidRPr="00481015">
              <w:t>472</w:t>
            </w:r>
          </w:p>
        </w:tc>
        <w:tc>
          <w:tcPr>
            <w:tcW w:w="829" w:type="dxa"/>
            <w:noWrap/>
            <w:vAlign w:val="center"/>
            <w:hideMark/>
          </w:tcPr>
          <w:p w:rsidR="00D4559A" w:rsidRPr="00481015" w:rsidRDefault="00D4559A" w:rsidP="00D4559A">
            <w:pPr>
              <w:pStyle w:val="Tablewriting"/>
              <w:jc w:val="center"/>
            </w:pPr>
            <w:r w:rsidRPr="00481015">
              <w:t>2,987</w:t>
            </w:r>
          </w:p>
        </w:tc>
        <w:tc>
          <w:tcPr>
            <w:tcW w:w="829" w:type="dxa"/>
            <w:noWrap/>
            <w:vAlign w:val="center"/>
            <w:hideMark/>
          </w:tcPr>
          <w:p w:rsidR="00D4559A" w:rsidRPr="00481015" w:rsidRDefault="00D4559A" w:rsidP="00D4559A">
            <w:pPr>
              <w:pStyle w:val="Tablewriting"/>
              <w:jc w:val="center"/>
            </w:pPr>
            <w:r w:rsidRPr="00481015">
              <w:t>953</w:t>
            </w:r>
          </w:p>
        </w:tc>
        <w:tc>
          <w:tcPr>
            <w:tcW w:w="830" w:type="dxa"/>
            <w:vAlign w:val="center"/>
          </w:tcPr>
          <w:p w:rsidR="00D4559A" w:rsidRPr="00481015" w:rsidRDefault="00D4559A" w:rsidP="00D4559A">
            <w:pPr>
              <w:pStyle w:val="Tablewriting"/>
              <w:jc w:val="center"/>
            </w:pPr>
            <w:r w:rsidRPr="00481015">
              <w:t>9</w:t>
            </w:r>
          </w:p>
        </w:tc>
        <w:tc>
          <w:tcPr>
            <w:tcW w:w="830" w:type="dxa"/>
            <w:noWrap/>
            <w:vAlign w:val="center"/>
            <w:hideMark/>
          </w:tcPr>
          <w:p w:rsidR="00D4559A" w:rsidRPr="00481015" w:rsidRDefault="00D4559A" w:rsidP="00D4559A">
            <w:pPr>
              <w:pStyle w:val="Tablewriting"/>
              <w:jc w:val="center"/>
            </w:pPr>
            <w:r w:rsidRPr="00481015">
              <w:t>14,320</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2009</w:t>
            </w:r>
          </w:p>
        </w:tc>
        <w:tc>
          <w:tcPr>
            <w:tcW w:w="829" w:type="dxa"/>
            <w:noWrap/>
            <w:vAlign w:val="center"/>
            <w:hideMark/>
          </w:tcPr>
          <w:p w:rsidR="00D4559A" w:rsidRPr="00481015" w:rsidRDefault="00D4559A" w:rsidP="00D4559A">
            <w:pPr>
              <w:pStyle w:val="Tablewriting"/>
              <w:jc w:val="center"/>
            </w:pPr>
            <w:r w:rsidRPr="00481015">
              <w:t>351</w:t>
            </w:r>
          </w:p>
        </w:tc>
        <w:tc>
          <w:tcPr>
            <w:tcW w:w="829" w:type="dxa"/>
            <w:noWrap/>
            <w:vAlign w:val="center"/>
            <w:hideMark/>
          </w:tcPr>
          <w:p w:rsidR="00D4559A" w:rsidRPr="00481015" w:rsidRDefault="00D4559A" w:rsidP="00D4559A">
            <w:pPr>
              <w:pStyle w:val="Tablewriting"/>
              <w:jc w:val="center"/>
            </w:pPr>
            <w:r w:rsidRPr="00481015">
              <w:t>7,759</w:t>
            </w:r>
          </w:p>
        </w:tc>
        <w:tc>
          <w:tcPr>
            <w:tcW w:w="829" w:type="dxa"/>
            <w:noWrap/>
            <w:vAlign w:val="center"/>
            <w:hideMark/>
          </w:tcPr>
          <w:p w:rsidR="00D4559A" w:rsidRPr="00481015" w:rsidRDefault="00D4559A" w:rsidP="00D4559A">
            <w:pPr>
              <w:pStyle w:val="Tablewriting"/>
              <w:jc w:val="center"/>
            </w:pPr>
            <w:r w:rsidRPr="00481015">
              <w:t>19</w:t>
            </w:r>
          </w:p>
        </w:tc>
        <w:tc>
          <w:tcPr>
            <w:tcW w:w="829" w:type="dxa"/>
            <w:noWrap/>
            <w:vAlign w:val="center"/>
            <w:hideMark/>
          </w:tcPr>
          <w:p w:rsidR="00D4559A" w:rsidRPr="00481015" w:rsidRDefault="00D4559A" w:rsidP="00D4559A">
            <w:pPr>
              <w:pStyle w:val="Tablewriting"/>
              <w:jc w:val="center"/>
            </w:pPr>
            <w:r w:rsidRPr="00481015">
              <w:t>3,557</w:t>
            </w:r>
          </w:p>
        </w:tc>
        <w:tc>
          <w:tcPr>
            <w:tcW w:w="830" w:type="dxa"/>
            <w:noWrap/>
            <w:vAlign w:val="center"/>
            <w:hideMark/>
          </w:tcPr>
          <w:p w:rsidR="00D4559A" w:rsidRPr="00481015" w:rsidRDefault="00D4559A" w:rsidP="00D4559A">
            <w:pPr>
              <w:pStyle w:val="Tablewriting"/>
              <w:jc w:val="center"/>
            </w:pPr>
            <w:r w:rsidRPr="00481015">
              <w:t>1,374</w:t>
            </w:r>
          </w:p>
        </w:tc>
        <w:tc>
          <w:tcPr>
            <w:tcW w:w="829" w:type="dxa"/>
            <w:noWrap/>
            <w:vAlign w:val="center"/>
            <w:hideMark/>
          </w:tcPr>
          <w:p w:rsidR="00D4559A" w:rsidRPr="00481015" w:rsidRDefault="00D4559A" w:rsidP="00D4559A">
            <w:pPr>
              <w:pStyle w:val="Tablewriting"/>
              <w:jc w:val="center"/>
            </w:pPr>
            <w:r w:rsidRPr="00481015">
              <w:t>591</w:t>
            </w:r>
          </w:p>
        </w:tc>
        <w:tc>
          <w:tcPr>
            <w:tcW w:w="829" w:type="dxa"/>
            <w:noWrap/>
            <w:vAlign w:val="center"/>
            <w:hideMark/>
          </w:tcPr>
          <w:p w:rsidR="00D4559A" w:rsidRPr="00481015" w:rsidRDefault="00D4559A" w:rsidP="00D4559A">
            <w:pPr>
              <w:pStyle w:val="Tablewriting"/>
              <w:jc w:val="center"/>
            </w:pPr>
            <w:r w:rsidRPr="00481015">
              <w:t>3,853</w:t>
            </w:r>
          </w:p>
        </w:tc>
        <w:tc>
          <w:tcPr>
            <w:tcW w:w="829" w:type="dxa"/>
            <w:noWrap/>
            <w:vAlign w:val="center"/>
            <w:hideMark/>
          </w:tcPr>
          <w:p w:rsidR="00D4559A" w:rsidRPr="00481015" w:rsidRDefault="00D4559A" w:rsidP="00D4559A">
            <w:pPr>
              <w:pStyle w:val="Tablewriting"/>
              <w:jc w:val="center"/>
            </w:pPr>
            <w:r w:rsidRPr="00481015">
              <w:t>1,375</w:t>
            </w:r>
          </w:p>
        </w:tc>
        <w:tc>
          <w:tcPr>
            <w:tcW w:w="830" w:type="dxa"/>
            <w:vAlign w:val="center"/>
          </w:tcPr>
          <w:p w:rsidR="00D4559A" w:rsidRPr="00481015" w:rsidRDefault="00D4559A" w:rsidP="00D4559A">
            <w:pPr>
              <w:pStyle w:val="Tablewriting"/>
              <w:jc w:val="center"/>
            </w:pPr>
            <w:r w:rsidRPr="00481015">
              <w:t>10</w:t>
            </w:r>
          </w:p>
        </w:tc>
        <w:tc>
          <w:tcPr>
            <w:tcW w:w="830" w:type="dxa"/>
            <w:noWrap/>
            <w:vAlign w:val="center"/>
            <w:hideMark/>
          </w:tcPr>
          <w:p w:rsidR="00D4559A" w:rsidRPr="00481015" w:rsidRDefault="00D4559A" w:rsidP="00D4559A">
            <w:pPr>
              <w:pStyle w:val="Tablewriting"/>
              <w:jc w:val="center"/>
            </w:pPr>
            <w:r w:rsidRPr="00481015">
              <w:t>18,889</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2010</w:t>
            </w:r>
          </w:p>
        </w:tc>
        <w:tc>
          <w:tcPr>
            <w:tcW w:w="829" w:type="dxa"/>
            <w:noWrap/>
            <w:vAlign w:val="center"/>
            <w:hideMark/>
          </w:tcPr>
          <w:p w:rsidR="00D4559A" w:rsidRPr="00481015" w:rsidRDefault="00D4559A" w:rsidP="00D4559A">
            <w:pPr>
              <w:pStyle w:val="Tablewriting"/>
              <w:jc w:val="center"/>
            </w:pPr>
            <w:r w:rsidRPr="00481015">
              <w:t>414</w:t>
            </w:r>
          </w:p>
        </w:tc>
        <w:tc>
          <w:tcPr>
            <w:tcW w:w="829" w:type="dxa"/>
            <w:noWrap/>
            <w:vAlign w:val="center"/>
            <w:hideMark/>
          </w:tcPr>
          <w:p w:rsidR="00D4559A" w:rsidRPr="00481015" w:rsidRDefault="00D4559A" w:rsidP="00D4559A">
            <w:pPr>
              <w:pStyle w:val="Tablewriting"/>
              <w:jc w:val="center"/>
            </w:pPr>
            <w:r w:rsidRPr="00481015">
              <w:t>9,520</w:t>
            </w:r>
          </w:p>
        </w:tc>
        <w:tc>
          <w:tcPr>
            <w:tcW w:w="829" w:type="dxa"/>
            <w:noWrap/>
            <w:vAlign w:val="center"/>
            <w:hideMark/>
          </w:tcPr>
          <w:p w:rsidR="00D4559A" w:rsidRPr="00481015" w:rsidRDefault="00D4559A" w:rsidP="00D4559A">
            <w:pPr>
              <w:pStyle w:val="Tablewriting"/>
              <w:jc w:val="center"/>
            </w:pPr>
            <w:r w:rsidRPr="00481015">
              <w:t>27</w:t>
            </w:r>
          </w:p>
        </w:tc>
        <w:tc>
          <w:tcPr>
            <w:tcW w:w="829" w:type="dxa"/>
            <w:noWrap/>
            <w:vAlign w:val="center"/>
            <w:hideMark/>
          </w:tcPr>
          <w:p w:rsidR="00D4559A" w:rsidRPr="00481015" w:rsidRDefault="00D4559A" w:rsidP="00D4559A">
            <w:pPr>
              <w:pStyle w:val="Tablewriting"/>
              <w:jc w:val="center"/>
            </w:pPr>
            <w:r w:rsidRPr="00481015">
              <w:t>4,190</w:t>
            </w:r>
          </w:p>
        </w:tc>
        <w:tc>
          <w:tcPr>
            <w:tcW w:w="830" w:type="dxa"/>
            <w:noWrap/>
            <w:vAlign w:val="center"/>
            <w:hideMark/>
          </w:tcPr>
          <w:p w:rsidR="00D4559A" w:rsidRPr="00481015" w:rsidRDefault="00D4559A" w:rsidP="00D4559A">
            <w:pPr>
              <w:pStyle w:val="Tablewriting"/>
              <w:jc w:val="center"/>
            </w:pPr>
            <w:r w:rsidRPr="00481015">
              <w:t>1,670</w:t>
            </w:r>
          </w:p>
        </w:tc>
        <w:tc>
          <w:tcPr>
            <w:tcW w:w="829" w:type="dxa"/>
            <w:noWrap/>
            <w:vAlign w:val="center"/>
            <w:hideMark/>
          </w:tcPr>
          <w:p w:rsidR="00D4559A" w:rsidRPr="00481015" w:rsidRDefault="00D4559A" w:rsidP="00D4559A">
            <w:pPr>
              <w:pStyle w:val="Tablewriting"/>
              <w:jc w:val="center"/>
            </w:pPr>
            <w:r w:rsidRPr="00481015">
              <w:t>657</w:t>
            </w:r>
          </w:p>
        </w:tc>
        <w:tc>
          <w:tcPr>
            <w:tcW w:w="829" w:type="dxa"/>
            <w:noWrap/>
            <w:vAlign w:val="center"/>
            <w:hideMark/>
          </w:tcPr>
          <w:p w:rsidR="00D4559A" w:rsidRPr="00481015" w:rsidRDefault="00D4559A" w:rsidP="00D4559A">
            <w:pPr>
              <w:pStyle w:val="Tablewriting"/>
              <w:jc w:val="center"/>
            </w:pPr>
            <w:r w:rsidRPr="00481015">
              <w:t>4,650</w:t>
            </w:r>
          </w:p>
        </w:tc>
        <w:tc>
          <w:tcPr>
            <w:tcW w:w="829" w:type="dxa"/>
            <w:noWrap/>
            <w:vAlign w:val="center"/>
            <w:hideMark/>
          </w:tcPr>
          <w:p w:rsidR="00D4559A" w:rsidRPr="00481015" w:rsidRDefault="00D4559A" w:rsidP="00D4559A">
            <w:pPr>
              <w:pStyle w:val="Tablewriting"/>
              <w:jc w:val="center"/>
            </w:pPr>
            <w:r w:rsidRPr="00481015">
              <w:t>1,696</w:t>
            </w:r>
          </w:p>
        </w:tc>
        <w:tc>
          <w:tcPr>
            <w:tcW w:w="830" w:type="dxa"/>
            <w:vAlign w:val="center"/>
          </w:tcPr>
          <w:p w:rsidR="00D4559A" w:rsidRPr="00481015" w:rsidRDefault="00D4559A" w:rsidP="00D4559A">
            <w:pPr>
              <w:pStyle w:val="Tablewriting"/>
              <w:jc w:val="center"/>
            </w:pPr>
            <w:r w:rsidRPr="00481015">
              <w:t>10</w:t>
            </w:r>
          </w:p>
        </w:tc>
        <w:tc>
          <w:tcPr>
            <w:tcW w:w="830" w:type="dxa"/>
            <w:noWrap/>
            <w:vAlign w:val="center"/>
            <w:hideMark/>
          </w:tcPr>
          <w:p w:rsidR="00D4559A" w:rsidRPr="00481015" w:rsidRDefault="00D4559A" w:rsidP="00D4559A">
            <w:pPr>
              <w:pStyle w:val="Tablewriting"/>
              <w:jc w:val="center"/>
            </w:pPr>
            <w:r w:rsidRPr="00481015">
              <w:t>22,834</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2011</w:t>
            </w:r>
          </w:p>
        </w:tc>
        <w:tc>
          <w:tcPr>
            <w:tcW w:w="829" w:type="dxa"/>
            <w:noWrap/>
            <w:vAlign w:val="center"/>
            <w:hideMark/>
          </w:tcPr>
          <w:p w:rsidR="00D4559A" w:rsidRPr="00481015" w:rsidRDefault="00D4559A" w:rsidP="00D4559A">
            <w:pPr>
              <w:pStyle w:val="Tablewriting"/>
              <w:jc w:val="center"/>
            </w:pPr>
            <w:r w:rsidRPr="00481015">
              <w:t>497</w:t>
            </w:r>
          </w:p>
        </w:tc>
        <w:tc>
          <w:tcPr>
            <w:tcW w:w="829" w:type="dxa"/>
            <w:noWrap/>
            <w:vAlign w:val="center"/>
            <w:hideMark/>
          </w:tcPr>
          <w:p w:rsidR="00D4559A" w:rsidRPr="00481015" w:rsidRDefault="00D4559A" w:rsidP="00D4559A">
            <w:pPr>
              <w:pStyle w:val="Tablewriting"/>
              <w:jc w:val="center"/>
            </w:pPr>
            <w:r w:rsidRPr="00481015">
              <w:t>10,909</w:t>
            </w:r>
          </w:p>
        </w:tc>
        <w:tc>
          <w:tcPr>
            <w:tcW w:w="829" w:type="dxa"/>
            <w:noWrap/>
            <w:vAlign w:val="center"/>
            <w:hideMark/>
          </w:tcPr>
          <w:p w:rsidR="00D4559A" w:rsidRPr="00481015" w:rsidRDefault="00D4559A" w:rsidP="00D4559A">
            <w:pPr>
              <w:pStyle w:val="Tablewriting"/>
              <w:jc w:val="center"/>
            </w:pPr>
            <w:r w:rsidRPr="00481015">
              <w:t>36</w:t>
            </w:r>
          </w:p>
        </w:tc>
        <w:tc>
          <w:tcPr>
            <w:tcW w:w="829" w:type="dxa"/>
            <w:noWrap/>
            <w:vAlign w:val="center"/>
            <w:hideMark/>
          </w:tcPr>
          <w:p w:rsidR="00D4559A" w:rsidRPr="00481015" w:rsidRDefault="00D4559A" w:rsidP="00D4559A">
            <w:pPr>
              <w:pStyle w:val="Tablewriting"/>
              <w:jc w:val="center"/>
            </w:pPr>
            <w:r w:rsidRPr="00481015">
              <w:t>4,837</w:t>
            </w:r>
          </w:p>
        </w:tc>
        <w:tc>
          <w:tcPr>
            <w:tcW w:w="830" w:type="dxa"/>
            <w:noWrap/>
            <w:vAlign w:val="center"/>
            <w:hideMark/>
          </w:tcPr>
          <w:p w:rsidR="00D4559A" w:rsidRPr="00481015" w:rsidRDefault="00D4559A" w:rsidP="00D4559A">
            <w:pPr>
              <w:pStyle w:val="Tablewriting"/>
              <w:jc w:val="center"/>
            </w:pPr>
            <w:r w:rsidRPr="00481015">
              <w:t>1,887</w:t>
            </w:r>
          </w:p>
        </w:tc>
        <w:tc>
          <w:tcPr>
            <w:tcW w:w="829" w:type="dxa"/>
            <w:noWrap/>
            <w:vAlign w:val="center"/>
            <w:hideMark/>
          </w:tcPr>
          <w:p w:rsidR="00D4559A" w:rsidRPr="00481015" w:rsidRDefault="00D4559A" w:rsidP="00D4559A">
            <w:pPr>
              <w:pStyle w:val="Tablewriting"/>
              <w:jc w:val="center"/>
            </w:pPr>
            <w:r w:rsidRPr="00481015">
              <w:t>792</w:t>
            </w:r>
          </w:p>
        </w:tc>
        <w:tc>
          <w:tcPr>
            <w:tcW w:w="829" w:type="dxa"/>
            <w:noWrap/>
            <w:vAlign w:val="center"/>
            <w:hideMark/>
          </w:tcPr>
          <w:p w:rsidR="00D4559A" w:rsidRPr="00481015" w:rsidRDefault="00D4559A" w:rsidP="00D4559A">
            <w:pPr>
              <w:pStyle w:val="Tablewriting"/>
              <w:jc w:val="center"/>
            </w:pPr>
            <w:r w:rsidRPr="00481015">
              <w:t>5,097</w:t>
            </w:r>
          </w:p>
        </w:tc>
        <w:tc>
          <w:tcPr>
            <w:tcW w:w="829" w:type="dxa"/>
            <w:noWrap/>
            <w:vAlign w:val="center"/>
            <w:hideMark/>
          </w:tcPr>
          <w:p w:rsidR="00D4559A" w:rsidRPr="00481015" w:rsidRDefault="00D4559A" w:rsidP="00D4559A">
            <w:pPr>
              <w:pStyle w:val="Tablewriting"/>
              <w:jc w:val="center"/>
            </w:pPr>
            <w:r w:rsidRPr="00481015">
              <w:t>2,066</w:t>
            </w:r>
          </w:p>
        </w:tc>
        <w:tc>
          <w:tcPr>
            <w:tcW w:w="830" w:type="dxa"/>
            <w:vAlign w:val="center"/>
          </w:tcPr>
          <w:p w:rsidR="00D4559A" w:rsidRPr="00481015" w:rsidRDefault="00D4559A" w:rsidP="00D4559A">
            <w:pPr>
              <w:pStyle w:val="Tablewriting"/>
              <w:jc w:val="center"/>
            </w:pPr>
            <w:r w:rsidRPr="00481015">
              <w:t>11</w:t>
            </w:r>
          </w:p>
        </w:tc>
        <w:tc>
          <w:tcPr>
            <w:tcW w:w="830" w:type="dxa"/>
            <w:noWrap/>
            <w:vAlign w:val="center"/>
            <w:hideMark/>
          </w:tcPr>
          <w:p w:rsidR="00D4559A" w:rsidRPr="00481015" w:rsidRDefault="00D4559A" w:rsidP="00D4559A">
            <w:pPr>
              <w:pStyle w:val="Tablewriting"/>
              <w:jc w:val="center"/>
            </w:pPr>
            <w:r w:rsidRPr="00481015">
              <w:t>26,132</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2012</w:t>
            </w:r>
          </w:p>
        </w:tc>
        <w:tc>
          <w:tcPr>
            <w:tcW w:w="829" w:type="dxa"/>
            <w:noWrap/>
            <w:vAlign w:val="center"/>
            <w:hideMark/>
          </w:tcPr>
          <w:p w:rsidR="00D4559A" w:rsidRPr="00481015" w:rsidRDefault="00D4559A" w:rsidP="00D4559A">
            <w:pPr>
              <w:pStyle w:val="Tablewriting"/>
              <w:jc w:val="center"/>
            </w:pPr>
            <w:r w:rsidRPr="00481015">
              <w:t>599</w:t>
            </w:r>
          </w:p>
        </w:tc>
        <w:tc>
          <w:tcPr>
            <w:tcW w:w="829" w:type="dxa"/>
            <w:noWrap/>
            <w:vAlign w:val="center"/>
            <w:hideMark/>
          </w:tcPr>
          <w:p w:rsidR="00D4559A" w:rsidRPr="00481015" w:rsidRDefault="00D4559A" w:rsidP="00D4559A">
            <w:pPr>
              <w:pStyle w:val="Tablewriting"/>
              <w:jc w:val="center"/>
            </w:pPr>
            <w:r w:rsidRPr="00481015">
              <w:t>12,162</w:t>
            </w:r>
          </w:p>
        </w:tc>
        <w:tc>
          <w:tcPr>
            <w:tcW w:w="829" w:type="dxa"/>
            <w:noWrap/>
            <w:vAlign w:val="center"/>
            <w:hideMark/>
          </w:tcPr>
          <w:p w:rsidR="00D4559A" w:rsidRPr="00481015" w:rsidRDefault="00D4559A" w:rsidP="00D4559A">
            <w:pPr>
              <w:pStyle w:val="Tablewriting"/>
              <w:jc w:val="center"/>
            </w:pPr>
            <w:r w:rsidRPr="00481015">
              <w:t>43</w:t>
            </w:r>
          </w:p>
        </w:tc>
        <w:tc>
          <w:tcPr>
            <w:tcW w:w="829" w:type="dxa"/>
            <w:noWrap/>
            <w:vAlign w:val="center"/>
            <w:hideMark/>
          </w:tcPr>
          <w:p w:rsidR="00D4559A" w:rsidRPr="00481015" w:rsidRDefault="00D4559A" w:rsidP="00D4559A">
            <w:pPr>
              <w:pStyle w:val="Tablewriting"/>
              <w:jc w:val="center"/>
            </w:pPr>
            <w:r w:rsidRPr="00481015">
              <w:t>5,483</w:t>
            </w:r>
          </w:p>
        </w:tc>
        <w:tc>
          <w:tcPr>
            <w:tcW w:w="830" w:type="dxa"/>
            <w:noWrap/>
            <w:vAlign w:val="center"/>
            <w:hideMark/>
          </w:tcPr>
          <w:p w:rsidR="00D4559A" w:rsidRPr="00481015" w:rsidRDefault="00D4559A" w:rsidP="00D4559A">
            <w:pPr>
              <w:pStyle w:val="Tablewriting"/>
              <w:jc w:val="center"/>
            </w:pPr>
            <w:r w:rsidRPr="00481015">
              <w:t>2,002</w:t>
            </w:r>
          </w:p>
        </w:tc>
        <w:tc>
          <w:tcPr>
            <w:tcW w:w="829" w:type="dxa"/>
            <w:noWrap/>
            <w:vAlign w:val="center"/>
            <w:hideMark/>
          </w:tcPr>
          <w:p w:rsidR="00D4559A" w:rsidRPr="00481015" w:rsidRDefault="00D4559A" w:rsidP="00D4559A">
            <w:pPr>
              <w:pStyle w:val="Tablewriting"/>
              <w:jc w:val="center"/>
            </w:pPr>
            <w:r w:rsidRPr="00481015">
              <w:t>911</w:t>
            </w:r>
          </w:p>
        </w:tc>
        <w:tc>
          <w:tcPr>
            <w:tcW w:w="829" w:type="dxa"/>
            <w:noWrap/>
            <w:vAlign w:val="center"/>
            <w:hideMark/>
          </w:tcPr>
          <w:p w:rsidR="00D4559A" w:rsidRPr="00481015" w:rsidRDefault="00D4559A" w:rsidP="00D4559A">
            <w:pPr>
              <w:pStyle w:val="Tablewriting"/>
              <w:jc w:val="center"/>
            </w:pPr>
            <w:r w:rsidRPr="00481015">
              <w:t>5,692</w:t>
            </w:r>
          </w:p>
        </w:tc>
        <w:tc>
          <w:tcPr>
            <w:tcW w:w="829" w:type="dxa"/>
            <w:noWrap/>
            <w:vAlign w:val="center"/>
            <w:hideMark/>
          </w:tcPr>
          <w:p w:rsidR="00D4559A" w:rsidRPr="00481015" w:rsidRDefault="00D4559A" w:rsidP="00D4559A">
            <w:pPr>
              <w:pStyle w:val="Tablewriting"/>
              <w:jc w:val="center"/>
            </w:pPr>
            <w:r w:rsidRPr="00481015">
              <w:t>2,366</w:t>
            </w:r>
          </w:p>
        </w:tc>
        <w:tc>
          <w:tcPr>
            <w:tcW w:w="830" w:type="dxa"/>
            <w:vAlign w:val="center"/>
          </w:tcPr>
          <w:p w:rsidR="00D4559A" w:rsidRPr="00481015" w:rsidRDefault="00D4559A" w:rsidP="00D4559A">
            <w:pPr>
              <w:pStyle w:val="Tablewriting"/>
              <w:jc w:val="center"/>
            </w:pPr>
            <w:r w:rsidRPr="00481015">
              <w:t>11</w:t>
            </w:r>
          </w:p>
        </w:tc>
        <w:tc>
          <w:tcPr>
            <w:tcW w:w="830" w:type="dxa"/>
            <w:noWrap/>
            <w:vAlign w:val="center"/>
            <w:hideMark/>
          </w:tcPr>
          <w:p w:rsidR="00D4559A" w:rsidRPr="00481015" w:rsidRDefault="00D4559A" w:rsidP="00D4559A">
            <w:pPr>
              <w:pStyle w:val="Tablewriting"/>
              <w:jc w:val="center"/>
            </w:pPr>
            <w:r w:rsidRPr="00481015">
              <w:t>29,269</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2013</w:t>
            </w:r>
          </w:p>
        </w:tc>
        <w:tc>
          <w:tcPr>
            <w:tcW w:w="829" w:type="dxa"/>
            <w:noWrap/>
            <w:vAlign w:val="center"/>
            <w:hideMark/>
          </w:tcPr>
          <w:p w:rsidR="00D4559A" w:rsidRPr="00481015" w:rsidRDefault="00D4559A" w:rsidP="00D4559A">
            <w:pPr>
              <w:pStyle w:val="Tablewriting"/>
              <w:jc w:val="center"/>
            </w:pPr>
            <w:r w:rsidRPr="00481015">
              <w:t>693</w:t>
            </w:r>
          </w:p>
        </w:tc>
        <w:tc>
          <w:tcPr>
            <w:tcW w:w="829" w:type="dxa"/>
            <w:noWrap/>
            <w:vAlign w:val="center"/>
            <w:hideMark/>
          </w:tcPr>
          <w:p w:rsidR="00D4559A" w:rsidRPr="00481015" w:rsidRDefault="00D4559A" w:rsidP="00D4559A">
            <w:pPr>
              <w:pStyle w:val="Tablewriting"/>
              <w:jc w:val="center"/>
            </w:pPr>
            <w:r w:rsidRPr="00481015">
              <w:t>13,769</w:t>
            </w:r>
          </w:p>
        </w:tc>
        <w:tc>
          <w:tcPr>
            <w:tcW w:w="829" w:type="dxa"/>
            <w:noWrap/>
            <w:vAlign w:val="center"/>
            <w:hideMark/>
          </w:tcPr>
          <w:p w:rsidR="00D4559A" w:rsidRPr="00481015" w:rsidRDefault="00D4559A" w:rsidP="00D4559A">
            <w:pPr>
              <w:pStyle w:val="Tablewriting"/>
              <w:jc w:val="center"/>
            </w:pPr>
            <w:r w:rsidRPr="00481015">
              <w:t>45</w:t>
            </w:r>
          </w:p>
        </w:tc>
        <w:tc>
          <w:tcPr>
            <w:tcW w:w="829" w:type="dxa"/>
            <w:noWrap/>
            <w:vAlign w:val="center"/>
            <w:hideMark/>
          </w:tcPr>
          <w:p w:rsidR="00D4559A" w:rsidRPr="00481015" w:rsidRDefault="00D4559A" w:rsidP="00D4559A">
            <w:pPr>
              <w:pStyle w:val="Tablewriting"/>
              <w:jc w:val="center"/>
            </w:pPr>
            <w:r w:rsidRPr="00481015">
              <w:t>6,236</w:t>
            </w:r>
          </w:p>
        </w:tc>
        <w:tc>
          <w:tcPr>
            <w:tcW w:w="830" w:type="dxa"/>
            <w:noWrap/>
            <w:vAlign w:val="center"/>
            <w:hideMark/>
          </w:tcPr>
          <w:p w:rsidR="00D4559A" w:rsidRPr="00481015" w:rsidRDefault="00D4559A" w:rsidP="00D4559A">
            <w:pPr>
              <w:pStyle w:val="Tablewriting"/>
              <w:jc w:val="center"/>
            </w:pPr>
            <w:r w:rsidRPr="00481015">
              <w:t>2,363</w:t>
            </w:r>
          </w:p>
        </w:tc>
        <w:tc>
          <w:tcPr>
            <w:tcW w:w="829" w:type="dxa"/>
            <w:noWrap/>
            <w:vAlign w:val="center"/>
            <w:hideMark/>
          </w:tcPr>
          <w:p w:rsidR="00D4559A" w:rsidRPr="00481015" w:rsidRDefault="00D4559A" w:rsidP="00D4559A">
            <w:pPr>
              <w:pStyle w:val="Tablewriting"/>
              <w:jc w:val="center"/>
            </w:pPr>
            <w:r w:rsidRPr="00481015">
              <w:t>1,008</w:t>
            </w:r>
          </w:p>
        </w:tc>
        <w:tc>
          <w:tcPr>
            <w:tcW w:w="829" w:type="dxa"/>
            <w:noWrap/>
            <w:vAlign w:val="center"/>
            <w:hideMark/>
          </w:tcPr>
          <w:p w:rsidR="00D4559A" w:rsidRPr="00481015" w:rsidRDefault="00D4559A" w:rsidP="00D4559A">
            <w:pPr>
              <w:pStyle w:val="Tablewriting"/>
              <w:jc w:val="center"/>
            </w:pPr>
            <w:r w:rsidRPr="00481015">
              <w:t>6,569</w:t>
            </w:r>
          </w:p>
        </w:tc>
        <w:tc>
          <w:tcPr>
            <w:tcW w:w="829" w:type="dxa"/>
            <w:noWrap/>
            <w:vAlign w:val="center"/>
            <w:hideMark/>
          </w:tcPr>
          <w:p w:rsidR="00D4559A" w:rsidRPr="00481015" w:rsidRDefault="00D4559A" w:rsidP="00D4559A">
            <w:pPr>
              <w:pStyle w:val="Tablewriting"/>
              <w:jc w:val="center"/>
            </w:pPr>
            <w:r w:rsidRPr="00481015">
              <w:t>2,655</w:t>
            </w:r>
          </w:p>
        </w:tc>
        <w:tc>
          <w:tcPr>
            <w:tcW w:w="830" w:type="dxa"/>
            <w:vAlign w:val="center"/>
          </w:tcPr>
          <w:p w:rsidR="00D4559A" w:rsidRPr="00481015" w:rsidRDefault="00D4559A" w:rsidP="00D4559A">
            <w:pPr>
              <w:pStyle w:val="Tablewriting"/>
              <w:jc w:val="center"/>
            </w:pPr>
            <w:r w:rsidRPr="00481015">
              <w:t>9</w:t>
            </w:r>
          </w:p>
        </w:tc>
        <w:tc>
          <w:tcPr>
            <w:tcW w:w="830" w:type="dxa"/>
            <w:noWrap/>
            <w:vAlign w:val="center"/>
            <w:hideMark/>
          </w:tcPr>
          <w:p w:rsidR="00D4559A" w:rsidRPr="00481015" w:rsidRDefault="00D4559A" w:rsidP="00D4559A">
            <w:pPr>
              <w:pStyle w:val="Tablewriting"/>
              <w:jc w:val="center"/>
            </w:pPr>
            <w:r w:rsidRPr="00481015">
              <w:t>33,347</w:t>
            </w:r>
          </w:p>
        </w:tc>
      </w:tr>
      <w:tr w:rsidR="00D4559A" w:rsidRPr="00481015" w:rsidTr="006943DF">
        <w:trPr>
          <w:trHeight w:val="300"/>
        </w:trPr>
        <w:tc>
          <w:tcPr>
            <w:tcW w:w="773" w:type="dxa"/>
            <w:noWrap/>
            <w:vAlign w:val="center"/>
            <w:hideMark/>
          </w:tcPr>
          <w:p w:rsidR="00D4559A" w:rsidRPr="00481015" w:rsidRDefault="00D4559A" w:rsidP="00D4559A">
            <w:pPr>
              <w:pStyle w:val="Tablewriting"/>
            </w:pPr>
            <w:r w:rsidRPr="00481015">
              <w:t>2014</w:t>
            </w:r>
          </w:p>
        </w:tc>
        <w:tc>
          <w:tcPr>
            <w:tcW w:w="829" w:type="dxa"/>
            <w:noWrap/>
            <w:vAlign w:val="center"/>
            <w:hideMark/>
          </w:tcPr>
          <w:p w:rsidR="00D4559A" w:rsidRPr="00481015" w:rsidRDefault="00D4559A" w:rsidP="00D4559A">
            <w:pPr>
              <w:pStyle w:val="Tablewriting"/>
              <w:jc w:val="center"/>
            </w:pPr>
            <w:r w:rsidRPr="00481015">
              <w:t>807</w:t>
            </w:r>
          </w:p>
        </w:tc>
        <w:tc>
          <w:tcPr>
            <w:tcW w:w="829" w:type="dxa"/>
            <w:noWrap/>
            <w:vAlign w:val="center"/>
            <w:hideMark/>
          </w:tcPr>
          <w:p w:rsidR="00D4559A" w:rsidRPr="00481015" w:rsidRDefault="00D4559A" w:rsidP="00D4559A">
            <w:pPr>
              <w:pStyle w:val="Tablewriting"/>
              <w:jc w:val="center"/>
            </w:pPr>
            <w:r w:rsidRPr="00481015">
              <w:t>15,139</w:t>
            </w:r>
          </w:p>
        </w:tc>
        <w:tc>
          <w:tcPr>
            <w:tcW w:w="829" w:type="dxa"/>
            <w:noWrap/>
            <w:vAlign w:val="center"/>
            <w:hideMark/>
          </w:tcPr>
          <w:p w:rsidR="00D4559A" w:rsidRPr="00481015" w:rsidRDefault="00D4559A" w:rsidP="00D4559A">
            <w:pPr>
              <w:pStyle w:val="Tablewriting"/>
              <w:jc w:val="center"/>
            </w:pPr>
            <w:r w:rsidRPr="00481015">
              <w:t>47</w:t>
            </w:r>
          </w:p>
        </w:tc>
        <w:tc>
          <w:tcPr>
            <w:tcW w:w="829" w:type="dxa"/>
            <w:noWrap/>
            <w:vAlign w:val="center"/>
            <w:hideMark/>
          </w:tcPr>
          <w:p w:rsidR="00D4559A" w:rsidRPr="00481015" w:rsidRDefault="00D4559A" w:rsidP="00D4559A">
            <w:pPr>
              <w:pStyle w:val="Tablewriting"/>
              <w:jc w:val="center"/>
            </w:pPr>
            <w:r w:rsidRPr="00481015">
              <w:t>6,761</w:t>
            </w:r>
          </w:p>
        </w:tc>
        <w:tc>
          <w:tcPr>
            <w:tcW w:w="830" w:type="dxa"/>
            <w:noWrap/>
            <w:vAlign w:val="center"/>
            <w:hideMark/>
          </w:tcPr>
          <w:p w:rsidR="00D4559A" w:rsidRPr="00481015" w:rsidRDefault="00D4559A" w:rsidP="00D4559A">
            <w:pPr>
              <w:pStyle w:val="Tablewriting"/>
              <w:jc w:val="center"/>
            </w:pPr>
            <w:r w:rsidRPr="00481015">
              <w:t>2,648</w:t>
            </w:r>
          </w:p>
        </w:tc>
        <w:tc>
          <w:tcPr>
            <w:tcW w:w="829" w:type="dxa"/>
            <w:noWrap/>
            <w:vAlign w:val="center"/>
            <w:hideMark/>
          </w:tcPr>
          <w:p w:rsidR="00D4559A" w:rsidRPr="00481015" w:rsidRDefault="00D4559A" w:rsidP="00D4559A">
            <w:pPr>
              <w:pStyle w:val="Tablewriting"/>
              <w:jc w:val="center"/>
            </w:pPr>
            <w:r w:rsidRPr="00481015">
              <w:t>1,090</w:t>
            </w:r>
          </w:p>
        </w:tc>
        <w:tc>
          <w:tcPr>
            <w:tcW w:w="829" w:type="dxa"/>
            <w:noWrap/>
            <w:vAlign w:val="center"/>
            <w:hideMark/>
          </w:tcPr>
          <w:p w:rsidR="00D4559A" w:rsidRPr="00481015" w:rsidRDefault="00D4559A" w:rsidP="00D4559A">
            <w:pPr>
              <w:pStyle w:val="Tablewriting"/>
              <w:jc w:val="center"/>
            </w:pPr>
            <w:r w:rsidRPr="00481015">
              <w:t>7,323</w:t>
            </w:r>
          </w:p>
        </w:tc>
        <w:tc>
          <w:tcPr>
            <w:tcW w:w="829" w:type="dxa"/>
            <w:noWrap/>
            <w:vAlign w:val="center"/>
            <w:hideMark/>
          </w:tcPr>
          <w:p w:rsidR="00D4559A" w:rsidRPr="00481015" w:rsidRDefault="00D4559A" w:rsidP="00D4559A">
            <w:pPr>
              <w:pStyle w:val="Tablewriting"/>
              <w:jc w:val="center"/>
            </w:pPr>
            <w:r w:rsidRPr="00481015">
              <w:t>2,915</w:t>
            </w:r>
          </w:p>
        </w:tc>
        <w:tc>
          <w:tcPr>
            <w:tcW w:w="830" w:type="dxa"/>
            <w:vAlign w:val="center"/>
          </w:tcPr>
          <w:p w:rsidR="00D4559A" w:rsidRPr="00481015" w:rsidRDefault="00D4559A" w:rsidP="00D4559A">
            <w:pPr>
              <w:pStyle w:val="Tablewriting"/>
              <w:jc w:val="center"/>
            </w:pPr>
            <w:r w:rsidRPr="00481015">
              <w:t>9</w:t>
            </w:r>
          </w:p>
        </w:tc>
        <w:tc>
          <w:tcPr>
            <w:tcW w:w="830" w:type="dxa"/>
            <w:noWrap/>
            <w:vAlign w:val="center"/>
            <w:hideMark/>
          </w:tcPr>
          <w:p w:rsidR="00D4559A" w:rsidRPr="00481015" w:rsidRDefault="00D4559A" w:rsidP="00D4559A">
            <w:pPr>
              <w:pStyle w:val="Tablewriting"/>
              <w:jc w:val="center"/>
            </w:pPr>
            <w:r w:rsidRPr="00481015">
              <w:t>36,739</w:t>
            </w:r>
          </w:p>
        </w:tc>
      </w:tr>
    </w:tbl>
    <w:p w:rsidR="00D4559A" w:rsidRDefault="00D4559A" w:rsidP="00D4559A">
      <w:pPr>
        <w:pStyle w:val="Notes"/>
      </w:pPr>
      <w:r w:rsidRPr="00D16E70">
        <w:t>Source: DHS Medicare Pharmacy Claim</w:t>
      </w:r>
      <w:r>
        <w:t>s database, accessed April 2015</w:t>
      </w:r>
    </w:p>
    <w:p w:rsidR="00D4559A" w:rsidRDefault="00D4559A" w:rsidP="00D4559A">
      <w:r>
        <w:lastRenderedPageBreak/>
        <w:t>As not every state has the same distribution of ages, and AMD becomes more prevalent with increasing age, the following table standardises the number of people treated by the size of the population aged over 65.</w:t>
      </w:r>
    </w:p>
    <w:p w:rsidR="00D4559A" w:rsidRDefault="00D4559A" w:rsidP="00D4559A">
      <w:pPr>
        <w:pStyle w:val="Tabletitle"/>
        <w:rPr>
          <w:highlight w:val="yellow"/>
        </w:rPr>
      </w:pPr>
      <w:r w:rsidRPr="00970B04">
        <w:t xml:space="preserve">Table </w:t>
      </w:r>
      <w:r>
        <w:t>1</w:t>
      </w:r>
      <w:r w:rsidR="004F27C3">
        <w:t>5</w:t>
      </w:r>
      <w:r w:rsidRPr="00970B04">
        <w:t xml:space="preserve">: </w:t>
      </w:r>
      <w:r>
        <w:t>Geographical state of patients receiving ranibizumab and aflibercept by year of treatment standardised by 100,000 population aged 65 or more of state</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ographical state of patients receiving ranibizumab and aflibercept by year of treatment standardised by 100,000 population aged 65 or more of state"/>
        <w:tblDescription w:val="Geographical state of patients receiving ranibizumab and aflibercept by year of treatment standardised by 100,000 population aged 65 or more of state"/>
      </w:tblPr>
      <w:tblGrid>
        <w:gridCol w:w="1009"/>
        <w:gridCol w:w="1010"/>
        <w:gridCol w:w="1010"/>
        <w:gridCol w:w="1009"/>
        <w:gridCol w:w="1010"/>
        <w:gridCol w:w="1010"/>
        <w:gridCol w:w="1009"/>
        <w:gridCol w:w="1010"/>
        <w:gridCol w:w="1010"/>
      </w:tblGrid>
      <w:tr w:rsidR="00D4559A" w:rsidRPr="0069151D" w:rsidTr="00E6440B">
        <w:trPr>
          <w:trHeight w:val="300"/>
          <w:tblHeader/>
        </w:trPr>
        <w:tc>
          <w:tcPr>
            <w:tcW w:w="1009"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Year</w:t>
            </w:r>
          </w:p>
        </w:tc>
        <w:tc>
          <w:tcPr>
            <w:tcW w:w="1010"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ACT</w:t>
            </w:r>
          </w:p>
        </w:tc>
        <w:tc>
          <w:tcPr>
            <w:tcW w:w="1010"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NSW</w:t>
            </w:r>
          </w:p>
        </w:tc>
        <w:tc>
          <w:tcPr>
            <w:tcW w:w="1009"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NT</w:t>
            </w:r>
          </w:p>
        </w:tc>
        <w:tc>
          <w:tcPr>
            <w:tcW w:w="1010"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QLD</w:t>
            </w:r>
          </w:p>
        </w:tc>
        <w:tc>
          <w:tcPr>
            <w:tcW w:w="1010"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SA</w:t>
            </w:r>
          </w:p>
        </w:tc>
        <w:tc>
          <w:tcPr>
            <w:tcW w:w="1009"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TAS</w:t>
            </w:r>
          </w:p>
        </w:tc>
        <w:tc>
          <w:tcPr>
            <w:tcW w:w="1010"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VIC</w:t>
            </w:r>
          </w:p>
        </w:tc>
        <w:tc>
          <w:tcPr>
            <w:tcW w:w="1010"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WA</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2007</w:t>
            </w:r>
          </w:p>
        </w:tc>
        <w:tc>
          <w:tcPr>
            <w:tcW w:w="1010" w:type="dxa"/>
            <w:shd w:val="clear" w:color="auto" w:fill="auto"/>
            <w:noWrap/>
            <w:vAlign w:val="center"/>
            <w:hideMark/>
          </w:tcPr>
          <w:p w:rsidR="00D4559A" w:rsidRPr="00E204CF" w:rsidRDefault="00D4559A" w:rsidP="00D4559A">
            <w:pPr>
              <w:pStyle w:val="Tablewriting"/>
              <w:jc w:val="center"/>
            </w:pPr>
            <w:r w:rsidRPr="00E204CF">
              <w:t>347</w:t>
            </w:r>
          </w:p>
        </w:tc>
        <w:tc>
          <w:tcPr>
            <w:tcW w:w="1010" w:type="dxa"/>
            <w:shd w:val="clear" w:color="auto" w:fill="auto"/>
            <w:noWrap/>
            <w:vAlign w:val="center"/>
            <w:hideMark/>
          </w:tcPr>
          <w:p w:rsidR="00D4559A" w:rsidRPr="00E204CF" w:rsidRDefault="00D4559A" w:rsidP="00D4559A">
            <w:pPr>
              <w:pStyle w:val="Tablewriting"/>
              <w:jc w:val="center"/>
            </w:pPr>
            <w:r w:rsidRPr="00E204CF">
              <w:t>278</w:t>
            </w:r>
          </w:p>
        </w:tc>
        <w:tc>
          <w:tcPr>
            <w:tcW w:w="1009" w:type="dxa"/>
            <w:shd w:val="clear" w:color="auto" w:fill="auto"/>
            <w:noWrap/>
            <w:vAlign w:val="center"/>
            <w:hideMark/>
          </w:tcPr>
          <w:p w:rsidR="00D4559A" w:rsidRPr="00E204CF" w:rsidRDefault="00D4559A" w:rsidP="00D4559A">
            <w:pPr>
              <w:pStyle w:val="Tablewriting"/>
              <w:jc w:val="center"/>
            </w:pPr>
          </w:p>
        </w:tc>
        <w:tc>
          <w:tcPr>
            <w:tcW w:w="1010" w:type="dxa"/>
            <w:shd w:val="clear" w:color="auto" w:fill="auto"/>
            <w:noWrap/>
            <w:vAlign w:val="center"/>
            <w:hideMark/>
          </w:tcPr>
          <w:p w:rsidR="00D4559A" w:rsidRPr="00E204CF" w:rsidRDefault="00D4559A" w:rsidP="00D4559A">
            <w:pPr>
              <w:pStyle w:val="Tablewriting"/>
              <w:jc w:val="center"/>
            </w:pPr>
            <w:r w:rsidRPr="00E204CF">
              <w:t>194</w:t>
            </w:r>
          </w:p>
        </w:tc>
        <w:tc>
          <w:tcPr>
            <w:tcW w:w="1010" w:type="dxa"/>
            <w:shd w:val="clear" w:color="auto" w:fill="auto"/>
            <w:noWrap/>
            <w:vAlign w:val="center"/>
            <w:hideMark/>
          </w:tcPr>
          <w:p w:rsidR="00D4559A" w:rsidRPr="00E204CF" w:rsidRDefault="00D4559A" w:rsidP="00D4559A">
            <w:pPr>
              <w:pStyle w:val="Tablewriting"/>
              <w:jc w:val="center"/>
            </w:pPr>
            <w:r w:rsidRPr="00E204CF">
              <w:t>156</w:t>
            </w:r>
          </w:p>
        </w:tc>
        <w:tc>
          <w:tcPr>
            <w:tcW w:w="1009" w:type="dxa"/>
            <w:shd w:val="clear" w:color="auto" w:fill="auto"/>
            <w:noWrap/>
            <w:vAlign w:val="center"/>
            <w:hideMark/>
          </w:tcPr>
          <w:p w:rsidR="00D4559A" w:rsidRPr="00E204CF" w:rsidRDefault="00D4559A" w:rsidP="00D4559A">
            <w:pPr>
              <w:pStyle w:val="Tablewriting"/>
              <w:jc w:val="center"/>
            </w:pPr>
            <w:r w:rsidRPr="00E204CF">
              <w:t>294</w:t>
            </w:r>
          </w:p>
        </w:tc>
        <w:tc>
          <w:tcPr>
            <w:tcW w:w="1010" w:type="dxa"/>
            <w:shd w:val="clear" w:color="auto" w:fill="auto"/>
            <w:noWrap/>
            <w:vAlign w:val="center"/>
            <w:hideMark/>
          </w:tcPr>
          <w:p w:rsidR="00D4559A" w:rsidRPr="00E204CF" w:rsidRDefault="00D4559A" w:rsidP="00D4559A">
            <w:pPr>
              <w:pStyle w:val="Tablewriting"/>
              <w:jc w:val="center"/>
            </w:pPr>
            <w:r w:rsidRPr="00E204CF">
              <w:t>191</w:t>
            </w:r>
          </w:p>
        </w:tc>
        <w:tc>
          <w:tcPr>
            <w:tcW w:w="1010" w:type="dxa"/>
            <w:shd w:val="clear" w:color="auto" w:fill="auto"/>
            <w:noWrap/>
            <w:vAlign w:val="center"/>
            <w:hideMark/>
          </w:tcPr>
          <w:p w:rsidR="00D4559A" w:rsidRPr="00E204CF" w:rsidRDefault="00D4559A" w:rsidP="00D4559A">
            <w:pPr>
              <w:pStyle w:val="Tablewriting"/>
              <w:jc w:val="center"/>
            </w:pPr>
            <w:r w:rsidRPr="00E204CF">
              <w:t>132</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2008</w:t>
            </w:r>
          </w:p>
        </w:tc>
        <w:tc>
          <w:tcPr>
            <w:tcW w:w="1010" w:type="dxa"/>
            <w:shd w:val="clear" w:color="auto" w:fill="auto"/>
            <w:noWrap/>
            <w:vAlign w:val="center"/>
            <w:hideMark/>
          </w:tcPr>
          <w:p w:rsidR="00D4559A" w:rsidRPr="00E204CF" w:rsidRDefault="00D4559A" w:rsidP="00D4559A">
            <w:pPr>
              <w:pStyle w:val="Tablewriting"/>
              <w:jc w:val="center"/>
            </w:pPr>
            <w:r w:rsidRPr="00E204CF">
              <w:t>601</w:t>
            </w:r>
          </w:p>
        </w:tc>
        <w:tc>
          <w:tcPr>
            <w:tcW w:w="1010" w:type="dxa"/>
            <w:shd w:val="clear" w:color="auto" w:fill="auto"/>
            <w:noWrap/>
            <w:vAlign w:val="center"/>
            <w:hideMark/>
          </w:tcPr>
          <w:p w:rsidR="00D4559A" w:rsidRPr="00E204CF" w:rsidRDefault="00D4559A" w:rsidP="00D4559A">
            <w:pPr>
              <w:pStyle w:val="Tablewriting"/>
              <w:jc w:val="center"/>
            </w:pPr>
            <w:r w:rsidRPr="00E204CF">
              <w:t>516</w:t>
            </w:r>
          </w:p>
        </w:tc>
        <w:tc>
          <w:tcPr>
            <w:tcW w:w="1009" w:type="dxa"/>
            <w:shd w:val="clear" w:color="auto" w:fill="auto"/>
            <w:noWrap/>
            <w:vAlign w:val="center"/>
            <w:hideMark/>
          </w:tcPr>
          <w:p w:rsidR="00D4559A" w:rsidRPr="00E204CF" w:rsidRDefault="00D4559A" w:rsidP="00D4559A">
            <w:pPr>
              <w:pStyle w:val="Tablewriting"/>
              <w:jc w:val="center"/>
            </w:pPr>
            <w:r w:rsidRPr="00E204CF">
              <w:t>62</w:t>
            </w:r>
          </w:p>
        </w:tc>
        <w:tc>
          <w:tcPr>
            <w:tcW w:w="1010" w:type="dxa"/>
            <w:shd w:val="clear" w:color="auto" w:fill="auto"/>
            <w:noWrap/>
            <w:vAlign w:val="center"/>
            <w:hideMark/>
          </w:tcPr>
          <w:p w:rsidR="00D4559A" w:rsidRPr="00E204CF" w:rsidRDefault="00D4559A" w:rsidP="00D4559A">
            <w:pPr>
              <w:pStyle w:val="Tablewriting"/>
              <w:jc w:val="center"/>
            </w:pPr>
            <w:r w:rsidRPr="00E204CF">
              <w:t>410</w:t>
            </w:r>
          </w:p>
        </w:tc>
        <w:tc>
          <w:tcPr>
            <w:tcW w:w="1010" w:type="dxa"/>
            <w:shd w:val="clear" w:color="auto" w:fill="auto"/>
            <w:noWrap/>
            <w:vAlign w:val="center"/>
            <w:hideMark/>
          </w:tcPr>
          <w:p w:rsidR="00D4559A" w:rsidRPr="00E204CF" w:rsidRDefault="00D4559A" w:rsidP="00D4559A">
            <w:pPr>
              <w:pStyle w:val="Tablewriting"/>
              <w:jc w:val="center"/>
            </w:pPr>
            <w:r w:rsidRPr="00E204CF">
              <w:t>317</w:t>
            </w:r>
          </w:p>
        </w:tc>
        <w:tc>
          <w:tcPr>
            <w:tcW w:w="1009" w:type="dxa"/>
            <w:shd w:val="clear" w:color="auto" w:fill="auto"/>
            <w:noWrap/>
            <w:vAlign w:val="center"/>
            <w:hideMark/>
          </w:tcPr>
          <w:p w:rsidR="00D4559A" w:rsidRPr="00E204CF" w:rsidRDefault="00D4559A" w:rsidP="00D4559A">
            <w:pPr>
              <w:pStyle w:val="Tablewriting"/>
              <w:jc w:val="center"/>
            </w:pPr>
            <w:r w:rsidRPr="00E204CF">
              <w:t>516</w:t>
            </w:r>
          </w:p>
        </w:tc>
        <w:tc>
          <w:tcPr>
            <w:tcW w:w="1010" w:type="dxa"/>
            <w:shd w:val="clear" w:color="auto" w:fill="auto"/>
            <w:noWrap/>
            <w:vAlign w:val="center"/>
            <w:hideMark/>
          </w:tcPr>
          <w:p w:rsidR="00D4559A" w:rsidRPr="00E204CF" w:rsidRDefault="00D4559A" w:rsidP="00D4559A">
            <w:pPr>
              <w:pStyle w:val="Tablewriting"/>
              <w:jc w:val="center"/>
            </w:pPr>
            <w:r w:rsidRPr="00E204CF">
              <w:t>345</w:t>
            </w:r>
          </w:p>
        </w:tc>
        <w:tc>
          <w:tcPr>
            <w:tcW w:w="1010" w:type="dxa"/>
            <w:shd w:val="clear" w:color="auto" w:fill="auto"/>
            <w:noWrap/>
            <w:vAlign w:val="center"/>
            <w:hideMark/>
          </w:tcPr>
          <w:p w:rsidR="00D4559A" w:rsidRPr="00E204CF" w:rsidRDefault="00D4559A" w:rsidP="00D4559A">
            <w:pPr>
              <w:pStyle w:val="Tablewriting"/>
              <w:jc w:val="center"/>
            </w:pPr>
            <w:r w:rsidRPr="00E204CF">
              <w:t>291</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2009</w:t>
            </w:r>
          </w:p>
        </w:tc>
        <w:tc>
          <w:tcPr>
            <w:tcW w:w="1010" w:type="dxa"/>
            <w:shd w:val="clear" w:color="auto" w:fill="auto"/>
            <w:noWrap/>
            <w:vAlign w:val="center"/>
            <w:hideMark/>
          </w:tcPr>
          <w:p w:rsidR="00D4559A" w:rsidRPr="00E204CF" w:rsidRDefault="00D4559A" w:rsidP="00D4559A">
            <w:pPr>
              <w:pStyle w:val="Tablewriting"/>
              <w:jc w:val="center"/>
            </w:pPr>
            <w:r w:rsidRPr="00E204CF">
              <w:t>781</w:t>
            </w:r>
          </w:p>
        </w:tc>
        <w:tc>
          <w:tcPr>
            <w:tcW w:w="1010" w:type="dxa"/>
            <w:shd w:val="clear" w:color="auto" w:fill="auto"/>
            <w:noWrap/>
            <w:vAlign w:val="center"/>
            <w:hideMark/>
          </w:tcPr>
          <w:p w:rsidR="00D4559A" w:rsidRPr="00E204CF" w:rsidRDefault="00D4559A" w:rsidP="00D4559A">
            <w:pPr>
              <w:pStyle w:val="Tablewriting"/>
              <w:jc w:val="center"/>
            </w:pPr>
            <w:r w:rsidRPr="00E204CF">
              <w:t>667</w:t>
            </w:r>
          </w:p>
        </w:tc>
        <w:tc>
          <w:tcPr>
            <w:tcW w:w="1009" w:type="dxa"/>
            <w:shd w:val="clear" w:color="auto" w:fill="auto"/>
            <w:noWrap/>
            <w:vAlign w:val="center"/>
            <w:hideMark/>
          </w:tcPr>
          <w:p w:rsidR="00D4559A" w:rsidRPr="00E204CF" w:rsidRDefault="00D4559A" w:rsidP="00D4559A">
            <w:pPr>
              <w:pStyle w:val="Tablewriting"/>
              <w:jc w:val="center"/>
            </w:pPr>
            <w:r w:rsidRPr="00E204CF">
              <w:t>119</w:t>
            </w:r>
          </w:p>
        </w:tc>
        <w:tc>
          <w:tcPr>
            <w:tcW w:w="1010" w:type="dxa"/>
            <w:shd w:val="clear" w:color="auto" w:fill="auto"/>
            <w:noWrap/>
            <w:vAlign w:val="center"/>
            <w:hideMark/>
          </w:tcPr>
          <w:p w:rsidR="00D4559A" w:rsidRPr="00E204CF" w:rsidRDefault="00D4559A" w:rsidP="00D4559A">
            <w:pPr>
              <w:pStyle w:val="Tablewriting"/>
              <w:jc w:val="center"/>
            </w:pPr>
            <w:r w:rsidRPr="00E204CF">
              <w:t>539</w:t>
            </w:r>
          </w:p>
        </w:tc>
        <w:tc>
          <w:tcPr>
            <w:tcW w:w="1010" w:type="dxa"/>
            <w:shd w:val="clear" w:color="auto" w:fill="auto"/>
            <w:noWrap/>
            <w:vAlign w:val="center"/>
            <w:hideMark/>
          </w:tcPr>
          <w:p w:rsidR="00D4559A" w:rsidRPr="00E204CF" w:rsidRDefault="00D4559A" w:rsidP="00D4559A">
            <w:pPr>
              <w:pStyle w:val="Tablewriting"/>
              <w:jc w:val="center"/>
            </w:pPr>
            <w:r w:rsidRPr="00E204CF">
              <w:t>478</w:t>
            </w:r>
          </w:p>
        </w:tc>
        <w:tc>
          <w:tcPr>
            <w:tcW w:w="1009" w:type="dxa"/>
            <w:shd w:val="clear" w:color="auto" w:fill="auto"/>
            <w:noWrap/>
            <w:vAlign w:val="center"/>
            <w:hideMark/>
          </w:tcPr>
          <w:p w:rsidR="00D4559A" w:rsidRPr="00E204CF" w:rsidRDefault="00D4559A" w:rsidP="00D4559A">
            <w:pPr>
              <w:pStyle w:val="Tablewriting"/>
              <w:jc w:val="center"/>
            </w:pPr>
            <w:r w:rsidRPr="00E204CF">
              <w:t>646</w:t>
            </w:r>
          </w:p>
        </w:tc>
        <w:tc>
          <w:tcPr>
            <w:tcW w:w="1010" w:type="dxa"/>
            <w:shd w:val="clear" w:color="auto" w:fill="auto"/>
            <w:noWrap/>
            <w:vAlign w:val="center"/>
            <w:hideMark/>
          </w:tcPr>
          <w:p w:rsidR="00D4559A" w:rsidRPr="00E204CF" w:rsidRDefault="00D4559A" w:rsidP="00D4559A">
            <w:pPr>
              <w:pStyle w:val="Tablewriting"/>
              <w:jc w:val="center"/>
            </w:pPr>
            <w:r w:rsidRPr="00E204CF">
              <w:t>445</w:t>
            </w:r>
          </w:p>
        </w:tc>
        <w:tc>
          <w:tcPr>
            <w:tcW w:w="1010" w:type="dxa"/>
            <w:shd w:val="clear" w:color="auto" w:fill="auto"/>
            <w:noWrap/>
            <w:vAlign w:val="center"/>
            <w:hideMark/>
          </w:tcPr>
          <w:p w:rsidR="00D4559A" w:rsidRPr="00E204CF" w:rsidRDefault="00D4559A" w:rsidP="00D4559A">
            <w:pPr>
              <w:pStyle w:val="Tablewriting"/>
              <w:jc w:val="center"/>
            </w:pPr>
            <w:r w:rsidRPr="00E204CF">
              <w:t>420</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2010</w:t>
            </w:r>
          </w:p>
        </w:tc>
        <w:tc>
          <w:tcPr>
            <w:tcW w:w="1010" w:type="dxa"/>
            <w:shd w:val="clear" w:color="auto" w:fill="auto"/>
            <w:noWrap/>
            <w:vAlign w:val="center"/>
            <w:hideMark/>
          </w:tcPr>
          <w:p w:rsidR="00D4559A" w:rsidRPr="00E204CF" w:rsidRDefault="00D4559A" w:rsidP="00D4559A">
            <w:pPr>
              <w:pStyle w:val="Tablewriting"/>
              <w:jc w:val="center"/>
            </w:pPr>
            <w:r w:rsidRPr="00E204CF">
              <w:t>921</w:t>
            </w:r>
          </w:p>
        </w:tc>
        <w:tc>
          <w:tcPr>
            <w:tcW w:w="1010" w:type="dxa"/>
            <w:shd w:val="clear" w:color="auto" w:fill="auto"/>
            <w:noWrap/>
            <w:vAlign w:val="center"/>
            <w:hideMark/>
          </w:tcPr>
          <w:p w:rsidR="00D4559A" w:rsidRPr="00E204CF" w:rsidRDefault="00D4559A" w:rsidP="00D4559A">
            <w:pPr>
              <w:pStyle w:val="Tablewriting"/>
              <w:jc w:val="center"/>
            </w:pPr>
            <w:r w:rsidRPr="00E204CF">
              <w:t>819</w:t>
            </w:r>
          </w:p>
        </w:tc>
        <w:tc>
          <w:tcPr>
            <w:tcW w:w="1009" w:type="dxa"/>
            <w:shd w:val="clear" w:color="auto" w:fill="auto"/>
            <w:noWrap/>
            <w:vAlign w:val="center"/>
            <w:hideMark/>
          </w:tcPr>
          <w:p w:rsidR="00D4559A" w:rsidRPr="00E204CF" w:rsidRDefault="00D4559A" w:rsidP="00D4559A">
            <w:pPr>
              <w:pStyle w:val="Tablewriting"/>
              <w:jc w:val="center"/>
            </w:pPr>
            <w:r w:rsidRPr="00E204CF">
              <w:t>169</w:t>
            </w:r>
          </w:p>
        </w:tc>
        <w:tc>
          <w:tcPr>
            <w:tcW w:w="1010" w:type="dxa"/>
            <w:shd w:val="clear" w:color="auto" w:fill="auto"/>
            <w:noWrap/>
            <w:vAlign w:val="center"/>
            <w:hideMark/>
          </w:tcPr>
          <w:p w:rsidR="00D4559A" w:rsidRPr="00E204CF" w:rsidRDefault="00D4559A" w:rsidP="00D4559A">
            <w:pPr>
              <w:pStyle w:val="Tablewriting"/>
              <w:jc w:val="center"/>
            </w:pPr>
            <w:r w:rsidRPr="00E204CF">
              <w:t>635</w:t>
            </w:r>
          </w:p>
        </w:tc>
        <w:tc>
          <w:tcPr>
            <w:tcW w:w="1010" w:type="dxa"/>
            <w:shd w:val="clear" w:color="auto" w:fill="auto"/>
            <w:noWrap/>
            <w:vAlign w:val="center"/>
            <w:hideMark/>
          </w:tcPr>
          <w:p w:rsidR="00D4559A" w:rsidRPr="00E204CF" w:rsidRDefault="00D4559A" w:rsidP="00D4559A">
            <w:pPr>
              <w:pStyle w:val="Tablewriting"/>
              <w:jc w:val="center"/>
            </w:pPr>
            <w:r w:rsidRPr="00E204CF">
              <w:t>581</w:t>
            </w:r>
          </w:p>
        </w:tc>
        <w:tc>
          <w:tcPr>
            <w:tcW w:w="1009" w:type="dxa"/>
            <w:shd w:val="clear" w:color="auto" w:fill="auto"/>
            <w:noWrap/>
            <w:vAlign w:val="center"/>
            <w:hideMark/>
          </w:tcPr>
          <w:p w:rsidR="00D4559A" w:rsidRPr="00E204CF" w:rsidRDefault="00D4559A" w:rsidP="00D4559A">
            <w:pPr>
              <w:pStyle w:val="Tablewriting"/>
              <w:jc w:val="center"/>
            </w:pPr>
            <w:r w:rsidRPr="00E204CF">
              <w:t>718</w:t>
            </w:r>
          </w:p>
        </w:tc>
        <w:tc>
          <w:tcPr>
            <w:tcW w:w="1010" w:type="dxa"/>
            <w:shd w:val="clear" w:color="auto" w:fill="auto"/>
            <w:noWrap/>
            <w:vAlign w:val="center"/>
            <w:hideMark/>
          </w:tcPr>
          <w:p w:rsidR="00D4559A" w:rsidRPr="00E204CF" w:rsidRDefault="00D4559A" w:rsidP="00D4559A">
            <w:pPr>
              <w:pStyle w:val="Tablewriting"/>
              <w:jc w:val="center"/>
            </w:pPr>
            <w:r w:rsidRPr="00E204CF">
              <w:t>538</w:t>
            </w:r>
          </w:p>
        </w:tc>
        <w:tc>
          <w:tcPr>
            <w:tcW w:w="1010" w:type="dxa"/>
            <w:shd w:val="clear" w:color="auto" w:fill="auto"/>
            <w:noWrap/>
            <w:vAlign w:val="center"/>
            <w:hideMark/>
          </w:tcPr>
          <w:p w:rsidR="00D4559A" w:rsidRPr="00E204CF" w:rsidRDefault="00D4559A" w:rsidP="00D4559A">
            <w:pPr>
              <w:pStyle w:val="Tablewriting"/>
              <w:jc w:val="center"/>
            </w:pPr>
            <w:r w:rsidRPr="00E204CF">
              <w:t>518</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2011</w:t>
            </w:r>
          </w:p>
        </w:tc>
        <w:tc>
          <w:tcPr>
            <w:tcW w:w="1010" w:type="dxa"/>
            <w:shd w:val="clear" w:color="auto" w:fill="auto"/>
            <w:noWrap/>
            <w:vAlign w:val="center"/>
            <w:hideMark/>
          </w:tcPr>
          <w:p w:rsidR="00D4559A" w:rsidRPr="00E204CF" w:rsidRDefault="00D4559A" w:rsidP="00D4559A">
            <w:pPr>
              <w:pStyle w:val="Tablewriting"/>
              <w:jc w:val="center"/>
            </w:pPr>
            <w:r w:rsidRPr="00E204CF">
              <w:t>1,105</w:t>
            </w:r>
          </w:p>
        </w:tc>
        <w:tc>
          <w:tcPr>
            <w:tcW w:w="1010" w:type="dxa"/>
            <w:shd w:val="clear" w:color="auto" w:fill="auto"/>
            <w:noWrap/>
            <w:vAlign w:val="center"/>
            <w:hideMark/>
          </w:tcPr>
          <w:p w:rsidR="00D4559A" w:rsidRPr="00E204CF" w:rsidRDefault="00D4559A" w:rsidP="00D4559A">
            <w:pPr>
              <w:pStyle w:val="Tablewriting"/>
              <w:jc w:val="center"/>
            </w:pPr>
            <w:r w:rsidRPr="00E204CF">
              <w:t>938</w:t>
            </w:r>
          </w:p>
        </w:tc>
        <w:tc>
          <w:tcPr>
            <w:tcW w:w="1009" w:type="dxa"/>
            <w:shd w:val="clear" w:color="auto" w:fill="auto"/>
            <w:noWrap/>
            <w:vAlign w:val="center"/>
            <w:hideMark/>
          </w:tcPr>
          <w:p w:rsidR="00D4559A" w:rsidRPr="00E204CF" w:rsidRDefault="00D4559A" w:rsidP="00D4559A">
            <w:pPr>
              <w:pStyle w:val="Tablewriting"/>
              <w:jc w:val="center"/>
            </w:pPr>
            <w:r w:rsidRPr="00E204CF">
              <w:t>225</w:t>
            </w:r>
          </w:p>
        </w:tc>
        <w:tc>
          <w:tcPr>
            <w:tcW w:w="1010" w:type="dxa"/>
            <w:shd w:val="clear" w:color="auto" w:fill="auto"/>
            <w:noWrap/>
            <w:vAlign w:val="center"/>
            <w:hideMark/>
          </w:tcPr>
          <w:p w:rsidR="00D4559A" w:rsidRPr="00E204CF" w:rsidRDefault="00D4559A" w:rsidP="00D4559A">
            <w:pPr>
              <w:pStyle w:val="Tablewriting"/>
              <w:jc w:val="center"/>
            </w:pPr>
            <w:r w:rsidRPr="00E204CF">
              <w:t>733</w:t>
            </w:r>
          </w:p>
        </w:tc>
        <w:tc>
          <w:tcPr>
            <w:tcW w:w="1010" w:type="dxa"/>
            <w:shd w:val="clear" w:color="auto" w:fill="auto"/>
            <w:noWrap/>
            <w:vAlign w:val="center"/>
            <w:hideMark/>
          </w:tcPr>
          <w:p w:rsidR="00D4559A" w:rsidRPr="00E204CF" w:rsidRDefault="00D4559A" w:rsidP="00D4559A">
            <w:pPr>
              <w:pStyle w:val="Tablewriting"/>
              <w:jc w:val="center"/>
            </w:pPr>
            <w:r w:rsidRPr="00E204CF">
              <w:t>656</w:t>
            </w:r>
          </w:p>
        </w:tc>
        <w:tc>
          <w:tcPr>
            <w:tcW w:w="1009" w:type="dxa"/>
            <w:shd w:val="clear" w:color="auto" w:fill="auto"/>
            <w:noWrap/>
            <w:vAlign w:val="center"/>
            <w:hideMark/>
          </w:tcPr>
          <w:p w:rsidR="00D4559A" w:rsidRPr="00E204CF" w:rsidRDefault="00D4559A" w:rsidP="00D4559A">
            <w:pPr>
              <w:pStyle w:val="Tablewriting"/>
              <w:jc w:val="center"/>
            </w:pPr>
            <w:r w:rsidRPr="00E204CF">
              <w:t>866</w:t>
            </w:r>
          </w:p>
        </w:tc>
        <w:tc>
          <w:tcPr>
            <w:tcW w:w="1010" w:type="dxa"/>
            <w:shd w:val="clear" w:color="auto" w:fill="auto"/>
            <w:noWrap/>
            <w:vAlign w:val="center"/>
            <w:hideMark/>
          </w:tcPr>
          <w:p w:rsidR="00D4559A" w:rsidRPr="00E204CF" w:rsidRDefault="00D4559A" w:rsidP="00D4559A">
            <w:pPr>
              <w:pStyle w:val="Tablewriting"/>
              <w:jc w:val="center"/>
            </w:pPr>
            <w:r w:rsidRPr="00E204CF">
              <w:t>589</w:t>
            </w:r>
          </w:p>
        </w:tc>
        <w:tc>
          <w:tcPr>
            <w:tcW w:w="1010" w:type="dxa"/>
            <w:shd w:val="clear" w:color="auto" w:fill="auto"/>
            <w:noWrap/>
            <w:vAlign w:val="center"/>
            <w:hideMark/>
          </w:tcPr>
          <w:p w:rsidR="00D4559A" w:rsidRPr="00E204CF" w:rsidRDefault="00D4559A" w:rsidP="00D4559A">
            <w:pPr>
              <w:pStyle w:val="Tablewriting"/>
              <w:jc w:val="center"/>
            </w:pPr>
            <w:r w:rsidRPr="00E204CF">
              <w:t>631</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2012</w:t>
            </w:r>
          </w:p>
        </w:tc>
        <w:tc>
          <w:tcPr>
            <w:tcW w:w="1010" w:type="dxa"/>
            <w:shd w:val="clear" w:color="auto" w:fill="auto"/>
            <w:noWrap/>
            <w:vAlign w:val="center"/>
            <w:hideMark/>
          </w:tcPr>
          <w:p w:rsidR="00D4559A" w:rsidRPr="00E204CF" w:rsidRDefault="00D4559A" w:rsidP="00D4559A">
            <w:pPr>
              <w:pStyle w:val="Tablewriting"/>
              <w:jc w:val="center"/>
            </w:pPr>
            <w:r w:rsidRPr="00E204CF">
              <w:t>1,332</w:t>
            </w:r>
          </w:p>
        </w:tc>
        <w:tc>
          <w:tcPr>
            <w:tcW w:w="1010" w:type="dxa"/>
            <w:shd w:val="clear" w:color="auto" w:fill="auto"/>
            <w:noWrap/>
            <w:vAlign w:val="center"/>
            <w:hideMark/>
          </w:tcPr>
          <w:p w:rsidR="00D4559A" w:rsidRPr="00E204CF" w:rsidRDefault="00D4559A" w:rsidP="00D4559A">
            <w:pPr>
              <w:pStyle w:val="Tablewriting"/>
              <w:jc w:val="center"/>
            </w:pPr>
            <w:r w:rsidRPr="00E204CF">
              <w:t>1,046</w:t>
            </w:r>
          </w:p>
        </w:tc>
        <w:tc>
          <w:tcPr>
            <w:tcW w:w="1009" w:type="dxa"/>
            <w:shd w:val="clear" w:color="auto" w:fill="auto"/>
            <w:noWrap/>
            <w:vAlign w:val="center"/>
            <w:hideMark/>
          </w:tcPr>
          <w:p w:rsidR="00D4559A" w:rsidRPr="00E204CF" w:rsidRDefault="00D4559A" w:rsidP="00D4559A">
            <w:pPr>
              <w:pStyle w:val="Tablewriting"/>
              <w:jc w:val="center"/>
            </w:pPr>
            <w:r w:rsidRPr="00E204CF">
              <w:t>269</w:t>
            </w:r>
          </w:p>
        </w:tc>
        <w:tc>
          <w:tcPr>
            <w:tcW w:w="1010" w:type="dxa"/>
            <w:shd w:val="clear" w:color="auto" w:fill="auto"/>
            <w:noWrap/>
            <w:vAlign w:val="center"/>
            <w:hideMark/>
          </w:tcPr>
          <w:p w:rsidR="00D4559A" w:rsidRPr="00E204CF" w:rsidRDefault="00D4559A" w:rsidP="00D4559A">
            <w:pPr>
              <w:pStyle w:val="Tablewriting"/>
              <w:jc w:val="center"/>
            </w:pPr>
            <w:r w:rsidRPr="00E204CF">
              <w:t>831</w:t>
            </w:r>
          </w:p>
        </w:tc>
        <w:tc>
          <w:tcPr>
            <w:tcW w:w="1010" w:type="dxa"/>
            <w:shd w:val="clear" w:color="auto" w:fill="auto"/>
            <w:noWrap/>
            <w:vAlign w:val="center"/>
            <w:hideMark/>
          </w:tcPr>
          <w:p w:rsidR="00D4559A" w:rsidRPr="00E204CF" w:rsidRDefault="00D4559A" w:rsidP="00D4559A">
            <w:pPr>
              <w:pStyle w:val="Tablewriting"/>
              <w:jc w:val="center"/>
            </w:pPr>
            <w:r w:rsidRPr="00E204CF">
              <w:t>696</w:t>
            </w:r>
          </w:p>
        </w:tc>
        <w:tc>
          <w:tcPr>
            <w:tcW w:w="1009" w:type="dxa"/>
            <w:shd w:val="clear" w:color="auto" w:fill="auto"/>
            <w:noWrap/>
            <w:vAlign w:val="center"/>
            <w:hideMark/>
          </w:tcPr>
          <w:p w:rsidR="00D4559A" w:rsidRPr="00E204CF" w:rsidRDefault="00D4559A" w:rsidP="00D4559A">
            <w:pPr>
              <w:pStyle w:val="Tablewriting"/>
              <w:jc w:val="center"/>
            </w:pPr>
            <w:r w:rsidRPr="00E204CF">
              <w:t>996</w:t>
            </w:r>
          </w:p>
        </w:tc>
        <w:tc>
          <w:tcPr>
            <w:tcW w:w="1010" w:type="dxa"/>
            <w:shd w:val="clear" w:color="auto" w:fill="auto"/>
            <w:noWrap/>
            <w:vAlign w:val="center"/>
            <w:hideMark/>
          </w:tcPr>
          <w:p w:rsidR="00D4559A" w:rsidRPr="00E204CF" w:rsidRDefault="00D4559A" w:rsidP="00D4559A">
            <w:pPr>
              <w:pStyle w:val="Tablewriting"/>
              <w:jc w:val="center"/>
            </w:pPr>
            <w:r w:rsidRPr="00E204CF">
              <w:t>658</w:t>
            </w:r>
          </w:p>
        </w:tc>
        <w:tc>
          <w:tcPr>
            <w:tcW w:w="1010" w:type="dxa"/>
            <w:shd w:val="clear" w:color="auto" w:fill="auto"/>
            <w:noWrap/>
            <w:vAlign w:val="center"/>
            <w:hideMark/>
          </w:tcPr>
          <w:p w:rsidR="00D4559A" w:rsidRPr="00E204CF" w:rsidRDefault="00D4559A" w:rsidP="00D4559A">
            <w:pPr>
              <w:pStyle w:val="Tablewriting"/>
              <w:jc w:val="center"/>
            </w:pPr>
            <w:r w:rsidRPr="00E204CF">
              <w:t>723</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2013</w:t>
            </w:r>
          </w:p>
        </w:tc>
        <w:tc>
          <w:tcPr>
            <w:tcW w:w="1010" w:type="dxa"/>
            <w:shd w:val="clear" w:color="auto" w:fill="auto"/>
            <w:noWrap/>
            <w:vAlign w:val="center"/>
            <w:hideMark/>
          </w:tcPr>
          <w:p w:rsidR="00D4559A" w:rsidRPr="00E204CF" w:rsidRDefault="00D4559A" w:rsidP="00D4559A">
            <w:pPr>
              <w:pStyle w:val="Tablewriting"/>
              <w:jc w:val="center"/>
            </w:pPr>
            <w:r w:rsidRPr="00E204CF">
              <w:t>1,541</w:t>
            </w:r>
          </w:p>
        </w:tc>
        <w:tc>
          <w:tcPr>
            <w:tcW w:w="1010" w:type="dxa"/>
            <w:shd w:val="clear" w:color="auto" w:fill="auto"/>
            <w:noWrap/>
            <w:vAlign w:val="center"/>
            <w:hideMark/>
          </w:tcPr>
          <w:p w:rsidR="00D4559A" w:rsidRPr="00E204CF" w:rsidRDefault="00D4559A" w:rsidP="00D4559A">
            <w:pPr>
              <w:pStyle w:val="Tablewriting"/>
              <w:jc w:val="center"/>
            </w:pPr>
            <w:r w:rsidRPr="00E204CF">
              <w:t>1,184</w:t>
            </w:r>
          </w:p>
        </w:tc>
        <w:tc>
          <w:tcPr>
            <w:tcW w:w="1009" w:type="dxa"/>
            <w:shd w:val="clear" w:color="auto" w:fill="auto"/>
            <w:noWrap/>
            <w:vAlign w:val="center"/>
            <w:hideMark/>
          </w:tcPr>
          <w:p w:rsidR="00D4559A" w:rsidRPr="00E204CF" w:rsidRDefault="00D4559A" w:rsidP="00D4559A">
            <w:pPr>
              <w:pStyle w:val="Tablewriting"/>
              <w:jc w:val="center"/>
            </w:pPr>
            <w:r w:rsidRPr="00E204CF">
              <w:t>281</w:t>
            </w:r>
          </w:p>
        </w:tc>
        <w:tc>
          <w:tcPr>
            <w:tcW w:w="1010" w:type="dxa"/>
            <w:shd w:val="clear" w:color="auto" w:fill="auto"/>
            <w:noWrap/>
            <w:vAlign w:val="center"/>
            <w:hideMark/>
          </w:tcPr>
          <w:p w:rsidR="00D4559A" w:rsidRPr="00E204CF" w:rsidRDefault="00D4559A" w:rsidP="00D4559A">
            <w:pPr>
              <w:pStyle w:val="Tablewriting"/>
              <w:jc w:val="center"/>
            </w:pPr>
            <w:r w:rsidRPr="00E204CF">
              <w:t>945</w:t>
            </w:r>
          </w:p>
        </w:tc>
        <w:tc>
          <w:tcPr>
            <w:tcW w:w="1010" w:type="dxa"/>
            <w:shd w:val="clear" w:color="auto" w:fill="auto"/>
            <w:noWrap/>
            <w:vAlign w:val="center"/>
            <w:hideMark/>
          </w:tcPr>
          <w:p w:rsidR="00D4559A" w:rsidRPr="00E204CF" w:rsidRDefault="00D4559A" w:rsidP="00D4559A">
            <w:pPr>
              <w:pStyle w:val="Tablewriting"/>
              <w:jc w:val="center"/>
            </w:pPr>
            <w:r w:rsidRPr="00E204CF">
              <w:t>821</w:t>
            </w:r>
          </w:p>
        </w:tc>
        <w:tc>
          <w:tcPr>
            <w:tcW w:w="1009" w:type="dxa"/>
            <w:shd w:val="clear" w:color="auto" w:fill="auto"/>
            <w:noWrap/>
            <w:vAlign w:val="center"/>
            <w:hideMark/>
          </w:tcPr>
          <w:p w:rsidR="00D4559A" w:rsidRPr="00E204CF" w:rsidRDefault="00D4559A" w:rsidP="00D4559A">
            <w:pPr>
              <w:pStyle w:val="Tablewriting"/>
              <w:jc w:val="center"/>
            </w:pPr>
            <w:r w:rsidRPr="00E204CF">
              <w:t>1,102</w:t>
            </w:r>
          </w:p>
        </w:tc>
        <w:tc>
          <w:tcPr>
            <w:tcW w:w="1010" w:type="dxa"/>
            <w:shd w:val="clear" w:color="auto" w:fill="auto"/>
            <w:noWrap/>
            <w:vAlign w:val="center"/>
            <w:hideMark/>
          </w:tcPr>
          <w:p w:rsidR="00D4559A" w:rsidRPr="00E204CF" w:rsidRDefault="00D4559A" w:rsidP="00D4559A">
            <w:pPr>
              <w:pStyle w:val="Tablewriting"/>
              <w:jc w:val="center"/>
            </w:pPr>
            <w:r w:rsidRPr="00E204CF">
              <w:t>759</w:t>
            </w:r>
          </w:p>
        </w:tc>
        <w:tc>
          <w:tcPr>
            <w:tcW w:w="1010" w:type="dxa"/>
            <w:shd w:val="clear" w:color="auto" w:fill="auto"/>
            <w:noWrap/>
            <w:vAlign w:val="center"/>
            <w:hideMark/>
          </w:tcPr>
          <w:p w:rsidR="00D4559A" w:rsidRPr="00E204CF" w:rsidRDefault="00D4559A" w:rsidP="00D4559A">
            <w:pPr>
              <w:pStyle w:val="Tablewriting"/>
              <w:jc w:val="center"/>
            </w:pPr>
            <w:r w:rsidRPr="00E204CF">
              <w:t>811</w:t>
            </w:r>
          </w:p>
        </w:tc>
      </w:tr>
      <w:tr w:rsidR="00D4559A" w:rsidRPr="008808C7" w:rsidTr="00D4559A">
        <w:trPr>
          <w:trHeight w:val="300"/>
        </w:trPr>
        <w:tc>
          <w:tcPr>
            <w:tcW w:w="1009" w:type="dxa"/>
            <w:shd w:val="clear" w:color="auto" w:fill="auto"/>
            <w:noWrap/>
            <w:vAlign w:val="center"/>
            <w:hideMark/>
          </w:tcPr>
          <w:p w:rsidR="00D4559A" w:rsidRPr="00E204CF" w:rsidRDefault="00D4559A" w:rsidP="00D4559A">
            <w:pPr>
              <w:pStyle w:val="Tablewriting"/>
            </w:pPr>
            <w:r w:rsidRPr="00E204CF">
              <w:t>2014</w:t>
            </w:r>
          </w:p>
        </w:tc>
        <w:tc>
          <w:tcPr>
            <w:tcW w:w="1010" w:type="dxa"/>
            <w:shd w:val="clear" w:color="auto" w:fill="auto"/>
            <w:noWrap/>
            <w:vAlign w:val="center"/>
            <w:hideMark/>
          </w:tcPr>
          <w:p w:rsidR="00D4559A" w:rsidRPr="00E204CF" w:rsidRDefault="00D4559A" w:rsidP="00D4559A">
            <w:pPr>
              <w:pStyle w:val="Tablewriting"/>
              <w:jc w:val="center"/>
            </w:pPr>
            <w:r w:rsidRPr="00E204CF">
              <w:t>1,795</w:t>
            </w:r>
          </w:p>
        </w:tc>
        <w:tc>
          <w:tcPr>
            <w:tcW w:w="1010" w:type="dxa"/>
            <w:shd w:val="clear" w:color="auto" w:fill="auto"/>
            <w:noWrap/>
            <w:vAlign w:val="center"/>
            <w:hideMark/>
          </w:tcPr>
          <w:p w:rsidR="00D4559A" w:rsidRPr="00E204CF" w:rsidRDefault="00D4559A" w:rsidP="00D4559A">
            <w:pPr>
              <w:pStyle w:val="Tablewriting"/>
              <w:jc w:val="center"/>
            </w:pPr>
            <w:r w:rsidRPr="00E204CF">
              <w:t>1,302</w:t>
            </w:r>
          </w:p>
        </w:tc>
        <w:tc>
          <w:tcPr>
            <w:tcW w:w="1009" w:type="dxa"/>
            <w:shd w:val="clear" w:color="auto" w:fill="auto"/>
            <w:noWrap/>
            <w:vAlign w:val="center"/>
            <w:hideMark/>
          </w:tcPr>
          <w:p w:rsidR="00D4559A" w:rsidRPr="00E204CF" w:rsidRDefault="00D4559A" w:rsidP="00D4559A">
            <w:pPr>
              <w:pStyle w:val="Tablewriting"/>
              <w:jc w:val="center"/>
            </w:pPr>
            <w:r w:rsidRPr="00E204CF">
              <w:t>294</w:t>
            </w:r>
          </w:p>
        </w:tc>
        <w:tc>
          <w:tcPr>
            <w:tcW w:w="1010" w:type="dxa"/>
            <w:shd w:val="clear" w:color="auto" w:fill="auto"/>
            <w:noWrap/>
            <w:vAlign w:val="center"/>
            <w:hideMark/>
          </w:tcPr>
          <w:p w:rsidR="00D4559A" w:rsidRPr="00E204CF" w:rsidRDefault="00D4559A" w:rsidP="00D4559A">
            <w:pPr>
              <w:pStyle w:val="Tablewriting"/>
              <w:jc w:val="center"/>
            </w:pPr>
            <w:r w:rsidRPr="00E204CF">
              <w:t>1,025</w:t>
            </w:r>
          </w:p>
        </w:tc>
        <w:tc>
          <w:tcPr>
            <w:tcW w:w="1010" w:type="dxa"/>
            <w:shd w:val="clear" w:color="auto" w:fill="auto"/>
            <w:noWrap/>
            <w:vAlign w:val="center"/>
            <w:hideMark/>
          </w:tcPr>
          <w:p w:rsidR="00D4559A" w:rsidRPr="00E204CF" w:rsidRDefault="00D4559A" w:rsidP="00D4559A">
            <w:pPr>
              <w:pStyle w:val="Tablewriting"/>
              <w:jc w:val="center"/>
            </w:pPr>
            <w:r w:rsidRPr="00E204CF">
              <w:t>921</w:t>
            </w:r>
          </w:p>
        </w:tc>
        <w:tc>
          <w:tcPr>
            <w:tcW w:w="1009" w:type="dxa"/>
            <w:shd w:val="clear" w:color="auto" w:fill="auto"/>
            <w:noWrap/>
            <w:vAlign w:val="center"/>
            <w:hideMark/>
          </w:tcPr>
          <w:p w:rsidR="00D4559A" w:rsidRPr="00E204CF" w:rsidRDefault="00D4559A" w:rsidP="00D4559A">
            <w:pPr>
              <w:pStyle w:val="Tablewriting"/>
              <w:jc w:val="center"/>
            </w:pPr>
            <w:r w:rsidRPr="00E204CF">
              <w:t>1,192</w:t>
            </w:r>
          </w:p>
        </w:tc>
        <w:tc>
          <w:tcPr>
            <w:tcW w:w="1010" w:type="dxa"/>
            <w:shd w:val="clear" w:color="auto" w:fill="auto"/>
            <w:noWrap/>
            <w:vAlign w:val="center"/>
            <w:hideMark/>
          </w:tcPr>
          <w:p w:rsidR="00D4559A" w:rsidRPr="00E204CF" w:rsidRDefault="00D4559A" w:rsidP="00D4559A">
            <w:pPr>
              <w:pStyle w:val="Tablewriting"/>
              <w:jc w:val="center"/>
            </w:pPr>
            <w:r w:rsidRPr="00E204CF">
              <w:t>846</w:t>
            </w:r>
          </w:p>
        </w:tc>
        <w:tc>
          <w:tcPr>
            <w:tcW w:w="1010" w:type="dxa"/>
            <w:shd w:val="clear" w:color="auto" w:fill="auto"/>
            <w:noWrap/>
            <w:vAlign w:val="center"/>
            <w:hideMark/>
          </w:tcPr>
          <w:p w:rsidR="00D4559A" w:rsidRPr="00E204CF" w:rsidRDefault="00D4559A" w:rsidP="00D4559A">
            <w:pPr>
              <w:pStyle w:val="Tablewriting"/>
              <w:jc w:val="center"/>
            </w:pPr>
            <w:r w:rsidRPr="00E204CF">
              <w:t>890</w:t>
            </w:r>
          </w:p>
        </w:tc>
      </w:tr>
    </w:tbl>
    <w:p w:rsidR="00D4559A" w:rsidRDefault="00D4559A" w:rsidP="00D4559A">
      <w:pPr>
        <w:pStyle w:val="Notes"/>
      </w:pPr>
      <w:r w:rsidRPr="00A457CF">
        <w:t>Source: DHS Medicare Pharmacy Claims database, accessed April 2015</w:t>
      </w:r>
      <w:r>
        <w:br/>
        <w:t>Patients with an ‘unknown’ state are excluded</w:t>
      </w:r>
      <w:r>
        <w:br/>
      </w:r>
      <w:r w:rsidRPr="004F2FA4">
        <w:t>Source: Estimated resident population, by sex and age groups–States and territories–at 30 June 2014, ABS 31010DO001_201409 Australian Demographic Statistics, Sep 2014, Table 6, http://www.abs.gov.au/AUSSTATS/abs@.nsf/DetailsPage/3101.0Sep%202014?OpenDocument</w:t>
      </w:r>
      <w:r w:rsidRPr="004F2FA4" w:rsidDel="00CA2F60">
        <w:rPr>
          <w:rStyle w:val="CommentReference"/>
        </w:rPr>
        <w:t xml:space="preserve"> </w:t>
      </w:r>
    </w:p>
    <w:p w:rsidR="00D4559A" w:rsidRPr="000A3A68" w:rsidRDefault="00D4559A" w:rsidP="000A3A68">
      <w:r w:rsidRPr="00E447F7">
        <w:t>There are differences in treatment rates across Australia. Rates of treatment are very low in the Northern Territory and highest in the ACT, NSW and Tasmania. States with a comparatively high number of people treated also tend to have the highest number of injections per patie</w:t>
      </w:r>
      <w:r w:rsidR="000A3A68">
        <w:t>nt as shown in the table below.</w:t>
      </w:r>
    </w:p>
    <w:p w:rsidR="00D4559A" w:rsidRPr="00E447F7" w:rsidRDefault="00D4559A" w:rsidP="00D4559A">
      <w:pPr>
        <w:pStyle w:val="Tabletitle"/>
      </w:pPr>
      <w:r w:rsidRPr="00E447F7">
        <w:t xml:space="preserve">Table </w:t>
      </w:r>
      <w:r>
        <w:t>1</w:t>
      </w:r>
      <w:r w:rsidR="004F27C3">
        <w:t>6</w:t>
      </w:r>
      <w:r w:rsidRPr="00E447F7">
        <w:t>: Number of injections per patient by geographical state</w:t>
      </w:r>
    </w:p>
    <w:tbl>
      <w:tblPr>
        <w:tblStyle w:val="TableGrid"/>
        <w:tblW w:w="9072" w:type="dxa"/>
        <w:tblInd w:w="108" w:type="dxa"/>
        <w:tblLayout w:type="fixed"/>
        <w:tblLook w:val="04A0" w:firstRow="1" w:lastRow="0" w:firstColumn="1" w:lastColumn="0" w:noHBand="0" w:noVBand="1"/>
        <w:tblCaption w:val="Number of injections per patient by geographical state"/>
        <w:tblDescription w:val="Number of injections per patient by geographical state"/>
      </w:tblPr>
      <w:tblGrid>
        <w:gridCol w:w="993"/>
        <w:gridCol w:w="1009"/>
        <w:gridCol w:w="1010"/>
        <w:gridCol w:w="1010"/>
        <w:gridCol w:w="1010"/>
        <w:gridCol w:w="1010"/>
        <w:gridCol w:w="1010"/>
        <w:gridCol w:w="1010"/>
        <w:gridCol w:w="1010"/>
      </w:tblGrid>
      <w:tr w:rsidR="00D4559A" w:rsidRPr="0069151D" w:rsidTr="006943DF">
        <w:trPr>
          <w:trHeight w:val="300"/>
          <w:tblHeader/>
        </w:trPr>
        <w:tc>
          <w:tcPr>
            <w:tcW w:w="993" w:type="dxa"/>
            <w:shd w:val="clear" w:color="auto" w:fill="BFBFBF" w:themeFill="background1" w:themeFillShade="BF"/>
            <w:noWrap/>
            <w:vAlign w:val="center"/>
            <w:hideMark/>
          </w:tcPr>
          <w:p w:rsidR="00D4559A" w:rsidRPr="0069151D" w:rsidRDefault="00D4559A" w:rsidP="00D4559A">
            <w:pPr>
              <w:pStyle w:val="Tableheading"/>
              <w:rPr>
                <w:sz w:val="20"/>
                <w:szCs w:val="20"/>
              </w:rPr>
            </w:pPr>
            <w:r w:rsidRPr="0069151D">
              <w:rPr>
                <w:sz w:val="20"/>
                <w:szCs w:val="20"/>
              </w:rPr>
              <w:t>Year</w:t>
            </w:r>
          </w:p>
        </w:tc>
        <w:tc>
          <w:tcPr>
            <w:tcW w:w="1009"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 xml:space="preserve"> ACT </w:t>
            </w:r>
          </w:p>
        </w:tc>
        <w:tc>
          <w:tcPr>
            <w:tcW w:w="101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 xml:space="preserve"> NSW </w:t>
            </w:r>
          </w:p>
        </w:tc>
        <w:tc>
          <w:tcPr>
            <w:tcW w:w="101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 xml:space="preserve"> NT </w:t>
            </w:r>
          </w:p>
        </w:tc>
        <w:tc>
          <w:tcPr>
            <w:tcW w:w="101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 xml:space="preserve"> QLD </w:t>
            </w:r>
          </w:p>
        </w:tc>
        <w:tc>
          <w:tcPr>
            <w:tcW w:w="101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 xml:space="preserve"> SA </w:t>
            </w:r>
          </w:p>
        </w:tc>
        <w:tc>
          <w:tcPr>
            <w:tcW w:w="101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 xml:space="preserve"> TAS </w:t>
            </w:r>
          </w:p>
        </w:tc>
        <w:tc>
          <w:tcPr>
            <w:tcW w:w="1010" w:type="dxa"/>
            <w:shd w:val="clear" w:color="auto" w:fill="BFBFBF" w:themeFill="background1" w:themeFillShade="BF"/>
            <w:noWrap/>
            <w:hideMark/>
          </w:tcPr>
          <w:p w:rsidR="00D4559A" w:rsidRPr="0069151D" w:rsidRDefault="00D4559A" w:rsidP="00D4559A">
            <w:pPr>
              <w:pStyle w:val="Tableheading"/>
              <w:rPr>
                <w:sz w:val="20"/>
                <w:szCs w:val="20"/>
              </w:rPr>
            </w:pPr>
            <w:r w:rsidRPr="0069151D">
              <w:rPr>
                <w:sz w:val="20"/>
                <w:szCs w:val="20"/>
              </w:rPr>
              <w:t xml:space="preserve"> VIC </w:t>
            </w:r>
          </w:p>
        </w:tc>
        <w:tc>
          <w:tcPr>
            <w:tcW w:w="1010" w:type="dxa"/>
            <w:shd w:val="clear" w:color="auto" w:fill="BFBFBF" w:themeFill="background1" w:themeFillShade="BF"/>
          </w:tcPr>
          <w:p w:rsidR="00D4559A" w:rsidRPr="0069151D" w:rsidRDefault="00D4559A" w:rsidP="00D4559A">
            <w:pPr>
              <w:pStyle w:val="Tableheading"/>
              <w:rPr>
                <w:sz w:val="20"/>
                <w:szCs w:val="20"/>
              </w:rPr>
            </w:pPr>
            <w:r w:rsidRPr="0069151D">
              <w:rPr>
                <w:sz w:val="20"/>
                <w:szCs w:val="20"/>
              </w:rPr>
              <w:t xml:space="preserve"> WA </w:t>
            </w:r>
          </w:p>
        </w:tc>
      </w:tr>
      <w:tr w:rsidR="00D4559A" w:rsidRPr="00E447F7" w:rsidTr="006943DF">
        <w:trPr>
          <w:trHeight w:val="300"/>
        </w:trPr>
        <w:tc>
          <w:tcPr>
            <w:tcW w:w="993" w:type="dxa"/>
            <w:noWrap/>
            <w:vAlign w:val="center"/>
            <w:hideMark/>
          </w:tcPr>
          <w:p w:rsidR="00D4559A" w:rsidRPr="00E447F7" w:rsidRDefault="00D4559A" w:rsidP="00D4559A">
            <w:pPr>
              <w:pStyle w:val="Tablewriting"/>
            </w:pPr>
            <w:r w:rsidRPr="00E447F7">
              <w:t xml:space="preserve"> 2007 </w:t>
            </w:r>
          </w:p>
        </w:tc>
        <w:tc>
          <w:tcPr>
            <w:tcW w:w="1009" w:type="dxa"/>
            <w:noWrap/>
            <w:vAlign w:val="center"/>
            <w:hideMark/>
          </w:tcPr>
          <w:p w:rsidR="00D4559A" w:rsidRPr="00E447F7" w:rsidRDefault="00D4559A" w:rsidP="00D4559A">
            <w:pPr>
              <w:pStyle w:val="Tablewriting"/>
              <w:jc w:val="center"/>
            </w:pPr>
            <w:r w:rsidRPr="00E447F7">
              <w:t>2.63</w:t>
            </w:r>
          </w:p>
        </w:tc>
        <w:tc>
          <w:tcPr>
            <w:tcW w:w="1010" w:type="dxa"/>
            <w:noWrap/>
            <w:vAlign w:val="center"/>
            <w:hideMark/>
          </w:tcPr>
          <w:p w:rsidR="00D4559A" w:rsidRPr="00E447F7" w:rsidRDefault="00D4559A" w:rsidP="00D4559A">
            <w:pPr>
              <w:pStyle w:val="Tablewriting"/>
              <w:jc w:val="center"/>
            </w:pPr>
            <w:r w:rsidRPr="00E447F7">
              <w:t>2.66</w:t>
            </w:r>
          </w:p>
        </w:tc>
        <w:tc>
          <w:tcPr>
            <w:tcW w:w="1010" w:type="dxa"/>
            <w:noWrap/>
            <w:vAlign w:val="center"/>
            <w:hideMark/>
          </w:tcPr>
          <w:p w:rsidR="00D4559A" w:rsidRPr="00E447F7" w:rsidRDefault="00D4559A" w:rsidP="00D4559A">
            <w:pPr>
              <w:pStyle w:val="Tablewriting"/>
              <w:jc w:val="center"/>
            </w:pPr>
          </w:p>
        </w:tc>
        <w:tc>
          <w:tcPr>
            <w:tcW w:w="1010" w:type="dxa"/>
            <w:noWrap/>
            <w:vAlign w:val="center"/>
            <w:hideMark/>
          </w:tcPr>
          <w:p w:rsidR="00D4559A" w:rsidRPr="00E447F7" w:rsidRDefault="00D4559A" w:rsidP="00D4559A">
            <w:pPr>
              <w:pStyle w:val="Tablewriting"/>
              <w:jc w:val="center"/>
            </w:pPr>
            <w:r w:rsidRPr="00E447F7">
              <w:t>2.32</w:t>
            </w:r>
          </w:p>
        </w:tc>
        <w:tc>
          <w:tcPr>
            <w:tcW w:w="1010" w:type="dxa"/>
            <w:noWrap/>
            <w:vAlign w:val="center"/>
            <w:hideMark/>
          </w:tcPr>
          <w:p w:rsidR="00D4559A" w:rsidRPr="00E447F7" w:rsidRDefault="00D4559A" w:rsidP="00D4559A">
            <w:pPr>
              <w:pStyle w:val="Tablewriting"/>
              <w:jc w:val="center"/>
            </w:pPr>
            <w:r w:rsidRPr="00E447F7">
              <w:t>2.42</w:t>
            </w:r>
          </w:p>
        </w:tc>
        <w:tc>
          <w:tcPr>
            <w:tcW w:w="1010" w:type="dxa"/>
            <w:noWrap/>
            <w:vAlign w:val="center"/>
            <w:hideMark/>
          </w:tcPr>
          <w:p w:rsidR="00D4559A" w:rsidRPr="00E447F7" w:rsidRDefault="00D4559A" w:rsidP="00D4559A">
            <w:pPr>
              <w:pStyle w:val="Tablewriting"/>
              <w:jc w:val="center"/>
            </w:pPr>
            <w:r w:rsidRPr="00E447F7">
              <w:t>2.42</w:t>
            </w:r>
          </w:p>
        </w:tc>
        <w:tc>
          <w:tcPr>
            <w:tcW w:w="1010" w:type="dxa"/>
            <w:noWrap/>
            <w:vAlign w:val="center"/>
            <w:hideMark/>
          </w:tcPr>
          <w:p w:rsidR="00D4559A" w:rsidRPr="00E447F7" w:rsidRDefault="00D4559A" w:rsidP="00D4559A">
            <w:pPr>
              <w:pStyle w:val="Tablewriting"/>
              <w:jc w:val="center"/>
            </w:pPr>
            <w:r w:rsidRPr="00E447F7">
              <w:t>2.18</w:t>
            </w:r>
          </w:p>
        </w:tc>
        <w:tc>
          <w:tcPr>
            <w:tcW w:w="1010" w:type="dxa"/>
            <w:vAlign w:val="center"/>
          </w:tcPr>
          <w:p w:rsidR="00D4559A" w:rsidRPr="00E447F7" w:rsidRDefault="00D4559A" w:rsidP="00D4559A">
            <w:pPr>
              <w:pStyle w:val="Tablewriting"/>
              <w:jc w:val="center"/>
            </w:pPr>
            <w:r w:rsidRPr="00E447F7">
              <w:t>2.67</w:t>
            </w:r>
          </w:p>
        </w:tc>
      </w:tr>
      <w:tr w:rsidR="00D4559A" w:rsidRPr="00E447F7" w:rsidTr="006943DF">
        <w:trPr>
          <w:trHeight w:val="300"/>
        </w:trPr>
        <w:tc>
          <w:tcPr>
            <w:tcW w:w="993" w:type="dxa"/>
            <w:noWrap/>
            <w:vAlign w:val="center"/>
            <w:hideMark/>
          </w:tcPr>
          <w:p w:rsidR="00D4559A" w:rsidRPr="00E447F7" w:rsidRDefault="00D4559A" w:rsidP="00D4559A">
            <w:pPr>
              <w:pStyle w:val="Tablewriting"/>
            </w:pPr>
            <w:r w:rsidRPr="00E447F7">
              <w:t xml:space="preserve"> 2008 </w:t>
            </w:r>
          </w:p>
        </w:tc>
        <w:tc>
          <w:tcPr>
            <w:tcW w:w="1009" w:type="dxa"/>
            <w:noWrap/>
            <w:vAlign w:val="center"/>
            <w:hideMark/>
          </w:tcPr>
          <w:p w:rsidR="00D4559A" w:rsidRPr="00E447F7" w:rsidRDefault="00D4559A" w:rsidP="00D4559A">
            <w:pPr>
              <w:pStyle w:val="Tablewriting"/>
              <w:jc w:val="center"/>
            </w:pPr>
            <w:r w:rsidRPr="00E447F7">
              <w:t>5.18</w:t>
            </w:r>
          </w:p>
        </w:tc>
        <w:tc>
          <w:tcPr>
            <w:tcW w:w="1010" w:type="dxa"/>
            <w:noWrap/>
            <w:vAlign w:val="center"/>
            <w:hideMark/>
          </w:tcPr>
          <w:p w:rsidR="00D4559A" w:rsidRPr="00E447F7" w:rsidRDefault="00D4559A" w:rsidP="00D4559A">
            <w:pPr>
              <w:pStyle w:val="Tablewriting"/>
              <w:jc w:val="center"/>
            </w:pPr>
            <w:r w:rsidRPr="00E447F7">
              <w:t>5.06</w:t>
            </w:r>
          </w:p>
        </w:tc>
        <w:tc>
          <w:tcPr>
            <w:tcW w:w="1010" w:type="dxa"/>
            <w:noWrap/>
            <w:vAlign w:val="center"/>
            <w:hideMark/>
          </w:tcPr>
          <w:p w:rsidR="00D4559A" w:rsidRPr="00E447F7" w:rsidRDefault="00D4559A" w:rsidP="00D4559A">
            <w:pPr>
              <w:pStyle w:val="Tablewriting"/>
              <w:jc w:val="center"/>
            </w:pPr>
            <w:r w:rsidRPr="00E447F7">
              <w:t>3.40</w:t>
            </w:r>
          </w:p>
        </w:tc>
        <w:tc>
          <w:tcPr>
            <w:tcW w:w="1010" w:type="dxa"/>
            <w:noWrap/>
            <w:vAlign w:val="center"/>
            <w:hideMark/>
          </w:tcPr>
          <w:p w:rsidR="00D4559A" w:rsidRPr="00E447F7" w:rsidRDefault="00D4559A" w:rsidP="00D4559A">
            <w:pPr>
              <w:pStyle w:val="Tablewriting"/>
              <w:jc w:val="center"/>
            </w:pPr>
            <w:r w:rsidRPr="00E447F7">
              <w:t>3.75</w:t>
            </w:r>
          </w:p>
        </w:tc>
        <w:tc>
          <w:tcPr>
            <w:tcW w:w="1010" w:type="dxa"/>
            <w:noWrap/>
            <w:vAlign w:val="center"/>
            <w:hideMark/>
          </w:tcPr>
          <w:p w:rsidR="00D4559A" w:rsidRPr="00E447F7" w:rsidRDefault="00D4559A" w:rsidP="00D4559A">
            <w:pPr>
              <w:pStyle w:val="Tablewriting"/>
              <w:jc w:val="center"/>
            </w:pPr>
            <w:r w:rsidRPr="00E447F7">
              <w:t>3.97</w:t>
            </w:r>
          </w:p>
        </w:tc>
        <w:tc>
          <w:tcPr>
            <w:tcW w:w="1010" w:type="dxa"/>
            <w:noWrap/>
            <w:vAlign w:val="center"/>
            <w:hideMark/>
          </w:tcPr>
          <w:p w:rsidR="00D4559A" w:rsidRPr="00E447F7" w:rsidRDefault="00D4559A" w:rsidP="00D4559A">
            <w:pPr>
              <w:pStyle w:val="Tablewriting"/>
              <w:jc w:val="center"/>
            </w:pPr>
            <w:r w:rsidRPr="00E447F7">
              <w:t>4.25</w:t>
            </w:r>
          </w:p>
        </w:tc>
        <w:tc>
          <w:tcPr>
            <w:tcW w:w="1010" w:type="dxa"/>
            <w:noWrap/>
            <w:vAlign w:val="center"/>
            <w:hideMark/>
          </w:tcPr>
          <w:p w:rsidR="00D4559A" w:rsidRPr="00E447F7" w:rsidRDefault="00D4559A" w:rsidP="00D4559A">
            <w:pPr>
              <w:pStyle w:val="Tablewriting"/>
              <w:jc w:val="center"/>
            </w:pPr>
            <w:r w:rsidRPr="00E447F7">
              <w:t>3.77</w:t>
            </w:r>
          </w:p>
        </w:tc>
        <w:tc>
          <w:tcPr>
            <w:tcW w:w="1010" w:type="dxa"/>
            <w:vAlign w:val="center"/>
          </w:tcPr>
          <w:p w:rsidR="00D4559A" w:rsidRPr="00E447F7" w:rsidRDefault="00D4559A" w:rsidP="00D4559A">
            <w:pPr>
              <w:pStyle w:val="Tablewriting"/>
              <w:jc w:val="center"/>
            </w:pPr>
            <w:r w:rsidRPr="00E447F7">
              <w:t>4.54</w:t>
            </w:r>
          </w:p>
        </w:tc>
      </w:tr>
      <w:tr w:rsidR="00D4559A" w:rsidRPr="00E447F7" w:rsidTr="006943DF">
        <w:trPr>
          <w:trHeight w:val="300"/>
        </w:trPr>
        <w:tc>
          <w:tcPr>
            <w:tcW w:w="993" w:type="dxa"/>
            <w:noWrap/>
            <w:vAlign w:val="center"/>
            <w:hideMark/>
          </w:tcPr>
          <w:p w:rsidR="00D4559A" w:rsidRPr="00E447F7" w:rsidRDefault="00D4559A" w:rsidP="00D4559A">
            <w:pPr>
              <w:pStyle w:val="Tablewriting"/>
            </w:pPr>
            <w:r w:rsidRPr="00E447F7">
              <w:t xml:space="preserve"> 2009 </w:t>
            </w:r>
          </w:p>
        </w:tc>
        <w:tc>
          <w:tcPr>
            <w:tcW w:w="1009" w:type="dxa"/>
            <w:noWrap/>
            <w:vAlign w:val="center"/>
            <w:hideMark/>
          </w:tcPr>
          <w:p w:rsidR="00D4559A" w:rsidRPr="00E447F7" w:rsidRDefault="00D4559A" w:rsidP="00D4559A">
            <w:pPr>
              <w:pStyle w:val="Tablewriting"/>
              <w:jc w:val="center"/>
            </w:pPr>
            <w:r w:rsidRPr="00E447F7">
              <w:t>5.91</w:t>
            </w:r>
          </w:p>
        </w:tc>
        <w:tc>
          <w:tcPr>
            <w:tcW w:w="1010" w:type="dxa"/>
            <w:noWrap/>
            <w:vAlign w:val="center"/>
            <w:hideMark/>
          </w:tcPr>
          <w:p w:rsidR="00D4559A" w:rsidRPr="00E447F7" w:rsidRDefault="00D4559A" w:rsidP="00D4559A">
            <w:pPr>
              <w:pStyle w:val="Tablewriting"/>
              <w:jc w:val="center"/>
            </w:pPr>
            <w:r w:rsidRPr="00E447F7">
              <w:t>5.87</w:t>
            </w:r>
          </w:p>
        </w:tc>
        <w:tc>
          <w:tcPr>
            <w:tcW w:w="1010" w:type="dxa"/>
            <w:noWrap/>
            <w:vAlign w:val="center"/>
            <w:hideMark/>
          </w:tcPr>
          <w:p w:rsidR="00D4559A" w:rsidRPr="00E447F7" w:rsidRDefault="00D4559A" w:rsidP="00D4559A">
            <w:pPr>
              <w:pStyle w:val="Tablewriting"/>
              <w:jc w:val="center"/>
            </w:pPr>
            <w:r w:rsidRPr="00E447F7">
              <w:t>2.68</w:t>
            </w:r>
          </w:p>
        </w:tc>
        <w:tc>
          <w:tcPr>
            <w:tcW w:w="1010" w:type="dxa"/>
            <w:noWrap/>
            <w:vAlign w:val="center"/>
            <w:hideMark/>
          </w:tcPr>
          <w:p w:rsidR="00D4559A" w:rsidRPr="00E447F7" w:rsidRDefault="00D4559A" w:rsidP="00D4559A">
            <w:pPr>
              <w:pStyle w:val="Tablewriting"/>
              <w:jc w:val="center"/>
            </w:pPr>
            <w:r w:rsidRPr="00E447F7">
              <w:t>4.37</w:t>
            </w:r>
          </w:p>
        </w:tc>
        <w:tc>
          <w:tcPr>
            <w:tcW w:w="1010" w:type="dxa"/>
            <w:noWrap/>
            <w:vAlign w:val="center"/>
            <w:hideMark/>
          </w:tcPr>
          <w:p w:rsidR="00D4559A" w:rsidRPr="00E447F7" w:rsidRDefault="00D4559A" w:rsidP="00D4559A">
            <w:pPr>
              <w:pStyle w:val="Tablewriting"/>
              <w:jc w:val="center"/>
            </w:pPr>
            <w:r w:rsidRPr="00E447F7">
              <w:t>4.96</w:t>
            </w:r>
          </w:p>
        </w:tc>
        <w:tc>
          <w:tcPr>
            <w:tcW w:w="1010" w:type="dxa"/>
            <w:noWrap/>
            <w:vAlign w:val="center"/>
            <w:hideMark/>
          </w:tcPr>
          <w:p w:rsidR="00D4559A" w:rsidRPr="00E447F7" w:rsidRDefault="00D4559A" w:rsidP="00D4559A">
            <w:pPr>
              <w:pStyle w:val="Tablewriting"/>
              <w:jc w:val="center"/>
            </w:pPr>
            <w:r w:rsidRPr="00E447F7">
              <w:t>5.72</w:t>
            </w:r>
          </w:p>
        </w:tc>
        <w:tc>
          <w:tcPr>
            <w:tcW w:w="1010" w:type="dxa"/>
            <w:noWrap/>
            <w:vAlign w:val="center"/>
            <w:hideMark/>
          </w:tcPr>
          <w:p w:rsidR="00D4559A" w:rsidRPr="00E447F7" w:rsidRDefault="00D4559A" w:rsidP="00D4559A">
            <w:pPr>
              <w:pStyle w:val="Tablewriting"/>
              <w:jc w:val="center"/>
            </w:pPr>
            <w:r w:rsidRPr="00E447F7">
              <w:t>4.65</w:t>
            </w:r>
          </w:p>
        </w:tc>
        <w:tc>
          <w:tcPr>
            <w:tcW w:w="1010" w:type="dxa"/>
            <w:vAlign w:val="center"/>
          </w:tcPr>
          <w:p w:rsidR="00D4559A" w:rsidRPr="00E447F7" w:rsidRDefault="00D4559A" w:rsidP="00D4559A">
            <w:pPr>
              <w:pStyle w:val="Tablewriting"/>
              <w:jc w:val="center"/>
            </w:pPr>
            <w:r w:rsidRPr="00E447F7">
              <w:t>5.28</w:t>
            </w:r>
          </w:p>
        </w:tc>
      </w:tr>
      <w:tr w:rsidR="00D4559A" w:rsidRPr="00E447F7" w:rsidTr="006943DF">
        <w:trPr>
          <w:trHeight w:val="300"/>
        </w:trPr>
        <w:tc>
          <w:tcPr>
            <w:tcW w:w="993" w:type="dxa"/>
            <w:noWrap/>
            <w:vAlign w:val="center"/>
            <w:hideMark/>
          </w:tcPr>
          <w:p w:rsidR="00D4559A" w:rsidRPr="00E447F7" w:rsidRDefault="00D4559A" w:rsidP="00D4559A">
            <w:pPr>
              <w:pStyle w:val="Tablewriting"/>
            </w:pPr>
            <w:r w:rsidRPr="00E447F7">
              <w:t xml:space="preserve"> 2010 </w:t>
            </w:r>
          </w:p>
        </w:tc>
        <w:tc>
          <w:tcPr>
            <w:tcW w:w="1009" w:type="dxa"/>
            <w:noWrap/>
            <w:vAlign w:val="center"/>
            <w:hideMark/>
          </w:tcPr>
          <w:p w:rsidR="00D4559A" w:rsidRPr="00E447F7" w:rsidRDefault="00D4559A" w:rsidP="00D4559A">
            <w:pPr>
              <w:pStyle w:val="Tablewriting"/>
              <w:jc w:val="center"/>
            </w:pPr>
            <w:r w:rsidRPr="00E447F7">
              <w:t>6.80</w:t>
            </w:r>
          </w:p>
        </w:tc>
        <w:tc>
          <w:tcPr>
            <w:tcW w:w="1010" w:type="dxa"/>
            <w:noWrap/>
            <w:vAlign w:val="center"/>
            <w:hideMark/>
          </w:tcPr>
          <w:p w:rsidR="00D4559A" w:rsidRPr="00E447F7" w:rsidRDefault="00D4559A" w:rsidP="00D4559A">
            <w:pPr>
              <w:pStyle w:val="Tablewriting"/>
              <w:jc w:val="center"/>
            </w:pPr>
            <w:r w:rsidRPr="00E447F7">
              <w:t>6.71</w:t>
            </w:r>
          </w:p>
        </w:tc>
        <w:tc>
          <w:tcPr>
            <w:tcW w:w="1010" w:type="dxa"/>
            <w:noWrap/>
            <w:vAlign w:val="center"/>
            <w:hideMark/>
          </w:tcPr>
          <w:p w:rsidR="00D4559A" w:rsidRPr="00E447F7" w:rsidRDefault="00D4559A" w:rsidP="00D4559A">
            <w:pPr>
              <w:pStyle w:val="Tablewriting"/>
              <w:jc w:val="center"/>
            </w:pPr>
            <w:r w:rsidRPr="00E447F7">
              <w:t>4.70</w:t>
            </w:r>
          </w:p>
        </w:tc>
        <w:tc>
          <w:tcPr>
            <w:tcW w:w="1010" w:type="dxa"/>
            <w:noWrap/>
            <w:vAlign w:val="center"/>
            <w:hideMark/>
          </w:tcPr>
          <w:p w:rsidR="00D4559A" w:rsidRPr="00E447F7" w:rsidRDefault="00D4559A" w:rsidP="00D4559A">
            <w:pPr>
              <w:pStyle w:val="Tablewriting"/>
              <w:jc w:val="center"/>
            </w:pPr>
            <w:r w:rsidRPr="00E447F7">
              <w:t>5.60</w:t>
            </w:r>
          </w:p>
        </w:tc>
        <w:tc>
          <w:tcPr>
            <w:tcW w:w="1010" w:type="dxa"/>
            <w:noWrap/>
            <w:vAlign w:val="center"/>
            <w:hideMark/>
          </w:tcPr>
          <w:p w:rsidR="00D4559A" w:rsidRPr="00E447F7" w:rsidRDefault="00D4559A" w:rsidP="00D4559A">
            <w:pPr>
              <w:pStyle w:val="Tablewriting"/>
              <w:jc w:val="center"/>
            </w:pPr>
            <w:r w:rsidRPr="00E447F7">
              <w:t>5.89</w:t>
            </w:r>
          </w:p>
        </w:tc>
        <w:tc>
          <w:tcPr>
            <w:tcW w:w="1010" w:type="dxa"/>
            <w:noWrap/>
            <w:vAlign w:val="center"/>
            <w:hideMark/>
          </w:tcPr>
          <w:p w:rsidR="00D4559A" w:rsidRPr="00E447F7" w:rsidRDefault="00D4559A" w:rsidP="00D4559A">
            <w:pPr>
              <w:pStyle w:val="Tablewriting"/>
              <w:jc w:val="center"/>
            </w:pPr>
            <w:r w:rsidRPr="00E447F7">
              <w:t>6.79</w:t>
            </w:r>
          </w:p>
        </w:tc>
        <w:tc>
          <w:tcPr>
            <w:tcW w:w="1010" w:type="dxa"/>
            <w:noWrap/>
            <w:vAlign w:val="center"/>
            <w:hideMark/>
          </w:tcPr>
          <w:p w:rsidR="00D4559A" w:rsidRPr="00E447F7" w:rsidRDefault="00D4559A" w:rsidP="00D4559A">
            <w:pPr>
              <w:pStyle w:val="Tablewriting"/>
              <w:jc w:val="center"/>
            </w:pPr>
            <w:r w:rsidRPr="00E447F7">
              <w:t>5.48</w:t>
            </w:r>
          </w:p>
        </w:tc>
        <w:tc>
          <w:tcPr>
            <w:tcW w:w="1010" w:type="dxa"/>
            <w:vAlign w:val="center"/>
          </w:tcPr>
          <w:p w:rsidR="00D4559A" w:rsidRPr="00E447F7" w:rsidRDefault="00D4559A" w:rsidP="00D4559A">
            <w:pPr>
              <w:pStyle w:val="Tablewriting"/>
              <w:jc w:val="center"/>
            </w:pPr>
            <w:r w:rsidRPr="00E447F7">
              <w:t>5.97</w:t>
            </w:r>
          </w:p>
        </w:tc>
      </w:tr>
      <w:tr w:rsidR="00D4559A" w:rsidRPr="00E447F7" w:rsidTr="006943DF">
        <w:trPr>
          <w:trHeight w:val="300"/>
        </w:trPr>
        <w:tc>
          <w:tcPr>
            <w:tcW w:w="993" w:type="dxa"/>
            <w:noWrap/>
            <w:vAlign w:val="center"/>
            <w:hideMark/>
          </w:tcPr>
          <w:p w:rsidR="00D4559A" w:rsidRPr="00E447F7" w:rsidRDefault="00D4559A" w:rsidP="00D4559A">
            <w:pPr>
              <w:pStyle w:val="Tablewriting"/>
            </w:pPr>
            <w:r w:rsidRPr="00E447F7">
              <w:t xml:space="preserve"> 2011 </w:t>
            </w:r>
          </w:p>
        </w:tc>
        <w:tc>
          <w:tcPr>
            <w:tcW w:w="1009" w:type="dxa"/>
            <w:noWrap/>
            <w:vAlign w:val="center"/>
            <w:hideMark/>
          </w:tcPr>
          <w:p w:rsidR="00D4559A" w:rsidRPr="00E447F7" w:rsidRDefault="00D4559A" w:rsidP="00D4559A">
            <w:pPr>
              <w:pStyle w:val="Tablewriting"/>
              <w:jc w:val="center"/>
            </w:pPr>
            <w:r w:rsidRPr="00E447F7">
              <w:t>6.92</w:t>
            </w:r>
          </w:p>
        </w:tc>
        <w:tc>
          <w:tcPr>
            <w:tcW w:w="1010" w:type="dxa"/>
            <w:noWrap/>
            <w:vAlign w:val="center"/>
            <w:hideMark/>
          </w:tcPr>
          <w:p w:rsidR="00D4559A" w:rsidRPr="00E447F7" w:rsidRDefault="00D4559A" w:rsidP="00D4559A">
            <w:pPr>
              <w:pStyle w:val="Tablewriting"/>
              <w:jc w:val="center"/>
            </w:pPr>
            <w:r w:rsidRPr="00E447F7">
              <w:t>7.24</w:t>
            </w:r>
          </w:p>
        </w:tc>
        <w:tc>
          <w:tcPr>
            <w:tcW w:w="1010" w:type="dxa"/>
            <w:noWrap/>
            <w:vAlign w:val="center"/>
            <w:hideMark/>
          </w:tcPr>
          <w:p w:rsidR="00D4559A" w:rsidRPr="00E447F7" w:rsidRDefault="00D4559A" w:rsidP="00D4559A">
            <w:pPr>
              <w:pStyle w:val="Tablewriting"/>
              <w:jc w:val="center"/>
            </w:pPr>
            <w:r w:rsidRPr="00E447F7">
              <w:t>4.25</w:t>
            </w:r>
          </w:p>
        </w:tc>
        <w:tc>
          <w:tcPr>
            <w:tcW w:w="1010" w:type="dxa"/>
            <w:noWrap/>
            <w:vAlign w:val="center"/>
            <w:hideMark/>
          </w:tcPr>
          <w:p w:rsidR="00D4559A" w:rsidRPr="00E447F7" w:rsidRDefault="00D4559A" w:rsidP="00D4559A">
            <w:pPr>
              <w:pStyle w:val="Tablewriting"/>
              <w:jc w:val="center"/>
            </w:pPr>
            <w:r w:rsidRPr="00E447F7">
              <w:t>6.18</w:t>
            </w:r>
          </w:p>
        </w:tc>
        <w:tc>
          <w:tcPr>
            <w:tcW w:w="1010" w:type="dxa"/>
            <w:noWrap/>
            <w:vAlign w:val="center"/>
            <w:hideMark/>
          </w:tcPr>
          <w:p w:rsidR="00D4559A" w:rsidRPr="00E447F7" w:rsidRDefault="00D4559A" w:rsidP="00D4559A">
            <w:pPr>
              <w:pStyle w:val="Tablewriting"/>
              <w:jc w:val="center"/>
            </w:pPr>
            <w:r w:rsidRPr="00E447F7">
              <w:t>6.69</w:t>
            </w:r>
          </w:p>
        </w:tc>
        <w:tc>
          <w:tcPr>
            <w:tcW w:w="1010" w:type="dxa"/>
            <w:noWrap/>
            <w:vAlign w:val="center"/>
            <w:hideMark/>
          </w:tcPr>
          <w:p w:rsidR="00D4559A" w:rsidRPr="00E447F7" w:rsidRDefault="00D4559A" w:rsidP="00D4559A">
            <w:pPr>
              <w:pStyle w:val="Tablewriting"/>
              <w:jc w:val="center"/>
            </w:pPr>
            <w:r w:rsidRPr="00E447F7">
              <w:t>6.93</w:t>
            </w:r>
          </w:p>
        </w:tc>
        <w:tc>
          <w:tcPr>
            <w:tcW w:w="1010" w:type="dxa"/>
            <w:noWrap/>
            <w:vAlign w:val="center"/>
            <w:hideMark/>
          </w:tcPr>
          <w:p w:rsidR="00D4559A" w:rsidRPr="00E447F7" w:rsidRDefault="00D4559A" w:rsidP="00D4559A">
            <w:pPr>
              <w:pStyle w:val="Tablewriting"/>
              <w:jc w:val="center"/>
            </w:pPr>
            <w:r w:rsidRPr="00E447F7">
              <w:t>5.67</w:t>
            </w:r>
          </w:p>
        </w:tc>
        <w:tc>
          <w:tcPr>
            <w:tcW w:w="1010" w:type="dxa"/>
            <w:vAlign w:val="center"/>
          </w:tcPr>
          <w:p w:rsidR="00D4559A" w:rsidRPr="00E447F7" w:rsidRDefault="00D4559A" w:rsidP="00D4559A">
            <w:pPr>
              <w:pStyle w:val="Tablewriting"/>
              <w:jc w:val="center"/>
            </w:pPr>
            <w:r w:rsidRPr="00E447F7">
              <w:t>6.31</w:t>
            </w:r>
          </w:p>
        </w:tc>
      </w:tr>
      <w:tr w:rsidR="00D4559A" w:rsidRPr="00E447F7" w:rsidTr="006943DF">
        <w:trPr>
          <w:trHeight w:val="300"/>
        </w:trPr>
        <w:tc>
          <w:tcPr>
            <w:tcW w:w="993" w:type="dxa"/>
            <w:noWrap/>
            <w:vAlign w:val="center"/>
            <w:hideMark/>
          </w:tcPr>
          <w:p w:rsidR="00D4559A" w:rsidRPr="00E447F7" w:rsidRDefault="00D4559A" w:rsidP="00D4559A">
            <w:pPr>
              <w:pStyle w:val="Tablewriting"/>
            </w:pPr>
            <w:r w:rsidRPr="00E447F7">
              <w:t xml:space="preserve"> 2012 </w:t>
            </w:r>
          </w:p>
        </w:tc>
        <w:tc>
          <w:tcPr>
            <w:tcW w:w="1009" w:type="dxa"/>
            <w:noWrap/>
            <w:vAlign w:val="center"/>
            <w:hideMark/>
          </w:tcPr>
          <w:p w:rsidR="00D4559A" w:rsidRPr="00E447F7" w:rsidRDefault="00D4559A" w:rsidP="00D4559A">
            <w:pPr>
              <w:pStyle w:val="Tablewriting"/>
              <w:jc w:val="center"/>
            </w:pPr>
            <w:r w:rsidRPr="00E447F7">
              <w:t>6.98</w:t>
            </w:r>
          </w:p>
        </w:tc>
        <w:tc>
          <w:tcPr>
            <w:tcW w:w="1010" w:type="dxa"/>
            <w:noWrap/>
            <w:vAlign w:val="center"/>
            <w:hideMark/>
          </w:tcPr>
          <w:p w:rsidR="00D4559A" w:rsidRPr="00E447F7" w:rsidRDefault="00D4559A" w:rsidP="00D4559A">
            <w:pPr>
              <w:pStyle w:val="Tablewriting"/>
              <w:jc w:val="center"/>
            </w:pPr>
            <w:r w:rsidRPr="00E447F7">
              <w:t>7.71</w:t>
            </w:r>
          </w:p>
        </w:tc>
        <w:tc>
          <w:tcPr>
            <w:tcW w:w="1010" w:type="dxa"/>
            <w:noWrap/>
            <w:vAlign w:val="center"/>
            <w:hideMark/>
          </w:tcPr>
          <w:p w:rsidR="00D4559A" w:rsidRPr="00E447F7" w:rsidRDefault="00D4559A" w:rsidP="00D4559A">
            <w:pPr>
              <w:pStyle w:val="Tablewriting"/>
              <w:jc w:val="center"/>
            </w:pPr>
            <w:r w:rsidRPr="00E447F7">
              <w:t>5.56</w:t>
            </w:r>
          </w:p>
        </w:tc>
        <w:tc>
          <w:tcPr>
            <w:tcW w:w="1010" w:type="dxa"/>
            <w:noWrap/>
            <w:vAlign w:val="center"/>
            <w:hideMark/>
          </w:tcPr>
          <w:p w:rsidR="00D4559A" w:rsidRPr="00E447F7" w:rsidRDefault="00D4559A" w:rsidP="00D4559A">
            <w:pPr>
              <w:pStyle w:val="Tablewriting"/>
              <w:jc w:val="center"/>
            </w:pPr>
            <w:r w:rsidRPr="00E447F7">
              <w:t>6.46</w:t>
            </w:r>
          </w:p>
        </w:tc>
        <w:tc>
          <w:tcPr>
            <w:tcW w:w="1010" w:type="dxa"/>
            <w:noWrap/>
            <w:vAlign w:val="center"/>
            <w:hideMark/>
          </w:tcPr>
          <w:p w:rsidR="00D4559A" w:rsidRPr="00E447F7" w:rsidRDefault="00D4559A" w:rsidP="00D4559A">
            <w:pPr>
              <w:pStyle w:val="Tablewriting"/>
              <w:jc w:val="center"/>
            </w:pPr>
            <w:r w:rsidRPr="00E447F7">
              <w:t>7.17</w:t>
            </w:r>
          </w:p>
        </w:tc>
        <w:tc>
          <w:tcPr>
            <w:tcW w:w="1010" w:type="dxa"/>
            <w:noWrap/>
            <w:vAlign w:val="center"/>
            <w:hideMark/>
          </w:tcPr>
          <w:p w:rsidR="00D4559A" w:rsidRPr="00E447F7" w:rsidRDefault="00D4559A" w:rsidP="00D4559A">
            <w:pPr>
              <w:pStyle w:val="Tablewriting"/>
              <w:jc w:val="center"/>
            </w:pPr>
            <w:r w:rsidRPr="00E447F7">
              <w:t>7.82</w:t>
            </w:r>
          </w:p>
        </w:tc>
        <w:tc>
          <w:tcPr>
            <w:tcW w:w="1010" w:type="dxa"/>
            <w:noWrap/>
            <w:vAlign w:val="center"/>
            <w:hideMark/>
          </w:tcPr>
          <w:p w:rsidR="00D4559A" w:rsidRPr="00E447F7" w:rsidRDefault="00D4559A" w:rsidP="00D4559A">
            <w:pPr>
              <w:pStyle w:val="Tablewriting"/>
              <w:jc w:val="center"/>
            </w:pPr>
            <w:r w:rsidRPr="00E447F7">
              <w:t>5.84</w:t>
            </w:r>
          </w:p>
        </w:tc>
        <w:tc>
          <w:tcPr>
            <w:tcW w:w="1010" w:type="dxa"/>
            <w:vAlign w:val="center"/>
          </w:tcPr>
          <w:p w:rsidR="00D4559A" w:rsidRPr="00E447F7" w:rsidRDefault="00D4559A" w:rsidP="00D4559A">
            <w:pPr>
              <w:pStyle w:val="Tablewriting"/>
              <w:jc w:val="center"/>
            </w:pPr>
            <w:r w:rsidRPr="00E447F7">
              <w:t>6.50</w:t>
            </w:r>
          </w:p>
        </w:tc>
      </w:tr>
      <w:tr w:rsidR="00D4559A" w:rsidRPr="00E447F7" w:rsidTr="006943DF">
        <w:trPr>
          <w:trHeight w:val="300"/>
        </w:trPr>
        <w:tc>
          <w:tcPr>
            <w:tcW w:w="993" w:type="dxa"/>
            <w:noWrap/>
            <w:vAlign w:val="center"/>
            <w:hideMark/>
          </w:tcPr>
          <w:p w:rsidR="00D4559A" w:rsidRPr="00E447F7" w:rsidRDefault="00D4559A" w:rsidP="00D4559A">
            <w:pPr>
              <w:pStyle w:val="Tablewriting"/>
            </w:pPr>
            <w:r w:rsidRPr="00E447F7">
              <w:t xml:space="preserve"> 2013 </w:t>
            </w:r>
          </w:p>
        </w:tc>
        <w:tc>
          <w:tcPr>
            <w:tcW w:w="1009" w:type="dxa"/>
            <w:noWrap/>
            <w:vAlign w:val="center"/>
            <w:hideMark/>
          </w:tcPr>
          <w:p w:rsidR="00D4559A" w:rsidRPr="00E447F7" w:rsidRDefault="00D4559A" w:rsidP="00D4559A">
            <w:pPr>
              <w:pStyle w:val="Tablewriting"/>
              <w:jc w:val="center"/>
            </w:pPr>
            <w:r w:rsidRPr="00E447F7">
              <w:t>6.68</w:t>
            </w:r>
          </w:p>
        </w:tc>
        <w:tc>
          <w:tcPr>
            <w:tcW w:w="1010" w:type="dxa"/>
            <w:noWrap/>
            <w:vAlign w:val="center"/>
            <w:hideMark/>
          </w:tcPr>
          <w:p w:rsidR="00D4559A" w:rsidRPr="00E447F7" w:rsidRDefault="00D4559A" w:rsidP="00D4559A">
            <w:pPr>
              <w:pStyle w:val="Tablewriting"/>
              <w:jc w:val="center"/>
            </w:pPr>
            <w:r w:rsidRPr="00E447F7">
              <w:t>7.44</w:t>
            </w:r>
          </w:p>
        </w:tc>
        <w:tc>
          <w:tcPr>
            <w:tcW w:w="1010" w:type="dxa"/>
            <w:noWrap/>
            <w:vAlign w:val="center"/>
            <w:hideMark/>
          </w:tcPr>
          <w:p w:rsidR="00D4559A" w:rsidRPr="00E447F7" w:rsidRDefault="00D4559A" w:rsidP="00D4559A">
            <w:pPr>
              <w:pStyle w:val="Tablewriting"/>
              <w:jc w:val="center"/>
            </w:pPr>
            <w:r w:rsidRPr="00E447F7">
              <w:t>5.80</w:t>
            </w:r>
          </w:p>
        </w:tc>
        <w:tc>
          <w:tcPr>
            <w:tcW w:w="1010" w:type="dxa"/>
            <w:noWrap/>
            <w:vAlign w:val="center"/>
            <w:hideMark/>
          </w:tcPr>
          <w:p w:rsidR="00D4559A" w:rsidRPr="00E447F7" w:rsidRDefault="00D4559A" w:rsidP="00D4559A">
            <w:pPr>
              <w:pStyle w:val="Tablewriting"/>
              <w:jc w:val="center"/>
            </w:pPr>
            <w:r w:rsidRPr="00E447F7">
              <w:t>6.49</w:t>
            </w:r>
          </w:p>
        </w:tc>
        <w:tc>
          <w:tcPr>
            <w:tcW w:w="1010" w:type="dxa"/>
            <w:noWrap/>
            <w:vAlign w:val="center"/>
            <w:hideMark/>
          </w:tcPr>
          <w:p w:rsidR="00D4559A" w:rsidRPr="00E447F7" w:rsidRDefault="00D4559A" w:rsidP="00D4559A">
            <w:pPr>
              <w:pStyle w:val="Tablewriting"/>
              <w:jc w:val="center"/>
            </w:pPr>
            <w:r w:rsidRPr="00E447F7">
              <w:t>6.82</w:t>
            </w:r>
          </w:p>
        </w:tc>
        <w:tc>
          <w:tcPr>
            <w:tcW w:w="1010" w:type="dxa"/>
            <w:noWrap/>
            <w:vAlign w:val="center"/>
            <w:hideMark/>
          </w:tcPr>
          <w:p w:rsidR="00D4559A" w:rsidRPr="00E447F7" w:rsidRDefault="00D4559A" w:rsidP="00D4559A">
            <w:pPr>
              <w:pStyle w:val="Tablewriting"/>
              <w:jc w:val="center"/>
            </w:pPr>
            <w:r w:rsidRPr="00E447F7">
              <w:t>7.57</w:t>
            </w:r>
          </w:p>
        </w:tc>
        <w:tc>
          <w:tcPr>
            <w:tcW w:w="1010" w:type="dxa"/>
            <w:noWrap/>
            <w:vAlign w:val="center"/>
            <w:hideMark/>
          </w:tcPr>
          <w:p w:rsidR="00D4559A" w:rsidRPr="00E447F7" w:rsidRDefault="00D4559A" w:rsidP="00D4559A">
            <w:pPr>
              <w:pStyle w:val="Tablewriting"/>
              <w:jc w:val="center"/>
            </w:pPr>
            <w:r w:rsidRPr="00E447F7">
              <w:t>5.80</w:t>
            </w:r>
          </w:p>
        </w:tc>
        <w:tc>
          <w:tcPr>
            <w:tcW w:w="1010" w:type="dxa"/>
            <w:vAlign w:val="center"/>
          </w:tcPr>
          <w:p w:rsidR="00D4559A" w:rsidRPr="00E447F7" w:rsidRDefault="00D4559A" w:rsidP="00D4559A">
            <w:pPr>
              <w:pStyle w:val="Tablewriting"/>
              <w:jc w:val="center"/>
            </w:pPr>
            <w:r w:rsidRPr="00E447F7">
              <w:t>6.62</w:t>
            </w:r>
          </w:p>
        </w:tc>
      </w:tr>
      <w:tr w:rsidR="00D4559A" w:rsidRPr="008808C7" w:rsidTr="006943DF">
        <w:trPr>
          <w:trHeight w:val="300"/>
        </w:trPr>
        <w:tc>
          <w:tcPr>
            <w:tcW w:w="993" w:type="dxa"/>
            <w:noWrap/>
            <w:vAlign w:val="center"/>
            <w:hideMark/>
          </w:tcPr>
          <w:p w:rsidR="00D4559A" w:rsidRPr="00E447F7" w:rsidRDefault="00D4559A" w:rsidP="00D4559A">
            <w:pPr>
              <w:pStyle w:val="Tablewriting"/>
            </w:pPr>
            <w:r w:rsidRPr="00E447F7">
              <w:t xml:space="preserve"> 2014 </w:t>
            </w:r>
          </w:p>
        </w:tc>
        <w:tc>
          <w:tcPr>
            <w:tcW w:w="1009" w:type="dxa"/>
            <w:noWrap/>
            <w:vAlign w:val="center"/>
            <w:hideMark/>
          </w:tcPr>
          <w:p w:rsidR="00D4559A" w:rsidRPr="00E447F7" w:rsidRDefault="00D4559A" w:rsidP="00D4559A">
            <w:pPr>
              <w:pStyle w:val="Tablewriting"/>
              <w:jc w:val="center"/>
            </w:pPr>
            <w:r w:rsidRPr="00E447F7">
              <w:t>6.72</w:t>
            </w:r>
          </w:p>
        </w:tc>
        <w:tc>
          <w:tcPr>
            <w:tcW w:w="1010" w:type="dxa"/>
            <w:noWrap/>
            <w:vAlign w:val="center"/>
            <w:hideMark/>
          </w:tcPr>
          <w:p w:rsidR="00D4559A" w:rsidRPr="00E447F7" w:rsidRDefault="00D4559A" w:rsidP="00D4559A">
            <w:pPr>
              <w:pStyle w:val="Tablewriting"/>
              <w:jc w:val="center"/>
            </w:pPr>
            <w:r w:rsidRPr="00E447F7">
              <w:t>7.30</w:t>
            </w:r>
          </w:p>
        </w:tc>
        <w:tc>
          <w:tcPr>
            <w:tcW w:w="1010" w:type="dxa"/>
            <w:noWrap/>
            <w:vAlign w:val="center"/>
            <w:hideMark/>
          </w:tcPr>
          <w:p w:rsidR="00D4559A" w:rsidRPr="00E447F7" w:rsidRDefault="00D4559A" w:rsidP="00D4559A">
            <w:pPr>
              <w:pStyle w:val="Tablewriting"/>
              <w:jc w:val="center"/>
            </w:pPr>
            <w:r w:rsidRPr="00E447F7">
              <w:t>6.68</w:t>
            </w:r>
          </w:p>
        </w:tc>
        <w:tc>
          <w:tcPr>
            <w:tcW w:w="1010" w:type="dxa"/>
            <w:noWrap/>
            <w:vAlign w:val="center"/>
            <w:hideMark/>
          </w:tcPr>
          <w:p w:rsidR="00D4559A" w:rsidRPr="00E447F7" w:rsidRDefault="00D4559A" w:rsidP="00D4559A">
            <w:pPr>
              <w:pStyle w:val="Tablewriting"/>
              <w:jc w:val="center"/>
            </w:pPr>
            <w:r w:rsidRPr="00E447F7">
              <w:t>6.50</w:t>
            </w:r>
          </w:p>
        </w:tc>
        <w:tc>
          <w:tcPr>
            <w:tcW w:w="1010" w:type="dxa"/>
            <w:noWrap/>
            <w:vAlign w:val="center"/>
            <w:hideMark/>
          </w:tcPr>
          <w:p w:rsidR="00D4559A" w:rsidRPr="00E447F7" w:rsidRDefault="00D4559A" w:rsidP="00D4559A">
            <w:pPr>
              <w:pStyle w:val="Tablewriting"/>
              <w:jc w:val="center"/>
            </w:pPr>
            <w:r w:rsidRPr="00E447F7">
              <w:t>6.84</w:t>
            </w:r>
          </w:p>
        </w:tc>
        <w:tc>
          <w:tcPr>
            <w:tcW w:w="1010" w:type="dxa"/>
            <w:noWrap/>
            <w:vAlign w:val="center"/>
            <w:hideMark/>
          </w:tcPr>
          <w:p w:rsidR="00D4559A" w:rsidRPr="00E447F7" w:rsidRDefault="00D4559A" w:rsidP="00D4559A">
            <w:pPr>
              <w:pStyle w:val="Tablewriting"/>
              <w:jc w:val="center"/>
            </w:pPr>
            <w:r w:rsidRPr="00E447F7">
              <w:t>7.54</w:t>
            </w:r>
          </w:p>
        </w:tc>
        <w:tc>
          <w:tcPr>
            <w:tcW w:w="1010" w:type="dxa"/>
            <w:noWrap/>
            <w:vAlign w:val="center"/>
            <w:hideMark/>
          </w:tcPr>
          <w:p w:rsidR="00D4559A" w:rsidRPr="00E447F7" w:rsidRDefault="00D4559A" w:rsidP="00D4559A">
            <w:pPr>
              <w:pStyle w:val="Tablewriting"/>
              <w:jc w:val="center"/>
            </w:pPr>
            <w:r w:rsidRPr="00E447F7">
              <w:t>6.05</w:t>
            </w:r>
          </w:p>
        </w:tc>
        <w:tc>
          <w:tcPr>
            <w:tcW w:w="1010" w:type="dxa"/>
            <w:vAlign w:val="center"/>
          </w:tcPr>
          <w:p w:rsidR="00D4559A" w:rsidRPr="00E447F7" w:rsidRDefault="00D4559A" w:rsidP="00D4559A">
            <w:pPr>
              <w:pStyle w:val="Tablewriting"/>
              <w:jc w:val="center"/>
            </w:pPr>
            <w:r w:rsidRPr="00E447F7">
              <w:t>6.51</w:t>
            </w:r>
          </w:p>
        </w:tc>
      </w:tr>
    </w:tbl>
    <w:p w:rsidR="00D4559A" w:rsidRDefault="00D4559A" w:rsidP="00D4559A">
      <w:pPr>
        <w:pStyle w:val="Notes"/>
        <w:rPr>
          <w:highlight w:val="yellow"/>
        </w:rPr>
      </w:pPr>
      <w:r w:rsidRPr="00A457CF">
        <w:t>Source: DHS Medicare Pharmacy Claims database, accessed April 2015</w:t>
      </w:r>
      <w:r>
        <w:br/>
        <w:t>Patients with an ‘unknown’ state are excluded</w:t>
      </w:r>
    </w:p>
    <w:p w:rsidR="006A44F5" w:rsidRDefault="00D4559A" w:rsidP="00D4559A">
      <w:r>
        <w:t xml:space="preserve">Possible reasons for the different rates of treatment could include access to ophthalmologists, remoteness and awareness of the disease and its symptoms. Overall, these tables suggest that treatment rates could grow much more in the future if capacity </w:t>
      </w:r>
      <w:r>
        <w:lastRenderedPageBreak/>
        <w:t>increases or access improves, particularly in Victoria, South Australia and Western Australia.</w:t>
      </w:r>
      <w:r w:rsidR="006A44F5" w:rsidRPr="005E22C2">
        <w:t xml:space="preserve"> </w:t>
      </w:r>
    </w:p>
    <w:p w:rsidR="0050667A" w:rsidRPr="0050667A" w:rsidRDefault="001B5D37" w:rsidP="00F43940">
      <w:pPr>
        <w:pStyle w:val="Heading3"/>
      </w:pPr>
      <w:r w:rsidRPr="005E22C2">
        <w:t xml:space="preserve">Analysis </w:t>
      </w:r>
      <w:r w:rsidR="00481108" w:rsidRPr="005E22C2">
        <w:t xml:space="preserve">of </w:t>
      </w:r>
      <w:r w:rsidR="0063631C">
        <w:t>e</w:t>
      </w:r>
      <w:r w:rsidR="00736041" w:rsidRPr="005E22C2">
        <w:t>xpenditure</w:t>
      </w:r>
    </w:p>
    <w:p w:rsidR="009D20DA" w:rsidRPr="00463D3A" w:rsidRDefault="009D20DA" w:rsidP="009D20DA">
      <w:pPr>
        <w:pStyle w:val="Tabletitle"/>
        <w:keepNext/>
      </w:pPr>
      <w:r w:rsidRPr="00463D3A">
        <w:t>Table</w:t>
      </w:r>
      <w:r>
        <w:t xml:space="preserve"> 1</w:t>
      </w:r>
      <w:r w:rsidR="004F27C3">
        <w:t>7</w:t>
      </w:r>
      <w:r>
        <w:t>: PBS benefits for aflibercept and ranibizumab</w:t>
      </w:r>
    </w:p>
    <w:tbl>
      <w:tblPr>
        <w:tblW w:w="69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729"/>
        <w:gridCol w:w="1557"/>
        <w:gridCol w:w="1500"/>
      </w:tblGrid>
      <w:tr w:rsidR="009D20DA" w:rsidRPr="0069151D" w:rsidTr="00336BC3">
        <w:trPr>
          <w:trHeight w:val="300"/>
        </w:trPr>
        <w:tc>
          <w:tcPr>
            <w:tcW w:w="2120" w:type="dxa"/>
            <w:shd w:val="clear" w:color="auto" w:fill="BFBFBF" w:themeFill="background1" w:themeFillShade="BF"/>
            <w:noWrap/>
            <w:vAlign w:val="center"/>
            <w:hideMark/>
          </w:tcPr>
          <w:p w:rsidR="009D20DA" w:rsidRPr="0069151D" w:rsidRDefault="009D20DA" w:rsidP="00336BC3">
            <w:pPr>
              <w:pStyle w:val="Tableheading"/>
              <w:rPr>
                <w:sz w:val="20"/>
                <w:szCs w:val="20"/>
              </w:rPr>
            </w:pPr>
          </w:p>
        </w:tc>
        <w:tc>
          <w:tcPr>
            <w:tcW w:w="1729" w:type="dxa"/>
            <w:shd w:val="clear" w:color="auto" w:fill="BFBFBF" w:themeFill="background1" w:themeFillShade="BF"/>
            <w:noWrap/>
            <w:vAlign w:val="center"/>
            <w:hideMark/>
          </w:tcPr>
          <w:p w:rsidR="009D20DA" w:rsidRPr="0069151D" w:rsidRDefault="009D20DA" w:rsidP="00336BC3">
            <w:pPr>
              <w:pStyle w:val="Tableheading"/>
              <w:rPr>
                <w:sz w:val="20"/>
                <w:szCs w:val="20"/>
              </w:rPr>
            </w:pPr>
            <w:r w:rsidRPr="0069151D">
              <w:rPr>
                <w:sz w:val="20"/>
                <w:szCs w:val="20"/>
              </w:rPr>
              <w:t>Aflibercept</w:t>
            </w:r>
          </w:p>
        </w:tc>
        <w:tc>
          <w:tcPr>
            <w:tcW w:w="1557" w:type="dxa"/>
            <w:shd w:val="clear" w:color="auto" w:fill="BFBFBF" w:themeFill="background1" w:themeFillShade="BF"/>
            <w:noWrap/>
            <w:vAlign w:val="center"/>
            <w:hideMark/>
          </w:tcPr>
          <w:p w:rsidR="009D20DA" w:rsidRPr="0069151D" w:rsidRDefault="009D20DA" w:rsidP="00336BC3">
            <w:pPr>
              <w:pStyle w:val="Tableheading"/>
              <w:rPr>
                <w:sz w:val="20"/>
                <w:szCs w:val="20"/>
              </w:rPr>
            </w:pPr>
            <w:r w:rsidRPr="0069151D">
              <w:rPr>
                <w:sz w:val="20"/>
                <w:szCs w:val="20"/>
              </w:rPr>
              <w:t>Ranibizumab</w:t>
            </w:r>
          </w:p>
        </w:tc>
        <w:tc>
          <w:tcPr>
            <w:tcW w:w="1500" w:type="dxa"/>
            <w:shd w:val="clear" w:color="auto" w:fill="BFBFBF" w:themeFill="background1" w:themeFillShade="BF"/>
            <w:noWrap/>
            <w:vAlign w:val="center"/>
            <w:hideMark/>
          </w:tcPr>
          <w:p w:rsidR="009D20DA" w:rsidRPr="0069151D" w:rsidRDefault="009D20DA" w:rsidP="00336BC3">
            <w:pPr>
              <w:pStyle w:val="Tableheading"/>
              <w:rPr>
                <w:sz w:val="20"/>
                <w:szCs w:val="20"/>
              </w:rPr>
            </w:pPr>
            <w:r w:rsidRPr="0069151D">
              <w:rPr>
                <w:sz w:val="20"/>
                <w:szCs w:val="20"/>
              </w:rPr>
              <w:t>Total</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2007</w:t>
            </w:r>
          </w:p>
        </w:tc>
        <w:tc>
          <w:tcPr>
            <w:tcW w:w="1729" w:type="dxa"/>
            <w:shd w:val="clear" w:color="auto" w:fill="auto"/>
            <w:noWrap/>
            <w:vAlign w:val="center"/>
            <w:hideMark/>
          </w:tcPr>
          <w:p w:rsidR="009D20DA" w:rsidRPr="00142AFD" w:rsidRDefault="009D20DA" w:rsidP="00336BC3">
            <w:pPr>
              <w:pStyle w:val="Tablewriting"/>
              <w:jc w:val="right"/>
            </w:pP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$35,849,734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$35,849,734 </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2008</w:t>
            </w:r>
          </w:p>
        </w:tc>
        <w:tc>
          <w:tcPr>
            <w:tcW w:w="1729" w:type="dxa"/>
            <w:shd w:val="clear" w:color="auto" w:fill="auto"/>
            <w:noWrap/>
            <w:vAlign w:val="center"/>
            <w:hideMark/>
          </w:tcPr>
          <w:p w:rsidR="009D20DA" w:rsidRPr="00142AFD" w:rsidRDefault="009D20DA" w:rsidP="00336BC3">
            <w:pPr>
              <w:pStyle w:val="Tablewriting"/>
              <w:jc w:val="right"/>
            </w:pP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$123,364,942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$123,364,942 </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2009</w:t>
            </w:r>
          </w:p>
        </w:tc>
        <w:tc>
          <w:tcPr>
            <w:tcW w:w="1729" w:type="dxa"/>
            <w:shd w:val="clear" w:color="auto" w:fill="auto"/>
            <w:noWrap/>
            <w:vAlign w:val="center"/>
            <w:hideMark/>
          </w:tcPr>
          <w:p w:rsidR="009D20DA" w:rsidRPr="00142AFD" w:rsidRDefault="009D20DA" w:rsidP="00336BC3">
            <w:pPr>
              <w:pStyle w:val="Tablewriting"/>
              <w:jc w:val="right"/>
            </w:pP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$194,130,068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$194,130,068 </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2010</w:t>
            </w:r>
          </w:p>
        </w:tc>
        <w:tc>
          <w:tcPr>
            <w:tcW w:w="1729" w:type="dxa"/>
            <w:shd w:val="clear" w:color="auto" w:fill="auto"/>
            <w:noWrap/>
            <w:vAlign w:val="center"/>
            <w:hideMark/>
          </w:tcPr>
          <w:p w:rsidR="009D20DA" w:rsidRPr="00142AFD" w:rsidRDefault="009D20DA" w:rsidP="00336BC3">
            <w:pPr>
              <w:pStyle w:val="Tablewriting"/>
              <w:jc w:val="right"/>
            </w:pP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$276,229,289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$276,229,289 </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2011</w:t>
            </w:r>
          </w:p>
        </w:tc>
        <w:tc>
          <w:tcPr>
            <w:tcW w:w="1729" w:type="dxa"/>
            <w:shd w:val="clear" w:color="auto" w:fill="auto"/>
            <w:noWrap/>
            <w:vAlign w:val="center"/>
            <w:hideMark/>
          </w:tcPr>
          <w:p w:rsidR="009D20DA" w:rsidRPr="00142AFD" w:rsidRDefault="009D20DA" w:rsidP="00336BC3">
            <w:pPr>
              <w:pStyle w:val="Tablewriting"/>
              <w:jc w:val="right"/>
            </w:pP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$340,159,478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$340,159,478 </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2012</w:t>
            </w:r>
          </w:p>
        </w:tc>
        <w:tc>
          <w:tcPr>
            <w:tcW w:w="1729" w:type="dxa"/>
            <w:shd w:val="clear" w:color="auto" w:fill="auto"/>
            <w:noWrap/>
            <w:vAlign w:val="center"/>
            <w:hideMark/>
          </w:tcPr>
          <w:p w:rsidR="009D20DA" w:rsidRPr="00142AFD" w:rsidRDefault="009D20DA" w:rsidP="00336BC3">
            <w:pPr>
              <w:pStyle w:val="Tablewriting"/>
              <w:jc w:val="right"/>
            </w:pPr>
            <w:r w:rsidRPr="00142AFD">
              <w:t xml:space="preserve"> $6,520,989 </w:t>
            </w: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$395,044,070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$401,565,059 </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2013</w:t>
            </w:r>
          </w:p>
        </w:tc>
        <w:tc>
          <w:tcPr>
            <w:tcW w:w="1729" w:type="dxa"/>
            <w:shd w:val="clear" w:color="auto" w:fill="auto"/>
            <w:noWrap/>
            <w:vAlign w:val="center"/>
            <w:hideMark/>
          </w:tcPr>
          <w:p w:rsidR="009D20DA" w:rsidRPr="00142AFD" w:rsidRDefault="009D20DA" w:rsidP="00336BC3">
            <w:pPr>
              <w:pStyle w:val="Tablewriting"/>
              <w:jc w:val="right"/>
            </w:pPr>
            <w:r w:rsidRPr="00142AFD">
              <w:t xml:space="preserve"> $162,235,818 </w:t>
            </w: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$192,669,235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$354,905,053 </w:t>
            </w:r>
          </w:p>
        </w:tc>
      </w:tr>
      <w:tr w:rsidR="009D20DA" w:rsidRPr="00142AFD" w:rsidTr="00336BC3">
        <w:trPr>
          <w:trHeight w:val="300"/>
        </w:trPr>
        <w:tc>
          <w:tcPr>
            <w:tcW w:w="2120" w:type="dxa"/>
            <w:shd w:val="clear" w:color="auto" w:fill="auto"/>
            <w:noWrap/>
            <w:vAlign w:val="center"/>
            <w:hideMark/>
          </w:tcPr>
          <w:p w:rsidR="009D20DA" w:rsidRPr="00142AFD" w:rsidRDefault="009D20DA" w:rsidP="00336BC3">
            <w:pPr>
              <w:pStyle w:val="Tablewriting"/>
            </w:pPr>
            <w:r w:rsidRPr="00142AFD">
              <w:t>2014</w:t>
            </w:r>
          </w:p>
        </w:tc>
        <w:tc>
          <w:tcPr>
            <w:tcW w:w="1729" w:type="dxa"/>
            <w:shd w:val="clear" w:color="auto" w:fill="auto"/>
            <w:noWrap/>
            <w:vAlign w:val="center"/>
            <w:hideMark/>
          </w:tcPr>
          <w:p w:rsidR="009D20DA" w:rsidRPr="00142AFD" w:rsidRDefault="009D20DA" w:rsidP="00336BC3">
            <w:pPr>
              <w:pStyle w:val="Tablewriting"/>
              <w:jc w:val="right"/>
            </w:pPr>
            <w:r w:rsidRPr="00142AFD">
              <w:t xml:space="preserve"> $181,632,805 </w:t>
            </w:r>
          </w:p>
        </w:tc>
        <w:tc>
          <w:tcPr>
            <w:tcW w:w="1557" w:type="dxa"/>
            <w:shd w:val="clear" w:color="auto" w:fill="auto"/>
            <w:noWrap/>
            <w:vAlign w:val="center"/>
            <w:hideMark/>
          </w:tcPr>
          <w:p w:rsidR="009D20DA" w:rsidRPr="00142AFD" w:rsidRDefault="009D20DA" w:rsidP="00336BC3">
            <w:pPr>
              <w:pStyle w:val="Tablewriting"/>
              <w:jc w:val="right"/>
            </w:pPr>
            <w:r w:rsidRPr="00142AFD">
              <w:t xml:space="preserve"> $173,690,065 </w:t>
            </w:r>
          </w:p>
        </w:tc>
        <w:tc>
          <w:tcPr>
            <w:tcW w:w="1500" w:type="dxa"/>
            <w:shd w:val="clear" w:color="auto" w:fill="auto"/>
            <w:noWrap/>
            <w:vAlign w:val="center"/>
            <w:hideMark/>
          </w:tcPr>
          <w:p w:rsidR="009D20DA" w:rsidRPr="00142AFD" w:rsidRDefault="009D20DA" w:rsidP="00336BC3">
            <w:pPr>
              <w:pStyle w:val="Tablewriting"/>
              <w:jc w:val="right"/>
            </w:pPr>
            <w:r w:rsidRPr="00142AFD">
              <w:t xml:space="preserve"> $355,322,870 </w:t>
            </w:r>
          </w:p>
        </w:tc>
      </w:tr>
      <w:tr w:rsidR="009D20DA" w:rsidRPr="00142AFD" w:rsidTr="00336BC3">
        <w:trPr>
          <w:trHeight w:val="300"/>
        </w:trPr>
        <w:tc>
          <w:tcPr>
            <w:tcW w:w="2120" w:type="dxa"/>
            <w:shd w:val="clear" w:color="auto" w:fill="auto"/>
            <w:noWrap/>
            <w:vAlign w:val="center"/>
          </w:tcPr>
          <w:p w:rsidR="009D20DA" w:rsidRPr="00142AFD" w:rsidRDefault="009D20DA" w:rsidP="00336BC3">
            <w:pPr>
              <w:pStyle w:val="Tablewriting"/>
              <w:rPr>
                <w:b/>
              </w:rPr>
            </w:pPr>
            <w:r w:rsidRPr="00142AFD">
              <w:rPr>
                <w:b/>
              </w:rPr>
              <w:t xml:space="preserve">Grand Total </w:t>
            </w:r>
          </w:p>
        </w:tc>
        <w:tc>
          <w:tcPr>
            <w:tcW w:w="1729" w:type="dxa"/>
            <w:shd w:val="clear" w:color="auto" w:fill="auto"/>
            <w:noWrap/>
            <w:vAlign w:val="center"/>
          </w:tcPr>
          <w:p w:rsidR="009D20DA" w:rsidRPr="00142AFD" w:rsidRDefault="009D20DA" w:rsidP="00336BC3">
            <w:pPr>
              <w:pStyle w:val="Tablewriting"/>
              <w:jc w:val="right"/>
              <w:rPr>
                <w:b/>
              </w:rPr>
            </w:pPr>
            <w:r>
              <w:rPr>
                <w:b/>
              </w:rPr>
              <w:t xml:space="preserve"> $350,389,612</w:t>
            </w:r>
            <w:r w:rsidRPr="00142AFD">
              <w:rPr>
                <w:b/>
              </w:rPr>
              <w:t xml:space="preserve"> </w:t>
            </w:r>
          </w:p>
        </w:tc>
        <w:tc>
          <w:tcPr>
            <w:tcW w:w="1557" w:type="dxa"/>
            <w:shd w:val="clear" w:color="auto" w:fill="auto"/>
            <w:noWrap/>
            <w:vAlign w:val="center"/>
          </w:tcPr>
          <w:p w:rsidR="009D20DA" w:rsidRPr="00142AFD" w:rsidRDefault="009D20DA" w:rsidP="00336BC3">
            <w:pPr>
              <w:pStyle w:val="Tablewriting"/>
              <w:jc w:val="right"/>
              <w:rPr>
                <w:b/>
              </w:rPr>
            </w:pPr>
            <w:r>
              <w:rPr>
                <w:b/>
              </w:rPr>
              <w:t>$1,731,136,882</w:t>
            </w:r>
            <w:r w:rsidRPr="00142AFD">
              <w:rPr>
                <w:b/>
              </w:rPr>
              <w:t xml:space="preserve"> </w:t>
            </w:r>
          </w:p>
        </w:tc>
        <w:tc>
          <w:tcPr>
            <w:tcW w:w="1500" w:type="dxa"/>
            <w:shd w:val="clear" w:color="auto" w:fill="auto"/>
            <w:noWrap/>
            <w:vAlign w:val="center"/>
          </w:tcPr>
          <w:p w:rsidR="009D20DA" w:rsidRPr="00142AFD" w:rsidRDefault="009D20DA" w:rsidP="00336BC3">
            <w:pPr>
              <w:pStyle w:val="Tablewriting"/>
              <w:jc w:val="right"/>
              <w:rPr>
                <w:b/>
              </w:rPr>
            </w:pPr>
            <w:r>
              <w:rPr>
                <w:b/>
              </w:rPr>
              <w:t>$2,081,526,494</w:t>
            </w:r>
            <w:r w:rsidRPr="00142AFD">
              <w:rPr>
                <w:b/>
              </w:rPr>
              <w:t xml:space="preserve"> </w:t>
            </w:r>
          </w:p>
        </w:tc>
      </w:tr>
    </w:tbl>
    <w:p w:rsidR="009D20DA" w:rsidRPr="00A211EA" w:rsidRDefault="009D20DA" w:rsidP="009D20DA">
      <w:pPr>
        <w:pStyle w:val="Notes"/>
      </w:pPr>
      <w:r w:rsidRPr="004F2FA4">
        <w:t>Source: DHS Medicare Pharmacy Claims database using date of supply, which may be slightly different to publicly available Medicare Australia date of processing data, accessed April 2015</w:t>
      </w:r>
    </w:p>
    <w:p w:rsidR="009D20DA" w:rsidRDefault="009D20DA" w:rsidP="009D20DA">
      <w:r w:rsidRPr="00463D3A">
        <w:t>The expenditure shown is based on the price published in the PBS schedule</w:t>
      </w:r>
      <w:r>
        <w:t>.</w:t>
      </w:r>
      <w:r w:rsidRPr="00463D3A">
        <w:t xml:space="preserve"> A special pricing arrangement applies to aflibercept and ranibizumab and the published price of aflibercept and ranibizumab was lowered from $1</w:t>
      </w:r>
      <w:r>
        <w:t>,</w:t>
      </w:r>
      <w:r w:rsidRPr="00463D3A">
        <w:t>976.</w:t>
      </w:r>
      <w:r>
        <w:t>4</w:t>
      </w:r>
      <w:r w:rsidRPr="00463D3A">
        <w:t>6 to $1</w:t>
      </w:r>
      <w:r>
        <w:t>,</w:t>
      </w:r>
      <w:r w:rsidRPr="007E5F5B">
        <w:t>431.26</w:t>
      </w:r>
      <w:r w:rsidRPr="00463D3A">
        <w:t xml:space="preserve"> </w:t>
      </w:r>
      <w:r>
        <w:t xml:space="preserve">on 1 April 2013. </w:t>
      </w:r>
    </w:p>
    <w:p w:rsidR="00F43940" w:rsidRPr="0050667A" w:rsidRDefault="0058491A" w:rsidP="00F43940">
      <w:r>
        <w:t xml:space="preserve">The </w:t>
      </w:r>
      <w:r w:rsidR="00F43940" w:rsidRPr="0050667A">
        <w:t>DUSC considered it important to note that Commonwealth expenditure presented in this report only relates to PBS expenditure. There are significant additional costs involved in treatment of wet AMD including MBS injection fees.</w:t>
      </w:r>
    </w:p>
    <w:p w:rsidR="00736041" w:rsidRPr="005E22C2" w:rsidRDefault="00D151EB" w:rsidP="00FE645A">
      <w:pPr>
        <w:pStyle w:val="Heading3"/>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9D20DA" w:rsidRDefault="009D20DA" w:rsidP="009D20DA">
      <w:r>
        <w:t xml:space="preserve">This section of the report compares the predicted and actual utilisation of aflibercept in the first 2 years of PBS listing (1 December 2012 to 30 November 2014). </w:t>
      </w:r>
    </w:p>
    <w:p w:rsidR="009D20DA" w:rsidRDefault="009D20DA" w:rsidP="009D20DA">
      <w:r>
        <w:t>Two key uncertainties identified at the time of listing are examined:</w:t>
      </w:r>
    </w:p>
    <w:p w:rsidR="009D20DA" w:rsidRDefault="009D20DA" w:rsidP="009D20DA">
      <w:pPr>
        <w:pStyle w:val="ListParagraph"/>
        <w:numPr>
          <w:ilvl w:val="0"/>
          <w:numId w:val="6"/>
        </w:numPr>
      </w:pPr>
      <w:r>
        <w:t>the extent of uptake in new and continuing patients</w:t>
      </w:r>
    </w:p>
    <w:p w:rsidR="009D20DA" w:rsidRDefault="009D20DA" w:rsidP="009D20DA">
      <w:pPr>
        <w:pStyle w:val="ListParagraph"/>
        <w:numPr>
          <w:ilvl w:val="0"/>
          <w:numId w:val="6"/>
        </w:numPr>
      </w:pPr>
      <w:r>
        <w:t>the number of injections per patient</w:t>
      </w:r>
    </w:p>
    <w:p w:rsidR="009D20DA" w:rsidRPr="009F29EB" w:rsidRDefault="009D20DA" w:rsidP="009D20DA">
      <w:pPr>
        <w:rPr>
          <w:b/>
          <w:i/>
        </w:rPr>
      </w:pPr>
      <w:r w:rsidRPr="009F29EB">
        <w:rPr>
          <w:b/>
          <w:i/>
        </w:rPr>
        <w:t>Uptake of aflibercept</w:t>
      </w:r>
    </w:p>
    <w:p w:rsidR="009D20DA" w:rsidRPr="009F29EB" w:rsidRDefault="009D20DA" w:rsidP="009D20DA">
      <w:r w:rsidRPr="009F29EB">
        <w:t xml:space="preserve">The uptake of aflibercept in newly diagnosed patients was predicted to be </w:t>
      </w:r>
      <w:r w:rsidR="0067116D">
        <w:rPr>
          <w:noProof/>
          <w:color w:val="000000"/>
          <w:highlight w:val="black"/>
        </w:rPr>
        <w:t>''''''''</w:t>
      </w:r>
      <w:r w:rsidRPr="009F29EB">
        <w:t xml:space="preserve"> in Year 1 and </w:t>
      </w:r>
      <w:r w:rsidR="0067116D">
        <w:rPr>
          <w:noProof/>
          <w:color w:val="000000"/>
          <w:highlight w:val="black"/>
        </w:rPr>
        <w:t>''''''''</w:t>
      </w:r>
      <w:r w:rsidRPr="009F29EB">
        <w:t xml:space="preserve"> in Year 2. For existing patients treated with ranibizumab, </w:t>
      </w:r>
      <w:r w:rsidR="0067116D">
        <w:rPr>
          <w:noProof/>
          <w:color w:val="000000"/>
          <w:highlight w:val="black"/>
        </w:rPr>
        <w:t>'''''''</w:t>
      </w:r>
      <w:r w:rsidRPr="009F29EB">
        <w:t xml:space="preserve"> of patients were predicted to switch to aflibercept in Year 1 and </w:t>
      </w:r>
      <w:r w:rsidR="0067116D">
        <w:rPr>
          <w:noProof/>
          <w:color w:val="000000"/>
          <w:highlight w:val="black"/>
        </w:rPr>
        <w:t>''''''''</w:t>
      </w:r>
      <w:r w:rsidRPr="009F29EB">
        <w:t xml:space="preserve"> in Year 2 of listing.</w:t>
      </w:r>
    </w:p>
    <w:p w:rsidR="009D20DA" w:rsidRDefault="009D20DA" w:rsidP="009D20DA">
      <w:r w:rsidRPr="009F29EB">
        <w:t xml:space="preserve">Table </w:t>
      </w:r>
      <w:r w:rsidR="004539AF" w:rsidRPr="009F29EB">
        <w:t>1</w:t>
      </w:r>
      <w:r w:rsidR="004F27C3" w:rsidRPr="009F29EB">
        <w:t>8</w:t>
      </w:r>
      <w:r w:rsidRPr="009F29EB">
        <w:t xml:space="preserve"> </w:t>
      </w:r>
      <w:r>
        <w:t xml:space="preserve">shows the number of patients commencing treatment for AMD in the first two years following PBS listing of aflibercept. </w:t>
      </w:r>
    </w:p>
    <w:p w:rsidR="009D20DA" w:rsidRPr="00731970" w:rsidRDefault="009D20DA" w:rsidP="009D20DA">
      <w:pPr>
        <w:spacing w:after="0"/>
        <w:rPr>
          <w:b/>
        </w:rPr>
      </w:pPr>
      <w:r w:rsidRPr="00731970">
        <w:rPr>
          <w:b/>
        </w:rPr>
        <w:lastRenderedPageBreak/>
        <w:t xml:space="preserve">Table </w:t>
      </w:r>
      <w:r w:rsidR="004539AF">
        <w:rPr>
          <w:b/>
        </w:rPr>
        <w:t>1</w:t>
      </w:r>
      <w:r w:rsidR="004F27C3">
        <w:rPr>
          <w:b/>
        </w:rPr>
        <w:t>8</w:t>
      </w:r>
      <w:r w:rsidRPr="00731970">
        <w:rPr>
          <w:b/>
        </w:rPr>
        <w:t>: New (incident)</w:t>
      </w:r>
      <w:r w:rsidRPr="005D67F4">
        <w:rPr>
          <w:b/>
          <w:vertAlign w:val="superscript"/>
        </w:rPr>
        <w:t>a</w:t>
      </w:r>
      <w:r w:rsidRPr="00731970">
        <w:rPr>
          <w:b/>
        </w:rPr>
        <w:t xml:space="preserve"> patients treated with aflibercept or ranibizumab</w:t>
      </w: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3"/>
        <w:gridCol w:w="3211"/>
        <w:gridCol w:w="3211"/>
      </w:tblGrid>
      <w:tr w:rsidR="009D20DA" w:rsidRPr="003F71CB" w:rsidTr="006943DF">
        <w:trPr>
          <w:cantSplit/>
          <w:trHeight w:val="271"/>
        </w:trPr>
        <w:tc>
          <w:tcPr>
            <w:tcW w:w="1458" w:type="pct"/>
            <w:shd w:val="clear" w:color="auto" w:fill="BFBFBF" w:themeFill="background1" w:themeFillShade="BF"/>
            <w:tcMar>
              <w:top w:w="0" w:type="dxa"/>
              <w:left w:w="108" w:type="dxa"/>
              <w:bottom w:w="0" w:type="dxa"/>
              <w:right w:w="108" w:type="dxa"/>
            </w:tcMar>
            <w:vAlign w:val="center"/>
            <w:hideMark/>
          </w:tcPr>
          <w:p w:rsidR="009D20DA" w:rsidRPr="003F71CB" w:rsidRDefault="009D20DA" w:rsidP="00336BC3">
            <w:pPr>
              <w:pStyle w:val="Tableheading"/>
              <w:rPr>
                <w:sz w:val="20"/>
                <w:szCs w:val="20"/>
                <w:lang w:eastAsia="en-US"/>
              </w:rPr>
            </w:pPr>
          </w:p>
        </w:tc>
        <w:tc>
          <w:tcPr>
            <w:tcW w:w="1771" w:type="pct"/>
            <w:shd w:val="clear" w:color="auto" w:fill="BFBFBF" w:themeFill="background1" w:themeFillShade="BF"/>
            <w:tcMar>
              <w:top w:w="0" w:type="dxa"/>
              <w:left w:w="108" w:type="dxa"/>
              <w:bottom w:w="0" w:type="dxa"/>
              <w:right w:w="108" w:type="dxa"/>
            </w:tcMar>
            <w:hideMark/>
          </w:tcPr>
          <w:p w:rsidR="009D20DA" w:rsidRPr="003F71CB" w:rsidRDefault="009D20DA" w:rsidP="00336BC3">
            <w:pPr>
              <w:pStyle w:val="Tableheading"/>
              <w:rPr>
                <w:sz w:val="20"/>
                <w:szCs w:val="20"/>
              </w:rPr>
            </w:pPr>
            <w:r w:rsidRPr="003F71CB">
              <w:rPr>
                <w:sz w:val="20"/>
                <w:szCs w:val="20"/>
              </w:rPr>
              <w:t>Year 1</w:t>
            </w:r>
          </w:p>
          <w:p w:rsidR="009D20DA" w:rsidRPr="003F71CB" w:rsidRDefault="009D20DA" w:rsidP="00336BC3">
            <w:pPr>
              <w:pStyle w:val="Tableheading"/>
              <w:rPr>
                <w:sz w:val="20"/>
                <w:szCs w:val="20"/>
              </w:rPr>
            </w:pPr>
            <w:r w:rsidRPr="003F71CB">
              <w:rPr>
                <w:sz w:val="20"/>
                <w:szCs w:val="20"/>
              </w:rPr>
              <w:t>Dec 12 –Nov 13</w:t>
            </w:r>
          </w:p>
        </w:tc>
        <w:tc>
          <w:tcPr>
            <w:tcW w:w="1771" w:type="pct"/>
            <w:shd w:val="clear" w:color="auto" w:fill="BFBFBF" w:themeFill="background1" w:themeFillShade="BF"/>
            <w:tcMar>
              <w:top w:w="0" w:type="dxa"/>
              <w:left w:w="108" w:type="dxa"/>
              <w:bottom w:w="0" w:type="dxa"/>
              <w:right w:w="108" w:type="dxa"/>
            </w:tcMar>
          </w:tcPr>
          <w:p w:rsidR="009D20DA" w:rsidRPr="003F71CB" w:rsidRDefault="009D20DA" w:rsidP="00336BC3">
            <w:pPr>
              <w:pStyle w:val="Tableheading"/>
              <w:rPr>
                <w:sz w:val="20"/>
                <w:szCs w:val="20"/>
              </w:rPr>
            </w:pPr>
            <w:r w:rsidRPr="003F71CB">
              <w:rPr>
                <w:sz w:val="20"/>
                <w:szCs w:val="20"/>
              </w:rPr>
              <w:t>Year 2</w:t>
            </w:r>
          </w:p>
          <w:p w:rsidR="009D20DA" w:rsidRPr="003F71CB" w:rsidRDefault="009D20DA" w:rsidP="00336BC3">
            <w:pPr>
              <w:pStyle w:val="Tableheading"/>
              <w:rPr>
                <w:i/>
                <w:iCs/>
                <w:sz w:val="20"/>
                <w:szCs w:val="20"/>
                <w:lang w:eastAsia="en-US"/>
              </w:rPr>
            </w:pPr>
            <w:r w:rsidRPr="003F71CB">
              <w:rPr>
                <w:sz w:val="20"/>
                <w:szCs w:val="20"/>
              </w:rPr>
              <w:t>Dec 13 –Nov 14</w:t>
            </w:r>
          </w:p>
        </w:tc>
      </w:tr>
      <w:tr w:rsidR="009D20DA" w:rsidRPr="009E08B2" w:rsidTr="006943DF">
        <w:tc>
          <w:tcPr>
            <w:tcW w:w="1458" w:type="pct"/>
            <w:tcMar>
              <w:top w:w="0" w:type="dxa"/>
              <w:left w:w="108" w:type="dxa"/>
              <w:bottom w:w="0" w:type="dxa"/>
              <w:right w:w="108" w:type="dxa"/>
            </w:tcMar>
            <w:vAlign w:val="center"/>
            <w:hideMark/>
          </w:tcPr>
          <w:p w:rsidR="009D20DA" w:rsidRPr="009E08B2" w:rsidRDefault="009D20DA" w:rsidP="00336BC3">
            <w:pPr>
              <w:pStyle w:val="Tablewriting"/>
              <w:rPr>
                <w:rFonts w:eastAsiaTheme="minorHAnsi"/>
                <w:lang w:eastAsia="en-US"/>
              </w:rPr>
            </w:pPr>
            <w:r w:rsidRPr="009E08B2">
              <w:t>Aflibercept</w:t>
            </w:r>
          </w:p>
        </w:tc>
        <w:tc>
          <w:tcPr>
            <w:tcW w:w="1771" w:type="pct"/>
            <w:tcMar>
              <w:top w:w="0" w:type="dxa"/>
              <w:left w:w="108" w:type="dxa"/>
              <w:bottom w:w="0" w:type="dxa"/>
              <w:right w:w="108" w:type="dxa"/>
            </w:tcMar>
            <w:vAlign w:val="center"/>
          </w:tcPr>
          <w:p w:rsidR="009D20DA" w:rsidRPr="00B610B6" w:rsidRDefault="009D20DA" w:rsidP="00336BC3">
            <w:pPr>
              <w:pStyle w:val="Tablewriting"/>
              <w:jc w:val="center"/>
              <w:rPr>
                <w:rFonts w:eastAsiaTheme="minorHAnsi" w:cs="Arial"/>
                <w:lang w:eastAsia="en-US"/>
              </w:rPr>
            </w:pPr>
            <w:r w:rsidRPr="00B610B6">
              <w:t>4,277</w:t>
            </w:r>
          </w:p>
        </w:tc>
        <w:tc>
          <w:tcPr>
            <w:tcW w:w="1771" w:type="pct"/>
            <w:tcMar>
              <w:top w:w="0" w:type="dxa"/>
              <w:left w:w="108" w:type="dxa"/>
              <w:bottom w:w="0" w:type="dxa"/>
              <w:right w:w="108" w:type="dxa"/>
            </w:tcMar>
            <w:vAlign w:val="center"/>
          </w:tcPr>
          <w:p w:rsidR="009D20DA" w:rsidRPr="00B610B6" w:rsidRDefault="009D20DA" w:rsidP="00336BC3">
            <w:pPr>
              <w:pStyle w:val="Tablewriting"/>
              <w:jc w:val="center"/>
              <w:rPr>
                <w:rFonts w:eastAsiaTheme="minorHAnsi" w:cs="Arial"/>
                <w:lang w:eastAsia="en-US"/>
              </w:rPr>
            </w:pPr>
            <w:r w:rsidRPr="00B610B6">
              <w:t>3,457</w:t>
            </w:r>
          </w:p>
        </w:tc>
      </w:tr>
      <w:tr w:rsidR="009D20DA" w:rsidRPr="009E08B2" w:rsidTr="006943DF">
        <w:tc>
          <w:tcPr>
            <w:tcW w:w="1458" w:type="pct"/>
            <w:tcMar>
              <w:top w:w="0" w:type="dxa"/>
              <w:left w:w="108" w:type="dxa"/>
              <w:bottom w:w="0" w:type="dxa"/>
              <w:right w:w="108" w:type="dxa"/>
            </w:tcMar>
            <w:vAlign w:val="center"/>
            <w:hideMark/>
          </w:tcPr>
          <w:p w:rsidR="009D20DA" w:rsidRPr="009E08B2" w:rsidRDefault="009D20DA" w:rsidP="00336BC3">
            <w:pPr>
              <w:pStyle w:val="Tablewriting"/>
              <w:rPr>
                <w:rFonts w:eastAsiaTheme="minorHAnsi"/>
                <w:lang w:eastAsia="en-US"/>
              </w:rPr>
            </w:pPr>
            <w:r w:rsidRPr="009E08B2">
              <w:t>Ranibizumab</w:t>
            </w:r>
          </w:p>
        </w:tc>
        <w:tc>
          <w:tcPr>
            <w:tcW w:w="1771" w:type="pct"/>
            <w:tcMar>
              <w:top w:w="0" w:type="dxa"/>
              <w:left w:w="108" w:type="dxa"/>
              <w:bottom w:w="0" w:type="dxa"/>
              <w:right w:w="108" w:type="dxa"/>
            </w:tcMar>
            <w:vAlign w:val="center"/>
          </w:tcPr>
          <w:p w:rsidR="009D20DA" w:rsidRPr="00B610B6" w:rsidRDefault="009D20DA" w:rsidP="00336BC3">
            <w:pPr>
              <w:pStyle w:val="Tablewriting"/>
              <w:jc w:val="center"/>
              <w:rPr>
                <w:rFonts w:eastAsiaTheme="minorHAnsi" w:cs="Arial"/>
                <w:lang w:eastAsia="en-US"/>
              </w:rPr>
            </w:pPr>
            <w:r w:rsidRPr="00B610B6">
              <w:t>3,469</w:t>
            </w:r>
          </w:p>
        </w:tc>
        <w:tc>
          <w:tcPr>
            <w:tcW w:w="1771" w:type="pct"/>
            <w:tcMar>
              <w:top w:w="0" w:type="dxa"/>
              <w:left w:w="108" w:type="dxa"/>
              <w:bottom w:w="0" w:type="dxa"/>
              <w:right w:w="108" w:type="dxa"/>
            </w:tcMar>
            <w:vAlign w:val="center"/>
          </w:tcPr>
          <w:p w:rsidR="009D20DA" w:rsidRPr="00B610B6" w:rsidRDefault="009D20DA" w:rsidP="00336BC3">
            <w:pPr>
              <w:pStyle w:val="Tablewriting"/>
              <w:jc w:val="center"/>
              <w:rPr>
                <w:rFonts w:eastAsiaTheme="minorHAnsi" w:cs="Arial"/>
                <w:lang w:eastAsia="en-US"/>
              </w:rPr>
            </w:pPr>
            <w:r w:rsidRPr="00B610B6">
              <w:t>4,214</w:t>
            </w:r>
          </w:p>
        </w:tc>
      </w:tr>
      <w:tr w:rsidR="009D20DA" w:rsidRPr="009E08B2" w:rsidTr="006943DF">
        <w:tc>
          <w:tcPr>
            <w:tcW w:w="1458" w:type="pct"/>
            <w:tcMar>
              <w:top w:w="0" w:type="dxa"/>
              <w:left w:w="108" w:type="dxa"/>
              <w:bottom w:w="0" w:type="dxa"/>
              <w:right w:w="108" w:type="dxa"/>
            </w:tcMar>
            <w:vAlign w:val="center"/>
            <w:hideMark/>
          </w:tcPr>
          <w:p w:rsidR="009D20DA" w:rsidRPr="009E08B2" w:rsidRDefault="009D20DA" w:rsidP="00336BC3">
            <w:pPr>
              <w:pStyle w:val="Tablewriting"/>
              <w:rPr>
                <w:rFonts w:eastAsiaTheme="minorHAnsi"/>
                <w:lang w:eastAsia="en-US"/>
              </w:rPr>
            </w:pPr>
            <w:r w:rsidRPr="009E08B2">
              <w:t xml:space="preserve">Total </w:t>
            </w:r>
            <w:r>
              <w:t xml:space="preserve">new patients </w:t>
            </w:r>
          </w:p>
        </w:tc>
        <w:tc>
          <w:tcPr>
            <w:tcW w:w="1771" w:type="pct"/>
            <w:tcMar>
              <w:top w:w="0" w:type="dxa"/>
              <w:left w:w="108" w:type="dxa"/>
              <w:bottom w:w="0" w:type="dxa"/>
              <w:right w:w="108" w:type="dxa"/>
            </w:tcMar>
            <w:vAlign w:val="center"/>
          </w:tcPr>
          <w:p w:rsidR="009D20DA" w:rsidRPr="00B610B6" w:rsidRDefault="009D20DA" w:rsidP="00336BC3">
            <w:pPr>
              <w:pStyle w:val="Tablewriting"/>
              <w:jc w:val="center"/>
              <w:rPr>
                <w:rFonts w:eastAsiaTheme="minorHAnsi" w:cs="Arial"/>
                <w:lang w:eastAsia="en-US"/>
              </w:rPr>
            </w:pPr>
            <w:r w:rsidRPr="00B610B6">
              <w:rPr>
                <w:bCs/>
              </w:rPr>
              <w:t>7,746</w:t>
            </w:r>
          </w:p>
        </w:tc>
        <w:tc>
          <w:tcPr>
            <w:tcW w:w="1771" w:type="pct"/>
            <w:tcMar>
              <w:top w:w="0" w:type="dxa"/>
              <w:left w:w="108" w:type="dxa"/>
              <w:bottom w:w="0" w:type="dxa"/>
              <w:right w:w="108" w:type="dxa"/>
            </w:tcMar>
            <w:vAlign w:val="center"/>
          </w:tcPr>
          <w:p w:rsidR="009D20DA" w:rsidRPr="00B610B6" w:rsidRDefault="009D20DA" w:rsidP="00336BC3">
            <w:pPr>
              <w:pStyle w:val="Tablewriting"/>
              <w:jc w:val="center"/>
              <w:rPr>
                <w:rFonts w:eastAsiaTheme="minorHAnsi" w:cs="Arial"/>
                <w:lang w:eastAsia="en-US"/>
              </w:rPr>
            </w:pPr>
            <w:r w:rsidRPr="00B610B6">
              <w:rPr>
                <w:bCs/>
              </w:rPr>
              <w:t>7,671</w:t>
            </w:r>
          </w:p>
        </w:tc>
      </w:tr>
    </w:tbl>
    <w:p w:rsidR="009D20DA" w:rsidRPr="0066750F" w:rsidRDefault="009D20DA" w:rsidP="009D20DA">
      <w:pPr>
        <w:pStyle w:val="Notes"/>
      </w:pPr>
      <w:r w:rsidRPr="00A457CF">
        <w:t>Source: DHS Medicare Pharmacy Claims database, accessed April 2015</w:t>
      </w:r>
      <w:r>
        <w:rPr>
          <w:vertAlign w:val="superscript"/>
        </w:rPr>
        <w:br/>
      </w:r>
      <w:r w:rsidRPr="005D67F4">
        <w:rPr>
          <w:vertAlign w:val="superscript"/>
        </w:rPr>
        <w:t>a</w:t>
      </w:r>
      <w:r w:rsidRPr="0066750F">
        <w:t>defined as those who have never had a PBS prescription for aflibercept o</w:t>
      </w:r>
      <w:r>
        <w:t>r</w:t>
      </w:r>
      <w:r w:rsidRPr="0066750F">
        <w:t xml:space="preserve"> ranibizumab.</w:t>
      </w:r>
    </w:p>
    <w:p w:rsidR="009D20DA" w:rsidRPr="002449FA" w:rsidRDefault="009D20DA" w:rsidP="009D20DA">
      <w:r>
        <w:t xml:space="preserve">Of the 7,746 patients who initiated AMD treatment in Year 1, 55% initiated on aflibercept and 45% initiated on ranibizumab. In Year 2, the market share in new patients reversed, with 45% of </w:t>
      </w:r>
      <w:r w:rsidRPr="002449FA">
        <w:t xml:space="preserve">patients starting on aflibercept and 55% on ranibizumab. Uptake of aflibercept in new patients has been higher than expected. </w:t>
      </w:r>
    </w:p>
    <w:p w:rsidR="009D20DA" w:rsidRDefault="009D20DA" w:rsidP="009D20DA">
      <w:r w:rsidRPr="002449FA">
        <w:t xml:space="preserve">The data in Table </w:t>
      </w:r>
      <w:r w:rsidR="00053F14" w:rsidRPr="002449FA">
        <w:t>1</w:t>
      </w:r>
      <w:r w:rsidR="004F27C3" w:rsidRPr="002449FA">
        <w:t>8</w:t>
      </w:r>
      <w:r w:rsidRPr="002449FA">
        <w:t xml:space="preserve"> above </w:t>
      </w:r>
      <w:r w:rsidRPr="00D33BF8">
        <w:t>shows the first prescribed medicine. Of the 4,277 patients who initiated treatment with aflibercept in Year 1 of listing, 4,066 (95%) used only aflibercept in the next 12 months, with 211 (5%) switching to ranibizumab. A small number of these, 45, switched more than once. Of the 3,469 patients who initiated treatment with ranibizumab 2,757 patients (79%) only used ranibizumab in the next 12 months, 712 (21%) switched to aflibercept, including 85 who switched more than once.</w:t>
      </w:r>
      <w:r>
        <w:t xml:space="preserve"> </w:t>
      </w:r>
    </w:p>
    <w:p w:rsidR="009D20DA" w:rsidRPr="00AC4FA3" w:rsidRDefault="009D20DA" w:rsidP="009D20DA">
      <w:r w:rsidRPr="00AC4FA3">
        <w:t xml:space="preserve">To determine the </w:t>
      </w:r>
      <w:r>
        <w:t xml:space="preserve">proportion of continuing patients who switched to aflibercept, a cohort of patients supplied ranibizumab in the 12 months prior to aflibercept listing (1 December 2011 to 30 November 2012), was identified. </w:t>
      </w:r>
    </w:p>
    <w:p w:rsidR="009D20DA" w:rsidRDefault="009D20DA" w:rsidP="009D20DA">
      <w:r>
        <w:t xml:space="preserve">As shown in Table </w:t>
      </w:r>
      <w:r w:rsidR="004F27C3">
        <w:t>19</w:t>
      </w:r>
      <w:r>
        <w:t xml:space="preserve">, 28,899 patients were treated with ranibizumab in the year prior to aflibercept listing, and 24,265 received at least one prescription of either drug in the following year. </w:t>
      </w:r>
    </w:p>
    <w:p w:rsidR="009D20DA" w:rsidRDefault="009D20DA" w:rsidP="009D20DA">
      <w:pPr>
        <w:spacing w:after="0"/>
        <w:rPr>
          <w:b/>
        </w:rPr>
      </w:pPr>
      <w:r w:rsidRPr="00B604C9">
        <w:rPr>
          <w:b/>
        </w:rPr>
        <w:t xml:space="preserve">Table </w:t>
      </w:r>
      <w:r w:rsidR="004F27C3">
        <w:rPr>
          <w:b/>
        </w:rPr>
        <w:t>19</w:t>
      </w:r>
      <w:r w:rsidRPr="00B604C9">
        <w:rPr>
          <w:b/>
        </w:rPr>
        <w:t>: Patterns of use of aflibercept in patients previously treated with ranibizumab</w:t>
      </w:r>
    </w:p>
    <w:tbl>
      <w:tblPr>
        <w:tblStyle w:val="TableGrid"/>
        <w:tblW w:w="0" w:type="auto"/>
        <w:tblInd w:w="108" w:type="dxa"/>
        <w:tblLook w:val="04A0" w:firstRow="1" w:lastRow="0" w:firstColumn="1" w:lastColumn="0" w:noHBand="0" w:noVBand="1"/>
        <w:tblCaption w:val="Patterns of use of aflibercept in patients previously treated with ranibizumab"/>
        <w:tblDescription w:val="Patterns of use of aflibercept in patients previously treated with ranibizumab"/>
      </w:tblPr>
      <w:tblGrid>
        <w:gridCol w:w="6096"/>
        <w:gridCol w:w="1134"/>
        <w:gridCol w:w="1417"/>
      </w:tblGrid>
      <w:tr w:rsidR="009D20DA" w:rsidTr="006943DF">
        <w:trPr>
          <w:tblHeader/>
        </w:trPr>
        <w:tc>
          <w:tcPr>
            <w:tcW w:w="6096" w:type="dxa"/>
            <w:tcBorders>
              <w:bottom w:val="single" w:sz="4" w:space="0" w:color="auto"/>
            </w:tcBorders>
          </w:tcPr>
          <w:p w:rsidR="009D20DA" w:rsidRDefault="009D20DA" w:rsidP="00336BC3">
            <w:pPr>
              <w:rPr>
                <w:b/>
              </w:rPr>
            </w:pPr>
            <w:r w:rsidRPr="009E08B2">
              <w:rPr>
                <w:rFonts w:cs="Arial"/>
                <w:sz w:val="20"/>
                <w:szCs w:val="20"/>
              </w:rPr>
              <w:t>AMD patients</w:t>
            </w:r>
            <w:r>
              <w:rPr>
                <w:rFonts w:cs="Arial"/>
                <w:sz w:val="20"/>
                <w:szCs w:val="20"/>
              </w:rPr>
              <w:t xml:space="preserve"> treated</w:t>
            </w:r>
            <w:r w:rsidRPr="009E08B2">
              <w:rPr>
                <w:rFonts w:cs="Arial"/>
                <w:sz w:val="20"/>
                <w:szCs w:val="20"/>
              </w:rPr>
              <w:t xml:space="preserve"> </w:t>
            </w:r>
            <w:r>
              <w:rPr>
                <w:rFonts w:cs="Arial"/>
                <w:sz w:val="20"/>
                <w:szCs w:val="20"/>
              </w:rPr>
              <w:t xml:space="preserve">with ranibizumab </w:t>
            </w:r>
            <w:r w:rsidRPr="009E08B2">
              <w:rPr>
                <w:rFonts w:cs="Arial"/>
                <w:sz w:val="20"/>
                <w:szCs w:val="20"/>
              </w:rPr>
              <w:t>in year prior to aflibercept listing (Dec 11-Nov 12)</w:t>
            </w:r>
          </w:p>
        </w:tc>
        <w:tc>
          <w:tcPr>
            <w:tcW w:w="1134" w:type="dxa"/>
            <w:tcBorders>
              <w:bottom w:val="single" w:sz="4" w:space="0" w:color="auto"/>
            </w:tcBorders>
          </w:tcPr>
          <w:p w:rsidR="009D20DA" w:rsidRDefault="009D20DA" w:rsidP="00336BC3">
            <w:pPr>
              <w:rPr>
                <w:b/>
              </w:rPr>
            </w:pPr>
            <w:r>
              <w:rPr>
                <w:rFonts w:eastAsiaTheme="minorHAnsi" w:cs="Arial"/>
                <w:sz w:val="20"/>
                <w:szCs w:val="20"/>
                <w:lang w:eastAsia="en-US"/>
              </w:rPr>
              <w:t>28,899</w:t>
            </w:r>
          </w:p>
        </w:tc>
        <w:tc>
          <w:tcPr>
            <w:tcW w:w="1417" w:type="dxa"/>
            <w:tcBorders>
              <w:bottom w:val="single" w:sz="4" w:space="0" w:color="auto"/>
            </w:tcBorders>
          </w:tcPr>
          <w:p w:rsidR="009D20DA" w:rsidRDefault="009D20DA" w:rsidP="00336BC3">
            <w:pPr>
              <w:rPr>
                <w:b/>
              </w:rPr>
            </w:pPr>
          </w:p>
        </w:tc>
      </w:tr>
      <w:tr w:rsidR="009D20DA" w:rsidTr="006943DF">
        <w:trPr>
          <w:tblHeader/>
        </w:trPr>
        <w:tc>
          <w:tcPr>
            <w:tcW w:w="6096" w:type="dxa"/>
            <w:tcBorders>
              <w:bottom w:val="nil"/>
            </w:tcBorders>
          </w:tcPr>
          <w:p w:rsidR="009D20DA" w:rsidRDefault="009D20DA" w:rsidP="00336BC3">
            <w:pPr>
              <w:rPr>
                <w:b/>
              </w:rPr>
            </w:pPr>
            <w:r w:rsidRPr="009E08B2">
              <w:rPr>
                <w:rFonts w:cs="Arial"/>
                <w:sz w:val="20"/>
                <w:szCs w:val="20"/>
              </w:rPr>
              <w:t xml:space="preserve">AMD patients </w:t>
            </w:r>
            <w:r>
              <w:rPr>
                <w:rFonts w:cs="Arial"/>
                <w:sz w:val="20"/>
                <w:szCs w:val="20"/>
              </w:rPr>
              <w:t xml:space="preserve">treated with ranibizumab </w:t>
            </w:r>
            <w:r w:rsidRPr="009E08B2">
              <w:rPr>
                <w:rFonts w:cs="Arial"/>
                <w:sz w:val="20"/>
                <w:szCs w:val="20"/>
              </w:rPr>
              <w:t xml:space="preserve">in year prior to aflibercept listing </w:t>
            </w:r>
            <w:r>
              <w:rPr>
                <w:rFonts w:cs="Arial"/>
                <w:sz w:val="20"/>
                <w:szCs w:val="20"/>
              </w:rPr>
              <w:t>with at least one prescription of either drug in the following year (Dec 12</w:t>
            </w:r>
            <w:r>
              <w:rPr>
                <w:rFonts w:cs="Arial"/>
                <w:sz w:val="20"/>
                <w:szCs w:val="20"/>
              </w:rPr>
              <w:noBreakHyphen/>
              <w:t>Nov 13)</w:t>
            </w:r>
          </w:p>
        </w:tc>
        <w:tc>
          <w:tcPr>
            <w:tcW w:w="1134" w:type="dxa"/>
            <w:tcBorders>
              <w:bottom w:val="nil"/>
            </w:tcBorders>
          </w:tcPr>
          <w:p w:rsidR="009D20DA" w:rsidRDefault="009D20DA" w:rsidP="00336BC3">
            <w:pPr>
              <w:rPr>
                <w:b/>
              </w:rPr>
            </w:pPr>
            <w:r>
              <w:rPr>
                <w:rFonts w:eastAsiaTheme="minorHAnsi" w:cs="Arial"/>
                <w:sz w:val="20"/>
                <w:szCs w:val="20"/>
                <w:lang w:eastAsia="en-US"/>
              </w:rPr>
              <w:t xml:space="preserve">24,265 </w:t>
            </w:r>
          </w:p>
        </w:tc>
        <w:tc>
          <w:tcPr>
            <w:tcW w:w="1417" w:type="dxa"/>
            <w:tcBorders>
              <w:bottom w:val="nil"/>
            </w:tcBorders>
          </w:tcPr>
          <w:p w:rsidR="009D20DA" w:rsidRDefault="009D20DA" w:rsidP="00336BC3">
            <w:pPr>
              <w:rPr>
                <w:b/>
              </w:rPr>
            </w:pPr>
          </w:p>
        </w:tc>
      </w:tr>
      <w:tr w:rsidR="009D20DA" w:rsidTr="006943DF">
        <w:trPr>
          <w:tblHeader/>
        </w:trPr>
        <w:tc>
          <w:tcPr>
            <w:tcW w:w="6096" w:type="dxa"/>
            <w:tcBorders>
              <w:top w:val="nil"/>
            </w:tcBorders>
          </w:tcPr>
          <w:p w:rsidR="009D20DA" w:rsidRDefault="009D20DA" w:rsidP="00336BC3">
            <w:pPr>
              <w:rPr>
                <w:sz w:val="20"/>
                <w:szCs w:val="20"/>
              </w:rPr>
            </w:pPr>
            <w:r>
              <w:rPr>
                <w:sz w:val="20"/>
                <w:szCs w:val="20"/>
              </w:rPr>
              <w:t xml:space="preserve">       </w:t>
            </w:r>
            <w:r w:rsidRPr="0062260A">
              <w:rPr>
                <w:sz w:val="20"/>
                <w:szCs w:val="20"/>
              </w:rPr>
              <w:t>Number</w:t>
            </w:r>
            <w:r>
              <w:rPr>
                <w:sz w:val="20"/>
                <w:szCs w:val="20"/>
              </w:rPr>
              <w:t xml:space="preserve"> (%) of these in the year on: </w:t>
            </w:r>
          </w:p>
          <w:p w:rsidR="009D20DA" w:rsidRDefault="009D20DA" w:rsidP="00336BC3">
            <w:pPr>
              <w:rPr>
                <w:sz w:val="20"/>
                <w:szCs w:val="20"/>
              </w:rPr>
            </w:pPr>
            <w:r>
              <w:rPr>
                <w:sz w:val="20"/>
                <w:szCs w:val="20"/>
              </w:rPr>
              <w:t xml:space="preserve">         ranibizumab only</w:t>
            </w:r>
          </w:p>
          <w:p w:rsidR="009D20DA" w:rsidRDefault="009D20DA" w:rsidP="00336BC3">
            <w:pPr>
              <w:rPr>
                <w:sz w:val="20"/>
                <w:szCs w:val="20"/>
              </w:rPr>
            </w:pPr>
            <w:r>
              <w:rPr>
                <w:sz w:val="20"/>
                <w:szCs w:val="20"/>
              </w:rPr>
              <w:t xml:space="preserve">         aflibercept only</w:t>
            </w:r>
          </w:p>
          <w:p w:rsidR="009D20DA" w:rsidRDefault="009D20DA" w:rsidP="00336BC3">
            <w:pPr>
              <w:rPr>
                <w:sz w:val="20"/>
                <w:szCs w:val="20"/>
              </w:rPr>
            </w:pPr>
            <w:r>
              <w:rPr>
                <w:sz w:val="20"/>
                <w:szCs w:val="20"/>
              </w:rPr>
              <w:t xml:space="preserve">         ranibizumab and switched to aflibercept part way through year</w:t>
            </w:r>
          </w:p>
          <w:p w:rsidR="009D20DA" w:rsidRPr="0062260A" w:rsidRDefault="009D20DA" w:rsidP="00336BC3">
            <w:pPr>
              <w:rPr>
                <w:sz w:val="20"/>
                <w:szCs w:val="20"/>
              </w:rPr>
            </w:pPr>
            <w:r>
              <w:rPr>
                <w:sz w:val="20"/>
                <w:szCs w:val="20"/>
              </w:rPr>
              <w:t xml:space="preserve">         aflibercept and switched back to ranibizumab part way through year</w:t>
            </w:r>
          </w:p>
        </w:tc>
        <w:tc>
          <w:tcPr>
            <w:tcW w:w="1134" w:type="dxa"/>
            <w:tcBorders>
              <w:top w:val="nil"/>
            </w:tcBorders>
          </w:tcPr>
          <w:p w:rsidR="009D20DA" w:rsidRDefault="009D20DA" w:rsidP="00336BC3">
            <w:pPr>
              <w:rPr>
                <w:sz w:val="20"/>
                <w:szCs w:val="20"/>
              </w:rPr>
            </w:pPr>
            <w:r w:rsidRPr="0062260A">
              <w:rPr>
                <w:sz w:val="20"/>
                <w:szCs w:val="20"/>
              </w:rPr>
              <w:t xml:space="preserve">     </w:t>
            </w:r>
          </w:p>
          <w:p w:rsidR="009D20DA" w:rsidRPr="0062260A" w:rsidRDefault="009D20DA" w:rsidP="00336BC3">
            <w:pPr>
              <w:rPr>
                <w:sz w:val="20"/>
                <w:szCs w:val="20"/>
              </w:rPr>
            </w:pPr>
          </w:p>
        </w:tc>
        <w:tc>
          <w:tcPr>
            <w:tcW w:w="1417" w:type="dxa"/>
            <w:tcBorders>
              <w:top w:val="nil"/>
            </w:tcBorders>
          </w:tcPr>
          <w:p w:rsidR="009D20DA" w:rsidRDefault="009D20DA" w:rsidP="00336BC3">
            <w:pPr>
              <w:rPr>
                <w:sz w:val="20"/>
                <w:szCs w:val="20"/>
              </w:rPr>
            </w:pPr>
          </w:p>
          <w:p w:rsidR="009D20DA" w:rsidRDefault="009D20DA" w:rsidP="00336BC3">
            <w:pPr>
              <w:rPr>
                <w:sz w:val="20"/>
                <w:szCs w:val="20"/>
              </w:rPr>
            </w:pPr>
            <w:r w:rsidRPr="0062260A">
              <w:rPr>
                <w:sz w:val="20"/>
                <w:szCs w:val="20"/>
              </w:rPr>
              <w:t>13,489</w:t>
            </w:r>
            <w:r>
              <w:rPr>
                <w:sz w:val="20"/>
                <w:szCs w:val="20"/>
              </w:rPr>
              <w:t xml:space="preserve"> (56%)</w:t>
            </w:r>
          </w:p>
          <w:p w:rsidR="009D20DA" w:rsidRDefault="009D20DA" w:rsidP="00336BC3">
            <w:pPr>
              <w:rPr>
                <w:sz w:val="20"/>
                <w:szCs w:val="20"/>
              </w:rPr>
            </w:pPr>
            <w:r>
              <w:rPr>
                <w:sz w:val="20"/>
                <w:szCs w:val="20"/>
              </w:rPr>
              <w:t>3,499 (14%)</w:t>
            </w:r>
          </w:p>
          <w:p w:rsidR="009D20DA" w:rsidRDefault="009D20DA" w:rsidP="00336BC3">
            <w:pPr>
              <w:rPr>
                <w:sz w:val="20"/>
                <w:szCs w:val="20"/>
              </w:rPr>
            </w:pPr>
            <w:r>
              <w:rPr>
                <w:sz w:val="20"/>
                <w:szCs w:val="20"/>
              </w:rPr>
              <w:t>5,860 (24%)</w:t>
            </w:r>
          </w:p>
          <w:p w:rsidR="009D20DA" w:rsidRDefault="009D20DA" w:rsidP="00336BC3">
            <w:pPr>
              <w:rPr>
                <w:b/>
              </w:rPr>
            </w:pPr>
            <w:r>
              <w:rPr>
                <w:sz w:val="20"/>
                <w:szCs w:val="20"/>
              </w:rPr>
              <w:t>1,417 (6%)</w:t>
            </w:r>
          </w:p>
        </w:tc>
      </w:tr>
    </w:tbl>
    <w:p w:rsidR="009D20DA" w:rsidRDefault="009D20DA" w:rsidP="009D20DA">
      <w:pPr>
        <w:pStyle w:val="Notes"/>
      </w:pPr>
      <w:r w:rsidRPr="00D16E70">
        <w:t>Source: DHS Medicare Pharmacy Claim</w:t>
      </w:r>
      <w:r>
        <w:t>s database, accessed April 2015</w:t>
      </w:r>
    </w:p>
    <w:p w:rsidR="009D20DA" w:rsidRPr="002449FA" w:rsidRDefault="009D20DA" w:rsidP="009D20DA">
      <w:r w:rsidRPr="001C2211">
        <w:t>About half (56%) of existing patients continuing on treatment into the first year that aflibercept was available remained on ranibizumab. The remaining patient</w:t>
      </w:r>
      <w:r>
        <w:t>s</w:t>
      </w:r>
      <w:r w:rsidRPr="001C2211">
        <w:t xml:space="preserve"> (44%)</w:t>
      </w:r>
      <w:r>
        <w:t xml:space="preserve"> received at least one aflibercept prescription in the first year that it was available.  </w:t>
      </w:r>
      <w:r w:rsidRPr="002449FA">
        <w:t xml:space="preserve">Although regard is not given to the time during the year that patients switched to aflibercept, the overall finding of this analysis is that the uptake of aflibercept in existing patients has been much higher than expected. </w:t>
      </w:r>
    </w:p>
    <w:p w:rsidR="009D20DA" w:rsidRPr="00997E3D" w:rsidRDefault="009D20DA" w:rsidP="009D20DA">
      <w:r>
        <w:lastRenderedPageBreak/>
        <w:t xml:space="preserve">The analyses demonstrate that patients move between the two PBS subsidised treatment options in either direction. The reasons for switching cannot be ascertained from the prescription claim data but may include </w:t>
      </w:r>
      <w:r w:rsidRPr="00997E3D">
        <w:t>physician or patient preference,</w:t>
      </w:r>
      <w:r>
        <w:t xml:space="preserve"> or </w:t>
      </w:r>
      <w:r w:rsidRPr="00997E3D">
        <w:t xml:space="preserve">failure </w:t>
      </w:r>
      <w:r>
        <w:t>to respond</w:t>
      </w:r>
      <w:r w:rsidRPr="00997E3D">
        <w:t xml:space="preserve">.        </w:t>
      </w:r>
    </w:p>
    <w:p w:rsidR="009D20DA" w:rsidRPr="001B16CC" w:rsidRDefault="009D20DA" w:rsidP="009D20DA">
      <w:pPr>
        <w:rPr>
          <w:b/>
          <w:i/>
        </w:rPr>
      </w:pPr>
      <w:r>
        <w:rPr>
          <w:b/>
          <w:i/>
        </w:rPr>
        <w:t>Number of injections per patient</w:t>
      </w:r>
    </w:p>
    <w:p w:rsidR="009D20DA" w:rsidRPr="009F29EB" w:rsidRDefault="009D20DA" w:rsidP="009D20DA">
      <w:r>
        <w:t xml:space="preserve">For the cost-minimisation analysis, the submission for aflibercept compared a treatment frequency of ranibizumab of 8.8 injections per year (based on PBS data for 12 month </w:t>
      </w:r>
      <w:r w:rsidRPr="009F29EB">
        <w:t xml:space="preserve">continuers only) with 7 injections per year for aflibercept. </w:t>
      </w:r>
    </w:p>
    <w:p w:rsidR="009D20DA" w:rsidRPr="009F29EB" w:rsidRDefault="009D20DA" w:rsidP="009D20DA">
      <w:r w:rsidRPr="009F29EB">
        <w:t xml:space="preserve">In forecasting utilisation, the submission estimated in the first year of listing </w:t>
      </w:r>
      <w:r w:rsidR="0067116D">
        <w:rPr>
          <w:noProof/>
          <w:color w:val="000000"/>
          <w:highlight w:val="black"/>
        </w:rPr>
        <w:t>''''''''''''</w:t>
      </w:r>
      <w:r w:rsidRPr="009F29EB">
        <w:t xml:space="preserve"> of patients would be continuers and </w:t>
      </w:r>
      <w:r w:rsidR="0067116D">
        <w:rPr>
          <w:noProof/>
          <w:color w:val="000000"/>
          <w:highlight w:val="black"/>
        </w:rPr>
        <w:t>'''''''''''</w:t>
      </w:r>
      <w:r w:rsidRPr="009F29EB">
        <w:t xml:space="preserve"> would be discontinuers, and that continuers would use </w:t>
      </w:r>
      <w:r w:rsidR="0067116D">
        <w:rPr>
          <w:noProof/>
          <w:color w:val="000000"/>
          <w:highlight w:val="black"/>
        </w:rPr>
        <w:t>''''''</w:t>
      </w:r>
      <w:r w:rsidRPr="009F29EB">
        <w:t xml:space="preserve"> injections of aflibercept per year and discontinuers </w:t>
      </w:r>
      <w:r w:rsidR="0067116D">
        <w:rPr>
          <w:noProof/>
          <w:color w:val="000000"/>
          <w:highlight w:val="black"/>
        </w:rPr>
        <w:t>''''''</w:t>
      </w:r>
      <w:r w:rsidRPr="009F29EB">
        <w:t xml:space="preserve"> injections of aflibercept per year. The submission estimated ranibizumab continuers would use </w:t>
      </w:r>
      <w:r w:rsidR="0067116D">
        <w:rPr>
          <w:noProof/>
          <w:color w:val="000000"/>
          <w:highlight w:val="black"/>
        </w:rPr>
        <w:t>''''''</w:t>
      </w:r>
      <w:r w:rsidRPr="009F29EB">
        <w:t xml:space="preserve"> injections per year and discontinuers </w:t>
      </w:r>
      <w:r w:rsidR="0067116D">
        <w:rPr>
          <w:noProof/>
          <w:color w:val="000000"/>
          <w:highlight w:val="black"/>
        </w:rPr>
        <w:t>''''''</w:t>
      </w:r>
      <w:r w:rsidRPr="009F29EB">
        <w:t xml:space="preserve"> injections per year. Overall this equates to ranibizumab patients using </w:t>
      </w:r>
      <w:r w:rsidR="0067116D">
        <w:rPr>
          <w:noProof/>
          <w:color w:val="000000"/>
          <w:highlight w:val="black"/>
        </w:rPr>
        <w:t>''''''</w:t>
      </w:r>
      <w:r w:rsidRPr="009F29EB">
        <w:t xml:space="preserve"> injections per year and aflibercept patients </w:t>
      </w:r>
      <w:r w:rsidR="0067116D">
        <w:rPr>
          <w:noProof/>
          <w:color w:val="000000"/>
          <w:highlight w:val="black"/>
        </w:rPr>
        <w:t>'''''''</w:t>
      </w:r>
      <w:r w:rsidRPr="009F29EB">
        <w:t xml:space="preserve"> injections per year.</w:t>
      </w:r>
    </w:p>
    <w:p w:rsidR="009D20DA" w:rsidRDefault="009D20DA" w:rsidP="009D20DA">
      <w:r w:rsidRPr="009F29EB">
        <w:t xml:space="preserve">In recommending aflibercept for </w:t>
      </w:r>
      <w:r>
        <w:t>listing, the PBAC noted that there is a high degree of uncertainty regarding the number of injections that will be administered in clinical practice for aflibercept. The PBAC considered that the price of aflibercept should be based on an injection: injection basis with ranibizumab and that the number of doses required should not be taken into account.</w:t>
      </w:r>
    </w:p>
    <w:p w:rsidR="009D20DA" w:rsidRDefault="009D20DA" w:rsidP="009D20DA">
      <w:r>
        <w:t xml:space="preserve">The number of injections per patient in their first year of AMD treatment is presented in Table </w:t>
      </w:r>
      <w:r w:rsidR="004F27C3">
        <w:t>20</w:t>
      </w:r>
      <w:r>
        <w:t xml:space="preserve">. These are patients who received their first ever AMD prescription during the first year of the listing of aflibercept. Their prescription histories are followed for a full 12 months from this first prescription. </w:t>
      </w:r>
    </w:p>
    <w:p w:rsidR="009D20DA" w:rsidRDefault="009D20DA" w:rsidP="009D20DA">
      <w:pPr>
        <w:pStyle w:val="Tabletitle"/>
      </w:pPr>
      <w:r>
        <w:t xml:space="preserve">Table </w:t>
      </w:r>
      <w:r w:rsidRPr="005D67F4">
        <w:t>2</w:t>
      </w:r>
      <w:r w:rsidR="004F27C3">
        <w:t>0</w:t>
      </w:r>
      <w:r w:rsidRPr="005D67F4">
        <w:t>:</w:t>
      </w:r>
      <w:r>
        <w:t xml:space="preserve"> N</w:t>
      </w:r>
      <w:r w:rsidRPr="005D67F4">
        <w:t>umber of injections per patient in their first year of AMD treatment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2315"/>
        <w:gridCol w:w="2315"/>
        <w:gridCol w:w="2316"/>
      </w:tblGrid>
      <w:tr w:rsidR="009D20DA" w:rsidRPr="003F71CB" w:rsidTr="00336BC3">
        <w:trPr>
          <w:trHeight w:val="453"/>
        </w:trPr>
        <w:tc>
          <w:tcPr>
            <w:tcW w:w="1985" w:type="dxa"/>
            <w:shd w:val="clear" w:color="auto" w:fill="BFBFBF" w:themeFill="background1" w:themeFillShade="BF"/>
            <w:tcMar>
              <w:top w:w="0" w:type="dxa"/>
              <w:left w:w="108" w:type="dxa"/>
              <w:bottom w:w="0" w:type="dxa"/>
              <w:right w:w="108" w:type="dxa"/>
            </w:tcMar>
            <w:vAlign w:val="center"/>
          </w:tcPr>
          <w:p w:rsidR="009D20DA" w:rsidRPr="003F71CB" w:rsidRDefault="009D20DA" w:rsidP="00336BC3">
            <w:pPr>
              <w:pStyle w:val="Tableheading"/>
              <w:rPr>
                <w:sz w:val="20"/>
                <w:szCs w:val="20"/>
              </w:rPr>
            </w:pPr>
            <w:r w:rsidRPr="003F71CB">
              <w:rPr>
                <w:sz w:val="20"/>
                <w:szCs w:val="20"/>
              </w:rPr>
              <w:t>Medicines received in first 12 months of treatment</w:t>
            </w:r>
          </w:p>
        </w:tc>
        <w:tc>
          <w:tcPr>
            <w:tcW w:w="2315" w:type="dxa"/>
            <w:shd w:val="clear" w:color="auto" w:fill="BFBFBF" w:themeFill="background1" w:themeFillShade="BF"/>
            <w:vAlign w:val="center"/>
          </w:tcPr>
          <w:p w:rsidR="009D20DA" w:rsidRPr="003F71CB" w:rsidRDefault="009D20DA" w:rsidP="00336BC3">
            <w:pPr>
              <w:pStyle w:val="Tableheading"/>
              <w:rPr>
                <w:sz w:val="20"/>
                <w:szCs w:val="20"/>
              </w:rPr>
            </w:pPr>
            <w:r w:rsidRPr="003F71CB">
              <w:rPr>
                <w:sz w:val="20"/>
                <w:szCs w:val="20"/>
              </w:rPr>
              <w:t>Number of patients new to AMD treatment (Dec 12-Nov 13)</w:t>
            </w:r>
          </w:p>
        </w:tc>
        <w:tc>
          <w:tcPr>
            <w:tcW w:w="2315" w:type="dxa"/>
            <w:shd w:val="clear" w:color="auto" w:fill="BFBFBF" w:themeFill="background1" w:themeFillShade="BF"/>
            <w:vAlign w:val="center"/>
          </w:tcPr>
          <w:p w:rsidR="009D20DA" w:rsidRPr="003F71CB" w:rsidRDefault="009D20DA" w:rsidP="00336BC3">
            <w:pPr>
              <w:pStyle w:val="Tableheading"/>
              <w:rPr>
                <w:sz w:val="20"/>
                <w:szCs w:val="20"/>
              </w:rPr>
            </w:pPr>
            <w:r w:rsidRPr="003F71CB">
              <w:rPr>
                <w:sz w:val="20"/>
                <w:szCs w:val="20"/>
              </w:rPr>
              <w:t>Mean number of injections per new patient in their first 12 months of treatment</w:t>
            </w:r>
          </w:p>
        </w:tc>
        <w:tc>
          <w:tcPr>
            <w:tcW w:w="2316" w:type="dxa"/>
            <w:shd w:val="clear" w:color="auto" w:fill="BFBFBF" w:themeFill="background1" w:themeFillShade="BF"/>
            <w:vAlign w:val="center"/>
          </w:tcPr>
          <w:p w:rsidR="009D20DA" w:rsidRPr="003F71CB" w:rsidRDefault="009D20DA" w:rsidP="00336BC3">
            <w:pPr>
              <w:pStyle w:val="Tableheading"/>
              <w:rPr>
                <w:sz w:val="20"/>
                <w:szCs w:val="20"/>
              </w:rPr>
            </w:pPr>
            <w:r w:rsidRPr="003F71CB">
              <w:rPr>
                <w:sz w:val="20"/>
                <w:szCs w:val="20"/>
              </w:rPr>
              <w:t>Weighted mean number of injections per new patient in their first 12 months of treatment by initiating drug</w:t>
            </w:r>
          </w:p>
        </w:tc>
      </w:tr>
      <w:tr w:rsidR="009D20DA" w:rsidRPr="009E08B2" w:rsidTr="00336BC3">
        <w:trPr>
          <w:trHeight w:val="456"/>
        </w:trPr>
        <w:tc>
          <w:tcPr>
            <w:tcW w:w="1985" w:type="dxa"/>
            <w:tcMar>
              <w:top w:w="0" w:type="dxa"/>
              <w:left w:w="108" w:type="dxa"/>
              <w:bottom w:w="0" w:type="dxa"/>
              <w:right w:w="108" w:type="dxa"/>
            </w:tcMar>
            <w:vAlign w:val="bottom"/>
          </w:tcPr>
          <w:p w:rsidR="009D20DA" w:rsidRPr="00D114B7" w:rsidRDefault="009D20DA" w:rsidP="00336BC3">
            <w:pPr>
              <w:pStyle w:val="Tablewriting"/>
              <w:rPr>
                <w:rFonts w:cs="Arial"/>
                <w:b/>
                <w:bCs/>
              </w:rPr>
            </w:pPr>
            <w:r w:rsidRPr="00D114B7">
              <w:t>Aflibercept</w:t>
            </w:r>
            <w:r>
              <w:t xml:space="preserve"> only</w:t>
            </w:r>
          </w:p>
        </w:tc>
        <w:tc>
          <w:tcPr>
            <w:tcW w:w="2315" w:type="dxa"/>
            <w:vAlign w:val="center"/>
          </w:tcPr>
          <w:p w:rsidR="009D20DA" w:rsidRPr="00B610B6" w:rsidRDefault="009D20DA" w:rsidP="00336BC3">
            <w:pPr>
              <w:pStyle w:val="Tablewriting"/>
              <w:jc w:val="center"/>
              <w:rPr>
                <w:rFonts w:cs="Arial"/>
                <w:bCs/>
              </w:rPr>
            </w:pPr>
            <w:r w:rsidRPr="00B610B6">
              <w:rPr>
                <w:rFonts w:cs="Arial"/>
                <w:bCs/>
              </w:rPr>
              <w:t>4,066</w:t>
            </w:r>
          </w:p>
        </w:tc>
        <w:tc>
          <w:tcPr>
            <w:tcW w:w="2315" w:type="dxa"/>
            <w:vAlign w:val="center"/>
          </w:tcPr>
          <w:p w:rsidR="009D20DA" w:rsidRPr="00B610B6" w:rsidRDefault="009D20DA" w:rsidP="00336BC3">
            <w:pPr>
              <w:pStyle w:val="Tablewriting"/>
              <w:jc w:val="center"/>
              <w:rPr>
                <w:rFonts w:cs="Arial"/>
                <w:bCs/>
              </w:rPr>
            </w:pPr>
            <w:r w:rsidRPr="00B610B6">
              <w:t>8.28</w:t>
            </w:r>
          </w:p>
        </w:tc>
        <w:tc>
          <w:tcPr>
            <w:tcW w:w="2316" w:type="dxa"/>
            <w:vMerge w:val="restart"/>
            <w:vAlign w:val="center"/>
          </w:tcPr>
          <w:p w:rsidR="009D20DA" w:rsidRPr="00B610B6" w:rsidRDefault="009D20DA" w:rsidP="00336BC3">
            <w:pPr>
              <w:pStyle w:val="Tablewriting"/>
              <w:jc w:val="center"/>
              <w:rPr>
                <w:rFonts w:cs="Arial"/>
                <w:bCs/>
              </w:rPr>
            </w:pPr>
            <w:r w:rsidRPr="00B610B6">
              <w:rPr>
                <w:rFonts w:cs="Arial"/>
                <w:bCs/>
              </w:rPr>
              <w:t>8.13</w:t>
            </w:r>
          </w:p>
        </w:tc>
      </w:tr>
      <w:tr w:rsidR="009D20DA" w:rsidRPr="009E08B2" w:rsidTr="00336BC3">
        <w:trPr>
          <w:trHeight w:val="456"/>
        </w:trPr>
        <w:tc>
          <w:tcPr>
            <w:tcW w:w="1985" w:type="dxa"/>
            <w:tcMar>
              <w:top w:w="0" w:type="dxa"/>
              <w:left w:w="108" w:type="dxa"/>
              <w:bottom w:w="0" w:type="dxa"/>
              <w:right w:w="108" w:type="dxa"/>
            </w:tcMar>
            <w:vAlign w:val="bottom"/>
          </w:tcPr>
          <w:p w:rsidR="009D20DA" w:rsidRPr="00D114B7" w:rsidRDefault="009D20DA" w:rsidP="00336BC3">
            <w:pPr>
              <w:pStyle w:val="Tablewriting"/>
              <w:rPr>
                <w:rFonts w:cs="Arial"/>
                <w:b/>
                <w:bCs/>
              </w:rPr>
            </w:pPr>
            <w:r w:rsidRPr="00D114B7">
              <w:t xml:space="preserve">Aflibercept </w:t>
            </w:r>
            <w:r>
              <w:sym w:font="Wingdings 3" w:char="F0D2"/>
            </w:r>
            <w:r w:rsidRPr="00D114B7">
              <w:t xml:space="preserve"> ranibizumab</w:t>
            </w:r>
          </w:p>
        </w:tc>
        <w:tc>
          <w:tcPr>
            <w:tcW w:w="2315" w:type="dxa"/>
            <w:vAlign w:val="center"/>
          </w:tcPr>
          <w:p w:rsidR="009D20DA" w:rsidRPr="00B610B6" w:rsidRDefault="009D20DA" w:rsidP="00336BC3">
            <w:pPr>
              <w:pStyle w:val="Tablewriting"/>
              <w:jc w:val="center"/>
              <w:rPr>
                <w:rFonts w:cs="Arial"/>
                <w:bCs/>
              </w:rPr>
            </w:pPr>
            <w:r w:rsidRPr="00B610B6">
              <w:rPr>
                <w:rFonts w:cs="Arial"/>
                <w:bCs/>
              </w:rPr>
              <w:t>211</w:t>
            </w:r>
          </w:p>
        </w:tc>
        <w:tc>
          <w:tcPr>
            <w:tcW w:w="2315" w:type="dxa"/>
            <w:vAlign w:val="center"/>
          </w:tcPr>
          <w:p w:rsidR="009D20DA" w:rsidRPr="00B610B6" w:rsidRDefault="009D20DA" w:rsidP="00336BC3">
            <w:pPr>
              <w:pStyle w:val="Tablewriting"/>
              <w:jc w:val="center"/>
              <w:rPr>
                <w:rFonts w:cs="Arial"/>
                <w:bCs/>
              </w:rPr>
            </w:pPr>
            <w:r w:rsidRPr="00B610B6">
              <w:t>5.14</w:t>
            </w:r>
          </w:p>
        </w:tc>
        <w:tc>
          <w:tcPr>
            <w:tcW w:w="2316" w:type="dxa"/>
            <w:vMerge/>
            <w:vAlign w:val="center"/>
          </w:tcPr>
          <w:p w:rsidR="009D20DA" w:rsidRPr="00B610B6" w:rsidRDefault="009D20DA" w:rsidP="00336BC3">
            <w:pPr>
              <w:pStyle w:val="Tablewriting"/>
              <w:jc w:val="center"/>
              <w:rPr>
                <w:rFonts w:cs="Arial"/>
                <w:bCs/>
              </w:rPr>
            </w:pPr>
          </w:p>
        </w:tc>
      </w:tr>
      <w:tr w:rsidR="009D20DA" w:rsidRPr="009E08B2" w:rsidTr="00336BC3">
        <w:trPr>
          <w:trHeight w:val="456"/>
        </w:trPr>
        <w:tc>
          <w:tcPr>
            <w:tcW w:w="1985" w:type="dxa"/>
            <w:tcMar>
              <w:top w:w="0" w:type="dxa"/>
              <w:left w:w="108" w:type="dxa"/>
              <w:bottom w:w="0" w:type="dxa"/>
              <w:right w:w="108" w:type="dxa"/>
            </w:tcMar>
            <w:vAlign w:val="bottom"/>
          </w:tcPr>
          <w:p w:rsidR="009D20DA" w:rsidRPr="00D114B7" w:rsidRDefault="009D20DA" w:rsidP="00336BC3">
            <w:pPr>
              <w:pStyle w:val="Tablewriting"/>
              <w:rPr>
                <w:rFonts w:cs="Arial"/>
                <w:b/>
                <w:bCs/>
              </w:rPr>
            </w:pPr>
            <w:r w:rsidRPr="00D114B7">
              <w:t>Ranibizumab</w:t>
            </w:r>
            <w:r>
              <w:t xml:space="preserve"> only</w:t>
            </w:r>
          </w:p>
        </w:tc>
        <w:tc>
          <w:tcPr>
            <w:tcW w:w="2315" w:type="dxa"/>
            <w:vAlign w:val="center"/>
          </w:tcPr>
          <w:p w:rsidR="009D20DA" w:rsidRPr="00B610B6" w:rsidRDefault="009D20DA" w:rsidP="00336BC3">
            <w:pPr>
              <w:pStyle w:val="Tablewriting"/>
              <w:jc w:val="center"/>
              <w:rPr>
                <w:rFonts w:cs="Arial"/>
                <w:bCs/>
              </w:rPr>
            </w:pPr>
            <w:r w:rsidRPr="00B610B6">
              <w:rPr>
                <w:rFonts w:cs="Arial"/>
                <w:bCs/>
              </w:rPr>
              <w:t>2,757</w:t>
            </w:r>
          </w:p>
        </w:tc>
        <w:tc>
          <w:tcPr>
            <w:tcW w:w="2315" w:type="dxa"/>
            <w:vAlign w:val="center"/>
          </w:tcPr>
          <w:p w:rsidR="009D20DA" w:rsidRPr="00B610B6" w:rsidRDefault="009D20DA" w:rsidP="00336BC3">
            <w:pPr>
              <w:pStyle w:val="Tablewriting"/>
              <w:jc w:val="center"/>
              <w:rPr>
                <w:rFonts w:cs="Arial"/>
                <w:bCs/>
              </w:rPr>
            </w:pPr>
            <w:r w:rsidRPr="00B610B6">
              <w:t>9.30</w:t>
            </w:r>
          </w:p>
        </w:tc>
        <w:tc>
          <w:tcPr>
            <w:tcW w:w="2316" w:type="dxa"/>
            <w:vMerge w:val="restart"/>
            <w:vAlign w:val="center"/>
          </w:tcPr>
          <w:p w:rsidR="009D20DA" w:rsidRPr="00B610B6" w:rsidRDefault="009D20DA" w:rsidP="00336BC3">
            <w:pPr>
              <w:pStyle w:val="Tablewriting"/>
              <w:jc w:val="center"/>
              <w:rPr>
                <w:rFonts w:cs="Arial"/>
                <w:bCs/>
              </w:rPr>
            </w:pPr>
            <w:r w:rsidRPr="00B610B6">
              <w:rPr>
                <w:rFonts w:cs="Arial"/>
                <w:bCs/>
              </w:rPr>
              <w:t>8.47</w:t>
            </w:r>
          </w:p>
        </w:tc>
      </w:tr>
      <w:tr w:rsidR="009D20DA" w:rsidRPr="009E08B2" w:rsidTr="00336BC3">
        <w:trPr>
          <w:trHeight w:val="456"/>
        </w:trPr>
        <w:tc>
          <w:tcPr>
            <w:tcW w:w="1985" w:type="dxa"/>
            <w:tcMar>
              <w:top w:w="0" w:type="dxa"/>
              <w:left w:w="108" w:type="dxa"/>
              <w:bottom w:w="0" w:type="dxa"/>
              <w:right w:w="108" w:type="dxa"/>
            </w:tcMar>
            <w:vAlign w:val="bottom"/>
          </w:tcPr>
          <w:p w:rsidR="009D20DA" w:rsidRPr="00D114B7" w:rsidRDefault="009D20DA" w:rsidP="00336BC3">
            <w:pPr>
              <w:pStyle w:val="Tablewriting"/>
              <w:rPr>
                <w:rFonts w:cs="Arial"/>
                <w:b/>
                <w:bCs/>
              </w:rPr>
            </w:pPr>
            <w:r w:rsidRPr="00D114B7">
              <w:t xml:space="preserve">Ranibizumab </w:t>
            </w:r>
            <w:r>
              <w:sym w:font="Wingdings 3" w:char="F0D2"/>
            </w:r>
            <w:r w:rsidRPr="00D114B7">
              <w:t xml:space="preserve"> aflibercept</w:t>
            </w:r>
          </w:p>
        </w:tc>
        <w:tc>
          <w:tcPr>
            <w:tcW w:w="2315" w:type="dxa"/>
            <w:vAlign w:val="center"/>
          </w:tcPr>
          <w:p w:rsidR="009D20DA" w:rsidRPr="00B610B6" w:rsidRDefault="009D20DA" w:rsidP="00336BC3">
            <w:pPr>
              <w:pStyle w:val="Tablewriting"/>
              <w:jc w:val="center"/>
              <w:rPr>
                <w:rFonts w:cs="Arial"/>
                <w:bCs/>
              </w:rPr>
            </w:pPr>
            <w:r w:rsidRPr="00B610B6">
              <w:rPr>
                <w:rFonts w:cs="Arial"/>
                <w:bCs/>
              </w:rPr>
              <w:t>712</w:t>
            </w:r>
          </w:p>
        </w:tc>
        <w:tc>
          <w:tcPr>
            <w:tcW w:w="2315" w:type="dxa"/>
            <w:vAlign w:val="center"/>
          </w:tcPr>
          <w:p w:rsidR="009D20DA" w:rsidRPr="00B610B6" w:rsidRDefault="009D20DA" w:rsidP="00336BC3">
            <w:pPr>
              <w:pStyle w:val="Tablewriting"/>
              <w:jc w:val="center"/>
              <w:rPr>
                <w:rFonts w:cs="Arial"/>
                <w:bCs/>
              </w:rPr>
            </w:pPr>
            <w:r w:rsidRPr="00B610B6">
              <w:t>5.25</w:t>
            </w:r>
          </w:p>
        </w:tc>
        <w:tc>
          <w:tcPr>
            <w:tcW w:w="2316" w:type="dxa"/>
            <w:vMerge/>
            <w:vAlign w:val="center"/>
          </w:tcPr>
          <w:p w:rsidR="009D20DA" w:rsidRPr="00B610B6" w:rsidRDefault="009D20DA" w:rsidP="00336BC3">
            <w:pPr>
              <w:pStyle w:val="Tablewriting"/>
              <w:jc w:val="center"/>
              <w:rPr>
                <w:rFonts w:cs="Arial"/>
                <w:bCs/>
              </w:rPr>
            </w:pPr>
          </w:p>
        </w:tc>
      </w:tr>
      <w:tr w:rsidR="009D20DA" w:rsidRPr="009E08B2" w:rsidTr="00336BC3">
        <w:trPr>
          <w:trHeight w:val="453"/>
        </w:trPr>
        <w:tc>
          <w:tcPr>
            <w:tcW w:w="1985" w:type="dxa"/>
            <w:tcMar>
              <w:top w:w="0" w:type="dxa"/>
              <w:left w:w="108" w:type="dxa"/>
              <w:bottom w:w="0" w:type="dxa"/>
              <w:right w:w="108" w:type="dxa"/>
            </w:tcMar>
            <w:vAlign w:val="center"/>
          </w:tcPr>
          <w:p w:rsidR="009D20DA" w:rsidRPr="009E08B2" w:rsidRDefault="009D20DA" w:rsidP="00336BC3">
            <w:pPr>
              <w:pStyle w:val="Tablewriting"/>
              <w:rPr>
                <w:rFonts w:cs="Arial"/>
                <w:b/>
                <w:bCs/>
              </w:rPr>
            </w:pPr>
            <w:r w:rsidRPr="009E08B2">
              <w:rPr>
                <w:rFonts w:cs="Arial"/>
              </w:rPr>
              <w:t>Total incident AMD</w:t>
            </w:r>
          </w:p>
        </w:tc>
        <w:tc>
          <w:tcPr>
            <w:tcW w:w="2315" w:type="dxa"/>
            <w:vAlign w:val="center"/>
          </w:tcPr>
          <w:p w:rsidR="009D20DA" w:rsidRPr="00ED5BAA" w:rsidRDefault="009D20DA" w:rsidP="00336BC3">
            <w:pPr>
              <w:pStyle w:val="Tablewriting"/>
              <w:jc w:val="center"/>
              <w:rPr>
                <w:rFonts w:cs="Arial"/>
                <w:bCs/>
              </w:rPr>
            </w:pPr>
            <w:r w:rsidRPr="00ED5BAA">
              <w:rPr>
                <w:rFonts w:cs="Arial"/>
                <w:bCs/>
              </w:rPr>
              <w:t>7,746</w:t>
            </w:r>
          </w:p>
        </w:tc>
        <w:tc>
          <w:tcPr>
            <w:tcW w:w="4631" w:type="dxa"/>
            <w:gridSpan w:val="2"/>
            <w:vAlign w:val="center"/>
          </w:tcPr>
          <w:p w:rsidR="009D20DA" w:rsidRPr="00ED5BAA" w:rsidRDefault="009D20DA" w:rsidP="00336BC3">
            <w:pPr>
              <w:pStyle w:val="Tablewriting"/>
              <w:jc w:val="center"/>
              <w:rPr>
                <w:rFonts w:cs="Arial"/>
                <w:bCs/>
              </w:rPr>
            </w:pPr>
            <w:r w:rsidRPr="00ED5BAA">
              <w:rPr>
                <w:rFonts w:cs="Arial"/>
                <w:bCs/>
              </w:rPr>
              <w:t>8.28</w:t>
            </w:r>
          </w:p>
        </w:tc>
      </w:tr>
    </w:tbl>
    <w:p w:rsidR="009D20DA" w:rsidRDefault="009D20DA" w:rsidP="009D20DA">
      <w:pPr>
        <w:pStyle w:val="Notes"/>
      </w:pPr>
      <w:r w:rsidRPr="00D16E70">
        <w:t>Source: DHS Medicare Pharmacy Claim</w:t>
      </w:r>
      <w:r>
        <w:t>s database, accessed April 2015</w:t>
      </w:r>
    </w:p>
    <w:p w:rsidR="009D20DA" w:rsidRPr="009F29EB" w:rsidRDefault="009D20DA" w:rsidP="009D20DA">
      <w:r>
        <w:t xml:space="preserve">The average number of injections in the first year for new patients that were treated with only aflibercept (8.28) was numerically lower than for new patients treated with only </w:t>
      </w:r>
      <w:r w:rsidRPr="009F29EB">
        <w:lastRenderedPageBreak/>
        <w:t xml:space="preserve">ranibizumab (9.30). </w:t>
      </w:r>
      <w:r w:rsidR="0067116D">
        <w:rPr>
          <w:noProof/>
          <w:color w:val="000000"/>
          <w:highlight w:val="black"/>
        </w:rPr>
        <w:t>''''''''' ''' '''''''''''' '''''''' ''''''''''''''''' '''''' ''''''''''''''''''' ''''''''''' ''''''''''''''' '''' ''''''' '''''''''''''''''''' ''''''''''''''''''' '''''''' '''''''''''''''''' '''''''' '''' '''''''</w:t>
      </w:r>
      <w:r w:rsidRPr="009F29EB">
        <w:t xml:space="preserve"> 2007 and 2012 ranibizumab submissions (7 injections). </w:t>
      </w:r>
    </w:p>
    <w:p w:rsidR="009D20DA" w:rsidRPr="009F29EB" w:rsidRDefault="009D20DA" w:rsidP="009D20DA">
      <w:r w:rsidRPr="009F29EB">
        <w:t xml:space="preserve">Of note in this analysis is that the 12% of new patients who switched between aflibercept and ranibizumab or vice versa, had fewer injections (5.14/5.25) than patients remaining on the same treatment. A possible reason for this is that patients who are not responding to one drug may switch to the alternate and also not respond to this and cease therapy. The PBAC, when recommending that patients could switch between aflibercept and ranibizumab (August 2012), had considered that the invasive nature of treatment would likely limit use of anti-VEGF treatments in patients who are not achieving a clinical benefit. </w:t>
      </w:r>
    </w:p>
    <w:p w:rsidR="009D20DA" w:rsidRDefault="009D20DA" w:rsidP="009D20DA">
      <w:r w:rsidRPr="009F29EB">
        <w:t xml:space="preserve">The annual number of injections per </w:t>
      </w:r>
      <w:r>
        <w:t xml:space="preserve">patient for those who were on ranibizumab prior to the listing of aflibercept and who continued AMD treatment into the first year of the PBS listing of </w:t>
      </w:r>
      <w:r w:rsidRPr="00DC786C">
        <w:t>a</w:t>
      </w:r>
      <w:r>
        <w:t xml:space="preserve">flibercept </w:t>
      </w:r>
      <w:r w:rsidRPr="00DC786C">
        <w:t xml:space="preserve">is presented in Table </w:t>
      </w:r>
      <w:r>
        <w:t>2</w:t>
      </w:r>
      <w:r w:rsidR="005A432E">
        <w:t>1</w:t>
      </w:r>
      <w:r w:rsidRPr="00DC786C">
        <w:t xml:space="preserve">. </w:t>
      </w:r>
    </w:p>
    <w:p w:rsidR="009D20DA" w:rsidRDefault="009D20DA" w:rsidP="009D20DA">
      <w:pPr>
        <w:pStyle w:val="Tabletitle"/>
      </w:pPr>
      <w:r>
        <w:t xml:space="preserve">Table </w:t>
      </w:r>
      <w:r w:rsidRPr="005D67F4">
        <w:t>2</w:t>
      </w:r>
      <w:r w:rsidR="005A432E">
        <w:t>1</w:t>
      </w:r>
      <w:r w:rsidRPr="005D67F4">
        <w:t>:</w:t>
      </w:r>
      <w:r>
        <w:t xml:space="preserve"> A</w:t>
      </w:r>
      <w:r w:rsidRPr="005D67F4">
        <w:t>nnual number of injections per patient</w:t>
      </w:r>
      <w:r>
        <w:t>- ranibizumab to aflibercept</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7"/>
        <w:gridCol w:w="2551"/>
        <w:gridCol w:w="2552"/>
      </w:tblGrid>
      <w:tr w:rsidR="009D20DA" w:rsidRPr="003F71CB" w:rsidTr="00336BC3">
        <w:trPr>
          <w:trHeight w:val="453"/>
        </w:trPr>
        <w:tc>
          <w:tcPr>
            <w:tcW w:w="2977" w:type="dxa"/>
            <w:shd w:val="clear" w:color="auto" w:fill="BFBFBF" w:themeFill="background1" w:themeFillShade="BF"/>
            <w:tcMar>
              <w:top w:w="0" w:type="dxa"/>
              <w:left w:w="108" w:type="dxa"/>
              <w:bottom w:w="0" w:type="dxa"/>
              <w:right w:w="108" w:type="dxa"/>
            </w:tcMar>
            <w:vAlign w:val="center"/>
          </w:tcPr>
          <w:p w:rsidR="009D20DA" w:rsidRPr="003F71CB" w:rsidRDefault="009D20DA" w:rsidP="00336BC3">
            <w:pPr>
              <w:rPr>
                <w:rFonts w:cs="Arial"/>
                <w:b/>
                <w:bCs/>
                <w:sz w:val="20"/>
                <w:szCs w:val="20"/>
              </w:rPr>
            </w:pPr>
            <w:r w:rsidRPr="003F71CB">
              <w:rPr>
                <w:rFonts w:cs="Arial"/>
                <w:b/>
                <w:bCs/>
                <w:sz w:val="20"/>
                <w:szCs w:val="20"/>
              </w:rPr>
              <w:t>Medicines received in first 12 months of aflibercept availability</w:t>
            </w:r>
          </w:p>
        </w:tc>
        <w:tc>
          <w:tcPr>
            <w:tcW w:w="2551" w:type="dxa"/>
            <w:shd w:val="clear" w:color="auto" w:fill="BFBFBF" w:themeFill="background1" w:themeFillShade="BF"/>
            <w:vAlign w:val="center"/>
          </w:tcPr>
          <w:p w:rsidR="009D20DA" w:rsidRPr="003F71CB" w:rsidRDefault="009D20DA" w:rsidP="00336BC3">
            <w:pPr>
              <w:jc w:val="center"/>
              <w:rPr>
                <w:rFonts w:cs="Arial"/>
                <w:b/>
                <w:bCs/>
                <w:sz w:val="20"/>
                <w:szCs w:val="20"/>
              </w:rPr>
            </w:pPr>
            <w:r w:rsidRPr="003F71CB">
              <w:rPr>
                <w:rFonts w:cs="Arial"/>
                <w:b/>
                <w:sz w:val="20"/>
                <w:szCs w:val="20"/>
              </w:rPr>
              <w:t>Number of continuing patients in the period (Dec 12-Nov 13)</w:t>
            </w:r>
          </w:p>
        </w:tc>
        <w:tc>
          <w:tcPr>
            <w:tcW w:w="2552" w:type="dxa"/>
            <w:shd w:val="clear" w:color="auto" w:fill="BFBFBF" w:themeFill="background1" w:themeFillShade="BF"/>
            <w:vAlign w:val="center"/>
          </w:tcPr>
          <w:p w:rsidR="009D20DA" w:rsidRPr="003F71CB" w:rsidRDefault="009D20DA" w:rsidP="00336BC3">
            <w:pPr>
              <w:jc w:val="center"/>
              <w:rPr>
                <w:rFonts w:cs="Arial"/>
                <w:b/>
                <w:bCs/>
                <w:sz w:val="20"/>
                <w:szCs w:val="20"/>
              </w:rPr>
            </w:pPr>
            <w:r w:rsidRPr="003F71CB">
              <w:rPr>
                <w:rFonts w:cs="Arial"/>
                <w:b/>
                <w:sz w:val="20"/>
                <w:szCs w:val="20"/>
              </w:rPr>
              <w:t>Mean number of injections per patient in their subsequent 12 months of treatment</w:t>
            </w:r>
          </w:p>
        </w:tc>
      </w:tr>
      <w:tr w:rsidR="009D20DA" w:rsidRPr="009E08B2" w:rsidTr="00336BC3">
        <w:trPr>
          <w:trHeight w:val="456"/>
        </w:trPr>
        <w:tc>
          <w:tcPr>
            <w:tcW w:w="2977" w:type="dxa"/>
            <w:tcMar>
              <w:top w:w="0" w:type="dxa"/>
              <w:left w:w="108" w:type="dxa"/>
              <w:bottom w:w="0" w:type="dxa"/>
              <w:right w:w="108" w:type="dxa"/>
            </w:tcMar>
            <w:vAlign w:val="bottom"/>
          </w:tcPr>
          <w:p w:rsidR="009D20DA" w:rsidRPr="00D114B7" w:rsidRDefault="009D20DA" w:rsidP="00336BC3">
            <w:pPr>
              <w:rPr>
                <w:rFonts w:cs="Arial"/>
                <w:b/>
                <w:bCs/>
                <w:sz w:val="20"/>
                <w:szCs w:val="20"/>
              </w:rPr>
            </w:pPr>
            <w:r w:rsidRPr="00D114B7">
              <w:rPr>
                <w:rFonts w:ascii="Calibri" w:hAnsi="Calibri"/>
                <w:sz w:val="20"/>
                <w:szCs w:val="20"/>
              </w:rPr>
              <w:t>Aflibercept</w:t>
            </w:r>
            <w:r>
              <w:rPr>
                <w:rFonts w:ascii="Calibri" w:hAnsi="Calibri"/>
                <w:sz w:val="20"/>
                <w:szCs w:val="20"/>
              </w:rPr>
              <w:t xml:space="preserve"> only</w:t>
            </w:r>
          </w:p>
        </w:tc>
        <w:tc>
          <w:tcPr>
            <w:tcW w:w="2551" w:type="dxa"/>
            <w:vAlign w:val="center"/>
          </w:tcPr>
          <w:p w:rsidR="009D20DA" w:rsidRPr="00B610B6" w:rsidRDefault="009D20DA" w:rsidP="00336BC3">
            <w:pPr>
              <w:jc w:val="center"/>
              <w:rPr>
                <w:rFonts w:cs="Arial"/>
                <w:bCs/>
                <w:sz w:val="20"/>
                <w:szCs w:val="20"/>
              </w:rPr>
            </w:pPr>
            <w:r>
              <w:rPr>
                <w:rFonts w:cs="Arial"/>
                <w:bCs/>
                <w:sz w:val="20"/>
                <w:szCs w:val="20"/>
              </w:rPr>
              <w:t>3,483</w:t>
            </w:r>
          </w:p>
        </w:tc>
        <w:tc>
          <w:tcPr>
            <w:tcW w:w="2552" w:type="dxa"/>
            <w:vAlign w:val="center"/>
          </w:tcPr>
          <w:p w:rsidR="009D20DA" w:rsidRPr="00B610B6" w:rsidRDefault="009D20DA" w:rsidP="00336BC3">
            <w:pPr>
              <w:jc w:val="center"/>
              <w:rPr>
                <w:rFonts w:cs="Arial"/>
                <w:bCs/>
                <w:sz w:val="20"/>
                <w:szCs w:val="20"/>
              </w:rPr>
            </w:pPr>
            <w:r>
              <w:rPr>
                <w:rFonts w:cs="Arial"/>
                <w:bCs/>
                <w:sz w:val="20"/>
                <w:szCs w:val="20"/>
              </w:rPr>
              <w:t>8.71</w:t>
            </w:r>
          </w:p>
        </w:tc>
      </w:tr>
      <w:tr w:rsidR="009D20DA" w:rsidRPr="009E08B2" w:rsidTr="00336BC3">
        <w:trPr>
          <w:trHeight w:val="456"/>
        </w:trPr>
        <w:tc>
          <w:tcPr>
            <w:tcW w:w="2977" w:type="dxa"/>
            <w:tcMar>
              <w:top w:w="0" w:type="dxa"/>
              <w:left w:w="108" w:type="dxa"/>
              <w:bottom w:w="0" w:type="dxa"/>
              <w:right w:w="108" w:type="dxa"/>
            </w:tcMar>
            <w:vAlign w:val="bottom"/>
          </w:tcPr>
          <w:p w:rsidR="009D20DA" w:rsidRPr="00D114B7" w:rsidRDefault="009D20DA" w:rsidP="00336BC3">
            <w:pPr>
              <w:rPr>
                <w:rFonts w:cs="Arial"/>
                <w:b/>
                <w:bCs/>
                <w:sz w:val="20"/>
                <w:szCs w:val="20"/>
              </w:rPr>
            </w:pPr>
            <w:r>
              <w:rPr>
                <w:rFonts w:ascii="Calibri" w:hAnsi="Calibri"/>
                <w:sz w:val="20"/>
                <w:szCs w:val="20"/>
              </w:rPr>
              <w:t xml:space="preserve">Ranibizumab only </w:t>
            </w:r>
          </w:p>
        </w:tc>
        <w:tc>
          <w:tcPr>
            <w:tcW w:w="2551" w:type="dxa"/>
            <w:vAlign w:val="center"/>
          </w:tcPr>
          <w:p w:rsidR="009D20DA" w:rsidRPr="00B610B6" w:rsidRDefault="009D20DA" w:rsidP="00336BC3">
            <w:pPr>
              <w:jc w:val="center"/>
              <w:rPr>
                <w:rFonts w:cs="Arial"/>
                <w:bCs/>
                <w:sz w:val="20"/>
                <w:szCs w:val="20"/>
              </w:rPr>
            </w:pPr>
            <w:r>
              <w:rPr>
                <w:rFonts w:cs="Arial"/>
                <w:bCs/>
                <w:sz w:val="20"/>
                <w:szCs w:val="20"/>
              </w:rPr>
              <w:t>13,337</w:t>
            </w:r>
          </w:p>
        </w:tc>
        <w:tc>
          <w:tcPr>
            <w:tcW w:w="2552" w:type="dxa"/>
            <w:vAlign w:val="center"/>
          </w:tcPr>
          <w:p w:rsidR="009D20DA" w:rsidRPr="00B610B6" w:rsidRDefault="009D20DA" w:rsidP="00336BC3">
            <w:pPr>
              <w:jc w:val="center"/>
              <w:rPr>
                <w:rFonts w:cs="Arial"/>
                <w:bCs/>
                <w:sz w:val="20"/>
                <w:szCs w:val="20"/>
              </w:rPr>
            </w:pPr>
            <w:r>
              <w:rPr>
                <w:rFonts w:cs="Arial"/>
                <w:bCs/>
                <w:sz w:val="20"/>
                <w:szCs w:val="20"/>
              </w:rPr>
              <w:t>6.90</w:t>
            </w:r>
          </w:p>
        </w:tc>
      </w:tr>
      <w:tr w:rsidR="009D20DA" w:rsidRPr="009E08B2" w:rsidTr="00336BC3">
        <w:trPr>
          <w:trHeight w:val="456"/>
        </w:trPr>
        <w:tc>
          <w:tcPr>
            <w:tcW w:w="2977" w:type="dxa"/>
            <w:tcMar>
              <w:top w:w="0" w:type="dxa"/>
              <w:left w:w="108" w:type="dxa"/>
              <w:bottom w:w="0" w:type="dxa"/>
              <w:right w:w="108" w:type="dxa"/>
            </w:tcMar>
            <w:vAlign w:val="bottom"/>
          </w:tcPr>
          <w:p w:rsidR="009D20DA" w:rsidRPr="00D114B7" w:rsidRDefault="009D20DA" w:rsidP="00336BC3">
            <w:pPr>
              <w:rPr>
                <w:rFonts w:cs="Arial"/>
                <w:b/>
                <w:bCs/>
                <w:sz w:val="20"/>
                <w:szCs w:val="20"/>
              </w:rPr>
            </w:pPr>
            <w:r>
              <w:rPr>
                <w:rFonts w:ascii="Calibri" w:hAnsi="Calibri"/>
                <w:sz w:val="20"/>
                <w:szCs w:val="20"/>
              </w:rPr>
              <w:t>Further ranibizumab then switched to aflibercept</w:t>
            </w:r>
          </w:p>
        </w:tc>
        <w:tc>
          <w:tcPr>
            <w:tcW w:w="2551" w:type="dxa"/>
            <w:vAlign w:val="center"/>
          </w:tcPr>
          <w:p w:rsidR="009D20DA" w:rsidRPr="00B610B6" w:rsidRDefault="009D20DA" w:rsidP="00336BC3">
            <w:pPr>
              <w:jc w:val="center"/>
              <w:rPr>
                <w:rFonts w:cs="Arial"/>
                <w:bCs/>
                <w:sz w:val="20"/>
                <w:szCs w:val="20"/>
              </w:rPr>
            </w:pPr>
            <w:r>
              <w:rPr>
                <w:rFonts w:cs="Arial"/>
                <w:bCs/>
                <w:sz w:val="20"/>
                <w:szCs w:val="20"/>
              </w:rPr>
              <w:t>5,969</w:t>
            </w:r>
          </w:p>
        </w:tc>
        <w:tc>
          <w:tcPr>
            <w:tcW w:w="2552" w:type="dxa"/>
            <w:vAlign w:val="center"/>
          </w:tcPr>
          <w:p w:rsidR="009D20DA" w:rsidRPr="00B610B6" w:rsidRDefault="009D20DA" w:rsidP="00336BC3">
            <w:pPr>
              <w:jc w:val="center"/>
              <w:rPr>
                <w:rFonts w:cs="Arial"/>
                <w:bCs/>
                <w:sz w:val="20"/>
                <w:szCs w:val="20"/>
              </w:rPr>
            </w:pPr>
            <w:r>
              <w:rPr>
                <w:rFonts w:cs="Arial"/>
                <w:bCs/>
                <w:sz w:val="20"/>
                <w:szCs w:val="20"/>
              </w:rPr>
              <w:t>9.29</w:t>
            </w:r>
          </w:p>
        </w:tc>
      </w:tr>
      <w:tr w:rsidR="009D20DA" w:rsidRPr="009E08B2" w:rsidTr="00336BC3">
        <w:trPr>
          <w:trHeight w:val="456"/>
        </w:trPr>
        <w:tc>
          <w:tcPr>
            <w:tcW w:w="2977" w:type="dxa"/>
            <w:tcMar>
              <w:top w:w="0" w:type="dxa"/>
              <w:left w:w="108" w:type="dxa"/>
              <w:bottom w:w="0" w:type="dxa"/>
              <w:right w:w="108" w:type="dxa"/>
            </w:tcMar>
            <w:vAlign w:val="bottom"/>
          </w:tcPr>
          <w:p w:rsidR="009D20DA" w:rsidRPr="00D114B7" w:rsidRDefault="009D20DA" w:rsidP="00336BC3">
            <w:pPr>
              <w:rPr>
                <w:rFonts w:cs="Arial"/>
                <w:b/>
                <w:bCs/>
                <w:sz w:val="20"/>
                <w:szCs w:val="20"/>
              </w:rPr>
            </w:pPr>
            <w:r>
              <w:rPr>
                <w:rFonts w:ascii="Calibri" w:hAnsi="Calibri"/>
                <w:sz w:val="20"/>
                <w:szCs w:val="20"/>
              </w:rPr>
              <w:t>Switched to aflibercept and switch back</w:t>
            </w:r>
          </w:p>
        </w:tc>
        <w:tc>
          <w:tcPr>
            <w:tcW w:w="2551" w:type="dxa"/>
            <w:vAlign w:val="center"/>
          </w:tcPr>
          <w:p w:rsidR="009D20DA" w:rsidRPr="00B610B6" w:rsidRDefault="009D20DA" w:rsidP="00336BC3">
            <w:pPr>
              <w:jc w:val="center"/>
              <w:rPr>
                <w:rFonts w:cs="Arial"/>
                <w:bCs/>
                <w:sz w:val="20"/>
                <w:szCs w:val="20"/>
              </w:rPr>
            </w:pPr>
            <w:r>
              <w:rPr>
                <w:rFonts w:cs="Arial"/>
                <w:bCs/>
                <w:sz w:val="20"/>
                <w:szCs w:val="20"/>
              </w:rPr>
              <w:t>1,476</w:t>
            </w:r>
          </w:p>
        </w:tc>
        <w:tc>
          <w:tcPr>
            <w:tcW w:w="2552" w:type="dxa"/>
            <w:vAlign w:val="center"/>
          </w:tcPr>
          <w:p w:rsidR="009D20DA" w:rsidRPr="00B610B6" w:rsidRDefault="009D20DA" w:rsidP="00336BC3">
            <w:pPr>
              <w:jc w:val="center"/>
              <w:rPr>
                <w:rFonts w:cs="Arial"/>
                <w:bCs/>
                <w:sz w:val="20"/>
                <w:szCs w:val="20"/>
              </w:rPr>
            </w:pPr>
            <w:r>
              <w:rPr>
                <w:rFonts w:cs="Arial"/>
                <w:bCs/>
                <w:sz w:val="20"/>
                <w:szCs w:val="20"/>
              </w:rPr>
              <w:t>12.80</w:t>
            </w:r>
          </w:p>
        </w:tc>
      </w:tr>
    </w:tbl>
    <w:p w:rsidR="009D20DA" w:rsidRDefault="009D20DA" w:rsidP="009D20DA">
      <w:pPr>
        <w:pStyle w:val="Notes"/>
      </w:pPr>
      <w:r w:rsidRPr="00D16E70">
        <w:t>Source: DHS Medicare Pharmacy Claim</w:t>
      </w:r>
      <w:r>
        <w:t>s database, accessed April 2015</w:t>
      </w:r>
    </w:p>
    <w:p w:rsidR="009D20DA" w:rsidRDefault="009D20DA" w:rsidP="009D20DA">
      <w:r>
        <w:t>The overall finding of the analysis of continuing patients is that the number of injections per year has generally been higher than expected (</w:t>
      </w:r>
      <w:r>
        <w:sym w:font="Symbol" w:char="F07E"/>
      </w:r>
      <w:r>
        <w:t xml:space="preserve"> 6 injections per year). </w:t>
      </w:r>
    </w:p>
    <w:p w:rsidR="009D20DA" w:rsidRDefault="009D20DA" w:rsidP="009D20DA">
      <w:r>
        <w:t>The group of continuing patients, whose next injection after aflibercept became available was a switch to aflibercept, had more injections on average in their following 12 months (8.71) compared with patients who remained on ranibizumab (6.90). Patients who had one or more further prescriptions of ranibizumab and then switched to aflibercept had 9.29 injections. One reason the average number of injections for ranibizumab may be lower is that this group includes more patients who died, however this factor cannot be assessed from the available data.</w:t>
      </w:r>
      <w:r w:rsidRPr="00124DD2">
        <w:t xml:space="preserve"> </w:t>
      </w:r>
      <w:r>
        <w:t xml:space="preserve">As the aflibercept submission had proposed that patients treated with aflibercept would require fewer injections than ranibizumab it is also possible that the group who switched to aflibercept includes a higher proportion undergoing bilateral treatment because of injection burden. </w:t>
      </w:r>
    </w:p>
    <w:p w:rsidR="009D20DA" w:rsidRDefault="009D20DA" w:rsidP="009D20DA">
      <w:pPr>
        <w:rPr>
          <w:highlight w:val="yellow"/>
        </w:rPr>
      </w:pPr>
      <w:r>
        <w:t xml:space="preserve">The PBAC recommended aflibercept on an </w:t>
      </w:r>
      <w:r w:rsidRPr="00011B4B">
        <w:t>injection : injection basis with ranibizumab</w:t>
      </w:r>
      <w:r>
        <w:t xml:space="preserve">. The analysis of injections per patient in the naïve treatment group shows a numerically lower number of injections per patient for aflibercept (8.28) compared with ranibizumab (9.30). </w:t>
      </w:r>
      <w:r>
        <w:lastRenderedPageBreak/>
        <w:t>However the reverse is true in continuing patients (8.71 vs 6.90). A longer period of data would be needed to further understand whether there are any significant differences between patterns of use of these agents in practice.</w:t>
      </w:r>
    </w:p>
    <w:p w:rsidR="00591512" w:rsidRDefault="00AB3733" w:rsidP="00B30D85">
      <w:pPr>
        <w:pStyle w:val="Heading4"/>
      </w:pPr>
      <w:r>
        <w:t>D</w:t>
      </w:r>
      <w:r w:rsidR="007346C7" w:rsidRPr="005E22C2">
        <w:t>iscussion</w:t>
      </w:r>
    </w:p>
    <w:p w:rsidR="009D20DA" w:rsidRPr="009F29EB" w:rsidRDefault="009D20DA" w:rsidP="009D20DA">
      <w:r>
        <w:t>The number of people treated with PBS listed agents for wet AMD has doubled over the past 5 years. In 2014, 36,73</w:t>
      </w:r>
      <w:r w:rsidRPr="0046516D">
        <w:t xml:space="preserve">9 patients </w:t>
      </w:r>
      <w:r>
        <w:t xml:space="preserve">were treated, </w:t>
      </w:r>
      <w:r w:rsidRPr="00C92D1F">
        <w:t>and 249,772 injections</w:t>
      </w:r>
      <w:r w:rsidRPr="0046516D">
        <w:t xml:space="preserve"> of aflibercept </w:t>
      </w:r>
      <w:r>
        <w:t>or</w:t>
      </w:r>
      <w:r w:rsidRPr="0046516D">
        <w:t xml:space="preserve"> ranibizumab were </w:t>
      </w:r>
      <w:r>
        <w:t xml:space="preserve">dispensed at a cost to Government </w:t>
      </w:r>
      <w:r w:rsidRPr="0046516D">
        <w:t xml:space="preserve">of about </w:t>
      </w:r>
      <w:r w:rsidRPr="001C2211">
        <w:rPr>
          <w:color w:val="C00000"/>
        </w:rPr>
        <w:t>$250 million</w:t>
      </w:r>
      <w:r w:rsidRPr="001C2211">
        <w:t>. As the likelihood of developing AMD is strongly related to advancing age, and as Australia has an ageing population</w:t>
      </w:r>
      <w:r w:rsidRPr="009F29EB">
        <w:t xml:space="preserve">, it is expected that the prevalent treated group of patients will continue to grow. </w:t>
      </w:r>
    </w:p>
    <w:p w:rsidR="009D20DA" w:rsidRPr="009F29EB" w:rsidRDefault="009D20DA" w:rsidP="009D20DA">
      <w:pPr>
        <w:rPr>
          <w:rStyle w:val="IntenseReference"/>
          <w:b w:val="0"/>
          <w:bCs w:val="0"/>
          <w:i w:val="0"/>
          <w:smallCaps w:val="0"/>
          <w:color w:val="auto"/>
          <w:sz w:val="32"/>
          <w:szCs w:val="32"/>
        </w:rPr>
      </w:pPr>
      <w:r w:rsidRPr="009F29EB">
        <w:t xml:space="preserve">Published data from the Blue Mountains Eye Study (BMES) has been used to estimate the incidence and prevalence of patients with AMD in Australia. </w:t>
      </w:r>
      <w:r w:rsidRPr="009F29EB">
        <w:rPr>
          <w:rStyle w:val="IntenseReference"/>
          <w:b w:val="0"/>
          <w:i w:val="0"/>
          <w:smallCaps w:val="0"/>
          <w:color w:val="auto"/>
        </w:rPr>
        <w:t>The BMES estimated the overall 5-year incidence of advanced age-related macular degeneration to be 1·1%; increasing from 0% in individuals under 60 years of age to 5·4% in those aged 80 years or older. Wang et al. (2007) assessed the 10-year incidence of age-related maculopathy (ARM) in an older cohort from the BMES</w:t>
      </w:r>
      <w:bookmarkStart w:id="4" w:name="_Ref418606002"/>
      <w:r w:rsidRPr="009F29EB">
        <w:rPr>
          <w:rStyle w:val="FootnoteReference"/>
          <w:bCs/>
          <w:spacing w:val="5"/>
        </w:rPr>
        <w:footnoteReference w:id="2"/>
      </w:r>
      <w:bookmarkEnd w:id="4"/>
      <w:r w:rsidRPr="009F29EB">
        <w:rPr>
          <w:rStyle w:val="IntenseReference"/>
          <w:b w:val="0"/>
          <w:i w:val="0"/>
          <w:smallCaps w:val="0"/>
          <w:color w:val="auto"/>
        </w:rPr>
        <w:t xml:space="preserve">. Comparing across age groups, which were categorised based on the age at base-line, they reported a higher incidence of AMD than from the previously published data. The incidence of AMD rose from 0.17% in the less than 60 years group to 24.3% for the 80 years and older group. Overall, 3.7% of participants (aged ≥49 years) developed late ARM over the ten year period. </w:t>
      </w:r>
    </w:p>
    <w:p w:rsidR="009D20DA" w:rsidRPr="009F29EB" w:rsidRDefault="009D20DA" w:rsidP="009D20DA">
      <w:pPr>
        <w:rPr>
          <w:spacing w:val="5"/>
        </w:rPr>
      </w:pPr>
      <w:r w:rsidRPr="009F29EB">
        <w:rPr>
          <w:rStyle w:val="IntenseReference"/>
          <w:b w:val="0"/>
          <w:i w:val="0"/>
          <w:smallCaps w:val="0"/>
          <w:color w:val="auto"/>
        </w:rPr>
        <w:t>Prevalence estimates are also available from two large international studies—the Beaver Dam Eye Study and the Rotterdam Study. Data pooled from these studies and the BMES have estimated the prevalence of advanced age-related macular degeneration to be 0·2% in those aged 55–64 years, increasing to 13% in those older than 85 years.</w:t>
      </w:r>
      <w:r w:rsidRPr="009F29EB">
        <w:rPr>
          <w:rStyle w:val="FootnoteReference"/>
          <w:bCs/>
          <w:spacing w:val="5"/>
        </w:rPr>
        <w:footnoteReference w:id="3"/>
      </w:r>
      <w:r w:rsidRPr="009F29EB">
        <w:rPr>
          <w:rStyle w:val="IntenseReference"/>
          <w:b w:val="0"/>
          <w:i w:val="0"/>
          <w:smallCaps w:val="0"/>
          <w:color w:val="auto"/>
        </w:rPr>
        <w:t xml:space="preserve"> The prevalence assumptions used in the original submission for ranibizumab, based on the BMES (Mitchell et al., 1995</w:t>
      </w:r>
      <w:r w:rsidRPr="009F29EB">
        <w:rPr>
          <w:rStyle w:val="FootnoteReference"/>
          <w:bCs/>
          <w:spacing w:val="5"/>
        </w:rPr>
        <w:footnoteReference w:id="4"/>
      </w:r>
      <w:r w:rsidRPr="009F29EB">
        <w:rPr>
          <w:rStyle w:val="IntenseReference"/>
          <w:b w:val="0"/>
          <w:i w:val="0"/>
          <w:smallCaps w:val="0"/>
          <w:color w:val="auto"/>
        </w:rPr>
        <w:t xml:space="preserve">), were similar to the results of the pooled analysis (0.2% for 55-64 years and 18.5% for the over 85 years group). </w:t>
      </w:r>
    </w:p>
    <w:p w:rsidR="009D20DA" w:rsidRPr="009F29EB" w:rsidRDefault="009D20DA" w:rsidP="009D20DA">
      <w:r w:rsidRPr="009F29EB">
        <w:t xml:space="preserve">In addition to the growing number of people being treated, the numbers of injections dispensed per patient and continuation rates have also increased. The average number of injections that a patient receives in their first year of treatment has increased from 7.2 in 2009 to 8.2 in 2013. Over a similar period of time the proportion of people who remain on treatment into the second year has increased from approximately 65% to 75%. The reasons for this are unknown but could be due to earlier diagnosis or earlier treatment, or changing treatment protocols in clinical practice. The majority of patients remain on treatment for many years. Approximately half of patients are treated for at least 4 years, with 40% of patients still treated 6-7 years after initiation.  </w:t>
      </w:r>
    </w:p>
    <w:p w:rsidR="009D20DA" w:rsidRPr="009F29EB" w:rsidRDefault="009D20DA" w:rsidP="009D20DA">
      <w:r w:rsidRPr="009F29EB">
        <w:lastRenderedPageBreak/>
        <w:t>The recommendation to list ranibizumab on the PBS was based on an economic model with a time horizon of 5 years</w:t>
      </w:r>
      <w:r w:rsidRPr="009F29EB">
        <w:rPr>
          <w:rStyle w:val="FootnoteReference"/>
        </w:rPr>
        <w:footnoteReference w:id="5"/>
      </w:r>
      <w:r w:rsidRPr="009F29EB">
        <w:t>. The submission stated, “This time horizon was chosen since the incremental cost-effectiveness ratio did not vary substantially beyond this time point, and the average life expectancy of the patient population is expected to be short; the mean age of the patient population who would receive treatment under the requested PBS indication is expected to be 77 to 78 years based on the clinical trial data. Modelling beyond a time horizon of 5 years would be associated with greater levels of uncertainty in estimating long term benefits, whilst also recognising uncertainty concerning long term ranibizumab treatment use.”</w:t>
      </w:r>
    </w:p>
    <w:p w:rsidR="009D20DA" w:rsidRPr="009F29EB" w:rsidRDefault="009D20DA" w:rsidP="009D20DA">
      <w:r w:rsidRPr="009F29EB">
        <w:t>A likely factor contributing to the long time on treatment is use of aflibercept in the second eye. In the key ranibizumab clinical trials (ANCHOR, MARINA and PIER) treatment was restricted to one eye, although the submission’s utilisation estimates assumed a proportion of patients would require treatment in both eyes, either at the same time, or at a later time as a result of developing CNV in their second eye. In the key aflibercept studies (VIEW-1 and VIEW-2) treatment was restricted to one eye and the submission’s utilisation estimates did not account for bilateral treatment.</w:t>
      </w:r>
    </w:p>
    <w:p w:rsidR="009D20DA" w:rsidRPr="009F29EB" w:rsidRDefault="009D20DA" w:rsidP="009D20DA">
      <w:r w:rsidRPr="009F29EB">
        <w:t>The PBS data presented in this report do not distinguish treatment in the first eye, second eye, or both eyes. Based on authority approval data presented in the February 2012 DUSC report of ranibizumab, the PBAC (March 2012) considered the extent of use in the second eye per patient could be as high as 20%. The BMES suggested the 10-year incidence of late ARM in the second (fellow) eye of participants with unilateral late ARM at baseline was substantially higher than the incidence in the first eye,</w:t>
      </w:r>
      <w:r w:rsidR="004F27C3" w:rsidRPr="009F29EB">
        <w:rPr>
          <w:vertAlign w:val="superscript"/>
        </w:rPr>
        <w:t>2</w:t>
      </w:r>
      <w:r w:rsidRPr="009F29EB">
        <w:t xml:space="preserve"> reporting that of the 9 participants with unilateral late ARM at baseline, 5 (55.6%) developed late ARM in their second eye within the first 5 years. Of the 6 participants observed over a 10-year period, 6 of 6 (100%) developed bilateral late ARM within 10 years. The 2-year cumulative incidence of AMD in the fellow eye in subjects with unilateral AMD was found to be 29% in the Rotterdam study,</w:t>
      </w:r>
      <w:r w:rsidRPr="009F29EB">
        <w:rPr>
          <w:rStyle w:val="FootnoteReference"/>
        </w:rPr>
        <w:t xml:space="preserve"> </w:t>
      </w:r>
      <w:r w:rsidRPr="009F29EB">
        <w:rPr>
          <w:rStyle w:val="FootnoteReference"/>
        </w:rPr>
        <w:footnoteReference w:id="6"/>
      </w:r>
      <w:r w:rsidRPr="009F29EB">
        <w:t xml:space="preserve"> and the Beaver Dam Eye Study found a 5-year incidence of 22% for the second eye,</w:t>
      </w:r>
      <w:r w:rsidRPr="009F29EB">
        <w:rPr>
          <w:rStyle w:val="FootnoteReference"/>
        </w:rPr>
        <w:footnoteReference w:id="7"/>
      </w:r>
      <w:r w:rsidRPr="009F29EB">
        <w:t xml:space="preserve"> considerably lower than the Rotterdam Study. This suggests that between 20-55% of patients diagnosed with AMD will develop bilateral AMD within five years.</w:t>
      </w:r>
    </w:p>
    <w:p w:rsidR="009D20DA" w:rsidRPr="009F29EB" w:rsidRDefault="009D20DA" w:rsidP="009D20DA">
      <w:pPr>
        <w:rPr>
          <w:i/>
        </w:rPr>
      </w:pPr>
      <w:r w:rsidRPr="009F29EB">
        <w:t xml:space="preserve">An analysis of the prescription processing data shows that the proportion of prescriptions supplied with a quantity of more than one injection is increasing; suggesting that the rate of bilateral treatment is increasing. However, this analysis likely underestimates the proportion of patients with two eyes treated, as patients may have received bilateral treatment without being dispensed a quantity of two. For example, if they were treated in their second eye a few years after the first eye, if they are supplied two injections at the same time on two different prescriptions, if they are supplied an injection of aflibercept and an injection of ranibizumab at the same time, or if their two eyes are treated on alternate weeks or months. As authority approval for initial treatment of each eye must be </w:t>
      </w:r>
      <w:r w:rsidRPr="009F29EB">
        <w:lastRenderedPageBreak/>
        <w:t xml:space="preserve">sought, and the first authority application for each eye must be made in writing or by telephone, a more recent assessment of the extent of bilateral treatment with PBS subsidised aflibercept and ranibizumab may be possible from the DHS authority approval data.  </w:t>
      </w:r>
    </w:p>
    <w:p w:rsidR="009D20DA" w:rsidRPr="009F29EB" w:rsidRDefault="009D20DA" w:rsidP="009D20DA">
      <w:r w:rsidRPr="009F29EB">
        <w:t xml:space="preserve">There was rapid uptake of aflibercept following its PBS listing, reaching approximately 50% of the AMD market within 6 months. Aflibercept is used both in new patients and in prevalent patients who switched from ranibizumab. For incident patients, the number of injections of ranibizumab or aflibercept per patient appears to be broadly similar. Patients initiating AMD treatment between 1 December 2012 and 30 November 2013 used an average of 9.30 injections of ranibizumab and 8.28 injections of aflibercept. For continuing patients, those who switched to aflibercept had a higher average number of injections in the next 12 months (8.71) than those who remained on ranibizumab (6.90). There may be differences between patients who switch and those who remain on the same agent that could influence the number of injections used. For example a switch may occur due to failure to respond to one agent. Market dynamics, physician and patient preference may also influence the results. </w:t>
      </w:r>
    </w:p>
    <w:p w:rsidR="00F1132C" w:rsidRPr="00F1132C" w:rsidRDefault="009D20DA" w:rsidP="009D20DA">
      <w:r>
        <w:t xml:space="preserve">Many factors have been identified in this report that suggest utilisation of aflibercept and ranibizumab for wet AMD will continue to increase strongly into the future. These factors include the increased risk of development and progression of AMD in the context of an ageing population, high rates of continuation on treatment and a high number of injections per patient per year. </w:t>
      </w:r>
      <w:r w:rsidR="003318CF">
        <w:t xml:space="preserve">The </w:t>
      </w:r>
      <w:r w:rsidR="000A3A68" w:rsidRPr="000A3A68">
        <w:t xml:space="preserve">DUSC agreed that overall utilisation increases into the future are likely for these reasons. In addition, </w:t>
      </w:r>
      <w:r w:rsidR="00E737D6">
        <w:t xml:space="preserve">the </w:t>
      </w:r>
      <w:r w:rsidR="000A3A68" w:rsidRPr="000A3A68">
        <w:t>DUSC noted that utilisation is lower in some States and Territories and commented there is potential for the number of treated patients and the number of injections per patient per year to increase if capacity increases.</w:t>
      </w:r>
      <w:r w:rsidR="000A3A68">
        <w:t xml:space="preserve"> </w:t>
      </w:r>
    </w:p>
    <w:p w:rsidR="0050667A" w:rsidRDefault="0050667A" w:rsidP="0050667A">
      <w:pPr>
        <w:pStyle w:val="Heading4"/>
      </w:pPr>
      <w:r>
        <w:t>DUSC consideration</w:t>
      </w:r>
    </w:p>
    <w:p w:rsidR="0017478A" w:rsidRPr="0017478A" w:rsidRDefault="007642CC" w:rsidP="0017478A">
      <w:pPr>
        <w:spacing w:before="240" w:after="60"/>
        <w:rPr>
          <w:rFonts w:cs="Times New Roman"/>
        </w:rPr>
      </w:pPr>
      <w:r>
        <w:rPr>
          <w:rFonts w:cs="Times New Roman"/>
        </w:rPr>
        <w:t xml:space="preserve">The </w:t>
      </w:r>
      <w:r w:rsidR="0017478A" w:rsidRPr="0017478A">
        <w:rPr>
          <w:rFonts w:cs="Times New Roman"/>
        </w:rPr>
        <w:t>DUSC considered the comprehensive responses provided by sponsors, the Macular Disease (MD) Foundation of Australia, and the Royal Australian and New Zealand College of Ophthalmologists (RANZCO). Information and advice provided in these responses included:</w:t>
      </w:r>
    </w:p>
    <w:p w:rsidR="0017478A" w:rsidRPr="00EF741C" w:rsidRDefault="0017478A" w:rsidP="003C3335">
      <w:pPr>
        <w:pStyle w:val="Tablewriting"/>
        <w:numPr>
          <w:ilvl w:val="0"/>
          <w:numId w:val="11"/>
        </w:numPr>
      </w:pPr>
      <w:r w:rsidRPr="003C3335">
        <w:rPr>
          <w:rFonts w:cstheme="minorBidi"/>
          <w:color w:val="auto"/>
          <w:sz w:val="24"/>
          <w:szCs w:val="24"/>
        </w:rPr>
        <w:t>the importance of treating wet AMD for improving visual outcomes and quality of life;</w:t>
      </w:r>
    </w:p>
    <w:p w:rsidR="0017478A" w:rsidRPr="00EF741C" w:rsidRDefault="0017478A" w:rsidP="003C3335">
      <w:pPr>
        <w:pStyle w:val="Tablewriting"/>
        <w:numPr>
          <w:ilvl w:val="0"/>
          <w:numId w:val="11"/>
        </w:numPr>
      </w:pPr>
      <w:r w:rsidRPr="003C3335">
        <w:rPr>
          <w:rFonts w:cstheme="minorBidi"/>
          <w:color w:val="auto"/>
          <w:sz w:val="24"/>
          <w:szCs w:val="24"/>
        </w:rPr>
        <w:t>regimens used in clinical practice, including ‘treat and extend’ and prn regimens and how this may influence the number of injections;</w:t>
      </w:r>
    </w:p>
    <w:p w:rsidR="0017478A" w:rsidRPr="00EF741C" w:rsidRDefault="0017478A" w:rsidP="003C3335">
      <w:pPr>
        <w:pStyle w:val="Tablewriting"/>
        <w:numPr>
          <w:ilvl w:val="0"/>
          <w:numId w:val="11"/>
        </w:numPr>
      </w:pPr>
      <w:r w:rsidRPr="003C3335">
        <w:rPr>
          <w:rFonts w:cstheme="minorBidi"/>
          <w:color w:val="auto"/>
          <w:sz w:val="24"/>
          <w:szCs w:val="24"/>
        </w:rPr>
        <w:t>continuation rates and duration on treatment;</w:t>
      </w:r>
    </w:p>
    <w:p w:rsidR="0017478A" w:rsidRPr="00EF741C" w:rsidRDefault="0017478A" w:rsidP="003C3335">
      <w:pPr>
        <w:pStyle w:val="Tablewriting"/>
        <w:numPr>
          <w:ilvl w:val="0"/>
          <w:numId w:val="11"/>
        </w:numPr>
      </w:pPr>
      <w:r w:rsidRPr="003C3335">
        <w:rPr>
          <w:rFonts w:cstheme="minorBidi"/>
          <w:color w:val="auto"/>
          <w:sz w:val="24"/>
          <w:szCs w:val="24"/>
        </w:rPr>
        <w:t>rates of bilateral treatment;</w:t>
      </w:r>
    </w:p>
    <w:p w:rsidR="0017478A" w:rsidRPr="00EF741C" w:rsidRDefault="0017478A" w:rsidP="003C3335">
      <w:pPr>
        <w:pStyle w:val="Tablewriting"/>
        <w:numPr>
          <w:ilvl w:val="0"/>
          <w:numId w:val="11"/>
        </w:numPr>
      </w:pPr>
      <w:r w:rsidRPr="003C3335">
        <w:rPr>
          <w:rFonts w:cstheme="minorBidi"/>
          <w:color w:val="auto"/>
          <w:sz w:val="24"/>
          <w:szCs w:val="24"/>
        </w:rPr>
        <w:t>geographical variation in treatment rates and practice;</w:t>
      </w:r>
    </w:p>
    <w:p w:rsidR="0017478A" w:rsidRPr="00EF741C" w:rsidRDefault="0017478A" w:rsidP="003C3335">
      <w:pPr>
        <w:pStyle w:val="Tablewriting"/>
        <w:numPr>
          <w:ilvl w:val="0"/>
          <w:numId w:val="11"/>
        </w:numPr>
      </w:pPr>
      <w:r w:rsidRPr="003C3335">
        <w:rPr>
          <w:rFonts w:cstheme="minorBidi"/>
          <w:color w:val="auto"/>
          <w:sz w:val="24"/>
          <w:szCs w:val="24"/>
        </w:rPr>
        <w:t>extended clinical trials, cross over studies, and observational studies.</w:t>
      </w:r>
    </w:p>
    <w:p w:rsidR="0017478A" w:rsidRPr="00EF741C" w:rsidRDefault="0017478A" w:rsidP="003C3335">
      <w:pPr>
        <w:pStyle w:val="Tablewriting"/>
        <w:numPr>
          <w:ilvl w:val="0"/>
          <w:numId w:val="11"/>
        </w:numPr>
      </w:pPr>
      <w:r w:rsidRPr="003C3335">
        <w:rPr>
          <w:rFonts w:cstheme="minorBidi"/>
          <w:color w:val="auto"/>
          <w:sz w:val="24"/>
          <w:szCs w:val="24"/>
        </w:rPr>
        <w:t xml:space="preserve">education regarding safety, specifically the risk of stroke. </w:t>
      </w:r>
    </w:p>
    <w:p w:rsidR="0017478A" w:rsidRPr="0017478A" w:rsidRDefault="00307349" w:rsidP="0017478A">
      <w:pPr>
        <w:spacing w:before="240" w:after="60"/>
      </w:pPr>
      <w:r>
        <w:t xml:space="preserve">The </w:t>
      </w:r>
      <w:r w:rsidR="0017478A" w:rsidRPr="0017478A">
        <w:t xml:space="preserve">DUSC noted that the average number of injections of aflibercept and ranibizumab in the first year of treatment for the group of patients initiating ranibizumab or aflibercept between December 2012 and November 2013 was considered ‘similar’ by the secretariat </w:t>
      </w:r>
      <w:r w:rsidR="0017478A" w:rsidRPr="0017478A">
        <w:lastRenderedPageBreak/>
        <w:t>report, and clinical and consumer groups, but the sponsor of aflibercept considered the difference of one injection to be clinically and financially significant.</w:t>
      </w:r>
    </w:p>
    <w:p w:rsidR="0017478A" w:rsidRPr="0017478A" w:rsidRDefault="000D48F0" w:rsidP="0017478A">
      <w:pPr>
        <w:spacing w:before="240" w:after="60"/>
      </w:pPr>
      <w:r>
        <w:t xml:space="preserve">The </w:t>
      </w:r>
      <w:r w:rsidR="0017478A" w:rsidRPr="0017478A">
        <w:t xml:space="preserve">DUSC considered there has been insufficient time since aflibercept was listed to determine if the numerical difference of one injection between ranibizumab and aflibercept in the first year will continue in future cohorts of initiators in Australian clinical practice. </w:t>
      </w:r>
      <w:r w:rsidR="004049E1">
        <w:t xml:space="preserve">The </w:t>
      </w:r>
      <w:r w:rsidR="0017478A" w:rsidRPr="0017478A">
        <w:t xml:space="preserve">DUSC noted that utilisation patterns evolved over several years for ranibizumab with the average number of ranibizumab injections for initiating patients increasing from 5.7 for patients who initiated in 2007 to 8.3 for patients who initiated in 2011. </w:t>
      </w:r>
    </w:p>
    <w:p w:rsidR="0017478A" w:rsidRPr="0017478A" w:rsidRDefault="003E38E4" w:rsidP="0017478A">
      <w:pPr>
        <w:spacing w:before="240" w:after="60"/>
      </w:pPr>
      <w:r>
        <w:t xml:space="preserve">The </w:t>
      </w:r>
      <w:r w:rsidR="0017478A" w:rsidRPr="0017478A">
        <w:t xml:space="preserve">DUSC also considered that there has been insufficient time since aflibercept was listed to determine whether the number of injections in the second and subsequent years of treatment will differ between the two drugs. </w:t>
      </w:r>
      <w:r w:rsidR="00BF115E">
        <w:t xml:space="preserve">The </w:t>
      </w:r>
      <w:r w:rsidR="0017478A" w:rsidRPr="0017478A">
        <w:t xml:space="preserve">DUSC noted that for ranibizumab, the average number of injections has varied in each year of subsequent treatment for initiating groups of patients.  Given the high rates of continuation and long duration on treatment </w:t>
      </w:r>
      <w:r w:rsidR="00A4340A">
        <w:t xml:space="preserve">the </w:t>
      </w:r>
      <w:r w:rsidR="0017478A" w:rsidRPr="0017478A">
        <w:t xml:space="preserve">DUSC noted that use in second and subsequent years drives much of the utilisation and cost.  </w:t>
      </w:r>
      <w:r w:rsidR="008D51BB">
        <w:t xml:space="preserve">The </w:t>
      </w:r>
      <w:r w:rsidR="0017478A" w:rsidRPr="0017478A">
        <w:t xml:space="preserve">DUSC also noted that examining injection patterns in the second and subsequent years of prevalent treated patients who initiated on ranibizumab and then either remained on ranibizumab or switched to aflibercept is likely confounded.  For example, patients who remain on the same treatment may be responding and stable whereas patients who switch may have inadequate response. The reasons for switching cannot be ascertained from PBS data. </w:t>
      </w:r>
      <w:r w:rsidR="00AE2733">
        <w:t xml:space="preserve">The </w:t>
      </w:r>
      <w:r w:rsidR="0017478A" w:rsidRPr="0017478A">
        <w:t xml:space="preserve">DUSC considered that there are likely to be many other known and unknown confounders that make it difficult to attribute any differences in patterns of use to differences between the medicines themselves. For example, </w:t>
      </w:r>
      <w:r w:rsidR="00342BE5">
        <w:t xml:space="preserve">the </w:t>
      </w:r>
      <w:r w:rsidR="0017478A" w:rsidRPr="0017478A">
        <w:t xml:space="preserve">DUSC considered that prescriber preference could be one further factor influencing patterns of use.   </w:t>
      </w:r>
    </w:p>
    <w:p w:rsidR="0017478A" w:rsidRPr="0017478A" w:rsidRDefault="004F0B1A" w:rsidP="0017478A">
      <w:pPr>
        <w:spacing w:before="240" w:after="60"/>
      </w:pPr>
      <w:r>
        <w:t xml:space="preserve">The </w:t>
      </w:r>
      <w:r w:rsidR="0017478A" w:rsidRPr="0017478A">
        <w:t xml:space="preserve">DUSC noted that the sponsor of aflibercept provided results from a 10% PBS sample indicating that continuation rates are higher for aflibercept than ranibizumab. </w:t>
      </w:r>
      <w:r w:rsidR="002A12E2">
        <w:t xml:space="preserve">The </w:t>
      </w:r>
      <w:r w:rsidR="0017478A" w:rsidRPr="0017478A">
        <w:t>DUSC considered that the high proportion of censoring due to the short follow-up time available emphasises limitations of such analyses.</w:t>
      </w:r>
    </w:p>
    <w:p w:rsidR="0017478A" w:rsidRPr="0017478A" w:rsidRDefault="001D2D69" w:rsidP="0017478A">
      <w:pPr>
        <w:spacing w:before="240" w:after="60"/>
      </w:pPr>
      <w:r>
        <w:t xml:space="preserve">The </w:t>
      </w:r>
      <w:r w:rsidR="0017478A" w:rsidRPr="0017478A">
        <w:t xml:space="preserve">DUSC noted the various clinical trial extension studies, cross-over studies and observational studies, referenced in stakeholder responses. </w:t>
      </w:r>
      <w:r w:rsidR="00351D88">
        <w:t xml:space="preserve">The </w:t>
      </w:r>
      <w:r w:rsidR="0017478A" w:rsidRPr="0017478A">
        <w:t>DUSC considered that three observational studies undertaken with United States administrative data (Ferreira 2013</w:t>
      </w:r>
      <w:r w:rsidR="0017478A" w:rsidRPr="0017478A">
        <w:rPr>
          <w:rStyle w:val="FootnoteReference"/>
        </w:rPr>
        <w:footnoteReference w:id="8"/>
      </w:r>
      <w:r w:rsidR="0017478A" w:rsidRPr="0017478A">
        <w:t>, Johnston 2013</w:t>
      </w:r>
      <w:r w:rsidR="0017478A" w:rsidRPr="0017478A">
        <w:rPr>
          <w:rStyle w:val="FootnoteReference"/>
        </w:rPr>
        <w:footnoteReference w:id="9"/>
      </w:r>
      <w:r w:rsidR="0017478A" w:rsidRPr="0017478A">
        <w:t>, and Turpcu 2014</w:t>
      </w:r>
      <w:r w:rsidR="0017478A" w:rsidRPr="0017478A">
        <w:rPr>
          <w:rStyle w:val="FootnoteReference"/>
        </w:rPr>
        <w:footnoteReference w:id="10"/>
      </w:r>
      <w:r w:rsidR="0017478A" w:rsidRPr="0017478A">
        <w:t xml:space="preserve">) show no significant differences in the number of aflibercept and ranibizumab injections used in practice. </w:t>
      </w:r>
    </w:p>
    <w:p w:rsidR="0017478A" w:rsidRPr="0017478A" w:rsidRDefault="0017478A" w:rsidP="0017478A">
      <w:pPr>
        <w:spacing w:before="240" w:after="60"/>
      </w:pPr>
      <w:r w:rsidRPr="0017478A">
        <w:t xml:space="preserve">Overall, </w:t>
      </w:r>
      <w:r w:rsidR="00C30E46">
        <w:t xml:space="preserve">the </w:t>
      </w:r>
      <w:r w:rsidRPr="0017478A">
        <w:t xml:space="preserve">DUSC reiterated that additional observation time is required before it is possible to confidently assess, in Australian clinical practice, whether there is a difference in </w:t>
      </w:r>
      <w:r w:rsidRPr="0017478A">
        <w:lastRenderedPageBreak/>
        <w:t xml:space="preserve">the number of injections of aflibercept and ranibizumab, the magnitude and direction of any such difference, and whether this translates to a difference in outcomes. </w:t>
      </w:r>
    </w:p>
    <w:p w:rsidR="0017478A" w:rsidRPr="0017478A" w:rsidRDefault="001069E0" w:rsidP="0017478A">
      <w:pPr>
        <w:spacing w:before="240" w:after="60"/>
      </w:pPr>
      <w:r>
        <w:t xml:space="preserve">The </w:t>
      </w:r>
      <w:r w:rsidR="0017478A" w:rsidRPr="0017478A">
        <w:t xml:space="preserve">DUSC considered that there have been higher continuation rates and longer durations on treatment than anticipated. </w:t>
      </w:r>
      <w:r w:rsidR="00EA36EC">
        <w:t xml:space="preserve">The </w:t>
      </w:r>
      <w:r w:rsidR="0017478A" w:rsidRPr="0017478A">
        <w:t xml:space="preserve">DUSC noted that there was limited information available at the time that the PBAC recommended the listing of ranibizumab. The recommendation was based on clinical trials of one or two year durations and a modelled economic evaluation with a time horizon of 5 years. Several factors were raised by stakeholders that may account for this including increasing awareness of the disease and earlier treatment, second eye progression, continued benefit from treatment, and that very few patients can stop treatment altogether. </w:t>
      </w:r>
      <w:r w:rsidR="000E2314">
        <w:t xml:space="preserve">The </w:t>
      </w:r>
      <w:r w:rsidR="0017478A" w:rsidRPr="0017478A">
        <w:t>DUSC considered that utilisation increases into the future are likely given the ageing population and current utilisation patterns.</w:t>
      </w:r>
    </w:p>
    <w:p w:rsidR="00F43E72" w:rsidRDefault="007C2D34" w:rsidP="00A6422E">
      <w:pPr>
        <w:tabs>
          <w:tab w:val="left" w:pos="4395"/>
        </w:tabs>
        <w:spacing w:before="240" w:after="60"/>
      </w:pPr>
      <w:r>
        <w:t xml:space="preserve">The </w:t>
      </w:r>
      <w:r w:rsidR="0017478A" w:rsidRPr="0017478A">
        <w:t xml:space="preserve">DUSC noted utilisation is lower in some States and Territories and commented there is potential for the number of treated patients and the number of injections per patient per year to increase. The response from </w:t>
      </w:r>
      <w:r w:rsidR="00DD6D4E">
        <w:t xml:space="preserve">the </w:t>
      </w:r>
      <w:r w:rsidR="0017478A" w:rsidRPr="0017478A">
        <w:t>RANZCO provided an assessment of the number of ophthalmologists per 100,000 by State showing a correlation with utilisation. Differences may also be due to variations in clinical practice and awareness of AMD. The Secretariat will provide a copy of the DUSC report and relevant stakeholder input to the Medicare Benefits Division and Health Workforce Division of the Department of Health.</w:t>
      </w:r>
    </w:p>
    <w:p w:rsidR="00F43E72" w:rsidRPr="003C3335" w:rsidRDefault="00F43E72" w:rsidP="00F43E72">
      <w:pPr>
        <w:pStyle w:val="Heading4"/>
      </w:pPr>
      <w:r w:rsidRPr="003C3335">
        <w:t>Actions undertaken by the DUSC Secretariat</w:t>
      </w:r>
    </w:p>
    <w:p w:rsidR="00F43E72" w:rsidRPr="00F43E72" w:rsidRDefault="00F43E72" w:rsidP="003C3335">
      <w:pPr>
        <w:rPr>
          <w:highlight w:val="green"/>
        </w:rPr>
      </w:pPr>
      <w:r w:rsidRPr="00F43E72">
        <w:t>A copy of t</w:t>
      </w:r>
      <w:r>
        <w:t>he report was</w:t>
      </w:r>
      <w:r w:rsidRPr="00F43E72">
        <w:t xml:space="preserve"> provided to the Sponsors of aflibercept and ranibizumab, the Royal Australian and New Zealand College of Ophthalmologists (RANZCO) and the Macular Disease Foundation Australia for comment</w:t>
      </w:r>
      <w:r>
        <w:t xml:space="preserve"> prior to consideration by the DUSC.</w:t>
      </w:r>
    </w:p>
    <w:p w:rsidR="0050667A" w:rsidRDefault="0050667A" w:rsidP="0050667A">
      <w:pPr>
        <w:pStyle w:val="Heading4"/>
      </w:pPr>
      <w:r>
        <w:t>DUSC actions</w:t>
      </w:r>
    </w:p>
    <w:p w:rsidR="005737E6" w:rsidRPr="0017478A" w:rsidRDefault="005737E6" w:rsidP="005737E6">
      <w:pPr>
        <w:spacing w:before="240" w:after="60"/>
        <w:ind w:left="357" w:hanging="357"/>
        <w:rPr>
          <w:rFonts w:eastAsia="Calibri" w:cs="Times New Roman"/>
        </w:rPr>
      </w:pPr>
      <w:r w:rsidRPr="0017478A">
        <w:rPr>
          <w:rFonts w:eastAsia="Calibri" w:cs="Times New Roman"/>
        </w:rPr>
        <w:t>The DUSC requested that the report and advice be provided to the PBAC.</w:t>
      </w:r>
    </w:p>
    <w:p w:rsidR="005737E6" w:rsidRPr="0017478A" w:rsidRDefault="001228B7" w:rsidP="005737E6">
      <w:pPr>
        <w:spacing w:before="240" w:after="60"/>
        <w:rPr>
          <w:rFonts w:eastAsia="Calibri" w:cs="Times New Roman"/>
        </w:rPr>
      </w:pPr>
      <w:r>
        <w:rPr>
          <w:rFonts w:eastAsia="Calibri" w:cs="Times New Roman"/>
        </w:rPr>
        <w:t xml:space="preserve">The </w:t>
      </w:r>
      <w:r w:rsidR="005737E6" w:rsidRPr="0017478A">
        <w:rPr>
          <w:rFonts w:eastAsia="Calibri" w:cs="Times New Roman"/>
        </w:rPr>
        <w:t xml:space="preserve">DUSC may wish to review use of AMD medicines when a further 2 years of data are available for aflibercept. </w:t>
      </w:r>
      <w:r w:rsidR="00A47505">
        <w:rPr>
          <w:rFonts w:eastAsia="Calibri" w:cs="Times New Roman"/>
        </w:rPr>
        <w:t xml:space="preserve">The </w:t>
      </w:r>
      <w:r w:rsidR="005737E6" w:rsidRPr="0017478A">
        <w:rPr>
          <w:rFonts w:eastAsia="Calibri" w:cs="Times New Roman"/>
        </w:rPr>
        <w:t>DUSC commented that:</w:t>
      </w:r>
    </w:p>
    <w:p w:rsidR="005737E6" w:rsidRPr="00D8642F" w:rsidRDefault="005737E6" w:rsidP="00D8642F">
      <w:pPr>
        <w:pStyle w:val="Tablewriting"/>
        <w:numPr>
          <w:ilvl w:val="0"/>
          <w:numId w:val="11"/>
        </w:numPr>
        <w:rPr>
          <w:rFonts w:cstheme="minorBidi"/>
          <w:color w:val="auto"/>
          <w:sz w:val="24"/>
          <w:szCs w:val="24"/>
        </w:rPr>
      </w:pPr>
      <w:r w:rsidRPr="00D8642F">
        <w:rPr>
          <w:rFonts w:cstheme="minorBidi"/>
          <w:color w:val="auto"/>
          <w:sz w:val="24"/>
          <w:szCs w:val="24"/>
        </w:rPr>
        <w:t>a separate analysis of average aflibercept and ranibizumab injections/patient/year for different initiation years would be informative; and</w:t>
      </w:r>
    </w:p>
    <w:p w:rsidR="005737E6" w:rsidRPr="00D8642F" w:rsidRDefault="005737E6" w:rsidP="00D8642F">
      <w:pPr>
        <w:pStyle w:val="Tablewriting"/>
        <w:numPr>
          <w:ilvl w:val="0"/>
          <w:numId w:val="11"/>
        </w:numPr>
        <w:rPr>
          <w:rFonts w:cstheme="minorBidi"/>
          <w:color w:val="auto"/>
          <w:sz w:val="24"/>
          <w:szCs w:val="24"/>
        </w:rPr>
      </w:pPr>
      <w:r w:rsidRPr="00D8642F">
        <w:rPr>
          <w:rFonts w:cstheme="minorBidi"/>
          <w:color w:val="auto"/>
          <w:sz w:val="24"/>
          <w:szCs w:val="24"/>
        </w:rPr>
        <w:t>extraction of treated eye data would assist in interpretation of utilisation data.</w:t>
      </w:r>
    </w:p>
    <w:p w:rsidR="0050667A" w:rsidRDefault="0050667A" w:rsidP="0050667A">
      <w:pPr>
        <w:pStyle w:val="Heading4"/>
      </w:pPr>
      <w:r w:rsidRPr="0092516A">
        <w:t>Context for analysis</w:t>
      </w:r>
    </w:p>
    <w:p w:rsidR="0050667A" w:rsidRDefault="0050667A" w:rsidP="0050667A">
      <w:r>
        <w:t>The DUSC is a Sub Committee of the Pharmaceutical Benefits Advisory Committee (PBAC). The DUSC assesses estimates on projected usage and financial cost of medicines.</w:t>
      </w:r>
    </w:p>
    <w:p w:rsidR="0050667A" w:rsidRDefault="0050667A" w:rsidP="0050667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50667A" w:rsidRDefault="0050667A" w:rsidP="0050667A">
      <w:r>
        <w:lastRenderedPageBreak/>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50667A" w:rsidRDefault="0050667A" w:rsidP="0050667A">
      <w:r>
        <w:t>The utilisation analysis report was provided to the pharmaceutical sponsors of each drug and comments on the report were provided to DUSC prior to its consideration of the analysis.</w:t>
      </w:r>
    </w:p>
    <w:p w:rsidR="0050667A" w:rsidRDefault="0050667A" w:rsidP="0050667A">
      <w:pPr>
        <w:pStyle w:val="Heading4"/>
      </w:pPr>
      <w:r>
        <w:t>Sponsor</w:t>
      </w:r>
      <w:r w:rsidRPr="0092516A">
        <w:t>s</w:t>
      </w:r>
      <w:r>
        <w:t>’</w:t>
      </w:r>
      <w:r w:rsidRPr="0092516A">
        <w:t xml:space="preserve"> comments</w:t>
      </w:r>
    </w:p>
    <w:p w:rsidR="00336BC3" w:rsidRDefault="00336BC3" w:rsidP="00336BC3">
      <w:pPr>
        <w:pStyle w:val="Tablewriting"/>
        <w:numPr>
          <w:ilvl w:val="0"/>
          <w:numId w:val="11"/>
        </w:numPr>
        <w:rPr>
          <w:rFonts w:cstheme="minorBidi"/>
          <w:color w:val="auto"/>
          <w:sz w:val="24"/>
          <w:szCs w:val="24"/>
        </w:rPr>
      </w:pPr>
      <w:r w:rsidRPr="00336BC3">
        <w:rPr>
          <w:rFonts w:cstheme="minorBidi"/>
          <w:color w:val="auto"/>
          <w:sz w:val="24"/>
          <w:szCs w:val="24"/>
        </w:rPr>
        <w:t>Bayer Australia Ltd</w:t>
      </w:r>
    </w:p>
    <w:p w:rsidR="00826E7E" w:rsidRDefault="00826E7E" w:rsidP="005A432E">
      <w:pPr>
        <w:pStyle w:val="Tablewriting"/>
        <w:ind w:left="720"/>
        <w:rPr>
          <w:rFonts w:cstheme="minorBidi"/>
          <w:color w:val="auto"/>
          <w:sz w:val="24"/>
          <w:szCs w:val="24"/>
        </w:rPr>
      </w:pPr>
      <w:r>
        <w:rPr>
          <w:rFonts w:cstheme="minorBidi"/>
          <w:color w:val="auto"/>
          <w:sz w:val="24"/>
          <w:szCs w:val="24"/>
        </w:rPr>
        <w:t xml:space="preserve">Bayer thanks the DUSC for the opportunity to respond to the analysis and for its consideration of our response. </w:t>
      </w:r>
    </w:p>
    <w:p w:rsidR="00A6422E" w:rsidRPr="00336BC3" w:rsidRDefault="00A6422E" w:rsidP="005A432E">
      <w:pPr>
        <w:pStyle w:val="Tablewriting"/>
        <w:ind w:left="720"/>
        <w:rPr>
          <w:rFonts w:cstheme="minorBidi"/>
          <w:color w:val="auto"/>
          <w:sz w:val="24"/>
          <w:szCs w:val="24"/>
        </w:rPr>
      </w:pPr>
    </w:p>
    <w:p w:rsidR="00336BC3" w:rsidRDefault="00336BC3" w:rsidP="00336BC3">
      <w:pPr>
        <w:pStyle w:val="ListParagraph"/>
        <w:numPr>
          <w:ilvl w:val="0"/>
          <w:numId w:val="11"/>
        </w:numPr>
      </w:pPr>
      <w:r w:rsidRPr="00336BC3">
        <w:t xml:space="preserve">Novartis Pharmaceuticals Australia Pty Limited </w:t>
      </w:r>
    </w:p>
    <w:p w:rsidR="00826E7E" w:rsidRPr="00336BC3" w:rsidRDefault="00826E7E" w:rsidP="005A432E">
      <w:pPr>
        <w:pStyle w:val="ListParagraph"/>
      </w:pPr>
      <w:r>
        <w:t>No comment provided.</w:t>
      </w:r>
    </w:p>
    <w:p w:rsidR="0050667A" w:rsidRDefault="0050667A" w:rsidP="0050667A">
      <w:pPr>
        <w:pStyle w:val="Heading4"/>
      </w:pPr>
      <w:r w:rsidRPr="00A4020E">
        <w:t>Disclaimer</w:t>
      </w:r>
    </w:p>
    <w:p w:rsidR="0050667A" w:rsidRDefault="0050667A" w:rsidP="0050667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50667A" w:rsidRDefault="0050667A" w:rsidP="0050667A">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50667A" w:rsidRDefault="0050667A" w:rsidP="0050667A">
      <w:r>
        <w:t xml:space="preserve">To the extent provided by law, DoH makes no warranties or representations as to accuracy or completeness of information contained in this report. </w:t>
      </w:r>
    </w:p>
    <w:p w:rsidR="00FE645A" w:rsidRDefault="0050667A" w:rsidP="00A6422E">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FE645A" w:rsidSect="00DD188C">
      <w:headerReference w:type="default" r:id="rId17"/>
      <w:footerReference w:type="even" r:id="rId18"/>
      <w:footerReference w:type="default" r:id="rId19"/>
      <w:footerReference w:type="first" r:id="rId2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BB" w:rsidRDefault="000910BB" w:rsidP="00A35800">
      <w:r>
        <w:separator/>
      </w:r>
    </w:p>
  </w:endnote>
  <w:endnote w:type="continuationSeparator" w:id="0">
    <w:p w:rsidR="000910BB" w:rsidRDefault="000910BB"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BB" w:rsidRDefault="000910BB"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910BB" w:rsidRDefault="000910BB"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20733839"/>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0910BB" w:rsidRPr="00165665" w:rsidRDefault="000910BB" w:rsidP="000E72C6">
            <w:pPr>
              <w:pStyle w:val="Footer"/>
              <w:jc w:val="center"/>
              <w:rPr>
                <w:i/>
                <w:sz w:val="20"/>
                <w:szCs w:val="20"/>
              </w:rPr>
            </w:pPr>
            <w:r w:rsidRPr="00165665">
              <w:rPr>
                <w:i/>
                <w:sz w:val="20"/>
                <w:szCs w:val="20"/>
              </w:rPr>
              <w:t>Public Release Document, June 2015 DUSC Meeting</w:t>
            </w:r>
          </w:p>
          <w:p w:rsidR="000910BB" w:rsidRPr="00744653" w:rsidRDefault="000910BB" w:rsidP="000E72C6">
            <w:pPr>
              <w:pStyle w:val="Footer"/>
              <w:jc w:val="center"/>
              <w:rPr>
                <w:rStyle w:val="PageNumber"/>
                <w:sz w:val="20"/>
                <w:szCs w:val="20"/>
              </w:rPr>
            </w:pPr>
            <w:r w:rsidRPr="00744653">
              <w:rPr>
                <w:i/>
                <w:sz w:val="20"/>
                <w:szCs w:val="20"/>
              </w:rPr>
              <w:t xml:space="preserve">Page </w:t>
            </w:r>
            <w:r w:rsidRPr="00744653">
              <w:rPr>
                <w:bCs/>
                <w:i/>
                <w:sz w:val="20"/>
                <w:szCs w:val="20"/>
              </w:rPr>
              <w:fldChar w:fldCharType="begin"/>
            </w:r>
            <w:r w:rsidRPr="00744653">
              <w:rPr>
                <w:bCs/>
                <w:i/>
                <w:sz w:val="20"/>
                <w:szCs w:val="20"/>
              </w:rPr>
              <w:instrText xml:space="preserve"> PAGE </w:instrText>
            </w:r>
            <w:r w:rsidRPr="00744653">
              <w:rPr>
                <w:bCs/>
                <w:i/>
                <w:sz w:val="20"/>
                <w:szCs w:val="20"/>
              </w:rPr>
              <w:fldChar w:fldCharType="separate"/>
            </w:r>
            <w:r w:rsidR="00754855">
              <w:rPr>
                <w:bCs/>
                <w:i/>
                <w:noProof/>
                <w:sz w:val="20"/>
                <w:szCs w:val="20"/>
              </w:rPr>
              <w:t>2</w:t>
            </w:r>
            <w:r w:rsidRPr="00744653">
              <w:rPr>
                <w:bCs/>
                <w:i/>
                <w:sz w:val="20"/>
                <w:szCs w:val="20"/>
              </w:rPr>
              <w:fldChar w:fldCharType="end"/>
            </w:r>
            <w:r w:rsidRPr="00744653">
              <w:rPr>
                <w:i/>
                <w:sz w:val="20"/>
                <w:szCs w:val="20"/>
              </w:rPr>
              <w:t xml:space="preserve"> of </w:t>
            </w:r>
            <w:r w:rsidRPr="00744653">
              <w:rPr>
                <w:bCs/>
                <w:i/>
                <w:sz w:val="20"/>
                <w:szCs w:val="20"/>
              </w:rPr>
              <w:fldChar w:fldCharType="begin"/>
            </w:r>
            <w:r w:rsidRPr="00744653">
              <w:rPr>
                <w:bCs/>
                <w:i/>
                <w:sz w:val="20"/>
                <w:szCs w:val="20"/>
              </w:rPr>
              <w:instrText xml:space="preserve"> NUMPAGES  </w:instrText>
            </w:r>
            <w:r w:rsidRPr="00744653">
              <w:rPr>
                <w:bCs/>
                <w:i/>
                <w:sz w:val="20"/>
                <w:szCs w:val="20"/>
              </w:rPr>
              <w:fldChar w:fldCharType="separate"/>
            </w:r>
            <w:r w:rsidR="00754855">
              <w:rPr>
                <w:bCs/>
                <w:i/>
                <w:noProof/>
                <w:sz w:val="20"/>
                <w:szCs w:val="20"/>
              </w:rPr>
              <w:t>30</w:t>
            </w:r>
            <w:r w:rsidRPr="00744653">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BB" w:rsidRDefault="000910BB" w:rsidP="007A5733">
    <w:pPr>
      <w:pStyle w:val="Footer"/>
      <w:jc w:val="center"/>
      <w:rPr>
        <w:rStyle w:val="PageNumber"/>
      </w:rPr>
    </w:pPr>
    <w:r>
      <w:rPr>
        <w:rStyle w:val="PageNumber"/>
      </w:rPr>
      <w:t>Committee-in-Confidence</w:t>
    </w:r>
  </w:p>
  <w:p w:rsidR="000910BB" w:rsidRDefault="000910BB"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BB" w:rsidRDefault="000910BB" w:rsidP="00A35800">
      <w:r>
        <w:separator/>
      </w:r>
    </w:p>
  </w:footnote>
  <w:footnote w:type="continuationSeparator" w:id="0">
    <w:p w:rsidR="000910BB" w:rsidRDefault="000910BB" w:rsidP="00A35800">
      <w:r>
        <w:continuationSeparator/>
      </w:r>
    </w:p>
  </w:footnote>
  <w:footnote w:id="1">
    <w:p w:rsidR="000910BB" w:rsidRPr="00A6422E" w:rsidRDefault="000910BB" w:rsidP="003D4E38">
      <w:pPr>
        <w:pStyle w:val="FootnoteText"/>
        <w:rPr>
          <w:szCs w:val="18"/>
        </w:rPr>
      </w:pPr>
      <w:r w:rsidRPr="00A6422E">
        <w:rPr>
          <w:rStyle w:val="FootnoteReference"/>
          <w:szCs w:val="18"/>
        </w:rPr>
        <w:footnoteRef/>
      </w:r>
      <w:r w:rsidRPr="00A6422E">
        <w:rPr>
          <w:szCs w:val="18"/>
        </w:rPr>
        <w:t xml:space="preserve"> Australian Government Department of Human Services Medicare. PBS statistics. Canberra. Available from &lt;</w:t>
      </w:r>
      <w:hyperlink r:id="rId1" w:history="1">
        <w:r w:rsidRPr="00A6422E">
          <w:rPr>
            <w:rStyle w:val="Hyperlink"/>
            <w:szCs w:val="18"/>
          </w:rPr>
          <w:t>http://www.medicareaustralia.gov.au/provider/pbs/stats.jsp</w:t>
        </w:r>
      </w:hyperlink>
      <w:r w:rsidRPr="00A6422E">
        <w:rPr>
          <w:rStyle w:val="Hyperlink"/>
          <w:szCs w:val="18"/>
        </w:rPr>
        <w:t>&gt;</w:t>
      </w:r>
      <w:r w:rsidRPr="00A6422E">
        <w:rPr>
          <w:szCs w:val="18"/>
        </w:rPr>
        <w:t>.</w:t>
      </w:r>
    </w:p>
  </w:footnote>
  <w:footnote w:id="2">
    <w:p w:rsidR="000910BB" w:rsidRDefault="000910BB" w:rsidP="009D20DA">
      <w:pPr>
        <w:pStyle w:val="FootnoteText"/>
      </w:pPr>
      <w:r>
        <w:rPr>
          <w:rStyle w:val="FootnoteReference"/>
        </w:rPr>
        <w:footnoteRef/>
      </w:r>
      <w:r>
        <w:t xml:space="preserve"> Wang, J.J., Rochtchina, E., Lee, A.J. et al. (2007) Ten-year incidence and progression of age-related maculopathy. Opthalmology 114: 92-98.</w:t>
      </w:r>
    </w:p>
  </w:footnote>
  <w:footnote w:id="3">
    <w:p w:rsidR="000910BB" w:rsidRDefault="000910BB" w:rsidP="009D20DA">
      <w:pPr>
        <w:pStyle w:val="FootnoteText"/>
      </w:pPr>
      <w:r>
        <w:rPr>
          <w:rStyle w:val="FootnoteReference"/>
        </w:rPr>
        <w:footnoteRef/>
      </w:r>
      <w:r>
        <w:t xml:space="preserve"> </w:t>
      </w:r>
      <w:r w:rsidRPr="00F707EC">
        <w:t xml:space="preserve">Hanna R Coleman, Chi-Chao Chan, Frederick L Ferris III, Emily Y Chew </w:t>
      </w:r>
      <w:r>
        <w:t xml:space="preserve">(2008) </w:t>
      </w:r>
      <w:r w:rsidRPr="00F707EC">
        <w:t>Age-related macular degeneration</w:t>
      </w:r>
      <w:r>
        <w:t xml:space="preserve">, </w:t>
      </w:r>
      <w:r w:rsidRPr="00F707EC">
        <w:t>Lancet 2008; 372: 1835–45</w:t>
      </w:r>
    </w:p>
  </w:footnote>
  <w:footnote w:id="4">
    <w:p w:rsidR="000910BB" w:rsidRDefault="000910BB" w:rsidP="009D20DA">
      <w:pPr>
        <w:pStyle w:val="FootnoteText"/>
      </w:pPr>
      <w:r>
        <w:rPr>
          <w:rStyle w:val="FootnoteReference"/>
        </w:rPr>
        <w:footnoteRef/>
      </w:r>
      <w:r>
        <w:t xml:space="preserve"> Mitchell, P., Smith, W., Attebo, K. and Wang, J.J. (1995) Prevalence of age-related maculopathy in Australia. Opthalmology 102: 1450-1460.</w:t>
      </w:r>
    </w:p>
  </w:footnote>
  <w:footnote w:id="5">
    <w:p w:rsidR="000910BB" w:rsidRDefault="000910BB" w:rsidP="009D20DA">
      <w:pPr>
        <w:pStyle w:val="FootnoteText"/>
      </w:pPr>
      <w:r>
        <w:rPr>
          <w:rStyle w:val="FootnoteReference"/>
        </w:rPr>
        <w:footnoteRef/>
      </w:r>
      <w:r>
        <w:t xml:space="preserve"> </w:t>
      </w:r>
      <w:r w:rsidRPr="001C2211">
        <w:t>http://www.pbs.gov.au/info/industry/listing/elements/pbac-meetings/psd/2007-03/pbac-psd-ranibizumab-mar07</w:t>
      </w:r>
    </w:p>
  </w:footnote>
  <w:footnote w:id="6">
    <w:p w:rsidR="000910BB" w:rsidRDefault="000910BB" w:rsidP="009D20DA">
      <w:pPr>
        <w:pStyle w:val="FootnoteText"/>
      </w:pPr>
      <w:r>
        <w:rPr>
          <w:rStyle w:val="FootnoteReference"/>
        </w:rPr>
        <w:footnoteRef/>
      </w:r>
      <w:r>
        <w:t xml:space="preserve"> Caroline C. W. Klaver, Jacqueline J. M. Assink, Redmer van Leeuwen, Roger C. W. Wolfs, Johannes R. Vingerling, Theo Stijnen, Albert Hofman, and Paulus T. V. M. de Jong,</w:t>
      </w:r>
      <w:r w:rsidRPr="001C2211">
        <w:t xml:space="preserve"> </w:t>
      </w:r>
      <w:r>
        <w:t xml:space="preserve">Incidence and Progression Rates of Age-Related Maculopathy: The Rotterdam Study,  </w:t>
      </w:r>
      <w:r w:rsidRPr="002D26F1">
        <w:t>Investigative Ophthalmology &amp; Visual Science, September 2001, Vol. 42, No. 10</w:t>
      </w:r>
    </w:p>
  </w:footnote>
  <w:footnote w:id="7">
    <w:p w:rsidR="000910BB" w:rsidRDefault="000910BB" w:rsidP="009D20DA">
      <w:pPr>
        <w:pStyle w:val="FootnoteText"/>
      </w:pPr>
      <w:r>
        <w:rPr>
          <w:rStyle w:val="FootnoteReference"/>
        </w:rPr>
        <w:footnoteRef/>
      </w:r>
      <w:r>
        <w:t xml:space="preserve"> Klein R, Klein BEK, Jensen SC, Meuer SM. The five-year incidence and progression of age-related maculopathy: The Beaver Dam Eye Study. Ophthalmology. 1997;104:7–21.</w:t>
      </w:r>
    </w:p>
  </w:footnote>
  <w:footnote w:id="8">
    <w:p w:rsidR="000910BB" w:rsidRPr="00A6422E" w:rsidRDefault="000910BB" w:rsidP="0017478A">
      <w:pPr>
        <w:autoSpaceDE w:val="0"/>
        <w:autoSpaceDN w:val="0"/>
        <w:adjustRightInd w:val="0"/>
        <w:rPr>
          <w:sz w:val="18"/>
          <w:szCs w:val="18"/>
        </w:rPr>
      </w:pPr>
      <w:r w:rsidRPr="00A6422E">
        <w:rPr>
          <w:rStyle w:val="FootnoteReference"/>
          <w:sz w:val="18"/>
          <w:szCs w:val="18"/>
        </w:rPr>
        <w:footnoteRef/>
      </w:r>
      <w:r w:rsidRPr="00A6422E">
        <w:rPr>
          <w:sz w:val="18"/>
          <w:szCs w:val="18"/>
        </w:rPr>
        <w:t xml:space="preserve"> Ferreira A, et al. Treatment Patterns of Ranibizumab and Aflibercept for the Management of Wet Age-Related Macular Degeneration in Routine Clinical Practice in the United States. Value in Health. 2013;16:A512.</w:t>
      </w:r>
    </w:p>
  </w:footnote>
  <w:footnote w:id="9">
    <w:p w:rsidR="000910BB" w:rsidRDefault="000910BB" w:rsidP="0017478A">
      <w:pPr>
        <w:pStyle w:val="FootnoteText"/>
      </w:pPr>
      <w:r>
        <w:rPr>
          <w:rStyle w:val="FootnoteReference"/>
        </w:rPr>
        <w:footnoteRef/>
      </w:r>
      <w:r>
        <w:t xml:space="preserve"> Johnston SS, et al. Retrospective Analysis of First-Line Anti-Vascular Endothelial Growth Factor Treatment Patterns in Wet Age-Related Macular Degeneration. Adv Ther. 2013;30:1111-1127. </w:t>
      </w:r>
    </w:p>
  </w:footnote>
  <w:footnote w:id="10">
    <w:p w:rsidR="000910BB" w:rsidRDefault="000910BB" w:rsidP="0017478A">
      <w:pPr>
        <w:pStyle w:val="FootnoteText"/>
      </w:pPr>
      <w:r>
        <w:rPr>
          <w:rStyle w:val="FootnoteReference"/>
        </w:rPr>
        <w:footnoteRef/>
      </w:r>
      <w:r>
        <w:t xml:space="preserve"> Turpcu A, et al. Patterns of Anti-VEGF Use in Neovascular Age-Related Macular Degeneration: A United States Administrative Claims Database Analysis. Value in Health. 2014;17:A285.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BB" w:rsidRDefault="00091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5DD"/>
    <w:multiLevelType w:val="hybridMultilevel"/>
    <w:tmpl w:val="9D4AA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04A0D03"/>
    <w:multiLevelType w:val="hybridMultilevel"/>
    <w:tmpl w:val="999EB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15A4109"/>
    <w:multiLevelType w:val="hybridMultilevel"/>
    <w:tmpl w:val="5D8AD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95A1BAB"/>
    <w:multiLevelType w:val="hybridMultilevel"/>
    <w:tmpl w:val="62E68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7A61E1"/>
    <w:multiLevelType w:val="hybridMultilevel"/>
    <w:tmpl w:val="C608C8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A216D1B"/>
    <w:multiLevelType w:val="hybridMultilevel"/>
    <w:tmpl w:val="E7FEA2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6E1A2B69"/>
    <w:multiLevelType w:val="hybridMultilevel"/>
    <w:tmpl w:val="0C7C5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98357A7"/>
    <w:multiLevelType w:val="hybridMultilevel"/>
    <w:tmpl w:val="CBAE7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4"/>
  </w:num>
  <w:num w:numId="6">
    <w:abstractNumId w:val="0"/>
  </w:num>
  <w:num w:numId="7">
    <w:abstractNumId w:val="3"/>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7E85"/>
    <w:rsid w:val="00013465"/>
    <w:rsid w:val="000226B3"/>
    <w:rsid w:val="00024549"/>
    <w:rsid w:val="00053F14"/>
    <w:rsid w:val="000544B6"/>
    <w:rsid w:val="000604AF"/>
    <w:rsid w:val="00064236"/>
    <w:rsid w:val="00086C11"/>
    <w:rsid w:val="000910BB"/>
    <w:rsid w:val="000935C6"/>
    <w:rsid w:val="00094DCF"/>
    <w:rsid w:val="000A3A68"/>
    <w:rsid w:val="000A6CFD"/>
    <w:rsid w:val="000B0982"/>
    <w:rsid w:val="000B796C"/>
    <w:rsid w:val="000C46BB"/>
    <w:rsid w:val="000C4D9D"/>
    <w:rsid w:val="000C7C4B"/>
    <w:rsid w:val="000C7D8B"/>
    <w:rsid w:val="000D48F0"/>
    <w:rsid w:val="000E2314"/>
    <w:rsid w:val="000E485D"/>
    <w:rsid w:val="000E72C6"/>
    <w:rsid w:val="000F1893"/>
    <w:rsid w:val="000F2F51"/>
    <w:rsid w:val="001015F1"/>
    <w:rsid w:val="001069E0"/>
    <w:rsid w:val="00111623"/>
    <w:rsid w:val="00113CF8"/>
    <w:rsid w:val="00113D74"/>
    <w:rsid w:val="00117C5C"/>
    <w:rsid w:val="00117CAF"/>
    <w:rsid w:val="001228B7"/>
    <w:rsid w:val="001310AE"/>
    <w:rsid w:val="001420B3"/>
    <w:rsid w:val="001559AF"/>
    <w:rsid w:val="0015691C"/>
    <w:rsid w:val="001619A1"/>
    <w:rsid w:val="001621F7"/>
    <w:rsid w:val="001624D7"/>
    <w:rsid w:val="00165665"/>
    <w:rsid w:val="0017478A"/>
    <w:rsid w:val="00174E72"/>
    <w:rsid w:val="00177B86"/>
    <w:rsid w:val="00182585"/>
    <w:rsid w:val="00191182"/>
    <w:rsid w:val="001914FF"/>
    <w:rsid w:val="001927CF"/>
    <w:rsid w:val="0019664D"/>
    <w:rsid w:val="00197E9F"/>
    <w:rsid w:val="001A6103"/>
    <w:rsid w:val="001B5D37"/>
    <w:rsid w:val="001C2940"/>
    <w:rsid w:val="001C4016"/>
    <w:rsid w:val="001C548D"/>
    <w:rsid w:val="001C6A5D"/>
    <w:rsid w:val="001D1FE0"/>
    <w:rsid w:val="001D2D69"/>
    <w:rsid w:val="001E31A6"/>
    <w:rsid w:val="001E42C7"/>
    <w:rsid w:val="001E4CAB"/>
    <w:rsid w:val="001F2F3E"/>
    <w:rsid w:val="001F4906"/>
    <w:rsid w:val="001F7C4A"/>
    <w:rsid w:val="0020578A"/>
    <w:rsid w:val="00207631"/>
    <w:rsid w:val="00214013"/>
    <w:rsid w:val="002175D8"/>
    <w:rsid w:val="00220FC1"/>
    <w:rsid w:val="00222E9A"/>
    <w:rsid w:val="0023179D"/>
    <w:rsid w:val="002449FA"/>
    <w:rsid w:val="00245E36"/>
    <w:rsid w:val="0025389D"/>
    <w:rsid w:val="0026265F"/>
    <w:rsid w:val="00286C3A"/>
    <w:rsid w:val="002930F5"/>
    <w:rsid w:val="002A06B7"/>
    <w:rsid w:val="002A12E2"/>
    <w:rsid w:val="002A457C"/>
    <w:rsid w:val="002B7065"/>
    <w:rsid w:val="002C6E0C"/>
    <w:rsid w:val="002D144A"/>
    <w:rsid w:val="002D4C1D"/>
    <w:rsid w:val="002E19A3"/>
    <w:rsid w:val="002E212B"/>
    <w:rsid w:val="002E3337"/>
    <w:rsid w:val="002E6D03"/>
    <w:rsid w:val="002F49A8"/>
    <w:rsid w:val="002F5E66"/>
    <w:rsid w:val="002F61CA"/>
    <w:rsid w:val="0030010D"/>
    <w:rsid w:val="00307349"/>
    <w:rsid w:val="00331499"/>
    <w:rsid w:val="003318CF"/>
    <w:rsid w:val="0033504C"/>
    <w:rsid w:val="00336816"/>
    <w:rsid w:val="00336BC3"/>
    <w:rsid w:val="003370D0"/>
    <w:rsid w:val="00337355"/>
    <w:rsid w:val="003402E4"/>
    <w:rsid w:val="00340F95"/>
    <w:rsid w:val="00342BE5"/>
    <w:rsid w:val="00351D88"/>
    <w:rsid w:val="003531ED"/>
    <w:rsid w:val="00360B9A"/>
    <w:rsid w:val="0039017F"/>
    <w:rsid w:val="00394AEE"/>
    <w:rsid w:val="003B4E51"/>
    <w:rsid w:val="003B50C0"/>
    <w:rsid w:val="003C2D98"/>
    <w:rsid w:val="003C3335"/>
    <w:rsid w:val="003D3A96"/>
    <w:rsid w:val="003D4E38"/>
    <w:rsid w:val="003E38E4"/>
    <w:rsid w:val="003F71CB"/>
    <w:rsid w:val="004049E1"/>
    <w:rsid w:val="00404F03"/>
    <w:rsid w:val="00412051"/>
    <w:rsid w:val="00423B94"/>
    <w:rsid w:val="00436BBA"/>
    <w:rsid w:val="004539AF"/>
    <w:rsid w:val="00463731"/>
    <w:rsid w:val="0046400A"/>
    <w:rsid w:val="00467B25"/>
    <w:rsid w:val="00481108"/>
    <w:rsid w:val="0049042B"/>
    <w:rsid w:val="00495473"/>
    <w:rsid w:val="004A458E"/>
    <w:rsid w:val="004B178A"/>
    <w:rsid w:val="004B23E7"/>
    <w:rsid w:val="004B306F"/>
    <w:rsid w:val="004B35BB"/>
    <w:rsid w:val="004C3186"/>
    <w:rsid w:val="004C5042"/>
    <w:rsid w:val="004E4422"/>
    <w:rsid w:val="004F0B1A"/>
    <w:rsid w:val="004F27C3"/>
    <w:rsid w:val="004F5BE0"/>
    <w:rsid w:val="00503998"/>
    <w:rsid w:val="0050623B"/>
    <w:rsid w:val="0050667A"/>
    <w:rsid w:val="00523181"/>
    <w:rsid w:val="00524D13"/>
    <w:rsid w:val="005339F6"/>
    <w:rsid w:val="00537F49"/>
    <w:rsid w:val="005737E6"/>
    <w:rsid w:val="00576B18"/>
    <w:rsid w:val="005812B9"/>
    <w:rsid w:val="0058491A"/>
    <w:rsid w:val="00586300"/>
    <w:rsid w:val="00587724"/>
    <w:rsid w:val="00590352"/>
    <w:rsid w:val="00591512"/>
    <w:rsid w:val="005A432E"/>
    <w:rsid w:val="005B2B08"/>
    <w:rsid w:val="005B48B4"/>
    <w:rsid w:val="005B76F9"/>
    <w:rsid w:val="005C6661"/>
    <w:rsid w:val="005C6E3B"/>
    <w:rsid w:val="005D474B"/>
    <w:rsid w:val="005E085C"/>
    <w:rsid w:val="005E147D"/>
    <w:rsid w:val="005E22C2"/>
    <w:rsid w:val="005E57BB"/>
    <w:rsid w:val="005F0017"/>
    <w:rsid w:val="005F5E67"/>
    <w:rsid w:val="006014F1"/>
    <w:rsid w:val="0061357B"/>
    <w:rsid w:val="00614A7D"/>
    <w:rsid w:val="00630DEE"/>
    <w:rsid w:val="0063631C"/>
    <w:rsid w:val="0063757B"/>
    <w:rsid w:val="006377CE"/>
    <w:rsid w:val="00645861"/>
    <w:rsid w:val="006504B7"/>
    <w:rsid w:val="006537D9"/>
    <w:rsid w:val="00664A48"/>
    <w:rsid w:val="00665DEF"/>
    <w:rsid w:val="0067116D"/>
    <w:rsid w:val="00675BB1"/>
    <w:rsid w:val="006775F1"/>
    <w:rsid w:val="0069151D"/>
    <w:rsid w:val="00692AA7"/>
    <w:rsid w:val="00693329"/>
    <w:rsid w:val="006937B9"/>
    <w:rsid w:val="006943DF"/>
    <w:rsid w:val="00696317"/>
    <w:rsid w:val="00697FEC"/>
    <w:rsid w:val="006A14A2"/>
    <w:rsid w:val="006A175F"/>
    <w:rsid w:val="006A44F5"/>
    <w:rsid w:val="006B4537"/>
    <w:rsid w:val="006B581C"/>
    <w:rsid w:val="006B5F85"/>
    <w:rsid w:val="006B6929"/>
    <w:rsid w:val="006B709B"/>
    <w:rsid w:val="006C2157"/>
    <w:rsid w:val="006C54AF"/>
    <w:rsid w:val="006E0181"/>
    <w:rsid w:val="00700C0E"/>
    <w:rsid w:val="00705DAD"/>
    <w:rsid w:val="007247B9"/>
    <w:rsid w:val="00724F26"/>
    <w:rsid w:val="00727D85"/>
    <w:rsid w:val="007346C7"/>
    <w:rsid w:val="00734D33"/>
    <w:rsid w:val="00736041"/>
    <w:rsid w:val="007408C7"/>
    <w:rsid w:val="00744653"/>
    <w:rsid w:val="007465DA"/>
    <w:rsid w:val="00747702"/>
    <w:rsid w:val="00752C7F"/>
    <w:rsid w:val="00754855"/>
    <w:rsid w:val="00762DF2"/>
    <w:rsid w:val="007642CC"/>
    <w:rsid w:val="00776598"/>
    <w:rsid w:val="00780A65"/>
    <w:rsid w:val="00792948"/>
    <w:rsid w:val="00796E84"/>
    <w:rsid w:val="007A3ADE"/>
    <w:rsid w:val="007A5733"/>
    <w:rsid w:val="007A5774"/>
    <w:rsid w:val="007B566E"/>
    <w:rsid w:val="007C0AED"/>
    <w:rsid w:val="007C2D34"/>
    <w:rsid w:val="007C5E98"/>
    <w:rsid w:val="007E6408"/>
    <w:rsid w:val="007F4A04"/>
    <w:rsid w:val="00801E74"/>
    <w:rsid w:val="0080485E"/>
    <w:rsid w:val="008142B4"/>
    <w:rsid w:val="00814F62"/>
    <w:rsid w:val="00820309"/>
    <w:rsid w:val="0082239B"/>
    <w:rsid w:val="00826E7E"/>
    <w:rsid w:val="00832324"/>
    <w:rsid w:val="00835337"/>
    <w:rsid w:val="0084610A"/>
    <w:rsid w:val="00846DCD"/>
    <w:rsid w:val="00851D85"/>
    <w:rsid w:val="00852B9D"/>
    <w:rsid w:val="00860CCB"/>
    <w:rsid w:val="008740A3"/>
    <w:rsid w:val="0089297B"/>
    <w:rsid w:val="008A1687"/>
    <w:rsid w:val="008B33C8"/>
    <w:rsid w:val="008C36CA"/>
    <w:rsid w:val="008D51BB"/>
    <w:rsid w:val="008E3F8C"/>
    <w:rsid w:val="00902FD0"/>
    <w:rsid w:val="009053D3"/>
    <w:rsid w:val="0090691F"/>
    <w:rsid w:val="0093111F"/>
    <w:rsid w:val="00935689"/>
    <w:rsid w:val="0095303B"/>
    <w:rsid w:val="009663B6"/>
    <w:rsid w:val="00974A47"/>
    <w:rsid w:val="00980286"/>
    <w:rsid w:val="00990DCF"/>
    <w:rsid w:val="009A4CD6"/>
    <w:rsid w:val="009A537C"/>
    <w:rsid w:val="009C0886"/>
    <w:rsid w:val="009C19EE"/>
    <w:rsid w:val="009C28D0"/>
    <w:rsid w:val="009C35F2"/>
    <w:rsid w:val="009C7782"/>
    <w:rsid w:val="009D1ED5"/>
    <w:rsid w:val="009D20DA"/>
    <w:rsid w:val="009D4C13"/>
    <w:rsid w:val="009E21A7"/>
    <w:rsid w:val="009F08FF"/>
    <w:rsid w:val="009F29EB"/>
    <w:rsid w:val="009F4EF6"/>
    <w:rsid w:val="00A103ED"/>
    <w:rsid w:val="00A11521"/>
    <w:rsid w:val="00A13C60"/>
    <w:rsid w:val="00A341A3"/>
    <w:rsid w:val="00A35800"/>
    <w:rsid w:val="00A4340A"/>
    <w:rsid w:val="00A47505"/>
    <w:rsid w:val="00A52918"/>
    <w:rsid w:val="00A547B3"/>
    <w:rsid w:val="00A6422E"/>
    <w:rsid w:val="00A70E82"/>
    <w:rsid w:val="00A84CAD"/>
    <w:rsid w:val="00A90E50"/>
    <w:rsid w:val="00A95FA5"/>
    <w:rsid w:val="00A96D92"/>
    <w:rsid w:val="00AB03D8"/>
    <w:rsid w:val="00AB3733"/>
    <w:rsid w:val="00AB7897"/>
    <w:rsid w:val="00AC5054"/>
    <w:rsid w:val="00AE2733"/>
    <w:rsid w:val="00AE4BAC"/>
    <w:rsid w:val="00B0313A"/>
    <w:rsid w:val="00B034FC"/>
    <w:rsid w:val="00B05310"/>
    <w:rsid w:val="00B10A0B"/>
    <w:rsid w:val="00B126D6"/>
    <w:rsid w:val="00B21725"/>
    <w:rsid w:val="00B30D85"/>
    <w:rsid w:val="00B35A4A"/>
    <w:rsid w:val="00B63FD7"/>
    <w:rsid w:val="00B816D9"/>
    <w:rsid w:val="00B85F62"/>
    <w:rsid w:val="00B9120F"/>
    <w:rsid w:val="00B9216C"/>
    <w:rsid w:val="00B924A4"/>
    <w:rsid w:val="00BB0D1A"/>
    <w:rsid w:val="00BB1D3B"/>
    <w:rsid w:val="00BC3060"/>
    <w:rsid w:val="00BC34D5"/>
    <w:rsid w:val="00BC35ED"/>
    <w:rsid w:val="00BE11A8"/>
    <w:rsid w:val="00BE205A"/>
    <w:rsid w:val="00BE3802"/>
    <w:rsid w:val="00BE6DD2"/>
    <w:rsid w:val="00BF115E"/>
    <w:rsid w:val="00BF238E"/>
    <w:rsid w:val="00BF2F4A"/>
    <w:rsid w:val="00BF544D"/>
    <w:rsid w:val="00C0076F"/>
    <w:rsid w:val="00C0301C"/>
    <w:rsid w:val="00C050B6"/>
    <w:rsid w:val="00C10F12"/>
    <w:rsid w:val="00C2129D"/>
    <w:rsid w:val="00C245EA"/>
    <w:rsid w:val="00C253AE"/>
    <w:rsid w:val="00C256F6"/>
    <w:rsid w:val="00C3097E"/>
    <w:rsid w:val="00C30E46"/>
    <w:rsid w:val="00C35ECC"/>
    <w:rsid w:val="00C361A8"/>
    <w:rsid w:val="00C41246"/>
    <w:rsid w:val="00C45E5F"/>
    <w:rsid w:val="00C46291"/>
    <w:rsid w:val="00C5508D"/>
    <w:rsid w:val="00C63412"/>
    <w:rsid w:val="00C714D0"/>
    <w:rsid w:val="00C90EF4"/>
    <w:rsid w:val="00CA015A"/>
    <w:rsid w:val="00CC1AA3"/>
    <w:rsid w:val="00CD4486"/>
    <w:rsid w:val="00D06A44"/>
    <w:rsid w:val="00D106B1"/>
    <w:rsid w:val="00D151EB"/>
    <w:rsid w:val="00D300E0"/>
    <w:rsid w:val="00D374CD"/>
    <w:rsid w:val="00D40A5F"/>
    <w:rsid w:val="00D4559A"/>
    <w:rsid w:val="00D650CE"/>
    <w:rsid w:val="00D67F6B"/>
    <w:rsid w:val="00D71719"/>
    <w:rsid w:val="00D776DA"/>
    <w:rsid w:val="00D8642F"/>
    <w:rsid w:val="00D8758B"/>
    <w:rsid w:val="00D942B3"/>
    <w:rsid w:val="00D94863"/>
    <w:rsid w:val="00DA7D09"/>
    <w:rsid w:val="00DB60CF"/>
    <w:rsid w:val="00DC2630"/>
    <w:rsid w:val="00DC49E9"/>
    <w:rsid w:val="00DC55E4"/>
    <w:rsid w:val="00DC7D71"/>
    <w:rsid w:val="00DD188C"/>
    <w:rsid w:val="00DD1987"/>
    <w:rsid w:val="00DD29A3"/>
    <w:rsid w:val="00DD48EE"/>
    <w:rsid w:val="00DD6D4E"/>
    <w:rsid w:val="00DE0B96"/>
    <w:rsid w:val="00DE10B9"/>
    <w:rsid w:val="00DE2A84"/>
    <w:rsid w:val="00DE3876"/>
    <w:rsid w:val="00DF0B13"/>
    <w:rsid w:val="00DF2EB8"/>
    <w:rsid w:val="00DF4A94"/>
    <w:rsid w:val="00DF6003"/>
    <w:rsid w:val="00E00095"/>
    <w:rsid w:val="00E066C3"/>
    <w:rsid w:val="00E10D8C"/>
    <w:rsid w:val="00E1353A"/>
    <w:rsid w:val="00E1564B"/>
    <w:rsid w:val="00E208A0"/>
    <w:rsid w:val="00E25B49"/>
    <w:rsid w:val="00E371EA"/>
    <w:rsid w:val="00E53CC2"/>
    <w:rsid w:val="00E6440B"/>
    <w:rsid w:val="00E64429"/>
    <w:rsid w:val="00E677DD"/>
    <w:rsid w:val="00E737D6"/>
    <w:rsid w:val="00E7594B"/>
    <w:rsid w:val="00EA36EC"/>
    <w:rsid w:val="00EB4688"/>
    <w:rsid w:val="00EB6C07"/>
    <w:rsid w:val="00EC028D"/>
    <w:rsid w:val="00EC1121"/>
    <w:rsid w:val="00ED633B"/>
    <w:rsid w:val="00EE478C"/>
    <w:rsid w:val="00EF741C"/>
    <w:rsid w:val="00F1132C"/>
    <w:rsid w:val="00F15DD5"/>
    <w:rsid w:val="00F17D4B"/>
    <w:rsid w:val="00F23139"/>
    <w:rsid w:val="00F37C73"/>
    <w:rsid w:val="00F43940"/>
    <w:rsid w:val="00F43E72"/>
    <w:rsid w:val="00F66CD5"/>
    <w:rsid w:val="00F67A9A"/>
    <w:rsid w:val="00F70F4E"/>
    <w:rsid w:val="00F75FC4"/>
    <w:rsid w:val="00F85981"/>
    <w:rsid w:val="00F87263"/>
    <w:rsid w:val="00F93725"/>
    <w:rsid w:val="00F97770"/>
    <w:rsid w:val="00FA4890"/>
    <w:rsid w:val="00FA5599"/>
    <w:rsid w:val="00FB77FA"/>
    <w:rsid w:val="00FC3C70"/>
    <w:rsid w:val="00FC4A73"/>
    <w:rsid w:val="00FC559C"/>
    <w:rsid w:val="00FC7F0D"/>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3Char">
    <w:name w:val="Heading 3 Char"/>
    <w:basedOn w:val="DefaultParagraphFont"/>
    <w:link w:val="Heading3"/>
    <w:uiPriority w:val="9"/>
    <w:rsid w:val="00FE645A"/>
    <w:rPr>
      <w:b/>
      <w:sz w:val="28"/>
      <w:szCs w:val="28"/>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character" w:customStyle="1" w:styleId="TabletitleChar">
    <w:name w:val="Table title Char"/>
    <w:basedOn w:val="Heading4Char"/>
    <w:link w:val="Tabletitle"/>
    <w:rsid w:val="00C245EA"/>
    <w:rPr>
      <w:b/>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Caption">
    <w:name w:val="caption"/>
    <w:basedOn w:val="Normal"/>
    <w:next w:val="Normal"/>
    <w:uiPriority w:val="35"/>
    <w:unhideWhenUsed/>
    <w:qFormat/>
    <w:rsid w:val="00D4559A"/>
    <w:rPr>
      <w:b/>
      <w:bCs/>
      <w:color w:val="4F81BD" w:themeColor="accent1"/>
      <w:sz w:val="18"/>
      <w:szCs w:val="18"/>
    </w:rPr>
  </w:style>
  <w:style w:type="paragraph" w:customStyle="1" w:styleId="DepartmentalNormal">
    <w:name w:val="Departmental Normal"/>
    <w:basedOn w:val="Normal"/>
    <w:rsid w:val="00D4559A"/>
    <w:pPr>
      <w:spacing w:after="0"/>
    </w:pPr>
    <w:rPr>
      <w:rFonts w:ascii="Times New Roman" w:eastAsia="Times New Roman" w:hAnsi="Times New Roman" w:cs="Times New Roman"/>
      <w:szCs w:val="20"/>
    </w:rPr>
  </w:style>
  <w:style w:type="character" w:styleId="IntenseReference">
    <w:name w:val="Intense Reference"/>
    <w:basedOn w:val="DefaultParagraphFont"/>
    <w:uiPriority w:val="32"/>
    <w:qFormat/>
    <w:rsid w:val="00D4559A"/>
    <w:rPr>
      <w:b/>
      <w:bCs/>
      <w:i/>
      <w:smallCaps/>
      <w:color w:val="C0504D" w:themeColor="accent2"/>
      <w:spacing w:val="5"/>
      <w:u w:val="none"/>
    </w:rPr>
  </w:style>
  <w:style w:type="character" w:styleId="FollowedHyperlink">
    <w:name w:val="FollowedHyperlink"/>
    <w:basedOn w:val="DefaultParagraphFont"/>
    <w:uiPriority w:val="99"/>
    <w:semiHidden/>
    <w:unhideWhenUsed/>
    <w:rsid w:val="003D4E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3Char">
    <w:name w:val="Heading 3 Char"/>
    <w:basedOn w:val="DefaultParagraphFont"/>
    <w:link w:val="Heading3"/>
    <w:uiPriority w:val="9"/>
    <w:rsid w:val="00FE645A"/>
    <w:rPr>
      <w:b/>
      <w:sz w:val="28"/>
      <w:szCs w:val="28"/>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character" w:customStyle="1" w:styleId="TabletitleChar">
    <w:name w:val="Table title Char"/>
    <w:basedOn w:val="Heading4Char"/>
    <w:link w:val="Tabletitle"/>
    <w:rsid w:val="00C245EA"/>
    <w:rPr>
      <w:b/>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Caption">
    <w:name w:val="caption"/>
    <w:basedOn w:val="Normal"/>
    <w:next w:val="Normal"/>
    <w:uiPriority w:val="35"/>
    <w:unhideWhenUsed/>
    <w:qFormat/>
    <w:rsid w:val="00D4559A"/>
    <w:rPr>
      <w:b/>
      <w:bCs/>
      <w:color w:val="4F81BD" w:themeColor="accent1"/>
      <w:sz w:val="18"/>
      <w:szCs w:val="18"/>
    </w:rPr>
  </w:style>
  <w:style w:type="paragraph" w:customStyle="1" w:styleId="DepartmentalNormal">
    <w:name w:val="Departmental Normal"/>
    <w:basedOn w:val="Normal"/>
    <w:rsid w:val="00D4559A"/>
    <w:pPr>
      <w:spacing w:after="0"/>
    </w:pPr>
    <w:rPr>
      <w:rFonts w:ascii="Times New Roman" w:eastAsia="Times New Roman" w:hAnsi="Times New Roman" w:cs="Times New Roman"/>
      <w:szCs w:val="20"/>
    </w:rPr>
  </w:style>
  <w:style w:type="character" w:styleId="IntenseReference">
    <w:name w:val="Intense Reference"/>
    <w:basedOn w:val="DefaultParagraphFont"/>
    <w:uiPriority w:val="32"/>
    <w:qFormat/>
    <w:rsid w:val="00D4559A"/>
    <w:rPr>
      <w:b/>
      <w:bCs/>
      <w:i/>
      <w:smallCaps/>
      <w:color w:val="C0504D" w:themeColor="accent2"/>
      <w:spacing w:val="5"/>
      <w:u w:val="none"/>
    </w:rPr>
  </w:style>
  <w:style w:type="character" w:styleId="FollowedHyperlink">
    <w:name w:val="FollowedHyperlink"/>
    <w:basedOn w:val="DefaultParagraphFont"/>
    <w:uiPriority w:val="99"/>
    <w:semiHidden/>
    <w:unhideWhenUsed/>
    <w:rsid w:val="003D4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07-03/pbac-psd-ranibizumab-mar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bs.gov.au/info/industry/listing/elements/pbac-meetings/psd/2005-11/verteporf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entral.health\DFSGroupData\Sites\CO1\CO\PBD\PEB\EVAL\DUSC\DUSC%20Documents\Predicted%20vs%20actual%20usage\pbs.gov.au"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www.tga.gov.au/consumers/information-medicines-cmi.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info/industry/listing/elements/pbac-meetings/psd/2012-03/aflibercep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[D846_PATS_BY_YMSUPP.xlsx]Sheet1!PivotTable8</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s>
    <c:plotArea>
      <c:layout/>
      <c:lineChart>
        <c:grouping val="standard"/>
        <c:varyColors val="0"/>
        <c:ser>
          <c:idx val="0"/>
          <c:order val="0"/>
          <c:tx>
            <c:strRef>
              <c:f>Sheet1!$B$3:$B$4</c:f>
              <c:strCache>
                <c:ptCount val="1"/>
                <c:pt idx="0">
                  <c:v>Initiating patients</c:v>
                </c:pt>
              </c:strCache>
            </c:strRef>
          </c:tx>
          <c:cat>
            <c:strRef>
              <c:f>Sheet1!$A$5:$A$94</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Sheet1!$B$5:$B$94</c:f>
              <c:numCache>
                <c:formatCode>General</c:formatCode>
                <c:ptCount val="89"/>
                <c:pt idx="0">
                  <c:v>2499</c:v>
                </c:pt>
                <c:pt idx="1">
                  <c:v>1855</c:v>
                </c:pt>
                <c:pt idx="2">
                  <c:v>1313</c:v>
                </c:pt>
                <c:pt idx="3">
                  <c:v>1058</c:v>
                </c:pt>
                <c:pt idx="4">
                  <c:v>753</c:v>
                </c:pt>
                <c:pt idx="5">
                  <c:v>655</c:v>
                </c:pt>
                <c:pt idx="6">
                  <c:v>739</c:v>
                </c:pt>
                <c:pt idx="7">
                  <c:v>697</c:v>
                </c:pt>
                <c:pt idx="8">
                  <c:v>723</c:v>
                </c:pt>
                <c:pt idx="9">
                  <c:v>718</c:v>
                </c:pt>
                <c:pt idx="10">
                  <c:v>666</c:v>
                </c:pt>
                <c:pt idx="11">
                  <c:v>566</c:v>
                </c:pt>
                <c:pt idx="12">
                  <c:v>718</c:v>
                </c:pt>
                <c:pt idx="13">
                  <c:v>608</c:v>
                </c:pt>
                <c:pt idx="14">
                  <c:v>616</c:v>
                </c:pt>
                <c:pt idx="15">
                  <c:v>658</c:v>
                </c:pt>
                <c:pt idx="16">
                  <c:v>841</c:v>
                </c:pt>
                <c:pt idx="17">
                  <c:v>528</c:v>
                </c:pt>
                <c:pt idx="18">
                  <c:v>729</c:v>
                </c:pt>
                <c:pt idx="19">
                  <c:v>753</c:v>
                </c:pt>
                <c:pt idx="20">
                  <c:v>687</c:v>
                </c:pt>
                <c:pt idx="21">
                  <c:v>679</c:v>
                </c:pt>
                <c:pt idx="22">
                  <c:v>711</c:v>
                </c:pt>
                <c:pt idx="23">
                  <c:v>681</c:v>
                </c:pt>
                <c:pt idx="24">
                  <c:v>687</c:v>
                </c:pt>
                <c:pt idx="25">
                  <c:v>678</c:v>
                </c:pt>
                <c:pt idx="26">
                  <c:v>635</c:v>
                </c:pt>
                <c:pt idx="27">
                  <c:v>648</c:v>
                </c:pt>
                <c:pt idx="28">
                  <c:v>709</c:v>
                </c:pt>
                <c:pt idx="29">
                  <c:v>442</c:v>
                </c:pt>
                <c:pt idx="30">
                  <c:v>731</c:v>
                </c:pt>
                <c:pt idx="31">
                  <c:v>705</c:v>
                </c:pt>
                <c:pt idx="32">
                  <c:v>610</c:v>
                </c:pt>
                <c:pt idx="33">
                  <c:v>655</c:v>
                </c:pt>
                <c:pt idx="34">
                  <c:v>631</c:v>
                </c:pt>
                <c:pt idx="35">
                  <c:v>655</c:v>
                </c:pt>
                <c:pt idx="36">
                  <c:v>678</c:v>
                </c:pt>
                <c:pt idx="37">
                  <c:v>582</c:v>
                </c:pt>
                <c:pt idx="38">
                  <c:v>620</c:v>
                </c:pt>
                <c:pt idx="39">
                  <c:v>688</c:v>
                </c:pt>
                <c:pt idx="40">
                  <c:v>657</c:v>
                </c:pt>
                <c:pt idx="41">
                  <c:v>414</c:v>
                </c:pt>
                <c:pt idx="42">
                  <c:v>559</c:v>
                </c:pt>
                <c:pt idx="43">
                  <c:v>649</c:v>
                </c:pt>
                <c:pt idx="44">
                  <c:v>567</c:v>
                </c:pt>
                <c:pt idx="45">
                  <c:v>656</c:v>
                </c:pt>
                <c:pt idx="46">
                  <c:v>627</c:v>
                </c:pt>
                <c:pt idx="47">
                  <c:v>562</c:v>
                </c:pt>
                <c:pt idx="48">
                  <c:v>641</c:v>
                </c:pt>
                <c:pt idx="49">
                  <c:v>653</c:v>
                </c:pt>
                <c:pt idx="50">
                  <c:v>588</c:v>
                </c:pt>
                <c:pt idx="51">
                  <c:v>607</c:v>
                </c:pt>
                <c:pt idx="52">
                  <c:v>574</c:v>
                </c:pt>
                <c:pt idx="53">
                  <c:v>470</c:v>
                </c:pt>
                <c:pt idx="54">
                  <c:v>605</c:v>
                </c:pt>
                <c:pt idx="55">
                  <c:v>623</c:v>
                </c:pt>
                <c:pt idx="56">
                  <c:v>495</c:v>
                </c:pt>
                <c:pt idx="57">
                  <c:v>692</c:v>
                </c:pt>
                <c:pt idx="58">
                  <c:v>608</c:v>
                </c:pt>
                <c:pt idx="59">
                  <c:v>539</c:v>
                </c:pt>
                <c:pt idx="60">
                  <c:v>576</c:v>
                </c:pt>
                <c:pt idx="61">
                  <c:v>470</c:v>
                </c:pt>
                <c:pt idx="62">
                  <c:v>587</c:v>
                </c:pt>
                <c:pt idx="63">
                  <c:v>556</c:v>
                </c:pt>
                <c:pt idx="64">
                  <c:v>653</c:v>
                </c:pt>
                <c:pt idx="65">
                  <c:v>667</c:v>
                </c:pt>
                <c:pt idx="66">
                  <c:v>666</c:v>
                </c:pt>
                <c:pt idx="67">
                  <c:v>733</c:v>
                </c:pt>
                <c:pt idx="68">
                  <c:v>627</c:v>
                </c:pt>
                <c:pt idx="69">
                  <c:v>722</c:v>
                </c:pt>
                <c:pt idx="70">
                  <c:v>602</c:v>
                </c:pt>
                <c:pt idx="71">
                  <c:v>632</c:v>
                </c:pt>
                <c:pt idx="72">
                  <c:v>650</c:v>
                </c:pt>
                <c:pt idx="73">
                  <c:v>602</c:v>
                </c:pt>
                <c:pt idx="74">
                  <c:v>626</c:v>
                </c:pt>
                <c:pt idx="75">
                  <c:v>566</c:v>
                </c:pt>
                <c:pt idx="76">
                  <c:v>672</c:v>
                </c:pt>
                <c:pt idx="77">
                  <c:v>534</c:v>
                </c:pt>
                <c:pt idx="78">
                  <c:v>659</c:v>
                </c:pt>
                <c:pt idx="79">
                  <c:v>699</c:v>
                </c:pt>
                <c:pt idx="80">
                  <c:v>619</c:v>
                </c:pt>
                <c:pt idx="81">
                  <c:v>691</c:v>
                </c:pt>
                <c:pt idx="82">
                  <c:v>703</c:v>
                </c:pt>
                <c:pt idx="83">
                  <c:v>633</c:v>
                </c:pt>
                <c:pt idx="84">
                  <c:v>584</c:v>
                </c:pt>
                <c:pt idx="85">
                  <c:v>631</c:v>
                </c:pt>
                <c:pt idx="86">
                  <c:v>646</c:v>
                </c:pt>
                <c:pt idx="87">
                  <c:v>600</c:v>
                </c:pt>
                <c:pt idx="88">
                  <c:v>623</c:v>
                </c:pt>
              </c:numCache>
            </c:numRef>
          </c:val>
          <c:smooth val="0"/>
        </c:ser>
        <c:ser>
          <c:idx val="1"/>
          <c:order val="1"/>
          <c:tx>
            <c:strRef>
              <c:f>Sheet1!$C$3:$C$4</c:f>
              <c:strCache>
                <c:ptCount val="1"/>
                <c:pt idx="0">
                  <c:v>Prevalent treated patients</c:v>
                </c:pt>
              </c:strCache>
            </c:strRef>
          </c:tx>
          <c:cat>
            <c:strRef>
              <c:f>Sheet1!$A$5:$A$94</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Sheet1!$C$5:$C$94</c:f>
              <c:numCache>
                <c:formatCode>General</c:formatCode>
                <c:ptCount val="89"/>
                <c:pt idx="0">
                  <c:v>2499</c:v>
                </c:pt>
                <c:pt idx="1">
                  <c:v>3127</c:v>
                </c:pt>
                <c:pt idx="2">
                  <c:v>3729</c:v>
                </c:pt>
                <c:pt idx="3">
                  <c:v>3781</c:v>
                </c:pt>
                <c:pt idx="4">
                  <c:v>3479</c:v>
                </c:pt>
                <c:pt idx="5">
                  <c:v>3806</c:v>
                </c:pt>
                <c:pt idx="6">
                  <c:v>4014</c:v>
                </c:pt>
                <c:pt idx="7">
                  <c:v>4013</c:v>
                </c:pt>
                <c:pt idx="8">
                  <c:v>4224</c:v>
                </c:pt>
                <c:pt idx="9">
                  <c:v>4693</c:v>
                </c:pt>
                <c:pt idx="10">
                  <c:v>4454</c:v>
                </c:pt>
                <c:pt idx="11">
                  <c:v>4715</c:v>
                </c:pt>
                <c:pt idx="12">
                  <c:v>4888</c:v>
                </c:pt>
                <c:pt idx="13">
                  <c:v>5101</c:v>
                </c:pt>
                <c:pt idx="14">
                  <c:v>5191</c:v>
                </c:pt>
                <c:pt idx="15">
                  <c:v>4850</c:v>
                </c:pt>
                <c:pt idx="16">
                  <c:v>5839</c:v>
                </c:pt>
                <c:pt idx="17">
                  <c:v>5718</c:v>
                </c:pt>
                <c:pt idx="18">
                  <c:v>5861</c:v>
                </c:pt>
                <c:pt idx="19">
                  <c:v>6484</c:v>
                </c:pt>
                <c:pt idx="20">
                  <c:v>6618</c:v>
                </c:pt>
                <c:pt idx="21">
                  <c:v>6612</c:v>
                </c:pt>
                <c:pt idx="22">
                  <c:v>7018</c:v>
                </c:pt>
                <c:pt idx="23">
                  <c:v>7546</c:v>
                </c:pt>
                <c:pt idx="24">
                  <c:v>7567</c:v>
                </c:pt>
                <c:pt idx="25">
                  <c:v>7823</c:v>
                </c:pt>
                <c:pt idx="26">
                  <c:v>8004</c:v>
                </c:pt>
                <c:pt idx="27">
                  <c:v>8160</c:v>
                </c:pt>
                <c:pt idx="28">
                  <c:v>8505</c:v>
                </c:pt>
                <c:pt idx="29">
                  <c:v>8316</c:v>
                </c:pt>
                <c:pt idx="30">
                  <c:v>8934</c:v>
                </c:pt>
                <c:pt idx="31">
                  <c:v>9631</c:v>
                </c:pt>
                <c:pt idx="32">
                  <c:v>9085</c:v>
                </c:pt>
                <c:pt idx="33">
                  <c:v>9609</c:v>
                </c:pt>
                <c:pt idx="34">
                  <c:v>9845</c:v>
                </c:pt>
                <c:pt idx="35">
                  <c:v>10195</c:v>
                </c:pt>
                <c:pt idx="36">
                  <c:v>10433</c:v>
                </c:pt>
                <c:pt idx="37">
                  <c:v>10261</c:v>
                </c:pt>
                <c:pt idx="38">
                  <c:v>10439</c:v>
                </c:pt>
                <c:pt idx="39">
                  <c:v>11031</c:v>
                </c:pt>
                <c:pt idx="40">
                  <c:v>11008</c:v>
                </c:pt>
                <c:pt idx="41">
                  <c:v>10697</c:v>
                </c:pt>
                <c:pt idx="42">
                  <c:v>10517</c:v>
                </c:pt>
                <c:pt idx="43">
                  <c:v>12048</c:v>
                </c:pt>
                <c:pt idx="44">
                  <c:v>10861</c:v>
                </c:pt>
                <c:pt idx="45">
                  <c:v>12363</c:v>
                </c:pt>
                <c:pt idx="46">
                  <c:v>12122</c:v>
                </c:pt>
                <c:pt idx="47">
                  <c:v>11884</c:v>
                </c:pt>
                <c:pt idx="48">
                  <c:v>12887</c:v>
                </c:pt>
                <c:pt idx="49">
                  <c:v>12357</c:v>
                </c:pt>
                <c:pt idx="50">
                  <c:v>12413</c:v>
                </c:pt>
                <c:pt idx="51">
                  <c:v>13121</c:v>
                </c:pt>
                <c:pt idx="52">
                  <c:v>12712</c:v>
                </c:pt>
                <c:pt idx="53">
                  <c:v>13181</c:v>
                </c:pt>
                <c:pt idx="54">
                  <c:v>13234</c:v>
                </c:pt>
                <c:pt idx="55">
                  <c:v>14082</c:v>
                </c:pt>
                <c:pt idx="56">
                  <c:v>12569</c:v>
                </c:pt>
                <c:pt idx="57">
                  <c:v>14500</c:v>
                </c:pt>
                <c:pt idx="58">
                  <c:v>13714</c:v>
                </c:pt>
                <c:pt idx="59">
                  <c:v>14370</c:v>
                </c:pt>
                <c:pt idx="60">
                  <c:v>14830</c:v>
                </c:pt>
                <c:pt idx="61">
                  <c:v>13343</c:v>
                </c:pt>
                <c:pt idx="62">
                  <c:v>15053</c:v>
                </c:pt>
                <c:pt idx="63">
                  <c:v>14281</c:v>
                </c:pt>
                <c:pt idx="64">
                  <c:v>14231</c:v>
                </c:pt>
                <c:pt idx="65">
                  <c:v>15819</c:v>
                </c:pt>
                <c:pt idx="66">
                  <c:v>14458</c:v>
                </c:pt>
                <c:pt idx="67">
                  <c:v>15929</c:v>
                </c:pt>
                <c:pt idx="68">
                  <c:v>13744</c:v>
                </c:pt>
                <c:pt idx="69">
                  <c:v>16033</c:v>
                </c:pt>
                <c:pt idx="70">
                  <c:v>14498</c:v>
                </c:pt>
                <c:pt idx="71">
                  <c:v>15879</c:v>
                </c:pt>
                <c:pt idx="72">
                  <c:v>15829</c:v>
                </c:pt>
                <c:pt idx="73">
                  <c:v>15219</c:v>
                </c:pt>
                <c:pt idx="74">
                  <c:v>16668</c:v>
                </c:pt>
                <c:pt idx="75">
                  <c:v>15711</c:v>
                </c:pt>
                <c:pt idx="76">
                  <c:v>15427</c:v>
                </c:pt>
                <c:pt idx="77">
                  <c:v>16911</c:v>
                </c:pt>
                <c:pt idx="78">
                  <c:v>15685</c:v>
                </c:pt>
                <c:pt idx="79">
                  <c:v>16348</c:v>
                </c:pt>
                <c:pt idx="80">
                  <c:v>15912</c:v>
                </c:pt>
                <c:pt idx="81">
                  <c:v>17559</c:v>
                </c:pt>
                <c:pt idx="82">
                  <c:v>16295</c:v>
                </c:pt>
                <c:pt idx="83">
                  <c:v>17785</c:v>
                </c:pt>
                <c:pt idx="84">
                  <c:v>16788</c:v>
                </c:pt>
                <c:pt idx="85">
                  <c:v>17158</c:v>
                </c:pt>
                <c:pt idx="86">
                  <c:v>17681</c:v>
                </c:pt>
                <c:pt idx="87">
                  <c:v>16191</c:v>
                </c:pt>
                <c:pt idx="88">
                  <c:v>17454</c:v>
                </c:pt>
              </c:numCache>
            </c:numRef>
          </c:val>
          <c:smooth val="0"/>
        </c:ser>
        <c:dLbls>
          <c:showLegendKey val="0"/>
          <c:showVal val="0"/>
          <c:showCatName val="0"/>
          <c:showSerName val="0"/>
          <c:showPercent val="0"/>
          <c:showBubbleSize val="0"/>
        </c:dLbls>
        <c:marker val="1"/>
        <c:smooth val="0"/>
        <c:axId val="79391360"/>
        <c:axId val="83518208"/>
      </c:lineChart>
      <c:catAx>
        <c:axId val="79391360"/>
        <c:scaling>
          <c:orientation val="minMax"/>
        </c:scaling>
        <c:delete val="0"/>
        <c:axPos val="b"/>
        <c:majorTickMark val="out"/>
        <c:minorTickMark val="none"/>
        <c:tickLblPos val="nextTo"/>
        <c:crossAx val="83518208"/>
        <c:crosses val="autoZero"/>
        <c:auto val="1"/>
        <c:lblAlgn val="ctr"/>
        <c:lblOffset val="100"/>
        <c:noMultiLvlLbl val="0"/>
      </c:catAx>
      <c:valAx>
        <c:axId val="83518208"/>
        <c:scaling>
          <c:orientation val="minMax"/>
        </c:scaling>
        <c:delete val="0"/>
        <c:axPos val="l"/>
        <c:majorGridlines/>
        <c:numFmt formatCode="#,##0" sourceLinked="0"/>
        <c:majorTickMark val="out"/>
        <c:minorTickMark val="none"/>
        <c:tickLblPos val="nextTo"/>
        <c:crossAx val="79391360"/>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[Scripts QTY and benefit of AFLIB RANI VERT.xlsx]Sheet3!PivotTable1</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spPr>
          <a:ln>
            <a:prstDash val="sysDash"/>
          </a:ln>
        </c:spPr>
      </c:pivotFmt>
      <c:pivotFmt>
        <c:idx val="9"/>
      </c:pivotFmt>
      <c:pivotFmt>
        <c:idx val="10"/>
        <c:spPr>
          <a:ln>
            <a:prstDash val="sysDash"/>
          </a:ln>
        </c:spPr>
      </c:pivotFmt>
      <c:pivotFmt>
        <c:idx val="11"/>
      </c:pivotFmt>
      <c:pivotFmt>
        <c:idx val="12"/>
        <c:spPr>
          <a:ln>
            <a:prstDash val="sysDash"/>
          </a:ln>
        </c:spPr>
      </c:pivotFmt>
      <c:pivotFmt>
        <c:idx val="13"/>
      </c:pivotFmt>
      <c:pivotFmt>
        <c:idx val="14"/>
      </c:pivotFmt>
      <c:pivotFmt>
        <c:idx val="15"/>
      </c:pivotFmt>
      <c:pivotFmt>
        <c:idx val="16"/>
        <c:spPr>
          <a:ln>
            <a:solidFill>
              <a:srgbClr val="00B050"/>
            </a:solidFill>
            <a:prstDash val="sysDot"/>
          </a:ln>
        </c:spPr>
        <c:marker>
          <c:symbol val="none"/>
        </c:marker>
      </c:pivotFmt>
      <c:pivotFmt>
        <c:idx val="17"/>
        <c:spPr>
          <a:ln cap="rnd">
            <a:solidFill>
              <a:schemeClr val="tx1"/>
            </a:solidFill>
            <a:prstDash val="sysDot"/>
            <a:round/>
          </a:ln>
        </c:spPr>
        <c:marker>
          <c:symbol val="none"/>
        </c:marker>
      </c:pivotFmt>
      <c:pivotFmt>
        <c:idx val="18"/>
        <c:spPr>
          <a:ln>
            <a:prstDash val="sysDot"/>
          </a:ln>
        </c:spPr>
        <c:marker>
          <c:symbol val="none"/>
        </c:marker>
      </c:pivotFmt>
      <c:pivotFmt>
        <c:idx val="19"/>
        <c:spPr>
          <a:ln>
            <a:solidFill>
              <a:srgbClr val="FF0000"/>
            </a:solidFill>
            <a:prstDash val="sysDot"/>
          </a:ln>
        </c:spPr>
        <c:marker>
          <c:symbol val="none"/>
        </c:marker>
      </c:pivotFmt>
      <c:pivotFmt>
        <c:idx val="20"/>
        <c:spPr>
          <a:ln>
            <a:solidFill>
              <a:srgbClr val="00B050"/>
            </a:solidFill>
          </a:ln>
        </c:spPr>
        <c:marker>
          <c:symbol val="none"/>
        </c:marker>
      </c:pivotFmt>
      <c:pivotFmt>
        <c:idx val="21"/>
        <c:spPr>
          <a:ln>
            <a:solidFill>
              <a:schemeClr val="tx1"/>
            </a:solidFill>
          </a:ln>
        </c:spPr>
        <c:marker>
          <c:symbol val="none"/>
        </c:marker>
      </c:pivotFmt>
      <c:pivotFmt>
        <c:idx val="22"/>
        <c:spPr>
          <a:ln>
            <a:solidFill>
              <a:srgbClr val="0070C0"/>
            </a:solidFill>
          </a:ln>
        </c:spPr>
        <c:marker>
          <c:symbol val="none"/>
        </c:marker>
      </c:pivotFmt>
      <c:pivotFmt>
        <c:idx val="23"/>
        <c:spPr>
          <a:ln>
            <a:solidFill>
              <a:srgbClr val="FF0000"/>
            </a:solidFill>
          </a:ln>
        </c:spPr>
        <c:marker>
          <c:symbol val="none"/>
        </c:marker>
      </c:pivotFmt>
      <c:pivotFmt>
        <c:idx val="24"/>
        <c:spPr>
          <a:ln>
            <a:solidFill>
              <a:srgbClr val="0070C0"/>
            </a:solidFill>
            <a:prstDash val="sysDot"/>
          </a:ln>
        </c:spPr>
        <c:marker>
          <c:symbol val="none"/>
        </c:marker>
      </c:pivotFmt>
      <c:pivotFmt>
        <c:idx val="25"/>
        <c:spPr>
          <a:ln>
            <a:solidFill>
              <a:srgbClr val="FF0000"/>
            </a:solidFill>
            <a:prstDash val="sysDot"/>
          </a:ln>
        </c:spPr>
        <c:marker>
          <c:symbol val="none"/>
        </c:marker>
      </c:pivotFmt>
      <c:pivotFmt>
        <c:idx val="26"/>
        <c:spPr>
          <a:ln>
            <a:solidFill>
              <a:srgbClr val="00B050"/>
            </a:solidFill>
            <a:prstDash val="sysDot"/>
          </a:ln>
        </c:spPr>
        <c:marker>
          <c:symbol val="none"/>
        </c:marker>
      </c:pivotFmt>
      <c:pivotFmt>
        <c:idx val="27"/>
        <c:spPr>
          <a:ln>
            <a:solidFill>
              <a:schemeClr val="tx1"/>
            </a:solidFill>
            <a:prstDash val="sysDot"/>
          </a:ln>
        </c:spPr>
        <c:marker>
          <c:symbol val="none"/>
        </c:marker>
      </c:pivotFmt>
      <c:pivotFmt>
        <c:idx val="28"/>
        <c:spPr>
          <a:ln>
            <a:solidFill>
              <a:srgbClr val="0070C0"/>
            </a:solidFill>
            <a:prstDash val="sysDot"/>
          </a:ln>
        </c:spPr>
        <c:marker>
          <c:symbol val="none"/>
        </c:marker>
      </c:pivotFmt>
      <c:pivotFmt>
        <c:idx val="29"/>
        <c:spPr>
          <a:ln>
            <a:solidFill>
              <a:srgbClr val="FF0000"/>
            </a:solidFill>
            <a:prstDash val="sysDot"/>
          </a:ln>
        </c:spPr>
        <c:marker>
          <c:symbol val="none"/>
        </c:marker>
      </c:pivotFmt>
      <c:pivotFmt>
        <c:idx val="30"/>
        <c:spPr>
          <a:ln>
            <a:solidFill>
              <a:srgbClr val="00B050"/>
            </a:solidFill>
            <a:prstDash val="sysDot"/>
          </a:ln>
        </c:spPr>
        <c:marker>
          <c:symbol val="none"/>
        </c:marker>
      </c:pivotFmt>
      <c:pivotFmt>
        <c:idx val="31"/>
        <c:spPr>
          <a:ln>
            <a:solidFill>
              <a:schemeClr val="tx1"/>
            </a:solidFill>
            <a:prstDash val="sysDot"/>
          </a:ln>
        </c:spPr>
        <c:marker>
          <c:symbol val="none"/>
        </c:marker>
      </c:pivotFmt>
      <c:pivotFmt>
        <c:idx val="32"/>
        <c:spPr>
          <a:ln>
            <a:solidFill>
              <a:srgbClr val="00B050"/>
            </a:solidFill>
          </a:ln>
        </c:spPr>
        <c:marker>
          <c:symbol val="none"/>
        </c:marker>
      </c:pivotFmt>
      <c:pivotFmt>
        <c:idx val="33"/>
        <c:spPr>
          <a:ln>
            <a:solidFill>
              <a:schemeClr val="tx1"/>
            </a:solidFill>
          </a:ln>
        </c:spPr>
        <c:marker>
          <c:symbol val="none"/>
        </c:marker>
      </c:pivotFmt>
      <c:pivotFmt>
        <c:idx val="34"/>
        <c:spPr>
          <a:ln>
            <a:solidFill>
              <a:srgbClr val="0070C0"/>
            </a:solidFill>
            <a:prstDash val="solid"/>
          </a:ln>
        </c:spPr>
        <c:marker>
          <c:symbol val="none"/>
        </c:marker>
      </c:pivotFmt>
      <c:pivotFmt>
        <c:idx val="35"/>
        <c:spPr>
          <a:ln>
            <a:solidFill>
              <a:srgbClr val="FF0000"/>
            </a:solidFill>
          </a:ln>
        </c:spPr>
        <c:marker>
          <c:symbol val="none"/>
        </c:marker>
      </c:pivotFmt>
      <c:pivotFmt>
        <c:idx val="36"/>
        <c:spPr>
          <a:ln>
            <a:solidFill>
              <a:srgbClr val="0070C0"/>
            </a:solidFill>
            <a:prstDash val="sysDot"/>
          </a:ln>
        </c:spPr>
        <c:marker>
          <c:symbol val="none"/>
        </c:marker>
      </c:pivotFmt>
      <c:pivotFmt>
        <c:idx val="37"/>
        <c:spPr>
          <a:ln>
            <a:solidFill>
              <a:srgbClr val="0070C0"/>
            </a:solidFill>
            <a:prstDash val="solid"/>
          </a:ln>
        </c:spPr>
        <c:marker>
          <c:symbol val="none"/>
        </c:marker>
      </c:pivotFmt>
      <c:pivotFmt>
        <c:idx val="38"/>
        <c:spPr>
          <a:ln>
            <a:solidFill>
              <a:srgbClr val="FF0000"/>
            </a:solidFill>
            <a:prstDash val="sysDot"/>
          </a:ln>
        </c:spPr>
        <c:marker>
          <c:symbol val="none"/>
        </c:marker>
      </c:pivotFmt>
      <c:pivotFmt>
        <c:idx val="39"/>
        <c:spPr>
          <a:ln>
            <a:solidFill>
              <a:srgbClr val="FF0000"/>
            </a:solidFill>
          </a:ln>
        </c:spPr>
        <c:marker>
          <c:symbol val="none"/>
        </c:marker>
      </c:pivotFmt>
      <c:pivotFmt>
        <c:idx val="40"/>
        <c:spPr>
          <a:ln>
            <a:solidFill>
              <a:srgbClr val="00B050"/>
            </a:solidFill>
            <a:prstDash val="sysDot"/>
          </a:ln>
        </c:spPr>
        <c:marker>
          <c:symbol val="none"/>
        </c:marker>
      </c:pivotFmt>
      <c:pivotFmt>
        <c:idx val="41"/>
        <c:spPr>
          <a:ln>
            <a:solidFill>
              <a:srgbClr val="00B050"/>
            </a:solidFill>
          </a:ln>
        </c:spPr>
        <c:marker>
          <c:symbol val="none"/>
        </c:marker>
      </c:pivotFmt>
      <c:pivotFmt>
        <c:idx val="42"/>
        <c:spPr>
          <a:ln>
            <a:solidFill>
              <a:schemeClr val="tx1"/>
            </a:solidFill>
            <a:prstDash val="sysDot"/>
          </a:ln>
        </c:spPr>
        <c:marker>
          <c:symbol val="none"/>
        </c:marker>
      </c:pivotFmt>
      <c:pivotFmt>
        <c:idx val="43"/>
        <c:spPr>
          <a:ln>
            <a:solidFill>
              <a:schemeClr val="tx1"/>
            </a:solidFill>
          </a:ln>
        </c:spPr>
        <c:marker>
          <c:symbol val="none"/>
        </c:marker>
      </c:pivotFmt>
      <c:pivotFmt>
        <c:idx val="44"/>
        <c:spPr>
          <a:ln>
            <a:solidFill>
              <a:srgbClr val="0070C0"/>
            </a:solidFill>
            <a:prstDash val="sysDot"/>
          </a:ln>
        </c:spPr>
        <c:marker>
          <c:symbol val="none"/>
        </c:marker>
      </c:pivotFmt>
      <c:pivotFmt>
        <c:idx val="45"/>
        <c:spPr>
          <a:ln>
            <a:solidFill>
              <a:srgbClr val="0070C0"/>
            </a:solidFill>
            <a:prstDash val="solid"/>
          </a:ln>
        </c:spPr>
        <c:marker>
          <c:symbol val="none"/>
        </c:marker>
      </c:pivotFmt>
      <c:pivotFmt>
        <c:idx val="46"/>
        <c:spPr>
          <a:ln>
            <a:solidFill>
              <a:srgbClr val="FF0000"/>
            </a:solidFill>
            <a:prstDash val="sysDot"/>
          </a:ln>
        </c:spPr>
        <c:marker>
          <c:symbol val="none"/>
        </c:marker>
      </c:pivotFmt>
      <c:pivotFmt>
        <c:idx val="47"/>
        <c:spPr>
          <a:ln>
            <a:solidFill>
              <a:srgbClr val="FF0000"/>
            </a:solidFill>
          </a:ln>
        </c:spPr>
        <c:marker>
          <c:symbol val="none"/>
        </c:marker>
      </c:pivotFmt>
      <c:pivotFmt>
        <c:idx val="48"/>
        <c:spPr>
          <a:ln>
            <a:solidFill>
              <a:srgbClr val="00B050"/>
            </a:solidFill>
            <a:prstDash val="sysDot"/>
          </a:ln>
        </c:spPr>
        <c:marker>
          <c:symbol val="none"/>
        </c:marker>
      </c:pivotFmt>
      <c:pivotFmt>
        <c:idx val="49"/>
        <c:spPr>
          <a:ln>
            <a:solidFill>
              <a:srgbClr val="00B050"/>
            </a:solidFill>
          </a:ln>
        </c:spPr>
        <c:marker>
          <c:symbol val="none"/>
        </c:marker>
      </c:pivotFmt>
      <c:pivotFmt>
        <c:idx val="50"/>
        <c:spPr>
          <a:ln>
            <a:solidFill>
              <a:schemeClr val="tx1"/>
            </a:solidFill>
            <a:prstDash val="sysDot"/>
          </a:ln>
        </c:spPr>
        <c:marker>
          <c:symbol val="none"/>
        </c:marker>
      </c:pivotFmt>
      <c:pivotFmt>
        <c:idx val="51"/>
        <c:spPr>
          <a:ln>
            <a:solidFill>
              <a:schemeClr val="tx1"/>
            </a:solidFill>
          </a:ln>
        </c:spPr>
        <c:marker>
          <c:symbol val="none"/>
        </c:marker>
      </c:pivotFmt>
    </c:pivotFmts>
    <c:plotArea>
      <c:layout/>
      <c:lineChart>
        <c:grouping val="standard"/>
        <c:varyColors val="0"/>
        <c:ser>
          <c:idx val="0"/>
          <c:order val="0"/>
          <c:tx>
            <c:strRef>
              <c:f>Sheet3!$B$3:$B$5</c:f>
              <c:strCache>
                <c:ptCount val="1"/>
                <c:pt idx="0">
                  <c:v>AFLIBERCEPT - PRESCRIPTIONS</c:v>
                </c:pt>
              </c:strCache>
            </c:strRef>
          </c:tx>
          <c:spPr>
            <a:ln>
              <a:solidFill>
                <a:srgbClr val="0070C0"/>
              </a:solidFill>
              <a:prstDash val="sysDot"/>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Sheet3!$B$6:$B$95</c:f>
              <c:numCache>
                <c:formatCode>General</c:formatCode>
                <c:ptCount val="89"/>
                <c:pt idx="64">
                  <c:v>2962</c:v>
                </c:pt>
                <c:pt idx="65">
                  <c:v>6016</c:v>
                </c:pt>
                <c:pt idx="66">
                  <c:v>6284</c:v>
                </c:pt>
                <c:pt idx="67">
                  <c:v>8027</c:v>
                </c:pt>
                <c:pt idx="68">
                  <c:v>6932</c:v>
                </c:pt>
                <c:pt idx="69">
                  <c:v>8646</c:v>
                </c:pt>
                <c:pt idx="70">
                  <c:v>7809</c:v>
                </c:pt>
                <c:pt idx="71">
                  <c:v>8725</c:v>
                </c:pt>
                <c:pt idx="72">
                  <c:v>8776</c:v>
                </c:pt>
                <c:pt idx="73">
                  <c:v>8350</c:v>
                </c:pt>
                <c:pt idx="74">
                  <c:v>9388</c:v>
                </c:pt>
                <c:pt idx="75">
                  <c:v>8467</c:v>
                </c:pt>
                <c:pt idx="76">
                  <c:v>8536</c:v>
                </c:pt>
                <c:pt idx="77">
                  <c:v>9559</c:v>
                </c:pt>
                <c:pt idx="78">
                  <c:v>8634</c:v>
                </c:pt>
                <c:pt idx="79">
                  <c:v>9282</c:v>
                </c:pt>
                <c:pt idx="80">
                  <c:v>9088</c:v>
                </c:pt>
                <c:pt idx="81">
                  <c:v>10267</c:v>
                </c:pt>
                <c:pt idx="82">
                  <c:v>9231</c:v>
                </c:pt>
                <c:pt idx="83">
                  <c:v>10467</c:v>
                </c:pt>
                <c:pt idx="84">
                  <c:v>9660</c:v>
                </c:pt>
                <c:pt idx="85">
                  <c:v>9832</c:v>
                </c:pt>
                <c:pt idx="86">
                  <c:v>10421</c:v>
                </c:pt>
                <c:pt idx="87">
                  <c:v>9423</c:v>
                </c:pt>
                <c:pt idx="88">
                  <c:v>10271</c:v>
                </c:pt>
              </c:numCache>
            </c:numRef>
          </c:val>
          <c:smooth val="0"/>
        </c:ser>
        <c:ser>
          <c:idx val="1"/>
          <c:order val="1"/>
          <c:tx>
            <c:strRef>
              <c:f>Sheet3!$C$3:$C$5</c:f>
              <c:strCache>
                <c:ptCount val="1"/>
                <c:pt idx="0">
                  <c:v>AFLIBERCEPT - INJECTIONS</c:v>
                </c:pt>
              </c:strCache>
            </c:strRef>
          </c:tx>
          <c:spPr>
            <a:ln>
              <a:solidFill>
                <a:srgbClr val="0070C0"/>
              </a:solidFill>
              <a:prstDash val="solid"/>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Sheet3!$C$6:$C$95</c:f>
              <c:numCache>
                <c:formatCode>General</c:formatCode>
                <c:ptCount val="89"/>
                <c:pt idx="64">
                  <c:v>3311</c:v>
                </c:pt>
                <c:pt idx="65">
                  <c:v>6681</c:v>
                </c:pt>
                <c:pt idx="66">
                  <c:v>6940</c:v>
                </c:pt>
                <c:pt idx="67">
                  <c:v>8869</c:v>
                </c:pt>
                <c:pt idx="68">
                  <c:v>7600</c:v>
                </c:pt>
                <c:pt idx="69">
                  <c:v>9444</c:v>
                </c:pt>
                <c:pt idx="70">
                  <c:v>8557</c:v>
                </c:pt>
                <c:pt idx="71">
                  <c:v>9539</c:v>
                </c:pt>
                <c:pt idx="72">
                  <c:v>9620</c:v>
                </c:pt>
                <c:pt idx="73">
                  <c:v>9164</c:v>
                </c:pt>
                <c:pt idx="74">
                  <c:v>10322</c:v>
                </c:pt>
                <c:pt idx="75">
                  <c:v>9275</c:v>
                </c:pt>
                <c:pt idx="76">
                  <c:v>9331</c:v>
                </c:pt>
                <c:pt idx="77">
                  <c:v>10536</c:v>
                </c:pt>
                <c:pt idx="78">
                  <c:v>9490</c:v>
                </c:pt>
                <c:pt idx="79">
                  <c:v>10201</c:v>
                </c:pt>
                <c:pt idx="80">
                  <c:v>9986</c:v>
                </c:pt>
                <c:pt idx="81">
                  <c:v>11278</c:v>
                </c:pt>
                <c:pt idx="82">
                  <c:v>10141</c:v>
                </c:pt>
                <c:pt idx="83">
                  <c:v>11519</c:v>
                </c:pt>
                <c:pt idx="84">
                  <c:v>10569</c:v>
                </c:pt>
                <c:pt idx="85">
                  <c:v>10830</c:v>
                </c:pt>
                <c:pt idx="86">
                  <c:v>11417</c:v>
                </c:pt>
                <c:pt idx="87">
                  <c:v>10379</c:v>
                </c:pt>
                <c:pt idx="88">
                  <c:v>11299</c:v>
                </c:pt>
              </c:numCache>
            </c:numRef>
          </c:val>
          <c:smooth val="0"/>
        </c:ser>
        <c:ser>
          <c:idx val="2"/>
          <c:order val="2"/>
          <c:tx>
            <c:strRef>
              <c:f>Sheet3!$D$3:$D$5</c:f>
              <c:strCache>
                <c:ptCount val="1"/>
                <c:pt idx="0">
                  <c:v>RANIBIZUMAB - PRESCRIPTIONS</c:v>
                </c:pt>
              </c:strCache>
            </c:strRef>
          </c:tx>
          <c:spPr>
            <a:ln>
              <a:solidFill>
                <a:srgbClr val="FF0000"/>
              </a:solidFill>
              <a:prstDash val="sysDot"/>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Sheet3!$D$6:$D$95</c:f>
              <c:numCache>
                <c:formatCode>General</c:formatCode>
                <c:ptCount val="89"/>
                <c:pt idx="0">
                  <c:v>2553</c:v>
                </c:pt>
                <c:pt idx="1">
                  <c:v>3249</c:v>
                </c:pt>
                <c:pt idx="2">
                  <c:v>3981</c:v>
                </c:pt>
                <c:pt idx="3">
                  <c:v>4041</c:v>
                </c:pt>
                <c:pt idx="4">
                  <c:v>3658</c:v>
                </c:pt>
                <c:pt idx="5">
                  <c:v>4089</c:v>
                </c:pt>
                <c:pt idx="6">
                  <c:v>4274</c:v>
                </c:pt>
                <c:pt idx="7">
                  <c:v>4297</c:v>
                </c:pt>
                <c:pt idx="8">
                  <c:v>4503</c:v>
                </c:pt>
                <c:pt idx="9">
                  <c:v>5080</c:v>
                </c:pt>
                <c:pt idx="10">
                  <c:v>4698</c:v>
                </c:pt>
                <c:pt idx="11">
                  <c:v>5091</c:v>
                </c:pt>
                <c:pt idx="12">
                  <c:v>5218</c:v>
                </c:pt>
                <c:pt idx="13">
                  <c:v>5502</c:v>
                </c:pt>
                <c:pt idx="14">
                  <c:v>5574</c:v>
                </c:pt>
                <c:pt idx="15">
                  <c:v>5114</c:v>
                </c:pt>
                <c:pt idx="16">
                  <c:v>6346</c:v>
                </c:pt>
                <c:pt idx="17">
                  <c:v>6079</c:v>
                </c:pt>
                <c:pt idx="18">
                  <c:v>6247</c:v>
                </c:pt>
                <c:pt idx="19">
                  <c:v>7051</c:v>
                </c:pt>
                <c:pt idx="20">
                  <c:v>7243</c:v>
                </c:pt>
                <c:pt idx="21">
                  <c:v>7111</c:v>
                </c:pt>
                <c:pt idx="22">
                  <c:v>7626</c:v>
                </c:pt>
                <c:pt idx="23">
                  <c:v>8256</c:v>
                </c:pt>
                <c:pt idx="24">
                  <c:v>8213</c:v>
                </c:pt>
                <c:pt idx="25">
                  <c:v>8506</c:v>
                </c:pt>
                <c:pt idx="26">
                  <c:v>8678</c:v>
                </c:pt>
                <c:pt idx="27">
                  <c:v>8869</c:v>
                </c:pt>
                <c:pt idx="28">
                  <c:v>9208</c:v>
                </c:pt>
                <c:pt idx="29">
                  <c:v>8864</c:v>
                </c:pt>
                <c:pt idx="30">
                  <c:v>9729</c:v>
                </c:pt>
                <c:pt idx="31">
                  <c:v>10913</c:v>
                </c:pt>
                <c:pt idx="32">
                  <c:v>9881</c:v>
                </c:pt>
                <c:pt idx="33">
                  <c:v>10537</c:v>
                </c:pt>
                <c:pt idx="34">
                  <c:v>10983</c:v>
                </c:pt>
                <c:pt idx="35">
                  <c:v>11220</c:v>
                </c:pt>
                <c:pt idx="36">
                  <c:v>11495</c:v>
                </c:pt>
                <c:pt idx="37">
                  <c:v>11295</c:v>
                </c:pt>
                <c:pt idx="38">
                  <c:v>11409</c:v>
                </c:pt>
                <c:pt idx="39">
                  <c:v>12234</c:v>
                </c:pt>
                <c:pt idx="40">
                  <c:v>12254</c:v>
                </c:pt>
                <c:pt idx="41">
                  <c:v>11650</c:v>
                </c:pt>
                <c:pt idx="42">
                  <c:v>11460</c:v>
                </c:pt>
                <c:pt idx="43">
                  <c:v>13617</c:v>
                </c:pt>
                <c:pt idx="44">
                  <c:v>11848</c:v>
                </c:pt>
                <c:pt idx="45">
                  <c:v>13877</c:v>
                </c:pt>
                <c:pt idx="46">
                  <c:v>13630</c:v>
                </c:pt>
                <c:pt idx="47">
                  <c:v>13078</c:v>
                </c:pt>
                <c:pt idx="48">
                  <c:v>14665</c:v>
                </c:pt>
                <c:pt idx="49">
                  <c:v>13800</c:v>
                </c:pt>
                <c:pt idx="50">
                  <c:v>13643</c:v>
                </c:pt>
                <c:pt idx="51">
                  <c:v>14729</c:v>
                </c:pt>
                <c:pt idx="52">
                  <c:v>14197</c:v>
                </c:pt>
                <c:pt idx="53">
                  <c:v>14788</c:v>
                </c:pt>
                <c:pt idx="54">
                  <c:v>14770</c:v>
                </c:pt>
                <c:pt idx="55">
                  <c:v>15944</c:v>
                </c:pt>
                <c:pt idx="56">
                  <c:v>13870</c:v>
                </c:pt>
                <c:pt idx="57">
                  <c:v>16659</c:v>
                </c:pt>
                <c:pt idx="58">
                  <c:v>15267</c:v>
                </c:pt>
                <c:pt idx="59">
                  <c:v>16171</c:v>
                </c:pt>
                <c:pt idx="60">
                  <c:v>16772</c:v>
                </c:pt>
                <c:pt idx="61">
                  <c:v>14699</c:v>
                </c:pt>
                <c:pt idx="62">
                  <c:v>17064</c:v>
                </c:pt>
                <c:pt idx="63">
                  <c:v>16055</c:v>
                </c:pt>
                <c:pt idx="64">
                  <c:v>13006</c:v>
                </c:pt>
                <c:pt idx="65">
                  <c:v>12115</c:v>
                </c:pt>
                <c:pt idx="66">
                  <c:v>9783</c:v>
                </c:pt>
                <c:pt idx="67">
                  <c:v>10701</c:v>
                </c:pt>
                <c:pt idx="68">
                  <c:v>8289</c:v>
                </c:pt>
                <c:pt idx="69">
                  <c:v>9485</c:v>
                </c:pt>
                <c:pt idx="70">
                  <c:v>8255</c:v>
                </c:pt>
                <c:pt idx="71">
                  <c:v>9259</c:v>
                </c:pt>
                <c:pt idx="72">
                  <c:v>9022</c:v>
                </c:pt>
                <c:pt idx="73">
                  <c:v>8709</c:v>
                </c:pt>
                <c:pt idx="74">
                  <c:v>9647</c:v>
                </c:pt>
                <c:pt idx="75">
                  <c:v>8919</c:v>
                </c:pt>
                <c:pt idx="76">
                  <c:v>8778</c:v>
                </c:pt>
                <c:pt idx="77">
                  <c:v>9621</c:v>
                </c:pt>
                <c:pt idx="78">
                  <c:v>8932</c:v>
                </c:pt>
                <c:pt idx="79">
                  <c:v>9268</c:v>
                </c:pt>
                <c:pt idx="80">
                  <c:v>8933</c:v>
                </c:pt>
                <c:pt idx="81">
                  <c:v>9831</c:v>
                </c:pt>
                <c:pt idx="82">
                  <c:v>9099</c:v>
                </c:pt>
                <c:pt idx="83">
                  <c:v>10041</c:v>
                </c:pt>
                <c:pt idx="84">
                  <c:v>9155</c:v>
                </c:pt>
                <c:pt idx="85">
                  <c:v>9487</c:v>
                </c:pt>
                <c:pt idx="86">
                  <c:v>9870</c:v>
                </c:pt>
                <c:pt idx="87">
                  <c:v>8810</c:v>
                </c:pt>
                <c:pt idx="88">
                  <c:v>9810</c:v>
                </c:pt>
              </c:numCache>
            </c:numRef>
          </c:val>
          <c:smooth val="0"/>
        </c:ser>
        <c:ser>
          <c:idx val="3"/>
          <c:order val="3"/>
          <c:tx>
            <c:strRef>
              <c:f>Sheet3!$E$3:$E$5</c:f>
              <c:strCache>
                <c:ptCount val="1"/>
                <c:pt idx="0">
                  <c:v>RANIBIZUMAB - INJECTIONS</c:v>
                </c:pt>
              </c:strCache>
            </c:strRef>
          </c:tx>
          <c:spPr>
            <a:ln>
              <a:solidFill>
                <a:srgbClr val="FF0000"/>
              </a:solidFill>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Sheet3!$E$6:$E$95</c:f>
              <c:numCache>
                <c:formatCode>General</c:formatCode>
                <c:ptCount val="89"/>
                <c:pt idx="0">
                  <c:v>2706</c:v>
                </c:pt>
                <c:pt idx="1">
                  <c:v>3482</c:v>
                </c:pt>
                <c:pt idx="2">
                  <c:v>4209</c:v>
                </c:pt>
                <c:pt idx="3">
                  <c:v>4223</c:v>
                </c:pt>
                <c:pt idx="4">
                  <c:v>3872</c:v>
                </c:pt>
                <c:pt idx="5">
                  <c:v>4346</c:v>
                </c:pt>
                <c:pt idx="6">
                  <c:v>4521</c:v>
                </c:pt>
                <c:pt idx="7">
                  <c:v>4541</c:v>
                </c:pt>
                <c:pt idx="8">
                  <c:v>4735</c:v>
                </c:pt>
                <c:pt idx="9">
                  <c:v>5359</c:v>
                </c:pt>
                <c:pt idx="10">
                  <c:v>4966</c:v>
                </c:pt>
                <c:pt idx="11">
                  <c:v>5357</c:v>
                </c:pt>
                <c:pt idx="12">
                  <c:v>5537</c:v>
                </c:pt>
                <c:pt idx="13">
                  <c:v>5816</c:v>
                </c:pt>
                <c:pt idx="14">
                  <c:v>5913</c:v>
                </c:pt>
                <c:pt idx="15">
                  <c:v>5404</c:v>
                </c:pt>
                <c:pt idx="16">
                  <c:v>6682</c:v>
                </c:pt>
                <c:pt idx="17">
                  <c:v>6425</c:v>
                </c:pt>
                <c:pt idx="18">
                  <c:v>6603</c:v>
                </c:pt>
                <c:pt idx="19">
                  <c:v>7437</c:v>
                </c:pt>
                <c:pt idx="20">
                  <c:v>7656</c:v>
                </c:pt>
                <c:pt idx="21">
                  <c:v>7493</c:v>
                </c:pt>
                <c:pt idx="22">
                  <c:v>8054</c:v>
                </c:pt>
                <c:pt idx="23">
                  <c:v>8721</c:v>
                </c:pt>
                <c:pt idx="24">
                  <c:v>8680</c:v>
                </c:pt>
                <c:pt idx="25">
                  <c:v>9070</c:v>
                </c:pt>
                <c:pt idx="26">
                  <c:v>9217</c:v>
                </c:pt>
                <c:pt idx="27">
                  <c:v>9459</c:v>
                </c:pt>
                <c:pt idx="28">
                  <c:v>9797</c:v>
                </c:pt>
                <c:pt idx="29">
                  <c:v>9437</c:v>
                </c:pt>
                <c:pt idx="30">
                  <c:v>10344</c:v>
                </c:pt>
                <c:pt idx="31">
                  <c:v>11624</c:v>
                </c:pt>
                <c:pt idx="32">
                  <c:v>10554</c:v>
                </c:pt>
                <c:pt idx="33">
                  <c:v>11257</c:v>
                </c:pt>
                <c:pt idx="34">
                  <c:v>11800</c:v>
                </c:pt>
                <c:pt idx="35">
                  <c:v>12072</c:v>
                </c:pt>
                <c:pt idx="36">
                  <c:v>12364</c:v>
                </c:pt>
                <c:pt idx="37">
                  <c:v>12151</c:v>
                </c:pt>
                <c:pt idx="38">
                  <c:v>12290</c:v>
                </c:pt>
                <c:pt idx="39">
                  <c:v>13169</c:v>
                </c:pt>
                <c:pt idx="40">
                  <c:v>13183</c:v>
                </c:pt>
                <c:pt idx="41">
                  <c:v>12541</c:v>
                </c:pt>
                <c:pt idx="42">
                  <c:v>12355</c:v>
                </c:pt>
                <c:pt idx="43">
                  <c:v>14682</c:v>
                </c:pt>
                <c:pt idx="44">
                  <c:v>12776</c:v>
                </c:pt>
                <c:pt idx="45">
                  <c:v>14925</c:v>
                </c:pt>
                <c:pt idx="46">
                  <c:v>14681</c:v>
                </c:pt>
                <c:pt idx="47">
                  <c:v>14073</c:v>
                </c:pt>
                <c:pt idx="48">
                  <c:v>15743</c:v>
                </c:pt>
                <c:pt idx="49">
                  <c:v>14851</c:v>
                </c:pt>
                <c:pt idx="50">
                  <c:v>14668</c:v>
                </c:pt>
                <c:pt idx="51">
                  <c:v>15937</c:v>
                </c:pt>
                <c:pt idx="52">
                  <c:v>15316</c:v>
                </c:pt>
                <c:pt idx="53">
                  <c:v>15961</c:v>
                </c:pt>
                <c:pt idx="54">
                  <c:v>15954</c:v>
                </c:pt>
                <c:pt idx="55">
                  <c:v>17211</c:v>
                </c:pt>
                <c:pt idx="56">
                  <c:v>15038</c:v>
                </c:pt>
                <c:pt idx="57">
                  <c:v>18036</c:v>
                </c:pt>
                <c:pt idx="58">
                  <c:v>16585</c:v>
                </c:pt>
                <c:pt idx="59">
                  <c:v>17514</c:v>
                </c:pt>
                <c:pt idx="60">
                  <c:v>18197</c:v>
                </c:pt>
                <c:pt idx="61">
                  <c:v>15936</c:v>
                </c:pt>
                <c:pt idx="62">
                  <c:v>18509</c:v>
                </c:pt>
                <c:pt idx="63">
                  <c:v>17396</c:v>
                </c:pt>
                <c:pt idx="64">
                  <c:v>14103</c:v>
                </c:pt>
                <c:pt idx="65">
                  <c:v>13034</c:v>
                </c:pt>
                <c:pt idx="66">
                  <c:v>10550</c:v>
                </c:pt>
                <c:pt idx="67">
                  <c:v>11528</c:v>
                </c:pt>
                <c:pt idx="68">
                  <c:v>8920</c:v>
                </c:pt>
                <c:pt idx="69">
                  <c:v>10226</c:v>
                </c:pt>
                <c:pt idx="70">
                  <c:v>8882</c:v>
                </c:pt>
                <c:pt idx="71">
                  <c:v>9958</c:v>
                </c:pt>
                <c:pt idx="72">
                  <c:v>9744</c:v>
                </c:pt>
                <c:pt idx="73">
                  <c:v>9439</c:v>
                </c:pt>
                <c:pt idx="74">
                  <c:v>10415</c:v>
                </c:pt>
                <c:pt idx="75">
                  <c:v>9645</c:v>
                </c:pt>
                <c:pt idx="76">
                  <c:v>9509</c:v>
                </c:pt>
                <c:pt idx="77">
                  <c:v>10362</c:v>
                </c:pt>
                <c:pt idx="78">
                  <c:v>9658</c:v>
                </c:pt>
                <c:pt idx="79">
                  <c:v>9974</c:v>
                </c:pt>
                <c:pt idx="80">
                  <c:v>9680</c:v>
                </c:pt>
                <c:pt idx="81">
                  <c:v>10626</c:v>
                </c:pt>
                <c:pt idx="82">
                  <c:v>9856</c:v>
                </c:pt>
                <c:pt idx="83">
                  <c:v>10844</c:v>
                </c:pt>
                <c:pt idx="84">
                  <c:v>9927</c:v>
                </c:pt>
                <c:pt idx="85">
                  <c:v>10256</c:v>
                </c:pt>
                <c:pt idx="86">
                  <c:v>10672</c:v>
                </c:pt>
                <c:pt idx="87">
                  <c:v>9533</c:v>
                </c:pt>
                <c:pt idx="88">
                  <c:v>10636</c:v>
                </c:pt>
              </c:numCache>
            </c:numRef>
          </c:val>
          <c:smooth val="0"/>
        </c:ser>
        <c:ser>
          <c:idx val="4"/>
          <c:order val="4"/>
          <c:tx>
            <c:strRef>
              <c:f>Sheet3!$F$3:$F$5</c:f>
              <c:strCache>
                <c:ptCount val="1"/>
                <c:pt idx="0">
                  <c:v>VERTEPORFIN - PRESCRIPTIONS</c:v>
                </c:pt>
              </c:strCache>
            </c:strRef>
          </c:tx>
          <c:spPr>
            <a:ln>
              <a:solidFill>
                <a:srgbClr val="00B050"/>
              </a:solidFill>
              <a:prstDash val="sysDot"/>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Sheet3!$F$6:$F$95</c:f>
              <c:numCache>
                <c:formatCode>General</c:formatCode>
                <c:ptCount val="89"/>
                <c:pt idx="0">
                  <c:v>39</c:v>
                </c:pt>
                <c:pt idx="1">
                  <c:v>62</c:v>
                </c:pt>
                <c:pt idx="2">
                  <c:v>38</c:v>
                </c:pt>
                <c:pt idx="3">
                  <c:v>58</c:v>
                </c:pt>
                <c:pt idx="4">
                  <c:v>34</c:v>
                </c:pt>
                <c:pt idx="5">
                  <c:v>28</c:v>
                </c:pt>
                <c:pt idx="6">
                  <c:v>38</c:v>
                </c:pt>
                <c:pt idx="7">
                  <c:v>45</c:v>
                </c:pt>
                <c:pt idx="8">
                  <c:v>31</c:v>
                </c:pt>
                <c:pt idx="9">
                  <c:v>39</c:v>
                </c:pt>
                <c:pt idx="10">
                  <c:v>44</c:v>
                </c:pt>
                <c:pt idx="11">
                  <c:v>21</c:v>
                </c:pt>
                <c:pt idx="12">
                  <c:v>41</c:v>
                </c:pt>
                <c:pt idx="13">
                  <c:v>33</c:v>
                </c:pt>
                <c:pt idx="14">
                  <c:v>39</c:v>
                </c:pt>
                <c:pt idx="15">
                  <c:v>41</c:v>
                </c:pt>
                <c:pt idx="16">
                  <c:v>25</c:v>
                </c:pt>
                <c:pt idx="17">
                  <c:v>20</c:v>
                </c:pt>
                <c:pt idx="18">
                  <c:v>34</c:v>
                </c:pt>
                <c:pt idx="19">
                  <c:v>39</c:v>
                </c:pt>
                <c:pt idx="20">
                  <c:v>18</c:v>
                </c:pt>
                <c:pt idx="21">
                  <c:v>23</c:v>
                </c:pt>
                <c:pt idx="22">
                  <c:v>26</c:v>
                </c:pt>
                <c:pt idx="23">
                  <c:v>12</c:v>
                </c:pt>
                <c:pt idx="24">
                  <c:v>17</c:v>
                </c:pt>
                <c:pt idx="25">
                  <c:v>27</c:v>
                </c:pt>
                <c:pt idx="26">
                  <c:v>14</c:v>
                </c:pt>
                <c:pt idx="27">
                  <c:v>14</c:v>
                </c:pt>
                <c:pt idx="28">
                  <c:v>12</c:v>
                </c:pt>
                <c:pt idx="29">
                  <c:v>10</c:v>
                </c:pt>
                <c:pt idx="30">
                  <c:v>23</c:v>
                </c:pt>
                <c:pt idx="31">
                  <c:v>19</c:v>
                </c:pt>
                <c:pt idx="32">
                  <c:v>7</c:v>
                </c:pt>
                <c:pt idx="33">
                  <c:v>18</c:v>
                </c:pt>
                <c:pt idx="34">
                  <c:v>15</c:v>
                </c:pt>
                <c:pt idx="35">
                  <c:v>22</c:v>
                </c:pt>
                <c:pt idx="36">
                  <c:v>13</c:v>
                </c:pt>
                <c:pt idx="37">
                  <c:v>7</c:v>
                </c:pt>
                <c:pt idx="38">
                  <c:v>15</c:v>
                </c:pt>
                <c:pt idx="39">
                  <c:v>13</c:v>
                </c:pt>
                <c:pt idx="40">
                  <c:v>15</c:v>
                </c:pt>
                <c:pt idx="41">
                  <c:v>8</c:v>
                </c:pt>
                <c:pt idx="42">
                  <c:v>16</c:v>
                </c:pt>
                <c:pt idx="43">
                  <c:v>10</c:v>
                </c:pt>
                <c:pt idx="44">
                  <c:v>10</c:v>
                </c:pt>
                <c:pt idx="45">
                  <c:v>12</c:v>
                </c:pt>
                <c:pt idx="46">
                  <c:v>13</c:v>
                </c:pt>
                <c:pt idx="47">
                  <c:v>9</c:v>
                </c:pt>
                <c:pt idx="48">
                  <c:v>18</c:v>
                </c:pt>
                <c:pt idx="49">
                  <c:v>15</c:v>
                </c:pt>
                <c:pt idx="50">
                  <c:v>14</c:v>
                </c:pt>
                <c:pt idx="51">
                  <c:v>10</c:v>
                </c:pt>
                <c:pt idx="52">
                  <c:v>10</c:v>
                </c:pt>
                <c:pt idx="53">
                  <c:v>19</c:v>
                </c:pt>
                <c:pt idx="54">
                  <c:v>23</c:v>
                </c:pt>
                <c:pt idx="55">
                  <c:v>8</c:v>
                </c:pt>
                <c:pt idx="56">
                  <c:v>16</c:v>
                </c:pt>
                <c:pt idx="57">
                  <c:v>27</c:v>
                </c:pt>
                <c:pt idx="58">
                  <c:v>18</c:v>
                </c:pt>
                <c:pt idx="59">
                  <c:v>8</c:v>
                </c:pt>
                <c:pt idx="60">
                  <c:v>19</c:v>
                </c:pt>
                <c:pt idx="61">
                  <c:v>9</c:v>
                </c:pt>
                <c:pt idx="62">
                  <c:v>9</c:v>
                </c:pt>
                <c:pt idx="63">
                  <c:v>9</c:v>
                </c:pt>
                <c:pt idx="64">
                  <c:v>10</c:v>
                </c:pt>
                <c:pt idx="65">
                  <c:v>13</c:v>
                </c:pt>
                <c:pt idx="66">
                  <c:v>14</c:v>
                </c:pt>
                <c:pt idx="67">
                  <c:v>7</c:v>
                </c:pt>
                <c:pt idx="68">
                  <c:v>8</c:v>
                </c:pt>
                <c:pt idx="69">
                  <c:v>8</c:v>
                </c:pt>
                <c:pt idx="70">
                  <c:v>6</c:v>
                </c:pt>
                <c:pt idx="71">
                  <c:v>9</c:v>
                </c:pt>
                <c:pt idx="72">
                  <c:v>12</c:v>
                </c:pt>
                <c:pt idx="73">
                  <c:v>10</c:v>
                </c:pt>
                <c:pt idx="74">
                  <c:v>9</c:v>
                </c:pt>
                <c:pt idx="75">
                  <c:v>14</c:v>
                </c:pt>
                <c:pt idx="76">
                  <c:v>8</c:v>
                </c:pt>
                <c:pt idx="77">
                  <c:v>7</c:v>
                </c:pt>
                <c:pt idx="78">
                  <c:v>19</c:v>
                </c:pt>
                <c:pt idx="79">
                  <c:v>13</c:v>
                </c:pt>
                <c:pt idx="80">
                  <c:v>14</c:v>
                </c:pt>
                <c:pt idx="81">
                  <c:v>9</c:v>
                </c:pt>
                <c:pt idx="82">
                  <c:v>16</c:v>
                </c:pt>
                <c:pt idx="83">
                  <c:v>10</c:v>
                </c:pt>
                <c:pt idx="84">
                  <c:v>13</c:v>
                </c:pt>
                <c:pt idx="85">
                  <c:v>11</c:v>
                </c:pt>
                <c:pt idx="86">
                  <c:v>6</c:v>
                </c:pt>
                <c:pt idx="87">
                  <c:v>4</c:v>
                </c:pt>
                <c:pt idx="88">
                  <c:v>10</c:v>
                </c:pt>
              </c:numCache>
            </c:numRef>
          </c:val>
          <c:smooth val="0"/>
        </c:ser>
        <c:ser>
          <c:idx val="5"/>
          <c:order val="5"/>
          <c:tx>
            <c:strRef>
              <c:f>Sheet3!$G$3:$G$5</c:f>
              <c:strCache>
                <c:ptCount val="1"/>
                <c:pt idx="0">
                  <c:v>VERTEPORFIN - INJECTIONS</c:v>
                </c:pt>
              </c:strCache>
            </c:strRef>
          </c:tx>
          <c:spPr>
            <a:ln>
              <a:solidFill>
                <a:srgbClr val="00B050"/>
              </a:solidFill>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Sheet3!$G$6:$G$95</c:f>
              <c:numCache>
                <c:formatCode>General</c:formatCode>
                <c:ptCount val="89"/>
                <c:pt idx="0">
                  <c:v>39</c:v>
                </c:pt>
                <c:pt idx="1">
                  <c:v>65</c:v>
                </c:pt>
                <c:pt idx="2">
                  <c:v>38</c:v>
                </c:pt>
                <c:pt idx="3">
                  <c:v>61</c:v>
                </c:pt>
                <c:pt idx="4">
                  <c:v>34</c:v>
                </c:pt>
                <c:pt idx="5">
                  <c:v>28</c:v>
                </c:pt>
                <c:pt idx="6">
                  <c:v>41</c:v>
                </c:pt>
                <c:pt idx="7">
                  <c:v>45</c:v>
                </c:pt>
                <c:pt idx="8">
                  <c:v>31</c:v>
                </c:pt>
                <c:pt idx="9">
                  <c:v>39</c:v>
                </c:pt>
                <c:pt idx="10">
                  <c:v>45</c:v>
                </c:pt>
                <c:pt idx="11">
                  <c:v>21</c:v>
                </c:pt>
                <c:pt idx="12">
                  <c:v>41</c:v>
                </c:pt>
                <c:pt idx="13">
                  <c:v>34</c:v>
                </c:pt>
                <c:pt idx="14">
                  <c:v>39</c:v>
                </c:pt>
                <c:pt idx="15">
                  <c:v>41</c:v>
                </c:pt>
                <c:pt idx="16">
                  <c:v>25</c:v>
                </c:pt>
                <c:pt idx="17">
                  <c:v>21</c:v>
                </c:pt>
                <c:pt idx="18">
                  <c:v>35</c:v>
                </c:pt>
                <c:pt idx="19">
                  <c:v>39</c:v>
                </c:pt>
                <c:pt idx="20">
                  <c:v>18</c:v>
                </c:pt>
                <c:pt idx="21">
                  <c:v>23</c:v>
                </c:pt>
                <c:pt idx="22">
                  <c:v>26</c:v>
                </c:pt>
                <c:pt idx="23">
                  <c:v>12</c:v>
                </c:pt>
                <c:pt idx="24">
                  <c:v>18</c:v>
                </c:pt>
                <c:pt idx="25">
                  <c:v>28</c:v>
                </c:pt>
                <c:pt idx="26">
                  <c:v>15</c:v>
                </c:pt>
                <c:pt idx="27">
                  <c:v>14</c:v>
                </c:pt>
                <c:pt idx="28">
                  <c:v>12</c:v>
                </c:pt>
                <c:pt idx="29">
                  <c:v>10</c:v>
                </c:pt>
                <c:pt idx="30">
                  <c:v>23</c:v>
                </c:pt>
                <c:pt idx="31">
                  <c:v>19</c:v>
                </c:pt>
                <c:pt idx="32">
                  <c:v>7</c:v>
                </c:pt>
                <c:pt idx="33">
                  <c:v>19</c:v>
                </c:pt>
                <c:pt idx="34">
                  <c:v>15</c:v>
                </c:pt>
                <c:pt idx="35">
                  <c:v>22</c:v>
                </c:pt>
                <c:pt idx="36">
                  <c:v>13</c:v>
                </c:pt>
                <c:pt idx="37">
                  <c:v>8</c:v>
                </c:pt>
                <c:pt idx="38">
                  <c:v>15</c:v>
                </c:pt>
                <c:pt idx="39">
                  <c:v>13</c:v>
                </c:pt>
                <c:pt idx="40">
                  <c:v>15</c:v>
                </c:pt>
                <c:pt idx="41">
                  <c:v>8</c:v>
                </c:pt>
                <c:pt idx="42">
                  <c:v>16</c:v>
                </c:pt>
                <c:pt idx="43">
                  <c:v>12</c:v>
                </c:pt>
                <c:pt idx="44">
                  <c:v>10</c:v>
                </c:pt>
                <c:pt idx="45">
                  <c:v>12</c:v>
                </c:pt>
                <c:pt idx="46">
                  <c:v>13</c:v>
                </c:pt>
                <c:pt idx="47">
                  <c:v>9</c:v>
                </c:pt>
                <c:pt idx="48">
                  <c:v>18</c:v>
                </c:pt>
                <c:pt idx="49">
                  <c:v>15</c:v>
                </c:pt>
                <c:pt idx="50">
                  <c:v>14</c:v>
                </c:pt>
                <c:pt idx="51">
                  <c:v>11</c:v>
                </c:pt>
                <c:pt idx="52">
                  <c:v>10</c:v>
                </c:pt>
                <c:pt idx="53">
                  <c:v>19</c:v>
                </c:pt>
                <c:pt idx="54">
                  <c:v>25</c:v>
                </c:pt>
                <c:pt idx="55">
                  <c:v>8</c:v>
                </c:pt>
                <c:pt idx="56">
                  <c:v>16</c:v>
                </c:pt>
                <c:pt idx="57">
                  <c:v>28</c:v>
                </c:pt>
                <c:pt idx="58">
                  <c:v>18</c:v>
                </c:pt>
                <c:pt idx="59">
                  <c:v>8</c:v>
                </c:pt>
                <c:pt idx="60">
                  <c:v>19</c:v>
                </c:pt>
                <c:pt idx="61">
                  <c:v>9</c:v>
                </c:pt>
                <c:pt idx="62">
                  <c:v>10</c:v>
                </c:pt>
                <c:pt idx="63">
                  <c:v>9</c:v>
                </c:pt>
                <c:pt idx="64">
                  <c:v>10</c:v>
                </c:pt>
                <c:pt idx="65">
                  <c:v>13</c:v>
                </c:pt>
                <c:pt idx="66">
                  <c:v>14</c:v>
                </c:pt>
                <c:pt idx="67">
                  <c:v>7</c:v>
                </c:pt>
                <c:pt idx="68">
                  <c:v>8</c:v>
                </c:pt>
                <c:pt idx="69">
                  <c:v>10</c:v>
                </c:pt>
                <c:pt idx="70">
                  <c:v>6</c:v>
                </c:pt>
                <c:pt idx="71">
                  <c:v>9</c:v>
                </c:pt>
                <c:pt idx="72">
                  <c:v>12</c:v>
                </c:pt>
                <c:pt idx="73">
                  <c:v>12</c:v>
                </c:pt>
                <c:pt idx="74">
                  <c:v>9</c:v>
                </c:pt>
                <c:pt idx="75">
                  <c:v>17</c:v>
                </c:pt>
                <c:pt idx="76">
                  <c:v>10</c:v>
                </c:pt>
                <c:pt idx="77">
                  <c:v>9</c:v>
                </c:pt>
                <c:pt idx="78">
                  <c:v>20</c:v>
                </c:pt>
                <c:pt idx="79">
                  <c:v>13</c:v>
                </c:pt>
                <c:pt idx="80">
                  <c:v>16</c:v>
                </c:pt>
                <c:pt idx="81">
                  <c:v>9</c:v>
                </c:pt>
                <c:pt idx="82">
                  <c:v>19</c:v>
                </c:pt>
                <c:pt idx="83">
                  <c:v>11</c:v>
                </c:pt>
                <c:pt idx="84">
                  <c:v>14</c:v>
                </c:pt>
                <c:pt idx="85">
                  <c:v>11</c:v>
                </c:pt>
                <c:pt idx="86">
                  <c:v>8</c:v>
                </c:pt>
                <c:pt idx="87">
                  <c:v>5</c:v>
                </c:pt>
                <c:pt idx="88">
                  <c:v>11</c:v>
                </c:pt>
              </c:numCache>
            </c:numRef>
          </c:val>
          <c:smooth val="0"/>
        </c:ser>
        <c:ser>
          <c:idx val="6"/>
          <c:order val="6"/>
          <c:tx>
            <c:strRef>
              <c:f>Sheet3!$H$3:$H$5</c:f>
              <c:strCache>
                <c:ptCount val="1"/>
                <c:pt idx="0">
                  <c:v>TOTAL - PRESCRIPTIONS</c:v>
                </c:pt>
              </c:strCache>
            </c:strRef>
          </c:tx>
          <c:spPr>
            <a:ln>
              <a:solidFill>
                <a:schemeClr val="tx1"/>
              </a:solidFill>
              <a:prstDash val="sysDot"/>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Sheet3!$H$6:$H$95</c:f>
              <c:numCache>
                <c:formatCode>General</c:formatCode>
                <c:ptCount val="89"/>
                <c:pt idx="0">
                  <c:v>2592</c:v>
                </c:pt>
                <c:pt idx="1">
                  <c:v>3311</c:v>
                </c:pt>
                <c:pt idx="2">
                  <c:v>4019</c:v>
                </c:pt>
                <c:pt idx="3">
                  <c:v>4099</c:v>
                </c:pt>
                <c:pt idx="4">
                  <c:v>3692</c:v>
                </c:pt>
                <c:pt idx="5">
                  <c:v>4117</c:v>
                </c:pt>
                <c:pt idx="6">
                  <c:v>4312</c:v>
                </c:pt>
                <c:pt idx="7">
                  <c:v>4342</c:v>
                </c:pt>
                <c:pt idx="8">
                  <c:v>4534</c:v>
                </c:pt>
                <c:pt idx="9">
                  <c:v>5119</c:v>
                </c:pt>
                <c:pt idx="10">
                  <c:v>4742</c:v>
                </c:pt>
                <c:pt idx="11">
                  <c:v>5112</c:v>
                </c:pt>
                <c:pt idx="12">
                  <c:v>5259</c:v>
                </c:pt>
                <c:pt idx="13">
                  <c:v>5535</c:v>
                </c:pt>
                <c:pt idx="14">
                  <c:v>5613</c:v>
                </c:pt>
                <c:pt idx="15">
                  <c:v>5155</c:v>
                </c:pt>
                <c:pt idx="16">
                  <c:v>6371</c:v>
                </c:pt>
                <c:pt idx="17">
                  <c:v>6099</c:v>
                </c:pt>
                <c:pt idx="18">
                  <c:v>6281</c:v>
                </c:pt>
                <c:pt idx="19">
                  <c:v>7090</c:v>
                </c:pt>
                <c:pt idx="20">
                  <c:v>7261</c:v>
                </c:pt>
                <c:pt idx="21">
                  <c:v>7134</c:v>
                </c:pt>
                <c:pt idx="22">
                  <c:v>7652</c:v>
                </c:pt>
                <c:pt idx="23">
                  <c:v>8268</c:v>
                </c:pt>
                <c:pt idx="24">
                  <c:v>8230</c:v>
                </c:pt>
                <c:pt idx="25">
                  <c:v>8533</c:v>
                </c:pt>
                <c:pt idx="26">
                  <c:v>8692</c:v>
                </c:pt>
                <c:pt idx="27">
                  <c:v>8883</c:v>
                </c:pt>
                <c:pt idx="28">
                  <c:v>9220</c:v>
                </c:pt>
                <c:pt idx="29">
                  <c:v>8874</c:v>
                </c:pt>
                <c:pt idx="30">
                  <c:v>9752</c:v>
                </c:pt>
                <c:pt idx="31">
                  <c:v>10932</c:v>
                </c:pt>
                <c:pt idx="32">
                  <c:v>9888</c:v>
                </c:pt>
                <c:pt idx="33">
                  <c:v>10555</c:v>
                </c:pt>
                <c:pt idx="34">
                  <c:v>10998</c:v>
                </c:pt>
                <c:pt idx="35">
                  <c:v>11242</c:v>
                </c:pt>
                <c:pt idx="36">
                  <c:v>11508</c:v>
                </c:pt>
                <c:pt idx="37">
                  <c:v>11302</c:v>
                </c:pt>
                <c:pt idx="38">
                  <c:v>11424</c:v>
                </c:pt>
                <c:pt idx="39">
                  <c:v>12247</c:v>
                </c:pt>
                <c:pt idx="40">
                  <c:v>12269</c:v>
                </c:pt>
                <c:pt idx="41">
                  <c:v>11658</c:v>
                </c:pt>
                <c:pt idx="42">
                  <c:v>11476</c:v>
                </c:pt>
                <c:pt idx="43">
                  <c:v>13627</c:v>
                </c:pt>
                <c:pt idx="44">
                  <c:v>11858</c:v>
                </c:pt>
                <c:pt idx="45">
                  <c:v>13889</c:v>
                </c:pt>
                <c:pt idx="46">
                  <c:v>13643</c:v>
                </c:pt>
                <c:pt idx="47">
                  <c:v>13087</c:v>
                </c:pt>
                <c:pt idx="48">
                  <c:v>14683</c:v>
                </c:pt>
                <c:pt idx="49">
                  <c:v>13815</c:v>
                </c:pt>
                <c:pt idx="50">
                  <c:v>13657</c:v>
                </c:pt>
                <c:pt idx="51">
                  <c:v>14739</c:v>
                </c:pt>
                <c:pt idx="52">
                  <c:v>14207</c:v>
                </c:pt>
                <c:pt idx="53">
                  <c:v>14807</c:v>
                </c:pt>
                <c:pt idx="54">
                  <c:v>14793</c:v>
                </c:pt>
                <c:pt idx="55">
                  <c:v>15952</c:v>
                </c:pt>
                <c:pt idx="56">
                  <c:v>13886</c:v>
                </c:pt>
                <c:pt idx="57">
                  <c:v>16686</c:v>
                </c:pt>
                <c:pt idx="58">
                  <c:v>15285</c:v>
                </c:pt>
                <c:pt idx="59">
                  <c:v>16179</c:v>
                </c:pt>
                <c:pt idx="60">
                  <c:v>16791</c:v>
                </c:pt>
                <c:pt idx="61">
                  <c:v>14708</c:v>
                </c:pt>
                <c:pt idx="62">
                  <c:v>17073</c:v>
                </c:pt>
                <c:pt idx="63">
                  <c:v>16064</c:v>
                </c:pt>
                <c:pt idx="64">
                  <c:v>15978</c:v>
                </c:pt>
                <c:pt idx="65">
                  <c:v>18144</c:v>
                </c:pt>
                <c:pt idx="66">
                  <c:v>16081</c:v>
                </c:pt>
                <c:pt idx="67">
                  <c:v>18735</c:v>
                </c:pt>
                <c:pt idx="68">
                  <c:v>15229</c:v>
                </c:pt>
                <c:pt idx="69">
                  <c:v>18139</c:v>
                </c:pt>
                <c:pt idx="70">
                  <c:v>16070</c:v>
                </c:pt>
                <c:pt idx="71">
                  <c:v>17993</c:v>
                </c:pt>
                <c:pt idx="72">
                  <c:v>17810</c:v>
                </c:pt>
                <c:pt idx="73">
                  <c:v>17069</c:v>
                </c:pt>
                <c:pt idx="74">
                  <c:v>19044</c:v>
                </c:pt>
                <c:pt idx="75">
                  <c:v>17400</c:v>
                </c:pt>
                <c:pt idx="76">
                  <c:v>17322</c:v>
                </c:pt>
                <c:pt idx="77">
                  <c:v>19187</c:v>
                </c:pt>
                <c:pt idx="78">
                  <c:v>17585</c:v>
                </c:pt>
                <c:pt idx="79">
                  <c:v>18563</c:v>
                </c:pt>
                <c:pt idx="80">
                  <c:v>18035</c:v>
                </c:pt>
                <c:pt idx="81">
                  <c:v>20107</c:v>
                </c:pt>
                <c:pt idx="82">
                  <c:v>18346</c:v>
                </c:pt>
                <c:pt idx="83">
                  <c:v>20518</c:v>
                </c:pt>
                <c:pt idx="84">
                  <c:v>18828</c:v>
                </c:pt>
                <c:pt idx="85">
                  <c:v>19330</c:v>
                </c:pt>
                <c:pt idx="86">
                  <c:v>20297</c:v>
                </c:pt>
                <c:pt idx="87">
                  <c:v>18237</c:v>
                </c:pt>
                <c:pt idx="88">
                  <c:v>20091</c:v>
                </c:pt>
              </c:numCache>
            </c:numRef>
          </c:val>
          <c:smooth val="0"/>
        </c:ser>
        <c:ser>
          <c:idx val="7"/>
          <c:order val="7"/>
          <c:tx>
            <c:strRef>
              <c:f>Sheet3!$I$3:$I$5</c:f>
              <c:strCache>
                <c:ptCount val="1"/>
                <c:pt idx="0">
                  <c:v>TOTAL - INJECTIONS</c:v>
                </c:pt>
              </c:strCache>
            </c:strRef>
          </c:tx>
          <c:spPr>
            <a:ln>
              <a:solidFill>
                <a:schemeClr val="tx1"/>
              </a:solidFill>
            </a:ln>
          </c:spPr>
          <c:marker>
            <c:symbol val="none"/>
          </c:marker>
          <c:cat>
            <c:strRef>
              <c:f>Sheet3!$A$6:$A$95</c:f>
              <c:strCache>
                <c:ptCount val="89"/>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strCache>
            </c:strRef>
          </c:cat>
          <c:val>
            <c:numRef>
              <c:f>Sheet3!$I$6:$I$95</c:f>
              <c:numCache>
                <c:formatCode>General</c:formatCode>
                <c:ptCount val="89"/>
                <c:pt idx="0">
                  <c:v>2745</c:v>
                </c:pt>
                <c:pt idx="1">
                  <c:v>3547</c:v>
                </c:pt>
                <c:pt idx="2">
                  <c:v>4247</c:v>
                </c:pt>
                <c:pt idx="3">
                  <c:v>4284</c:v>
                </c:pt>
                <c:pt idx="4">
                  <c:v>3906</c:v>
                </c:pt>
                <c:pt idx="5">
                  <c:v>4374</c:v>
                </c:pt>
                <c:pt idx="6">
                  <c:v>4562</c:v>
                </c:pt>
                <c:pt idx="7">
                  <c:v>4586</c:v>
                </c:pt>
                <c:pt idx="8">
                  <c:v>4766</c:v>
                </c:pt>
                <c:pt idx="9">
                  <c:v>5398</c:v>
                </c:pt>
                <c:pt idx="10">
                  <c:v>5011</c:v>
                </c:pt>
                <c:pt idx="11">
                  <c:v>5378</c:v>
                </c:pt>
                <c:pt idx="12">
                  <c:v>5578</c:v>
                </c:pt>
                <c:pt idx="13">
                  <c:v>5850</c:v>
                </c:pt>
                <c:pt idx="14">
                  <c:v>5952</c:v>
                </c:pt>
                <c:pt idx="15">
                  <c:v>5445</c:v>
                </c:pt>
                <c:pt idx="16">
                  <c:v>6707</c:v>
                </c:pt>
                <c:pt idx="17">
                  <c:v>6446</c:v>
                </c:pt>
                <c:pt idx="18">
                  <c:v>6638</c:v>
                </c:pt>
                <c:pt idx="19">
                  <c:v>7476</c:v>
                </c:pt>
                <c:pt idx="20">
                  <c:v>7674</c:v>
                </c:pt>
                <c:pt idx="21">
                  <c:v>7516</c:v>
                </c:pt>
                <c:pt idx="22">
                  <c:v>8080</c:v>
                </c:pt>
                <c:pt idx="23">
                  <c:v>8733</c:v>
                </c:pt>
                <c:pt idx="24">
                  <c:v>8698</c:v>
                </c:pt>
                <c:pt idx="25">
                  <c:v>9098</c:v>
                </c:pt>
                <c:pt idx="26">
                  <c:v>9232</c:v>
                </c:pt>
                <c:pt idx="27">
                  <c:v>9473</c:v>
                </c:pt>
                <c:pt idx="28">
                  <c:v>9809</c:v>
                </c:pt>
                <c:pt idx="29">
                  <c:v>9447</c:v>
                </c:pt>
                <c:pt idx="30">
                  <c:v>10367</c:v>
                </c:pt>
                <c:pt idx="31">
                  <c:v>11643</c:v>
                </c:pt>
                <c:pt idx="32">
                  <c:v>10561</c:v>
                </c:pt>
                <c:pt idx="33">
                  <c:v>11276</c:v>
                </c:pt>
                <c:pt idx="34">
                  <c:v>11815</c:v>
                </c:pt>
                <c:pt idx="35">
                  <c:v>12094</c:v>
                </c:pt>
                <c:pt idx="36">
                  <c:v>12377</c:v>
                </c:pt>
                <c:pt idx="37">
                  <c:v>12159</c:v>
                </c:pt>
                <c:pt idx="38">
                  <c:v>12305</c:v>
                </c:pt>
                <c:pt idx="39">
                  <c:v>13182</c:v>
                </c:pt>
                <c:pt idx="40">
                  <c:v>13198</c:v>
                </c:pt>
                <c:pt idx="41">
                  <c:v>12549</c:v>
                </c:pt>
                <c:pt idx="42">
                  <c:v>12371</c:v>
                </c:pt>
                <c:pt idx="43">
                  <c:v>14694</c:v>
                </c:pt>
                <c:pt idx="44">
                  <c:v>12786</c:v>
                </c:pt>
                <c:pt idx="45">
                  <c:v>14937</c:v>
                </c:pt>
                <c:pt idx="46">
                  <c:v>14694</c:v>
                </c:pt>
                <c:pt idx="47">
                  <c:v>14082</c:v>
                </c:pt>
                <c:pt idx="48">
                  <c:v>15761</c:v>
                </c:pt>
                <c:pt idx="49">
                  <c:v>14866</c:v>
                </c:pt>
                <c:pt idx="50">
                  <c:v>14682</c:v>
                </c:pt>
                <c:pt idx="51">
                  <c:v>15948</c:v>
                </c:pt>
                <c:pt idx="52">
                  <c:v>15326</c:v>
                </c:pt>
                <c:pt idx="53">
                  <c:v>15980</c:v>
                </c:pt>
                <c:pt idx="54">
                  <c:v>15979</c:v>
                </c:pt>
                <c:pt idx="55">
                  <c:v>17219</c:v>
                </c:pt>
                <c:pt idx="56">
                  <c:v>15054</c:v>
                </c:pt>
                <c:pt idx="57">
                  <c:v>18064</c:v>
                </c:pt>
                <c:pt idx="58">
                  <c:v>16603</c:v>
                </c:pt>
                <c:pt idx="59">
                  <c:v>17522</c:v>
                </c:pt>
                <c:pt idx="60">
                  <c:v>18216</c:v>
                </c:pt>
                <c:pt idx="61">
                  <c:v>15945</c:v>
                </c:pt>
                <c:pt idx="62">
                  <c:v>18519</c:v>
                </c:pt>
                <c:pt idx="63">
                  <c:v>17405</c:v>
                </c:pt>
                <c:pt idx="64">
                  <c:v>17424</c:v>
                </c:pt>
                <c:pt idx="65">
                  <c:v>19728</c:v>
                </c:pt>
                <c:pt idx="66">
                  <c:v>17504</c:v>
                </c:pt>
                <c:pt idx="67">
                  <c:v>20404</c:v>
                </c:pt>
                <c:pt idx="68">
                  <c:v>16528</c:v>
                </c:pt>
                <c:pt idx="69">
                  <c:v>19680</c:v>
                </c:pt>
                <c:pt idx="70">
                  <c:v>17445</c:v>
                </c:pt>
                <c:pt idx="71">
                  <c:v>19506</c:v>
                </c:pt>
                <c:pt idx="72">
                  <c:v>19376</c:v>
                </c:pt>
                <c:pt idx="73">
                  <c:v>18615</c:v>
                </c:pt>
                <c:pt idx="74">
                  <c:v>20746</c:v>
                </c:pt>
                <c:pt idx="75">
                  <c:v>18937</c:v>
                </c:pt>
                <c:pt idx="76">
                  <c:v>18850</c:v>
                </c:pt>
                <c:pt idx="77">
                  <c:v>20907</c:v>
                </c:pt>
                <c:pt idx="78">
                  <c:v>19168</c:v>
                </c:pt>
                <c:pt idx="79">
                  <c:v>20188</c:v>
                </c:pt>
                <c:pt idx="80">
                  <c:v>19682</c:v>
                </c:pt>
                <c:pt idx="81">
                  <c:v>21913</c:v>
                </c:pt>
                <c:pt idx="82">
                  <c:v>20016</c:v>
                </c:pt>
                <c:pt idx="83">
                  <c:v>22374</c:v>
                </c:pt>
                <c:pt idx="84">
                  <c:v>20510</c:v>
                </c:pt>
                <c:pt idx="85">
                  <c:v>21097</c:v>
                </c:pt>
                <c:pt idx="86">
                  <c:v>22097</c:v>
                </c:pt>
                <c:pt idx="87">
                  <c:v>19917</c:v>
                </c:pt>
                <c:pt idx="88">
                  <c:v>21946</c:v>
                </c:pt>
              </c:numCache>
            </c:numRef>
          </c:val>
          <c:smooth val="0"/>
        </c:ser>
        <c:dLbls>
          <c:showLegendKey val="0"/>
          <c:showVal val="0"/>
          <c:showCatName val="0"/>
          <c:showSerName val="0"/>
          <c:showPercent val="0"/>
          <c:showBubbleSize val="0"/>
        </c:dLbls>
        <c:marker val="1"/>
        <c:smooth val="0"/>
        <c:axId val="161217920"/>
        <c:axId val="176062848"/>
      </c:lineChart>
      <c:catAx>
        <c:axId val="161217920"/>
        <c:scaling>
          <c:orientation val="minMax"/>
        </c:scaling>
        <c:delete val="0"/>
        <c:axPos val="b"/>
        <c:majorTickMark val="out"/>
        <c:minorTickMark val="none"/>
        <c:tickLblPos val="nextTo"/>
        <c:crossAx val="176062848"/>
        <c:crosses val="autoZero"/>
        <c:auto val="1"/>
        <c:lblAlgn val="ctr"/>
        <c:lblOffset val="100"/>
        <c:noMultiLvlLbl val="0"/>
      </c:catAx>
      <c:valAx>
        <c:axId val="176062848"/>
        <c:scaling>
          <c:orientation val="minMax"/>
        </c:scaling>
        <c:delete val="0"/>
        <c:axPos val="l"/>
        <c:majorGridlines/>
        <c:numFmt formatCode="#,##0" sourceLinked="0"/>
        <c:majorTickMark val="out"/>
        <c:minorTickMark val="none"/>
        <c:tickLblPos val="nextTo"/>
        <c:crossAx val="161217920"/>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D64D-62B4-4117-BCE6-969FA3E1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30</Pages>
  <Words>10940</Words>
  <Characters>62364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73158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Olivia</dc:creator>
  <cp:lastModifiedBy>MORRISON, Olivia</cp:lastModifiedBy>
  <cp:revision>6</cp:revision>
  <cp:lastPrinted>2015-10-22T04:20:00Z</cp:lastPrinted>
  <dcterms:created xsi:type="dcterms:W3CDTF">2015-10-22T03:08:00Z</dcterms:created>
  <dcterms:modified xsi:type="dcterms:W3CDTF">2015-10-22T04:41:00Z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