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09452FEA" w:rsidR="00832324" w:rsidRDefault="00ED369B" w:rsidP="00FE645A">
      <w:pPr>
        <w:pStyle w:val="Title"/>
      </w:pPr>
      <w:r>
        <w:t>Exenatide for type 2 diabetes</w:t>
      </w:r>
      <w:r w:rsidR="001C4016">
        <w:t>: a</w:t>
      </w:r>
      <w:r>
        <w:t>nalysis of predicted versus actual utilisation</w:t>
      </w:r>
    </w:p>
    <w:p w14:paraId="68F00614" w14:textId="799F8740" w:rsidR="00736041" w:rsidRPr="001D390D" w:rsidRDefault="009053D3" w:rsidP="001D390D">
      <w:pPr>
        <w:pStyle w:val="Heading1"/>
      </w:pPr>
      <w:r w:rsidRPr="001D390D">
        <w:t>D</w:t>
      </w:r>
      <w:r w:rsidR="00832324" w:rsidRPr="001D390D">
        <w:t>rug utilisation sub-committee (DUSC)</w:t>
      </w:r>
    </w:p>
    <w:p w14:paraId="78148839" w14:textId="54EF4F63" w:rsidR="009053D3" w:rsidRPr="001D390D" w:rsidRDefault="00D87809" w:rsidP="001D390D">
      <w:pPr>
        <w:pStyle w:val="Heading2"/>
      </w:pPr>
      <w:r>
        <w:t>October 2014</w:t>
      </w:r>
    </w:p>
    <w:p w14:paraId="7EFD635C" w14:textId="77777777" w:rsidR="000F760B" w:rsidRPr="001D390D" w:rsidRDefault="000F760B" w:rsidP="001D390D">
      <w:pPr>
        <w:pStyle w:val="Heading3"/>
      </w:pPr>
      <w:r w:rsidRPr="001D390D">
        <w:t>Abstract</w:t>
      </w:r>
    </w:p>
    <w:p w14:paraId="11A88CE9" w14:textId="09CC0FA2" w:rsidR="000F760B" w:rsidRDefault="000F760B" w:rsidP="00B97BDC">
      <w:pPr>
        <w:pStyle w:val="Heading4"/>
      </w:pPr>
      <w:r>
        <w:t>Purpose</w:t>
      </w:r>
    </w:p>
    <w:p w14:paraId="748081A1" w14:textId="45962B68" w:rsidR="00B97BDC" w:rsidRPr="00B97BDC" w:rsidRDefault="001F1034" w:rsidP="00B97BDC">
      <w:r w:rsidRPr="001F1034">
        <w:t xml:space="preserve">To assess the predicted versus actual use of </w:t>
      </w:r>
      <w:r>
        <w:t>exenatide for the treatment of t</w:t>
      </w:r>
      <w:r w:rsidRPr="001F1034">
        <w:t>ype 2 diabetes mellitus.</w:t>
      </w:r>
    </w:p>
    <w:p w14:paraId="598780B3" w14:textId="3E614A77" w:rsidR="00856BB4" w:rsidRDefault="00856BB4" w:rsidP="00A55579">
      <w:pPr>
        <w:pStyle w:val="Heading4"/>
      </w:pPr>
      <w:r w:rsidRPr="00856BB4">
        <w:t>Background</w:t>
      </w:r>
    </w:p>
    <w:p w14:paraId="2F3AC08E" w14:textId="77777777" w:rsidR="009B772E" w:rsidRDefault="003039B8" w:rsidP="009B772E">
      <w:pPr>
        <w:spacing w:after="0"/>
      </w:pPr>
      <w:r>
        <w:t>A</w:t>
      </w:r>
      <w:r w:rsidR="00630079" w:rsidRPr="00630079">
        <w:t xml:space="preserve">t the time of the 12 month </w:t>
      </w:r>
      <w:r>
        <w:t xml:space="preserve">predicted versus actual </w:t>
      </w:r>
      <w:r w:rsidR="00630079" w:rsidRPr="00630079">
        <w:t>analysis</w:t>
      </w:r>
      <w:r>
        <w:t xml:space="preserve"> of exenatide</w:t>
      </w:r>
      <w:r w:rsidR="001C7BC7">
        <w:t xml:space="preserve"> the DUSC considered that </w:t>
      </w:r>
      <w:r w:rsidR="00630079" w:rsidRPr="00630079">
        <w:t>utilisation w</w:t>
      </w:r>
      <w:r w:rsidR="001C7BC7">
        <w:t xml:space="preserve">ould increase.  </w:t>
      </w:r>
      <w:r w:rsidR="00630079" w:rsidRPr="00630079">
        <w:t>There was higher than</w:t>
      </w:r>
      <w:r w:rsidR="001C7BC7">
        <w:t xml:space="preserve"> expected use of </w:t>
      </w:r>
      <w:r w:rsidR="009B772E">
        <w:t xml:space="preserve">the </w:t>
      </w:r>
    </w:p>
    <w:p w14:paraId="48A8D909" w14:textId="7BF9E1B9" w:rsidR="00630079" w:rsidRPr="007A60F8" w:rsidRDefault="001C7BC7" w:rsidP="00046D7D">
      <w:r>
        <w:t>5 microgram strength</w:t>
      </w:r>
      <w:r w:rsidR="00630079" w:rsidRPr="00630079">
        <w:t>.</w:t>
      </w:r>
      <w:r>
        <w:t xml:space="preserve"> </w:t>
      </w:r>
      <w:r w:rsidR="00630079" w:rsidRPr="00630079">
        <w:t xml:space="preserve"> </w:t>
      </w:r>
      <w:r>
        <w:t xml:space="preserve">The </w:t>
      </w:r>
      <w:r w:rsidR="00630079" w:rsidRPr="00630079">
        <w:t xml:space="preserve">DUSC recalled </w:t>
      </w:r>
      <w:r w:rsidR="00D107EE">
        <w:t xml:space="preserve">that </w:t>
      </w:r>
      <w:r w:rsidR="00630079" w:rsidRPr="00630079">
        <w:t>16</w:t>
      </w:r>
      <w:r w:rsidR="00D107EE">
        <w:t xml:space="preserve"> </w:t>
      </w:r>
      <w:r w:rsidR="00630079" w:rsidRPr="00630079">
        <w:t>% of exenatide use appear</w:t>
      </w:r>
      <w:r w:rsidR="00D107EE">
        <w:t>ed</w:t>
      </w:r>
      <w:r w:rsidR="00630079" w:rsidRPr="00630079">
        <w:t xml:space="preserve"> to be co-administered with insulin</w:t>
      </w:r>
      <w:r w:rsidR="00D107EE">
        <w:t>, for which exenatide was not subsidised for.</w:t>
      </w:r>
    </w:p>
    <w:p w14:paraId="3BA390B2" w14:textId="581F46EF" w:rsidR="00856BB4" w:rsidRDefault="00856BB4" w:rsidP="00A55579">
      <w:pPr>
        <w:pStyle w:val="Heading4"/>
      </w:pPr>
      <w:r w:rsidRPr="00E05D90">
        <w:t>Date of listing on PBS</w:t>
      </w:r>
    </w:p>
    <w:p w14:paraId="216DB6D9" w14:textId="15C0256F" w:rsidR="00957E40" w:rsidRDefault="00957E40" w:rsidP="00957E40">
      <w:r>
        <w:t xml:space="preserve">Exenatide was listed on 1 August 2010 for the treatment of diabetes mellitus type 2: </w:t>
      </w:r>
    </w:p>
    <w:p w14:paraId="090C654C" w14:textId="30037660" w:rsidR="00957E40" w:rsidRDefault="00957E40" w:rsidP="00957E40">
      <w:pPr>
        <w:pStyle w:val="ListParagraph"/>
        <w:numPr>
          <w:ilvl w:val="0"/>
          <w:numId w:val="2"/>
        </w:numPr>
      </w:pPr>
      <w:r>
        <w:t xml:space="preserve">as dual therapy with metformin or a sulfonylurea in patients contraindicated or intolerant to a combination of a </w:t>
      </w:r>
      <w:r w:rsidR="00F33EE6">
        <w:t>sulfonylurea</w:t>
      </w:r>
      <w:r>
        <w:t xml:space="preserve"> and metformin; and </w:t>
      </w:r>
    </w:p>
    <w:p w14:paraId="76BF7F03" w14:textId="4AB385AD" w:rsidR="00D107EE" w:rsidRPr="00D107EE" w:rsidRDefault="00957E40" w:rsidP="00957E40">
      <w:pPr>
        <w:pStyle w:val="ListParagraph"/>
        <w:numPr>
          <w:ilvl w:val="0"/>
          <w:numId w:val="2"/>
        </w:numPr>
      </w:pPr>
      <w:r>
        <w:t xml:space="preserve">as triple therapy with metformin and a </w:t>
      </w:r>
      <w:r w:rsidR="00F33EE6">
        <w:t>sulfonylurea</w:t>
      </w:r>
      <w:r>
        <w:t>.</w:t>
      </w:r>
    </w:p>
    <w:p w14:paraId="0A327B3F" w14:textId="77777777" w:rsidR="000F760B" w:rsidRDefault="000F760B" w:rsidP="00A55579">
      <w:pPr>
        <w:pStyle w:val="Heading4"/>
      </w:pPr>
      <w:r>
        <w:t>Data Source / methodology</w:t>
      </w:r>
      <w:bookmarkStart w:id="0" w:name="_GoBack"/>
      <w:bookmarkEnd w:id="0"/>
    </w:p>
    <w:p w14:paraId="2BECBE9E" w14:textId="458B40A0" w:rsidR="003317AB" w:rsidRPr="003317AB" w:rsidRDefault="000A3178" w:rsidP="003317AB">
      <w:r>
        <w:t>The p</w:t>
      </w:r>
      <w:r w:rsidRPr="000A3178">
        <w:t>harmacy claims data from the DUSC database and the Department of Human Servic</w:t>
      </w:r>
      <w:r w:rsidR="0056699C">
        <w:t>es (DHS) prescription database</w:t>
      </w:r>
      <w:r>
        <w:t xml:space="preserve"> was used for the analyses.</w:t>
      </w:r>
    </w:p>
    <w:p w14:paraId="5857649B" w14:textId="6A3B66F6" w:rsidR="00962AEF" w:rsidRDefault="000F760B" w:rsidP="006A58EE">
      <w:pPr>
        <w:pStyle w:val="Heading4"/>
      </w:pPr>
      <w:r>
        <w:t>Key Findings</w:t>
      </w:r>
    </w:p>
    <w:p w14:paraId="4951C0C9" w14:textId="1B47EF1F" w:rsidR="00962AEF" w:rsidRDefault="00102126" w:rsidP="00962AEF">
      <w:pPr>
        <w:pStyle w:val="ListParagraph"/>
        <w:numPr>
          <w:ilvl w:val="0"/>
          <w:numId w:val="3"/>
        </w:numPr>
        <w:ind w:left="360"/>
      </w:pPr>
      <w:r>
        <w:t>A</w:t>
      </w:r>
      <w:r w:rsidR="00245007">
        <w:t>n estimated 31</w:t>
      </w:r>
      <w:r>
        <w:t xml:space="preserve"> </w:t>
      </w:r>
      <w:r w:rsidR="00245007">
        <w:t xml:space="preserve">% of exenatide use is outside the PBS criteria, of which about half </w:t>
      </w:r>
      <w:r>
        <w:t>is in combination with insulin;</w:t>
      </w:r>
    </w:p>
    <w:p w14:paraId="03E9CF40" w14:textId="3BC08299" w:rsidR="006A58EE" w:rsidRDefault="006A58EE" w:rsidP="00962AEF">
      <w:pPr>
        <w:pStyle w:val="ListParagraph"/>
        <w:numPr>
          <w:ilvl w:val="0"/>
          <w:numId w:val="3"/>
        </w:numPr>
        <w:ind w:left="360"/>
      </w:pPr>
      <w:r>
        <w:t>There continues to be much higher than expected use of the 5 microgram strength;</w:t>
      </w:r>
    </w:p>
    <w:p w14:paraId="2F6C98B1" w14:textId="77777777" w:rsidR="006E5D0E" w:rsidRDefault="009C4077" w:rsidP="006E5D0E">
      <w:pPr>
        <w:pStyle w:val="ListParagraph"/>
        <w:numPr>
          <w:ilvl w:val="0"/>
          <w:numId w:val="3"/>
        </w:numPr>
        <w:ind w:left="360"/>
      </w:pPr>
      <w:r w:rsidRPr="009C4077">
        <w:lastRenderedPageBreak/>
        <w:t>Exenatide is most often used in triple therapy regimens (50.4</w:t>
      </w:r>
      <w:r w:rsidR="00535299">
        <w:t xml:space="preserve"> </w:t>
      </w:r>
      <w:r w:rsidRPr="009C4077">
        <w:t>%) and dual therapy regimens (34.1</w:t>
      </w:r>
      <w:r w:rsidR="00535299">
        <w:t xml:space="preserve"> </w:t>
      </w:r>
      <w:r w:rsidRPr="009C4077">
        <w:t>%).</w:t>
      </w:r>
      <w:r w:rsidR="00414CE3">
        <w:t xml:space="preserve">  </w:t>
      </w:r>
      <w:r w:rsidRPr="009C4077">
        <w:t>It is also prescribed as monotherapy (5.6</w:t>
      </w:r>
      <w:r w:rsidR="00535299">
        <w:t xml:space="preserve"> </w:t>
      </w:r>
      <w:r w:rsidRPr="009C4077">
        <w:t>%) a</w:t>
      </w:r>
      <w:r>
        <w:t>nd as quadruple therapy (9.9</w:t>
      </w:r>
      <w:r w:rsidR="00535299">
        <w:t xml:space="preserve"> </w:t>
      </w:r>
      <w:r w:rsidR="00A87B32">
        <w:t>%)</w:t>
      </w:r>
      <w:r w:rsidR="006E5D0E">
        <w:t>.</w:t>
      </w:r>
    </w:p>
    <w:p w14:paraId="61B409F9" w14:textId="677D6508" w:rsidR="006E5D0E" w:rsidRDefault="006E5D0E" w:rsidP="006E5D0E">
      <w:pPr>
        <w:pStyle w:val="ListParagraph"/>
        <w:numPr>
          <w:ilvl w:val="0"/>
          <w:numId w:val="3"/>
        </w:numPr>
        <w:ind w:left="360"/>
      </w:pPr>
      <w:r>
        <w:t xml:space="preserve">The treatment pathways </w:t>
      </w:r>
      <w:r w:rsidR="00684255">
        <w:t xml:space="preserve">prior </w:t>
      </w:r>
      <w:r>
        <w:t>to exenatide are diverse.</w:t>
      </w:r>
    </w:p>
    <w:p w14:paraId="38B57ECC" w14:textId="742A7A8A" w:rsidR="00BB0D1A" w:rsidRPr="00A87B32" w:rsidRDefault="00BB0D1A" w:rsidP="00AE3FB3">
      <w:r>
        <w:br w:type="page"/>
      </w:r>
    </w:p>
    <w:p w14:paraId="5B262047" w14:textId="525241DC" w:rsidR="00E677DD" w:rsidRPr="005E22C2" w:rsidRDefault="00E677DD" w:rsidP="001D390D">
      <w:pPr>
        <w:pStyle w:val="Heading3"/>
      </w:pPr>
      <w:r w:rsidRPr="005E22C2">
        <w:lastRenderedPageBreak/>
        <w:t xml:space="preserve">Purpose of </w:t>
      </w:r>
      <w:r w:rsidR="00D151EB">
        <w:t>analysis</w:t>
      </w:r>
    </w:p>
    <w:p w14:paraId="4CCF6661" w14:textId="77777777" w:rsidR="00B07422" w:rsidRPr="00B97BDC" w:rsidRDefault="00B07422" w:rsidP="00B07422">
      <w:r w:rsidRPr="001F1034">
        <w:t xml:space="preserve">To assess the predicted versus actual use of </w:t>
      </w:r>
      <w:r>
        <w:t>exenatide for the treatment of t</w:t>
      </w:r>
      <w:r w:rsidRPr="001F1034">
        <w:t>ype 2 diabetes mellitus.</w:t>
      </w:r>
    </w:p>
    <w:p w14:paraId="0A7F0B57" w14:textId="034D22D5" w:rsidR="006537D9" w:rsidRPr="005E22C2" w:rsidRDefault="00736041" w:rsidP="001D390D">
      <w:pPr>
        <w:pStyle w:val="Heading3"/>
      </w:pPr>
      <w:r w:rsidRPr="005E22C2">
        <w:t>Background</w:t>
      </w:r>
    </w:p>
    <w:p w14:paraId="0183A567" w14:textId="413DF87B" w:rsidR="007247B9" w:rsidRDefault="007247B9" w:rsidP="00E376AA">
      <w:pPr>
        <w:pStyle w:val="Heading4"/>
      </w:pPr>
      <w:r w:rsidRPr="00E376AA">
        <w:t>Pharmacology</w:t>
      </w:r>
    </w:p>
    <w:p w14:paraId="16C5E61F" w14:textId="4EC2201E" w:rsidR="001264EA" w:rsidRPr="001264EA" w:rsidRDefault="001264EA" w:rsidP="001264EA">
      <w:r w:rsidRPr="001264EA">
        <w:t>Exenatide is a glucagon-like pept</w:t>
      </w:r>
      <w:r w:rsidR="00A75767">
        <w:t xml:space="preserve">ide-1 (GLP-1) receptor agonist.  </w:t>
      </w:r>
      <w:r w:rsidRPr="001264EA">
        <w:t>The ATC code is A10BX04.</w:t>
      </w:r>
      <w:r w:rsidR="006E2FAA">
        <w:rPr>
          <w:rStyle w:val="FootnoteReference"/>
        </w:rPr>
        <w:footnoteReference w:id="1"/>
      </w:r>
    </w:p>
    <w:p w14:paraId="6AC18C88" w14:textId="2877AC70" w:rsidR="001420B3" w:rsidRPr="00DE260E" w:rsidRDefault="001420B3" w:rsidP="00DD70ED">
      <w:pPr>
        <w:pStyle w:val="Heading4"/>
      </w:pPr>
      <w:r w:rsidRPr="00DE260E">
        <w:t>T</w:t>
      </w:r>
      <w:r w:rsidR="000F22BC" w:rsidRPr="00DE260E">
        <w:t xml:space="preserve">herapeutic </w:t>
      </w:r>
      <w:r w:rsidRPr="00DE260E">
        <w:t>G</w:t>
      </w:r>
      <w:r w:rsidR="000F22BC" w:rsidRPr="00DE260E">
        <w:t xml:space="preserve">oods </w:t>
      </w:r>
      <w:r w:rsidRPr="00DE260E">
        <w:t>A</w:t>
      </w:r>
      <w:r w:rsidR="000F22BC" w:rsidRPr="00DE260E">
        <w:t>dministration (TGA)</w:t>
      </w:r>
      <w:r w:rsidRPr="00DE260E">
        <w:t xml:space="preserve"> approved indications</w:t>
      </w:r>
    </w:p>
    <w:p w14:paraId="4A8A9E2D" w14:textId="11D4FBFD" w:rsidR="00F03860" w:rsidRPr="004E6BF0" w:rsidRDefault="00F03860" w:rsidP="00F03860">
      <w:pPr>
        <w:autoSpaceDE w:val="0"/>
        <w:autoSpaceDN w:val="0"/>
        <w:adjustRightInd w:val="0"/>
        <w:spacing w:after="0"/>
        <w:rPr>
          <w:vertAlign w:val="superscript"/>
        </w:rPr>
      </w:pPr>
      <w:r w:rsidRPr="00AB7705">
        <w:t>Exenatide is indicated as adjunctive therapy to improve glycaemic control in patients with type 2 diabetes mellitus who are taking metformin, a sulfonylurea, or a combination of metformin and a sulfonylurea, or a</w:t>
      </w:r>
      <w:r w:rsidR="0056524B">
        <w:t xml:space="preserve"> combination of metformin and a </w:t>
      </w:r>
      <w:r w:rsidRPr="00AB7705">
        <w:t>basal insulin, but are not achieving adequate glycaemic control.</w:t>
      </w:r>
      <w:r w:rsidR="004E6BF0">
        <w:rPr>
          <w:vertAlign w:val="superscript"/>
        </w:rPr>
        <w:t>1</w:t>
      </w:r>
    </w:p>
    <w:p w14:paraId="15E919C1" w14:textId="1B3BA560" w:rsidR="006B709B" w:rsidRDefault="006B709B" w:rsidP="00DD70ED">
      <w:pPr>
        <w:pStyle w:val="Heading4"/>
      </w:pPr>
      <w:r w:rsidRPr="00DE260E">
        <w:t>Dosage and administration</w:t>
      </w:r>
    </w:p>
    <w:p w14:paraId="1FC6693E" w14:textId="32D3CF62" w:rsidR="00660F4A" w:rsidRPr="004E6BF0" w:rsidRDefault="00F13545" w:rsidP="00A35800">
      <w:pPr>
        <w:rPr>
          <w:vertAlign w:val="superscript"/>
        </w:rPr>
      </w:pPr>
      <w:r w:rsidRPr="00F13545">
        <w:t>Exenatide</w:t>
      </w:r>
      <w:r w:rsidR="0011416B">
        <w:t xml:space="preserve"> should be initiated at 5 micrograms administered twice daily</w:t>
      </w:r>
      <w:r w:rsidRPr="00F13545">
        <w:t xml:space="preserve"> </w:t>
      </w:r>
      <w:r w:rsidR="005466E9">
        <w:t xml:space="preserve">subcutaneously </w:t>
      </w:r>
      <w:r w:rsidRPr="00F13545">
        <w:t>for at least one month in</w:t>
      </w:r>
      <w:r w:rsidR="0011416B">
        <w:t xml:space="preserve"> order to improve tolerability.  The dose </w:t>
      </w:r>
      <w:r w:rsidRPr="00F13545">
        <w:t>can then be</w:t>
      </w:r>
      <w:r w:rsidR="0011416B">
        <w:t xml:space="preserve"> increased to 10 microgram twice daily</w:t>
      </w:r>
      <w:r w:rsidRPr="00F13545">
        <w:t xml:space="preserve"> to fur</w:t>
      </w:r>
      <w:r w:rsidR="00622B0C">
        <w:t xml:space="preserve">ther improve glycaemic control.  Doses higher than 10 microgram twice daily </w:t>
      </w:r>
      <w:r w:rsidRPr="00F13545">
        <w:t>are not recommended.</w:t>
      </w:r>
      <w:r w:rsidR="004E6BF0">
        <w:rPr>
          <w:vertAlign w:val="superscript"/>
        </w:rPr>
        <w:t>1</w:t>
      </w:r>
    </w:p>
    <w:p w14:paraId="337D0FBB" w14:textId="19C0429F" w:rsidR="006B709B" w:rsidRPr="002F61CA" w:rsidRDefault="006B709B" w:rsidP="00A35800">
      <w:r w:rsidRPr="002F61CA">
        <w:t xml:space="preserve">The current Product Information (PI) and Consumer Medicine Information (CMI) are available from </w:t>
      </w:r>
      <w:hyperlink r:id="rId9" w:history="1">
        <w:r w:rsidR="004B552B">
          <w:rPr>
            <w:rStyle w:val="Hyperlink"/>
          </w:rPr>
          <w:t>the TGA (Product Information)</w:t>
        </w:r>
      </w:hyperlink>
      <w:r w:rsidR="00561CB4">
        <w:t xml:space="preserve"> and </w:t>
      </w:r>
      <w:hyperlink r:id="rId10" w:history="1">
        <w:r w:rsidR="004B552B">
          <w:rPr>
            <w:rStyle w:val="Hyperlink"/>
          </w:rPr>
          <w:t>the TGA (Consumer Medicines Information)</w:t>
        </w:r>
      </w:hyperlink>
      <w:r w:rsidR="0024294B">
        <w:t>.</w:t>
      </w:r>
    </w:p>
    <w:p w14:paraId="46E2BB42" w14:textId="28B16FD5" w:rsidR="00DF0B13" w:rsidRDefault="00DF0B13" w:rsidP="00A36FA8">
      <w:pPr>
        <w:pStyle w:val="Heading4"/>
      </w:pPr>
      <w:r w:rsidRPr="002801FD">
        <w:t>PBS listing details</w:t>
      </w:r>
      <w:r w:rsidR="005E1A34">
        <w:t xml:space="preserve"> (as at 1 July 2014</w:t>
      </w:r>
      <w:r w:rsidR="00D151EB" w:rsidRPr="002801FD">
        <w:t>)</w:t>
      </w:r>
    </w:p>
    <w:p w14:paraId="32FDC013" w14:textId="4BBE58D1" w:rsidR="002F7E0B" w:rsidRDefault="002F7E0B" w:rsidP="002F7E0B">
      <w:r>
        <w:t>Table 1 shows the PBS listing details for exenatide.</w:t>
      </w:r>
    </w:p>
    <w:p w14:paraId="6B2953E8" w14:textId="021761FA" w:rsidR="002F7E0B" w:rsidRPr="00BB7C07" w:rsidRDefault="002F7E0B" w:rsidP="002F7E0B">
      <w:pPr>
        <w:keepNext/>
        <w:keepLines/>
        <w:spacing w:before="240" w:after="20"/>
        <w:outlineLvl w:val="3"/>
        <w:rPr>
          <w:rFonts w:ascii="Calibri" w:eastAsia="MS Gothic" w:hAnsi="Calibri" w:cs="Times New Roman"/>
          <w:b/>
          <w:bCs/>
          <w:iCs/>
        </w:rPr>
      </w:pPr>
      <w:r w:rsidRPr="00BB7C07">
        <w:rPr>
          <w:rFonts w:ascii="Calibri" w:eastAsia="MS Gothic" w:hAnsi="Calibri" w:cs="Times New Roman"/>
          <w:b/>
          <w:bCs/>
          <w:iCs/>
        </w:rPr>
        <w:t xml:space="preserve">Table </w:t>
      </w:r>
      <w:r>
        <w:rPr>
          <w:rFonts w:ascii="Calibri" w:eastAsia="MS Gothic" w:hAnsi="Calibri" w:cs="Times New Roman"/>
          <w:b/>
          <w:bCs/>
          <w:iCs/>
        </w:rPr>
        <w:t>1</w:t>
      </w:r>
      <w:r w:rsidR="000F625C">
        <w:rPr>
          <w:rFonts w:ascii="Calibri" w:eastAsia="MS Gothic" w:hAnsi="Calibri" w:cs="Times New Roman"/>
          <w:b/>
          <w:bCs/>
          <w:iCs/>
        </w:rPr>
        <w:t xml:space="preserve">: PBS </w:t>
      </w:r>
      <w:r w:rsidRPr="00BB7C07">
        <w:rPr>
          <w:rFonts w:ascii="Calibri" w:eastAsia="MS Gothic" w:hAnsi="Calibri" w:cs="Times New Roman"/>
          <w:b/>
          <w:bCs/>
          <w:iCs/>
        </w:rPr>
        <w:t xml:space="preserve">listing </w:t>
      </w:r>
      <w:r w:rsidRPr="00A74BE8">
        <w:rPr>
          <w:rFonts w:ascii="Calibri" w:eastAsia="MS Gothic" w:hAnsi="Calibri" w:cs="Times New Roman"/>
          <w:b/>
          <w:bCs/>
          <w:iCs/>
        </w:rPr>
        <w:t xml:space="preserve">for </w:t>
      </w:r>
      <w:r>
        <w:rPr>
          <w:rFonts w:ascii="Calibri" w:eastAsia="MS Gothic" w:hAnsi="Calibri" w:cs="Times New Roman"/>
          <w:b/>
          <w:bCs/>
          <w:iCs/>
        </w:rPr>
        <w:t>exenatide</w:t>
      </w:r>
    </w:p>
    <w:tbl>
      <w:tblPr>
        <w:tblW w:w="4941" w:type="pct"/>
        <w:tblInd w:w="108" w:type="dxa"/>
        <w:tblLayout w:type="fixed"/>
        <w:tblLook w:val="04A0" w:firstRow="1" w:lastRow="0" w:firstColumn="1" w:lastColumn="0" w:noHBand="0" w:noVBand="1"/>
      </w:tblPr>
      <w:tblGrid>
        <w:gridCol w:w="851"/>
        <w:gridCol w:w="3689"/>
        <w:gridCol w:w="848"/>
        <w:gridCol w:w="992"/>
        <w:gridCol w:w="992"/>
        <w:gridCol w:w="1693"/>
      </w:tblGrid>
      <w:tr w:rsidR="002F7E0B" w:rsidRPr="00BB7C07" w14:paraId="3C945249" w14:textId="77777777" w:rsidTr="005C5A77">
        <w:trPr>
          <w:trHeight w:val="510"/>
        </w:trPr>
        <w:tc>
          <w:tcPr>
            <w:tcW w:w="469" w:type="pct"/>
            <w:tcBorders>
              <w:top w:val="single" w:sz="4" w:space="0" w:color="auto"/>
              <w:left w:val="single" w:sz="4" w:space="0" w:color="000000"/>
              <w:bottom w:val="nil"/>
              <w:right w:val="nil"/>
            </w:tcBorders>
            <w:shd w:val="clear" w:color="auto" w:fill="BFBFBF" w:themeFill="background1" w:themeFillShade="BF"/>
            <w:vAlign w:val="center"/>
            <w:hideMark/>
          </w:tcPr>
          <w:p w14:paraId="2B84D42F" w14:textId="77777777" w:rsidR="002F7E0B" w:rsidRPr="00B72135" w:rsidRDefault="002F7E0B" w:rsidP="006577FD">
            <w:pPr>
              <w:spacing w:after="0"/>
              <w:jc w:val="center"/>
              <w:rPr>
                <w:rFonts w:ascii="Calibri" w:eastAsia="Times New Roman" w:hAnsi="Calibri" w:cs="Times New Roman"/>
                <w:b/>
                <w:sz w:val="20"/>
                <w:szCs w:val="20"/>
              </w:rPr>
            </w:pPr>
            <w:r>
              <w:rPr>
                <w:rFonts w:ascii="Calibri" w:eastAsia="Times New Roman" w:hAnsi="Calibri" w:cs="Times New Roman"/>
                <w:b/>
                <w:sz w:val="20"/>
                <w:szCs w:val="20"/>
              </w:rPr>
              <w:t>Item</w:t>
            </w:r>
          </w:p>
        </w:tc>
        <w:tc>
          <w:tcPr>
            <w:tcW w:w="2035" w:type="pct"/>
            <w:tcBorders>
              <w:top w:val="single" w:sz="4" w:space="0" w:color="auto"/>
              <w:left w:val="single" w:sz="4" w:space="0" w:color="000000"/>
              <w:bottom w:val="nil"/>
              <w:right w:val="nil"/>
            </w:tcBorders>
            <w:shd w:val="clear" w:color="auto" w:fill="BFBFBF" w:themeFill="background1" w:themeFillShade="BF"/>
            <w:vAlign w:val="center"/>
            <w:hideMark/>
          </w:tcPr>
          <w:p w14:paraId="21CCCDF1" w14:textId="77777777" w:rsidR="002F7E0B" w:rsidRPr="00B72135" w:rsidRDefault="002F7E0B" w:rsidP="006577FD">
            <w:pPr>
              <w:spacing w:after="0"/>
              <w:jc w:val="center"/>
              <w:rPr>
                <w:rFonts w:ascii="Calibri" w:eastAsia="Times New Roman" w:hAnsi="Calibri" w:cs="Times New Roman"/>
                <w:b/>
                <w:sz w:val="20"/>
                <w:szCs w:val="20"/>
              </w:rPr>
            </w:pPr>
            <w:r w:rsidRPr="00B72135">
              <w:rPr>
                <w:rFonts w:ascii="Calibri" w:eastAsia="Times New Roman" w:hAnsi="Calibri" w:cs="Times New Roman"/>
                <w:b/>
                <w:sz w:val="20"/>
                <w:szCs w:val="20"/>
              </w:rPr>
              <w:t>Form and Strength</w:t>
            </w:r>
          </w:p>
        </w:tc>
        <w:tc>
          <w:tcPr>
            <w:tcW w:w="468" w:type="pct"/>
            <w:tcBorders>
              <w:top w:val="single" w:sz="4" w:space="0" w:color="auto"/>
              <w:left w:val="single" w:sz="4" w:space="0" w:color="000000"/>
              <w:bottom w:val="nil"/>
              <w:right w:val="nil"/>
            </w:tcBorders>
            <w:shd w:val="clear" w:color="auto" w:fill="BFBFBF" w:themeFill="background1" w:themeFillShade="BF"/>
            <w:vAlign w:val="center"/>
            <w:hideMark/>
          </w:tcPr>
          <w:p w14:paraId="4905593D" w14:textId="77777777" w:rsidR="002F7E0B" w:rsidRDefault="002F7E0B" w:rsidP="006577FD">
            <w:pPr>
              <w:spacing w:after="0"/>
              <w:jc w:val="center"/>
              <w:rPr>
                <w:rFonts w:ascii="Calibri" w:eastAsia="Times New Roman" w:hAnsi="Calibri" w:cs="Times New Roman"/>
                <w:b/>
                <w:sz w:val="20"/>
                <w:szCs w:val="20"/>
              </w:rPr>
            </w:pPr>
            <w:r w:rsidRPr="00B72135">
              <w:rPr>
                <w:rFonts w:ascii="Calibri" w:eastAsia="Times New Roman" w:hAnsi="Calibri" w:cs="Times New Roman"/>
                <w:b/>
                <w:sz w:val="20"/>
                <w:szCs w:val="20"/>
              </w:rPr>
              <w:t>Max</w:t>
            </w:r>
            <w:r>
              <w:rPr>
                <w:rFonts w:ascii="Calibri" w:eastAsia="Times New Roman" w:hAnsi="Calibri" w:cs="Times New Roman"/>
                <w:b/>
                <w:sz w:val="20"/>
                <w:szCs w:val="20"/>
              </w:rPr>
              <w:t>.</w:t>
            </w:r>
            <w:r>
              <w:rPr>
                <w:rFonts w:ascii="Calibri" w:eastAsia="Times New Roman" w:hAnsi="Calibri" w:cs="Times New Roman"/>
                <w:b/>
                <w:sz w:val="20"/>
                <w:szCs w:val="20"/>
              </w:rPr>
              <w:br/>
            </w:r>
            <w:r w:rsidRPr="00B72135">
              <w:rPr>
                <w:rFonts w:ascii="Calibri" w:eastAsia="Times New Roman" w:hAnsi="Calibri" w:cs="Times New Roman"/>
                <w:b/>
                <w:sz w:val="20"/>
                <w:szCs w:val="20"/>
              </w:rPr>
              <w:t>Q</w:t>
            </w:r>
            <w:r>
              <w:rPr>
                <w:rFonts w:ascii="Calibri" w:eastAsia="Times New Roman" w:hAnsi="Calibri" w:cs="Times New Roman"/>
                <w:b/>
                <w:sz w:val="20"/>
                <w:szCs w:val="20"/>
              </w:rPr>
              <w:t>ty.</w:t>
            </w:r>
          </w:p>
          <w:p w14:paraId="6D3D45F6" w14:textId="77777777" w:rsidR="002F7E0B" w:rsidRPr="00B72135" w:rsidRDefault="002F7E0B" w:rsidP="006577FD">
            <w:pPr>
              <w:spacing w:after="0"/>
              <w:jc w:val="center"/>
              <w:rPr>
                <w:rFonts w:ascii="Calibri" w:eastAsia="Times New Roman" w:hAnsi="Calibri" w:cs="Times New Roman"/>
                <w:b/>
                <w:sz w:val="20"/>
                <w:szCs w:val="20"/>
              </w:rPr>
            </w:pPr>
            <w:r>
              <w:rPr>
                <w:rFonts w:ascii="Calibri" w:eastAsia="Times New Roman" w:hAnsi="Calibri" w:cs="Times New Roman"/>
                <w:b/>
                <w:sz w:val="20"/>
                <w:szCs w:val="20"/>
              </w:rPr>
              <w:t>(packs)</w:t>
            </w:r>
          </w:p>
        </w:tc>
        <w:tc>
          <w:tcPr>
            <w:tcW w:w="547" w:type="pct"/>
            <w:tcBorders>
              <w:top w:val="single" w:sz="4" w:space="0" w:color="auto"/>
              <w:left w:val="single" w:sz="4" w:space="0" w:color="000000"/>
              <w:bottom w:val="nil"/>
              <w:right w:val="nil"/>
            </w:tcBorders>
            <w:shd w:val="clear" w:color="auto" w:fill="BFBFBF" w:themeFill="background1" w:themeFillShade="BF"/>
            <w:vAlign w:val="center"/>
            <w:hideMark/>
          </w:tcPr>
          <w:p w14:paraId="62B1CF2C" w14:textId="5047FBCC" w:rsidR="002F7E0B" w:rsidRPr="00B72135" w:rsidRDefault="002F7E0B" w:rsidP="006577FD">
            <w:pPr>
              <w:spacing w:after="0"/>
              <w:jc w:val="center"/>
              <w:rPr>
                <w:rFonts w:ascii="Calibri" w:eastAsia="Times New Roman" w:hAnsi="Calibri" w:cs="Times New Roman"/>
                <w:b/>
                <w:sz w:val="20"/>
                <w:szCs w:val="20"/>
              </w:rPr>
            </w:pPr>
            <w:r w:rsidRPr="00B72135">
              <w:rPr>
                <w:rFonts w:ascii="Calibri" w:eastAsia="Times New Roman" w:hAnsi="Calibri" w:cs="Times New Roman"/>
                <w:b/>
                <w:sz w:val="20"/>
                <w:szCs w:val="20"/>
              </w:rPr>
              <w:t>Max. R</w:t>
            </w:r>
            <w:r w:rsidR="005C5A77">
              <w:rPr>
                <w:rFonts w:ascii="Calibri" w:eastAsia="Times New Roman" w:hAnsi="Calibri" w:cs="Times New Roman"/>
                <w:b/>
                <w:sz w:val="20"/>
                <w:szCs w:val="20"/>
              </w:rPr>
              <w:t>e</w:t>
            </w:r>
            <w:r>
              <w:rPr>
                <w:rFonts w:ascii="Calibri" w:eastAsia="Times New Roman" w:hAnsi="Calibri" w:cs="Times New Roman"/>
                <w:b/>
                <w:sz w:val="20"/>
                <w:szCs w:val="20"/>
              </w:rPr>
              <w:t>p</w:t>
            </w:r>
            <w:r w:rsidR="005C5A77">
              <w:rPr>
                <w:rFonts w:ascii="Calibri" w:eastAsia="Times New Roman" w:hAnsi="Calibri" w:cs="Times New Roman"/>
                <w:b/>
                <w:sz w:val="20"/>
                <w:szCs w:val="20"/>
              </w:rPr>
              <w:t>ea</w:t>
            </w:r>
            <w:r>
              <w:rPr>
                <w:rFonts w:ascii="Calibri" w:eastAsia="Times New Roman" w:hAnsi="Calibri" w:cs="Times New Roman"/>
                <w:b/>
                <w:sz w:val="20"/>
                <w:szCs w:val="20"/>
              </w:rPr>
              <w:t>ts.</w:t>
            </w:r>
          </w:p>
        </w:tc>
        <w:tc>
          <w:tcPr>
            <w:tcW w:w="547" w:type="pct"/>
            <w:tcBorders>
              <w:top w:val="single" w:sz="4" w:space="0" w:color="auto"/>
              <w:left w:val="single" w:sz="4" w:space="0" w:color="000000"/>
              <w:bottom w:val="nil"/>
              <w:right w:val="nil"/>
            </w:tcBorders>
            <w:shd w:val="clear" w:color="auto" w:fill="BFBFBF" w:themeFill="background1" w:themeFillShade="BF"/>
            <w:vAlign w:val="center"/>
            <w:hideMark/>
          </w:tcPr>
          <w:p w14:paraId="5A65BEE6" w14:textId="77777777" w:rsidR="002F7E0B" w:rsidRPr="00B72135" w:rsidRDefault="002F7E0B" w:rsidP="006577FD">
            <w:pPr>
              <w:spacing w:after="0"/>
              <w:jc w:val="center"/>
              <w:rPr>
                <w:rFonts w:ascii="Calibri" w:eastAsia="Times New Roman" w:hAnsi="Calibri" w:cs="Times New Roman"/>
                <w:b/>
                <w:sz w:val="20"/>
                <w:szCs w:val="20"/>
              </w:rPr>
            </w:pPr>
            <w:r w:rsidRPr="00B72135">
              <w:rPr>
                <w:rFonts w:ascii="Calibri" w:eastAsia="Times New Roman" w:hAnsi="Calibri" w:cs="Times New Roman"/>
                <w:b/>
                <w:sz w:val="20"/>
                <w:szCs w:val="20"/>
              </w:rPr>
              <w:t>DPMQ</w:t>
            </w:r>
            <w:r>
              <w:rPr>
                <w:rFonts w:ascii="Calibri" w:eastAsia="Times New Roman" w:hAnsi="Calibri" w:cs="Times New Roman"/>
                <w:b/>
                <w:sz w:val="20"/>
                <w:szCs w:val="20"/>
              </w:rPr>
              <w:t>*</w:t>
            </w:r>
          </w:p>
          <w:p w14:paraId="0C595752" w14:textId="77777777" w:rsidR="002F7E0B" w:rsidRPr="00B72135" w:rsidRDefault="002F7E0B" w:rsidP="006577FD">
            <w:pPr>
              <w:spacing w:after="0"/>
              <w:jc w:val="center"/>
              <w:rPr>
                <w:rFonts w:ascii="Calibri" w:eastAsia="Times New Roman" w:hAnsi="Calibri" w:cs="Times New Roman"/>
                <w:b/>
                <w:sz w:val="20"/>
                <w:szCs w:val="20"/>
              </w:rPr>
            </w:pPr>
          </w:p>
        </w:tc>
        <w:tc>
          <w:tcPr>
            <w:tcW w:w="934" w:type="pct"/>
            <w:tcBorders>
              <w:top w:val="single" w:sz="4" w:space="0" w:color="auto"/>
              <w:left w:val="single" w:sz="4" w:space="0" w:color="000000"/>
              <w:bottom w:val="nil"/>
              <w:right w:val="single" w:sz="4" w:space="0" w:color="auto"/>
            </w:tcBorders>
            <w:shd w:val="clear" w:color="auto" w:fill="BFBFBF" w:themeFill="background1" w:themeFillShade="BF"/>
            <w:vAlign w:val="center"/>
            <w:hideMark/>
          </w:tcPr>
          <w:p w14:paraId="5A77AF7E" w14:textId="77777777" w:rsidR="002F7E0B" w:rsidRPr="00B72135" w:rsidRDefault="002F7E0B" w:rsidP="006577FD">
            <w:pPr>
              <w:spacing w:after="0"/>
              <w:jc w:val="center"/>
              <w:rPr>
                <w:rFonts w:ascii="Calibri" w:eastAsia="Times New Roman" w:hAnsi="Calibri" w:cs="Times New Roman"/>
                <w:b/>
                <w:sz w:val="20"/>
                <w:szCs w:val="20"/>
              </w:rPr>
            </w:pPr>
            <w:r w:rsidRPr="00B72135">
              <w:rPr>
                <w:rFonts w:ascii="Calibri" w:eastAsia="Times New Roman" w:hAnsi="Calibri" w:cs="Times New Roman"/>
                <w:b/>
                <w:sz w:val="20"/>
                <w:szCs w:val="20"/>
              </w:rPr>
              <w:t>Brand Name</w:t>
            </w:r>
          </w:p>
        </w:tc>
      </w:tr>
      <w:tr w:rsidR="002F7E0B" w:rsidRPr="00BB7C07" w14:paraId="67DD2C84" w14:textId="77777777" w:rsidTr="005C5A77">
        <w:trPr>
          <w:trHeight w:val="255"/>
        </w:trPr>
        <w:tc>
          <w:tcPr>
            <w:tcW w:w="469" w:type="pct"/>
            <w:tcBorders>
              <w:top w:val="single" w:sz="4" w:space="0" w:color="000000"/>
              <w:left w:val="single" w:sz="4" w:space="0" w:color="000000"/>
              <w:bottom w:val="nil"/>
              <w:right w:val="nil"/>
            </w:tcBorders>
            <w:shd w:val="clear" w:color="auto" w:fill="auto"/>
            <w:noWrap/>
            <w:vAlign w:val="center"/>
          </w:tcPr>
          <w:p w14:paraId="2125885F" w14:textId="77777777" w:rsidR="002F7E0B" w:rsidRPr="00B72135" w:rsidRDefault="002F7E0B" w:rsidP="000F625C">
            <w:pPr>
              <w:spacing w:after="0"/>
              <w:rPr>
                <w:rFonts w:ascii="Calibri" w:eastAsia="Times New Roman" w:hAnsi="Calibri" w:cs="Times New Roman"/>
                <w:sz w:val="20"/>
                <w:szCs w:val="20"/>
              </w:rPr>
            </w:pPr>
            <w:r w:rsidRPr="00DA4154">
              <w:rPr>
                <w:rFonts w:ascii="Calibri" w:eastAsia="Times New Roman" w:hAnsi="Calibri" w:cs="Times New Roman"/>
                <w:sz w:val="20"/>
                <w:szCs w:val="20"/>
              </w:rPr>
              <w:t>3423E</w:t>
            </w:r>
          </w:p>
        </w:tc>
        <w:tc>
          <w:tcPr>
            <w:tcW w:w="2035" w:type="pct"/>
            <w:tcBorders>
              <w:top w:val="single" w:sz="4" w:space="0" w:color="000000"/>
              <w:left w:val="single" w:sz="4" w:space="0" w:color="000000"/>
              <w:bottom w:val="nil"/>
              <w:right w:val="nil"/>
            </w:tcBorders>
            <w:shd w:val="clear" w:color="auto" w:fill="auto"/>
            <w:noWrap/>
            <w:vAlign w:val="center"/>
          </w:tcPr>
          <w:p w14:paraId="37ED73C9" w14:textId="77777777" w:rsidR="002F7E0B" w:rsidRPr="00B72135" w:rsidRDefault="002F7E0B" w:rsidP="000F625C">
            <w:pPr>
              <w:spacing w:after="0"/>
              <w:rPr>
                <w:rFonts w:ascii="Calibri" w:eastAsia="Times New Roman" w:hAnsi="Calibri" w:cs="Times New Roman"/>
                <w:sz w:val="20"/>
                <w:szCs w:val="20"/>
              </w:rPr>
            </w:pPr>
            <w:r w:rsidRPr="00736885">
              <w:rPr>
                <w:rFonts w:ascii="Calibri" w:eastAsia="Times New Roman" w:hAnsi="Calibri" w:cs="Times New Roman"/>
                <w:sz w:val="20"/>
                <w:szCs w:val="20"/>
              </w:rPr>
              <w:t>5 microgram/0.02 mL injection, 60 unit doses</w:t>
            </w:r>
          </w:p>
        </w:tc>
        <w:tc>
          <w:tcPr>
            <w:tcW w:w="468" w:type="pct"/>
            <w:tcBorders>
              <w:top w:val="single" w:sz="4" w:space="0" w:color="000000"/>
              <w:left w:val="single" w:sz="4" w:space="0" w:color="000000"/>
              <w:bottom w:val="nil"/>
              <w:right w:val="nil"/>
            </w:tcBorders>
            <w:shd w:val="clear" w:color="auto" w:fill="auto"/>
            <w:noWrap/>
            <w:vAlign w:val="center"/>
          </w:tcPr>
          <w:p w14:paraId="2B7FC69B" w14:textId="77777777" w:rsidR="002F7E0B" w:rsidRPr="00B72135" w:rsidRDefault="002F7E0B" w:rsidP="000F625C">
            <w:pPr>
              <w:spacing w:after="0"/>
              <w:rPr>
                <w:rFonts w:ascii="Calibri" w:eastAsia="Times New Roman" w:hAnsi="Calibri" w:cs="Times New Roman"/>
                <w:sz w:val="20"/>
                <w:szCs w:val="20"/>
              </w:rPr>
            </w:pPr>
            <w:r>
              <w:rPr>
                <w:rFonts w:ascii="Calibri" w:eastAsia="Times New Roman" w:hAnsi="Calibri" w:cs="Times New Roman"/>
                <w:sz w:val="20"/>
                <w:szCs w:val="20"/>
              </w:rPr>
              <w:t>1</w:t>
            </w:r>
          </w:p>
        </w:tc>
        <w:tc>
          <w:tcPr>
            <w:tcW w:w="547" w:type="pct"/>
            <w:tcBorders>
              <w:top w:val="single" w:sz="4" w:space="0" w:color="000000"/>
              <w:left w:val="single" w:sz="4" w:space="0" w:color="000000"/>
              <w:bottom w:val="nil"/>
              <w:right w:val="nil"/>
            </w:tcBorders>
            <w:shd w:val="clear" w:color="auto" w:fill="auto"/>
            <w:noWrap/>
            <w:vAlign w:val="center"/>
          </w:tcPr>
          <w:p w14:paraId="5FF2E0F4" w14:textId="77777777" w:rsidR="002F7E0B" w:rsidRPr="00B72135" w:rsidRDefault="002F7E0B" w:rsidP="000F625C">
            <w:pPr>
              <w:spacing w:after="0"/>
              <w:rPr>
                <w:rFonts w:ascii="Calibri" w:eastAsia="Times New Roman" w:hAnsi="Calibri" w:cs="Times New Roman"/>
                <w:sz w:val="20"/>
                <w:szCs w:val="20"/>
              </w:rPr>
            </w:pPr>
            <w:r>
              <w:rPr>
                <w:rFonts w:ascii="Calibri" w:eastAsia="Times New Roman" w:hAnsi="Calibri" w:cs="Times New Roman"/>
                <w:sz w:val="20"/>
                <w:szCs w:val="20"/>
              </w:rPr>
              <w:t>5</w:t>
            </w:r>
          </w:p>
        </w:tc>
        <w:tc>
          <w:tcPr>
            <w:tcW w:w="547" w:type="pct"/>
            <w:tcBorders>
              <w:top w:val="single" w:sz="4" w:space="0" w:color="000000"/>
              <w:left w:val="single" w:sz="4" w:space="0" w:color="000000"/>
              <w:bottom w:val="nil"/>
              <w:right w:val="nil"/>
            </w:tcBorders>
            <w:shd w:val="clear" w:color="auto" w:fill="auto"/>
            <w:noWrap/>
            <w:vAlign w:val="center"/>
          </w:tcPr>
          <w:p w14:paraId="03ACD6C6" w14:textId="77777777" w:rsidR="002F7E0B" w:rsidRPr="00B72135" w:rsidRDefault="002F7E0B" w:rsidP="000F625C">
            <w:pPr>
              <w:spacing w:after="0"/>
              <w:rPr>
                <w:rFonts w:ascii="Calibri" w:eastAsia="Times New Roman" w:hAnsi="Calibri" w:cs="Times New Roman"/>
                <w:sz w:val="20"/>
                <w:szCs w:val="20"/>
              </w:rPr>
            </w:pPr>
            <w:r w:rsidRPr="00B72135">
              <w:rPr>
                <w:rFonts w:ascii="Calibri" w:eastAsia="Times New Roman" w:hAnsi="Calibri" w:cs="Times New Roman"/>
                <w:sz w:val="20"/>
                <w:szCs w:val="20"/>
              </w:rPr>
              <w:t xml:space="preserve">$ </w:t>
            </w:r>
            <w:r>
              <w:rPr>
                <w:rFonts w:ascii="Calibri" w:eastAsia="Times New Roman" w:hAnsi="Calibri" w:cs="Times New Roman"/>
                <w:sz w:val="20"/>
                <w:szCs w:val="20"/>
              </w:rPr>
              <w:t>122.79</w:t>
            </w:r>
          </w:p>
        </w:tc>
        <w:tc>
          <w:tcPr>
            <w:tcW w:w="934" w:type="pct"/>
            <w:tcBorders>
              <w:top w:val="single" w:sz="4" w:space="0" w:color="000000"/>
              <w:left w:val="single" w:sz="4" w:space="0" w:color="000000"/>
              <w:bottom w:val="nil"/>
              <w:right w:val="single" w:sz="4" w:space="0" w:color="auto"/>
            </w:tcBorders>
            <w:shd w:val="clear" w:color="auto" w:fill="auto"/>
            <w:noWrap/>
            <w:vAlign w:val="center"/>
          </w:tcPr>
          <w:p w14:paraId="18B80D26" w14:textId="77777777" w:rsidR="002F7E0B" w:rsidRPr="00B72135" w:rsidRDefault="002F7E0B" w:rsidP="000F625C">
            <w:pPr>
              <w:spacing w:after="0"/>
              <w:rPr>
                <w:rFonts w:ascii="Calibri" w:eastAsia="Times New Roman" w:hAnsi="Calibri" w:cs="Times New Roman"/>
                <w:sz w:val="20"/>
                <w:szCs w:val="20"/>
              </w:rPr>
            </w:pPr>
            <w:r>
              <w:rPr>
                <w:rFonts w:ascii="Calibri" w:eastAsia="Times New Roman" w:hAnsi="Calibri" w:cs="Times New Roman"/>
                <w:sz w:val="20"/>
                <w:szCs w:val="20"/>
              </w:rPr>
              <w:t>Byetta</w:t>
            </w:r>
            <w:r>
              <w:rPr>
                <w:rFonts w:ascii="Calibri" w:eastAsia="Times New Roman" w:hAnsi="Calibri" w:cs="Times New Roman"/>
                <w:sz w:val="20"/>
                <w:szCs w:val="20"/>
              </w:rPr>
              <w:sym w:font="Symbol" w:char="F0E2"/>
            </w:r>
            <w:r>
              <w:rPr>
                <w:rFonts w:ascii="Calibri" w:eastAsia="Times New Roman" w:hAnsi="Calibri" w:cs="Times New Roman"/>
                <w:sz w:val="20"/>
                <w:szCs w:val="20"/>
              </w:rPr>
              <w:t xml:space="preserve"> </w:t>
            </w:r>
            <w:r w:rsidRPr="00736885">
              <w:rPr>
                <w:rFonts w:ascii="Calibri" w:eastAsia="Times New Roman" w:hAnsi="Calibri" w:cs="Times New Roman"/>
                <w:sz w:val="20"/>
                <w:szCs w:val="20"/>
              </w:rPr>
              <w:t>5 microgram</w:t>
            </w:r>
          </w:p>
        </w:tc>
      </w:tr>
      <w:tr w:rsidR="002F7E0B" w:rsidRPr="00BB7C07" w14:paraId="7D0E38B3" w14:textId="77777777" w:rsidTr="005C5A77">
        <w:trPr>
          <w:trHeight w:val="255"/>
        </w:trPr>
        <w:tc>
          <w:tcPr>
            <w:tcW w:w="469" w:type="pct"/>
            <w:tcBorders>
              <w:top w:val="single" w:sz="4" w:space="0" w:color="000000"/>
              <w:left w:val="single" w:sz="4" w:space="0" w:color="000000"/>
              <w:bottom w:val="single" w:sz="4" w:space="0" w:color="auto"/>
              <w:right w:val="nil"/>
            </w:tcBorders>
            <w:shd w:val="clear" w:color="auto" w:fill="auto"/>
            <w:noWrap/>
            <w:vAlign w:val="center"/>
          </w:tcPr>
          <w:p w14:paraId="2B01A942" w14:textId="77777777" w:rsidR="002F7E0B" w:rsidRPr="00B72135" w:rsidRDefault="002F7E0B" w:rsidP="000F625C">
            <w:pPr>
              <w:spacing w:after="0"/>
              <w:rPr>
                <w:rFonts w:ascii="Calibri" w:eastAsia="Times New Roman" w:hAnsi="Calibri" w:cs="Times New Roman"/>
                <w:sz w:val="20"/>
                <w:szCs w:val="20"/>
              </w:rPr>
            </w:pPr>
            <w:r>
              <w:rPr>
                <w:rFonts w:ascii="Calibri" w:eastAsia="Times New Roman" w:hAnsi="Calibri" w:cs="Times New Roman"/>
                <w:sz w:val="20"/>
                <w:szCs w:val="20"/>
              </w:rPr>
              <w:t>3424F</w:t>
            </w:r>
          </w:p>
        </w:tc>
        <w:tc>
          <w:tcPr>
            <w:tcW w:w="2035" w:type="pct"/>
            <w:tcBorders>
              <w:top w:val="single" w:sz="4" w:space="0" w:color="000000"/>
              <w:left w:val="single" w:sz="4" w:space="0" w:color="000000"/>
              <w:bottom w:val="single" w:sz="4" w:space="0" w:color="auto"/>
              <w:right w:val="nil"/>
            </w:tcBorders>
            <w:shd w:val="clear" w:color="auto" w:fill="auto"/>
            <w:noWrap/>
            <w:vAlign w:val="center"/>
          </w:tcPr>
          <w:p w14:paraId="79C712A1" w14:textId="77777777" w:rsidR="002F7E0B" w:rsidRPr="00B72135" w:rsidRDefault="002F7E0B" w:rsidP="000F625C">
            <w:pPr>
              <w:spacing w:after="0"/>
              <w:rPr>
                <w:rFonts w:ascii="Calibri" w:eastAsia="Times New Roman" w:hAnsi="Calibri" w:cs="Times New Roman"/>
                <w:sz w:val="20"/>
                <w:szCs w:val="20"/>
              </w:rPr>
            </w:pPr>
            <w:r>
              <w:rPr>
                <w:rFonts w:ascii="Calibri" w:eastAsia="Times New Roman" w:hAnsi="Calibri" w:cs="Times New Roman"/>
                <w:sz w:val="20"/>
                <w:szCs w:val="20"/>
              </w:rPr>
              <w:t>10</w:t>
            </w:r>
            <w:r w:rsidRPr="00736885">
              <w:rPr>
                <w:rFonts w:ascii="Calibri" w:eastAsia="Times New Roman" w:hAnsi="Calibri" w:cs="Times New Roman"/>
                <w:sz w:val="20"/>
                <w:szCs w:val="20"/>
              </w:rPr>
              <w:t xml:space="preserve"> microgram/0.0</w:t>
            </w:r>
            <w:r>
              <w:rPr>
                <w:rFonts w:ascii="Calibri" w:eastAsia="Times New Roman" w:hAnsi="Calibri" w:cs="Times New Roman"/>
                <w:sz w:val="20"/>
                <w:szCs w:val="20"/>
              </w:rPr>
              <w:t>4</w:t>
            </w:r>
            <w:r w:rsidRPr="00736885">
              <w:rPr>
                <w:rFonts w:ascii="Calibri" w:eastAsia="Times New Roman" w:hAnsi="Calibri" w:cs="Times New Roman"/>
                <w:sz w:val="20"/>
                <w:szCs w:val="20"/>
              </w:rPr>
              <w:t xml:space="preserve"> mL injection, 60 unit doses</w:t>
            </w:r>
          </w:p>
        </w:tc>
        <w:tc>
          <w:tcPr>
            <w:tcW w:w="468" w:type="pct"/>
            <w:tcBorders>
              <w:top w:val="single" w:sz="4" w:space="0" w:color="000000"/>
              <w:left w:val="single" w:sz="4" w:space="0" w:color="000000"/>
              <w:bottom w:val="single" w:sz="4" w:space="0" w:color="auto"/>
              <w:right w:val="nil"/>
            </w:tcBorders>
            <w:shd w:val="clear" w:color="auto" w:fill="auto"/>
            <w:noWrap/>
            <w:vAlign w:val="center"/>
          </w:tcPr>
          <w:p w14:paraId="65229988" w14:textId="77777777" w:rsidR="002F7E0B" w:rsidRPr="00B72135" w:rsidRDefault="002F7E0B" w:rsidP="000F625C">
            <w:pPr>
              <w:spacing w:after="0"/>
              <w:rPr>
                <w:rFonts w:ascii="Calibri" w:eastAsia="Times New Roman" w:hAnsi="Calibri" w:cs="Times New Roman"/>
                <w:sz w:val="20"/>
                <w:szCs w:val="20"/>
              </w:rPr>
            </w:pPr>
            <w:r>
              <w:rPr>
                <w:rFonts w:ascii="Calibri" w:eastAsia="Times New Roman" w:hAnsi="Calibri" w:cs="Times New Roman"/>
                <w:sz w:val="20"/>
                <w:szCs w:val="20"/>
              </w:rPr>
              <w:t>1</w:t>
            </w:r>
          </w:p>
        </w:tc>
        <w:tc>
          <w:tcPr>
            <w:tcW w:w="547" w:type="pct"/>
            <w:tcBorders>
              <w:top w:val="single" w:sz="4" w:space="0" w:color="000000"/>
              <w:left w:val="single" w:sz="4" w:space="0" w:color="000000"/>
              <w:bottom w:val="single" w:sz="4" w:space="0" w:color="auto"/>
              <w:right w:val="nil"/>
            </w:tcBorders>
            <w:shd w:val="clear" w:color="auto" w:fill="auto"/>
            <w:noWrap/>
            <w:vAlign w:val="center"/>
          </w:tcPr>
          <w:p w14:paraId="7B68D796" w14:textId="77777777" w:rsidR="002F7E0B" w:rsidRPr="00B72135" w:rsidRDefault="002F7E0B" w:rsidP="000F625C">
            <w:pPr>
              <w:spacing w:after="0"/>
              <w:rPr>
                <w:rFonts w:ascii="Calibri" w:eastAsia="Times New Roman" w:hAnsi="Calibri" w:cs="Times New Roman"/>
                <w:sz w:val="20"/>
                <w:szCs w:val="20"/>
              </w:rPr>
            </w:pPr>
            <w:r>
              <w:rPr>
                <w:rFonts w:ascii="Calibri" w:eastAsia="Times New Roman" w:hAnsi="Calibri" w:cs="Times New Roman"/>
                <w:sz w:val="20"/>
                <w:szCs w:val="20"/>
              </w:rPr>
              <w:t>5</w:t>
            </w:r>
          </w:p>
        </w:tc>
        <w:tc>
          <w:tcPr>
            <w:tcW w:w="547" w:type="pct"/>
            <w:tcBorders>
              <w:top w:val="single" w:sz="4" w:space="0" w:color="000000"/>
              <w:left w:val="single" w:sz="4" w:space="0" w:color="000000"/>
              <w:bottom w:val="single" w:sz="4" w:space="0" w:color="auto"/>
              <w:right w:val="nil"/>
            </w:tcBorders>
            <w:shd w:val="clear" w:color="auto" w:fill="auto"/>
            <w:noWrap/>
            <w:vAlign w:val="center"/>
          </w:tcPr>
          <w:p w14:paraId="002385E4" w14:textId="77777777" w:rsidR="002F7E0B" w:rsidRPr="00B72135" w:rsidRDefault="002F7E0B" w:rsidP="000F625C">
            <w:pPr>
              <w:spacing w:after="0"/>
              <w:rPr>
                <w:rFonts w:ascii="Calibri" w:eastAsia="Times New Roman" w:hAnsi="Calibri" w:cs="Times New Roman"/>
                <w:sz w:val="20"/>
                <w:szCs w:val="20"/>
              </w:rPr>
            </w:pPr>
            <w:r w:rsidRPr="00B72135">
              <w:rPr>
                <w:rFonts w:ascii="Calibri" w:eastAsia="Times New Roman" w:hAnsi="Calibri" w:cs="Times New Roman"/>
                <w:sz w:val="20"/>
                <w:szCs w:val="20"/>
              </w:rPr>
              <w:t xml:space="preserve">$ </w:t>
            </w:r>
            <w:r>
              <w:rPr>
                <w:rFonts w:ascii="Calibri" w:eastAsia="Times New Roman" w:hAnsi="Calibri" w:cs="Times New Roman"/>
                <w:sz w:val="20"/>
                <w:szCs w:val="20"/>
              </w:rPr>
              <w:t>131.65</w:t>
            </w:r>
          </w:p>
        </w:tc>
        <w:tc>
          <w:tcPr>
            <w:tcW w:w="934"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6DD41A9F" w14:textId="77777777" w:rsidR="002F7E0B" w:rsidRPr="00B72135" w:rsidRDefault="002F7E0B" w:rsidP="000F625C">
            <w:pPr>
              <w:spacing w:after="0"/>
              <w:rPr>
                <w:rFonts w:ascii="Calibri" w:eastAsia="Times New Roman" w:hAnsi="Calibri" w:cs="Times New Roman"/>
                <w:sz w:val="20"/>
                <w:szCs w:val="20"/>
              </w:rPr>
            </w:pPr>
            <w:r>
              <w:rPr>
                <w:rFonts w:ascii="Calibri" w:eastAsia="Times New Roman" w:hAnsi="Calibri" w:cs="Times New Roman"/>
                <w:sz w:val="20"/>
                <w:szCs w:val="20"/>
              </w:rPr>
              <w:t>Byetta</w:t>
            </w:r>
            <w:r>
              <w:rPr>
                <w:rFonts w:ascii="Calibri" w:eastAsia="Times New Roman" w:hAnsi="Calibri" w:cs="Times New Roman"/>
                <w:sz w:val="20"/>
                <w:szCs w:val="20"/>
              </w:rPr>
              <w:sym w:font="Symbol" w:char="F0E2"/>
            </w:r>
            <w:r>
              <w:rPr>
                <w:rFonts w:ascii="Calibri" w:eastAsia="Times New Roman" w:hAnsi="Calibri" w:cs="Times New Roman"/>
                <w:sz w:val="20"/>
                <w:szCs w:val="20"/>
              </w:rPr>
              <w:t xml:space="preserve"> 10</w:t>
            </w:r>
            <w:r w:rsidRPr="00736885">
              <w:rPr>
                <w:rFonts w:ascii="Calibri" w:eastAsia="Times New Roman" w:hAnsi="Calibri" w:cs="Times New Roman"/>
                <w:sz w:val="20"/>
                <w:szCs w:val="20"/>
              </w:rPr>
              <w:t xml:space="preserve"> microgram</w:t>
            </w:r>
          </w:p>
        </w:tc>
      </w:tr>
    </w:tbl>
    <w:p w14:paraId="25A22BAE" w14:textId="4052F4D7" w:rsidR="002F7E0B" w:rsidRDefault="002F7E0B" w:rsidP="00F518B8">
      <w:pPr>
        <w:pStyle w:val="Notes"/>
      </w:pPr>
      <w:r>
        <w:t>Source: PBS Schedule</w:t>
      </w:r>
      <w:r w:rsidRPr="00BB7C07">
        <w:t xml:space="preserve"> </w:t>
      </w:r>
      <w:r>
        <w:t>1/7/2014</w:t>
      </w:r>
    </w:p>
    <w:p w14:paraId="59728767" w14:textId="77777777" w:rsidR="002F7E0B" w:rsidRDefault="002F7E0B" w:rsidP="00F518B8">
      <w:pPr>
        <w:pStyle w:val="Notes"/>
      </w:pPr>
      <w:r>
        <w:lastRenderedPageBreak/>
        <w:t>*Note: Special Pricing Arrangements apply. The published price decreased on 1/12/2013.</w:t>
      </w:r>
    </w:p>
    <w:p w14:paraId="1AFA1485" w14:textId="129447A8" w:rsidR="004C3186" w:rsidRDefault="004C3186" w:rsidP="004F1E15">
      <w:pPr>
        <w:pStyle w:val="Heading5"/>
      </w:pPr>
      <w:r w:rsidRPr="004F1E15">
        <w:t>Restriction</w:t>
      </w:r>
    </w:p>
    <w:p w14:paraId="304A23FA" w14:textId="19809CE0" w:rsidR="00F56746" w:rsidRDefault="00F56746" w:rsidP="00F56746">
      <w:r>
        <w:t>Exenatide is listed as an Authority Required (streamlined) benefit for the treatment of diabetes mellitus type 2:</w:t>
      </w:r>
    </w:p>
    <w:p w14:paraId="5FFEEA0F" w14:textId="4DA20E4B" w:rsidR="00F56746" w:rsidRDefault="00F56746" w:rsidP="00F56746">
      <w:pPr>
        <w:pStyle w:val="ListParagraph"/>
        <w:numPr>
          <w:ilvl w:val="0"/>
          <w:numId w:val="5"/>
        </w:numPr>
      </w:pPr>
      <w:r>
        <w:t xml:space="preserve">as dual therapy with metformin or a sulfonylurea in patients contraindicated or intolerant to a combination of a </w:t>
      </w:r>
      <w:r w:rsidR="00F33EE6">
        <w:t>sulfonylurea</w:t>
      </w:r>
      <w:r>
        <w:t xml:space="preserve"> and metformin; and </w:t>
      </w:r>
    </w:p>
    <w:p w14:paraId="51661A3D" w14:textId="1234C680" w:rsidR="00F56746" w:rsidRDefault="00F56746" w:rsidP="00F56746">
      <w:pPr>
        <w:pStyle w:val="ListParagraph"/>
        <w:numPr>
          <w:ilvl w:val="0"/>
          <w:numId w:val="5"/>
        </w:numPr>
      </w:pPr>
      <w:r>
        <w:t xml:space="preserve">as triple therapy with metformin and a </w:t>
      </w:r>
      <w:r w:rsidR="00F33EE6">
        <w:t>sulfonylurea</w:t>
      </w:r>
      <w:r>
        <w:t xml:space="preserve">. </w:t>
      </w:r>
    </w:p>
    <w:p w14:paraId="0AE8ED98" w14:textId="24EF8A68" w:rsidR="000A73CB" w:rsidRDefault="00BA406C" w:rsidP="00F56746">
      <w:r>
        <w:t xml:space="preserve">The full restriction wording is available from the </w:t>
      </w:r>
      <w:hyperlink r:id="rId11" w:history="1">
        <w:r w:rsidRPr="00BA406C">
          <w:rPr>
            <w:rStyle w:val="Hyperlink"/>
          </w:rPr>
          <w:t>PBS website</w:t>
        </w:r>
      </w:hyperlink>
      <w:r>
        <w:t>.</w:t>
      </w:r>
    </w:p>
    <w:p w14:paraId="509ADFEB" w14:textId="5D8DB94B" w:rsidR="009C35F2" w:rsidRDefault="009C35F2" w:rsidP="004F1E15">
      <w:pPr>
        <w:pStyle w:val="Heading5"/>
      </w:pPr>
      <w:r w:rsidRPr="00675BB1">
        <w:t>Date of listing on PBS</w:t>
      </w:r>
    </w:p>
    <w:p w14:paraId="149D7560" w14:textId="40BC826F" w:rsidR="000A73CB" w:rsidRPr="000A73CB" w:rsidRDefault="000A73CB" w:rsidP="000A73CB">
      <w:r>
        <w:t>Exenatide was listed</w:t>
      </w:r>
      <w:r w:rsidRPr="000A73CB">
        <w:t xml:space="preserve"> on </w:t>
      </w:r>
      <w:r>
        <w:t xml:space="preserve">the PBS on </w:t>
      </w:r>
      <w:r w:rsidRPr="000A73CB">
        <w:t>1 August 2010</w:t>
      </w:r>
      <w:r>
        <w:t>.</w:t>
      </w:r>
    </w:p>
    <w:p w14:paraId="39EF75ED" w14:textId="210A5F9B" w:rsidR="00675BB1" w:rsidRDefault="00675BB1" w:rsidP="004F1E15">
      <w:pPr>
        <w:pStyle w:val="Heading5"/>
      </w:pPr>
      <w:r w:rsidRPr="00675BB1">
        <w:t>Changes to listing</w:t>
      </w:r>
    </w:p>
    <w:p w14:paraId="59D70DB7" w14:textId="744321F3" w:rsidR="0066219A" w:rsidRDefault="0066219A" w:rsidP="0066219A">
      <w:r>
        <w:t>Exenatide was initially listed as an Authority Required benefit.  It was changed to an Authority Required (streamlined) benefit on 1 March 2012.</w:t>
      </w:r>
    </w:p>
    <w:p w14:paraId="29234A74" w14:textId="0269764F" w:rsidR="006C51CB" w:rsidRDefault="006C51CB" w:rsidP="00A71CE9">
      <w:pPr>
        <w:pStyle w:val="Heading5"/>
      </w:pPr>
      <w:r>
        <w:t>Sponsor details</w:t>
      </w:r>
    </w:p>
    <w:p w14:paraId="22EC5CA3" w14:textId="0FD60974" w:rsidR="006C51CB" w:rsidRPr="006C51CB" w:rsidRDefault="006C51CB" w:rsidP="006C51CB">
      <w:pPr>
        <w:rPr>
          <w:rFonts w:cstheme="minorHAnsi"/>
          <w:bCs/>
          <w:iCs/>
        </w:rPr>
      </w:pPr>
      <w:r w:rsidRPr="006C51CB">
        <w:rPr>
          <w:rFonts w:cstheme="minorHAnsi"/>
        </w:rPr>
        <w:t>These products were sponsored by Eli Lily w</w:t>
      </w:r>
      <w:r w:rsidR="004E0D55">
        <w:rPr>
          <w:rFonts w:cstheme="minorHAnsi"/>
        </w:rPr>
        <w:t>hen they were listed on the PBS</w:t>
      </w:r>
      <w:r w:rsidRPr="006C51CB">
        <w:rPr>
          <w:rFonts w:cstheme="minorHAnsi"/>
        </w:rPr>
        <w:t>.</w:t>
      </w:r>
      <w:r w:rsidR="004E0D55">
        <w:rPr>
          <w:rFonts w:cstheme="minorHAnsi"/>
        </w:rPr>
        <w:t xml:space="preserve">  </w:t>
      </w:r>
      <w:r w:rsidRPr="006C51CB">
        <w:rPr>
          <w:rFonts w:cstheme="minorHAnsi"/>
        </w:rPr>
        <w:t xml:space="preserve">The sponsor </w:t>
      </w:r>
      <w:r w:rsidR="004E0D55">
        <w:rPr>
          <w:rFonts w:cstheme="minorHAnsi"/>
        </w:rPr>
        <w:t>changed</w:t>
      </w:r>
      <w:r w:rsidRPr="006C51CB">
        <w:rPr>
          <w:rFonts w:cstheme="minorHAnsi"/>
        </w:rPr>
        <w:t xml:space="preserve"> to Bristol-Myers Squibb on 1</w:t>
      </w:r>
      <w:r w:rsidR="004E0D55">
        <w:rPr>
          <w:rFonts w:cstheme="minorHAnsi"/>
        </w:rPr>
        <w:t xml:space="preserve"> May 2013</w:t>
      </w:r>
      <w:r w:rsidRPr="006C51CB">
        <w:rPr>
          <w:rFonts w:cstheme="minorHAnsi"/>
        </w:rPr>
        <w:t xml:space="preserve"> and </w:t>
      </w:r>
      <w:r w:rsidR="004E0D55">
        <w:rPr>
          <w:rFonts w:cstheme="minorHAnsi"/>
        </w:rPr>
        <w:t xml:space="preserve">then to Astra Zeneca on 1 May </w:t>
      </w:r>
      <w:r w:rsidRPr="006C51CB">
        <w:rPr>
          <w:rFonts w:cstheme="minorHAnsi"/>
        </w:rPr>
        <w:t xml:space="preserve">2014. </w:t>
      </w:r>
    </w:p>
    <w:p w14:paraId="383E312E" w14:textId="391486DA" w:rsidR="00736041" w:rsidRPr="006C4620" w:rsidRDefault="00C41246" w:rsidP="00852A4C">
      <w:pPr>
        <w:pStyle w:val="Heading4"/>
      </w:pPr>
      <w:r w:rsidRPr="006C4620">
        <w:t xml:space="preserve">Relevant aspects of </w:t>
      </w:r>
      <w:r w:rsidR="0063021F" w:rsidRPr="006C4620">
        <w:t xml:space="preserve">the PBAC </w:t>
      </w:r>
      <w:r w:rsidR="00736041" w:rsidRPr="006C4620">
        <w:t>consideration</w:t>
      </w:r>
    </w:p>
    <w:p w14:paraId="181571A8" w14:textId="1F67D72B" w:rsidR="00F34C77" w:rsidRPr="00F65F0D" w:rsidRDefault="00992DCF" w:rsidP="00F34C77">
      <w:r>
        <w:t>Exenatide was considered by the PBAC on three occasions.  On the first and second occasions in July 2007 and March 2008, the PBAC rejected the submission on the grounds of high and uncertain cost-effectiveness against the comparators (rosiglitazone and insulin glargine) in the absence of any evidence of clinical benefit other than the observational finding of weight loss which had not been shown to be durable or to translate into morbidity or mortality benefits, and because</w:t>
      </w:r>
      <w:r w:rsidR="00F34C77">
        <w:t xml:space="preserve"> of unresolved safety concerns.  For further details refer to </w:t>
      </w:r>
      <w:r w:rsidR="00F34C77" w:rsidRPr="00F65F0D">
        <w:t>the Public Summary Document</w:t>
      </w:r>
      <w:r w:rsidR="00F34C77">
        <w:t>s</w:t>
      </w:r>
      <w:r w:rsidR="00F34C77" w:rsidRPr="00F65F0D">
        <w:t xml:space="preserve"> from the </w:t>
      </w:r>
      <w:hyperlink r:id="rId12" w:history="1">
        <w:r w:rsidR="00F34C77" w:rsidRPr="008D26F8">
          <w:rPr>
            <w:rStyle w:val="Hyperlink"/>
          </w:rPr>
          <w:t>July 2007</w:t>
        </w:r>
      </w:hyperlink>
      <w:r w:rsidR="00F34C77">
        <w:t xml:space="preserve"> and </w:t>
      </w:r>
      <w:hyperlink r:id="rId13" w:history="1">
        <w:r w:rsidR="00F34C77" w:rsidRPr="006E1008">
          <w:rPr>
            <w:rStyle w:val="Hyperlink"/>
          </w:rPr>
          <w:t>March 2008</w:t>
        </w:r>
      </w:hyperlink>
      <w:r w:rsidR="00F34C77">
        <w:t xml:space="preserve"> PBAC meetings.</w:t>
      </w:r>
    </w:p>
    <w:p w14:paraId="1E21A437" w14:textId="17E0AC4E" w:rsidR="00992DCF" w:rsidRDefault="00992DCF" w:rsidP="00992DCF">
      <w:r>
        <w:t>The PBAC recommended the listing of exenatide on the Pharmaceutical Benefits Scheme on a cost-minimisation basis with insulin glargine taking into account the higher costs associated with the initiation and titration of the</w:t>
      </w:r>
      <w:r w:rsidR="00DB7FBA">
        <w:t xml:space="preserve"> dose of insulin glargine at its</w:t>
      </w:r>
      <w:r>
        <w:t xml:space="preserve"> November 2008 meeting. </w:t>
      </w:r>
    </w:p>
    <w:p w14:paraId="76277BA2" w14:textId="02F59E0D" w:rsidR="0036738C" w:rsidRPr="00F65F0D" w:rsidRDefault="00992DCF" w:rsidP="0036738C">
      <w:r>
        <w:t xml:space="preserve">The equi-effective doses were exenatide 9.07 micrograms twice daily and insulin glargine 24.93 international units (IU) per day when these agents were in used in triple combination therapy with metformin and a sulfonylurea; and </w:t>
      </w:r>
      <w:r w:rsidR="007805CA">
        <w:t xml:space="preserve">exenatide </w:t>
      </w:r>
      <w:r>
        <w:t xml:space="preserve">9.35 micrograms twice daily and insulin glargine 27.30 IU per day when these agents were used as part of dual combination </w:t>
      </w:r>
      <w:r>
        <w:lastRenderedPageBreak/>
        <w:t>therapy with eith</w:t>
      </w:r>
      <w:r w:rsidR="00A82B68">
        <w:t xml:space="preserve">er metformin or a sulfonylurea.  </w:t>
      </w:r>
      <w:r>
        <w:t>The submission’s choice of</w:t>
      </w:r>
      <w:r w:rsidR="00D2108F">
        <w:t xml:space="preserve"> insulin glargine dose of 75 IU per </w:t>
      </w:r>
      <w:r>
        <w:t>day to establish equi-effective doses was in contrast not derived from clinical trials and was much higher than the mean final</w:t>
      </w:r>
      <w:r w:rsidR="00D2108F">
        <w:t xml:space="preserve"> glargine dose (less than 30 IU per </w:t>
      </w:r>
      <w:r>
        <w:t>day) in the direct randomised trials.</w:t>
      </w:r>
      <w:r w:rsidR="0036738C">
        <w:t xml:space="preserve">  For further details refer to </w:t>
      </w:r>
      <w:r w:rsidR="0036738C" w:rsidRPr="00F65F0D">
        <w:t xml:space="preserve">the </w:t>
      </w:r>
      <w:hyperlink r:id="rId14" w:history="1">
        <w:r w:rsidR="0036738C" w:rsidRPr="0036738C">
          <w:rPr>
            <w:rStyle w:val="Hyperlink"/>
          </w:rPr>
          <w:t>Public Summary Document</w:t>
        </w:r>
      </w:hyperlink>
      <w:r w:rsidR="0036738C">
        <w:t xml:space="preserve"> </w:t>
      </w:r>
      <w:r w:rsidR="0036738C" w:rsidRPr="00F65F0D">
        <w:t xml:space="preserve">from the </w:t>
      </w:r>
      <w:r w:rsidR="0036738C">
        <w:t>November 2008 PBAC meeting.</w:t>
      </w:r>
    </w:p>
    <w:p w14:paraId="6B30E651" w14:textId="67361897" w:rsidR="00992DCF" w:rsidRDefault="00992DCF" w:rsidP="00992DCF">
      <w:r>
        <w:t xml:space="preserve">A fourth submission was considered by the PBAC in November 2009 requesting a change in comparator and price parity with the highest strengths of pioglitazone and rosiglitazone. </w:t>
      </w:r>
      <w:r w:rsidR="007C1E23">
        <w:t xml:space="preserve"> </w:t>
      </w:r>
      <w:r>
        <w:t xml:space="preserve">The PBAC advised the Minister and the Pharmaceutical Benefits Pricing Authority that the price of exenatide should be based on a rate of a 50:50 substitution for rosiglitazone and insulin glargine. </w:t>
      </w:r>
      <w:r w:rsidR="004208B9">
        <w:t xml:space="preserve"> </w:t>
      </w:r>
      <w:r>
        <w:t>The equi-effective doses are exenatide 10 micrograms twice daily is equivalent to rosiglitazone 8 mg daily and exenatide 9.07 micrograms twice daily and insulin glargine 24.93 IU per day for triple therapy and exenatide 9.35 micrograms twice daily and 27.30 IU per day for dual therapy.</w:t>
      </w:r>
      <w:r w:rsidR="00FD1E46">
        <w:t xml:space="preserve"> </w:t>
      </w:r>
      <w:r>
        <w:t xml:space="preserve"> This pricing recommendation was reiterated at the </w:t>
      </w:r>
      <w:r w:rsidR="002E10F4">
        <w:t xml:space="preserve">PBAC’s </w:t>
      </w:r>
      <w:r>
        <w:t>March 2010 meeting where the sponsor requested the PBAC reconsider the pricing recommendation made at the November 2009 meeting.</w:t>
      </w:r>
      <w:r w:rsidR="00B07EF1">
        <w:t xml:space="preserve">  Public Summary Documents are not available for these considerations.</w:t>
      </w:r>
    </w:p>
    <w:p w14:paraId="4E009993" w14:textId="77777777" w:rsidR="00992DCF" w:rsidRDefault="00992DCF" w:rsidP="00992DCF">
      <w:r>
        <w:t>Two other GLP-1 receptor agonists, liraglutide and lixisenatide, have also been considered by the PBAC for listing on the PBS.</w:t>
      </w:r>
    </w:p>
    <w:p w14:paraId="08A189D7" w14:textId="67E4DAB6" w:rsidR="00632F04" w:rsidRPr="00F65F0D" w:rsidRDefault="00992DCF" w:rsidP="00632F04">
      <w:r>
        <w:t xml:space="preserve">Liraglutide was recommended at the March 2013 PBAC meeting for the same restrictions as exenatide (i.e. dual therapy with metformin or a sulfonylurea, or triple therapy with metformin and a sulfonylurea). </w:t>
      </w:r>
      <w:r w:rsidR="00076DF6">
        <w:t xml:space="preserve"> </w:t>
      </w:r>
      <w:r>
        <w:t>It was recommended on a cost minimisation basis with exenatide</w:t>
      </w:r>
      <w:r w:rsidR="00067E1D">
        <w:t xml:space="preserve">.  As at 1 August 2014 liraglutide was yet to be listed </w:t>
      </w:r>
      <w:r>
        <w:t>on the PBS.</w:t>
      </w:r>
      <w:r w:rsidR="00632F04">
        <w:t xml:space="preserve">  For further details refer to </w:t>
      </w:r>
      <w:r w:rsidR="00632F04" w:rsidRPr="00F65F0D">
        <w:t xml:space="preserve">the </w:t>
      </w:r>
      <w:hyperlink r:id="rId15" w:history="1">
        <w:r w:rsidR="00632F04" w:rsidRPr="00632F04">
          <w:rPr>
            <w:rStyle w:val="Hyperlink"/>
          </w:rPr>
          <w:t>Public Summary Document</w:t>
        </w:r>
      </w:hyperlink>
      <w:r w:rsidR="00632F04">
        <w:t xml:space="preserve"> </w:t>
      </w:r>
      <w:r w:rsidR="00632F04" w:rsidRPr="00F65F0D">
        <w:t xml:space="preserve">from the </w:t>
      </w:r>
      <w:r w:rsidR="00632F04">
        <w:t>March 2013 PBAC meeting.</w:t>
      </w:r>
    </w:p>
    <w:p w14:paraId="0BFAD7D7" w14:textId="2341948C" w:rsidR="00E73E04" w:rsidRPr="00F65F0D" w:rsidRDefault="00992DCF" w:rsidP="00E73E04">
      <w:r>
        <w:t xml:space="preserve">Lixisenatide was considered at the July 2014 PBAC meeting for the same restrictions as exenatide. </w:t>
      </w:r>
      <w:r w:rsidR="00E45B5C">
        <w:t xml:space="preserve"> </w:t>
      </w:r>
      <w:r>
        <w:t>In addition there was a separate submission for listing lixisenatide for treatme</w:t>
      </w:r>
      <w:r w:rsidR="00BE2FF5">
        <w:t xml:space="preserve">nt in combination with insulin.  Both submissions were rejected.  The </w:t>
      </w:r>
      <w:r>
        <w:t xml:space="preserve">submission </w:t>
      </w:r>
      <w:r w:rsidR="00BE2FF5">
        <w:t xml:space="preserve">for dual and triple therapies </w:t>
      </w:r>
      <w:r>
        <w:t>was rejected on the basis that non-inferiority to exenatide (twice daily) had not been adequately established.</w:t>
      </w:r>
      <w:r w:rsidR="00865B24">
        <w:t xml:space="preserve">  </w:t>
      </w:r>
      <w:r w:rsidR="00481330">
        <w:t xml:space="preserve">The submission for use in combination with insulin </w:t>
      </w:r>
      <w:r w:rsidR="0052072E">
        <w:t xml:space="preserve">was rejected </w:t>
      </w:r>
      <w:r>
        <w:t xml:space="preserve">on the basis that the clinical place of glucagon-like peptide-1 drugs in type 2 diabetic patients requiring insulin therapy is yet to be established and therefore the appropriate comparator is </w:t>
      </w:r>
      <w:r w:rsidR="00E73E04">
        <w:t xml:space="preserve">not only up titrated insulin.  </w:t>
      </w:r>
      <w:r w:rsidR="003110DA" w:rsidRPr="003110DA">
        <w:t xml:space="preserve">The basis for the cost minimisation analysis of lixisenatide compared to </w:t>
      </w:r>
      <w:r w:rsidR="005C5A77" w:rsidRPr="003110DA">
        <w:t>up titrated</w:t>
      </w:r>
      <w:r w:rsidR="003110DA" w:rsidRPr="003110DA">
        <w:t xml:space="preserve"> insulin was therefore not accepted.</w:t>
      </w:r>
      <w:r w:rsidR="003110DA">
        <w:t xml:space="preserve">  </w:t>
      </w:r>
      <w:r w:rsidR="00E73E04">
        <w:t xml:space="preserve">For further details refer to </w:t>
      </w:r>
      <w:r w:rsidR="00E73E04" w:rsidRPr="00F65F0D">
        <w:t xml:space="preserve">the </w:t>
      </w:r>
      <w:hyperlink r:id="rId16" w:history="1">
        <w:r w:rsidR="00D32EA5">
          <w:rPr>
            <w:rStyle w:val="Hyperlink"/>
          </w:rPr>
          <w:t>Public Summary Documents (dual and triple therapies)</w:t>
        </w:r>
      </w:hyperlink>
      <w:r w:rsidR="00E73E04">
        <w:t xml:space="preserve"> </w:t>
      </w:r>
      <w:r w:rsidR="00D32EA5">
        <w:t xml:space="preserve">and </w:t>
      </w:r>
      <w:hyperlink r:id="rId17" w:history="1">
        <w:r w:rsidR="00D32EA5" w:rsidRPr="00D32EA5">
          <w:rPr>
            <w:rStyle w:val="Hyperlink"/>
          </w:rPr>
          <w:t>(in combination with insulin)</w:t>
        </w:r>
      </w:hyperlink>
      <w:r w:rsidR="00D32EA5">
        <w:t xml:space="preserve"> </w:t>
      </w:r>
      <w:r w:rsidR="00961881">
        <w:t xml:space="preserve">from the </w:t>
      </w:r>
      <w:r w:rsidR="00E73E04">
        <w:t>July 2014 PBAC meeting.</w:t>
      </w:r>
    </w:p>
    <w:p w14:paraId="37F8EAA8" w14:textId="2F261AFA" w:rsidR="00992DCF" w:rsidRDefault="00992DCF" w:rsidP="00992DCF">
      <w:r>
        <w:t>Exenatide once weekly formulation w</w:t>
      </w:r>
      <w:r w:rsidR="00D75578">
        <w:t>as recommended by PBAC at its</w:t>
      </w:r>
      <w:r w:rsidR="007B77A9">
        <w:t xml:space="preserve"> November 2013 meeting.  For further details refer to </w:t>
      </w:r>
      <w:r w:rsidR="007B77A9" w:rsidRPr="00F65F0D">
        <w:t xml:space="preserve">the </w:t>
      </w:r>
      <w:hyperlink r:id="rId18" w:history="1">
        <w:r w:rsidR="007B77A9" w:rsidRPr="00B11227">
          <w:rPr>
            <w:rStyle w:val="Hyperlink"/>
          </w:rPr>
          <w:t>Public Summary Document</w:t>
        </w:r>
      </w:hyperlink>
      <w:r w:rsidR="007B77A9">
        <w:t xml:space="preserve"> </w:t>
      </w:r>
      <w:r w:rsidR="007B77A9" w:rsidRPr="00F65F0D">
        <w:t xml:space="preserve">from the </w:t>
      </w:r>
      <w:r w:rsidR="00B11227">
        <w:t>November 2013</w:t>
      </w:r>
      <w:r w:rsidR="007B77A9">
        <w:t xml:space="preserve"> PBAC meeting.  </w:t>
      </w:r>
      <w:r w:rsidR="00B11227">
        <w:t>As at 1 August 2014 t</w:t>
      </w:r>
      <w:r>
        <w:t xml:space="preserve">his formulation </w:t>
      </w:r>
      <w:r w:rsidR="00B11227">
        <w:t xml:space="preserve">was yet to </w:t>
      </w:r>
      <w:r>
        <w:t>be</w:t>
      </w:r>
      <w:r w:rsidR="00B11227">
        <w:t xml:space="preserve"> listed </w:t>
      </w:r>
      <w:r>
        <w:t>on the PBS.</w:t>
      </w:r>
    </w:p>
    <w:p w14:paraId="72C2CA24" w14:textId="4A28B89A" w:rsidR="000F2F51" w:rsidRDefault="00ED633B" w:rsidP="00C81F99">
      <w:pPr>
        <w:pStyle w:val="Heading4"/>
      </w:pPr>
      <w:r w:rsidRPr="006C4620">
        <w:lastRenderedPageBreak/>
        <w:t>A</w:t>
      </w:r>
      <w:r w:rsidR="000F2F51" w:rsidRPr="006C4620">
        <w:t xml:space="preserve">pproach </w:t>
      </w:r>
      <w:r w:rsidRPr="006C4620">
        <w:t xml:space="preserve">taken to </w:t>
      </w:r>
      <w:r w:rsidR="000F2F51" w:rsidRPr="006C4620">
        <w:t>estimat</w:t>
      </w:r>
      <w:r w:rsidRPr="006C4620">
        <w:t>e</w:t>
      </w:r>
      <w:r w:rsidR="000F2F51" w:rsidRPr="006C4620">
        <w:t xml:space="preserve"> utilisation</w:t>
      </w:r>
    </w:p>
    <w:p w14:paraId="7C400FDF" w14:textId="679277C8" w:rsidR="003F6AE4" w:rsidRDefault="004A3B2F" w:rsidP="003F6AE4">
      <w:r w:rsidRPr="004A3B2F">
        <w:t xml:space="preserve">The estimated population eligible for exenatide was based on an epidemiological approach. </w:t>
      </w:r>
      <w:r w:rsidR="00F91ADC">
        <w:t xml:space="preserve"> </w:t>
      </w:r>
      <w:r w:rsidRPr="004A3B2F">
        <w:t>The prevalence of diabet</w:t>
      </w:r>
      <w:r w:rsidR="001463AC">
        <w:t>es was based on AusDiab data</w:t>
      </w:r>
      <w:r w:rsidR="00114805">
        <w:rPr>
          <w:rStyle w:val="FootnoteReference"/>
        </w:rPr>
        <w:footnoteReference w:id="2"/>
      </w:r>
      <w:r w:rsidR="000D29AB">
        <w:rPr>
          <w:vertAlign w:val="superscript"/>
        </w:rPr>
        <w:t>,</w:t>
      </w:r>
      <w:r w:rsidR="000D29AB">
        <w:rPr>
          <w:rStyle w:val="FootnoteReference"/>
        </w:rPr>
        <w:footnoteReference w:id="3"/>
      </w:r>
      <w:r w:rsidR="001463AC">
        <w:t xml:space="preserve"> </w:t>
      </w:r>
      <w:r w:rsidRPr="004A3B2F">
        <w:t>that estimated prevalence to be 7.5</w:t>
      </w:r>
      <w:r w:rsidR="00346D0A">
        <w:t xml:space="preserve"> </w:t>
      </w:r>
      <w:r w:rsidRPr="004A3B2F">
        <w:t>% in 2000 and then assumed and increase in prevalence of 0.16</w:t>
      </w:r>
      <w:r w:rsidR="00346D0A">
        <w:t xml:space="preserve"> </w:t>
      </w:r>
      <w:r w:rsidRPr="004A3B2F">
        <w:t>% per year</w:t>
      </w:r>
      <w:r w:rsidR="00346D0A">
        <w:rPr>
          <w:rStyle w:val="FootnoteReference"/>
        </w:rPr>
        <w:footnoteReference w:id="4"/>
      </w:r>
      <w:r w:rsidRPr="004A3B2F">
        <w:t>.</w:t>
      </w:r>
      <w:r w:rsidR="002D2B22">
        <w:t xml:space="preserve"> </w:t>
      </w:r>
      <w:r w:rsidRPr="004A3B2F">
        <w:t xml:space="preserve"> This gave an estimated prevalence of 8.94</w:t>
      </w:r>
      <w:r w:rsidR="001D3548">
        <w:t xml:space="preserve"> </w:t>
      </w:r>
      <w:r w:rsidRPr="004A3B2F">
        <w:t>% in the first year after listing, increasing to 9.58</w:t>
      </w:r>
      <w:r w:rsidR="001D3548">
        <w:t xml:space="preserve"> % in the fifth</w:t>
      </w:r>
      <w:r w:rsidRPr="004A3B2F">
        <w:t xml:space="preserve"> year after listing.</w:t>
      </w:r>
    </w:p>
    <w:p w14:paraId="26103625" w14:textId="465A8A9C" w:rsidR="009C1AA8" w:rsidRDefault="009C1AA8" w:rsidP="009C1AA8">
      <w:r w:rsidRPr="00683A1F">
        <w:t xml:space="preserve">The estimates </w:t>
      </w:r>
      <w:r>
        <w:t>were based on the following key parameters</w:t>
      </w:r>
      <w:r w:rsidR="00772E87">
        <w:t xml:space="preserve"> outlined in </w:t>
      </w:r>
      <w:r w:rsidR="00516E8D">
        <w:t>T</w:t>
      </w:r>
      <w:r w:rsidR="00772E87">
        <w:t>able 2</w:t>
      </w:r>
      <w:r>
        <w:t xml:space="preserve">: </w:t>
      </w:r>
    </w:p>
    <w:p w14:paraId="66EB8EE8" w14:textId="77777777" w:rsidR="006577FD" w:rsidRDefault="006577FD">
      <w:pPr>
        <w:spacing w:line="276" w:lineRule="auto"/>
        <w:rPr>
          <w:rFonts w:cs="Calibri"/>
          <w:b/>
        </w:rPr>
      </w:pPr>
      <w:r>
        <w:br w:type="page"/>
      </w:r>
    </w:p>
    <w:p w14:paraId="3027167D" w14:textId="21236BCE" w:rsidR="00801FDA" w:rsidRDefault="00801FDA" w:rsidP="00801FDA">
      <w:pPr>
        <w:pStyle w:val="Tableheading"/>
        <w:jc w:val="left"/>
      </w:pPr>
      <w:r w:rsidRPr="00B72135">
        <w:lastRenderedPageBreak/>
        <w:t xml:space="preserve">Table 2: Parameters used to calculate </w:t>
      </w:r>
      <w:r>
        <w:t xml:space="preserve">utilisation </w:t>
      </w:r>
      <w:r w:rsidRPr="00B72135">
        <w:t xml:space="preserve">in the </w:t>
      </w:r>
      <w:r>
        <w:t>sponsors</w:t>
      </w:r>
      <w:r w:rsidRPr="00B72135">
        <w:t xml:space="preserve"> estimates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0"/>
        <w:gridCol w:w="3209"/>
        <w:gridCol w:w="1096"/>
      </w:tblGrid>
      <w:tr w:rsidR="00801FDA" w:rsidRPr="00B72135" w14:paraId="5ED72D95" w14:textId="77777777" w:rsidTr="00801FDA">
        <w:tc>
          <w:tcPr>
            <w:tcW w:w="4760" w:type="dxa"/>
            <w:shd w:val="clear" w:color="auto" w:fill="BFBFBF" w:themeFill="background1" w:themeFillShade="BF"/>
          </w:tcPr>
          <w:p w14:paraId="66967653" w14:textId="77777777" w:rsidR="00801FDA" w:rsidRPr="00D24409" w:rsidRDefault="00801FDA" w:rsidP="006577FD">
            <w:pPr>
              <w:pStyle w:val="TableText"/>
              <w:spacing w:before="20" w:after="100" w:afterAutospacing="1"/>
              <w:rPr>
                <w:rFonts w:asciiTheme="minorHAnsi" w:hAnsiTheme="minorHAnsi"/>
                <w:b/>
              </w:rPr>
            </w:pPr>
            <w:r w:rsidRPr="00D24409">
              <w:rPr>
                <w:rFonts w:asciiTheme="minorHAnsi" w:hAnsiTheme="minorHAnsi"/>
                <w:b/>
              </w:rPr>
              <w:t>Parameter</w:t>
            </w:r>
          </w:p>
        </w:tc>
        <w:tc>
          <w:tcPr>
            <w:tcW w:w="3209" w:type="dxa"/>
            <w:shd w:val="clear" w:color="auto" w:fill="BFBFBF" w:themeFill="background1" w:themeFillShade="BF"/>
          </w:tcPr>
          <w:p w14:paraId="354641D8" w14:textId="77777777" w:rsidR="00801FDA" w:rsidRPr="00D24409" w:rsidRDefault="00801FDA" w:rsidP="006577FD">
            <w:pPr>
              <w:pStyle w:val="TableText"/>
              <w:spacing w:after="100" w:afterAutospacing="1"/>
              <w:rPr>
                <w:rFonts w:asciiTheme="minorHAnsi" w:hAnsiTheme="minorHAnsi"/>
                <w:b/>
              </w:rPr>
            </w:pPr>
            <w:r w:rsidRPr="00D24409">
              <w:rPr>
                <w:rFonts w:asciiTheme="minorHAnsi" w:hAnsiTheme="minorHAnsi"/>
                <w:b/>
              </w:rPr>
              <w:t>Source</w:t>
            </w:r>
          </w:p>
        </w:tc>
        <w:tc>
          <w:tcPr>
            <w:tcW w:w="0" w:type="auto"/>
            <w:shd w:val="clear" w:color="auto" w:fill="BFBFBF" w:themeFill="background1" w:themeFillShade="BF"/>
          </w:tcPr>
          <w:p w14:paraId="6358C053" w14:textId="77777777" w:rsidR="00801FDA" w:rsidRPr="00D24409" w:rsidRDefault="00801FDA" w:rsidP="006577FD">
            <w:pPr>
              <w:pStyle w:val="TableText"/>
              <w:spacing w:after="100" w:afterAutospacing="1"/>
              <w:rPr>
                <w:rFonts w:asciiTheme="minorHAnsi" w:hAnsiTheme="minorHAnsi"/>
                <w:b/>
              </w:rPr>
            </w:pPr>
            <w:r w:rsidRPr="00D24409">
              <w:rPr>
                <w:rFonts w:asciiTheme="minorHAnsi" w:hAnsiTheme="minorHAnsi"/>
                <w:b/>
              </w:rPr>
              <w:t>Parameter Estimate</w:t>
            </w:r>
          </w:p>
        </w:tc>
      </w:tr>
      <w:tr w:rsidR="00801FDA" w:rsidRPr="00B72135" w14:paraId="6E184556" w14:textId="77777777" w:rsidTr="00801FDA">
        <w:tc>
          <w:tcPr>
            <w:tcW w:w="4760" w:type="dxa"/>
            <w:shd w:val="clear" w:color="auto" w:fill="auto"/>
          </w:tcPr>
          <w:p w14:paraId="7FFC8983" w14:textId="77777777" w:rsidR="00801FDA" w:rsidRPr="00D24409" w:rsidRDefault="00801FDA" w:rsidP="006577FD">
            <w:pPr>
              <w:spacing w:after="100" w:afterAutospacing="1"/>
              <w:rPr>
                <w:sz w:val="20"/>
                <w:szCs w:val="20"/>
              </w:rPr>
            </w:pPr>
            <w:r w:rsidRPr="00D24409">
              <w:rPr>
                <w:sz w:val="20"/>
                <w:szCs w:val="20"/>
              </w:rPr>
              <w:t>Diagnosed with Type 2 diabetes</w:t>
            </w:r>
          </w:p>
        </w:tc>
        <w:tc>
          <w:tcPr>
            <w:tcW w:w="3209" w:type="dxa"/>
            <w:shd w:val="clear" w:color="auto" w:fill="auto"/>
          </w:tcPr>
          <w:p w14:paraId="1634655F" w14:textId="77777777" w:rsidR="00801FDA" w:rsidRPr="00D24409" w:rsidRDefault="00801FDA" w:rsidP="006577FD">
            <w:pPr>
              <w:spacing w:after="100" w:afterAutospacing="1"/>
              <w:rPr>
                <w:sz w:val="20"/>
                <w:szCs w:val="20"/>
              </w:rPr>
            </w:pPr>
            <w:r w:rsidRPr="00D24409">
              <w:rPr>
                <w:sz w:val="20"/>
                <w:szCs w:val="20"/>
              </w:rPr>
              <w:t>Simmons et al 2005</w:t>
            </w:r>
            <w:r>
              <w:rPr>
                <w:rStyle w:val="FootnoteReference"/>
                <w:sz w:val="20"/>
                <w:szCs w:val="20"/>
              </w:rPr>
              <w:footnoteReference w:id="5"/>
            </w:r>
          </w:p>
        </w:tc>
        <w:tc>
          <w:tcPr>
            <w:tcW w:w="0" w:type="auto"/>
          </w:tcPr>
          <w:p w14:paraId="7321ADDF" w14:textId="77777777" w:rsidR="00801FDA" w:rsidRPr="00D24409" w:rsidRDefault="00801FDA" w:rsidP="006577FD">
            <w:pPr>
              <w:spacing w:after="100" w:afterAutospacing="1"/>
              <w:rPr>
                <w:sz w:val="20"/>
                <w:szCs w:val="20"/>
              </w:rPr>
            </w:pPr>
            <w:r w:rsidRPr="00D24409">
              <w:rPr>
                <w:sz w:val="20"/>
                <w:szCs w:val="20"/>
              </w:rPr>
              <w:t>74%</w:t>
            </w:r>
          </w:p>
        </w:tc>
      </w:tr>
      <w:tr w:rsidR="00801FDA" w:rsidRPr="00B72135" w14:paraId="61A92906" w14:textId="77777777" w:rsidTr="00801FDA">
        <w:tc>
          <w:tcPr>
            <w:tcW w:w="4760" w:type="dxa"/>
            <w:shd w:val="clear" w:color="auto" w:fill="auto"/>
          </w:tcPr>
          <w:p w14:paraId="3428E1B7" w14:textId="77777777" w:rsidR="00801FDA" w:rsidRPr="00D24409" w:rsidRDefault="00801FDA" w:rsidP="006577FD">
            <w:pPr>
              <w:spacing w:after="100" w:afterAutospacing="1"/>
              <w:rPr>
                <w:sz w:val="20"/>
                <w:szCs w:val="20"/>
              </w:rPr>
            </w:pPr>
            <w:r w:rsidRPr="00D24409">
              <w:rPr>
                <w:sz w:val="20"/>
                <w:szCs w:val="20"/>
              </w:rPr>
              <w:t>% patients treated with oral hypoglycaemic agents</w:t>
            </w:r>
          </w:p>
        </w:tc>
        <w:tc>
          <w:tcPr>
            <w:tcW w:w="3209" w:type="dxa"/>
            <w:shd w:val="clear" w:color="auto" w:fill="auto"/>
          </w:tcPr>
          <w:p w14:paraId="1F67EB7F" w14:textId="77777777" w:rsidR="00801FDA" w:rsidRPr="00D24409" w:rsidRDefault="00801FDA" w:rsidP="006577FD">
            <w:pPr>
              <w:spacing w:after="100" w:afterAutospacing="1"/>
              <w:rPr>
                <w:sz w:val="20"/>
                <w:szCs w:val="20"/>
              </w:rPr>
            </w:pPr>
            <w:r w:rsidRPr="00D24409">
              <w:rPr>
                <w:sz w:val="20"/>
                <w:szCs w:val="20"/>
              </w:rPr>
              <w:t>Stancombe research</w:t>
            </w:r>
          </w:p>
        </w:tc>
        <w:tc>
          <w:tcPr>
            <w:tcW w:w="0" w:type="auto"/>
          </w:tcPr>
          <w:p w14:paraId="70C21B95" w14:textId="77777777" w:rsidR="00801FDA" w:rsidRPr="00D24409" w:rsidRDefault="00801FDA" w:rsidP="006577FD">
            <w:pPr>
              <w:spacing w:after="100" w:afterAutospacing="1"/>
              <w:rPr>
                <w:sz w:val="20"/>
                <w:szCs w:val="20"/>
              </w:rPr>
            </w:pPr>
            <w:r w:rsidRPr="00D24409">
              <w:rPr>
                <w:sz w:val="20"/>
                <w:szCs w:val="20"/>
              </w:rPr>
              <w:t>70%</w:t>
            </w:r>
          </w:p>
        </w:tc>
      </w:tr>
      <w:tr w:rsidR="00801FDA" w:rsidRPr="00B72135" w14:paraId="70CD9A56" w14:textId="77777777" w:rsidTr="00801FDA">
        <w:tc>
          <w:tcPr>
            <w:tcW w:w="4760" w:type="dxa"/>
            <w:shd w:val="clear" w:color="auto" w:fill="auto"/>
          </w:tcPr>
          <w:p w14:paraId="3197BBCC" w14:textId="77777777" w:rsidR="00801FDA" w:rsidRPr="00D24409" w:rsidRDefault="00801FDA" w:rsidP="006577FD">
            <w:pPr>
              <w:spacing w:after="100" w:afterAutospacing="1"/>
              <w:rPr>
                <w:sz w:val="20"/>
                <w:szCs w:val="20"/>
              </w:rPr>
            </w:pPr>
            <w:r w:rsidRPr="00D24409">
              <w:rPr>
                <w:sz w:val="20"/>
                <w:szCs w:val="20"/>
              </w:rPr>
              <w:t>% Treated on oral monotherapy</w:t>
            </w:r>
          </w:p>
        </w:tc>
        <w:tc>
          <w:tcPr>
            <w:tcW w:w="3209" w:type="dxa"/>
            <w:shd w:val="clear" w:color="auto" w:fill="auto"/>
          </w:tcPr>
          <w:p w14:paraId="250C5B2D" w14:textId="77777777" w:rsidR="00801FDA" w:rsidRPr="00D24409" w:rsidRDefault="00801FDA" w:rsidP="006577FD">
            <w:pPr>
              <w:spacing w:after="100" w:afterAutospacing="1"/>
              <w:rPr>
                <w:sz w:val="20"/>
                <w:szCs w:val="20"/>
              </w:rPr>
            </w:pPr>
            <w:r w:rsidRPr="00D24409">
              <w:rPr>
                <w:sz w:val="20"/>
                <w:szCs w:val="20"/>
              </w:rPr>
              <w:t>Stancombe research</w:t>
            </w:r>
          </w:p>
        </w:tc>
        <w:tc>
          <w:tcPr>
            <w:tcW w:w="0" w:type="auto"/>
          </w:tcPr>
          <w:p w14:paraId="66128D8F" w14:textId="77777777" w:rsidR="00801FDA" w:rsidRPr="00D24409" w:rsidRDefault="00801FDA" w:rsidP="006577FD">
            <w:pPr>
              <w:spacing w:after="100" w:afterAutospacing="1"/>
              <w:rPr>
                <w:sz w:val="20"/>
                <w:szCs w:val="20"/>
              </w:rPr>
            </w:pPr>
            <w:r w:rsidRPr="00D24409">
              <w:rPr>
                <w:sz w:val="20"/>
                <w:szCs w:val="20"/>
              </w:rPr>
              <w:t>31%</w:t>
            </w:r>
          </w:p>
        </w:tc>
      </w:tr>
      <w:tr w:rsidR="00801FDA" w:rsidRPr="00B72135" w14:paraId="17B10455" w14:textId="77777777" w:rsidTr="00801FDA">
        <w:tc>
          <w:tcPr>
            <w:tcW w:w="4760" w:type="dxa"/>
            <w:shd w:val="clear" w:color="auto" w:fill="auto"/>
          </w:tcPr>
          <w:p w14:paraId="1AA6CAF5" w14:textId="69C38339" w:rsidR="00801FDA" w:rsidRPr="00D24409" w:rsidRDefault="00F518B8" w:rsidP="00F518B8">
            <w:pPr>
              <w:tabs>
                <w:tab w:val="left" w:pos="318"/>
              </w:tabs>
              <w:spacing w:after="100" w:afterAutospacing="1"/>
              <w:rPr>
                <w:sz w:val="20"/>
                <w:szCs w:val="20"/>
              </w:rPr>
            </w:pPr>
            <w:r>
              <w:rPr>
                <w:sz w:val="20"/>
                <w:szCs w:val="20"/>
              </w:rPr>
              <w:tab/>
            </w:r>
            <w:r w:rsidR="00801FDA" w:rsidRPr="00D24409">
              <w:rPr>
                <w:sz w:val="20"/>
                <w:szCs w:val="20"/>
              </w:rPr>
              <w:t>Proportion treated with metformin mon</w:t>
            </w:r>
            <w:r w:rsidR="00801FDA">
              <w:rPr>
                <w:sz w:val="20"/>
                <w:szCs w:val="20"/>
              </w:rPr>
              <w:t>o</w:t>
            </w:r>
            <w:r w:rsidR="00801FDA" w:rsidRPr="00D24409">
              <w:rPr>
                <w:sz w:val="20"/>
                <w:szCs w:val="20"/>
              </w:rPr>
              <w:t>therapy</w:t>
            </w:r>
          </w:p>
        </w:tc>
        <w:tc>
          <w:tcPr>
            <w:tcW w:w="3209" w:type="dxa"/>
            <w:shd w:val="clear" w:color="auto" w:fill="auto"/>
          </w:tcPr>
          <w:p w14:paraId="0BC4DA45" w14:textId="77777777" w:rsidR="00801FDA" w:rsidRPr="00D24409" w:rsidRDefault="00801FDA" w:rsidP="006577FD">
            <w:pPr>
              <w:spacing w:after="100" w:afterAutospacing="1"/>
              <w:rPr>
                <w:sz w:val="20"/>
                <w:szCs w:val="20"/>
              </w:rPr>
            </w:pPr>
            <w:r w:rsidRPr="00D24409">
              <w:rPr>
                <w:sz w:val="20"/>
                <w:szCs w:val="20"/>
              </w:rPr>
              <w:t>Stancombe research</w:t>
            </w:r>
          </w:p>
        </w:tc>
        <w:tc>
          <w:tcPr>
            <w:tcW w:w="0" w:type="auto"/>
          </w:tcPr>
          <w:p w14:paraId="19F64490" w14:textId="77777777" w:rsidR="00801FDA" w:rsidRPr="00D24409" w:rsidRDefault="00801FDA" w:rsidP="006577FD">
            <w:pPr>
              <w:spacing w:after="100" w:afterAutospacing="1"/>
              <w:rPr>
                <w:sz w:val="20"/>
                <w:szCs w:val="20"/>
              </w:rPr>
            </w:pPr>
            <w:r w:rsidRPr="00D24409">
              <w:rPr>
                <w:sz w:val="20"/>
                <w:szCs w:val="20"/>
              </w:rPr>
              <w:t>74%</w:t>
            </w:r>
          </w:p>
        </w:tc>
      </w:tr>
      <w:tr w:rsidR="00801FDA" w:rsidRPr="00B72135" w14:paraId="6F02EC8C" w14:textId="77777777" w:rsidTr="00801FDA">
        <w:tc>
          <w:tcPr>
            <w:tcW w:w="4760" w:type="dxa"/>
            <w:shd w:val="clear" w:color="auto" w:fill="auto"/>
          </w:tcPr>
          <w:p w14:paraId="7CFFF74F" w14:textId="3F53CBE2" w:rsidR="00801FDA" w:rsidRPr="00D24409" w:rsidRDefault="00F518B8" w:rsidP="00F518B8">
            <w:pPr>
              <w:tabs>
                <w:tab w:val="left" w:pos="318"/>
              </w:tabs>
              <w:spacing w:after="100" w:afterAutospacing="1"/>
              <w:rPr>
                <w:sz w:val="20"/>
                <w:szCs w:val="20"/>
              </w:rPr>
            </w:pPr>
            <w:r>
              <w:rPr>
                <w:sz w:val="20"/>
                <w:szCs w:val="20"/>
              </w:rPr>
              <w:tab/>
            </w:r>
            <w:r w:rsidR="00801FDA" w:rsidRPr="00D24409">
              <w:rPr>
                <w:sz w:val="20"/>
                <w:szCs w:val="20"/>
              </w:rPr>
              <w:t>unable to use metformin in combination with SU</w:t>
            </w:r>
          </w:p>
        </w:tc>
        <w:tc>
          <w:tcPr>
            <w:tcW w:w="3209" w:type="dxa"/>
            <w:shd w:val="clear" w:color="auto" w:fill="auto"/>
          </w:tcPr>
          <w:p w14:paraId="02BF8804" w14:textId="77777777" w:rsidR="00801FDA" w:rsidRPr="00D24409" w:rsidRDefault="00801FDA" w:rsidP="006577FD">
            <w:pPr>
              <w:spacing w:after="100" w:afterAutospacing="1"/>
              <w:rPr>
                <w:sz w:val="20"/>
                <w:szCs w:val="20"/>
              </w:rPr>
            </w:pPr>
            <w:r w:rsidRPr="00D24409">
              <w:rPr>
                <w:sz w:val="20"/>
                <w:szCs w:val="20"/>
              </w:rPr>
              <w:t>Stancombe research</w:t>
            </w:r>
          </w:p>
        </w:tc>
        <w:tc>
          <w:tcPr>
            <w:tcW w:w="0" w:type="auto"/>
          </w:tcPr>
          <w:p w14:paraId="08D1ADBD" w14:textId="77777777" w:rsidR="00801FDA" w:rsidRPr="00D24409" w:rsidRDefault="00801FDA" w:rsidP="006577FD">
            <w:pPr>
              <w:spacing w:after="100" w:afterAutospacing="1"/>
              <w:rPr>
                <w:sz w:val="20"/>
                <w:szCs w:val="20"/>
              </w:rPr>
            </w:pPr>
            <w:r w:rsidRPr="00D24409">
              <w:rPr>
                <w:sz w:val="20"/>
                <w:szCs w:val="20"/>
              </w:rPr>
              <w:t>15%</w:t>
            </w:r>
          </w:p>
        </w:tc>
      </w:tr>
      <w:tr w:rsidR="00801FDA" w:rsidRPr="00B72135" w14:paraId="448A62D6" w14:textId="77777777" w:rsidTr="00801FDA">
        <w:tc>
          <w:tcPr>
            <w:tcW w:w="4760" w:type="dxa"/>
            <w:shd w:val="clear" w:color="auto" w:fill="auto"/>
          </w:tcPr>
          <w:p w14:paraId="5E39B33B" w14:textId="2547A7A8" w:rsidR="00801FDA" w:rsidRPr="00D24409" w:rsidRDefault="00F518B8" w:rsidP="00F518B8">
            <w:pPr>
              <w:tabs>
                <w:tab w:val="left" w:pos="318"/>
              </w:tabs>
              <w:spacing w:after="100" w:afterAutospacing="1"/>
              <w:rPr>
                <w:sz w:val="20"/>
                <w:szCs w:val="20"/>
              </w:rPr>
            </w:pPr>
            <w:r>
              <w:rPr>
                <w:sz w:val="20"/>
                <w:szCs w:val="20"/>
              </w:rPr>
              <w:tab/>
            </w:r>
            <w:r w:rsidR="00801FDA" w:rsidRPr="00D24409">
              <w:rPr>
                <w:sz w:val="20"/>
                <w:szCs w:val="20"/>
              </w:rPr>
              <w:t>Proportion treated with a sulfonylurea monotherapy</w:t>
            </w:r>
          </w:p>
        </w:tc>
        <w:tc>
          <w:tcPr>
            <w:tcW w:w="3209" w:type="dxa"/>
            <w:shd w:val="clear" w:color="auto" w:fill="auto"/>
          </w:tcPr>
          <w:p w14:paraId="669DBD11" w14:textId="77777777" w:rsidR="00801FDA" w:rsidRPr="00D24409" w:rsidRDefault="00801FDA" w:rsidP="006577FD">
            <w:pPr>
              <w:spacing w:after="100" w:afterAutospacing="1"/>
              <w:rPr>
                <w:sz w:val="20"/>
                <w:szCs w:val="20"/>
              </w:rPr>
            </w:pPr>
            <w:r w:rsidRPr="00D24409">
              <w:rPr>
                <w:sz w:val="20"/>
                <w:szCs w:val="20"/>
              </w:rPr>
              <w:t>Stancombe research</w:t>
            </w:r>
          </w:p>
        </w:tc>
        <w:tc>
          <w:tcPr>
            <w:tcW w:w="0" w:type="auto"/>
          </w:tcPr>
          <w:p w14:paraId="4C6B1ED3" w14:textId="77777777" w:rsidR="00801FDA" w:rsidRPr="00D24409" w:rsidRDefault="00801FDA" w:rsidP="006577FD">
            <w:pPr>
              <w:spacing w:after="100" w:afterAutospacing="1"/>
              <w:rPr>
                <w:sz w:val="20"/>
                <w:szCs w:val="20"/>
              </w:rPr>
            </w:pPr>
            <w:r w:rsidRPr="00D24409">
              <w:rPr>
                <w:sz w:val="20"/>
                <w:szCs w:val="20"/>
              </w:rPr>
              <w:t>21%</w:t>
            </w:r>
          </w:p>
        </w:tc>
      </w:tr>
      <w:tr w:rsidR="00801FDA" w:rsidRPr="00B72135" w14:paraId="2080F0F8" w14:textId="77777777" w:rsidTr="00801FDA">
        <w:tc>
          <w:tcPr>
            <w:tcW w:w="4760" w:type="dxa"/>
            <w:shd w:val="clear" w:color="auto" w:fill="auto"/>
          </w:tcPr>
          <w:p w14:paraId="0BFE91F3" w14:textId="5D0E7C1F" w:rsidR="00801FDA" w:rsidRPr="00D24409" w:rsidRDefault="00F518B8" w:rsidP="00F518B8">
            <w:pPr>
              <w:tabs>
                <w:tab w:val="left" w:pos="318"/>
              </w:tabs>
              <w:spacing w:after="100" w:afterAutospacing="1"/>
              <w:rPr>
                <w:sz w:val="20"/>
                <w:szCs w:val="20"/>
              </w:rPr>
            </w:pPr>
            <w:r>
              <w:rPr>
                <w:sz w:val="20"/>
                <w:szCs w:val="20"/>
              </w:rPr>
              <w:tab/>
            </w:r>
            <w:r w:rsidR="00801FDA" w:rsidRPr="00D24409">
              <w:rPr>
                <w:sz w:val="20"/>
                <w:szCs w:val="20"/>
              </w:rPr>
              <w:t>unable to use metformin in combination with SU</w:t>
            </w:r>
          </w:p>
        </w:tc>
        <w:tc>
          <w:tcPr>
            <w:tcW w:w="3209" w:type="dxa"/>
            <w:shd w:val="clear" w:color="auto" w:fill="auto"/>
          </w:tcPr>
          <w:p w14:paraId="4031C176" w14:textId="77777777" w:rsidR="00801FDA" w:rsidRPr="00D24409" w:rsidRDefault="00801FDA" w:rsidP="006577FD">
            <w:pPr>
              <w:spacing w:after="100" w:afterAutospacing="1"/>
              <w:rPr>
                <w:sz w:val="20"/>
                <w:szCs w:val="20"/>
              </w:rPr>
            </w:pPr>
            <w:r w:rsidRPr="00D24409">
              <w:rPr>
                <w:sz w:val="20"/>
                <w:szCs w:val="20"/>
              </w:rPr>
              <w:t>Stancombe research</w:t>
            </w:r>
          </w:p>
        </w:tc>
        <w:tc>
          <w:tcPr>
            <w:tcW w:w="0" w:type="auto"/>
          </w:tcPr>
          <w:p w14:paraId="4FD7AFD2" w14:textId="77777777" w:rsidR="00801FDA" w:rsidRPr="00D24409" w:rsidRDefault="00801FDA" w:rsidP="006577FD">
            <w:pPr>
              <w:spacing w:after="100" w:afterAutospacing="1"/>
              <w:rPr>
                <w:sz w:val="20"/>
                <w:szCs w:val="20"/>
              </w:rPr>
            </w:pPr>
            <w:r w:rsidRPr="00D24409">
              <w:rPr>
                <w:sz w:val="20"/>
                <w:szCs w:val="20"/>
              </w:rPr>
              <w:t>16%</w:t>
            </w:r>
          </w:p>
        </w:tc>
      </w:tr>
      <w:tr w:rsidR="00801FDA" w:rsidRPr="00B72135" w14:paraId="69A491F0" w14:textId="77777777" w:rsidTr="00801FDA">
        <w:tc>
          <w:tcPr>
            <w:tcW w:w="4760" w:type="dxa"/>
            <w:shd w:val="clear" w:color="auto" w:fill="auto"/>
          </w:tcPr>
          <w:p w14:paraId="0DA9203B" w14:textId="77777777" w:rsidR="00801FDA" w:rsidRPr="00D24409" w:rsidRDefault="00801FDA" w:rsidP="006577FD">
            <w:pPr>
              <w:spacing w:after="100" w:afterAutospacing="1"/>
              <w:rPr>
                <w:sz w:val="20"/>
                <w:szCs w:val="20"/>
              </w:rPr>
            </w:pPr>
            <w:r w:rsidRPr="00D24409">
              <w:rPr>
                <w:sz w:val="20"/>
                <w:szCs w:val="20"/>
              </w:rPr>
              <w:t>Proportion treated with dual oral combination</w:t>
            </w:r>
          </w:p>
        </w:tc>
        <w:tc>
          <w:tcPr>
            <w:tcW w:w="3209" w:type="dxa"/>
            <w:shd w:val="clear" w:color="auto" w:fill="auto"/>
          </w:tcPr>
          <w:p w14:paraId="2C462B83" w14:textId="77777777" w:rsidR="00801FDA" w:rsidRPr="00D24409" w:rsidRDefault="00801FDA" w:rsidP="006577FD">
            <w:pPr>
              <w:spacing w:after="100" w:afterAutospacing="1"/>
              <w:rPr>
                <w:sz w:val="20"/>
                <w:szCs w:val="20"/>
              </w:rPr>
            </w:pPr>
            <w:r w:rsidRPr="00D24409">
              <w:rPr>
                <w:sz w:val="20"/>
                <w:szCs w:val="20"/>
              </w:rPr>
              <w:t>Stancombe research</w:t>
            </w:r>
          </w:p>
        </w:tc>
        <w:tc>
          <w:tcPr>
            <w:tcW w:w="0" w:type="auto"/>
          </w:tcPr>
          <w:p w14:paraId="1AFFFD49" w14:textId="77777777" w:rsidR="00801FDA" w:rsidRPr="00D24409" w:rsidRDefault="00801FDA" w:rsidP="006577FD">
            <w:pPr>
              <w:spacing w:after="100" w:afterAutospacing="1"/>
              <w:rPr>
                <w:sz w:val="20"/>
                <w:szCs w:val="20"/>
              </w:rPr>
            </w:pPr>
            <w:r w:rsidRPr="00D24409">
              <w:rPr>
                <w:sz w:val="20"/>
                <w:szCs w:val="20"/>
              </w:rPr>
              <w:t>31%</w:t>
            </w:r>
          </w:p>
        </w:tc>
      </w:tr>
      <w:tr w:rsidR="00801FDA" w:rsidRPr="00B72135" w14:paraId="513D8A3C" w14:textId="77777777" w:rsidTr="00801FDA">
        <w:tc>
          <w:tcPr>
            <w:tcW w:w="4760" w:type="dxa"/>
            <w:shd w:val="clear" w:color="auto" w:fill="auto"/>
          </w:tcPr>
          <w:p w14:paraId="697F9BC5" w14:textId="72A81526" w:rsidR="00801FDA" w:rsidRPr="00D24409" w:rsidRDefault="00F518B8" w:rsidP="00F518B8">
            <w:pPr>
              <w:tabs>
                <w:tab w:val="left" w:pos="318"/>
              </w:tabs>
              <w:spacing w:after="100" w:afterAutospacing="1"/>
              <w:rPr>
                <w:sz w:val="20"/>
                <w:szCs w:val="20"/>
              </w:rPr>
            </w:pPr>
            <w:r>
              <w:rPr>
                <w:sz w:val="20"/>
                <w:szCs w:val="20"/>
              </w:rPr>
              <w:tab/>
            </w:r>
            <w:r w:rsidR="00801FDA" w:rsidRPr="00D24409">
              <w:rPr>
                <w:sz w:val="20"/>
                <w:szCs w:val="20"/>
              </w:rPr>
              <w:t>Proportion treated with met + SU</w:t>
            </w:r>
          </w:p>
        </w:tc>
        <w:tc>
          <w:tcPr>
            <w:tcW w:w="3209" w:type="dxa"/>
            <w:shd w:val="clear" w:color="auto" w:fill="auto"/>
          </w:tcPr>
          <w:p w14:paraId="5F87D0DF" w14:textId="77777777" w:rsidR="00801FDA" w:rsidRPr="00D24409" w:rsidRDefault="00801FDA" w:rsidP="006577FD">
            <w:pPr>
              <w:spacing w:after="100" w:afterAutospacing="1"/>
              <w:rPr>
                <w:sz w:val="20"/>
                <w:szCs w:val="20"/>
              </w:rPr>
            </w:pPr>
            <w:r w:rsidRPr="00D24409">
              <w:rPr>
                <w:sz w:val="20"/>
                <w:szCs w:val="20"/>
              </w:rPr>
              <w:t>Stancombe research</w:t>
            </w:r>
          </w:p>
        </w:tc>
        <w:tc>
          <w:tcPr>
            <w:tcW w:w="0" w:type="auto"/>
          </w:tcPr>
          <w:p w14:paraId="7864E1F6" w14:textId="77777777" w:rsidR="00801FDA" w:rsidRPr="00D24409" w:rsidRDefault="00801FDA" w:rsidP="006577FD">
            <w:pPr>
              <w:spacing w:after="100" w:afterAutospacing="1"/>
              <w:rPr>
                <w:sz w:val="20"/>
                <w:szCs w:val="20"/>
              </w:rPr>
            </w:pPr>
            <w:r w:rsidRPr="00D24409">
              <w:rPr>
                <w:sz w:val="20"/>
                <w:szCs w:val="20"/>
              </w:rPr>
              <w:t>72%</w:t>
            </w:r>
          </w:p>
        </w:tc>
      </w:tr>
      <w:tr w:rsidR="00801FDA" w:rsidRPr="00B72135" w14:paraId="666527A7" w14:textId="77777777" w:rsidTr="00801FDA">
        <w:tc>
          <w:tcPr>
            <w:tcW w:w="4760" w:type="dxa"/>
            <w:shd w:val="clear" w:color="auto" w:fill="auto"/>
          </w:tcPr>
          <w:p w14:paraId="40ED00FB" w14:textId="64A575CD" w:rsidR="00801FDA" w:rsidRPr="00D24409" w:rsidRDefault="00F518B8" w:rsidP="00F518B8">
            <w:pPr>
              <w:tabs>
                <w:tab w:val="left" w:pos="318"/>
              </w:tabs>
              <w:spacing w:after="100" w:afterAutospacing="1"/>
              <w:rPr>
                <w:sz w:val="20"/>
                <w:szCs w:val="20"/>
              </w:rPr>
            </w:pPr>
            <w:r>
              <w:rPr>
                <w:sz w:val="20"/>
                <w:szCs w:val="20"/>
              </w:rPr>
              <w:tab/>
            </w:r>
            <w:r w:rsidR="00801FDA" w:rsidRPr="00D24409">
              <w:rPr>
                <w:sz w:val="20"/>
                <w:szCs w:val="20"/>
              </w:rPr>
              <w:t>Proportion treated with MET + TZD</w:t>
            </w:r>
          </w:p>
        </w:tc>
        <w:tc>
          <w:tcPr>
            <w:tcW w:w="3209" w:type="dxa"/>
            <w:shd w:val="clear" w:color="auto" w:fill="auto"/>
          </w:tcPr>
          <w:p w14:paraId="5F4B6736" w14:textId="77777777" w:rsidR="00801FDA" w:rsidRPr="00D24409" w:rsidRDefault="00801FDA" w:rsidP="006577FD">
            <w:pPr>
              <w:spacing w:after="100" w:afterAutospacing="1"/>
              <w:rPr>
                <w:sz w:val="20"/>
                <w:szCs w:val="20"/>
              </w:rPr>
            </w:pPr>
            <w:r w:rsidRPr="00D24409">
              <w:rPr>
                <w:sz w:val="20"/>
                <w:szCs w:val="20"/>
              </w:rPr>
              <w:t>Stancombe research</w:t>
            </w:r>
          </w:p>
        </w:tc>
        <w:tc>
          <w:tcPr>
            <w:tcW w:w="0" w:type="auto"/>
          </w:tcPr>
          <w:p w14:paraId="6AC36E23" w14:textId="77777777" w:rsidR="00801FDA" w:rsidRPr="00D24409" w:rsidRDefault="00801FDA" w:rsidP="006577FD">
            <w:pPr>
              <w:spacing w:after="100" w:afterAutospacing="1"/>
              <w:rPr>
                <w:sz w:val="20"/>
                <w:szCs w:val="20"/>
              </w:rPr>
            </w:pPr>
            <w:r w:rsidRPr="00D24409">
              <w:rPr>
                <w:sz w:val="20"/>
                <w:szCs w:val="20"/>
              </w:rPr>
              <w:t>19%</w:t>
            </w:r>
          </w:p>
        </w:tc>
      </w:tr>
      <w:tr w:rsidR="00801FDA" w:rsidRPr="00B72135" w14:paraId="76EA273D" w14:textId="77777777" w:rsidTr="00801FDA">
        <w:tc>
          <w:tcPr>
            <w:tcW w:w="4760" w:type="dxa"/>
            <w:shd w:val="clear" w:color="auto" w:fill="auto"/>
          </w:tcPr>
          <w:p w14:paraId="51AF23EF" w14:textId="4D7119FD" w:rsidR="00801FDA" w:rsidRPr="00D24409" w:rsidRDefault="00F518B8" w:rsidP="00F518B8">
            <w:pPr>
              <w:tabs>
                <w:tab w:val="left" w:pos="318"/>
              </w:tabs>
              <w:spacing w:after="100" w:afterAutospacing="1"/>
              <w:rPr>
                <w:sz w:val="20"/>
                <w:szCs w:val="20"/>
              </w:rPr>
            </w:pPr>
            <w:r>
              <w:rPr>
                <w:sz w:val="20"/>
                <w:szCs w:val="20"/>
              </w:rPr>
              <w:tab/>
            </w:r>
            <w:r w:rsidR="00801FDA" w:rsidRPr="00D24409">
              <w:rPr>
                <w:sz w:val="20"/>
                <w:szCs w:val="20"/>
              </w:rPr>
              <w:t>Proportion treated with SU + TZD</w:t>
            </w:r>
          </w:p>
        </w:tc>
        <w:tc>
          <w:tcPr>
            <w:tcW w:w="3209" w:type="dxa"/>
            <w:shd w:val="clear" w:color="auto" w:fill="auto"/>
          </w:tcPr>
          <w:p w14:paraId="470261BD" w14:textId="77777777" w:rsidR="00801FDA" w:rsidRPr="00D24409" w:rsidRDefault="00801FDA" w:rsidP="006577FD">
            <w:pPr>
              <w:spacing w:after="100" w:afterAutospacing="1"/>
              <w:rPr>
                <w:sz w:val="20"/>
                <w:szCs w:val="20"/>
              </w:rPr>
            </w:pPr>
            <w:r w:rsidRPr="00D24409">
              <w:rPr>
                <w:sz w:val="20"/>
                <w:szCs w:val="20"/>
              </w:rPr>
              <w:t>Stancombe research</w:t>
            </w:r>
          </w:p>
        </w:tc>
        <w:tc>
          <w:tcPr>
            <w:tcW w:w="0" w:type="auto"/>
          </w:tcPr>
          <w:p w14:paraId="416C684D" w14:textId="77777777" w:rsidR="00801FDA" w:rsidRPr="00D24409" w:rsidRDefault="00801FDA" w:rsidP="006577FD">
            <w:pPr>
              <w:spacing w:after="100" w:afterAutospacing="1"/>
              <w:rPr>
                <w:sz w:val="20"/>
                <w:szCs w:val="20"/>
              </w:rPr>
            </w:pPr>
            <w:r w:rsidRPr="00D24409">
              <w:rPr>
                <w:sz w:val="20"/>
                <w:szCs w:val="20"/>
              </w:rPr>
              <w:t>9%</w:t>
            </w:r>
          </w:p>
        </w:tc>
      </w:tr>
      <w:tr w:rsidR="00801FDA" w:rsidRPr="00B72135" w14:paraId="2915DBE5" w14:textId="77777777" w:rsidTr="00801FDA">
        <w:tc>
          <w:tcPr>
            <w:tcW w:w="4760" w:type="dxa"/>
            <w:shd w:val="clear" w:color="auto" w:fill="auto"/>
          </w:tcPr>
          <w:p w14:paraId="0FF04420" w14:textId="723D16C2" w:rsidR="00801FDA" w:rsidRPr="00D24409" w:rsidRDefault="005C5A77" w:rsidP="006577FD">
            <w:pPr>
              <w:spacing w:after="100" w:afterAutospacing="1"/>
              <w:rPr>
                <w:sz w:val="20"/>
                <w:szCs w:val="20"/>
              </w:rPr>
            </w:pPr>
            <w:r>
              <w:rPr>
                <w:sz w:val="20"/>
                <w:szCs w:val="20"/>
              </w:rPr>
              <w:t xml:space="preserve">Treated with triple therapy </w:t>
            </w:r>
            <w:r w:rsidR="00801FDA" w:rsidRPr="00D24409">
              <w:rPr>
                <w:sz w:val="20"/>
                <w:szCs w:val="20"/>
              </w:rPr>
              <w:t>oral combination</w:t>
            </w:r>
          </w:p>
        </w:tc>
        <w:tc>
          <w:tcPr>
            <w:tcW w:w="3209" w:type="dxa"/>
            <w:shd w:val="clear" w:color="auto" w:fill="auto"/>
          </w:tcPr>
          <w:p w14:paraId="0F7247EF" w14:textId="77777777" w:rsidR="00801FDA" w:rsidRPr="00D24409" w:rsidRDefault="00801FDA" w:rsidP="006577FD">
            <w:pPr>
              <w:spacing w:after="100" w:afterAutospacing="1"/>
              <w:rPr>
                <w:sz w:val="20"/>
                <w:szCs w:val="20"/>
              </w:rPr>
            </w:pPr>
            <w:r w:rsidRPr="00D24409">
              <w:rPr>
                <w:sz w:val="20"/>
                <w:szCs w:val="20"/>
              </w:rPr>
              <w:t>Stancombe research</w:t>
            </w:r>
          </w:p>
        </w:tc>
        <w:tc>
          <w:tcPr>
            <w:tcW w:w="0" w:type="auto"/>
          </w:tcPr>
          <w:p w14:paraId="2E3E5A2A" w14:textId="77777777" w:rsidR="00801FDA" w:rsidRPr="00D24409" w:rsidRDefault="00801FDA" w:rsidP="006577FD">
            <w:pPr>
              <w:spacing w:after="100" w:afterAutospacing="1"/>
              <w:rPr>
                <w:sz w:val="20"/>
                <w:szCs w:val="20"/>
              </w:rPr>
            </w:pPr>
            <w:r w:rsidRPr="00D24409">
              <w:rPr>
                <w:sz w:val="20"/>
                <w:szCs w:val="20"/>
              </w:rPr>
              <w:t>8%</w:t>
            </w:r>
          </w:p>
        </w:tc>
      </w:tr>
      <w:tr w:rsidR="00801FDA" w:rsidRPr="00B72135" w14:paraId="6489D0B9" w14:textId="77777777" w:rsidTr="00801FDA">
        <w:tc>
          <w:tcPr>
            <w:tcW w:w="4760" w:type="dxa"/>
            <w:shd w:val="clear" w:color="auto" w:fill="auto"/>
          </w:tcPr>
          <w:p w14:paraId="46A1A37A" w14:textId="0DF72B6D" w:rsidR="00801FDA" w:rsidRPr="00D24409" w:rsidRDefault="00F518B8" w:rsidP="006577FD">
            <w:pPr>
              <w:spacing w:after="100" w:afterAutospacing="1"/>
              <w:rPr>
                <w:sz w:val="20"/>
                <w:szCs w:val="20"/>
              </w:rPr>
            </w:pPr>
            <w:r>
              <w:rPr>
                <w:sz w:val="20"/>
                <w:szCs w:val="20"/>
              </w:rPr>
              <w:tab/>
            </w:r>
            <w:r w:rsidR="00801FDA" w:rsidRPr="00D24409">
              <w:rPr>
                <w:sz w:val="20"/>
                <w:szCs w:val="20"/>
              </w:rPr>
              <w:t>% TZD + MET + SU</w:t>
            </w:r>
          </w:p>
        </w:tc>
        <w:tc>
          <w:tcPr>
            <w:tcW w:w="3209" w:type="dxa"/>
            <w:shd w:val="clear" w:color="auto" w:fill="auto"/>
          </w:tcPr>
          <w:p w14:paraId="42095D81" w14:textId="77777777" w:rsidR="00801FDA" w:rsidRPr="00D24409" w:rsidRDefault="00801FDA" w:rsidP="006577FD">
            <w:pPr>
              <w:spacing w:after="100" w:afterAutospacing="1"/>
              <w:rPr>
                <w:sz w:val="20"/>
                <w:szCs w:val="20"/>
              </w:rPr>
            </w:pPr>
            <w:r w:rsidRPr="00D24409">
              <w:rPr>
                <w:sz w:val="20"/>
                <w:szCs w:val="20"/>
              </w:rPr>
              <w:t>Stancombe research</w:t>
            </w:r>
          </w:p>
        </w:tc>
        <w:tc>
          <w:tcPr>
            <w:tcW w:w="0" w:type="auto"/>
          </w:tcPr>
          <w:p w14:paraId="7C550410" w14:textId="77777777" w:rsidR="00801FDA" w:rsidRPr="00D24409" w:rsidRDefault="00801FDA" w:rsidP="006577FD">
            <w:pPr>
              <w:spacing w:after="100" w:afterAutospacing="1"/>
              <w:rPr>
                <w:sz w:val="20"/>
                <w:szCs w:val="20"/>
              </w:rPr>
            </w:pPr>
            <w:r w:rsidRPr="00D24409">
              <w:rPr>
                <w:sz w:val="20"/>
                <w:szCs w:val="20"/>
              </w:rPr>
              <w:t>97%</w:t>
            </w:r>
          </w:p>
        </w:tc>
      </w:tr>
      <w:tr w:rsidR="00801FDA" w:rsidRPr="00B72135" w14:paraId="1B7AE66A" w14:textId="77777777" w:rsidTr="00801FDA">
        <w:tc>
          <w:tcPr>
            <w:tcW w:w="4760" w:type="dxa"/>
            <w:shd w:val="clear" w:color="auto" w:fill="auto"/>
          </w:tcPr>
          <w:p w14:paraId="16192D3D" w14:textId="77777777" w:rsidR="00801FDA" w:rsidRPr="00D24409" w:rsidRDefault="00801FDA" w:rsidP="006577FD">
            <w:pPr>
              <w:spacing w:after="100" w:afterAutospacing="1"/>
              <w:rPr>
                <w:sz w:val="20"/>
                <w:szCs w:val="20"/>
              </w:rPr>
            </w:pPr>
            <w:r w:rsidRPr="00D24409">
              <w:rPr>
                <w:sz w:val="20"/>
                <w:szCs w:val="20"/>
              </w:rPr>
              <w:t>Not achieving adequate glycaemic control</w:t>
            </w:r>
          </w:p>
        </w:tc>
        <w:tc>
          <w:tcPr>
            <w:tcW w:w="3209" w:type="dxa"/>
            <w:shd w:val="clear" w:color="auto" w:fill="auto"/>
          </w:tcPr>
          <w:p w14:paraId="5EE94371" w14:textId="77777777" w:rsidR="00801FDA" w:rsidRPr="00D24409" w:rsidRDefault="00801FDA" w:rsidP="006577FD">
            <w:pPr>
              <w:spacing w:after="100" w:afterAutospacing="1"/>
              <w:rPr>
                <w:sz w:val="20"/>
                <w:szCs w:val="20"/>
              </w:rPr>
            </w:pPr>
            <w:r w:rsidRPr="00D24409">
              <w:rPr>
                <w:sz w:val="20"/>
                <w:szCs w:val="20"/>
              </w:rPr>
              <w:t>AUSDIAB suggests 49.5%</w:t>
            </w:r>
          </w:p>
        </w:tc>
        <w:tc>
          <w:tcPr>
            <w:tcW w:w="0" w:type="auto"/>
          </w:tcPr>
          <w:p w14:paraId="35CD2E6D" w14:textId="77777777" w:rsidR="00801FDA" w:rsidRPr="00D24409" w:rsidRDefault="00801FDA" w:rsidP="006577FD">
            <w:pPr>
              <w:spacing w:after="100" w:afterAutospacing="1"/>
              <w:rPr>
                <w:sz w:val="20"/>
                <w:szCs w:val="20"/>
              </w:rPr>
            </w:pPr>
            <w:r w:rsidRPr="00D24409">
              <w:rPr>
                <w:sz w:val="20"/>
                <w:szCs w:val="20"/>
              </w:rPr>
              <w:t>49.5%</w:t>
            </w:r>
          </w:p>
        </w:tc>
      </w:tr>
      <w:tr w:rsidR="00801FDA" w:rsidRPr="00B72135" w14:paraId="3E249EEF" w14:textId="77777777" w:rsidTr="00801FDA">
        <w:tc>
          <w:tcPr>
            <w:tcW w:w="4760" w:type="dxa"/>
            <w:shd w:val="clear" w:color="auto" w:fill="auto"/>
          </w:tcPr>
          <w:p w14:paraId="54E629AD" w14:textId="77777777" w:rsidR="00801FDA" w:rsidRPr="00D24409" w:rsidRDefault="00801FDA" w:rsidP="006577FD">
            <w:pPr>
              <w:spacing w:after="100" w:afterAutospacing="1"/>
              <w:rPr>
                <w:b/>
                <w:sz w:val="20"/>
                <w:szCs w:val="20"/>
              </w:rPr>
            </w:pPr>
            <w:r w:rsidRPr="00D24409">
              <w:rPr>
                <w:b/>
                <w:sz w:val="20"/>
                <w:szCs w:val="20"/>
              </w:rPr>
              <w:t>Assumptions affecting financial impact</w:t>
            </w:r>
          </w:p>
        </w:tc>
        <w:tc>
          <w:tcPr>
            <w:tcW w:w="3209" w:type="dxa"/>
            <w:shd w:val="clear" w:color="auto" w:fill="auto"/>
          </w:tcPr>
          <w:p w14:paraId="1CD9C264" w14:textId="77777777" w:rsidR="00801FDA" w:rsidRPr="00D24409" w:rsidRDefault="00801FDA" w:rsidP="006577FD">
            <w:pPr>
              <w:spacing w:after="100" w:afterAutospacing="1"/>
              <w:rPr>
                <w:sz w:val="20"/>
                <w:szCs w:val="20"/>
              </w:rPr>
            </w:pPr>
            <w:r w:rsidRPr="00D24409">
              <w:rPr>
                <w:sz w:val="20"/>
                <w:szCs w:val="20"/>
              </w:rPr>
              <w:t xml:space="preserve"> </w:t>
            </w:r>
          </w:p>
        </w:tc>
        <w:tc>
          <w:tcPr>
            <w:tcW w:w="0" w:type="auto"/>
          </w:tcPr>
          <w:p w14:paraId="6903496C" w14:textId="77777777" w:rsidR="00801FDA" w:rsidRPr="00D24409" w:rsidRDefault="00801FDA" w:rsidP="006577FD">
            <w:pPr>
              <w:spacing w:after="100" w:afterAutospacing="1"/>
              <w:rPr>
                <w:sz w:val="20"/>
                <w:szCs w:val="20"/>
              </w:rPr>
            </w:pPr>
            <w:r w:rsidRPr="00D24409">
              <w:rPr>
                <w:sz w:val="20"/>
                <w:szCs w:val="20"/>
              </w:rPr>
              <w:t xml:space="preserve"> </w:t>
            </w:r>
          </w:p>
        </w:tc>
      </w:tr>
      <w:tr w:rsidR="00801FDA" w:rsidRPr="00B72135" w14:paraId="78933B3B" w14:textId="77777777" w:rsidTr="00801FDA">
        <w:tc>
          <w:tcPr>
            <w:tcW w:w="4760" w:type="dxa"/>
            <w:shd w:val="clear" w:color="auto" w:fill="auto"/>
          </w:tcPr>
          <w:p w14:paraId="1DF2037A" w14:textId="77777777" w:rsidR="00801FDA" w:rsidRPr="00D24409" w:rsidRDefault="00801FDA" w:rsidP="006577FD">
            <w:pPr>
              <w:spacing w:after="100" w:afterAutospacing="1"/>
              <w:rPr>
                <w:b/>
                <w:sz w:val="20"/>
                <w:szCs w:val="20"/>
              </w:rPr>
            </w:pPr>
            <w:r w:rsidRPr="00D24409">
              <w:rPr>
                <w:b/>
                <w:sz w:val="20"/>
                <w:szCs w:val="20"/>
              </w:rPr>
              <w:t>Prescriber behaviour</w:t>
            </w:r>
          </w:p>
        </w:tc>
        <w:tc>
          <w:tcPr>
            <w:tcW w:w="3209" w:type="dxa"/>
            <w:shd w:val="clear" w:color="auto" w:fill="auto"/>
          </w:tcPr>
          <w:p w14:paraId="687C3230" w14:textId="77777777" w:rsidR="00801FDA" w:rsidRPr="00D24409" w:rsidRDefault="00801FDA" w:rsidP="006577FD">
            <w:pPr>
              <w:spacing w:after="100" w:afterAutospacing="1"/>
              <w:rPr>
                <w:sz w:val="20"/>
                <w:szCs w:val="20"/>
              </w:rPr>
            </w:pPr>
            <w:r w:rsidRPr="00D24409">
              <w:rPr>
                <w:sz w:val="20"/>
                <w:szCs w:val="20"/>
              </w:rPr>
              <w:t xml:space="preserve"> </w:t>
            </w:r>
          </w:p>
        </w:tc>
        <w:tc>
          <w:tcPr>
            <w:tcW w:w="0" w:type="auto"/>
          </w:tcPr>
          <w:p w14:paraId="7F9E5797" w14:textId="77777777" w:rsidR="00801FDA" w:rsidRPr="00D24409" w:rsidRDefault="00801FDA" w:rsidP="006577FD">
            <w:pPr>
              <w:spacing w:after="100" w:afterAutospacing="1"/>
              <w:rPr>
                <w:sz w:val="20"/>
                <w:szCs w:val="20"/>
              </w:rPr>
            </w:pPr>
            <w:r w:rsidRPr="00D24409">
              <w:rPr>
                <w:sz w:val="20"/>
                <w:szCs w:val="20"/>
              </w:rPr>
              <w:t xml:space="preserve"> </w:t>
            </w:r>
          </w:p>
        </w:tc>
      </w:tr>
      <w:tr w:rsidR="00801FDA" w:rsidRPr="00B72135" w14:paraId="646F88C6" w14:textId="77777777" w:rsidTr="00801FDA">
        <w:tc>
          <w:tcPr>
            <w:tcW w:w="4760" w:type="dxa"/>
            <w:shd w:val="clear" w:color="auto" w:fill="auto"/>
          </w:tcPr>
          <w:p w14:paraId="43543E8B" w14:textId="77777777" w:rsidR="00801FDA" w:rsidRPr="00D24409" w:rsidRDefault="00801FDA" w:rsidP="006577FD">
            <w:pPr>
              <w:spacing w:after="100" w:afterAutospacing="1"/>
              <w:rPr>
                <w:sz w:val="20"/>
                <w:szCs w:val="20"/>
              </w:rPr>
            </w:pPr>
            <w:r w:rsidRPr="00D24409">
              <w:rPr>
                <w:sz w:val="20"/>
                <w:szCs w:val="20"/>
              </w:rPr>
              <w:t>GP behaviour</w:t>
            </w:r>
          </w:p>
        </w:tc>
        <w:tc>
          <w:tcPr>
            <w:tcW w:w="3209" w:type="dxa"/>
            <w:shd w:val="clear" w:color="auto" w:fill="auto"/>
          </w:tcPr>
          <w:p w14:paraId="11F03AEF" w14:textId="77777777" w:rsidR="00801FDA" w:rsidRPr="00D24409" w:rsidRDefault="00801FDA" w:rsidP="006577FD">
            <w:pPr>
              <w:spacing w:after="100" w:afterAutospacing="1"/>
              <w:rPr>
                <w:sz w:val="20"/>
                <w:szCs w:val="20"/>
              </w:rPr>
            </w:pPr>
            <w:r w:rsidRPr="00D24409">
              <w:rPr>
                <w:sz w:val="20"/>
                <w:szCs w:val="20"/>
              </w:rPr>
              <w:t>Stancombe research</w:t>
            </w:r>
          </w:p>
        </w:tc>
        <w:tc>
          <w:tcPr>
            <w:tcW w:w="0" w:type="auto"/>
          </w:tcPr>
          <w:p w14:paraId="48118D88" w14:textId="77777777" w:rsidR="00801FDA" w:rsidRPr="00D24409" w:rsidRDefault="00801FDA" w:rsidP="006577FD">
            <w:pPr>
              <w:spacing w:after="100" w:afterAutospacing="1"/>
              <w:rPr>
                <w:sz w:val="20"/>
                <w:szCs w:val="20"/>
              </w:rPr>
            </w:pPr>
            <w:r w:rsidRPr="00D24409">
              <w:rPr>
                <w:sz w:val="20"/>
                <w:szCs w:val="20"/>
              </w:rPr>
              <w:t xml:space="preserve"> </w:t>
            </w:r>
          </w:p>
        </w:tc>
      </w:tr>
      <w:tr w:rsidR="00801FDA" w:rsidRPr="00B72135" w14:paraId="1E9E123D" w14:textId="77777777" w:rsidTr="00801FDA">
        <w:tc>
          <w:tcPr>
            <w:tcW w:w="4760" w:type="dxa"/>
            <w:shd w:val="clear" w:color="auto" w:fill="auto"/>
          </w:tcPr>
          <w:p w14:paraId="25DF0320" w14:textId="4BF5FA20" w:rsidR="00801FDA" w:rsidRPr="00D24409" w:rsidRDefault="00F518B8" w:rsidP="00F518B8">
            <w:pPr>
              <w:tabs>
                <w:tab w:val="left" w:pos="318"/>
              </w:tabs>
              <w:spacing w:after="100" w:afterAutospacing="1"/>
              <w:rPr>
                <w:sz w:val="20"/>
                <w:szCs w:val="20"/>
              </w:rPr>
            </w:pPr>
            <w:r>
              <w:rPr>
                <w:sz w:val="20"/>
                <w:szCs w:val="20"/>
              </w:rPr>
              <w:tab/>
            </w:r>
            <w:r w:rsidR="00801FDA" w:rsidRPr="00D24409">
              <w:rPr>
                <w:sz w:val="20"/>
                <w:szCs w:val="20"/>
              </w:rPr>
              <w:t>Will prescribe exenatide instead of TZD</w:t>
            </w:r>
          </w:p>
        </w:tc>
        <w:tc>
          <w:tcPr>
            <w:tcW w:w="3209" w:type="dxa"/>
            <w:shd w:val="clear" w:color="auto" w:fill="auto"/>
          </w:tcPr>
          <w:p w14:paraId="7787AB61" w14:textId="77777777" w:rsidR="00801FDA" w:rsidRPr="00D24409" w:rsidRDefault="00801FDA" w:rsidP="006577FD">
            <w:pPr>
              <w:spacing w:after="100" w:afterAutospacing="1"/>
              <w:rPr>
                <w:sz w:val="20"/>
                <w:szCs w:val="20"/>
              </w:rPr>
            </w:pPr>
            <w:r w:rsidRPr="00D24409">
              <w:rPr>
                <w:sz w:val="20"/>
                <w:szCs w:val="20"/>
              </w:rPr>
              <w:t>Stancombe research</w:t>
            </w:r>
          </w:p>
        </w:tc>
        <w:tc>
          <w:tcPr>
            <w:tcW w:w="0" w:type="auto"/>
          </w:tcPr>
          <w:p w14:paraId="2AC69064" w14:textId="77777777" w:rsidR="00801FDA" w:rsidRPr="00D24409" w:rsidRDefault="00801FDA" w:rsidP="006577FD">
            <w:pPr>
              <w:spacing w:after="100" w:afterAutospacing="1"/>
              <w:rPr>
                <w:sz w:val="20"/>
                <w:szCs w:val="20"/>
              </w:rPr>
            </w:pPr>
            <w:r w:rsidRPr="00D24409">
              <w:rPr>
                <w:sz w:val="20"/>
                <w:szCs w:val="20"/>
              </w:rPr>
              <w:t>20%</w:t>
            </w:r>
          </w:p>
        </w:tc>
      </w:tr>
      <w:tr w:rsidR="00801FDA" w:rsidRPr="00B72135" w14:paraId="408CFCA7" w14:textId="77777777" w:rsidTr="00801FDA">
        <w:tc>
          <w:tcPr>
            <w:tcW w:w="4760" w:type="dxa"/>
            <w:shd w:val="clear" w:color="auto" w:fill="auto"/>
          </w:tcPr>
          <w:p w14:paraId="312E73B2" w14:textId="312BDE3E" w:rsidR="00801FDA" w:rsidRPr="00D24409" w:rsidRDefault="00F518B8" w:rsidP="00F518B8">
            <w:pPr>
              <w:tabs>
                <w:tab w:val="left" w:pos="318"/>
              </w:tabs>
              <w:spacing w:after="100" w:afterAutospacing="1"/>
              <w:rPr>
                <w:sz w:val="20"/>
                <w:szCs w:val="20"/>
              </w:rPr>
            </w:pPr>
            <w:r>
              <w:rPr>
                <w:sz w:val="20"/>
                <w:szCs w:val="20"/>
              </w:rPr>
              <w:tab/>
            </w:r>
            <w:r w:rsidR="00801FDA" w:rsidRPr="00D24409">
              <w:rPr>
                <w:sz w:val="20"/>
                <w:szCs w:val="20"/>
              </w:rPr>
              <w:t>Will prescribe exenatide after TZD</w:t>
            </w:r>
          </w:p>
        </w:tc>
        <w:tc>
          <w:tcPr>
            <w:tcW w:w="3209" w:type="dxa"/>
            <w:shd w:val="clear" w:color="auto" w:fill="auto"/>
          </w:tcPr>
          <w:p w14:paraId="5E193CB8" w14:textId="77777777" w:rsidR="00801FDA" w:rsidRPr="00D24409" w:rsidRDefault="00801FDA" w:rsidP="006577FD">
            <w:pPr>
              <w:spacing w:after="100" w:afterAutospacing="1"/>
              <w:rPr>
                <w:sz w:val="20"/>
                <w:szCs w:val="20"/>
              </w:rPr>
            </w:pPr>
            <w:r w:rsidRPr="00D24409">
              <w:rPr>
                <w:sz w:val="20"/>
                <w:szCs w:val="20"/>
              </w:rPr>
              <w:t>Stancombe research</w:t>
            </w:r>
          </w:p>
        </w:tc>
        <w:tc>
          <w:tcPr>
            <w:tcW w:w="0" w:type="auto"/>
          </w:tcPr>
          <w:p w14:paraId="093B3C82" w14:textId="77777777" w:rsidR="00801FDA" w:rsidRPr="00D24409" w:rsidRDefault="00801FDA" w:rsidP="006577FD">
            <w:pPr>
              <w:spacing w:after="100" w:afterAutospacing="1"/>
              <w:rPr>
                <w:sz w:val="20"/>
                <w:szCs w:val="20"/>
              </w:rPr>
            </w:pPr>
            <w:r w:rsidRPr="00D24409">
              <w:rPr>
                <w:sz w:val="20"/>
                <w:szCs w:val="20"/>
              </w:rPr>
              <w:t>37%</w:t>
            </w:r>
          </w:p>
        </w:tc>
      </w:tr>
      <w:tr w:rsidR="00801FDA" w:rsidRPr="00B72135" w14:paraId="4924271E" w14:textId="77777777" w:rsidTr="00801FDA">
        <w:tc>
          <w:tcPr>
            <w:tcW w:w="4760" w:type="dxa"/>
            <w:shd w:val="clear" w:color="auto" w:fill="auto"/>
          </w:tcPr>
          <w:p w14:paraId="7BC559B2" w14:textId="77777777" w:rsidR="00801FDA" w:rsidRPr="00D24409" w:rsidRDefault="00801FDA" w:rsidP="006577FD">
            <w:pPr>
              <w:spacing w:after="100" w:afterAutospacing="1"/>
              <w:rPr>
                <w:sz w:val="20"/>
                <w:szCs w:val="20"/>
              </w:rPr>
            </w:pPr>
            <w:r w:rsidRPr="00D24409">
              <w:rPr>
                <w:sz w:val="20"/>
                <w:szCs w:val="20"/>
              </w:rPr>
              <w:t>Will refer to specialist</w:t>
            </w:r>
          </w:p>
        </w:tc>
        <w:tc>
          <w:tcPr>
            <w:tcW w:w="3209" w:type="dxa"/>
            <w:shd w:val="clear" w:color="auto" w:fill="auto"/>
          </w:tcPr>
          <w:p w14:paraId="5D0F095C" w14:textId="77777777" w:rsidR="00801FDA" w:rsidRPr="00D24409" w:rsidRDefault="00801FDA" w:rsidP="006577FD">
            <w:pPr>
              <w:spacing w:after="100" w:afterAutospacing="1"/>
              <w:rPr>
                <w:sz w:val="20"/>
                <w:szCs w:val="20"/>
              </w:rPr>
            </w:pPr>
            <w:r w:rsidRPr="00D24409">
              <w:rPr>
                <w:sz w:val="20"/>
                <w:szCs w:val="20"/>
              </w:rPr>
              <w:t xml:space="preserve">Stancombe research </w:t>
            </w:r>
          </w:p>
        </w:tc>
        <w:tc>
          <w:tcPr>
            <w:tcW w:w="0" w:type="auto"/>
          </w:tcPr>
          <w:p w14:paraId="24E6E677" w14:textId="77777777" w:rsidR="00801FDA" w:rsidRPr="00D24409" w:rsidRDefault="00801FDA" w:rsidP="006577FD">
            <w:pPr>
              <w:spacing w:after="100" w:afterAutospacing="1"/>
              <w:rPr>
                <w:sz w:val="20"/>
                <w:szCs w:val="20"/>
              </w:rPr>
            </w:pPr>
            <w:r w:rsidRPr="00D24409">
              <w:rPr>
                <w:sz w:val="20"/>
                <w:szCs w:val="20"/>
              </w:rPr>
              <w:t>40%</w:t>
            </w:r>
          </w:p>
        </w:tc>
      </w:tr>
      <w:tr w:rsidR="00801FDA" w:rsidRPr="00B72135" w14:paraId="30A5E947" w14:textId="77777777" w:rsidTr="00801FDA">
        <w:tc>
          <w:tcPr>
            <w:tcW w:w="4760" w:type="dxa"/>
            <w:shd w:val="clear" w:color="auto" w:fill="auto"/>
          </w:tcPr>
          <w:p w14:paraId="0AFD731B" w14:textId="0BFA2F8C" w:rsidR="00801FDA" w:rsidRPr="00D24409" w:rsidRDefault="00F518B8" w:rsidP="00F518B8">
            <w:pPr>
              <w:tabs>
                <w:tab w:val="left" w:pos="318"/>
              </w:tabs>
              <w:spacing w:after="100" w:afterAutospacing="1"/>
              <w:rPr>
                <w:sz w:val="20"/>
                <w:szCs w:val="20"/>
              </w:rPr>
            </w:pPr>
            <w:r>
              <w:rPr>
                <w:sz w:val="20"/>
                <w:szCs w:val="20"/>
              </w:rPr>
              <w:tab/>
            </w:r>
            <w:r w:rsidR="00801FDA" w:rsidRPr="00D24409">
              <w:rPr>
                <w:sz w:val="20"/>
                <w:szCs w:val="20"/>
              </w:rPr>
              <w:t>Will prescribe exenatide instead of TZD</w:t>
            </w:r>
          </w:p>
        </w:tc>
        <w:tc>
          <w:tcPr>
            <w:tcW w:w="3209" w:type="dxa"/>
            <w:shd w:val="clear" w:color="auto" w:fill="auto"/>
          </w:tcPr>
          <w:p w14:paraId="3835980B" w14:textId="77777777" w:rsidR="00801FDA" w:rsidRPr="00D24409" w:rsidRDefault="00801FDA" w:rsidP="006577FD">
            <w:pPr>
              <w:spacing w:after="100" w:afterAutospacing="1"/>
              <w:rPr>
                <w:sz w:val="20"/>
                <w:szCs w:val="20"/>
              </w:rPr>
            </w:pPr>
            <w:r w:rsidRPr="00D24409">
              <w:rPr>
                <w:sz w:val="20"/>
                <w:szCs w:val="20"/>
              </w:rPr>
              <w:t xml:space="preserve">Pretium research </w:t>
            </w:r>
          </w:p>
        </w:tc>
        <w:tc>
          <w:tcPr>
            <w:tcW w:w="0" w:type="auto"/>
          </w:tcPr>
          <w:p w14:paraId="7B16B18A" w14:textId="77777777" w:rsidR="00801FDA" w:rsidRPr="00D24409" w:rsidRDefault="00801FDA" w:rsidP="006577FD">
            <w:pPr>
              <w:spacing w:after="100" w:afterAutospacing="1"/>
              <w:rPr>
                <w:sz w:val="20"/>
                <w:szCs w:val="20"/>
              </w:rPr>
            </w:pPr>
            <w:r w:rsidRPr="00D24409">
              <w:rPr>
                <w:sz w:val="20"/>
                <w:szCs w:val="20"/>
              </w:rPr>
              <w:t>25%</w:t>
            </w:r>
          </w:p>
        </w:tc>
      </w:tr>
      <w:tr w:rsidR="00801FDA" w:rsidRPr="00B72135" w14:paraId="084B5A0F" w14:textId="77777777" w:rsidTr="00801FDA">
        <w:tc>
          <w:tcPr>
            <w:tcW w:w="4760" w:type="dxa"/>
            <w:shd w:val="clear" w:color="auto" w:fill="auto"/>
          </w:tcPr>
          <w:p w14:paraId="67F32314" w14:textId="0ECFA4B8" w:rsidR="00801FDA" w:rsidRPr="00D24409" w:rsidRDefault="00F518B8" w:rsidP="00F518B8">
            <w:pPr>
              <w:tabs>
                <w:tab w:val="left" w:pos="318"/>
              </w:tabs>
              <w:spacing w:after="100" w:afterAutospacing="1"/>
              <w:rPr>
                <w:sz w:val="20"/>
                <w:szCs w:val="20"/>
              </w:rPr>
            </w:pPr>
            <w:r>
              <w:rPr>
                <w:sz w:val="20"/>
                <w:szCs w:val="20"/>
              </w:rPr>
              <w:tab/>
            </w:r>
            <w:r w:rsidR="00801FDA" w:rsidRPr="00D24409">
              <w:rPr>
                <w:sz w:val="20"/>
                <w:szCs w:val="20"/>
              </w:rPr>
              <w:t>Will prescribe exenatide after TZD</w:t>
            </w:r>
          </w:p>
        </w:tc>
        <w:tc>
          <w:tcPr>
            <w:tcW w:w="3209" w:type="dxa"/>
            <w:shd w:val="clear" w:color="auto" w:fill="auto"/>
          </w:tcPr>
          <w:p w14:paraId="7595B1BF" w14:textId="77777777" w:rsidR="00801FDA" w:rsidRPr="00D24409" w:rsidRDefault="00801FDA" w:rsidP="006577FD">
            <w:pPr>
              <w:spacing w:after="100" w:afterAutospacing="1"/>
              <w:rPr>
                <w:sz w:val="20"/>
                <w:szCs w:val="20"/>
              </w:rPr>
            </w:pPr>
            <w:r w:rsidRPr="00D24409">
              <w:rPr>
                <w:sz w:val="20"/>
                <w:szCs w:val="20"/>
              </w:rPr>
              <w:t xml:space="preserve">Pretium research </w:t>
            </w:r>
          </w:p>
        </w:tc>
        <w:tc>
          <w:tcPr>
            <w:tcW w:w="0" w:type="auto"/>
          </w:tcPr>
          <w:p w14:paraId="0AD0D36B" w14:textId="77777777" w:rsidR="00801FDA" w:rsidRPr="00D24409" w:rsidRDefault="00801FDA" w:rsidP="006577FD">
            <w:pPr>
              <w:spacing w:after="100" w:afterAutospacing="1"/>
              <w:rPr>
                <w:sz w:val="20"/>
                <w:szCs w:val="20"/>
              </w:rPr>
            </w:pPr>
            <w:r w:rsidRPr="00D24409">
              <w:rPr>
                <w:sz w:val="20"/>
                <w:szCs w:val="20"/>
              </w:rPr>
              <w:t>25%</w:t>
            </w:r>
          </w:p>
        </w:tc>
      </w:tr>
      <w:tr w:rsidR="00801FDA" w:rsidRPr="00B72135" w14:paraId="7490E79A" w14:textId="77777777" w:rsidTr="00801FDA">
        <w:tc>
          <w:tcPr>
            <w:tcW w:w="4760" w:type="dxa"/>
            <w:shd w:val="clear" w:color="auto" w:fill="auto"/>
          </w:tcPr>
          <w:p w14:paraId="4DCAAF0A" w14:textId="7D5B2652" w:rsidR="00801FDA" w:rsidRPr="00D24409" w:rsidRDefault="00F518B8" w:rsidP="00F518B8">
            <w:pPr>
              <w:tabs>
                <w:tab w:val="left" w:pos="318"/>
              </w:tabs>
              <w:spacing w:after="100" w:afterAutospacing="1"/>
              <w:rPr>
                <w:sz w:val="20"/>
                <w:szCs w:val="20"/>
              </w:rPr>
            </w:pPr>
            <w:r>
              <w:rPr>
                <w:sz w:val="20"/>
                <w:szCs w:val="20"/>
              </w:rPr>
              <w:tab/>
            </w:r>
            <w:r w:rsidR="00801FDA" w:rsidRPr="00D24409">
              <w:rPr>
                <w:sz w:val="20"/>
                <w:szCs w:val="20"/>
              </w:rPr>
              <w:t>Will prescribe insulin</w:t>
            </w:r>
          </w:p>
        </w:tc>
        <w:tc>
          <w:tcPr>
            <w:tcW w:w="3209" w:type="dxa"/>
            <w:shd w:val="clear" w:color="auto" w:fill="auto"/>
          </w:tcPr>
          <w:p w14:paraId="73A9F84F" w14:textId="77777777" w:rsidR="00801FDA" w:rsidRPr="00D24409" w:rsidRDefault="00801FDA" w:rsidP="006577FD">
            <w:pPr>
              <w:spacing w:after="100" w:afterAutospacing="1"/>
              <w:rPr>
                <w:sz w:val="20"/>
                <w:szCs w:val="20"/>
              </w:rPr>
            </w:pPr>
            <w:r w:rsidRPr="00D24409">
              <w:rPr>
                <w:sz w:val="20"/>
                <w:szCs w:val="20"/>
              </w:rPr>
              <w:t xml:space="preserve">Pretium research </w:t>
            </w:r>
          </w:p>
        </w:tc>
        <w:tc>
          <w:tcPr>
            <w:tcW w:w="0" w:type="auto"/>
          </w:tcPr>
          <w:p w14:paraId="5AA7DB32" w14:textId="77777777" w:rsidR="00801FDA" w:rsidRPr="00D24409" w:rsidRDefault="00801FDA" w:rsidP="006577FD">
            <w:pPr>
              <w:spacing w:after="100" w:afterAutospacing="1"/>
              <w:rPr>
                <w:sz w:val="20"/>
                <w:szCs w:val="20"/>
              </w:rPr>
            </w:pPr>
            <w:r w:rsidRPr="00D24409">
              <w:rPr>
                <w:sz w:val="20"/>
                <w:szCs w:val="20"/>
              </w:rPr>
              <w:t>50%</w:t>
            </w:r>
          </w:p>
        </w:tc>
      </w:tr>
      <w:tr w:rsidR="00801FDA" w:rsidRPr="00B72135" w14:paraId="453BE856" w14:textId="77777777" w:rsidTr="00801FDA">
        <w:tc>
          <w:tcPr>
            <w:tcW w:w="4760" w:type="dxa"/>
            <w:shd w:val="clear" w:color="auto" w:fill="auto"/>
          </w:tcPr>
          <w:p w14:paraId="7611E1FF" w14:textId="77777777" w:rsidR="00801FDA" w:rsidRPr="00D24409" w:rsidRDefault="00801FDA" w:rsidP="006577FD">
            <w:pPr>
              <w:spacing w:after="100" w:afterAutospacing="1"/>
              <w:rPr>
                <w:sz w:val="20"/>
                <w:szCs w:val="20"/>
              </w:rPr>
            </w:pPr>
            <w:r w:rsidRPr="00D24409">
              <w:rPr>
                <w:sz w:val="20"/>
                <w:szCs w:val="20"/>
              </w:rPr>
              <w:t>Disposition - drop-out after titration</w:t>
            </w:r>
          </w:p>
        </w:tc>
        <w:tc>
          <w:tcPr>
            <w:tcW w:w="3209" w:type="dxa"/>
            <w:shd w:val="clear" w:color="auto" w:fill="auto"/>
          </w:tcPr>
          <w:p w14:paraId="2717F8C9" w14:textId="77777777" w:rsidR="00801FDA" w:rsidRPr="00D24409" w:rsidRDefault="00801FDA" w:rsidP="006577FD">
            <w:pPr>
              <w:spacing w:after="100" w:afterAutospacing="1"/>
              <w:rPr>
                <w:sz w:val="20"/>
                <w:szCs w:val="20"/>
              </w:rPr>
            </w:pPr>
            <w:r w:rsidRPr="00D24409">
              <w:rPr>
                <w:sz w:val="20"/>
                <w:szCs w:val="20"/>
              </w:rPr>
              <w:t xml:space="preserve"> </w:t>
            </w:r>
            <w:r>
              <w:rPr>
                <w:sz w:val="20"/>
                <w:szCs w:val="20"/>
              </w:rPr>
              <w:t>Not specified</w:t>
            </w:r>
          </w:p>
        </w:tc>
        <w:tc>
          <w:tcPr>
            <w:tcW w:w="0" w:type="auto"/>
          </w:tcPr>
          <w:p w14:paraId="5DB00851" w14:textId="77777777" w:rsidR="00801FDA" w:rsidRPr="00D24409" w:rsidRDefault="00801FDA" w:rsidP="006577FD">
            <w:pPr>
              <w:spacing w:after="100" w:afterAutospacing="1"/>
              <w:rPr>
                <w:sz w:val="20"/>
                <w:szCs w:val="20"/>
              </w:rPr>
            </w:pPr>
            <w:r w:rsidRPr="00D24409">
              <w:rPr>
                <w:sz w:val="20"/>
                <w:szCs w:val="20"/>
              </w:rPr>
              <w:t>20%</w:t>
            </w:r>
          </w:p>
        </w:tc>
      </w:tr>
      <w:tr w:rsidR="00801FDA" w:rsidRPr="00B72135" w14:paraId="79BB556A" w14:textId="77777777" w:rsidTr="00801FDA">
        <w:tc>
          <w:tcPr>
            <w:tcW w:w="4760" w:type="dxa"/>
            <w:shd w:val="clear" w:color="auto" w:fill="auto"/>
          </w:tcPr>
          <w:p w14:paraId="264D0E13" w14:textId="77777777" w:rsidR="00801FDA" w:rsidRPr="00D24409" w:rsidRDefault="00801FDA" w:rsidP="006577FD">
            <w:pPr>
              <w:spacing w:after="100" w:afterAutospacing="1"/>
              <w:rPr>
                <w:sz w:val="20"/>
                <w:szCs w:val="20"/>
              </w:rPr>
            </w:pPr>
            <w:r w:rsidRPr="00D24409">
              <w:rPr>
                <w:sz w:val="20"/>
                <w:szCs w:val="20"/>
              </w:rPr>
              <w:t>Drug consumed within 30 days</w:t>
            </w:r>
          </w:p>
        </w:tc>
        <w:tc>
          <w:tcPr>
            <w:tcW w:w="3209" w:type="dxa"/>
            <w:shd w:val="clear" w:color="auto" w:fill="auto"/>
          </w:tcPr>
          <w:p w14:paraId="7521B8C7" w14:textId="77777777" w:rsidR="00801FDA" w:rsidRPr="00745041" w:rsidRDefault="00801FDA" w:rsidP="006577FD">
            <w:pPr>
              <w:spacing w:after="100" w:afterAutospacing="1"/>
              <w:rPr>
                <w:sz w:val="20"/>
                <w:szCs w:val="20"/>
              </w:rPr>
            </w:pPr>
            <w:r w:rsidRPr="00745041">
              <w:rPr>
                <w:sz w:val="20"/>
                <w:szCs w:val="20"/>
              </w:rPr>
              <w:t>Shelf life for pen in use is 30 days</w:t>
            </w:r>
          </w:p>
        </w:tc>
        <w:tc>
          <w:tcPr>
            <w:tcW w:w="0" w:type="auto"/>
          </w:tcPr>
          <w:p w14:paraId="29BAAE3E" w14:textId="77777777" w:rsidR="00801FDA" w:rsidRPr="00D24409" w:rsidRDefault="00801FDA" w:rsidP="006577FD">
            <w:pPr>
              <w:spacing w:after="100" w:afterAutospacing="1"/>
              <w:rPr>
                <w:sz w:val="20"/>
                <w:szCs w:val="20"/>
              </w:rPr>
            </w:pPr>
            <w:r w:rsidRPr="00D24409">
              <w:rPr>
                <w:sz w:val="20"/>
                <w:szCs w:val="20"/>
              </w:rPr>
              <w:t>100%</w:t>
            </w:r>
          </w:p>
        </w:tc>
      </w:tr>
      <w:tr w:rsidR="00801FDA" w:rsidRPr="00B72135" w14:paraId="604CF945" w14:textId="77777777" w:rsidTr="00801FDA">
        <w:tc>
          <w:tcPr>
            <w:tcW w:w="4760" w:type="dxa"/>
            <w:shd w:val="clear" w:color="auto" w:fill="auto"/>
          </w:tcPr>
          <w:p w14:paraId="22C8BBFF" w14:textId="50330260" w:rsidR="00801FDA" w:rsidRPr="00D24409" w:rsidRDefault="00801FDA" w:rsidP="006577FD">
            <w:pPr>
              <w:spacing w:after="100" w:afterAutospacing="1"/>
              <w:rPr>
                <w:sz w:val="20"/>
                <w:szCs w:val="20"/>
              </w:rPr>
            </w:pPr>
            <w:r w:rsidRPr="00D24409">
              <w:rPr>
                <w:sz w:val="20"/>
                <w:szCs w:val="20"/>
              </w:rPr>
              <w:t>Exenatide 5</w:t>
            </w:r>
            <w:r w:rsidR="00D57B6F">
              <w:rPr>
                <w:sz w:val="20"/>
                <w:szCs w:val="20"/>
              </w:rPr>
              <w:t xml:space="preserve"> </w:t>
            </w:r>
            <w:r w:rsidR="00203310">
              <w:rPr>
                <w:sz w:val="20"/>
                <w:szCs w:val="20"/>
              </w:rPr>
              <w:t>microgram</w:t>
            </w:r>
          </w:p>
        </w:tc>
        <w:tc>
          <w:tcPr>
            <w:tcW w:w="3209" w:type="dxa"/>
            <w:shd w:val="clear" w:color="auto" w:fill="auto"/>
          </w:tcPr>
          <w:p w14:paraId="09E0DC1D" w14:textId="77777777" w:rsidR="00801FDA" w:rsidRPr="00D24409" w:rsidRDefault="00801FDA" w:rsidP="006577FD">
            <w:pPr>
              <w:spacing w:after="100" w:afterAutospacing="1"/>
              <w:rPr>
                <w:sz w:val="20"/>
                <w:szCs w:val="20"/>
              </w:rPr>
            </w:pPr>
            <w:r w:rsidRPr="00D24409">
              <w:rPr>
                <w:sz w:val="20"/>
                <w:szCs w:val="20"/>
              </w:rPr>
              <w:t>Maximum 4 weeks (1 pen per initiation)</w:t>
            </w:r>
          </w:p>
        </w:tc>
        <w:tc>
          <w:tcPr>
            <w:tcW w:w="0" w:type="auto"/>
          </w:tcPr>
          <w:p w14:paraId="1268FA09" w14:textId="77777777" w:rsidR="00801FDA" w:rsidRPr="00D24409" w:rsidRDefault="00801FDA" w:rsidP="006577FD">
            <w:pPr>
              <w:spacing w:after="100" w:afterAutospacing="1"/>
              <w:rPr>
                <w:sz w:val="20"/>
                <w:szCs w:val="20"/>
              </w:rPr>
            </w:pPr>
            <w:r w:rsidRPr="00D24409">
              <w:rPr>
                <w:sz w:val="20"/>
                <w:szCs w:val="20"/>
              </w:rPr>
              <w:t xml:space="preserve"> </w:t>
            </w:r>
          </w:p>
        </w:tc>
      </w:tr>
      <w:tr w:rsidR="00801FDA" w:rsidRPr="00B72135" w14:paraId="767ED241" w14:textId="77777777" w:rsidTr="00801FDA">
        <w:tc>
          <w:tcPr>
            <w:tcW w:w="4760" w:type="dxa"/>
            <w:shd w:val="clear" w:color="auto" w:fill="auto"/>
          </w:tcPr>
          <w:p w14:paraId="0403A948" w14:textId="76E1FD6D" w:rsidR="00801FDA" w:rsidRPr="00D24409" w:rsidRDefault="00801FDA" w:rsidP="00DA7459">
            <w:pPr>
              <w:spacing w:after="100" w:afterAutospacing="1"/>
              <w:rPr>
                <w:sz w:val="20"/>
                <w:szCs w:val="20"/>
              </w:rPr>
            </w:pPr>
            <w:r w:rsidRPr="00D24409">
              <w:rPr>
                <w:sz w:val="20"/>
                <w:szCs w:val="20"/>
              </w:rPr>
              <w:t>Exenatide 10</w:t>
            </w:r>
            <w:r w:rsidR="00DA7459">
              <w:rPr>
                <w:sz w:val="20"/>
                <w:szCs w:val="20"/>
              </w:rPr>
              <w:t xml:space="preserve"> microgram</w:t>
            </w:r>
            <w:r w:rsidRPr="00D24409">
              <w:rPr>
                <w:sz w:val="20"/>
                <w:szCs w:val="20"/>
              </w:rPr>
              <w:t xml:space="preserve"> (second script onwards)</w:t>
            </w:r>
          </w:p>
        </w:tc>
        <w:tc>
          <w:tcPr>
            <w:tcW w:w="3209" w:type="dxa"/>
            <w:shd w:val="clear" w:color="auto" w:fill="auto"/>
          </w:tcPr>
          <w:p w14:paraId="1B81E123" w14:textId="77777777" w:rsidR="00801FDA" w:rsidRPr="00D24409" w:rsidRDefault="00801FDA" w:rsidP="006577FD">
            <w:pPr>
              <w:spacing w:after="100" w:afterAutospacing="1"/>
              <w:rPr>
                <w:sz w:val="20"/>
                <w:szCs w:val="20"/>
              </w:rPr>
            </w:pPr>
            <w:r w:rsidRPr="00D24409">
              <w:rPr>
                <w:sz w:val="20"/>
                <w:szCs w:val="20"/>
              </w:rPr>
              <w:t>Based on equal monthly initiations</w:t>
            </w:r>
          </w:p>
        </w:tc>
        <w:tc>
          <w:tcPr>
            <w:tcW w:w="0" w:type="auto"/>
          </w:tcPr>
          <w:p w14:paraId="60A6B51C" w14:textId="77777777" w:rsidR="00801FDA" w:rsidRPr="00D24409" w:rsidRDefault="00801FDA" w:rsidP="006577FD">
            <w:pPr>
              <w:spacing w:after="100" w:afterAutospacing="1"/>
              <w:rPr>
                <w:sz w:val="20"/>
                <w:szCs w:val="20"/>
              </w:rPr>
            </w:pPr>
            <w:r w:rsidRPr="00D24409">
              <w:rPr>
                <w:sz w:val="20"/>
                <w:szCs w:val="20"/>
              </w:rPr>
              <w:t xml:space="preserve"> </w:t>
            </w:r>
          </w:p>
        </w:tc>
      </w:tr>
      <w:tr w:rsidR="00801FDA" w:rsidRPr="00B72135" w14:paraId="1C33A6DA" w14:textId="77777777" w:rsidTr="00801FDA">
        <w:tc>
          <w:tcPr>
            <w:tcW w:w="4760" w:type="dxa"/>
            <w:shd w:val="clear" w:color="auto" w:fill="auto"/>
          </w:tcPr>
          <w:p w14:paraId="7A54F4B5" w14:textId="77777777" w:rsidR="00801FDA" w:rsidRPr="00D24409" w:rsidRDefault="00801FDA" w:rsidP="006577FD">
            <w:pPr>
              <w:spacing w:after="100" w:afterAutospacing="1"/>
              <w:rPr>
                <w:sz w:val="20"/>
                <w:szCs w:val="20"/>
              </w:rPr>
            </w:pPr>
            <w:r w:rsidRPr="00D24409">
              <w:rPr>
                <w:sz w:val="20"/>
                <w:szCs w:val="20"/>
              </w:rPr>
              <w:t>Assumed uptake rate</w:t>
            </w:r>
          </w:p>
        </w:tc>
        <w:tc>
          <w:tcPr>
            <w:tcW w:w="3209" w:type="dxa"/>
            <w:shd w:val="clear" w:color="auto" w:fill="auto"/>
          </w:tcPr>
          <w:p w14:paraId="283CAF94" w14:textId="77777777" w:rsidR="00801FDA" w:rsidRPr="00D24409" w:rsidRDefault="00801FDA" w:rsidP="006577FD">
            <w:pPr>
              <w:spacing w:after="100" w:afterAutospacing="1"/>
              <w:rPr>
                <w:sz w:val="20"/>
                <w:szCs w:val="20"/>
              </w:rPr>
            </w:pPr>
            <w:r>
              <w:rPr>
                <w:sz w:val="20"/>
                <w:szCs w:val="20"/>
              </w:rPr>
              <w:t>Year 0 (private market before listing)</w:t>
            </w:r>
          </w:p>
        </w:tc>
        <w:tc>
          <w:tcPr>
            <w:tcW w:w="0" w:type="auto"/>
          </w:tcPr>
          <w:p w14:paraId="3B2882EE" w14:textId="77777777" w:rsidR="00801FDA" w:rsidRPr="00D24409" w:rsidRDefault="00801FDA" w:rsidP="006577FD">
            <w:pPr>
              <w:spacing w:after="100" w:afterAutospacing="1"/>
              <w:rPr>
                <w:sz w:val="20"/>
                <w:szCs w:val="20"/>
              </w:rPr>
            </w:pPr>
            <w:r w:rsidRPr="00D24409">
              <w:rPr>
                <w:sz w:val="20"/>
                <w:szCs w:val="20"/>
              </w:rPr>
              <w:t xml:space="preserve"> </w:t>
            </w:r>
            <w:r>
              <w:rPr>
                <w:sz w:val="20"/>
                <w:szCs w:val="20"/>
              </w:rPr>
              <w:t>2.0%</w:t>
            </w:r>
          </w:p>
        </w:tc>
      </w:tr>
      <w:tr w:rsidR="00801FDA" w:rsidRPr="00B72135" w14:paraId="059C5412" w14:textId="77777777" w:rsidTr="00801FDA">
        <w:tc>
          <w:tcPr>
            <w:tcW w:w="4760" w:type="dxa"/>
            <w:shd w:val="clear" w:color="auto" w:fill="auto"/>
          </w:tcPr>
          <w:p w14:paraId="0494AA21" w14:textId="77777777" w:rsidR="00801FDA" w:rsidRPr="00D24409" w:rsidRDefault="00801FDA" w:rsidP="006577FD">
            <w:pPr>
              <w:spacing w:after="100" w:afterAutospacing="1"/>
              <w:rPr>
                <w:sz w:val="20"/>
                <w:szCs w:val="20"/>
              </w:rPr>
            </w:pPr>
          </w:p>
        </w:tc>
        <w:tc>
          <w:tcPr>
            <w:tcW w:w="3209" w:type="dxa"/>
            <w:shd w:val="clear" w:color="auto" w:fill="auto"/>
          </w:tcPr>
          <w:p w14:paraId="564F588D" w14:textId="77777777" w:rsidR="00801FDA" w:rsidRPr="00D24409" w:rsidRDefault="00801FDA" w:rsidP="006577FD">
            <w:pPr>
              <w:spacing w:after="100" w:afterAutospacing="1"/>
              <w:rPr>
                <w:sz w:val="20"/>
                <w:szCs w:val="20"/>
              </w:rPr>
            </w:pPr>
            <w:r>
              <w:rPr>
                <w:sz w:val="20"/>
                <w:szCs w:val="20"/>
              </w:rPr>
              <w:t>Year 1</w:t>
            </w:r>
          </w:p>
        </w:tc>
        <w:tc>
          <w:tcPr>
            <w:tcW w:w="0" w:type="auto"/>
          </w:tcPr>
          <w:p w14:paraId="3D050BA3" w14:textId="77777777" w:rsidR="00801FDA" w:rsidRPr="00D24409" w:rsidRDefault="00801FDA" w:rsidP="006577FD">
            <w:pPr>
              <w:spacing w:after="100" w:afterAutospacing="1"/>
              <w:rPr>
                <w:sz w:val="20"/>
                <w:szCs w:val="20"/>
              </w:rPr>
            </w:pPr>
            <w:r>
              <w:rPr>
                <w:sz w:val="20"/>
                <w:szCs w:val="20"/>
              </w:rPr>
              <w:t>10.0%</w:t>
            </w:r>
          </w:p>
        </w:tc>
      </w:tr>
      <w:tr w:rsidR="00801FDA" w:rsidRPr="00B72135" w14:paraId="05567422" w14:textId="77777777" w:rsidTr="00801FDA">
        <w:tc>
          <w:tcPr>
            <w:tcW w:w="4760" w:type="dxa"/>
            <w:shd w:val="clear" w:color="auto" w:fill="auto"/>
          </w:tcPr>
          <w:p w14:paraId="5951E093" w14:textId="77777777" w:rsidR="00801FDA" w:rsidRPr="00D24409" w:rsidRDefault="00801FDA" w:rsidP="006577FD">
            <w:pPr>
              <w:spacing w:after="100" w:afterAutospacing="1"/>
              <w:rPr>
                <w:sz w:val="20"/>
                <w:szCs w:val="20"/>
              </w:rPr>
            </w:pPr>
          </w:p>
        </w:tc>
        <w:tc>
          <w:tcPr>
            <w:tcW w:w="3209" w:type="dxa"/>
            <w:shd w:val="clear" w:color="auto" w:fill="auto"/>
          </w:tcPr>
          <w:p w14:paraId="35213D6C" w14:textId="77777777" w:rsidR="00801FDA" w:rsidRPr="00D24409" w:rsidRDefault="00801FDA" w:rsidP="006577FD">
            <w:pPr>
              <w:spacing w:after="100" w:afterAutospacing="1"/>
              <w:rPr>
                <w:sz w:val="20"/>
                <w:szCs w:val="20"/>
              </w:rPr>
            </w:pPr>
            <w:r>
              <w:rPr>
                <w:sz w:val="20"/>
                <w:szCs w:val="20"/>
              </w:rPr>
              <w:t>Year 2</w:t>
            </w:r>
          </w:p>
        </w:tc>
        <w:tc>
          <w:tcPr>
            <w:tcW w:w="0" w:type="auto"/>
          </w:tcPr>
          <w:p w14:paraId="573E1FCA" w14:textId="77777777" w:rsidR="00801FDA" w:rsidRPr="00D24409" w:rsidRDefault="00801FDA" w:rsidP="006577FD">
            <w:pPr>
              <w:spacing w:after="100" w:afterAutospacing="1"/>
              <w:rPr>
                <w:sz w:val="20"/>
                <w:szCs w:val="20"/>
              </w:rPr>
            </w:pPr>
            <w:r>
              <w:rPr>
                <w:sz w:val="20"/>
                <w:szCs w:val="20"/>
              </w:rPr>
              <w:t>18.0%</w:t>
            </w:r>
          </w:p>
        </w:tc>
      </w:tr>
      <w:tr w:rsidR="00801FDA" w:rsidRPr="00B72135" w14:paraId="29287F6D" w14:textId="77777777" w:rsidTr="00801FDA">
        <w:tc>
          <w:tcPr>
            <w:tcW w:w="4760" w:type="dxa"/>
            <w:shd w:val="clear" w:color="auto" w:fill="auto"/>
          </w:tcPr>
          <w:p w14:paraId="60B1F778" w14:textId="77777777" w:rsidR="00801FDA" w:rsidRPr="00D24409" w:rsidRDefault="00801FDA" w:rsidP="006577FD">
            <w:pPr>
              <w:spacing w:after="100" w:afterAutospacing="1"/>
              <w:rPr>
                <w:sz w:val="20"/>
                <w:szCs w:val="20"/>
              </w:rPr>
            </w:pPr>
          </w:p>
        </w:tc>
        <w:tc>
          <w:tcPr>
            <w:tcW w:w="3209" w:type="dxa"/>
            <w:shd w:val="clear" w:color="auto" w:fill="auto"/>
          </w:tcPr>
          <w:p w14:paraId="266F9C80" w14:textId="77777777" w:rsidR="00801FDA" w:rsidRPr="00D24409" w:rsidRDefault="00801FDA" w:rsidP="006577FD">
            <w:pPr>
              <w:spacing w:after="100" w:afterAutospacing="1"/>
              <w:rPr>
                <w:sz w:val="20"/>
                <w:szCs w:val="20"/>
              </w:rPr>
            </w:pPr>
            <w:r>
              <w:rPr>
                <w:sz w:val="20"/>
                <w:szCs w:val="20"/>
              </w:rPr>
              <w:t>Year 3</w:t>
            </w:r>
          </w:p>
        </w:tc>
        <w:tc>
          <w:tcPr>
            <w:tcW w:w="0" w:type="auto"/>
          </w:tcPr>
          <w:p w14:paraId="22D38F2D" w14:textId="77777777" w:rsidR="00801FDA" w:rsidRPr="00D24409" w:rsidRDefault="00801FDA" w:rsidP="006577FD">
            <w:pPr>
              <w:spacing w:after="100" w:afterAutospacing="1"/>
              <w:rPr>
                <w:sz w:val="20"/>
                <w:szCs w:val="20"/>
              </w:rPr>
            </w:pPr>
            <w:r>
              <w:rPr>
                <w:sz w:val="20"/>
                <w:szCs w:val="20"/>
              </w:rPr>
              <w:t>23.0%</w:t>
            </w:r>
          </w:p>
        </w:tc>
      </w:tr>
      <w:tr w:rsidR="00801FDA" w:rsidRPr="00B72135" w14:paraId="77CA2BF3" w14:textId="77777777" w:rsidTr="00801FDA">
        <w:tc>
          <w:tcPr>
            <w:tcW w:w="4760" w:type="dxa"/>
            <w:shd w:val="clear" w:color="auto" w:fill="auto"/>
          </w:tcPr>
          <w:p w14:paraId="11AD366B" w14:textId="77777777" w:rsidR="00801FDA" w:rsidRPr="00D24409" w:rsidRDefault="00801FDA" w:rsidP="006577FD">
            <w:pPr>
              <w:spacing w:after="100" w:afterAutospacing="1"/>
              <w:rPr>
                <w:sz w:val="20"/>
                <w:szCs w:val="20"/>
              </w:rPr>
            </w:pPr>
          </w:p>
        </w:tc>
        <w:tc>
          <w:tcPr>
            <w:tcW w:w="3209" w:type="dxa"/>
            <w:shd w:val="clear" w:color="auto" w:fill="auto"/>
          </w:tcPr>
          <w:p w14:paraId="3D0D54BA" w14:textId="77777777" w:rsidR="00801FDA" w:rsidRPr="00D24409" w:rsidRDefault="00801FDA" w:rsidP="006577FD">
            <w:pPr>
              <w:spacing w:after="100" w:afterAutospacing="1"/>
              <w:rPr>
                <w:sz w:val="20"/>
                <w:szCs w:val="20"/>
              </w:rPr>
            </w:pPr>
            <w:r>
              <w:rPr>
                <w:sz w:val="20"/>
                <w:szCs w:val="20"/>
              </w:rPr>
              <w:t>Year 4</w:t>
            </w:r>
          </w:p>
        </w:tc>
        <w:tc>
          <w:tcPr>
            <w:tcW w:w="0" w:type="auto"/>
          </w:tcPr>
          <w:p w14:paraId="437843B4" w14:textId="77777777" w:rsidR="00801FDA" w:rsidRPr="00D24409" w:rsidRDefault="00801FDA" w:rsidP="006577FD">
            <w:pPr>
              <w:spacing w:after="100" w:afterAutospacing="1"/>
              <w:rPr>
                <w:sz w:val="20"/>
                <w:szCs w:val="20"/>
              </w:rPr>
            </w:pPr>
            <w:r>
              <w:rPr>
                <w:sz w:val="20"/>
                <w:szCs w:val="20"/>
              </w:rPr>
              <w:t>25.5%</w:t>
            </w:r>
          </w:p>
        </w:tc>
      </w:tr>
      <w:tr w:rsidR="00801FDA" w:rsidRPr="00B72135" w14:paraId="36F8493F" w14:textId="77777777" w:rsidTr="00801FDA">
        <w:tc>
          <w:tcPr>
            <w:tcW w:w="4760" w:type="dxa"/>
            <w:shd w:val="clear" w:color="auto" w:fill="auto"/>
          </w:tcPr>
          <w:p w14:paraId="22050822" w14:textId="77777777" w:rsidR="00801FDA" w:rsidRPr="00D24409" w:rsidRDefault="00801FDA" w:rsidP="006577FD">
            <w:pPr>
              <w:spacing w:after="100" w:afterAutospacing="1"/>
              <w:rPr>
                <w:sz w:val="20"/>
                <w:szCs w:val="20"/>
              </w:rPr>
            </w:pPr>
          </w:p>
        </w:tc>
        <w:tc>
          <w:tcPr>
            <w:tcW w:w="3209" w:type="dxa"/>
            <w:shd w:val="clear" w:color="auto" w:fill="auto"/>
          </w:tcPr>
          <w:p w14:paraId="3615C7C2" w14:textId="77777777" w:rsidR="00801FDA" w:rsidRPr="00D24409" w:rsidRDefault="00801FDA" w:rsidP="006577FD">
            <w:pPr>
              <w:spacing w:after="100" w:afterAutospacing="1"/>
              <w:rPr>
                <w:sz w:val="20"/>
                <w:szCs w:val="20"/>
              </w:rPr>
            </w:pPr>
            <w:r>
              <w:rPr>
                <w:sz w:val="20"/>
                <w:szCs w:val="20"/>
              </w:rPr>
              <w:t>Year 5</w:t>
            </w:r>
          </w:p>
        </w:tc>
        <w:tc>
          <w:tcPr>
            <w:tcW w:w="0" w:type="auto"/>
          </w:tcPr>
          <w:p w14:paraId="7C9D3B49" w14:textId="77777777" w:rsidR="00801FDA" w:rsidRDefault="00801FDA" w:rsidP="006577FD">
            <w:pPr>
              <w:spacing w:after="100" w:afterAutospacing="1"/>
              <w:rPr>
                <w:sz w:val="20"/>
                <w:szCs w:val="20"/>
              </w:rPr>
            </w:pPr>
            <w:r>
              <w:rPr>
                <w:sz w:val="20"/>
                <w:szCs w:val="20"/>
              </w:rPr>
              <w:t>28.0%</w:t>
            </w:r>
          </w:p>
        </w:tc>
      </w:tr>
    </w:tbl>
    <w:p w14:paraId="6E1EB4C0" w14:textId="77777777" w:rsidR="00801FDA" w:rsidRDefault="00801FDA" w:rsidP="00801FDA">
      <w:pPr>
        <w:rPr>
          <w:rFonts w:cs="Arial"/>
          <w:sz w:val="20"/>
          <w:szCs w:val="20"/>
        </w:rPr>
      </w:pPr>
      <w:r w:rsidRPr="00B72135">
        <w:rPr>
          <w:rFonts w:cs="Arial"/>
          <w:sz w:val="20"/>
          <w:szCs w:val="20"/>
        </w:rPr>
        <w:t xml:space="preserve">Source: </w:t>
      </w:r>
      <w:r>
        <w:rPr>
          <w:rFonts w:cs="Arial"/>
          <w:sz w:val="20"/>
          <w:szCs w:val="20"/>
        </w:rPr>
        <w:t xml:space="preserve">Submission section E spreadsheet </w:t>
      </w:r>
      <w:r w:rsidRPr="00B72135">
        <w:rPr>
          <w:rFonts w:cs="Arial"/>
          <w:sz w:val="20"/>
          <w:szCs w:val="20"/>
        </w:rPr>
        <w:t>“</w:t>
      </w:r>
      <w:r w:rsidRPr="00D24409">
        <w:rPr>
          <w:rFonts w:cs="Arial"/>
          <w:sz w:val="20"/>
          <w:szCs w:val="20"/>
        </w:rPr>
        <w:t>BYETTA_SECTION E_ JULY 2008.xls</w:t>
      </w:r>
      <w:r w:rsidRPr="00B72135">
        <w:rPr>
          <w:rFonts w:cs="Arial"/>
          <w:sz w:val="20"/>
          <w:szCs w:val="20"/>
        </w:rPr>
        <w:t>”</w:t>
      </w:r>
    </w:p>
    <w:p w14:paraId="086DC2AE" w14:textId="10216428" w:rsidR="008D41FB" w:rsidRDefault="008D41FB" w:rsidP="008D41FB">
      <w:pPr>
        <w:pStyle w:val="Heading4"/>
      </w:pPr>
      <w:r w:rsidRPr="008D41FB">
        <w:t>DUSC Advice</w:t>
      </w:r>
    </w:p>
    <w:p w14:paraId="68187796" w14:textId="50676D19" w:rsidR="008D41FB" w:rsidRDefault="007B6659" w:rsidP="008D41FB">
      <w:r>
        <w:t xml:space="preserve">The </w:t>
      </w:r>
      <w:r w:rsidR="008D41FB">
        <w:t xml:space="preserve">DUSC reviewed the major submissions </w:t>
      </w:r>
      <w:r w:rsidR="007E5861">
        <w:t xml:space="preserve">to the PBAC </w:t>
      </w:r>
      <w:r w:rsidR="008D41FB">
        <w:t xml:space="preserve">for exenatide in July 2007 and November 2008.  </w:t>
      </w:r>
      <w:r w:rsidR="00293480">
        <w:t xml:space="preserve">The </w:t>
      </w:r>
      <w:r w:rsidR="008D41FB">
        <w:t>DUSC considered the estimates presented in the submission to be highly uncer</w:t>
      </w:r>
      <w:r w:rsidR="00F27B73">
        <w:t xml:space="preserve">tain.  </w:t>
      </w:r>
      <w:r w:rsidR="008D41FB">
        <w:t>The main areas of uncertainty were suggested to be:</w:t>
      </w:r>
    </w:p>
    <w:p w14:paraId="0DB0AF41" w14:textId="477FC4BE" w:rsidR="008D41FB" w:rsidRDefault="008D41FB" w:rsidP="000350C6">
      <w:pPr>
        <w:pStyle w:val="ListParagraph"/>
        <w:numPr>
          <w:ilvl w:val="0"/>
          <w:numId w:val="6"/>
        </w:numPr>
      </w:pPr>
      <w:r>
        <w:lastRenderedPageBreak/>
        <w:t>Uncertainty in assumptions supporting the numbers of eligible patients, particularly in the number of patients who have poor glycaemic control</w:t>
      </w:r>
      <w:r w:rsidR="00F112DB">
        <w:t>,</w:t>
      </w:r>
      <w:r>
        <w:t xml:space="preserve"> result</w:t>
      </w:r>
      <w:r w:rsidR="00F112DB">
        <w:t>ing</w:t>
      </w:r>
      <w:r>
        <w:t xml:space="preserve"> in a likely over-estimation of patient numbers.</w:t>
      </w:r>
    </w:p>
    <w:p w14:paraId="4E400A75" w14:textId="4CC929B7" w:rsidR="008D41FB" w:rsidRDefault="008D41FB" w:rsidP="000350C6">
      <w:pPr>
        <w:pStyle w:val="ListParagraph"/>
        <w:numPr>
          <w:ilvl w:val="0"/>
          <w:numId w:val="6"/>
        </w:numPr>
      </w:pPr>
      <w:r>
        <w:t>The use of a GP survey of 150 practitioners to inform parts of the utilisation estimates.</w:t>
      </w:r>
    </w:p>
    <w:p w14:paraId="09DE0D0A" w14:textId="6E8BE238" w:rsidR="008D41FB" w:rsidRDefault="008D41FB" w:rsidP="000350C6">
      <w:pPr>
        <w:pStyle w:val="ListParagraph"/>
        <w:numPr>
          <w:ilvl w:val="0"/>
          <w:numId w:val="6"/>
        </w:numPr>
      </w:pPr>
      <w:r>
        <w:t xml:space="preserve">The prevalence of diabetes is based on AusDiab data which </w:t>
      </w:r>
      <w:r w:rsidR="0082208F">
        <w:t>wa</w:t>
      </w:r>
      <w:r>
        <w:t xml:space="preserve">s </w:t>
      </w:r>
      <w:r w:rsidR="0082208F">
        <w:t>very</w:t>
      </w:r>
      <w:r>
        <w:t xml:space="preserve"> old.</w:t>
      </w:r>
      <w:r w:rsidR="0082208F">
        <w:t xml:space="preserve">  The </w:t>
      </w:r>
      <w:r w:rsidR="002018FE">
        <w:t>DUSC noted that there wa</w:t>
      </w:r>
      <w:r>
        <w:t>s no more reliable data available.</w:t>
      </w:r>
    </w:p>
    <w:p w14:paraId="26A6E6A4" w14:textId="5D94B1D7" w:rsidR="008D41FB" w:rsidRDefault="008D41FB" w:rsidP="000350C6">
      <w:pPr>
        <w:pStyle w:val="ListParagraph"/>
        <w:numPr>
          <w:ilvl w:val="0"/>
          <w:numId w:val="6"/>
        </w:numPr>
      </w:pPr>
      <w:r>
        <w:t>External factors that will have an impact on prescribing diabetic therapies, both oral and injectable are difficult to quantify and will have a va</w:t>
      </w:r>
      <w:r w:rsidR="002018FE">
        <w:t xml:space="preserve">riable impact on the estimates.  </w:t>
      </w:r>
      <w:r>
        <w:t>The sponsor would not have known some of thes</w:t>
      </w:r>
      <w:r w:rsidR="002018FE">
        <w:t>e when preparing the submission.  These include:</w:t>
      </w:r>
    </w:p>
    <w:p w14:paraId="6BEAE948" w14:textId="76578030" w:rsidR="008D41FB" w:rsidRDefault="008D41FB" w:rsidP="00ED13BB">
      <w:pPr>
        <w:pStyle w:val="ListParagraph"/>
        <w:numPr>
          <w:ilvl w:val="0"/>
          <w:numId w:val="7"/>
        </w:numPr>
        <w:ind w:left="1210"/>
      </w:pPr>
      <w:r>
        <w:t xml:space="preserve">Availability of PBS subsidised sitagliptin which will have an unknown impact on prescriber choices; </w:t>
      </w:r>
    </w:p>
    <w:p w14:paraId="2E0468D7" w14:textId="71121F12" w:rsidR="008D41FB" w:rsidRDefault="008D41FB" w:rsidP="00ED13BB">
      <w:pPr>
        <w:pStyle w:val="ListParagraph"/>
        <w:numPr>
          <w:ilvl w:val="0"/>
          <w:numId w:val="7"/>
        </w:numPr>
        <w:ind w:left="1210"/>
      </w:pPr>
      <w:r>
        <w:t>Removal of TGA registration for two indications for rosiglitazone, and the preferred substituted therapy is not clear in Australia;</w:t>
      </w:r>
    </w:p>
    <w:p w14:paraId="7A36D958" w14:textId="0997D78A" w:rsidR="008D41FB" w:rsidRDefault="008D41FB" w:rsidP="00ED13BB">
      <w:pPr>
        <w:pStyle w:val="ListParagraph"/>
        <w:numPr>
          <w:ilvl w:val="0"/>
          <w:numId w:val="7"/>
        </w:numPr>
        <w:ind w:left="1210"/>
      </w:pPr>
      <w:r>
        <w:t>Continuing ADE reports for exenatide, particularly the development of antibodies;</w:t>
      </w:r>
    </w:p>
    <w:p w14:paraId="253CEB9F" w14:textId="77F04392" w:rsidR="008D41FB" w:rsidRDefault="008D41FB" w:rsidP="00ED13BB">
      <w:pPr>
        <w:pStyle w:val="ListParagraph"/>
        <w:numPr>
          <w:ilvl w:val="0"/>
          <w:numId w:val="7"/>
        </w:numPr>
        <w:ind w:left="1210"/>
      </w:pPr>
      <w:r>
        <w:t>The perception of the clinical benefits of an alternate injectable diabetic medication; and</w:t>
      </w:r>
    </w:p>
    <w:p w14:paraId="21F00C50" w14:textId="2CD6649F" w:rsidR="008D41FB" w:rsidRPr="008D41FB" w:rsidRDefault="008D41FB" w:rsidP="00ED13BB">
      <w:pPr>
        <w:pStyle w:val="ListParagraph"/>
        <w:numPr>
          <w:ilvl w:val="0"/>
          <w:numId w:val="7"/>
        </w:numPr>
        <w:ind w:left="1210"/>
      </w:pPr>
      <w:r>
        <w:t>Promotion of insulin therapy earlier in treatment, as an alternative to some oral therapy rather than as a ‘last resort’ therapy.</w:t>
      </w:r>
    </w:p>
    <w:p w14:paraId="0DEBD50F" w14:textId="15FAF547" w:rsidR="00094DCF" w:rsidRDefault="00ED633B" w:rsidP="000933D3">
      <w:pPr>
        <w:pStyle w:val="Heading4"/>
      </w:pPr>
      <w:r w:rsidRPr="005C25A2">
        <w:t xml:space="preserve">Previous reviews by </w:t>
      </w:r>
      <w:r w:rsidR="005C597F" w:rsidRPr="005C25A2">
        <w:t xml:space="preserve">the </w:t>
      </w:r>
      <w:r w:rsidRPr="005C25A2">
        <w:t>DUSC</w:t>
      </w:r>
    </w:p>
    <w:p w14:paraId="75756FEA" w14:textId="02924F25" w:rsidR="00FD4F79" w:rsidRDefault="00FD4F79" w:rsidP="00FD4F79">
      <w:r>
        <w:t xml:space="preserve">The utilisation of exenatide has been assessed previously by </w:t>
      </w:r>
      <w:r w:rsidR="002E2E72">
        <w:t xml:space="preserve">the </w:t>
      </w:r>
      <w:r>
        <w:t>DUSC in a;</w:t>
      </w:r>
    </w:p>
    <w:p w14:paraId="355354ED" w14:textId="20FEE974" w:rsidR="00FD4F79" w:rsidRDefault="00FD4F79" w:rsidP="003D0A30">
      <w:pPr>
        <w:pStyle w:val="ListParagraph"/>
        <w:numPr>
          <w:ilvl w:val="0"/>
          <w:numId w:val="8"/>
        </w:numPr>
        <w:ind w:left="723"/>
      </w:pPr>
      <w:r>
        <w:t xml:space="preserve">12 month predicted vs actual analysis considered at the October 2012 meeting; </w:t>
      </w:r>
    </w:p>
    <w:p w14:paraId="58EDD7BF" w14:textId="77777777" w:rsidR="00FD4F79" w:rsidRDefault="00FD4F79" w:rsidP="003D0A30">
      <w:pPr>
        <w:pStyle w:val="ListParagraph"/>
        <w:ind w:left="723"/>
      </w:pPr>
      <w:r>
        <w:t>and as part of;</w:t>
      </w:r>
    </w:p>
    <w:p w14:paraId="72B1C1C8" w14:textId="648C36FD" w:rsidR="00B673E5" w:rsidRDefault="000B71C1" w:rsidP="003D0A30">
      <w:pPr>
        <w:pStyle w:val="ListParagraph"/>
        <w:numPr>
          <w:ilvl w:val="0"/>
          <w:numId w:val="8"/>
        </w:numPr>
        <w:ind w:left="723"/>
      </w:pPr>
      <w:r>
        <w:t>Type 2 d</w:t>
      </w:r>
      <w:r w:rsidR="00FD4F79">
        <w:t>iabetes medicines analyses presented</w:t>
      </w:r>
      <w:r w:rsidR="003D0A30">
        <w:t xml:space="preserve"> to the October 2012 and February 2013 </w:t>
      </w:r>
      <w:r w:rsidR="00FD4F79">
        <w:t>DUSC meetings.</w:t>
      </w:r>
    </w:p>
    <w:p w14:paraId="1B476CC7" w14:textId="441D7300" w:rsidR="003529A1" w:rsidRDefault="00847290" w:rsidP="003529A1">
      <w:r>
        <w:t>Key finding of the 12 month predicted versus actual review include</w:t>
      </w:r>
      <w:r w:rsidR="003529A1">
        <w:t>;</w:t>
      </w:r>
    </w:p>
    <w:p w14:paraId="42D0E3F1" w14:textId="6A25196D" w:rsidR="000B71C1" w:rsidRDefault="003529A1" w:rsidP="000B71C1">
      <w:r>
        <w:t>The uptake associated with exenatide was approximately 50</w:t>
      </w:r>
      <w:r w:rsidR="00847290">
        <w:t xml:space="preserve"> </w:t>
      </w:r>
      <w:r>
        <w:t xml:space="preserve">% of that </w:t>
      </w:r>
      <w:r w:rsidR="005C5A77">
        <w:t>expected;</w:t>
      </w:r>
      <w:r>
        <w:t xml:space="preserve"> however the utilisation of the 5</w:t>
      </w:r>
      <w:r w:rsidR="00BB2DE8">
        <w:t xml:space="preserve"> </w:t>
      </w:r>
      <w:r>
        <w:t>m</w:t>
      </w:r>
      <w:r w:rsidR="003D7D4F">
        <w:t>i</w:t>
      </w:r>
      <w:r>
        <w:t>c</w:t>
      </w:r>
      <w:r w:rsidR="003D7D4F">
        <w:t>ro</w:t>
      </w:r>
      <w:r>
        <w:t>g</w:t>
      </w:r>
      <w:r w:rsidR="003D7D4F">
        <w:t>ram</w:t>
      </w:r>
      <w:r>
        <w:t xml:space="preserve"> stren</w:t>
      </w:r>
      <w:r w:rsidR="000B71C1">
        <w:t>gth was greater than expected.</w:t>
      </w:r>
    </w:p>
    <w:p w14:paraId="148D4904" w14:textId="62C579A1" w:rsidR="003529A1" w:rsidRDefault="003529A1" w:rsidP="000B71C1">
      <w:r>
        <w:t>In the submission the Sponsor suggested patients would use the 5</w:t>
      </w:r>
      <w:r w:rsidR="00BB2DE8">
        <w:t xml:space="preserve"> microgram</w:t>
      </w:r>
      <w:r>
        <w:t xml:space="preserve"> strength to initiate therapy, and then increase to the 10</w:t>
      </w:r>
      <w:r w:rsidR="00BB2DE8">
        <w:t xml:space="preserve"> microgram</w:t>
      </w:r>
      <w:r>
        <w:t xml:space="preserve"> strength for maintenance therapy. </w:t>
      </w:r>
      <w:r w:rsidR="00DE3804">
        <w:t xml:space="preserve"> The </w:t>
      </w:r>
      <w:r>
        <w:t xml:space="preserve">DUSC suggested that one reason for the lower use </w:t>
      </w:r>
      <w:r w:rsidR="004A7D75">
        <w:t xml:space="preserve">of the </w:t>
      </w:r>
      <w:r>
        <w:t>10</w:t>
      </w:r>
      <w:r w:rsidR="004A7D75">
        <w:t xml:space="preserve"> </w:t>
      </w:r>
      <w:r>
        <w:t>m</w:t>
      </w:r>
      <w:r w:rsidR="004A7D75">
        <w:t>i</w:t>
      </w:r>
      <w:r>
        <w:t>c</w:t>
      </w:r>
      <w:r w:rsidR="004A7D75">
        <w:t>ro</w:t>
      </w:r>
      <w:r>
        <w:t>g</w:t>
      </w:r>
      <w:r w:rsidR="004A7D75">
        <w:t>ram</w:t>
      </w:r>
      <w:r>
        <w:t xml:space="preserve"> strength may be due to the time previously required to seek authorisation</w:t>
      </w:r>
      <w:r w:rsidR="002966F2">
        <w:t xml:space="preserve"> (when exenatide had an Authority Required listing)</w:t>
      </w:r>
      <w:r>
        <w:t xml:space="preserve">. </w:t>
      </w:r>
      <w:r w:rsidR="006579F8">
        <w:t xml:space="preserve"> </w:t>
      </w:r>
      <w:r w:rsidR="006F1899">
        <w:t>The DUSC considered that p</w:t>
      </w:r>
      <w:r>
        <w:t>rescribers may</w:t>
      </w:r>
      <w:r w:rsidR="006F1899">
        <w:t xml:space="preserve"> </w:t>
      </w:r>
      <w:r>
        <w:t>be leaving patients on the initial 5</w:t>
      </w:r>
      <w:r w:rsidR="006F1899">
        <w:t xml:space="preserve"> microgram </w:t>
      </w:r>
      <w:r>
        <w:t xml:space="preserve">strength until they require a new authority prescription.  </w:t>
      </w:r>
      <w:r w:rsidR="004A6823">
        <w:t>The DUSC considered that the change of e</w:t>
      </w:r>
      <w:r>
        <w:t>xenatide</w:t>
      </w:r>
      <w:r w:rsidR="004A6823">
        <w:t>’s listing to an Authority Required (</w:t>
      </w:r>
      <w:r>
        <w:t>streamlined</w:t>
      </w:r>
      <w:r w:rsidR="004A6823">
        <w:t>)</w:t>
      </w:r>
      <w:r>
        <w:t xml:space="preserve"> </w:t>
      </w:r>
      <w:r w:rsidR="004A6823">
        <w:t xml:space="preserve">benefit could </w:t>
      </w:r>
      <w:r>
        <w:t>change this uti</w:t>
      </w:r>
      <w:r w:rsidR="004A6823">
        <w:t>lisation pattern.  The DUSC</w:t>
      </w:r>
      <w:r>
        <w:t xml:space="preserve"> also suggested that the adverse effect profile, particularly nausea, or attainment of sufficient glycaemic control may also be contributing to the higher than expected use of the 5</w:t>
      </w:r>
      <w:r w:rsidR="004A6823">
        <w:t xml:space="preserve"> microgram strength</w:t>
      </w:r>
      <w:r>
        <w:t>.</w:t>
      </w:r>
    </w:p>
    <w:p w14:paraId="79AC89AE" w14:textId="16343803" w:rsidR="003529A1" w:rsidRDefault="00A92D9F" w:rsidP="003529A1">
      <w:r>
        <w:lastRenderedPageBreak/>
        <w:t>Key findings of the type 2 diabetes analysis regarding exenatide include:</w:t>
      </w:r>
    </w:p>
    <w:p w14:paraId="6B2AD4F7" w14:textId="5D7DC85C" w:rsidR="003529A1" w:rsidRDefault="003529A1" w:rsidP="00E933E0">
      <w:pPr>
        <w:pStyle w:val="ListParagraph"/>
        <w:numPr>
          <w:ilvl w:val="0"/>
          <w:numId w:val="8"/>
        </w:numPr>
      </w:pPr>
      <w:r>
        <w:t>the majority of patients on exenatide (80.3</w:t>
      </w:r>
      <w:r w:rsidR="00154EA5">
        <w:t xml:space="preserve"> </w:t>
      </w:r>
      <w:r>
        <w:t xml:space="preserve">%) had a history of receiving both metformin and a sulfonylurea in the previous 2 years; and </w:t>
      </w:r>
    </w:p>
    <w:p w14:paraId="23D93501" w14:textId="704D0F5C" w:rsidR="003529A1" w:rsidRPr="00B673E5" w:rsidRDefault="003529A1" w:rsidP="00E933E0">
      <w:pPr>
        <w:pStyle w:val="ListParagraph"/>
        <w:numPr>
          <w:ilvl w:val="0"/>
          <w:numId w:val="8"/>
        </w:numPr>
      </w:pPr>
      <w:r>
        <w:t>some use of exe</w:t>
      </w:r>
      <w:r w:rsidR="00154EA5">
        <w:t>natide beyond PBS restrictions wa</w:t>
      </w:r>
      <w:r>
        <w:t xml:space="preserve">s apparent, most of which is in combination use </w:t>
      </w:r>
      <w:r w:rsidR="00154EA5">
        <w:t xml:space="preserve">with insulin.  The </w:t>
      </w:r>
      <w:r>
        <w:t>DUSC noted that this indication has not been assessed as cost-effective by the PBAC.</w:t>
      </w:r>
    </w:p>
    <w:p w14:paraId="0312FFEC" w14:textId="5C6A9662" w:rsidR="00E677DD" w:rsidRDefault="00E677DD" w:rsidP="00E11A6D">
      <w:pPr>
        <w:pStyle w:val="Heading3"/>
      </w:pPr>
      <w:r w:rsidRPr="005E22C2">
        <w:t>Method</w:t>
      </w:r>
      <w:r w:rsidR="001B5D37" w:rsidRPr="005E22C2">
        <w:t>s</w:t>
      </w:r>
    </w:p>
    <w:p w14:paraId="44C56687" w14:textId="6D1D8E9D" w:rsidR="002A5708" w:rsidRDefault="002A5708" w:rsidP="002A5708">
      <w:r>
        <w:t>PBS/RPBS prescriptions and benefits paid for exenatide were extracted from the Department of Human Services (DHS) PBS prescription database for the period August 2010 to March 2014 inclusive, based on the date that the prescription was supplied to the patient.</w:t>
      </w:r>
      <w:r w:rsidR="00614832">
        <w:t xml:space="preserve">  </w:t>
      </w:r>
      <w:r>
        <w:t xml:space="preserve">Private prescription data were extracted from the DUSC database for the period January 2009 to August 2012. </w:t>
      </w:r>
    </w:p>
    <w:p w14:paraId="63FB16BE" w14:textId="77777777" w:rsidR="002A5708" w:rsidRDefault="002A5708" w:rsidP="002A5708">
      <w:r>
        <w:t xml:space="preserve">The number of patients treated was determined by counting the number of individual de-identified personal identification numbers in the R/PBS data for the specified time period. New (initiating) patients were defined as those with no prior PBS or RPBS prescription of the drug or drug group of interest. </w:t>
      </w:r>
    </w:p>
    <w:p w14:paraId="32A45EBA" w14:textId="54E4566F" w:rsidR="002A5708" w:rsidRDefault="002A5708" w:rsidP="002A5708">
      <w:r>
        <w:t xml:space="preserve">Most patients on treatment with exenatide would be expected to receive a supply each month because each pack provides 60 doses, standard dosing is twice daily, and the shelf life for a pen in use is 30 days. </w:t>
      </w:r>
      <w:r w:rsidR="00240356">
        <w:t xml:space="preserve"> </w:t>
      </w:r>
      <w:r>
        <w:t>However determining point prevalence for exenatide supplied in a calendar month will slightly underestimate prevalence as some patients may have more</w:t>
      </w:r>
      <w:r w:rsidR="004265C2">
        <w:t xml:space="preserve"> than 30 days between supplies.  </w:t>
      </w:r>
      <w:r>
        <w:t xml:space="preserve">For example, a patient may get their next </w:t>
      </w:r>
      <w:r w:rsidR="004265C2">
        <w:t>pre</w:t>
      </w:r>
      <w:r>
        <w:t>script</w:t>
      </w:r>
      <w:r w:rsidR="004265C2">
        <w:t>ion</w:t>
      </w:r>
      <w:r>
        <w:t xml:space="preserve"> </w:t>
      </w:r>
      <w:r w:rsidR="00FD0280">
        <w:t>dispensed</w:t>
      </w:r>
      <w:r w:rsidR="002062FB">
        <w:t xml:space="preserve"> just</w:t>
      </w:r>
      <w:r>
        <w:t xml:space="preserve"> before they run out of their previous supply and then</w:t>
      </w:r>
      <w:r w:rsidR="00263359">
        <w:t xml:space="preserve"> may</w:t>
      </w:r>
      <w:r>
        <w:t xml:space="preserve"> wait </w:t>
      </w:r>
      <w:r w:rsidR="00651907">
        <w:t xml:space="preserve">until they </w:t>
      </w:r>
      <w:r>
        <w:t xml:space="preserve">have completely finished the drug before </w:t>
      </w:r>
      <w:r w:rsidR="00263359">
        <w:t>obtaining</w:t>
      </w:r>
      <w:r>
        <w:t xml:space="preserve"> the </w:t>
      </w:r>
      <w:r w:rsidR="00263359">
        <w:t xml:space="preserve">subsequent </w:t>
      </w:r>
      <w:r w:rsidR="00D07119">
        <w:t>pre</w:t>
      </w:r>
      <w:r>
        <w:t>script</w:t>
      </w:r>
      <w:r w:rsidR="00D07119">
        <w:t>ion</w:t>
      </w:r>
      <w:r>
        <w:t xml:space="preserve">. </w:t>
      </w:r>
      <w:r w:rsidR="00263359">
        <w:t xml:space="preserve"> </w:t>
      </w:r>
      <w:r>
        <w:t>Also prevalent patients for exenatide may not receive a supply every</w:t>
      </w:r>
      <w:r w:rsidR="00302B27">
        <w:t xml:space="preserve"> month if some doses are missed</w:t>
      </w:r>
      <w:r>
        <w:t xml:space="preserve"> (i.e</w:t>
      </w:r>
      <w:r w:rsidR="00C83134">
        <w:t xml:space="preserve">. they are not fully adherent).  </w:t>
      </w:r>
      <w:r>
        <w:t>Therefore, prevalent patient numbers were counted quarterly as most patients on treatment would receive a sup</w:t>
      </w:r>
      <w:r w:rsidR="00567730">
        <w:t xml:space="preserve">ply at least once each quarter.  </w:t>
      </w:r>
      <w:r>
        <w:t xml:space="preserve">The quarterly prevalent patient numbers cannot be added to give annual or six-monthly numbers as this would result in some double-counting. </w:t>
      </w:r>
    </w:p>
    <w:p w14:paraId="66D2C808" w14:textId="314E935F" w:rsidR="002A5708" w:rsidRDefault="002A5708" w:rsidP="002A5708">
      <w:r>
        <w:t>Individual, de</w:t>
      </w:r>
      <w:r w:rsidR="00567730">
        <w:t>-</w:t>
      </w:r>
      <w:r>
        <w:t xml:space="preserve">identified patient prescription data were used to examine diabetes medicines </w:t>
      </w:r>
      <w:r w:rsidR="00E763E3">
        <w:t xml:space="preserve">supplied </w:t>
      </w:r>
      <w:r>
        <w:t xml:space="preserve">prior to initiation of exenatide, and co-administered with exenatide. </w:t>
      </w:r>
      <w:r w:rsidR="00F449B9">
        <w:t xml:space="preserve"> </w:t>
      </w:r>
      <w:r>
        <w:t xml:space="preserve">Utilisation was then compared with the PBS restrictions. </w:t>
      </w:r>
      <w:r w:rsidR="00DE7B01">
        <w:t xml:space="preserve"> </w:t>
      </w:r>
      <w:r>
        <w:t>To enable drug regimen estimation from the date of PBS listing of exenatide (1 August 2010), prescription da</w:t>
      </w:r>
      <w:r w:rsidR="001C3B8B">
        <w:t xml:space="preserve">ta back to July 2009 were used.  </w:t>
      </w:r>
      <w:r>
        <w:t xml:space="preserve">The methodology </w:t>
      </w:r>
      <w:r w:rsidR="00830CA7">
        <w:t>is fully described in Appendix A</w:t>
      </w:r>
      <w:r>
        <w:t xml:space="preserve">. </w:t>
      </w:r>
    </w:p>
    <w:p w14:paraId="3F50B92B" w14:textId="4CA037B8" w:rsidR="002A5708" w:rsidRDefault="002A5708" w:rsidP="002A5708">
      <w:r>
        <w:t>Exenatide use is commonly associated with gastrointestinal adverse effects, including nausea, vomiting, and di</w:t>
      </w:r>
      <w:r w:rsidR="00AC703B">
        <w:t>arrhoea.  T</w:t>
      </w:r>
      <w:r>
        <w:t>herefore a supplementary analysis, using th</w:t>
      </w:r>
      <w:r w:rsidR="00AC703B">
        <w:t>e method described in Appendix A</w:t>
      </w:r>
      <w:r w:rsidR="002B7D2A">
        <w:t>, was undertaken to assess co-</w:t>
      </w:r>
      <w:r>
        <w:t xml:space="preserve">administration of exenatide and anti-emetics. </w:t>
      </w:r>
    </w:p>
    <w:p w14:paraId="70F9BD59" w14:textId="16DC6D6E" w:rsidR="00B50DB1" w:rsidRPr="00B50DB1" w:rsidRDefault="002A5708" w:rsidP="002A5708">
      <w:r>
        <w:t>Data manipulation was undertaken using SAS.</w:t>
      </w:r>
    </w:p>
    <w:p w14:paraId="4F91A98A" w14:textId="00180E30" w:rsidR="00C714D0" w:rsidRPr="005E22C2" w:rsidRDefault="00C714D0" w:rsidP="00E11A6D">
      <w:pPr>
        <w:pStyle w:val="Heading3"/>
      </w:pPr>
      <w:r w:rsidRPr="005E22C2">
        <w:lastRenderedPageBreak/>
        <w:t>Results</w:t>
      </w:r>
    </w:p>
    <w:p w14:paraId="2221FF19" w14:textId="336CE8B2" w:rsidR="00736041" w:rsidRDefault="001B5D37" w:rsidP="0038097B">
      <w:pPr>
        <w:pStyle w:val="Heading4"/>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26B8DE86" w14:textId="21D83D2D" w:rsidR="00BB12AE" w:rsidRDefault="0042399B" w:rsidP="0042399B">
      <w:pPr>
        <w:pStyle w:val="Heading5"/>
      </w:pPr>
      <w:r>
        <w:t>Patients</w:t>
      </w:r>
    </w:p>
    <w:p w14:paraId="7E1CE5CA" w14:textId="7EE0D3DC" w:rsidR="00715682" w:rsidRPr="004A11F0" w:rsidRDefault="00312F40" w:rsidP="00A30F98">
      <w:pPr>
        <w:rPr>
          <w:rFonts w:cs="Arial"/>
          <w:sz w:val="20"/>
          <w:szCs w:val="20"/>
        </w:rPr>
      </w:pPr>
      <w:r>
        <w:t>T</w:t>
      </w:r>
      <w:r w:rsidR="00554433">
        <w:t>he number of patients initiating and preval</w:t>
      </w:r>
      <w:r>
        <w:t>ent to treatment with exenatide is shown in Figure 1.</w:t>
      </w:r>
      <w:r w:rsidR="00715682">
        <w:rPr>
          <w:noProof/>
        </w:rPr>
        <w:drawing>
          <wp:inline distT="0" distB="0" distL="0" distR="0" wp14:anchorId="35A87CE1" wp14:editId="7A02F1CF">
            <wp:extent cx="5713977" cy="3479470"/>
            <wp:effectExtent l="0" t="0" r="1270" b="6985"/>
            <wp:docPr id="18" name="Chart 18" title="Figure 1: Patients initiating and prevalent to treatment with exenatid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715682" w:rsidRPr="007A4A7E">
        <w:rPr>
          <w:rStyle w:val="FiguretitleChar"/>
        </w:rPr>
        <w:t>Figure 1: Patients - initiating and prevalent to treatment with exenatide</w:t>
      </w:r>
      <w:r w:rsidR="00715682" w:rsidRPr="00683F1D">
        <w:rPr>
          <w:rFonts w:cs="Arial"/>
          <w:b/>
          <w:bCs/>
        </w:rPr>
        <w:br/>
      </w:r>
      <w:r w:rsidR="00715682" w:rsidRPr="00A30F98">
        <w:rPr>
          <w:rStyle w:val="FigurecaptionChar"/>
        </w:rPr>
        <w:t>Note: 2010Q3 only contains 2 months</w:t>
      </w:r>
      <w:r w:rsidR="008D070A" w:rsidRPr="00A30F98">
        <w:rPr>
          <w:rStyle w:val="FigurecaptionChar"/>
        </w:rPr>
        <w:t xml:space="preserve"> of data as listing occurred 1 </w:t>
      </w:r>
      <w:r w:rsidR="00715682" w:rsidRPr="00A30F98">
        <w:rPr>
          <w:rStyle w:val="FigurecaptionChar"/>
        </w:rPr>
        <w:t>August 2010.</w:t>
      </w:r>
    </w:p>
    <w:p w14:paraId="55069A74" w14:textId="75500212" w:rsidR="0042399B" w:rsidRPr="00EB46C0" w:rsidRDefault="00554433" w:rsidP="0042399B">
      <w:pPr>
        <w:rPr>
          <w:rFonts w:eastAsia="Calibri" w:cs="Times New Roman"/>
        </w:rPr>
      </w:pPr>
      <w:r w:rsidRPr="00554433">
        <w:t xml:space="preserve">Figure 1 </w:t>
      </w:r>
      <w:r w:rsidR="00E1709A">
        <w:t xml:space="preserve">illustrates </w:t>
      </w:r>
      <w:r w:rsidRPr="00554433">
        <w:t>that the number of patients starting exenatide has increased steadily since listing.</w:t>
      </w:r>
      <w:r w:rsidR="00EB46C0">
        <w:t xml:space="preserve">  </w:t>
      </w:r>
      <w:r w:rsidR="00EB46C0">
        <w:rPr>
          <w:rFonts w:eastAsia="Calibri" w:cs="Times New Roman"/>
        </w:rPr>
        <w:t xml:space="preserve">In the first, second and third years of listing, </w:t>
      </w:r>
      <w:r w:rsidR="00EB46C0" w:rsidRPr="009F7D04">
        <w:rPr>
          <w:rFonts w:eastAsia="Calibri" w:cs="Times New Roman"/>
        </w:rPr>
        <w:t>6,978</w:t>
      </w:r>
      <w:r w:rsidR="00EB46C0">
        <w:rPr>
          <w:rFonts w:eastAsia="Calibri" w:cs="Times New Roman"/>
        </w:rPr>
        <w:t>, 8</w:t>
      </w:r>
      <w:r w:rsidR="00EB46C0" w:rsidRPr="009F7D04">
        <w:rPr>
          <w:rFonts w:eastAsia="Calibri" w:cs="Times New Roman"/>
        </w:rPr>
        <w:t>,364</w:t>
      </w:r>
      <w:r w:rsidR="00EB46C0">
        <w:rPr>
          <w:rFonts w:eastAsia="Calibri" w:cs="Times New Roman"/>
        </w:rPr>
        <w:t xml:space="preserve"> and </w:t>
      </w:r>
      <w:r w:rsidR="00EB46C0" w:rsidRPr="009F7D04">
        <w:rPr>
          <w:rFonts w:eastAsia="Calibri" w:cs="Times New Roman"/>
        </w:rPr>
        <w:t>9,735</w:t>
      </w:r>
      <w:r w:rsidR="00EB46C0">
        <w:rPr>
          <w:rFonts w:eastAsia="Calibri" w:cs="Times New Roman"/>
        </w:rPr>
        <w:t xml:space="preserve"> patients received their first PBS prescription for exenatide, respectively.  As many patients who start on treatment continue into the following years, the number of prevalent patients </w:t>
      </w:r>
      <w:r w:rsidR="00EB46C0" w:rsidRPr="00AD036A">
        <w:rPr>
          <w:rFonts w:eastAsia="Calibri" w:cs="Times New Roman"/>
        </w:rPr>
        <w:t>has increas</w:t>
      </w:r>
      <w:r w:rsidR="00EB46C0">
        <w:rPr>
          <w:rFonts w:eastAsia="Calibri" w:cs="Times New Roman"/>
        </w:rPr>
        <w:t>ed accordingly.</w:t>
      </w:r>
      <w:r w:rsidR="00F55B1B">
        <w:rPr>
          <w:rFonts w:eastAsia="Calibri" w:cs="Times New Roman"/>
        </w:rPr>
        <w:t xml:space="preserve"> </w:t>
      </w:r>
      <w:r w:rsidR="00EB46C0">
        <w:rPr>
          <w:rFonts w:eastAsia="Calibri" w:cs="Times New Roman"/>
        </w:rPr>
        <w:t xml:space="preserve"> Approximately 17,000 patients were on treatment with exenatide at the end of 2013.</w:t>
      </w:r>
    </w:p>
    <w:p w14:paraId="09F8A9BC" w14:textId="234801A3" w:rsidR="006A44F5" w:rsidRPr="005E22C2" w:rsidRDefault="00F55B1B" w:rsidP="0038097B">
      <w:pPr>
        <w:pStyle w:val="Heading5"/>
      </w:pPr>
      <w:r>
        <w:t>Patient age and gender at initiation to exenatide</w:t>
      </w:r>
    </w:p>
    <w:p w14:paraId="53AFDB66" w14:textId="77680683" w:rsidR="006D6B76" w:rsidRDefault="00EA75A9" w:rsidP="006D6B76">
      <w:r>
        <w:t>Patient age and gender at initiation to exenatide is shown in Figure 2.</w:t>
      </w:r>
    </w:p>
    <w:p w14:paraId="4235FA62" w14:textId="5BCBE647" w:rsidR="008D727C" w:rsidRPr="00165135" w:rsidRDefault="008D727C" w:rsidP="00F410A9">
      <w:pPr>
        <w:rPr>
          <w:sz w:val="20"/>
        </w:rPr>
      </w:pPr>
      <w:r>
        <w:rPr>
          <w:noProof/>
        </w:rPr>
        <w:lastRenderedPageBreak/>
        <w:drawing>
          <wp:inline distT="0" distB="0" distL="0" distR="0" wp14:anchorId="2BD3681B" wp14:editId="7127CC53">
            <wp:extent cx="5713977" cy="3769327"/>
            <wp:effectExtent l="0" t="0" r="1270" b="3175"/>
            <wp:docPr id="10" name="Chart 10" title="Figure 2: Patient age and gender distribution at initiation to exenatide"/>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A30F98">
        <w:rPr>
          <w:rStyle w:val="FiguretitleChar"/>
        </w:rPr>
        <w:t>Figure 2: Patient age and gender distribution at initiation to exenatide</w:t>
      </w:r>
      <w:r>
        <w:rPr>
          <w:b/>
        </w:rPr>
        <w:br/>
      </w:r>
      <w:r w:rsidRPr="00A30F98">
        <w:rPr>
          <w:rStyle w:val="FigurecaptionChar"/>
        </w:rPr>
        <w:t>Note: Initiations from PBS listing (</w:t>
      </w:r>
      <w:r w:rsidR="00A30F98">
        <w:rPr>
          <w:rStyle w:val="FigurecaptionChar"/>
        </w:rPr>
        <w:t xml:space="preserve">1 </w:t>
      </w:r>
      <w:r w:rsidRPr="00A30F98">
        <w:rPr>
          <w:rStyle w:val="FigurecaptionChar"/>
        </w:rPr>
        <w:t>August 2010) to March 2014</w:t>
      </w:r>
      <w:r w:rsidR="00364F6F">
        <w:rPr>
          <w:rStyle w:val="FigurecaptionChar"/>
        </w:rPr>
        <w:t>.</w:t>
      </w:r>
    </w:p>
    <w:p w14:paraId="39562FF5" w14:textId="6A3C6713" w:rsidR="00364F6F" w:rsidRDefault="00364F6F" w:rsidP="00364F6F">
      <w:r>
        <w:t>The mean age of patients starting treatment with exenatide is 57.1 years.  This is similar to the mean age of patients in the exenatide arms of the three pivotal trials that formed the basis of the PBAC submission of 59.8, 59 and 54.31 years, though noting that two of the t</w:t>
      </w:r>
      <w:r w:rsidR="00750632">
        <w:t>rials had an age inclusion criterion</w:t>
      </w:r>
      <w:r>
        <w:t xml:space="preserve"> of between 30 and 75 years and the third had a criterion of at least 30 years of age.</w:t>
      </w:r>
    </w:p>
    <w:p w14:paraId="3A7AAC4F" w14:textId="50BDF169" w:rsidR="00364F6F" w:rsidRDefault="009F4D9A" w:rsidP="00364F6F">
      <w:r>
        <w:t>At the time this analysis was undertaken, t</w:t>
      </w:r>
      <w:r w:rsidR="00364F6F">
        <w:t xml:space="preserve">he most recent Australian Institute of Health and Welfare estimate of Australians ever diagnosed with type 2 diabetes, by age, was for the period 2007-08 and was reported in 5 year age groups. </w:t>
      </w:r>
      <w:r w:rsidR="000D3973">
        <w:t xml:space="preserve"> </w:t>
      </w:r>
      <w:r w:rsidR="00364F6F">
        <w:t>The median age for these patients falls in the 60-64 years ag</w:t>
      </w:r>
      <w:r w:rsidR="000D3973">
        <w:t>e group (derived from Table A8</w:t>
      </w:r>
      <w:r w:rsidR="000D3973">
        <w:rPr>
          <w:rStyle w:val="FootnoteReference"/>
        </w:rPr>
        <w:footnoteReference w:id="6"/>
      </w:r>
      <w:r w:rsidR="000D3973">
        <w:t xml:space="preserve"> </w:t>
      </w:r>
      <w:r w:rsidR="002A48CC">
        <w:t>on p19 of the rep</w:t>
      </w:r>
      <w:r w:rsidR="00020E9F">
        <w:t>o</w:t>
      </w:r>
      <w:r w:rsidR="002A48CC">
        <w:t>rt).</w:t>
      </w:r>
      <w:r w:rsidR="00856089">
        <w:t xml:space="preserve">  </w:t>
      </w:r>
      <w:r w:rsidR="00364F6F">
        <w:t>The me</w:t>
      </w:r>
      <w:r w:rsidR="008C34A3">
        <w:t xml:space="preserve">dian age of patients in initiating PBS subsidised exenatide (Figure 2) </w:t>
      </w:r>
      <w:r w:rsidR="00364F6F">
        <w:t xml:space="preserve">is 58 years. </w:t>
      </w:r>
    </w:p>
    <w:p w14:paraId="27C2CE10" w14:textId="7B877CA0" w:rsidR="00EA75A9" w:rsidRPr="006D6B76" w:rsidRDefault="00364F6F" w:rsidP="00364F6F">
      <w:r>
        <w:t>The very small number of pa</w:t>
      </w:r>
      <w:r w:rsidR="00D62A63">
        <w:t xml:space="preserve">tients (n=31) with an age less than </w:t>
      </w:r>
      <w:r>
        <w:t>18 years is probably due to administrative misclassification.</w:t>
      </w:r>
      <w:r w:rsidR="002F2DDF">
        <w:t xml:space="preserve"> </w:t>
      </w:r>
      <w:r>
        <w:t xml:space="preserve"> Information about the patient (such as age and gender) is derived from Medicare enrolment files based on data entered at the time of dispensing. There are some errors in the data owing to incorrect recording of Medicare number and/or errors </w:t>
      </w:r>
      <w:r w:rsidR="00327F81">
        <w:t xml:space="preserve">in the Medicare enrolment file.  </w:t>
      </w:r>
      <w:r>
        <w:t>Overall these errors are small and have minimal impact on the analysis.</w:t>
      </w:r>
    </w:p>
    <w:p w14:paraId="0783A288" w14:textId="6BDA3C4D" w:rsidR="00DC49E9" w:rsidRDefault="00F84AEE" w:rsidP="00343204">
      <w:pPr>
        <w:pStyle w:val="Heading5"/>
      </w:pPr>
      <w:r>
        <w:lastRenderedPageBreak/>
        <w:t>Prescriptions</w:t>
      </w:r>
    </w:p>
    <w:p w14:paraId="7846DBCD" w14:textId="1A71A595" w:rsidR="00AE0073" w:rsidRDefault="009E031D" w:rsidP="00AE0073">
      <w:r w:rsidRPr="009E031D">
        <w:t>The number of PBS, RPBS and private prescriptions supplied for either strength of exenatide is shown in Figure 3.</w:t>
      </w:r>
    </w:p>
    <w:p w14:paraId="41F88749" w14:textId="32C2613F" w:rsidR="00A77FE6" w:rsidRDefault="00A77FE6" w:rsidP="00A77FE6">
      <w:pPr>
        <w:rPr>
          <w:rFonts w:cs="Arial"/>
          <w:sz w:val="20"/>
          <w:szCs w:val="20"/>
        </w:rPr>
      </w:pPr>
      <w:r>
        <w:rPr>
          <w:noProof/>
        </w:rPr>
        <w:drawing>
          <wp:inline distT="0" distB="0" distL="0" distR="0" wp14:anchorId="07DFC2AE" wp14:editId="0C8ED6F0">
            <wp:extent cx="5713977" cy="3265714"/>
            <wp:effectExtent l="0" t="0" r="1270" b="0"/>
            <wp:docPr id="21" name="Chart 21" title="Figure 3: Prescriptions supplied for exenatide by prescription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cs="Arial"/>
          <w:b/>
          <w:szCs w:val="20"/>
        </w:rPr>
        <w:t>Figure 3</w:t>
      </w:r>
      <w:r w:rsidRPr="00094D87">
        <w:rPr>
          <w:rFonts w:cs="Arial"/>
          <w:b/>
          <w:szCs w:val="20"/>
        </w:rPr>
        <w:t xml:space="preserve">: </w:t>
      </w:r>
      <w:r>
        <w:rPr>
          <w:rFonts w:cs="Arial"/>
          <w:b/>
          <w:szCs w:val="20"/>
        </w:rPr>
        <w:t>Prescriptions supplied for exenatide by prescription type</w:t>
      </w:r>
      <w:r>
        <w:rPr>
          <w:rFonts w:cs="Arial"/>
          <w:b/>
          <w:szCs w:val="20"/>
        </w:rPr>
        <w:br/>
      </w:r>
      <w:r w:rsidRPr="004A11F0">
        <w:rPr>
          <w:rFonts w:cs="Arial"/>
          <w:sz w:val="20"/>
          <w:szCs w:val="20"/>
        </w:rPr>
        <w:t xml:space="preserve">Note: </w:t>
      </w:r>
      <w:r>
        <w:rPr>
          <w:rFonts w:cs="Arial"/>
          <w:sz w:val="20"/>
          <w:szCs w:val="20"/>
        </w:rPr>
        <w:t xml:space="preserve">The Private Estimate </w:t>
      </w:r>
      <w:r w:rsidR="00CD4673">
        <w:rPr>
          <w:rFonts w:cs="Arial"/>
          <w:sz w:val="20"/>
          <w:szCs w:val="20"/>
        </w:rPr>
        <w:t xml:space="preserve">in the DUSC database </w:t>
      </w:r>
      <w:r>
        <w:rPr>
          <w:rFonts w:cs="Arial"/>
          <w:sz w:val="20"/>
          <w:szCs w:val="20"/>
        </w:rPr>
        <w:t>ceased after August 201</w:t>
      </w:r>
      <w:r w:rsidRPr="004A11F0">
        <w:rPr>
          <w:rFonts w:cs="Arial"/>
          <w:sz w:val="20"/>
          <w:szCs w:val="20"/>
        </w:rPr>
        <w:t>2</w:t>
      </w:r>
      <w:r w:rsidR="00CD4673">
        <w:rPr>
          <w:rFonts w:cs="Arial"/>
          <w:sz w:val="20"/>
          <w:szCs w:val="20"/>
        </w:rPr>
        <w:t>.</w:t>
      </w:r>
    </w:p>
    <w:p w14:paraId="766ACE16" w14:textId="1FD107F6" w:rsidR="00A77FE6" w:rsidRDefault="00A77FE6" w:rsidP="00A77FE6">
      <w:r>
        <w:t xml:space="preserve">Consistent with the increasing number of patients treated with exenatide (see Figure 1), the number of R/PBS prescriptions for exenatide is also increasing.  The increase in prescriptions in December and subsequent decline in January each year is due to fluctuations associated with the </w:t>
      </w:r>
      <w:r w:rsidR="00567F95">
        <w:t>PBS S</w:t>
      </w:r>
      <w:r>
        <w:t xml:space="preserve">afety </w:t>
      </w:r>
      <w:r w:rsidR="00567F95">
        <w:t>N</w:t>
      </w:r>
      <w:r>
        <w:t>et.</w:t>
      </w:r>
    </w:p>
    <w:p w14:paraId="7A7128A3" w14:textId="5A95C0C0" w:rsidR="00A77FE6" w:rsidRPr="00641FF3" w:rsidRDefault="001F366F" w:rsidP="00A77FE6">
      <w:pPr>
        <w:rPr>
          <w:rFonts w:cstheme="minorHAnsi"/>
        </w:rPr>
      </w:pPr>
      <w:r>
        <w:t>T</w:t>
      </w:r>
      <w:r w:rsidR="00A77FE6" w:rsidRPr="00641FF3">
        <w:t xml:space="preserve">he </w:t>
      </w:r>
      <w:r w:rsidR="00CC5530">
        <w:t xml:space="preserve">pharmacy </w:t>
      </w:r>
      <w:r w:rsidR="00A77FE6" w:rsidRPr="00641FF3">
        <w:t>survey d</w:t>
      </w:r>
      <w:r>
        <w:t>ata available until August 2012</w:t>
      </w:r>
      <w:r w:rsidR="00A77FE6" w:rsidRPr="00641FF3">
        <w:t xml:space="preserve"> </w:t>
      </w:r>
      <w:r>
        <w:t xml:space="preserve">shows </w:t>
      </w:r>
      <w:r w:rsidR="00A77FE6" w:rsidRPr="00641FF3">
        <w:t xml:space="preserve">some exenatide was being prescribed on private prescription. </w:t>
      </w:r>
      <w:r w:rsidR="00CC5530">
        <w:t xml:space="preserve"> The </w:t>
      </w:r>
      <w:r w:rsidR="00A77FE6" w:rsidRPr="00641FF3">
        <w:t xml:space="preserve">DUSC had previously considered that </w:t>
      </w:r>
      <w:r w:rsidR="00A77FE6" w:rsidRPr="00641FF3">
        <w:rPr>
          <w:rFonts w:cstheme="minorHAnsi"/>
        </w:rPr>
        <w:t xml:space="preserve">private prescriptions could be for patients on insulin who do not qualify for PBS subsidised exenatide.  </w:t>
      </w:r>
    </w:p>
    <w:p w14:paraId="6230DEC9" w14:textId="0D2DE3DA" w:rsidR="00A77FE6" w:rsidRPr="006566BD" w:rsidRDefault="00A77FE6" w:rsidP="00A77FE6">
      <w:pPr>
        <w:rPr>
          <w:rFonts w:cstheme="minorHAnsi"/>
        </w:rPr>
      </w:pPr>
      <w:r>
        <w:rPr>
          <w:rFonts w:cstheme="minorHAnsi"/>
        </w:rPr>
        <w:t>The number of prescriptions, cla</w:t>
      </w:r>
      <w:r w:rsidR="00400C42">
        <w:rPr>
          <w:rFonts w:cstheme="minorHAnsi"/>
        </w:rPr>
        <w:t>ssified by their item code (5 microgram</w:t>
      </w:r>
      <w:r>
        <w:rPr>
          <w:rFonts w:cstheme="minorHAnsi"/>
        </w:rPr>
        <w:t xml:space="preserve"> or 10 </w:t>
      </w:r>
      <w:r w:rsidR="00400C42">
        <w:rPr>
          <w:rFonts w:cstheme="minorHAnsi"/>
        </w:rPr>
        <w:t>microgram</w:t>
      </w:r>
      <w:r w:rsidR="0096087C">
        <w:rPr>
          <w:rFonts w:cstheme="minorHAnsi"/>
        </w:rPr>
        <w:t xml:space="preserve"> exenatide) is shown in Figure </w:t>
      </w:r>
      <w:r>
        <w:rPr>
          <w:rFonts w:cstheme="minorHAnsi"/>
        </w:rPr>
        <w:t xml:space="preserve">4. </w:t>
      </w:r>
    </w:p>
    <w:p w14:paraId="70ABBDCD" w14:textId="49BBD30D" w:rsidR="0096087C" w:rsidRDefault="0096087C" w:rsidP="005651C8">
      <w:pPr>
        <w:rPr>
          <w:rFonts w:cs="Arial"/>
          <w:sz w:val="20"/>
          <w:szCs w:val="20"/>
        </w:rPr>
      </w:pPr>
      <w:r>
        <w:rPr>
          <w:noProof/>
        </w:rPr>
        <w:lastRenderedPageBreak/>
        <w:drawing>
          <wp:inline distT="0" distB="0" distL="0" distR="0" wp14:anchorId="079D4C53" wp14:editId="1B5BAF0A">
            <wp:extent cx="5713977" cy="3930732"/>
            <wp:effectExtent l="0" t="0" r="1270" b="0"/>
            <wp:docPr id="26" name="Chart 26" title="Figure 4: Prescriptions supplied for exenatide by item code."/>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Fonts w:cs="Arial"/>
          <w:b/>
          <w:szCs w:val="20"/>
        </w:rPr>
        <w:t>Figure 4</w:t>
      </w:r>
      <w:r w:rsidRPr="00094D87">
        <w:rPr>
          <w:rFonts w:cs="Arial"/>
          <w:b/>
          <w:szCs w:val="20"/>
        </w:rPr>
        <w:t xml:space="preserve">: </w:t>
      </w:r>
      <w:r>
        <w:rPr>
          <w:rFonts w:cs="Arial"/>
          <w:b/>
          <w:szCs w:val="20"/>
        </w:rPr>
        <w:t>Prescriptions supplied for exenatide by item code</w:t>
      </w:r>
      <w:r>
        <w:rPr>
          <w:rFonts w:cs="Arial"/>
          <w:b/>
          <w:szCs w:val="20"/>
        </w:rPr>
        <w:br/>
      </w:r>
      <w:r w:rsidRPr="004A11F0">
        <w:rPr>
          <w:rFonts w:cs="Arial"/>
          <w:sz w:val="20"/>
          <w:szCs w:val="20"/>
        </w:rPr>
        <w:t xml:space="preserve">Note: </w:t>
      </w:r>
      <w:r>
        <w:rPr>
          <w:rFonts w:cs="Arial"/>
          <w:sz w:val="20"/>
          <w:szCs w:val="20"/>
        </w:rPr>
        <w:t>The Private Estimate ceased after August 201</w:t>
      </w:r>
      <w:r w:rsidRPr="004A11F0">
        <w:rPr>
          <w:rFonts w:cs="Arial"/>
          <w:sz w:val="20"/>
          <w:szCs w:val="20"/>
        </w:rPr>
        <w:t>2</w:t>
      </w:r>
      <w:r>
        <w:rPr>
          <w:rFonts w:cs="Arial"/>
          <w:sz w:val="20"/>
          <w:szCs w:val="20"/>
        </w:rPr>
        <w:t>. The item</w:t>
      </w:r>
      <w:r w:rsidR="00C5141A">
        <w:rPr>
          <w:rFonts w:cs="Arial"/>
          <w:sz w:val="20"/>
          <w:szCs w:val="20"/>
        </w:rPr>
        <w:t>s</w:t>
      </w:r>
      <w:r>
        <w:rPr>
          <w:rFonts w:cs="Arial"/>
          <w:sz w:val="20"/>
          <w:szCs w:val="20"/>
        </w:rPr>
        <w:t xml:space="preserve"> coded 20214 and 20213 are the private item code</w:t>
      </w:r>
      <w:r w:rsidR="00C5141A">
        <w:rPr>
          <w:rFonts w:cs="Arial"/>
          <w:sz w:val="20"/>
          <w:szCs w:val="20"/>
        </w:rPr>
        <w:t xml:space="preserve">s used prior to </w:t>
      </w:r>
      <w:r>
        <w:rPr>
          <w:rFonts w:cs="Arial"/>
          <w:sz w:val="20"/>
          <w:szCs w:val="20"/>
        </w:rPr>
        <w:t>PBS listing of the products. Private use continued post listing (see Figure 3) but was recorded under the PBS item codes.</w:t>
      </w:r>
    </w:p>
    <w:p w14:paraId="14E9FF20" w14:textId="1F7ED95B" w:rsidR="009E031D" w:rsidRPr="00AE0073" w:rsidRDefault="00C5141A" w:rsidP="00AE0073">
      <w:r w:rsidRPr="00C5141A">
        <w:t xml:space="preserve">Patients starting on exenatide are usually prescribed the 5 </w:t>
      </w:r>
      <w:r>
        <w:t>micro</w:t>
      </w:r>
      <w:r w:rsidRPr="00C5141A">
        <w:t>g</w:t>
      </w:r>
      <w:r>
        <w:t>ram</w:t>
      </w:r>
      <w:r w:rsidRPr="00C5141A">
        <w:t xml:space="preserve"> dose a</w:t>
      </w:r>
      <w:r>
        <w:t>nd then may progress to the 10 micro</w:t>
      </w:r>
      <w:r w:rsidRPr="00C5141A">
        <w:t>g</w:t>
      </w:r>
      <w:r>
        <w:t>ram</w:t>
      </w:r>
      <w:r w:rsidRPr="00C5141A">
        <w:t xml:space="preserve"> dose.</w:t>
      </w:r>
    </w:p>
    <w:p w14:paraId="4F8723A6" w14:textId="3B792516" w:rsidR="00736041" w:rsidRDefault="001B5D37" w:rsidP="0085256D">
      <w:pPr>
        <w:pStyle w:val="Heading4"/>
      </w:pPr>
      <w:r w:rsidRPr="005E22C2">
        <w:t xml:space="preserve">Analysis </w:t>
      </w:r>
      <w:r w:rsidR="00481108" w:rsidRPr="005E22C2">
        <w:t xml:space="preserve">of </w:t>
      </w:r>
      <w:r w:rsidR="0063631C">
        <w:t>e</w:t>
      </w:r>
      <w:r w:rsidR="00736041" w:rsidRPr="005E22C2">
        <w:t>xpenditure</w:t>
      </w:r>
    </w:p>
    <w:p w14:paraId="490D3B55" w14:textId="2DF08FB6" w:rsidR="00F162D1" w:rsidRDefault="00D8280D" w:rsidP="00F162D1">
      <w:r>
        <w:t>The PBS and RPBS expenditure in the first thre</w:t>
      </w:r>
      <w:r w:rsidR="00E1764B">
        <w:t>e years of listing is shown in T</w:t>
      </w:r>
      <w:r>
        <w:t>able 3.  The figures shown are based on the published price for exenatide and hence are indicative only.  A special pricing arrangement applies to exenatide</w:t>
      </w:r>
      <w:r w:rsidR="009C1465">
        <w:t>.  T</w:t>
      </w:r>
      <w:r>
        <w:t xml:space="preserve">here was a reduction in the published price on 1 December </w:t>
      </w:r>
      <w:r w:rsidR="005C5A77">
        <w:t>2013;</w:t>
      </w:r>
      <w:r>
        <w:t xml:space="preserve"> however the effective price remained unchanged.</w:t>
      </w:r>
    </w:p>
    <w:p w14:paraId="0BFFFAEB" w14:textId="77777777" w:rsidR="00E244CA" w:rsidRDefault="00E244CA" w:rsidP="00E244CA">
      <w:pPr>
        <w:spacing w:before="200" w:after="0"/>
        <w:rPr>
          <w:rFonts w:eastAsia="Calibri" w:cs="Arial"/>
          <w:b/>
          <w:szCs w:val="20"/>
        </w:rPr>
      </w:pPr>
      <w:r w:rsidRPr="00B609F8">
        <w:rPr>
          <w:rFonts w:eastAsia="Calibri" w:cs="Arial"/>
          <w:b/>
          <w:szCs w:val="20"/>
        </w:rPr>
        <w:t xml:space="preserve">Table </w:t>
      </w:r>
      <w:r>
        <w:rPr>
          <w:rFonts w:eastAsia="Calibri" w:cs="Arial"/>
          <w:b/>
          <w:szCs w:val="20"/>
        </w:rPr>
        <w:t>3: PBS &amp; RPBS (</w:t>
      </w:r>
      <w:r w:rsidRPr="00B609F8">
        <w:rPr>
          <w:rFonts w:eastAsia="Calibri" w:cs="Arial"/>
          <w:b/>
          <w:szCs w:val="20"/>
        </w:rPr>
        <w:t>R/PBS</w:t>
      </w:r>
      <w:r>
        <w:rPr>
          <w:rFonts w:eastAsia="Calibri" w:cs="Arial"/>
          <w:b/>
          <w:szCs w:val="20"/>
        </w:rPr>
        <w:t>)</w:t>
      </w:r>
      <w:r w:rsidRPr="00B609F8">
        <w:rPr>
          <w:rFonts w:eastAsia="Calibri" w:cs="Arial"/>
          <w:b/>
          <w:szCs w:val="20"/>
        </w:rPr>
        <w:t xml:space="preserve"> expenditure (</w:t>
      </w:r>
      <w:r>
        <w:rPr>
          <w:rFonts w:eastAsia="Calibri" w:cs="Arial"/>
          <w:b/>
          <w:szCs w:val="20"/>
        </w:rPr>
        <w:t>published price, date of supply</w:t>
      </w:r>
      <w:r w:rsidRPr="00B609F8">
        <w:rPr>
          <w:rFonts w:eastAsia="Calibri" w:cs="Arial"/>
          <w:b/>
          <w:szCs w:val="20"/>
        </w:rPr>
        <w:t>)</w:t>
      </w:r>
    </w:p>
    <w:tbl>
      <w:tblPr>
        <w:tblStyle w:val="TableGrid2"/>
        <w:tblW w:w="4906" w:type="pct"/>
        <w:tblInd w:w="108" w:type="dxa"/>
        <w:tblLook w:val="04A0" w:firstRow="1" w:lastRow="0" w:firstColumn="1" w:lastColumn="0" w:noHBand="0" w:noVBand="1"/>
        <w:tblCaption w:val="Table 3: PBS and RPBS expenditure on exenatide"/>
      </w:tblPr>
      <w:tblGrid>
        <w:gridCol w:w="2952"/>
        <w:gridCol w:w="3059"/>
        <w:gridCol w:w="2990"/>
      </w:tblGrid>
      <w:tr w:rsidR="00E244CA" w:rsidRPr="00B609F8" w14:paraId="3EBA2DAF" w14:textId="77777777" w:rsidTr="00B962CB">
        <w:trPr>
          <w:tblHeader/>
        </w:trPr>
        <w:tc>
          <w:tcPr>
            <w:tcW w:w="1639" w:type="pct"/>
            <w:shd w:val="clear" w:color="auto" w:fill="BFBFBF" w:themeFill="background1" w:themeFillShade="BF"/>
            <w:vAlign w:val="center"/>
          </w:tcPr>
          <w:p w14:paraId="7649CC5B" w14:textId="77777777" w:rsidR="00E244CA" w:rsidRPr="00685AFB" w:rsidRDefault="00E244CA" w:rsidP="006577FD">
            <w:pPr>
              <w:jc w:val="center"/>
              <w:rPr>
                <w:rFonts w:ascii="Calibri" w:hAnsi="Calibri"/>
                <w:b/>
                <w:color w:val="000000"/>
                <w:sz w:val="20"/>
                <w:szCs w:val="20"/>
              </w:rPr>
            </w:pPr>
            <w:r w:rsidRPr="00685AFB">
              <w:rPr>
                <w:rFonts w:ascii="Calibri" w:hAnsi="Calibri"/>
                <w:b/>
                <w:color w:val="000000"/>
                <w:sz w:val="20"/>
                <w:szCs w:val="20"/>
              </w:rPr>
              <w:t>Year 1</w:t>
            </w:r>
          </w:p>
        </w:tc>
        <w:tc>
          <w:tcPr>
            <w:tcW w:w="1699" w:type="pct"/>
            <w:shd w:val="clear" w:color="auto" w:fill="BFBFBF" w:themeFill="background1" w:themeFillShade="BF"/>
            <w:vAlign w:val="center"/>
          </w:tcPr>
          <w:p w14:paraId="0831A7BD" w14:textId="77777777" w:rsidR="00E244CA" w:rsidRPr="00685AFB" w:rsidRDefault="00E244CA" w:rsidP="006577FD">
            <w:pPr>
              <w:jc w:val="center"/>
              <w:rPr>
                <w:rFonts w:ascii="Calibri" w:hAnsi="Calibri"/>
                <w:b/>
                <w:color w:val="000000"/>
                <w:sz w:val="20"/>
                <w:szCs w:val="20"/>
              </w:rPr>
            </w:pPr>
            <w:r w:rsidRPr="00685AFB">
              <w:rPr>
                <w:rFonts w:ascii="Calibri" w:hAnsi="Calibri"/>
                <w:b/>
                <w:color w:val="000000"/>
                <w:sz w:val="20"/>
                <w:szCs w:val="20"/>
              </w:rPr>
              <w:t>Year 2</w:t>
            </w:r>
          </w:p>
        </w:tc>
        <w:tc>
          <w:tcPr>
            <w:tcW w:w="1661" w:type="pct"/>
            <w:shd w:val="clear" w:color="auto" w:fill="BFBFBF" w:themeFill="background1" w:themeFillShade="BF"/>
            <w:vAlign w:val="center"/>
          </w:tcPr>
          <w:p w14:paraId="73FCA7B1" w14:textId="77777777" w:rsidR="00E244CA" w:rsidRPr="00685AFB" w:rsidRDefault="00E244CA" w:rsidP="006577FD">
            <w:pPr>
              <w:jc w:val="center"/>
              <w:rPr>
                <w:rFonts w:ascii="Calibri" w:hAnsi="Calibri"/>
                <w:b/>
                <w:color w:val="000000"/>
                <w:sz w:val="20"/>
                <w:szCs w:val="20"/>
              </w:rPr>
            </w:pPr>
            <w:r w:rsidRPr="00685AFB">
              <w:rPr>
                <w:rFonts w:ascii="Calibri" w:hAnsi="Calibri"/>
                <w:b/>
                <w:color w:val="000000"/>
                <w:sz w:val="20"/>
                <w:szCs w:val="20"/>
              </w:rPr>
              <w:t>Year 3</w:t>
            </w:r>
          </w:p>
        </w:tc>
      </w:tr>
      <w:tr w:rsidR="00E244CA" w:rsidRPr="00B609F8" w14:paraId="76D6B831" w14:textId="77777777" w:rsidTr="006577FD">
        <w:tc>
          <w:tcPr>
            <w:tcW w:w="1639" w:type="pct"/>
            <w:vAlign w:val="center"/>
          </w:tcPr>
          <w:p w14:paraId="07775A22" w14:textId="77777777" w:rsidR="00E244CA" w:rsidRDefault="00E244CA" w:rsidP="006577FD">
            <w:pPr>
              <w:jc w:val="center"/>
              <w:rPr>
                <w:rFonts w:ascii="Calibri" w:hAnsi="Calibri"/>
                <w:color w:val="000000"/>
                <w:sz w:val="20"/>
                <w:szCs w:val="20"/>
              </w:rPr>
            </w:pPr>
            <w:r>
              <w:rPr>
                <w:rFonts w:ascii="Calibri" w:hAnsi="Calibri"/>
                <w:color w:val="000000"/>
                <w:sz w:val="20"/>
                <w:szCs w:val="20"/>
              </w:rPr>
              <w:t>Aug10 to Jul11</w:t>
            </w:r>
          </w:p>
        </w:tc>
        <w:tc>
          <w:tcPr>
            <w:tcW w:w="1699" w:type="pct"/>
            <w:vAlign w:val="center"/>
          </w:tcPr>
          <w:p w14:paraId="08C98FBD" w14:textId="77777777" w:rsidR="00E244CA" w:rsidRDefault="00E244CA" w:rsidP="006577FD">
            <w:pPr>
              <w:jc w:val="center"/>
              <w:rPr>
                <w:rFonts w:ascii="Calibri" w:hAnsi="Calibri"/>
                <w:color w:val="000000"/>
                <w:sz w:val="20"/>
                <w:szCs w:val="20"/>
              </w:rPr>
            </w:pPr>
            <w:r>
              <w:rPr>
                <w:rFonts w:ascii="Calibri" w:hAnsi="Calibri"/>
                <w:color w:val="000000"/>
                <w:sz w:val="20"/>
                <w:szCs w:val="20"/>
              </w:rPr>
              <w:t>Aug11 to Jul12</w:t>
            </w:r>
          </w:p>
        </w:tc>
        <w:tc>
          <w:tcPr>
            <w:tcW w:w="1661" w:type="pct"/>
            <w:vAlign w:val="center"/>
          </w:tcPr>
          <w:p w14:paraId="379C00C8" w14:textId="77777777" w:rsidR="00E244CA" w:rsidRDefault="00E244CA" w:rsidP="006577FD">
            <w:pPr>
              <w:jc w:val="center"/>
              <w:rPr>
                <w:rFonts w:ascii="Calibri" w:hAnsi="Calibri"/>
                <w:color w:val="000000"/>
                <w:sz w:val="20"/>
                <w:szCs w:val="20"/>
              </w:rPr>
            </w:pPr>
            <w:r>
              <w:rPr>
                <w:rFonts w:ascii="Calibri" w:hAnsi="Calibri"/>
                <w:color w:val="000000"/>
                <w:sz w:val="20"/>
                <w:szCs w:val="20"/>
              </w:rPr>
              <w:t>Aug12 to Jul13</w:t>
            </w:r>
          </w:p>
        </w:tc>
      </w:tr>
      <w:tr w:rsidR="00E244CA" w:rsidRPr="00B609F8" w14:paraId="638660C1" w14:textId="77777777" w:rsidTr="006577FD">
        <w:tc>
          <w:tcPr>
            <w:tcW w:w="1639" w:type="pct"/>
            <w:vAlign w:val="center"/>
          </w:tcPr>
          <w:p w14:paraId="26653134" w14:textId="77777777" w:rsidR="00E244CA" w:rsidRDefault="00E244CA" w:rsidP="006577FD">
            <w:pPr>
              <w:jc w:val="center"/>
              <w:rPr>
                <w:rFonts w:ascii="Calibri" w:hAnsi="Calibri"/>
                <w:color w:val="000000"/>
                <w:sz w:val="20"/>
                <w:szCs w:val="20"/>
              </w:rPr>
            </w:pPr>
            <w:r>
              <w:rPr>
                <w:rFonts w:ascii="Calibri" w:hAnsi="Calibri"/>
                <w:color w:val="000000"/>
                <w:sz w:val="20"/>
                <w:szCs w:val="20"/>
              </w:rPr>
              <w:t>$5,367,202</w:t>
            </w:r>
          </w:p>
        </w:tc>
        <w:tc>
          <w:tcPr>
            <w:tcW w:w="1699" w:type="pct"/>
            <w:vAlign w:val="center"/>
          </w:tcPr>
          <w:p w14:paraId="131D660B" w14:textId="77777777" w:rsidR="00E244CA" w:rsidRDefault="00E244CA" w:rsidP="006577FD">
            <w:pPr>
              <w:jc w:val="center"/>
              <w:rPr>
                <w:rFonts w:ascii="Calibri" w:hAnsi="Calibri"/>
                <w:color w:val="000000"/>
                <w:sz w:val="20"/>
                <w:szCs w:val="20"/>
              </w:rPr>
            </w:pPr>
            <w:r>
              <w:rPr>
                <w:rFonts w:ascii="Calibri" w:hAnsi="Calibri"/>
                <w:color w:val="000000"/>
                <w:sz w:val="20"/>
                <w:szCs w:val="20"/>
              </w:rPr>
              <w:t>$13,059,861</w:t>
            </w:r>
          </w:p>
        </w:tc>
        <w:tc>
          <w:tcPr>
            <w:tcW w:w="1661" w:type="pct"/>
            <w:vAlign w:val="center"/>
          </w:tcPr>
          <w:p w14:paraId="69E078C7" w14:textId="77777777" w:rsidR="00E244CA" w:rsidRDefault="00E244CA" w:rsidP="006577FD">
            <w:pPr>
              <w:jc w:val="center"/>
              <w:rPr>
                <w:rFonts w:ascii="Calibri" w:hAnsi="Calibri"/>
                <w:color w:val="000000"/>
                <w:sz w:val="20"/>
                <w:szCs w:val="20"/>
              </w:rPr>
            </w:pPr>
            <w:r>
              <w:rPr>
                <w:rFonts w:ascii="Calibri" w:hAnsi="Calibri"/>
                <w:color w:val="000000"/>
                <w:sz w:val="20"/>
                <w:szCs w:val="20"/>
              </w:rPr>
              <w:t>$20,255,282</w:t>
            </w:r>
          </w:p>
        </w:tc>
      </w:tr>
    </w:tbl>
    <w:p w14:paraId="353AAC9F" w14:textId="77777777" w:rsidR="00E244CA" w:rsidRDefault="00E244CA" w:rsidP="00E244CA">
      <w:pPr>
        <w:rPr>
          <w:rFonts w:eastAsia="Calibri" w:cs="Arial"/>
          <w:sz w:val="20"/>
          <w:szCs w:val="20"/>
        </w:rPr>
      </w:pPr>
      <w:r>
        <w:rPr>
          <w:rFonts w:eastAsia="Calibri" w:cs="Arial"/>
          <w:sz w:val="20"/>
          <w:szCs w:val="20"/>
        </w:rPr>
        <w:t xml:space="preserve">Note: </w:t>
      </w:r>
      <w:r w:rsidRPr="0071264D">
        <w:rPr>
          <w:rFonts w:eastAsia="Calibri" w:cs="Arial"/>
          <w:sz w:val="20"/>
          <w:szCs w:val="20"/>
        </w:rPr>
        <w:t>Special pricing arrangements apply to exenatide</w:t>
      </w:r>
      <w:r>
        <w:rPr>
          <w:rFonts w:eastAsia="Calibri" w:cs="Arial"/>
          <w:sz w:val="20"/>
          <w:szCs w:val="20"/>
        </w:rPr>
        <w:t xml:space="preserve"> and there was a reduction in the published price for both items on 1 December 2013 </w:t>
      </w:r>
      <w:r w:rsidRPr="00063C94">
        <w:rPr>
          <w:rFonts w:eastAsia="Calibri" w:cs="Arial"/>
          <w:sz w:val="20"/>
          <w:szCs w:val="20"/>
        </w:rPr>
        <w:t>however the effective price remained unchanged.</w:t>
      </w:r>
    </w:p>
    <w:p w14:paraId="3E12CCD3" w14:textId="77777777" w:rsidR="00E244CA" w:rsidRPr="00F162D1" w:rsidRDefault="00E244CA" w:rsidP="00F162D1"/>
    <w:p w14:paraId="5F22B4D8" w14:textId="319090EA" w:rsidR="00736041" w:rsidRDefault="00D151EB" w:rsidP="00E55D60">
      <w:pPr>
        <w:pStyle w:val="Heading4"/>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3630FF57" w14:textId="12B3C95C" w:rsidR="00804098" w:rsidRPr="00804098" w:rsidRDefault="007304E9" w:rsidP="00804098">
      <w:r>
        <w:t xml:space="preserve">The </w:t>
      </w:r>
      <w:r w:rsidR="00805C48">
        <w:t xml:space="preserve">predicted </w:t>
      </w:r>
      <w:r w:rsidR="00827B0F">
        <w:t>and actual</w:t>
      </w:r>
      <w:r w:rsidR="00805C48">
        <w:t xml:space="preserve"> </w:t>
      </w:r>
      <w:r>
        <w:t>number</w:t>
      </w:r>
      <w:r w:rsidR="00805C48">
        <w:t>s</w:t>
      </w:r>
      <w:r>
        <w:t xml:space="preserve"> of patients initiating treatment with exenatide</w:t>
      </w:r>
      <w:r w:rsidR="00805C48">
        <w:t xml:space="preserve"> </w:t>
      </w:r>
      <w:r>
        <w:t>in the first three ye</w:t>
      </w:r>
      <w:r w:rsidR="00DA3419">
        <w:t>ars of PBS listing is shown in T</w:t>
      </w:r>
      <w:r>
        <w:t>able 4.</w:t>
      </w:r>
    </w:p>
    <w:p w14:paraId="514143AC" w14:textId="31E166A2" w:rsidR="00804098" w:rsidRPr="00B609F8" w:rsidRDefault="00804098" w:rsidP="00D34CF2">
      <w:pPr>
        <w:pStyle w:val="Tabletitle"/>
        <w:rPr>
          <w:rFonts w:cs="Times New Roman"/>
          <w:sz w:val="32"/>
        </w:rPr>
      </w:pPr>
      <w:r w:rsidRPr="00B609F8">
        <w:t xml:space="preserve">Table </w:t>
      </w:r>
      <w:r>
        <w:t>4:</w:t>
      </w:r>
      <w:r w:rsidRPr="00B609F8">
        <w:t xml:space="preserve"> </w:t>
      </w:r>
      <w:r w:rsidR="006F772E">
        <w:t>Predicted versus a</w:t>
      </w:r>
      <w:r w:rsidRPr="00685AFB">
        <w:t>ctual initiating</w:t>
      </w:r>
      <w:r>
        <w:t xml:space="preserve"> PBS </w:t>
      </w:r>
      <w:r w:rsidRPr="00B609F8">
        <w:t>patient</w:t>
      </w:r>
      <w:r w:rsidRPr="00425DB4">
        <w:t>s</w:t>
      </w:r>
    </w:p>
    <w:tbl>
      <w:tblPr>
        <w:tblStyle w:val="TableGrid2"/>
        <w:tblW w:w="4906" w:type="pct"/>
        <w:tblInd w:w="108" w:type="dxa"/>
        <w:tblLook w:val="04A0" w:firstRow="1" w:lastRow="0" w:firstColumn="1" w:lastColumn="0" w:noHBand="0" w:noVBand="1"/>
        <w:tblCaption w:val="Table 4: Predicted versus actual initiating PBS patients on exenatide from year 1 to year 3"/>
      </w:tblPr>
      <w:tblGrid>
        <w:gridCol w:w="2925"/>
        <w:gridCol w:w="2047"/>
        <w:gridCol w:w="2047"/>
        <w:gridCol w:w="1982"/>
      </w:tblGrid>
      <w:tr w:rsidR="00804098" w:rsidRPr="00B609F8" w14:paraId="56B62C0D" w14:textId="77777777" w:rsidTr="00B962CB">
        <w:trPr>
          <w:tblHeader/>
        </w:trPr>
        <w:tc>
          <w:tcPr>
            <w:tcW w:w="1624" w:type="pct"/>
            <w:shd w:val="clear" w:color="auto" w:fill="BFBFBF" w:themeFill="background1" w:themeFillShade="BF"/>
          </w:tcPr>
          <w:p w14:paraId="4FCDEB42" w14:textId="77777777" w:rsidR="00804098" w:rsidRPr="00685AFB" w:rsidRDefault="00804098" w:rsidP="006577FD">
            <w:pPr>
              <w:rPr>
                <w:rFonts w:eastAsia="Calibri" w:cs="Arial"/>
                <w:b/>
                <w:sz w:val="20"/>
                <w:szCs w:val="20"/>
              </w:rPr>
            </w:pPr>
          </w:p>
        </w:tc>
        <w:tc>
          <w:tcPr>
            <w:tcW w:w="1137" w:type="pct"/>
            <w:shd w:val="clear" w:color="auto" w:fill="BFBFBF" w:themeFill="background1" w:themeFillShade="BF"/>
            <w:vAlign w:val="center"/>
          </w:tcPr>
          <w:p w14:paraId="29C731A6" w14:textId="77777777" w:rsidR="00804098" w:rsidRPr="00685AFB" w:rsidRDefault="00804098" w:rsidP="006577FD">
            <w:pPr>
              <w:jc w:val="center"/>
              <w:rPr>
                <w:rFonts w:ascii="Calibri" w:hAnsi="Calibri"/>
                <w:b/>
                <w:color w:val="000000"/>
                <w:sz w:val="20"/>
                <w:szCs w:val="20"/>
              </w:rPr>
            </w:pPr>
            <w:r w:rsidRPr="00685AFB">
              <w:rPr>
                <w:rFonts w:ascii="Calibri" w:hAnsi="Calibri"/>
                <w:b/>
                <w:color w:val="000000"/>
                <w:sz w:val="20"/>
                <w:szCs w:val="20"/>
              </w:rPr>
              <w:t>Year 1</w:t>
            </w:r>
          </w:p>
        </w:tc>
        <w:tc>
          <w:tcPr>
            <w:tcW w:w="1137" w:type="pct"/>
            <w:shd w:val="clear" w:color="auto" w:fill="BFBFBF" w:themeFill="background1" w:themeFillShade="BF"/>
            <w:vAlign w:val="center"/>
          </w:tcPr>
          <w:p w14:paraId="59C86BA5" w14:textId="77777777" w:rsidR="00804098" w:rsidRPr="00685AFB" w:rsidRDefault="00804098" w:rsidP="006577FD">
            <w:pPr>
              <w:jc w:val="center"/>
              <w:rPr>
                <w:rFonts w:ascii="Calibri" w:hAnsi="Calibri"/>
                <w:b/>
                <w:color w:val="000000"/>
                <w:sz w:val="20"/>
                <w:szCs w:val="20"/>
              </w:rPr>
            </w:pPr>
            <w:r w:rsidRPr="00685AFB">
              <w:rPr>
                <w:rFonts w:ascii="Calibri" w:hAnsi="Calibri"/>
                <w:b/>
                <w:color w:val="000000"/>
                <w:sz w:val="20"/>
                <w:szCs w:val="20"/>
              </w:rPr>
              <w:t>Year 2</w:t>
            </w:r>
          </w:p>
        </w:tc>
        <w:tc>
          <w:tcPr>
            <w:tcW w:w="1101" w:type="pct"/>
            <w:shd w:val="clear" w:color="auto" w:fill="BFBFBF" w:themeFill="background1" w:themeFillShade="BF"/>
            <w:vAlign w:val="center"/>
          </w:tcPr>
          <w:p w14:paraId="78D67793" w14:textId="77777777" w:rsidR="00804098" w:rsidRPr="00685AFB" w:rsidRDefault="00804098" w:rsidP="006577FD">
            <w:pPr>
              <w:jc w:val="center"/>
              <w:rPr>
                <w:rFonts w:ascii="Calibri" w:hAnsi="Calibri"/>
                <w:b/>
                <w:color w:val="000000"/>
                <w:sz w:val="20"/>
                <w:szCs w:val="20"/>
              </w:rPr>
            </w:pPr>
            <w:r w:rsidRPr="00685AFB">
              <w:rPr>
                <w:rFonts w:ascii="Calibri" w:hAnsi="Calibri"/>
                <w:b/>
                <w:color w:val="000000"/>
                <w:sz w:val="20"/>
                <w:szCs w:val="20"/>
              </w:rPr>
              <w:t>Year 3</w:t>
            </w:r>
          </w:p>
        </w:tc>
      </w:tr>
      <w:tr w:rsidR="00804098" w:rsidRPr="00B609F8" w14:paraId="7D1EC7A9" w14:textId="77777777" w:rsidTr="006577FD">
        <w:tc>
          <w:tcPr>
            <w:tcW w:w="1624" w:type="pct"/>
            <w:shd w:val="clear" w:color="auto" w:fill="BFBFBF" w:themeFill="background1" w:themeFillShade="BF"/>
          </w:tcPr>
          <w:p w14:paraId="25C4CCE9" w14:textId="77777777" w:rsidR="00804098" w:rsidRPr="00685AFB" w:rsidRDefault="00804098" w:rsidP="006577FD">
            <w:pPr>
              <w:rPr>
                <w:rFonts w:eastAsia="Calibri" w:cs="Arial"/>
                <w:b/>
                <w:sz w:val="20"/>
                <w:szCs w:val="20"/>
              </w:rPr>
            </w:pPr>
          </w:p>
        </w:tc>
        <w:tc>
          <w:tcPr>
            <w:tcW w:w="1137" w:type="pct"/>
            <w:shd w:val="clear" w:color="auto" w:fill="BFBFBF" w:themeFill="background1" w:themeFillShade="BF"/>
            <w:vAlign w:val="center"/>
          </w:tcPr>
          <w:p w14:paraId="09F5C67D" w14:textId="77777777" w:rsidR="00804098" w:rsidRPr="00685AFB" w:rsidRDefault="00804098" w:rsidP="006577FD">
            <w:pPr>
              <w:jc w:val="center"/>
              <w:rPr>
                <w:rFonts w:ascii="Calibri" w:hAnsi="Calibri"/>
                <w:b/>
                <w:color w:val="000000"/>
                <w:sz w:val="20"/>
                <w:szCs w:val="20"/>
              </w:rPr>
            </w:pPr>
            <w:r w:rsidRPr="00685AFB">
              <w:rPr>
                <w:rFonts w:ascii="Calibri" w:hAnsi="Calibri"/>
                <w:b/>
                <w:color w:val="000000"/>
                <w:sz w:val="20"/>
                <w:szCs w:val="20"/>
              </w:rPr>
              <w:t>Aug10 to Jul11</w:t>
            </w:r>
          </w:p>
        </w:tc>
        <w:tc>
          <w:tcPr>
            <w:tcW w:w="1137" w:type="pct"/>
            <w:shd w:val="clear" w:color="auto" w:fill="BFBFBF" w:themeFill="background1" w:themeFillShade="BF"/>
            <w:vAlign w:val="center"/>
          </w:tcPr>
          <w:p w14:paraId="34CC5399" w14:textId="77777777" w:rsidR="00804098" w:rsidRPr="00685AFB" w:rsidRDefault="00804098" w:rsidP="006577FD">
            <w:pPr>
              <w:jc w:val="center"/>
              <w:rPr>
                <w:rFonts w:ascii="Calibri" w:hAnsi="Calibri"/>
                <w:b/>
                <w:color w:val="000000"/>
                <w:sz w:val="20"/>
                <w:szCs w:val="20"/>
              </w:rPr>
            </w:pPr>
            <w:r w:rsidRPr="00685AFB">
              <w:rPr>
                <w:rFonts w:ascii="Calibri" w:hAnsi="Calibri"/>
                <w:b/>
                <w:color w:val="000000"/>
                <w:sz w:val="20"/>
                <w:szCs w:val="20"/>
              </w:rPr>
              <w:t>Aug11 to Jul12</w:t>
            </w:r>
          </w:p>
        </w:tc>
        <w:tc>
          <w:tcPr>
            <w:tcW w:w="1101" w:type="pct"/>
            <w:shd w:val="clear" w:color="auto" w:fill="BFBFBF" w:themeFill="background1" w:themeFillShade="BF"/>
            <w:vAlign w:val="center"/>
          </w:tcPr>
          <w:p w14:paraId="1DAFD22D" w14:textId="77777777" w:rsidR="00804098" w:rsidRPr="00685AFB" w:rsidRDefault="00804098" w:rsidP="006577FD">
            <w:pPr>
              <w:jc w:val="center"/>
              <w:rPr>
                <w:rFonts w:ascii="Calibri" w:hAnsi="Calibri"/>
                <w:b/>
                <w:color w:val="000000"/>
                <w:sz w:val="20"/>
                <w:szCs w:val="20"/>
              </w:rPr>
            </w:pPr>
            <w:r w:rsidRPr="00685AFB">
              <w:rPr>
                <w:rFonts w:ascii="Calibri" w:hAnsi="Calibri"/>
                <w:b/>
                <w:color w:val="000000"/>
                <w:sz w:val="20"/>
                <w:szCs w:val="20"/>
              </w:rPr>
              <w:t>Aug12 to Jul13</w:t>
            </w:r>
          </w:p>
        </w:tc>
      </w:tr>
      <w:tr w:rsidR="00804098" w:rsidRPr="00B609F8" w14:paraId="30461690" w14:textId="77777777" w:rsidTr="006577FD">
        <w:tc>
          <w:tcPr>
            <w:tcW w:w="1624" w:type="pct"/>
          </w:tcPr>
          <w:p w14:paraId="20DE8AE5" w14:textId="77777777" w:rsidR="00804098" w:rsidRPr="00B609F8" w:rsidRDefault="00804098" w:rsidP="006577FD">
            <w:pPr>
              <w:rPr>
                <w:rFonts w:eastAsia="Calibri" w:cs="Arial"/>
                <w:sz w:val="20"/>
                <w:szCs w:val="20"/>
              </w:rPr>
            </w:pPr>
            <w:r w:rsidRPr="00B609F8">
              <w:rPr>
                <w:rFonts w:eastAsia="Calibri" w:cs="Arial"/>
                <w:sz w:val="20"/>
                <w:szCs w:val="20"/>
              </w:rPr>
              <w:t>Predicted (P)</w:t>
            </w:r>
          </w:p>
        </w:tc>
        <w:tc>
          <w:tcPr>
            <w:tcW w:w="1137" w:type="pct"/>
            <w:vAlign w:val="center"/>
          </w:tcPr>
          <w:p w14:paraId="14832745" w14:textId="77777777" w:rsidR="00804098" w:rsidRDefault="00804098" w:rsidP="006577FD">
            <w:pPr>
              <w:jc w:val="center"/>
              <w:rPr>
                <w:rFonts w:ascii="Calibri" w:hAnsi="Calibri"/>
                <w:color w:val="000000"/>
                <w:sz w:val="20"/>
                <w:szCs w:val="20"/>
              </w:rPr>
            </w:pPr>
            <w:r>
              <w:rPr>
                <w:rFonts w:ascii="Calibri" w:hAnsi="Calibri"/>
                <w:color w:val="000000"/>
                <w:sz w:val="20"/>
                <w:szCs w:val="20"/>
              </w:rPr>
              <w:t>8,088</w:t>
            </w:r>
          </w:p>
        </w:tc>
        <w:tc>
          <w:tcPr>
            <w:tcW w:w="1137" w:type="pct"/>
            <w:vAlign w:val="center"/>
          </w:tcPr>
          <w:p w14:paraId="06863EC3" w14:textId="77777777" w:rsidR="00804098" w:rsidRDefault="00804098" w:rsidP="006577FD">
            <w:pPr>
              <w:jc w:val="center"/>
              <w:rPr>
                <w:rFonts w:ascii="Calibri" w:hAnsi="Calibri"/>
                <w:color w:val="000000"/>
                <w:sz w:val="20"/>
                <w:szCs w:val="20"/>
              </w:rPr>
            </w:pPr>
            <w:r>
              <w:rPr>
                <w:rFonts w:ascii="Calibri" w:hAnsi="Calibri"/>
                <w:color w:val="000000"/>
                <w:sz w:val="20"/>
                <w:szCs w:val="20"/>
              </w:rPr>
              <w:t>8,538</w:t>
            </w:r>
          </w:p>
        </w:tc>
        <w:tc>
          <w:tcPr>
            <w:tcW w:w="1101" w:type="pct"/>
            <w:vAlign w:val="center"/>
          </w:tcPr>
          <w:p w14:paraId="67227742" w14:textId="77777777" w:rsidR="00804098" w:rsidRDefault="00804098" w:rsidP="006577FD">
            <w:pPr>
              <w:jc w:val="center"/>
              <w:rPr>
                <w:rFonts w:ascii="Calibri" w:hAnsi="Calibri"/>
                <w:color w:val="000000"/>
                <w:sz w:val="20"/>
                <w:szCs w:val="20"/>
              </w:rPr>
            </w:pPr>
            <w:r>
              <w:rPr>
                <w:rFonts w:ascii="Calibri" w:hAnsi="Calibri"/>
                <w:color w:val="000000"/>
                <w:sz w:val="20"/>
                <w:szCs w:val="20"/>
              </w:rPr>
              <w:t>7,749</w:t>
            </w:r>
          </w:p>
        </w:tc>
      </w:tr>
      <w:tr w:rsidR="00804098" w:rsidRPr="00B609F8" w14:paraId="66808C59" w14:textId="77777777" w:rsidTr="006577FD">
        <w:tc>
          <w:tcPr>
            <w:tcW w:w="1624" w:type="pct"/>
          </w:tcPr>
          <w:p w14:paraId="0BDC6842" w14:textId="77777777" w:rsidR="00804098" w:rsidRPr="00B609F8" w:rsidRDefault="00804098" w:rsidP="006577FD">
            <w:pPr>
              <w:rPr>
                <w:rFonts w:eastAsia="Calibri" w:cs="Arial"/>
                <w:sz w:val="20"/>
                <w:szCs w:val="20"/>
              </w:rPr>
            </w:pPr>
            <w:r w:rsidRPr="00B609F8">
              <w:rPr>
                <w:rFonts w:eastAsia="Calibri" w:cs="Arial"/>
                <w:sz w:val="20"/>
                <w:szCs w:val="20"/>
              </w:rPr>
              <w:t>Actual (A)</w:t>
            </w:r>
          </w:p>
        </w:tc>
        <w:tc>
          <w:tcPr>
            <w:tcW w:w="1137" w:type="pct"/>
            <w:vAlign w:val="center"/>
          </w:tcPr>
          <w:p w14:paraId="21986C91" w14:textId="77777777" w:rsidR="00804098" w:rsidRDefault="00804098" w:rsidP="006577FD">
            <w:pPr>
              <w:jc w:val="center"/>
              <w:rPr>
                <w:rFonts w:ascii="Calibri" w:hAnsi="Calibri"/>
                <w:color w:val="000000"/>
                <w:sz w:val="20"/>
                <w:szCs w:val="20"/>
              </w:rPr>
            </w:pPr>
            <w:r>
              <w:rPr>
                <w:rFonts w:ascii="Calibri" w:hAnsi="Calibri"/>
                <w:color w:val="000000"/>
                <w:sz w:val="20"/>
                <w:szCs w:val="20"/>
              </w:rPr>
              <w:t>6,978</w:t>
            </w:r>
          </w:p>
        </w:tc>
        <w:tc>
          <w:tcPr>
            <w:tcW w:w="1137" w:type="pct"/>
            <w:vAlign w:val="center"/>
          </w:tcPr>
          <w:p w14:paraId="6F89C02E" w14:textId="77777777" w:rsidR="00804098" w:rsidRDefault="00804098" w:rsidP="006577FD">
            <w:pPr>
              <w:jc w:val="center"/>
              <w:rPr>
                <w:rFonts w:ascii="Calibri" w:hAnsi="Calibri"/>
                <w:color w:val="000000"/>
                <w:sz w:val="20"/>
                <w:szCs w:val="20"/>
              </w:rPr>
            </w:pPr>
            <w:r>
              <w:rPr>
                <w:rFonts w:ascii="Calibri" w:hAnsi="Calibri"/>
                <w:color w:val="000000"/>
                <w:sz w:val="20"/>
                <w:szCs w:val="20"/>
              </w:rPr>
              <w:t>8,364</w:t>
            </w:r>
          </w:p>
        </w:tc>
        <w:tc>
          <w:tcPr>
            <w:tcW w:w="1101" w:type="pct"/>
            <w:vAlign w:val="center"/>
          </w:tcPr>
          <w:p w14:paraId="129E85D2" w14:textId="77777777" w:rsidR="00804098" w:rsidRDefault="00804098" w:rsidP="006577FD">
            <w:pPr>
              <w:jc w:val="center"/>
              <w:rPr>
                <w:rFonts w:ascii="Calibri" w:hAnsi="Calibri"/>
                <w:color w:val="000000"/>
                <w:sz w:val="20"/>
                <w:szCs w:val="20"/>
              </w:rPr>
            </w:pPr>
            <w:r>
              <w:rPr>
                <w:rFonts w:ascii="Calibri" w:hAnsi="Calibri"/>
                <w:color w:val="000000"/>
                <w:sz w:val="20"/>
                <w:szCs w:val="20"/>
              </w:rPr>
              <w:t>9,735</w:t>
            </w:r>
          </w:p>
        </w:tc>
      </w:tr>
      <w:tr w:rsidR="00804098" w:rsidRPr="00B609F8" w14:paraId="70842CE3" w14:textId="77777777" w:rsidTr="006577FD">
        <w:tc>
          <w:tcPr>
            <w:tcW w:w="1624" w:type="pct"/>
          </w:tcPr>
          <w:p w14:paraId="6C9521F9" w14:textId="77777777" w:rsidR="00804098" w:rsidRPr="00B609F8" w:rsidRDefault="00804098" w:rsidP="006577FD">
            <w:pPr>
              <w:rPr>
                <w:rFonts w:eastAsia="Calibri" w:cs="Arial"/>
                <w:sz w:val="20"/>
                <w:szCs w:val="20"/>
              </w:rPr>
            </w:pPr>
            <w:r w:rsidRPr="00B609F8">
              <w:rPr>
                <w:rFonts w:eastAsia="Calibri" w:cs="Arial"/>
                <w:sz w:val="20"/>
                <w:szCs w:val="20"/>
              </w:rPr>
              <w:t>Difference (A-P)</w:t>
            </w:r>
          </w:p>
        </w:tc>
        <w:tc>
          <w:tcPr>
            <w:tcW w:w="1137" w:type="pct"/>
            <w:vAlign w:val="center"/>
          </w:tcPr>
          <w:p w14:paraId="30454006" w14:textId="77777777" w:rsidR="00804098" w:rsidRDefault="00804098" w:rsidP="006577FD">
            <w:pPr>
              <w:jc w:val="center"/>
              <w:rPr>
                <w:rFonts w:ascii="Calibri" w:hAnsi="Calibri"/>
                <w:color w:val="000000"/>
                <w:sz w:val="20"/>
                <w:szCs w:val="20"/>
              </w:rPr>
            </w:pPr>
            <w:r>
              <w:rPr>
                <w:rFonts w:ascii="Calibri" w:hAnsi="Calibri"/>
                <w:color w:val="000000"/>
                <w:sz w:val="20"/>
                <w:szCs w:val="20"/>
              </w:rPr>
              <w:t>-1,110</w:t>
            </w:r>
          </w:p>
        </w:tc>
        <w:tc>
          <w:tcPr>
            <w:tcW w:w="1137" w:type="pct"/>
            <w:vAlign w:val="center"/>
          </w:tcPr>
          <w:p w14:paraId="6BB5F5AD" w14:textId="77777777" w:rsidR="00804098" w:rsidRDefault="00804098" w:rsidP="006577FD">
            <w:pPr>
              <w:jc w:val="center"/>
              <w:rPr>
                <w:rFonts w:ascii="Calibri" w:hAnsi="Calibri"/>
                <w:color w:val="000000"/>
                <w:sz w:val="20"/>
                <w:szCs w:val="20"/>
              </w:rPr>
            </w:pPr>
            <w:r>
              <w:rPr>
                <w:rFonts w:ascii="Calibri" w:hAnsi="Calibri"/>
                <w:color w:val="000000"/>
                <w:sz w:val="20"/>
                <w:szCs w:val="20"/>
              </w:rPr>
              <w:t>-174</w:t>
            </w:r>
          </w:p>
        </w:tc>
        <w:tc>
          <w:tcPr>
            <w:tcW w:w="1101" w:type="pct"/>
            <w:vAlign w:val="center"/>
          </w:tcPr>
          <w:p w14:paraId="3E9EE356" w14:textId="77777777" w:rsidR="00804098" w:rsidRDefault="00804098" w:rsidP="006577FD">
            <w:pPr>
              <w:jc w:val="center"/>
              <w:rPr>
                <w:rFonts w:ascii="Calibri" w:hAnsi="Calibri"/>
                <w:color w:val="000000"/>
                <w:sz w:val="20"/>
                <w:szCs w:val="20"/>
              </w:rPr>
            </w:pPr>
            <w:r>
              <w:rPr>
                <w:rFonts w:ascii="Calibri" w:hAnsi="Calibri"/>
                <w:color w:val="000000"/>
                <w:sz w:val="20"/>
                <w:szCs w:val="20"/>
              </w:rPr>
              <w:t>1,986</w:t>
            </w:r>
          </w:p>
        </w:tc>
      </w:tr>
      <w:tr w:rsidR="00804098" w:rsidRPr="00B609F8" w14:paraId="32EC8181" w14:textId="77777777" w:rsidTr="006577FD">
        <w:tc>
          <w:tcPr>
            <w:tcW w:w="1624" w:type="pct"/>
          </w:tcPr>
          <w:p w14:paraId="19BAE7B8" w14:textId="77777777" w:rsidR="00804098" w:rsidRPr="00B609F8" w:rsidRDefault="00804098" w:rsidP="006577FD">
            <w:pPr>
              <w:rPr>
                <w:rFonts w:eastAsia="Calibri" w:cs="Arial"/>
                <w:sz w:val="20"/>
                <w:szCs w:val="20"/>
              </w:rPr>
            </w:pPr>
            <w:r w:rsidRPr="00B609F8">
              <w:rPr>
                <w:rFonts w:eastAsia="Calibri" w:cs="Arial"/>
                <w:sz w:val="20"/>
                <w:szCs w:val="20"/>
              </w:rPr>
              <w:t xml:space="preserve">% Difference (A-P)/P </w:t>
            </w:r>
          </w:p>
        </w:tc>
        <w:tc>
          <w:tcPr>
            <w:tcW w:w="1137" w:type="pct"/>
            <w:vAlign w:val="center"/>
          </w:tcPr>
          <w:p w14:paraId="32583CDC" w14:textId="77777777" w:rsidR="00804098" w:rsidRDefault="00804098" w:rsidP="006577FD">
            <w:pPr>
              <w:jc w:val="center"/>
              <w:rPr>
                <w:rFonts w:ascii="Calibri" w:hAnsi="Calibri"/>
                <w:color w:val="000000"/>
                <w:sz w:val="20"/>
                <w:szCs w:val="20"/>
              </w:rPr>
            </w:pPr>
            <w:r>
              <w:rPr>
                <w:rFonts w:ascii="Calibri" w:hAnsi="Calibri"/>
                <w:color w:val="000000"/>
                <w:sz w:val="20"/>
                <w:szCs w:val="20"/>
              </w:rPr>
              <w:t>-14%</w:t>
            </w:r>
          </w:p>
        </w:tc>
        <w:tc>
          <w:tcPr>
            <w:tcW w:w="1137" w:type="pct"/>
            <w:vAlign w:val="center"/>
          </w:tcPr>
          <w:p w14:paraId="7E23948B" w14:textId="77777777" w:rsidR="00804098" w:rsidRDefault="00804098" w:rsidP="006577FD">
            <w:pPr>
              <w:jc w:val="center"/>
              <w:rPr>
                <w:rFonts w:ascii="Calibri" w:hAnsi="Calibri"/>
                <w:color w:val="000000"/>
                <w:sz w:val="20"/>
                <w:szCs w:val="20"/>
              </w:rPr>
            </w:pPr>
            <w:r>
              <w:rPr>
                <w:rFonts w:ascii="Calibri" w:hAnsi="Calibri"/>
                <w:color w:val="000000"/>
                <w:sz w:val="20"/>
                <w:szCs w:val="20"/>
              </w:rPr>
              <w:t>-2%</w:t>
            </w:r>
          </w:p>
        </w:tc>
        <w:tc>
          <w:tcPr>
            <w:tcW w:w="1101" w:type="pct"/>
            <w:vAlign w:val="center"/>
          </w:tcPr>
          <w:p w14:paraId="3606836B" w14:textId="77777777" w:rsidR="00804098" w:rsidRDefault="00804098" w:rsidP="006577FD">
            <w:pPr>
              <w:jc w:val="center"/>
              <w:rPr>
                <w:rFonts w:ascii="Calibri" w:hAnsi="Calibri"/>
                <w:color w:val="000000"/>
                <w:sz w:val="20"/>
                <w:szCs w:val="20"/>
              </w:rPr>
            </w:pPr>
            <w:r>
              <w:rPr>
                <w:rFonts w:ascii="Calibri" w:hAnsi="Calibri"/>
                <w:color w:val="000000"/>
                <w:sz w:val="20"/>
                <w:szCs w:val="20"/>
              </w:rPr>
              <w:t>+26%</w:t>
            </w:r>
          </w:p>
        </w:tc>
      </w:tr>
    </w:tbl>
    <w:p w14:paraId="6B19A8F1" w14:textId="77777777" w:rsidR="009637A8" w:rsidRDefault="009637A8" w:rsidP="009637A8">
      <w:pPr>
        <w:spacing w:after="0"/>
      </w:pPr>
    </w:p>
    <w:p w14:paraId="18BBEE1D" w14:textId="55DCCF78" w:rsidR="00827B0F" w:rsidRPr="00804098" w:rsidRDefault="00827B0F" w:rsidP="00827B0F">
      <w:r>
        <w:t>The predicted and actual numbers of prevalent patients treated with exenatide in the first three ye</w:t>
      </w:r>
      <w:r w:rsidR="00DA3419">
        <w:t>ars of PBS listing is shown in T</w:t>
      </w:r>
      <w:r>
        <w:t>able 5.</w:t>
      </w:r>
    </w:p>
    <w:p w14:paraId="3833A445" w14:textId="2F2B337D" w:rsidR="004B4675" w:rsidRPr="00B609F8" w:rsidRDefault="004B4675" w:rsidP="00D34CF2">
      <w:pPr>
        <w:pStyle w:val="Tabletitle"/>
        <w:rPr>
          <w:rFonts w:cs="Times New Roman"/>
          <w:sz w:val="32"/>
        </w:rPr>
      </w:pPr>
      <w:r w:rsidRPr="00B609F8">
        <w:t xml:space="preserve">Table </w:t>
      </w:r>
      <w:r>
        <w:t>5:</w:t>
      </w:r>
      <w:r w:rsidRPr="00B609F8">
        <w:t xml:space="preserve"> </w:t>
      </w:r>
      <w:r w:rsidR="006F772E">
        <w:t>Predicted versus a</w:t>
      </w:r>
      <w:r w:rsidRPr="00685AFB">
        <w:t>ctual</w:t>
      </w:r>
      <w:r w:rsidRPr="00B609F8">
        <w:t xml:space="preserve"> </w:t>
      </w:r>
      <w:r>
        <w:t xml:space="preserve">prevalent PBS </w:t>
      </w:r>
      <w:r w:rsidRPr="00B609F8">
        <w:t>patient</w:t>
      </w:r>
      <w:r w:rsidRPr="00425DB4">
        <w:t>s</w:t>
      </w:r>
    </w:p>
    <w:tbl>
      <w:tblPr>
        <w:tblStyle w:val="TableGrid2"/>
        <w:tblW w:w="4906" w:type="pct"/>
        <w:tblInd w:w="108" w:type="dxa"/>
        <w:tblLook w:val="04A0" w:firstRow="1" w:lastRow="0" w:firstColumn="1" w:lastColumn="0" w:noHBand="0" w:noVBand="1"/>
        <w:tblCaption w:val="Table 5: Predicted versus actual numbers of prevalent patients treated with exenatide from year 1 to year 3 of PBS listing"/>
      </w:tblPr>
      <w:tblGrid>
        <w:gridCol w:w="2923"/>
        <w:gridCol w:w="2049"/>
        <w:gridCol w:w="2049"/>
        <w:gridCol w:w="1980"/>
      </w:tblGrid>
      <w:tr w:rsidR="004B4675" w:rsidRPr="00B609F8" w14:paraId="77F47FDB" w14:textId="77777777" w:rsidTr="00B962CB">
        <w:trPr>
          <w:tblHeader/>
        </w:trPr>
        <w:tc>
          <w:tcPr>
            <w:tcW w:w="1624" w:type="pct"/>
            <w:shd w:val="clear" w:color="auto" w:fill="BFBFBF" w:themeFill="background1" w:themeFillShade="BF"/>
          </w:tcPr>
          <w:p w14:paraId="3031C55B" w14:textId="77777777" w:rsidR="004B4675" w:rsidRPr="00B609F8" w:rsidRDefault="004B4675" w:rsidP="006577FD">
            <w:pPr>
              <w:rPr>
                <w:rFonts w:eastAsia="Calibri" w:cs="Arial"/>
                <w:sz w:val="20"/>
                <w:szCs w:val="20"/>
              </w:rPr>
            </w:pPr>
          </w:p>
        </w:tc>
        <w:tc>
          <w:tcPr>
            <w:tcW w:w="1138" w:type="pct"/>
            <w:shd w:val="clear" w:color="auto" w:fill="BFBFBF" w:themeFill="background1" w:themeFillShade="BF"/>
            <w:vAlign w:val="center"/>
          </w:tcPr>
          <w:p w14:paraId="006D092E" w14:textId="77777777" w:rsidR="004B4675" w:rsidRPr="00685AFB" w:rsidRDefault="004B4675" w:rsidP="006577FD">
            <w:pPr>
              <w:jc w:val="center"/>
              <w:rPr>
                <w:rFonts w:ascii="Calibri" w:hAnsi="Calibri"/>
                <w:b/>
                <w:color w:val="000000"/>
                <w:sz w:val="20"/>
                <w:szCs w:val="20"/>
              </w:rPr>
            </w:pPr>
            <w:r w:rsidRPr="00685AFB">
              <w:rPr>
                <w:rFonts w:ascii="Calibri" w:hAnsi="Calibri"/>
                <w:b/>
                <w:color w:val="000000"/>
                <w:sz w:val="20"/>
                <w:szCs w:val="20"/>
              </w:rPr>
              <w:t>Year 1</w:t>
            </w:r>
          </w:p>
        </w:tc>
        <w:tc>
          <w:tcPr>
            <w:tcW w:w="1138" w:type="pct"/>
            <w:shd w:val="clear" w:color="auto" w:fill="BFBFBF" w:themeFill="background1" w:themeFillShade="BF"/>
            <w:vAlign w:val="center"/>
          </w:tcPr>
          <w:p w14:paraId="7205EA5F" w14:textId="77777777" w:rsidR="004B4675" w:rsidRPr="00685AFB" w:rsidRDefault="004B4675" w:rsidP="006577FD">
            <w:pPr>
              <w:jc w:val="center"/>
              <w:rPr>
                <w:rFonts w:ascii="Calibri" w:hAnsi="Calibri"/>
                <w:b/>
                <w:color w:val="000000"/>
                <w:sz w:val="20"/>
                <w:szCs w:val="20"/>
              </w:rPr>
            </w:pPr>
            <w:r w:rsidRPr="00685AFB">
              <w:rPr>
                <w:rFonts w:ascii="Calibri" w:hAnsi="Calibri"/>
                <w:b/>
                <w:color w:val="000000"/>
                <w:sz w:val="20"/>
                <w:szCs w:val="20"/>
              </w:rPr>
              <w:t>Year 2</w:t>
            </w:r>
          </w:p>
        </w:tc>
        <w:tc>
          <w:tcPr>
            <w:tcW w:w="1101" w:type="pct"/>
            <w:shd w:val="clear" w:color="auto" w:fill="BFBFBF" w:themeFill="background1" w:themeFillShade="BF"/>
            <w:vAlign w:val="center"/>
          </w:tcPr>
          <w:p w14:paraId="67FD3559" w14:textId="77777777" w:rsidR="004B4675" w:rsidRPr="00685AFB" w:rsidRDefault="004B4675" w:rsidP="006577FD">
            <w:pPr>
              <w:jc w:val="center"/>
              <w:rPr>
                <w:rFonts w:ascii="Calibri" w:hAnsi="Calibri"/>
                <w:b/>
                <w:color w:val="000000"/>
                <w:sz w:val="20"/>
                <w:szCs w:val="20"/>
              </w:rPr>
            </w:pPr>
            <w:r w:rsidRPr="00685AFB">
              <w:rPr>
                <w:rFonts w:ascii="Calibri" w:hAnsi="Calibri"/>
                <w:b/>
                <w:color w:val="000000"/>
                <w:sz w:val="20"/>
                <w:szCs w:val="20"/>
              </w:rPr>
              <w:t>Year 3</w:t>
            </w:r>
          </w:p>
        </w:tc>
      </w:tr>
      <w:tr w:rsidR="004B4675" w:rsidRPr="00B609F8" w14:paraId="623EAE4A" w14:textId="77777777" w:rsidTr="006577FD">
        <w:tc>
          <w:tcPr>
            <w:tcW w:w="1624" w:type="pct"/>
            <w:shd w:val="clear" w:color="auto" w:fill="BFBFBF" w:themeFill="background1" w:themeFillShade="BF"/>
          </w:tcPr>
          <w:p w14:paraId="79D9DD4E" w14:textId="77777777" w:rsidR="004B4675" w:rsidRPr="00B609F8" w:rsidRDefault="004B4675" w:rsidP="006577FD">
            <w:pPr>
              <w:rPr>
                <w:rFonts w:eastAsia="Calibri" w:cs="Arial"/>
                <w:sz w:val="20"/>
                <w:szCs w:val="20"/>
              </w:rPr>
            </w:pPr>
          </w:p>
        </w:tc>
        <w:tc>
          <w:tcPr>
            <w:tcW w:w="1138" w:type="pct"/>
            <w:shd w:val="clear" w:color="auto" w:fill="BFBFBF" w:themeFill="background1" w:themeFillShade="BF"/>
            <w:vAlign w:val="center"/>
          </w:tcPr>
          <w:p w14:paraId="360BF6FE" w14:textId="77777777" w:rsidR="004B4675" w:rsidRPr="00685AFB" w:rsidRDefault="004B4675" w:rsidP="006577FD">
            <w:pPr>
              <w:jc w:val="center"/>
              <w:rPr>
                <w:rFonts w:ascii="Calibri" w:hAnsi="Calibri"/>
                <w:b/>
                <w:color w:val="000000"/>
                <w:sz w:val="20"/>
                <w:szCs w:val="20"/>
              </w:rPr>
            </w:pPr>
            <w:r w:rsidRPr="00685AFB">
              <w:rPr>
                <w:rFonts w:ascii="Calibri" w:hAnsi="Calibri"/>
                <w:b/>
                <w:color w:val="000000"/>
                <w:sz w:val="20"/>
                <w:szCs w:val="20"/>
              </w:rPr>
              <w:t>Aug10 to Jul11</w:t>
            </w:r>
          </w:p>
        </w:tc>
        <w:tc>
          <w:tcPr>
            <w:tcW w:w="1138" w:type="pct"/>
            <w:shd w:val="clear" w:color="auto" w:fill="BFBFBF" w:themeFill="background1" w:themeFillShade="BF"/>
            <w:vAlign w:val="center"/>
          </w:tcPr>
          <w:p w14:paraId="040F3948" w14:textId="77777777" w:rsidR="004B4675" w:rsidRPr="00685AFB" w:rsidRDefault="004B4675" w:rsidP="006577FD">
            <w:pPr>
              <w:jc w:val="center"/>
              <w:rPr>
                <w:rFonts w:ascii="Calibri" w:hAnsi="Calibri"/>
                <w:b/>
                <w:color w:val="000000"/>
                <w:sz w:val="20"/>
                <w:szCs w:val="20"/>
              </w:rPr>
            </w:pPr>
            <w:r w:rsidRPr="00685AFB">
              <w:rPr>
                <w:rFonts w:ascii="Calibri" w:hAnsi="Calibri"/>
                <w:b/>
                <w:color w:val="000000"/>
                <w:sz w:val="20"/>
                <w:szCs w:val="20"/>
              </w:rPr>
              <w:t>Aug11 to Jul12</w:t>
            </w:r>
          </w:p>
        </w:tc>
        <w:tc>
          <w:tcPr>
            <w:tcW w:w="1101" w:type="pct"/>
            <w:shd w:val="clear" w:color="auto" w:fill="BFBFBF" w:themeFill="background1" w:themeFillShade="BF"/>
            <w:vAlign w:val="center"/>
          </w:tcPr>
          <w:p w14:paraId="57152BD0" w14:textId="77777777" w:rsidR="004B4675" w:rsidRPr="00685AFB" w:rsidRDefault="004B4675" w:rsidP="006577FD">
            <w:pPr>
              <w:jc w:val="center"/>
              <w:rPr>
                <w:rFonts w:ascii="Calibri" w:hAnsi="Calibri"/>
                <w:b/>
                <w:color w:val="000000"/>
                <w:sz w:val="20"/>
                <w:szCs w:val="20"/>
              </w:rPr>
            </w:pPr>
            <w:r w:rsidRPr="00685AFB">
              <w:rPr>
                <w:rFonts w:ascii="Calibri" w:hAnsi="Calibri"/>
                <w:b/>
                <w:color w:val="000000"/>
                <w:sz w:val="20"/>
                <w:szCs w:val="20"/>
              </w:rPr>
              <w:t>Aug12 to Jul13</w:t>
            </w:r>
          </w:p>
        </w:tc>
      </w:tr>
      <w:tr w:rsidR="004B4675" w:rsidRPr="00B609F8" w14:paraId="0BD24C04" w14:textId="77777777" w:rsidTr="006577FD">
        <w:tc>
          <w:tcPr>
            <w:tcW w:w="1624" w:type="pct"/>
          </w:tcPr>
          <w:p w14:paraId="19B14405" w14:textId="77777777" w:rsidR="004B4675" w:rsidRPr="00B609F8" w:rsidRDefault="004B4675" w:rsidP="006577FD">
            <w:pPr>
              <w:rPr>
                <w:rFonts w:eastAsia="Calibri" w:cs="Arial"/>
                <w:sz w:val="20"/>
                <w:szCs w:val="20"/>
              </w:rPr>
            </w:pPr>
            <w:r w:rsidRPr="00B609F8">
              <w:rPr>
                <w:rFonts w:eastAsia="Calibri" w:cs="Arial"/>
                <w:sz w:val="20"/>
                <w:szCs w:val="20"/>
              </w:rPr>
              <w:t>Predicted (P)</w:t>
            </w:r>
          </w:p>
        </w:tc>
        <w:tc>
          <w:tcPr>
            <w:tcW w:w="1138" w:type="pct"/>
            <w:vAlign w:val="center"/>
          </w:tcPr>
          <w:p w14:paraId="408B4650" w14:textId="77777777" w:rsidR="004B4675" w:rsidRDefault="004B4675" w:rsidP="006577FD">
            <w:pPr>
              <w:jc w:val="center"/>
              <w:rPr>
                <w:rFonts w:ascii="Calibri" w:hAnsi="Calibri"/>
                <w:color w:val="000000"/>
                <w:sz w:val="20"/>
                <w:szCs w:val="20"/>
              </w:rPr>
            </w:pPr>
            <w:r>
              <w:rPr>
                <w:rFonts w:ascii="Calibri" w:hAnsi="Calibri"/>
                <w:color w:val="000000"/>
                <w:sz w:val="20"/>
                <w:szCs w:val="20"/>
              </w:rPr>
              <w:t>8,088</w:t>
            </w:r>
          </w:p>
        </w:tc>
        <w:tc>
          <w:tcPr>
            <w:tcW w:w="1138" w:type="pct"/>
            <w:vAlign w:val="center"/>
          </w:tcPr>
          <w:p w14:paraId="3A154461" w14:textId="77777777" w:rsidR="004B4675" w:rsidRDefault="004B4675" w:rsidP="006577FD">
            <w:pPr>
              <w:jc w:val="center"/>
              <w:rPr>
                <w:rFonts w:ascii="Calibri" w:hAnsi="Calibri"/>
                <w:color w:val="000000"/>
                <w:sz w:val="20"/>
                <w:szCs w:val="20"/>
              </w:rPr>
            </w:pPr>
            <w:r>
              <w:rPr>
                <w:rFonts w:ascii="Calibri" w:hAnsi="Calibri"/>
                <w:color w:val="000000"/>
                <w:sz w:val="20"/>
                <w:szCs w:val="20"/>
              </w:rPr>
              <w:t>15,009</w:t>
            </w:r>
          </w:p>
        </w:tc>
        <w:tc>
          <w:tcPr>
            <w:tcW w:w="1101" w:type="pct"/>
            <w:vAlign w:val="center"/>
          </w:tcPr>
          <w:p w14:paraId="5CED047E" w14:textId="77777777" w:rsidR="004B4675" w:rsidRDefault="004B4675" w:rsidP="006577FD">
            <w:pPr>
              <w:jc w:val="center"/>
              <w:rPr>
                <w:rFonts w:ascii="Calibri" w:hAnsi="Calibri"/>
                <w:color w:val="000000"/>
                <w:sz w:val="20"/>
                <w:szCs w:val="20"/>
              </w:rPr>
            </w:pPr>
            <w:r>
              <w:rPr>
                <w:rFonts w:ascii="Calibri" w:hAnsi="Calibri"/>
                <w:color w:val="000000"/>
                <w:sz w:val="20"/>
                <w:szCs w:val="20"/>
              </w:rPr>
              <w:t>19,757</w:t>
            </w:r>
          </w:p>
        </w:tc>
      </w:tr>
      <w:tr w:rsidR="004B4675" w:rsidRPr="00B609F8" w14:paraId="130462E5" w14:textId="77777777" w:rsidTr="006577FD">
        <w:tc>
          <w:tcPr>
            <w:tcW w:w="1624" w:type="pct"/>
          </w:tcPr>
          <w:p w14:paraId="1DBADAB2" w14:textId="77777777" w:rsidR="004B4675" w:rsidRPr="00B609F8" w:rsidRDefault="004B4675" w:rsidP="006577FD">
            <w:pPr>
              <w:rPr>
                <w:rFonts w:eastAsia="Calibri" w:cs="Arial"/>
                <w:sz w:val="20"/>
                <w:szCs w:val="20"/>
              </w:rPr>
            </w:pPr>
            <w:r w:rsidRPr="00B609F8">
              <w:rPr>
                <w:rFonts w:eastAsia="Calibri" w:cs="Arial"/>
                <w:sz w:val="20"/>
                <w:szCs w:val="20"/>
              </w:rPr>
              <w:t>Actual (A)</w:t>
            </w:r>
          </w:p>
        </w:tc>
        <w:tc>
          <w:tcPr>
            <w:tcW w:w="1138" w:type="pct"/>
            <w:vAlign w:val="center"/>
          </w:tcPr>
          <w:p w14:paraId="24649CB5" w14:textId="77777777" w:rsidR="004B4675" w:rsidRDefault="004B4675" w:rsidP="006577FD">
            <w:pPr>
              <w:jc w:val="center"/>
              <w:rPr>
                <w:rFonts w:ascii="Calibri" w:hAnsi="Calibri"/>
                <w:color w:val="000000"/>
                <w:sz w:val="20"/>
                <w:szCs w:val="20"/>
              </w:rPr>
            </w:pPr>
            <w:r>
              <w:rPr>
                <w:rFonts w:ascii="Calibri" w:hAnsi="Calibri"/>
                <w:color w:val="000000"/>
                <w:sz w:val="20"/>
                <w:szCs w:val="20"/>
              </w:rPr>
              <w:t>6,978</w:t>
            </w:r>
          </w:p>
        </w:tc>
        <w:tc>
          <w:tcPr>
            <w:tcW w:w="1138" w:type="pct"/>
            <w:vAlign w:val="center"/>
          </w:tcPr>
          <w:p w14:paraId="42DC8E84" w14:textId="77777777" w:rsidR="004B4675" w:rsidRDefault="004B4675" w:rsidP="006577FD">
            <w:pPr>
              <w:jc w:val="center"/>
              <w:rPr>
                <w:rFonts w:ascii="Calibri" w:hAnsi="Calibri"/>
                <w:color w:val="000000"/>
                <w:sz w:val="20"/>
                <w:szCs w:val="20"/>
              </w:rPr>
            </w:pPr>
            <w:r>
              <w:rPr>
                <w:rFonts w:ascii="Calibri" w:hAnsi="Calibri"/>
                <w:color w:val="000000"/>
                <w:sz w:val="20"/>
                <w:szCs w:val="20"/>
              </w:rPr>
              <w:t>13,436</w:t>
            </w:r>
          </w:p>
        </w:tc>
        <w:tc>
          <w:tcPr>
            <w:tcW w:w="1101" w:type="pct"/>
            <w:vAlign w:val="center"/>
          </w:tcPr>
          <w:p w14:paraId="225431BA" w14:textId="77777777" w:rsidR="004B4675" w:rsidRDefault="004B4675" w:rsidP="006577FD">
            <w:pPr>
              <w:jc w:val="center"/>
              <w:rPr>
                <w:rFonts w:ascii="Calibri" w:hAnsi="Calibri"/>
                <w:color w:val="000000"/>
                <w:sz w:val="20"/>
                <w:szCs w:val="20"/>
              </w:rPr>
            </w:pPr>
            <w:r>
              <w:rPr>
                <w:rFonts w:ascii="Calibri" w:hAnsi="Calibri"/>
                <w:color w:val="000000"/>
                <w:sz w:val="20"/>
                <w:szCs w:val="20"/>
              </w:rPr>
              <w:t>19,485</w:t>
            </w:r>
          </w:p>
        </w:tc>
      </w:tr>
      <w:tr w:rsidR="004B4675" w:rsidRPr="00B609F8" w14:paraId="42479E8F" w14:textId="77777777" w:rsidTr="006577FD">
        <w:tc>
          <w:tcPr>
            <w:tcW w:w="1624" w:type="pct"/>
          </w:tcPr>
          <w:p w14:paraId="2A52B91E" w14:textId="77777777" w:rsidR="004B4675" w:rsidRPr="00B609F8" w:rsidRDefault="004B4675" w:rsidP="006577FD">
            <w:pPr>
              <w:rPr>
                <w:rFonts w:eastAsia="Calibri" w:cs="Arial"/>
                <w:sz w:val="20"/>
                <w:szCs w:val="20"/>
              </w:rPr>
            </w:pPr>
            <w:r w:rsidRPr="00B609F8">
              <w:rPr>
                <w:rFonts w:eastAsia="Calibri" w:cs="Arial"/>
                <w:sz w:val="20"/>
                <w:szCs w:val="20"/>
              </w:rPr>
              <w:t>Difference (A-P)</w:t>
            </w:r>
          </w:p>
        </w:tc>
        <w:tc>
          <w:tcPr>
            <w:tcW w:w="1138" w:type="pct"/>
            <w:vAlign w:val="center"/>
          </w:tcPr>
          <w:p w14:paraId="42948A24" w14:textId="77777777" w:rsidR="004B4675" w:rsidRDefault="004B4675" w:rsidP="006577FD">
            <w:pPr>
              <w:jc w:val="center"/>
              <w:rPr>
                <w:rFonts w:ascii="Calibri" w:hAnsi="Calibri"/>
                <w:color w:val="000000"/>
                <w:sz w:val="20"/>
                <w:szCs w:val="20"/>
              </w:rPr>
            </w:pPr>
            <w:r>
              <w:rPr>
                <w:rFonts w:ascii="Calibri" w:hAnsi="Calibri"/>
                <w:color w:val="000000"/>
                <w:sz w:val="20"/>
                <w:szCs w:val="20"/>
              </w:rPr>
              <w:t>-1,110</w:t>
            </w:r>
          </w:p>
        </w:tc>
        <w:tc>
          <w:tcPr>
            <w:tcW w:w="1138" w:type="pct"/>
            <w:vAlign w:val="center"/>
          </w:tcPr>
          <w:p w14:paraId="5784638A" w14:textId="77777777" w:rsidR="004B4675" w:rsidRDefault="004B4675" w:rsidP="006577FD">
            <w:pPr>
              <w:jc w:val="center"/>
              <w:rPr>
                <w:rFonts w:ascii="Calibri" w:hAnsi="Calibri"/>
                <w:color w:val="000000"/>
                <w:sz w:val="20"/>
                <w:szCs w:val="20"/>
              </w:rPr>
            </w:pPr>
            <w:r>
              <w:rPr>
                <w:rFonts w:ascii="Calibri" w:hAnsi="Calibri"/>
                <w:color w:val="000000"/>
                <w:sz w:val="20"/>
                <w:szCs w:val="20"/>
              </w:rPr>
              <w:t>-1,573</w:t>
            </w:r>
          </w:p>
        </w:tc>
        <w:tc>
          <w:tcPr>
            <w:tcW w:w="1101" w:type="pct"/>
            <w:vAlign w:val="center"/>
          </w:tcPr>
          <w:p w14:paraId="0CEB8485" w14:textId="77777777" w:rsidR="004B4675" w:rsidRDefault="004B4675" w:rsidP="006577FD">
            <w:pPr>
              <w:jc w:val="center"/>
              <w:rPr>
                <w:rFonts w:ascii="Calibri" w:hAnsi="Calibri"/>
                <w:color w:val="000000"/>
                <w:sz w:val="20"/>
                <w:szCs w:val="20"/>
              </w:rPr>
            </w:pPr>
            <w:r>
              <w:rPr>
                <w:rFonts w:ascii="Calibri" w:hAnsi="Calibri"/>
                <w:color w:val="000000"/>
                <w:sz w:val="20"/>
                <w:szCs w:val="20"/>
              </w:rPr>
              <w:t>-272</w:t>
            </w:r>
          </w:p>
        </w:tc>
      </w:tr>
      <w:tr w:rsidR="004B4675" w:rsidRPr="00B609F8" w14:paraId="3D5949FE" w14:textId="77777777" w:rsidTr="006577FD">
        <w:tc>
          <w:tcPr>
            <w:tcW w:w="1624" w:type="pct"/>
          </w:tcPr>
          <w:p w14:paraId="509AAF49" w14:textId="77777777" w:rsidR="004B4675" w:rsidRPr="00B609F8" w:rsidRDefault="004B4675" w:rsidP="006577FD">
            <w:pPr>
              <w:rPr>
                <w:rFonts w:eastAsia="Calibri" w:cs="Arial"/>
                <w:sz w:val="20"/>
                <w:szCs w:val="20"/>
              </w:rPr>
            </w:pPr>
            <w:r w:rsidRPr="00B609F8">
              <w:rPr>
                <w:rFonts w:eastAsia="Calibri" w:cs="Arial"/>
                <w:sz w:val="20"/>
                <w:szCs w:val="20"/>
              </w:rPr>
              <w:t xml:space="preserve">% Difference (A-P)/P </w:t>
            </w:r>
          </w:p>
        </w:tc>
        <w:tc>
          <w:tcPr>
            <w:tcW w:w="1138" w:type="pct"/>
            <w:vAlign w:val="center"/>
          </w:tcPr>
          <w:p w14:paraId="59436D78" w14:textId="77777777" w:rsidR="004B4675" w:rsidRDefault="004B4675" w:rsidP="006577FD">
            <w:pPr>
              <w:jc w:val="center"/>
              <w:rPr>
                <w:rFonts w:ascii="Calibri" w:hAnsi="Calibri"/>
                <w:color w:val="000000"/>
                <w:sz w:val="20"/>
                <w:szCs w:val="20"/>
              </w:rPr>
            </w:pPr>
            <w:r>
              <w:rPr>
                <w:rFonts w:ascii="Calibri" w:hAnsi="Calibri"/>
                <w:color w:val="000000"/>
                <w:sz w:val="20"/>
                <w:szCs w:val="20"/>
              </w:rPr>
              <w:t>-14%</w:t>
            </w:r>
          </w:p>
        </w:tc>
        <w:tc>
          <w:tcPr>
            <w:tcW w:w="1138" w:type="pct"/>
            <w:vAlign w:val="center"/>
          </w:tcPr>
          <w:p w14:paraId="0ACB684B" w14:textId="77777777" w:rsidR="004B4675" w:rsidRDefault="004B4675" w:rsidP="006577FD">
            <w:pPr>
              <w:jc w:val="center"/>
              <w:rPr>
                <w:rFonts w:ascii="Calibri" w:hAnsi="Calibri"/>
                <w:color w:val="000000"/>
                <w:sz w:val="20"/>
                <w:szCs w:val="20"/>
              </w:rPr>
            </w:pPr>
            <w:r>
              <w:rPr>
                <w:rFonts w:ascii="Calibri" w:hAnsi="Calibri"/>
                <w:color w:val="000000"/>
                <w:sz w:val="20"/>
                <w:szCs w:val="20"/>
              </w:rPr>
              <w:t>-10%</w:t>
            </w:r>
          </w:p>
        </w:tc>
        <w:tc>
          <w:tcPr>
            <w:tcW w:w="1101" w:type="pct"/>
            <w:vAlign w:val="center"/>
          </w:tcPr>
          <w:p w14:paraId="386CB49A" w14:textId="77777777" w:rsidR="004B4675" w:rsidRDefault="004B4675" w:rsidP="006577FD">
            <w:pPr>
              <w:jc w:val="center"/>
              <w:rPr>
                <w:rFonts w:ascii="Calibri" w:hAnsi="Calibri"/>
                <w:color w:val="000000"/>
                <w:sz w:val="20"/>
                <w:szCs w:val="20"/>
              </w:rPr>
            </w:pPr>
            <w:r>
              <w:rPr>
                <w:rFonts w:ascii="Calibri" w:hAnsi="Calibri"/>
                <w:color w:val="000000"/>
                <w:sz w:val="20"/>
                <w:szCs w:val="20"/>
              </w:rPr>
              <w:t>-1%</w:t>
            </w:r>
          </w:p>
        </w:tc>
      </w:tr>
    </w:tbl>
    <w:p w14:paraId="25786B25" w14:textId="77777777" w:rsidR="004B4675" w:rsidRPr="00AD3505" w:rsidRDefault="004B4675" w:rsidP="004B4675">
      <w:pPr>
        <w:spacing w:after="0"/>
        <w:rPr>
          <w:rFonts w:eastAsia="Calibri" w:cs="Times New Roman"/>
        </w:rPr>
      </w:pPr>
    </w:p>
    <w:p w14:paraId="480A70DC" w14:textId="4BAFC580" w:rsidR="00767133" w:rsidRDefault="00767133" w:rsidP="00767133">
      <w:r>
        <w:t xml:space="preserve">In the predicted versus actual analysis the number of initiating patients is determined by counting the number of individuals receiving their first R/PBS prescription for exenatide. </w:t>
      </w:r>
      <w:r w:rsidR="00723D3F">
        <w:t xml:space="preserve"> </w:t>
      </w:r>
      <w:r>
        <w:t xml:space="preserve">The number of prevalent patients is a count of patients who received at least one exenatide prescription in the year. </w:t>
      </w:r>
    </w:p>
    <w:p w14:paraId="7EDB6335" w14:textId="566EAE56" w:rsidR="00805C48" w:rsidRDefault="00767133" w:rsidP="00767133">
      <w:r>
        <w:t>In the third year of listing 26 % more patients initiated exenatide than predicted, whilst the number of prevalent patients was approximately as predicted (i.e. -1</w:t>
      </w:r>
      <w:r w:rsidR="00BD4521">
        <w:t xml:space="preserve"> </w:t>
      </w:r>
      <w:r>
        <w:t xml:space="preserve">%). </w:t>
      </w:r>
      <w:r w:rsidR="00723D3F">
        <w:t xml:space="preserve"> </w:t>
      </w:r>
      <w:r>
        <w:t xml:space="preserve">The difference in the ratio of initiating to prevalent treated patients is probably because the market for exenatide has not yet stabilised. </w:t>
      </w:r>
      <w:r w:rsidR="00723D3F">
        <w:t xml:space="preserve"> </w:t>
      </w:r>
      <w:r>
        <w:t>The submission determined the eligible prevalent pool for exenatide (see Table 2), and assumed an increasing uptake within this pool (10</w:t>
      </w:r>
      <w:r w:rsidR="00BD4521">
        <w:t xml:space="preserve"> </w:t>
      </w:r>
      <w:r>
        <w:t>% in Y1 to 23</w:t>
      </w:r>
      <w:r w:rsidR="00BD4521">
        <w:t xml:space="preserve"> </w:t>
      </w:r>
      <w:r>
        <w:t xml:space="preserve">% in Y3). </w:t>
      </w:r>
      <w:r w:rsidR="00BD4521">
        <w:t xml:space="preserve"> </w:t>
      </w:r>
      <w:r>
        <w:t xml:space="preserve">New patients were calculated from the predicted percentage uptake in the prevalent pool minus patients remaining on treatment from the previous year. </w:t>
      </w:r>
      <w:r w:rsidR="00723D3F">
        <w:t xml:space="preserve"> </w:t>
      </w:r>
      <w:r>
        <w:t>Twenty percent of new patients were assumed to cease treatment after one prescription. The submission did not otherwise account for patients ceasing treatment for example due to patients no longer achieving adequate glycaemic control with exenatide.</w:t>
      </w:r>
    </w:p>
    <w:p w14:paraId="342A0AF5" w14:textId="185BC3D3" w:rsidR="00E014DE" w:rsidRDefault="00221F11" w:rsidP="00767133">
      <w:r>
        <w:t>The predicted versus actual numbers of prescriptions supplied in the first three</w:t>
      </w:r>
      <w:r w:rsidR="00DA3419">
        <w:t xml:space="preserve"> years of listing are shown in T</w:t>
      </w:r>
      <w:r>
        <w:t>able 6.</w:t>
      </w:r>
    </w:p>
    <w:p w14:paraId="6D4F4FC3" w14:textId="77777777" w:rsidR="00D538AD" w:rsidRDefault="00D538AD">
      <w:pPr>
        <w:spacing w:line="276" w:lineRule="auto"/>
        <w:rPr>
          <w:rFonts w:eastAsiaTheme="majorEastAsia" w:cstheme="majorBidi"/>
          <w:b/>
          <w:bCs/>
        </w:rPr>
      </w:pPr>
      <w:r>
        <w:br w:type="page"/>
      </w:r>
    </w:p>
    <w:p w14:paraId="609E73F9" w14:textId="04FCB242" w:rsidR="00DE20D3" w:rsidRPr="00B609F8" w:rsidRDefault="00DE20D3" w:rsidP="00D34CF2">
      <w:pPr>
        <w:pStyle w:val="Tabletitle"/>
        <w:rPr>
          <w:rFonts w:cs="Times New Roman"/>
          <w:sz w:val="32"/>
        </w:rPr>
      </w:pPr>
      <w:r w:rsidRPr="00B609F8">
        <w:lastRenderedPageBreak/>
        <w:t xml:space="preserve">Table </w:t>
      </w:r>
      <w:r>
        <w:t>6:</w:t>
      </w:r>
      <w:r w:rsidRPr="00685AFB">
        <w:t xml:space="preserve"> Predicted vs Actual</w:t>
      </w:r>
      <w:r w:rsidRPr="00B609F8">
        <w:t xml:space="preserve"> prescriptions</w:t>
      </w:r>
      <w:r>
        <w:t xml:space="preserve"> </w:t>
      </w:r>
    </w:p>
    <w:tbl>
      <w:tblPr>
        <w:tblStyle w:val="TableGrid2"/>
        <w:tblW w:w="4906" w:type="pct"/>
        <w:tblInd w:w="108" w:type="dxa"/>
        <w:tblLook w:val="04A0" w:firstRow="1" w:lastRow="0" w:firstColumn="1" w:lastColumn="0" w:noHBand="0" w:noVBand="1"/>
        <w:tblCaption w:val="Table 6: Predicted vs Actual prescriptions from year 1 to year 3 of exenatide listing"/>
      </w:tblPr>
      <w:tblGrid>
        <w:gridCol w:w="2341"/>
        <w:gridCol w:w="2342"/>
        <w:gridCol w:w="2158"/>
        <w:gridCol w:w="2160"/>
      </w:tblGrid>
      <w:tr w:rsidR="00DE20D3" w:rsidRPr="00B609F8" w14:paraId="1AF6BE18" w14:textId="77777777" w:rsidTr="00B962CB">
        <w:trPr>
          <w:tblHeader/>
        </w:trPr>
        <w:tc>
          <w:tcPr>
            <w:tcW w:w="1300" w:type="pct"/>
            <w:shd w:val="clear" w:color="auto" w:fill="BFBFBF" w:themeFill="background1" w:themeFillShade="BF"/>
          </w:tcPr>
          <w:p w14:paraId="39D402D4" w14:textId="77777777" w:rsidR="00DE20D3" w:rsidRPr="00685AFB" w:rsidRDefault="00DE20D3" w:rsidP="006577FD">
            <w:pPr>
              <w:rPr>
                <w:rFonts w:eastAsia="Calibri" w:cs="Arial"/>
                <w:b/>
                <w:sz w:val="20"/>
                <w:szCs w:val="20"/>
              </w:rPr>
            </w:pPr>
          </w:p>
        </w:tc>
        <w:tc>
          <w:tcPr>
            <w:tcW w:w="1301" w:type="pct"/>
            <w:shd w:val="clear" w:color="auto" w:fill="BFBFBF" w:themeFill="background1" w:themeFillShade="BF"/>
            <w:vAlign w:val="center"/>
          </w:tcPr>
          <w:p w14:paraId="157D6406" w14:textId="77777777" w:rsidR="00DE20D3" w:rsidRPr="00685AFB" w:rsidRDefault="00DE20D3" w:rsidP="006577FD">
            <w:pPr>
              <w:jc w:val="center"/>
              <w:rPr>
                <w:rFonts w:ascii="Calibri" w:hAnsi="Calibri"/>
                <w:b/>
                <w:color w:val="000000"/>
                <w:sz w:val="20"/>
                <w:szCs w:val="20"/>
              </w:rPr>
            </w:pPr>
            <w:r w:rsidRPr="00685AFB">
              <w:rPr>
                <w:rFonts w:ascii="Calibri" w:hAnsi="Calibri"/>
                <w:b/>
                <w:color w:val="000000"/>
                <w:sz w:val="20"/>
                <w:szCs w:val="20"/>
              </w:rPr>
              <w:t>Year 1</w:t>
            </w:r>
          </w:p>
        </w:tc>
        <w:tc>
          <w:tcPr>
            <w:tcW w:w="1199" w:type="pct"/>
            <w:shd w:val="clear" w:color="auto" w:fill="BFBFBF" w:themeFill="background1" w:themeFillShade="BF"/>
            <w:vAlign w:val="center"/>
          </w:tcPr>
          <w:p w14:paraId="0672E7F7" w14:textId="77777777" w:rsidR="00DE20D3" w:rsidRPr="00685AFB" w:rsidRDefault="00DE20D3" w:rsidP="006577FD">
            <w:pPr>
              <w:jc w:val="center"/>
              <w:rPr>
                <w:rFonts w:ascii="Calibri" w:hAnsi="Calibri"/>
                <w:b/>
                <w:color w:val="000000"/>
                <w:sz w:val="20"/>
                <w:szCs w:val="20"/>
              </w:rPr>
            </w:pPr>
            <w:r w:rsidRPr="00685AFB">
              <w:rPr>
                <w:rFonts w:ascii="Calibri" w:hAnsi="Calibri"/>
                <w:b/>
                <w:color w:val="000000"/>
                <w:sz w:val="20"/>
                <w:szCs w:val="20"/>
              </w:rPr>
              <w:t>Year 2</w:t>
            </w:r>
          </w:p>
        </w:tc>
        <w:tc>
          <w:tcPr>
            <w:tcW w:w="1200" w:type="pct"/>
            <w:shd w:val="clear" w:color="auto" w:fill="BFBFBF" w:themeFill="background1" w:themeFillShade="BF"/>
            <w:vAlign w:val="center"/>
          </w:tcPr>
          <w:p w14:paraId="0139A189" w14:textId="77777777" w:rsidR="00DE20D3" w:rsidRPr="00685AFB" w:rsidRDefault="00DE20D3" w:rsidP="006577FD">
            <w:pPr>
              <w:jc w:val="center"/>
              <w:rPr>
                <w:rFonts w:ascii="Calibri" w:hAnsi="Calibri"/>
                <w:b/>
                <w:color w:val="000000"/>
                <w:sz w:val="20"/>
                <w:szCs w:val="20"/>
              </w:rPr>
            </w:pPr>
            <w:r w:rsidRPr="00685AFB">
              <w:rPr>
                <w:rFonts w:ascii="Calibri" w:hAnsi="Calibri"/>
                <w:b/>
                <w:color w:val="000000"/>
                <w:sz w:val="20"/>
                <w:szCs w:val="20"/>
              </w:rPr>
              <w:t>Year 3</w:t>
            </w:r>
          </w:p>
        </w:tc>
      </w:tr>
      <w:tr w:rsidR="00DE20D3" w:rsidRPr="00B609F8" w14:paraId="0650B52C" w14:textId="77777777" w:rsidTr="006577FD">
        <w:tc>
          <w:tcPr>
            <w:tcW w:w="1300" w:type="pct"/>
            <w:shd w:val="clear" w:color="auto" w:fill="BFBFBF" w:themeFill="background1" w:themeFillShade="BF"/>
          </w:tcPr>
          <w:p w14:paraId="06E7507A" w14:textId="77777777" w:rsidR="00DE20D3" w:rsidRPr="00685AFB" w:rsidRDefault="00DE20D3" w:rsidP="006577FD">
            <w:pPr>
              <w:rPr>
                <w:rFonts w:eastAsia="Calibri" w:cs="Arial"/>
                <w:b/>
                <w:sz w:val="20"/>
                <w:szCs w:val="20"/>
              </w:rPr>
            </w:pPr>
          </w:p>
        </w:tc>
        <w:tc>
          <w:tcPr>
            <w:tcW w:w="1301" w:type="pct"/>
            <w:shd w:val="clear" w:color="auto" w:fill="BFBFBF" w:themeFill="background1" w:themeFillShade="BF"/>
            <w:vAlign w:val="center"/>
          </w:tcPr>
          <w:p w14:paraId="7307084F" w14:textId="77777777" w:rsidR="00DE20D3" w:rsidRPr="00685AFB" w:rsidRDefault="00DE20D3" w:rsidP="006577FD">
            <w:pPr>
              <w:jc w:val="center"/>
              <w:rPr>
                <w:rFonts w:ascii="Calibri" w:hAnsi="Calibri"/>
                <w:b/>
                <w:color w:val="000000"/>
                <w:sz w:val="20"/>
                <w:szCs w:val="20"/>
              </w:rPr>
            </w:pPr>
            <w:r w:rsidRPr="00685AFB">
              <w:rPr>
                <w:rFonts w:ascii="Calibri" w:hAnsi="Calibri"/>
                <w:b/>
                <w:color w:val="000000"/>
                <w:sz w:val="20"/>
                <w:szCs w:val="20"/>
              </w:rPr>
              <w:t>Aug10 to Jul11</w:t>
            </w:r>
          </w:p>
        </w:tc>
        <w:tc>
          <w:tcPr>
            <w:tcW w:w="1199" w:type="pct"/>
            <w:shd w:val="clear" w:color="auto" w:fill="BFBFBF" w:themeFill="background1" w:themeFillShade="BF"/>
            <w:vAlign w:val="center"/>
          </w:tcPr>
          <w:p w14:paraId="6FD6B8CB" w14:textId="77777777" w:rsidR="00DE20D3" w:rsidRPr="00685AFB" w:rsidRDefault="00DE20D3" w:rsidP="006577FD">
            <w:pPr>
              <w:jc w:val="center"/>
              <w:rPr>
                <w:rFonts w:ascii="Calibri" w:hAnsi="Calibri"/>
                <w:b/>
                <w:color w:val="000000"/>
                <w:sz w:val="20"/>
                <w:szCs w:val="20"/>
              </w:rPr>
            </w:pPr>
            <w:r w:rsidRPr="00685AFB">
              <w:rPr>
                <w:rFonts w:ascii="Calibri" w:hAnsi="Calibri"/>
                <w:b/>
                <w:color w:val="000000"/>
                <w:sz w:val="20"/>
                <w:szCs w:val="20"/>
              </w:rPr>
              <w:t>Aug11 to Jul12</w:t>
            </w:r>
          </w:p>
        </w:tc>
        <w:tc>
          <w:tcPr>
            <w:tcW w:w="1200" w:type="pct"/>
            <w:shd w:val="clear" w:color="auto" w:fill="BFBFBF" w:themeFill="background1" w:themeFillShade="BF"/>
            <w:vAlign w:val="center"/>
          </w:tcPr>
          <w:p w14:paraId="1B7C302B" w14:textId="77777777" w:rsidR="00DE20D3" w:rsidRPr="00685AFB" w:rsidRDefault="00DE20D3" w:rsidP="006577FD">
            <w:pPr>
              <w:jc w:val="center"/>
              <w:rPr>
                <w:rFonts w:ascii="Calibri" w:hAnsi="Calibri"/>
                <w:b/>
                <w:color w:val="000000"/>
                <w:sz w:val="20"/>
                <w:szCs w:val="20"/>
              </w:rPr>
            </w:pPr>
            <w:r w:rsidRPr="00685AFB">
              <w:rPr>
                <w:rFonts w:ascii="Calibri" w:hAnsi="Calibri"/>
                <w:b/>
                <w:color w:val="000000"/>
                <w:sz w:val="20"/>
                <w:szCs w:val="20"/>
              </w:rPr>
              <w:t>Aug12 to Jul13</w:t>
            </w:r>
          </w:p>
        </w:tc>
      </w:tr>
      <w:tr w:rsidR="00DE20D3" w:rsidRPr="00B609F8" w14:paraId="1E6A352F" w14:textId="77777777" w:rsidTr="006577FD">
        <w:tc>
          <w:tcPr>
            <w:tcW w:w="1300" w:type="pct"/>
          </w:tcPr>
          <w:p w14:paraId="6142FA67" w14:textId="77777777" w:rsidR="00DE20D3" w:rsidRPr="00B609F8" w:rsidRDefault="00DE20D3" w:rsidP="006577FD">
            <w:pPr>
              <w:rPr>
                <w:rFonts w:eastAsia="Calibri" w:cs="Arial"/>
                <w:sz w:val="20"/>
                <w:szCs w:val="20"/>
              </w:rPr>
            </w:pPr>
            <w:r w:rsidRPr="00B609F8">
              <w:rPr>
                <w:rFonts w:eastAsia="Calibri" w:cs="Arial"/>
                <w:sz w:val="20"/>
                <w:szCs w:val="20"/>
              </w:rPr>
              <w:t>Predicted (P)</w:t>
            </w:r>
          </w:p>
        </w:tc>
        <w:tc>
          <w:tcPr>
            <w:tcW w:w="1301" w:type="pct"/>
            <w:vAlign w:val="center"/>
          </w:tcPr>
          <w:p w14:paraId="618D1BB4" w14:textId="77777777" w:rsidR="00DE20D3" w:rsidRDefault="00DE20D3" w:rsidP="006577FD">
            <w:pPr>
              <w:jc w:val="center"/>
              <w:rPr>
                <w:rFonts w:ascii="Calibri" w:hAnsi="Calibri"/>
                <w:color w:val="000000"/>
                <w:sz w:val="20"/>
                <w:szCs w:val="20"/>
              </w:rPr>
            </w:pPr>
            <w:r>
              <w:rPr>
                <w:rFonts w:ascii="Calibri" w:hAnsi="Calibri"/>
                <w:color w:val="000000"/>
                <w:sz w:val="20"/>
                <w:szCs w:val="20"/>
              </w:rPr>
              <w:t>65,071</w:t>
            </w:r>
          </w:p>
        </w:tc>
        <w:tc>
          <w:tcPr>
            <w:tcW w:w="1199" w:type="pct"/>
            <w:vAlign w:val="center"/>
          </w:tcPr>
          <w:p w14:paraId="7D6CC3DE" w14:textId="77777777" w:rsidR="00DE20D3" w:rsidRDefault="00DE20D3" w:rsidP="006577FD">
            <w:pPr>
              <w:jc w:val="center"/>
              <w:rPr>
                <w:rFonts w:ascii="Calibri" w:hAnsi="Calibri"/>
                <w:color w:val="000000"/>
                <w:sz w:val="20"/>
                <w:szCs w:val="20"/>
              </w:rPr>
            </w:pPr>
            <w:r>
              <w:rPr>
                <w:rFonts w:ascii="Calibri" w:hAnsi="Calibri"/>
                <w:color w:val="000000"/>
                <w:sz w:val="20"/>
                <w:szCs w:val="20"/>
              </w:rPr>
              <w:t>116,604</w:t>
            </w:r>
          </w:p>
        </w:tc>
        <w:tc>
          <w:tcPr>
            <w:tcW w:w="1200" w:type="pct"/>
            <w:vAlign w:val="center"/>
          </w:tcPr>
          <w:p w14:paraId="50A3290A" w14:textId="77777777" w:rsidR="00DE20D3" w:rsidRDefault="00DE20D3" w:rsidP="006577FD">
            <w:pPr>
              <w:jc w:val="center"/>
              <w:rPr>
                <w:rFonts w:ascii="Calibri" w:hAnsi="Calibri"/>
                <w:color w:val="000000"/>
                <w:sz w:val="20"/>
                <w:szCs w:val="20"/>
              </w:rPr>
            </w:pPr>
            <w:r>
              <w:rPr>
                <w:rFonts w:ascii="Calibri" w:hAnsi="Calibri"/>
                <w:color w:val="000000"/>
                <w:sz w:val="20"/>
                <w:szCs w:val="20"/>
              </w:rPr>
              <w:t>149,998</w:t>
            </w:r>
          </w:p>
        </w:tc>
      </w:tr>
      <w:tr w:rsidR="00DE20D3" w:rsidRPr="00B609F8" w14:paraId="1794A885" w14:textId="77777777" w:rsidTr="006577FD">
        <w:tc>
          <w:tcPr>
            <w:tcW w:w="1300" w:type="pct"/>
          </w:tcPr>
          <w:p w14:paraId="6B8709AA" w14:textId="77777777" w:rsidR="00DE20D3" w:rsidRPr="00B609F8" w:rsidRDefault="00DE20D3" w:rsidP="006577FD">
            <w:pPr>
              <w:rPr>
                <w:rFonts w:eastAsia="Calibri" w:cs="Arial"/>
                <w:sz w:val="20"/>
                <w:szCs w:val="20"/>
              </w:rPr>
            </w:pPr>
            <w:r w:rsidRPr="00B609F8">
              <w:rPr>
                <w:rFonts w:eastAsia="Calibri" w:cs="Arial"/>
                <w:sz w:val="20"/>
                <w:szCs w:val="20"/>
              </w:rPr>
              <w:t>Actual (A)</w:t>
            </w:r>
          </w:p>
        </w:tc>
        <w:tc>
          <w:tcPr>
            <w:tcW w:w="1301" w:type="pct"/>
            <w:vAlign w:val="center"/>
          </w:tcPr>
          <w:p w14:paraId="368AA470" w14:textId="77777777" w:rsidR="00DE20D3" w:rsidRDefault="00DE20D3" w:rsidP="006577FD">
            <w:pPr>
              <w:jc w:val="center"/>
              <w:rPr>
                <w:rFonts w:ascii="Calibri" w:hAnsi="Calibri"/>
                <w:color w:val="000000"/>
                <w:sz w:val="20"/>
                <w:szCs w:val="20"/>
              </w:rPr>
            </w:pPr>
            <w:r>
              <w:rPr>
                <w:rFonts w:ascii="Calibri" w:hAnsi="Calibri"/>
                <w:color w:val="000000"/>
                <w:sz w:val="20"/>
                <w:szCs w:val="20"/>
              </w:rPr>
              <w:t>33,601</w:t>
            </w:r>
          </w:p>
        </w:tc>
        <w:tc>
          <w:tcPr>
            <w:tcW w:w="1199" w:type="pct"/>
            <w:vAlign w:val="center"/>
          </w:tcPr>
          <w:p w14:paraId="7FD322E4" w14:textId="77777777" w:rsidR="00DE20D3" w:rsidRDefault="00DE20D3" w:rsidP="006577FD">
            <w:pPr>
              <w:jc w:val="center"/>
              <w:rPr>
                <w:rFonts w:ascii="Calibri" w:hAnsi="Calibri"/>
                <w:color w:val="000000"/>
                <w:sz w:val="20"/>
                <w:szCs w:val="20"/>
              </w:rPr>
            </w:pPr>
            <w:r>
              <w:rPr>
                <w:rFonts w:ascii="Calibri" w:hAnsi="Calibri"/>
                <w:color w:val="000000"/>
                <w:sz w:val="20"/>
                <w:szCs w:val="20"/>
              </w:rPr>
              <w:t>81,386</w:t>
            </w:r>
          </w:p>
        </w:tc>
        <w:tc>
          <w:tcPr>
            <w:tcW w:w="1200" w:type="pct"/>
            <w:vAlign w:val="center"/>
          </w:tcPr>
          <w:p w14:paraId="61EE8C99" w14:textId="77777777" w:rsidR="00DE20D3" w:rsidRDefault="00DE20D3" w:rsidP="006577FD">
            <w:pPr>
              <w:jc w:val="center"/>
              <w:rPr>
                <w:rFonts w:ascii="Calibri" w:hAnsi="Calibri"/>
                <w:color w:val="000000"/>
                <w:sz w:val="20"/>
                <w:szCs w:val="20"/>
              </w:rPr>
            </w:pPr>
            <w:r>
              <w:rPr>
                <w:rFonts w:ascii="Calibri" w:hAnsi="Calibri"/>
                <w:color w:val="000000"/>
                <w:sz w:val="20"/>
                <w:szCs w:val="20"/>
              </w:rPr>
              <w:t>126,004</w:t>
            </w:r>
          </w:p>
        </w:tc>
      </w:tr>
      <w:tr w:rsidR="00DE20D3" w:rsidRPr="00B609F8" w14:paraId="148C55A1" w14:textId="77777777" w:rsidTr="006577FD">
        <w:tc>
          <w:tcPr>
            <w:tcW w:w="1300" w:type="pct"/>
          </w:tcPr>
          <w:p w14:paraId="3D11AF1D" w14:textId="77777777" w:rsidR="00DE20D3" w:rsidRPr="00B609F8" w:rsidRDefault="00DE20D3" w:rsidP="006577FD">
            <w:pPr>
              <w:rPr>
                <w:rFonts w:eastAsia="Calibri" w:cs="Arial"/>
                <w:sz w:val="20"/>
                <w:szCs w:val="20"/>
              </w:rPr>
            </w:pPr>
            <w:r w:rsidRPr="00B609F8">
              <w:rPr>
                <w:rFonts w:eastAsia="Calibri" w:cs="Arial"/>
                <w:sz w:val="20"/>
                <w:szCs w:val="20"/>
              </w:rPr>
              <w:t>Difference (A-P)</w:t>
            </w:r>
          </w:p>
        </w:tc>
        <w:tc>
          <w:tcPr>
            <w:tcW w:w="1301" w:type="pct"/>
            <w:vAlign w:val="center"/>
          </w:tcPr>
          <w:p w14:paraId="6A77B93C" w14:textId="77777777" w:rsidR="00DE20D3" w:rsidRDefault="00DE20D3" w:rsidP="006577FD">
            <w:pPr>
              <w:jc w:val="center"/>
              <w:rPr>
                <w:rFonts w:ascii="Calibri" w:hAnsi="Calibri"/>
                <w:color w:val="000000"/>
                <w:sz w:val="20"/>
                <w:szCs w:val="20"/>
              </w:rPr>
            </w:pPr>
            <w:r>
              <w:rPr>
                <w:rFonts w:ascii="Calibri" w:hAnsi="Calibri"/>
                <w:color w:val="000000"/>
                <w:sz w:val="20"/>
                <w:szCs w:val="20"/>
              </w:rPr>
              <w:t>-31,470</w:t>
            </w:r>
          </w:p>
        </w:tc>
        <w:tc>
          <w:tcPr>
            <w:tcW w:w="1199" w:type="pct"/>
            <w:vAlign w:val="center"/>
          </w:tcPr>
          <w:p w14:paraId="0E0A1A80" w14:textId="77777777" w:rsidR="00DE20D3" w:rsidRDefault="00DE20D3" w:rsidP="006577FD">
            <w:pPr>
              <w:jc w:val="center"/>
              <w:rPr>
                <w:rFonts w:ascii="Calibri" w:hAnsi="Calibri"/>
                <w:color w:val="000000"/>
                <w:sz w:val="20"/>
                <w:szCs w:val="20"/>
              </w:rPr>
            </w:pPr>
            <w:r>
              <w:rPr>
                <w:rFonts w:ascii="Calibri" w:hAnsi="Calibri"/>
                <w:color w:val="000000"/>
                <w:sz w:val="20"/>
                <w:szCs w:val="20"/>
              </w:rPr>
              <w:t>-35,218</w:t>
            </w:r>
          </w:p>
        </w:tc>
        <w:tc>
          <w:tcPr>
            <w:tcW w:w="1200" w:type="pct"/>
            <w:vAlign w:val="center"/>
          </w:tcPr>
          <w:p w14:paraId="34A762F6" w14:textId="77777777" w:rsidR="00DE20D3" w:rsidRDefault="00DE20D3" w:rsidP="006577FD">
            <w:pPr>
              <w:jc w:val="center"/>
              <w:rPr>
                <w:rFonts w:ascii="Calibri" w:hAnsi="Calibri"/>
                <w:color w:val="000000"/>
                <w:sz w:val="20"/>
                <w:szCs w:val="20"/>
              </w:rPr>
            </w:pPr>
            <w:r>
              <w:rPr>
                <w:rFonts w:ascii="Calibri" w:hAnsi="Calibri"/>
                <w:color w:val="000000"/>
                <w:sz w:val="20"/>
                <w:szCs w:val="20"/>
              </w:rPr>
              <w:t>-23,994</w:t>
            </w:r>
          </w:p>
        </w:tc>
      </w:tr>
      <w:tr w:rsidR="00DE20D3" w:rsidRPr="00B609F8" w14:paraId="457D7A8D" w14:textId="77777777" w:rsidTr="006577FD">
        <w:tc>
          <w:tcPr>
            <w:tcW w:w="1300" w:type="pct"/>
          </w:tcPr>
          <w:p w14:paraId="66BDC84B" w14:textId="77777777" w:rsidR="00DE20D3" w:rsidRPr="00B609F8" w:rsidRDefault="00DE20D3" w:rsidP="006577FD">
            <w:pPr>
              <w:rPr>
                <w:rFonts w:eastAsia="Calibri" w:cs="Arial"/>
                <w:sz w:val="20"/>
                <w:szCs w:val="20"/>
              </w:rPr>
            </w:pPr>
            <w:r w:rsidRPr="00B609F8">
              <w:rPr>
                <w:rFonts w:eastAsia="Calibri" w:cs="Arial"/>
                <w:sz w:val="20"/>
                <w:szCs w:val="20"/>
              </w:rPr>
              <w:t xml:space="preserve">% Difference (A-P)/P </w:t>
            </w:r>
          </w:p>
        </w:tc>
        <w:tc>
          <w:tcPr>
            <w:tcW w:w="1301" w:type="pct"/>
            <w:vAlign w:val="center"/>
          </w:tcPr>
          <w:p w14:paraId="19B9D80A" w14:textId="77777777" w:rsidR="00DE20D3" w:rsidRDefault="00DE20D3" w:rsidP="006577FD">
            <w:pPr>
              <w:jc w:val="center"/>
              <w:rPr>
                <w:rFonts w:ascii="Calibri" w:hAnsi="Calibri"/>
                <w:color w:val="000000"/>
                <w:sz w:val="20"/>
                <w:szCs w:val="20"/>
              </w:rPr>
            </w:pPr>
            <w:r>
              <w:rPr>
                <w:rFonts w:ascii="Calibri" w:hAnsi="Calibri"/>
                <w:color w:val="000000"/>
                <w:sz w:val="20"/>
                <w:szCs w:val="20"/>
              </w:rPr>
              <w:t>-48%</w:t>
            </w:r>
          </w:p>
        </w:tc>
        <w:tc>
          <w:tcPr>
            <w:tcW w:w="1199" w:type="pct"/>
            <w:vAlign w:val="center"/>
          </w:tcPr>
          <w:p w14:paraId="09A1B59A" w14:textId="77777777" w:rsidR="00DE20D3" w:rsidRDefault="00DE20D3" w:rsidP="006577FD">
            <w:pPr>
              <w:jc w:val="center"/>
              <w:rPr>
                <w:rFonts w:ascii="Calibri" w:hAnsi="Calibri"/>
                <w:color w:val="000000"/>
                <w:sz w:val="20"/>
                <w:szCs w:val="20"/>
              </w:rPr>
            </w:pPr>
            <w:r>
              <w:rPr>
                <w:rFonts w:ascii="Calibri" w:hAnsi="Calibri"/>
                <w:color w:val="000000"/>
                <w:sz w:val="20"/>
                <w:szCs w:val="20"/>
              </w:rPr>
              <w:t>-30%</w:t>
            </w:r>
          </w:p>
        </w:tc>
        <w:tc>
          <w:tcPr>
            <w:tcW w:w="1200" w:type="pct"/>
            <w:vAlign w:val="center"/>
          </w:tcPr>
          <w:p w14:paraId="1BC090BE" w14:textId="77777777" w:rsidR="00DE20D3" w:rsidRDefault="00DE20D3" w:rsidP="006577FD">
            <w:pPr>
              <w:jc w:val="center"/>
              <w:rPr>
                <w:rFonts w:ascii="Calibri" w:hAnsi="Calibri"/>
                <w:color w:val="000000"/>
                <w:sz w:val="20"/>
                <w:szCs w:val="20"/>
              </w:rPr>
            </w:pPr>
            <w:r>
              <w:rPr>
                <w:rFonts w:ascii="Calibri" w:hAnsi="Calibri"/>
                <w:color w:val="000000"/>
                <w:sz w:val="20"/>
                <w:szCs w:val="20"/>
              </w:rPr>
              <w:t>-16%</w:t>
            </w:r>
          </w:p>
        </w:tc>
      </w:tr>
    </w:tbl>
    <w:p w14:paraId="67599F19" w14:textId="2FF8FCC2" w:rsidR="001018D5" w:rsidRDefault="00A47C8A" w:rsidP="001018D5">
      <w:pPr>
        <w:spacing w:before="200" w:after="0"/>
      </w:pPr>
      <w:r>
        <w:t xml:space="preserve">In Year 1 the lower than expected number of prescriptions is partly due to the submission not applying a “half cycle” correction (i.e. not allowing for patient initiations being spread throughout the year). </w:t>
      </w:r>
      <w:r w:rsidR="009748A2">
        <w:t xml:space="preserve"> </w:t>
      </w:r>
      <w:r>
        <w:t>Application of a “half-cycle” correction to all patients would not have been appropriate in this case as there was an assumed non-PBS prevalent pool of patients using private prescriptions prior to listing.</w:t>
      </w:r>
    </w:p>
    <w:p w14:paraId="70DF21B8" w14:textId="73CFB9D1" w:rsidR="00DE20D3" w:rsidRDefault="00A47C8A" w:rsidP="001018D5">
      <w:pPr>
        <w:spacing w:before="200" w:after="0"/>
      </w:pPr>
      <w:r>
        <w:t>By Year 3, the number of prevalent patients treated with exenatide was approximately as expected, although the number of prescriptions was 16</w:t>
      </w:r>
      <w:r w:rsidR="007B124F">
        <w:t xml:space="preserve"> </w:t>
      </w:r>
      <w:r>
        <w:t>% lower than expected.</w:t>
      </w:r>
    </w:p>
    <w:p w14:paraId="66DE9AF5" w14:textId="5E3D59A4" w:rsidR="00F8141E" w:rsidRDefault="00F8141E" w:rsidP="001018D5">
      <w:pPr>
        <w:spacing w:before="200" w:after="0"/>
      </w:pPr>
      <w:r>
        <w:t>The predicted versus actual prescriptions for exenatide in the first three years of listing by strength are shown in Table 7.</w:t>
      </w:r>
    </w:p>
    <w:p w14:paraId="582CE645" w14:textId="77777777" w:rsidR="000174FE" w:rsidRPr="00B609F8" w:rsidRDefault="000174FE" w:rsidP="000174FE">
      <w:pPr>
        <w:pStyle w:val="Tabletitle"/>
        <w:rPr>
          <w:rFonts w:cs="Times New Roman"/>
          <w:sz w:val="32"/>
        </w:rPr>
      </w:pPr>
      <w:r w:rsidRPr="00B609F8">
        <w:t xml:space="preserve">Table </w:t>
      </w:r>
      <w:r>
        <w:t>7:</w:t>
      </w:r>
      <w:r w:rsidRPr="00B609F8">
        <w:t xml:space="preserve"> </w:t>
      </w:r>
      <w:r w:rsidRPr="009B43F1">
        <w:t>Predicted vs Actual</w:t>
      </w:r>
      <w:r w:rsidRPr="00B609F8">
        <w:t xml:space="preserve"> prescriptions</w:t>
      </w:r>
      <w:r>
        <w:t xml:space="preserve"> by PBS item</w:t>
      </w:r>
    </w:p>
    <w:tbl>
      <w:tblPr>
        <w:tblStyle w:val="TableGrid2"/>
        <w:tblW w:w="4906" w:type="pct"/>
        <w:tblInd w:w="108" w:type="dxa"/>
        <w:tblLook w:val="04A0" w:firstRow="1" w:lastRow="0" w:firstColumn="1" w:lastColumn="0" w:noHBand="0" w:noVBand="1"/>
        <w:tblCaption w:val="Table 7: Predicted versus Actual prescriptions for exenatide listings"/>
      </w:tblPr>
      <w:tblGrid>
        <w:gridCol w:w="2925"/>
        <w:gridCol w:w="2026"/>
        <w:gridCol w:w="2025"/>
        <w:gridCol w:w="2025"/>
      </w:tblGrid>
      <w:tr w:rsidR="000174FE" w:rsidRPr="00B609F8" w14:paraId="33EA11AC" w14:textId="77777777" w:rsidTr="00F518B8">
        <w:trPr>
          <w:tblHeader/>
        </w:trPr>
        <w:tc>
          <w:tcPr>
            <w:tcW w:w="1624" w:type="pct"/>
            <w:shd w:val="clear" w:color="auto" w:fill="BFBFBF" w:themeFill="background1" w:themeFillShade="BF"/>
          </w:tcPr>
          <w:p w14:paraId="4D8AD89B" w14:textId="77777777" w:rsidR="000174FE" w:rsidRPr="009B43F1" w:rsidRDefault="000174FE" w:rsidP="006577FD">
            <w:pPr>
              <w:rPr>
                <w:rFonts w:eastAsia="Calibri" w:cs="Arial"/>
                <w:b/>
                <w:sz w:val="20"/>
                <w:szCs w:val="20"/>
              </w:rPr>
            </w:pPr>
          </w:p>
        </w:tc>
        <w:tc>
          <w:tcPr>
            <w:tcW w:w="1125" w:type="pct"/>
            <w:shd w:val="clear" w:color="auto" w:fill="BFBFBF" w:themeFill="background1" w:themeFillShade="BF"/>
            <w:vAlign w:val="center"/>
          </w:tcPr>
          <w:p w14:paraId="62A48F98" w14:textId="77777777" w:rsidR="000174FE" w:rsidRPr="009B43F1" w:rsidRDefault="000174FE" w:rsidP="006577FD">
            <w:pPr>
              <w:jc w:val="center"/>
              <w:rPr>
                <w:rFonts w:ascii="Calibri" w:hAnsi="Calibri"/>
                <w:b/>
                <w:color w:val="000000"/>
                <w:sz w:val="20"/>
                <w:szCs w:val="20"/>
              </w:rPr>
            </w:pPr>
            <w:r w:rsidRPr="009B43F1">
              <w:rPr>
                <w:rFonts w:ascii="Calibri" w:hAnsi="Calibri"/>
                <w:b/>
                <w:color w:val="000000"/>
                <w:sz w:val="20"/>
                <w:szCs w:val="20"/>
              </w:rPr>
              <w:t>Year 1</w:t>
            </w:r>
          </w:p>
        </w:tc>
        <w:tc>
          <w:tcPr>
            <w:tcW w:w="1125" w:type="pct"/>
            <w:shd w:val="clear" w:color="auto" w:fill="BFBFBF" w:themeFill="background1" w:themeFillShade="BF"/>
            <w:vAlign w:val="center"/>
          </w:tcPr>
          <w:p w14:paraId="5E259987" w14:textId="77777777" w:rsidR="000174FE" w:rsidRPr="009B43F1" w:rsidRDefault="000174FE" w:rsidP="006577FD">
            <w:pPr>
              <w:jc w:val="center"/>
              <w:rPr>
                <w:rFonts w:ascii="Calibri" w:hAnsi="Calibri"/>
                <w:b/>
                <w:color w:val="000000"/>
                <w:sz w:val="20"/>
                <w:szCs w:val="20"/>
              </w:rPr>
            </w:pPr>
            <w:r w:rsidRPr="009B43F1">
              <w:rPr>
                <w:rFonts w:ascii="Calibri" w:hAnsi="Calibri"/>
                <w:b/>
                <w:color w:val="000000"/>
                <w:sz w:val="20"/>
                <w:szCs w:val="20"/>
              </w:rPr>
              <w:t>Year 2</w:t>
            </w:r>
          </w:p>
        </w:tc>
        <w:tc>
          <w:tcPr>
            <w:tcW w:w="1125" w:type="pct"/>
            <w:shd w:val="clear" w:color="auto" w:fill="BFBFBF" w:themeFill="background1" w:themeFillShade="BF"/>
            <w:vAlign w:val="center"/>
          </w:tcPr>
          <w:p w14:paraId="637FABAE" w14:textId="77777777" w:rsidR="000174FE" w:rsidRPr="009B43F1" w:rsidRDefault="000174FE" w:rsidP="006577FD">
            <w:pPr>
              <w:jc w:val="center"/>
              <w:rPr>
                <w:rFonts w:ascii="Calibri" w:hAnsi="Calibri"/>
                <w:b/>
                <w:color w:val="000000"/>
                <w:sz w:val="20"/>
                <w:szCs w:val="20"/>
              </w:rPr>
            </w:pPr>
            <w:r w:rsidRPr="009B43F1">
              <w:rPr>
                <w:rFonts w:ascii="Calibri" w:hAnsi="Calibri"/>
                <w:b/>
                <w:color w:val="000000"/>
                <w:sz w:val="20"/>
                <w:szCs w:val="20"/>
              </w:rPr>
              <w:t>Year 3</w:t>
            </w:r>
          </w:p>
        </w:tc>
      </w:tr>
      <w:tr w:rsidR="000174FE" w:rsidRPr="00B609F8" w14:paraId="01B122E6" w14:textId="77777777" w:rsidTr="00F518B8">
        <w:tc>
          <w:tcPr>
            <w:tcW w:w="1624" w:type="pct"/>
            <w:shd w:val="clear" w:color="auto" w:fill="BFBFBF" w:themeFill="background1" w:themeFillShade="BF"/>
          </w:tcPr>
          <w:p w14:paraId="35B4B6B2" w14:textId="77777777" w:rsidR="000174FE" w:rsidRPr="009B43F1" w:rsidRDefault="000174FE" w:rsidP="006577FD">
            <w:pPr>
              <w:rPr>
                <w:rFonts w:eastAsia="Calibri" w:cs="Arial"/>
                <w:b/>
                <w:sz w:val="20"/>
                <w:szCs w:val="20"/>
              </w:rPr>
            </w:pPr>
          </w:p>
        </w:tc>
        <w:tc>
          <w:tcPr>
            <w:tcW w:w="1125" w:type="pct"/>
            <w:shd w:val="clear" w:color="auto" w:fill="BFBFBF" w:themeFill="background1" w:themeFillShade="BF"/>
            <w:vAlign w:val="center"/>
          </w:tcPr>
          <w:p w14:paraId="70D1A1E1" w14:textId="77777777" w:rsidR="000174FE" w:rsidRPr="009B43F1" w:rsidRDefault="000174FE" w:rsidP="006577FD">
            <w:pPr>
              <w:jc w:val="center"/>
              <w:rPr>
                <w:rFonts w:ascii="Calibri" w:hAnsi="Calibri"/>
                <w:b/>
                <w:color w:val="000000"/>
                <w:sz w:val="20"/>
                <w:szCs w:val="20"/>
              </w:rPr>
            </w:pPr>
            <w:r w:rsidRPr="009B43F1">
              <w:rPr>
                <w:rFonts w:ascii="Calibri" w:hAnsi="Calibri"/>
                <w:b/>
                <w:color w:val="000000"/>
                <w:sz w:val="20"/>
                <w:szCs w:val="20"/>
              </w:rPr>
              <w:t>Aug10 to Jul11</w:t>
            </w:r>
          </w:p>
        </w:tc>
        <w:tc>
          <w:tcPr>
            <w:tcW w:w="1125" w:type="pct"/>
            <w:shd w:val="clear" w:color="auto" w:fill="BFBFBF" w:themeFill="background1" w:themeFillShade="BF"/>
            <w:vAlign w:val="center"/>
          </w:tcPr>
          <w:p w14:paraId="353C1F10" w14:textId="77777777" w:rsidR="000174FE" w:rsidRPr="009B43F1" w:rsidRDefault="000174FE" w:rsidP="006577FD">
            <w:pPr>
              <w:jc w:val="center"/>
              <w:rPr>
                <w:rFonts w:ascii="Calibri" w:hAnsi="Calibri"/>
                <w:b/>
                <w:color w:val="000000"/>
                <w:sz w:val="20"/>
                <w:szCs w:val="20"/>
              </w:rPr>
            </w:pPr>
            <w:r w:rsidRPr="009B43F1">
              <w:rPr>
                <w:rFonts w:ascii="Calibri" w:hAnsi="Calibri"/>
                <w:b/>
                <w:color w:val="000000"/>
                <w:sz w:val="20"/>
                <w:szCs w:val="20"/>
              </w:rPr>
              <w:t>Aug11 to Jul12</w:t>
            </w:r>
          </w:p>
        </w:tc>
        <w:tc>
          <w:tcPr>
            <w:tcW w:w="1125" w:type="pct"/>
            <w:shd w:val="clear" w:color="auto" w:fill="BFBFBF" w:themeFill="background1" w:themeFillShade="BF"/>
            <w:vAlign w:val="center"/>
          </w:tcPr>
          <w:p w14:paraId="5E80790F" w14:textId="77777777" w:rsidR="000174FE" w:rsidRPr="009B43F1" w:rsidRDefault="000174FE" w:rsidP="006577FD">
            <w:pPr>
              <w:jc w:val="center"/>
              <w:rPr>
                <w:rFonts w:ascii="Calibri" w:hAnsi="Calibri"/>
                <w:b/>
                <w:color w:val="000000"/>
                <w:sz w:val="20"/>
                <w:szCs w:val="20"/>
              </w:rPr>
            </w:pPr>
            <w:r w:rsidRPr="009B43F1">
              <w:rPr>
                <w:rFonts w:ascii="Calibri" w:hAnsi="Calibri"/>
                <w:b/>
                <w:color w:val="000000"/>
                <w:sz w:val="20"/>
                <w:szCs w:val="20"/>
              </w:rPr>
              <w:t>Aug12 to Jul13</w:t>
            </w:r>
          </w:p>
        </w:tc>
      </w:tr>
      <w:tr w:rsidR="00F518B8" w:rsidRPr="00B609F8" w14:paraId="7BC491CD" w14:textId="77777777" w:rsidTr="00F518B8">
        <w:tc>
          <w:tcPr>
            <w:tcW w:w="1624" w:type="pct"/>
            <w:vAlign w:val="center"/>
          </w:tcPr>
          <w:p w14:paraId="03947AFE" w14:textId="77777777" w:rsidR="00F518B8" w:rsidRPr="00B57D32" w:rsidRDefault="00F518B8" w:rsidP="006577FD">
            <w:pP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 xml:space="preserve">PBS item: </w:t>
            </w:r>
          </w:p>
        </w:tc>
        <w:tc>
          <w:tcPr>
            <w:tcW w:w="1125" w:type="pct"/>
            <w:vAlign w:val="center"/>
          </w:tcPr>
          <w:p w14:paraId="26E94A59" w14:textId="77777777" w:rsidR="00F518B8" w:rsidRPr="00B57D32" w:rsidRDefault="00F518B8"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 xml:space="preserve">3423E - 5 </w:t>
            </w:r>
            <w:r>
              <w:rPr>
                <w:rFonts w:ascii="Calibri" w:eastAsia="Times New Roman" w:hAnsi="Calibri" w:cs="Times New Roman"/>
                <w:color w:val="000000"/>
                <w:sz w:val="20"/>
                <w:szCs w:val="20"/>
              </w:rPr>
              <w:t>microgram</w:t>
            </w:r>
          </w:p>
        </w:tc>
        <w:tc>
          <w:tcPr>
            <w:tcW w:w="1125" w:type="pct"/>
          </w:tcPr>
          <w:p w14:paraId="5ED602BC" w14:textId="1E27737B" w:rsidR="00F518B8" w:rsidRPr="00B57D32" w:rsidRDefault="00F518B8" w:rsidP="006577FD">
            <w:pPr>
              <w:jc w:val="center"/>
              <w:rPr>
                <w:rFonts w:ascii="Calibri" w:eastAsia="Times New Roman" w:hAnsi="Calibri" w:cs="Times New Roman"/>
                <w:color w:val="000000"/>
                <w:sz w:val="20"/>
                <w:szCs w:val="20"/>
              </w:rPr>
            </w:pPr>
            <w:r w:rsidRPr="0068547A">
              <w:rPr>
                <w:rFonts w:ascii="Calibri" w:eastAsia="Times New Roman" w:hAnsi="Calibri" w:cs="Times New Roman"/>
                <w:color w:val="000000"/>
                <w:sz w:val="20"/>
                <w:szCs w:val="20"/>
              </w:rPr>
              <w:t>3423E - 5 microgram</w:t>
            </w:r>
          </w:p>
        </w:tc>
        <w:tc>
          <w:tcPr>
            <w:tcW w:w="1125" w:type="pct"/>
          </w:tcPr>
          <w:p w14:paraId="723F26E8" w14:textId="6A85E616" w:rsidR="00F518B8" w:rsidRPr="00B57D32" w:rsidRDefault="00F518B8" w:rsidP="006577FD">
            <w:pPr>
              <w:jc w:val="center"/>
              <w:rPr>
                <w:rFonts w:ascii="Calibri" w:eastAsia="Times New Roman" w:hAnsi="Calibri" w:cs="Times New Roman"/>
                <w:color w:val="000000"/>
                <w:sz w:val="20"/>
                <w:szCs w:val="20"/>
              </w:rPr>
            </w:pPr>
            <w:r w:rsidRPr="0068547A">
              <w:rPr>
                <w:rFonts w:ascii="Calibri" w:eastAsia="Times New Roman" w:hAnsi="Calibri" w:cs="Times New Roman"/>
                <w:color w:val="000000"/>
                <w:sz w:val="20"/>
                <w:szCs w:val="20"/>
              </w:rPr>
              <w:t>3423E - 5 microgram</w:t>
            </w:r>
          </w:p>
        </w:tc>
      </w:tr>
      <w:tr w:rsidR="000174FE" w:rsidRPr="00B609F8" w14:paraId="6C220B48" w14:textId="77777777" w:rsidTr="00F518B8">
        <w:tc>
          <w:tcPr>
            <w:tcW w:w="1624" w:type="pct"/>
          </w:tcPr>
          <w:p w14:paraId="3F1A63E1" w14:textId="77777777" w:rsidR="000174FE" w:rsidRPr="00B609F8" w:rsidRDefault="000174FE" w:rsidP="006577FD">
            <w:pPr>
              <w:rPr>
                <w:rFonts w:eastAsia="Calibri" w:cs="Arial"/>
                <w:sz w:val="20"/>
                <w:szCs w:val="20"/>
              </w:rPr>
            </w:pPr>
            <w:r w:rsidRPr="00B609F8">
              <w:rPr>
                <w:rFonts w:eastAsia="Calibri" w:cs="Arial"/>
                <w:sz w:val="20"/>
                <w:szCs w:val="20"/>
              </w:rPr>
              <w:t>Predicted (P)</w:t>
            </w:r>
          </w:p>
        </w:tc>
        <w:tc>
          <w:tcPr>
            <w:tcW w:w="1125" w:type="pct"/>
            <w:vAlign w:val="center"/>
          </w:tcPr>
          <w:p w14:paraId="727672B2"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6,834</w:t>
            </w:r>
          </w:p>
        </w:tc>
        <w:tc>
          <w:tcPr>
            <w:tcW w:w="1125" w:type="pct"/>
            <w:vAlign w:val="center"/>
          </w:tcPr>
          <w:p w14:paraId="451B0D33"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8,538</w:t>
            </w:r>
          </w:p>
        </w:tc>
        <w:tc>
          <w:tcPr>
            <w:tcW w:w="1125" w:type="pct"/>
            <w:vAlign w:val="center"/>
          </w:tcPr>
          <w:p w14:paraId="39D64501"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7,749</w:t>
            </w:r>
          </w:p>
        </w:tc>
      </w:tr>
      <w:tr w:rsidR="000174FE" w:rsidRPr="00B609F8" w14:paraId="7CE426A0" w14:textId="77777777" w:rsidTr="00F518B8">
        <w:tc>
          <w:tcPr>
            <w:tcW w:w="1624" w:type="pct"/>
          </w:tcPr>
          <w:p w14:paraId="7117B3C7" w14:textId="77777777" w:rsidR="000174FE" w:rsidRPr="00B609F8" w:rsidRDefault="000174FE" w:rsidP="006577FD">
            <w:pPr>
              <w:rPr>
                <w:rFonts w:eastAsia="Calibri" w:cs="Arial"/>
                <w:sz w:val="20"/>
                <w:szCs w:val="20"/>
              </w:rPr>
            </w:pPr>
            <w:r w:rsidRPr="00B609F8">
              <w:rPr>
                <w:rFonts w:eastAsia="Calibri" w:cs="Arial"/>
                <w:sz w:val="20"/>
                <w:szCs w:val="20"/>
              </w:rPr>
              <w:t>Actual (A)</w:t>
            </w:r>
          </w:p>
        </w:tc>
        <w:tc>
          <w:tcPr>
            <w:tcW w:w="1125" w:type="pct"/>
            <w:vAlign w:val="center"/>
          </w:tcPr>
          <w:p w14:paraId="3558C56A"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11,121</w:t>
            </w:r>
          </w:p>
        </w:tc>
        <w:tc>
          <w:tcPr>
            <w:tcW w:w="1125" w:type="pct"/>
            <w:vAlign w:val="center"/>
          </w:tcPr>
          <w:p w14:paraId="299A518B"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23,070</w:t>
            </w:r>
          </w:p>
        </w:tc>
        <w:tc>
          <w:tcPr>
            <w:tcW w:w="1125" w:type="pct"/>
            <w:vAlign w:val="center"/>
          </w:tcPr>
          <w:p w14:paraId="203719C4"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33,651</w:t>
            </w:r>
          </w:p>
        </w:tc>
      </w:tr>
      <w:tr w:rsidR="000174FE" w:rsidRPr="00B609F8" w14:paraId="3A64D067" w14:textId="77777777" w:rsidTr="00F518B8">
        <w:tc>
          <w:tcPr>
            <w:tcW w:w="1624" w:type="pct"/>
          </w:tcPr>
          <w:p w14:paraId="57AAD1B1" w14:textId="77777777" w:rsidR="000174FE" w:rsidRPr="00B609F8" w:rsidRDefault="000174FE" w:rsidP="006577FD">
            <w:pPr>
              <w:rPr>
                <w:rFonts w:eastAsia="Calibri" w:cs="Arial"/>
                <w:sz w:val="20"/>
                <w:szCs w:val="20"/>
              </w:rPr>
            </w:pPr>
            <w:r w:rsidRPr="00B609F8">
              <w:rPr>
                <w:rFonts w:eastAsia="Calibri" w:cs="Arial"/>
                <w:sz w:val="20"/>
                <w:szCs w:val="20"/>
              </w:rPr>
              <w:t>Difference (A-P)</w:t>
            </w:r>
          </w:p>
        </w:tc>
        <w:tc>
          <w:tcPr>
            <w:tcW w:w="1125" w:type="pct"/>
            <w:vAlign w:val="center"/>
          </w:tcPr>
          <w:p w14:paraId="4F3B6005"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4,287</w:t>
            </w:r>
          </w:p>
        </w:tc>
        <w:tc>
          <w:tcPr>
            <w:tcW w:w="1125" w:type="pct"/>
            <w:vAlign w:val="center"/>
          </w:tcPr>
          <w:p w14:paraId="33DF8F29"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14,532</w:t>
            </w:r>
          </w:p>
        </w:tc>
        <w:tc>
          <w:tcPr>
            <w:tcW w:w="1125" w:type="pct"/>
            <w:vAlign w:val="center"/>
          </w:tcPr>
          <w:p w14:paraId="2283EE97"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25,902</w:t>
            </w:r>
          </w:p>
        </w:tc>
      </w:tr>
      <w:tr w:rsidR="000174FE" w:rsidRPr="00B609F8" w14:paraId="7462DD1D" w14:textId="77777777" w:rsidTr="00F518B8">
        <w:tc>
          <w:tcPr>
            <w:tcW w:w="1624" w:type="pct"/>
          </w:tcPr>
          <w:p w14:paraId="489BC613" w14:textId="77777777" w:rsidR="000174FE" w:rsidRPr="00B609F8" w:rsidRDefault="000174FE" w:rsidP="006577FD">
            <w:pPr>
              <w:rPr>
                <w:rFonts w:eastAsia="Calibri" w:cs="Arial"/>
                <w:sz w:val="20"/>
                <w:szCs w:val="20"/>
              </w:rPr>
            </w:pPr>
            <w:r w:rsidRPr="00B609F8">
              <w:rPr>
                <w:rFonts w:eastAsia="Calibri" w:cs="Arial"/>
                <w:sz w:val="20"/>
                <w:szCs w:val="20"/>
              </w:rPr>
              <w:t xml:space="preserve">% Difference (A-P)/P </w:t>
            </w:r>
          </w:p>
        </w:tc>
        <w:tc>
          <w:tcPr>
            <w:tcW w:w="1125" w:type="pct"/>
            <w:vAlign w:val="center"/>
          </w:tcPr>
          <w:p w14:paraId="1B0AABC2"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63%</w:t>
            </w:r>
          </w:p>
        </w:tc>
        <w:tc>
          <w:tcPr>
            <w:tcW w:w="1125" w:type="pct"/>
            <w:vAlign w:val="center"/>
          </w:tcPr>
          <w:p w14:paraId="036BF7B0"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170%</w:t>
            </w:r>
          </w:p>
        </w:tc>
        <w:tc>
          <w:tcPr>
            <w:tcW w:w="1125" w:type="pct"/>
            <w:vAlign w:val="center"/>
          </w:tcPr>
          <w:p w14:paraId="6009D5FB"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334%</w:t>
            </w:r>
          </w:p>
        </w:tc>
      </w:tr>
      <w:tr w:rsidR="00F518B8" w:rsidRPr="00B609F8" w14:paraId="0A177182" w14:textId="77777777" w:rsidTr="00F518B8">
        <w:tc>
          <w:tcPr>
            <w:tcW w:w="1624" w:type="pct"/>
            <w:vAlign w:val="center"/>
          </w:tcPr>
          <w:p w14:paraId="0FC9A710" w14:textId="77777777" w:rsidR="00F518B8" w:rsidRPr="00B57D32" w:rsidRDefault="00F518B8" w:rsidP="006577FD">
            <w:pP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 xml:space="preserve">PBS item: </w:t>
            </w:r>
          </w:p>
        </w:tc>
        <w:tc>
          <w:tcPr>
            <w:tcW w:w="1125" w:type="pct"/>
            <w:vAlign w:val="center"/>
          </w:tcPr>
          <w:p w14:paraId="0EFE08DF" w14:textId="77777777" w:rsidR="00F518B8" w:rsidRPr="00B57D32" w:rsidRDefault="00F518B8"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 xml:space="preserve">3424F - 10 </w:t>
            </w:r>
            <w:r>
              <w:rPr>
                <w:rFonts w:ascii="Calibri" w:eastAsia="Times New Roman" w:hAnsi="Calibri" w:cs="Times New Roman"/>
                <w:color w:val="000000"/>
                <w:sz w:val="20"/>
                <w:szCs w:val="20"/>
              </w:rPr>
              <w:t>microgram</w:t>
            </w:r>
          </w:p>
        </w:tc>
        <w:tc>
          <w:tcPr>
            <w:tcW w:w="1125" w:type="pct"/>
          </w:tcPr>
          <w:p w14:paraId="42A7091C" w14:textId="7EF8A045" w:rsidR="00F518B8" w:rsidRPr="00B57D32" w:rsidRDefault="00F518B8" w:rsidP="006577FD">
            <w:pPr>
              <w:jc w:val="center"/>
              <w:rPr>
                <w:rFonts w:ascii="Calibri" w:eastAsia="Times New Roman" w:hAnsi="Calibri" w:cs="Times New Roman"/>
                <w:color w:val="000000"/>
                <w:sz w:val="20"/>
                <w:szCs w:val="20"/>
              </w:rPr>
            </w:pPr>
            <w:r w:rsidRPr="00B1322F">
              <w:rPr>
                <w:rFonts w:ascii="Calibri" w:eastAsia="Times New Roman" w:hAnsi="Calibri" w:cs="Times New Roman"/>
                <w:color w:val="000000"/>
                <w:sz w:val="20"/>
                <w:szCs w:val="20"/>
              </w:rPr>
              <w:t>3424F - 10 microgram</w:t>
            </w:r>
          </w:p>
        </w:tc>
        <w:tc>
          <w:tcPr>
            <w:tcW w:w="1125" w:type="pct"/>
          </w:tcPr>
          <w:p w14:paraId="461AB826" w14:textId="232981E9" w:rsidR="00F518B8" w:rsidRPr="00B57D32" w:rsidRDefault="00F518B8" w:rsidP="006577FD">
            <w:pPr>
              <w:jc w:val="center"/>
              <w:rPr>
                <w:rFonts w:ascii="Calibri" w:eastAsia="Times New Roman" w:hAnsi="Calibri" w:cs="Times New Roman"/>
                <w:color w:val="000000"/>
                <w:sz w:val="20"/>
                <w:szCs w:val="20"/>
              </w:rPr>
            </w:pPr>
            <w:r w:rsidRPr="00B1322F">
              <w:rPr>
                <w:rFonts w:ascii="Calibri" w:eastAsia="Times New Roman" w:hAnsi="Calibri" w:cs="Times New Roman"/>
                <w:color w:val="000000"/>
                <w:sz w:val="20"/>
                <w:szCs w:val="20"/>
              </w:rPr>
              <w:t>3424F - 10 microgram</w:t>
            </w:r>
          </w:p>
        </w:tc>
      </w:tr>
      <w:tr w:rsidR="000174FE" w:rsidRPr="00B609F8" w14:paraId="533CBA73" w14:textId="77777777" w:rsidTr="00F518B8">
        <w:tc>
          <w:tcPr>
            <w:tcW w:w="1624" w:type="pct"/>
          </w:tcPr>
          <w:p w14:paraId="406A4AB0" w14:textId="77777777" w:rsidR="000174FE" w:rsidRPr="00B609F8" w:rsidRDefault="000174FE" w:rsidP="006577FD">
            <w:pPr>
              <w:rPr>
                <w:rFonts w:eastAsia="Calibri" w:cs="Arial"/>
                <w:sz w:val="20"/>
                <w:szCs w:val="20"/>
              </w:rPr>
            </w:pPr>
            <w:r w:rsidRPr="00B609F8">
              <w:rPr>
                <w:rFonts w:eastAsia="Calibri" w:cs="Arial"/>
                <w:sz w:val="20"/>
                <w:szCs w:val="20"/>
              </w:rPr>
              <w:t>Predicted (P)</w:t>
            </w:r>
          </w:p>
        </w:tc>
        <w:tc>
          <w:tcPr>
            <w:tcW w:w="1125" w:type="pct"/>
            <w:vAlign w:val="center"/>
          </w:tcPr>
          <w:p w14:paraId="48C02032"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58,237</w:t>
            </w:r>
          </w:p>
        </w:tc>
        <w:tc>
          <w:tcPr>
            <w:tcW w:w="1125" w:type="pct"/>
            <w:vAlign w:val="center"/>
          </w:tcPr>
          <w:p w14:paraId="0DA00B57"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108,066</w:t>
            </w:r>
          </w:p>
        </w:tc>
        <w:tc>
          <w:tcPr>
            <w:tcW w:w="1125" w:type="pct"/>
            <w:vAlign w:val="center"/>
          </w:tcPr>
          <w:p w14:paraId="4FDFAEAB"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142,249</w:t>
            </w:r>
          </w:p>
        </w:tc>
      </w:tr>
      <w:tr w:rsidR="000174FE" w:rsidRPr="00B609F8" w14:paraId="24E41AA7" w14:textId="77777777" w:rsidTr="00F518B8">
        <w:tc>
          <w:tcPr>
            <w:tcW w:w="1624" w:type="pct"/>
          </w:tcPr>
          <w:p w14:paraId="5BC9AFEF" w14:textId="77777777" w:rsidR="000174FE" w:rsidRPr="00B609F8" w:rsidRDefault="000174FE" w:rsidP="006577FD">
            <w:pPr>
              <w:rPr>
                <w:rFonts w:eastAsia="Calibri" w:cs="Arial"/>
                <w:sz w:val="20"/>
                <w:szCs w:val="20"/>
              </w:rPr>
            </w:pPr>
            <w:r w:rsidRPr="00B609F8">
              <w:rPr>
                <w:rFonts w:eastAsia="Calibri" w:cs="Arial"/>
                <w:sz w:val="20"/>
                <w:szCs w:val="20"/>
              </w:rPr>
              <w:t>Actual (A)</w:t>
            </w:r>
          </w:p>
        </w:tc>
        <w:tc>
          <w:tcPr>
            <w:tcW w:w="1125" w:type="pct"/>
            <w:vAlign w:val="center"/>
          </w:tcPr>
          <w:p w14:paraId="636F3BB7"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22,480</w:t>
            </w:r>
          </w:p>
        </w:tc>
        <w:tc>
          <w:tcPr>
            <w:tcW w:w="1125" w:type="pct"/>
            <w:vAlign w:val="center"/>
          </w:tcPr>
          <w:p w14:paraId="3D52B7CB"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58,316</w:t>
            </w:r>
          </w:p>
        </w:tc>
        <w:tc>
          <w:tcPr>
            <w:tcW w:w="1125" w:type="pct"/>
            <w:vAlign w:val="center"/>
          </w:tcPr>
          <w:p w14:paraId="2961B832"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92,353</w:t>
            </w:r>
          </w:p>
        </w:tc>
      </w:tr>
      <w:tr w:rsidR="000174FE" w:rsidRPr="00B609F8" w14:paraId="5FB2A598" w14:textId="77777777" w:rsidTr="00F518B8">
        <w:tc>
          <w:tcPr>
            <w:tcW w:w="1624" w:type="pct"/>
          </w:tcPr>
          <w:p w14:paraId="5DDF2CE4" w14:textId="77777777" w:rsidR="000174FE" w:rsidRPr="00B609F8" w:rsidRDefault="000174FE" w:rsidP="006577FD">
            <w:pPr>
              <w:rPr>
                <w:rFonts w:eastAsia="Calibri" w:cs="Arial"/>
                <w:sz w:val="20"/>
                <w:szCs w:val="20"/>
              </w:rPr>
            </w:pPr>
            <w:r w:rsidRPr="00B609F8">
              <w:rPr>
                <w:rFonts w:eastAsia="Calibri" w:cs="Arial"/>
                <w:sz w:val="20"/>
                <w:szCs w:val="20"/>
              </w:rPr>
              <w:t>Difference (A-P)</w:t>
            </w:r>
          </w:p>
        </w:tc>
        <w:tc>
          <w:tcPr>
            <w:tcW w:w="1125" w:type="pct"/>
            <w:vAlign w:val="center"/>
          </w:tcPr>
          <w:p w14:paraId="55CA17D2"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-35,757</w:t>
            </w:r>
          </w:p>
        </w:tc>
        <w:tc>
          <w:tcPr>
            <w:tcW w:w="1125" w:type="pct"/>
            <w:vAlign w:val="center"/>
          </w:tcPr>
          <w:p w14:paraId="4500A9D5"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-49,750</w:t>
            </w:r>
          </w:p>
        </w:tc>
        <w:tc>
          <w:tcPr>
            <w:tcW w:w="1125" w:type="pct"/>
            <w:vAlign w:val="center"/>
          </w:tcPr>
          <w:p w14:paraId="4580225A"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-49,896</w:t>
            </w:r>
          </w:p>
        </w:tc>
      </w:tr>
      <w:tr w:rsidR="000174FE" w:rsidRPr="00B609F8" w14:paraId="2B39D77F" w14:textId="77777777" w:rsidTr="00F518B8">
        <w:tc>
          <w:tcPr>
            <w:tcW w:w="1624" w:type="pct"/>
          </w:tcPr>
          <w:p w14:paraId="63879C52" w14:textId="77777777" w:rsidR="000174FE" w:rsidRPr="00B609F8" w:rsidRDefault="000174FE" w:rsidP="006577FD">
            <w:pPr>
              <w:rPr>
                <w:rFonts w:eastAsia="Calibri" w:cs="Arial"/>
                <w:sz w:val="20"/>
                <w:szCs w:val="20"/>
              </w:rPr>
            </w:pPr>
            <w:r w:rsidRPr="00B609F8">
              <w:rPr>
                <w:rFonts w:eastAsia="Calibri" w:cs="Arial"/>
                <w:sz w:val="20"/>
                <w:szCs w:val="20"/>
              </w:rPr>
              <w:t xml:space="preserve">% Difference (A-P)/P </w:t>
            </w:r>
          </w:p>
        </w:tc>
        <w:tc>
          <w:tcPr>
            <w:tcW w:w="1125" w:type="pct"/>
            <w:vAlign w:val="center"/>
          </w:tcPr>
          <w:p w14:paraId="6484E967"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-61%</w:t>
            </w:r>
          </w:p>
        </w:tc>
        <w:tc>
          <w:tcPr>
            <w:tcW w:w="1125" w:type="pct"/>
            <w:vAlign w:val="center"/>
          </w:tcPr>
          <w:p w14:paraId="59FAF8AC"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-46%</w:t>
            </w:r>
          </w:p>
        </w:tc>
        <w:tc>
          <w:tcPr>
            <w:tcW w:w="1125" w:type="pct"/>
            <w:vAlign w:val="center"/>
          </w:tcPr>
          <w:p w14:paraId="0C22B9AD" w14:textId="77777777" w:rsidR="000174FE" w:rsidRPr="00B57D32" w:rsidRDefault="000174FE" w:rsidP="006577FD">
            <w:pPr>
              <w:jc w:val="center"/>
              <w:rPr>
                <w:rFonts w:ascii="Calibri" w:eastAsia="Times New Roman" w:hAnsi="Calibri" w:cs="Times New Roman"/>
                <w:color w:val="000000"/>
                <w:sz w:val="20"/>
                <w:szCs w:val="20"/>
              </w:rPr>
            </w:pPr>
            <w:r w:rsidRPr="00B57D32">
              <w:rPr>
                <w:rFonts w:ascii="Calibri" w:eastAsia="Times New Roman" w:hAnsi="Calibri" w:cs="Times New Roman"/>
                <w:color w:val="000000"/>
                <w:sz w:val="20"/>
                <w:szCs w:val="20"/>
              </w:rPr>
              <w:t>-35%</w:t>
            </w:r>
          </w:p>
        </w:tc>
      </w:tr>
    </w:tbl>
    <w:p w14:paraId="00ABF6D4" w14:textId="77777777" w:rsidR="00F95BCD" w:rsidRDefault="00F95BCD" w:rsidP="00A82F7C">
      <w:pPr>
        <w:spacing w:before="200" w:after="0"/>
        <w:rPr>
          <w:rFonts w:eastAsia="Calibri" w:cs="Arial"/>
          <w:szCs w:val="20"/>
        </w:rPr>
      </w:pPr>
      <w:r>
        <w:rPr>
          <w:rFonts w:eastAsia="Calibri" w:cs="Arial"/>
          <w:szCs w:val="20"/>
        </w:rPr>
        <w:t>The submission assumed that:</w:t>
      </w:r>
    </w:p>
    <w:p w14:paraId="6028CF99" w14:textId="6EDE7770" w:rsidR="00F95BCD" w:rsidRPr="00E677FD" w:rsidRDefault="00F95BCD" w:rsidP="00F95BCD">
      <w:pPr>
        <w:numPr>
          <w:ilvl w:val="0"/>
          <w:numId w:val="9"/>
        </w:numPr>
        <w:spacing w:after="0"/>
        <w:rPr>
          <w:i/>
        </w:rPr>
      </w:pPr>
      <w:r>
        <w:rPr>
          <w:rFonts w:eastAsia="Calibri" w:cs="Times New Roman"/>
        </w:rPr>
        <w:t>‘</w:t>
      </w:r>
      <w:r w:rsidRPr="00E677FD">
        <w:rPr>
          <w:i/>
        </w:rPr>
        <w:t xml:space="preserve">Each patient will be dispensed </w:t>
      </w:r>
      <w:r w:rsidR="00C778F0">
        <w:rPr>
          <w:i/>
        </w:rPr>
        <w:t>only one 5 microgram</w:t>
      </w:r>
      <w:r w:rsidRPr="00E677FD">
        <w:rPr>
          <w:i/>
        </w:rPr>
        <w:t xml:space="preserve"> pen at the initiation of therapy, thereafter al</w:t>
      </w:r>
      <w:r w:rsidR="0088087E">
        <w:rPr>
          <w:i/>
        </w:rPr>
        <w:t>l patients will advance to 10 microgram</w:t>
      </w:r>
      <w:r w:rsidR="00CB626E">
        <w:rPr>
          <w:i/>
        </w:rPr>
        <w:t xml:space="preserve"> pens.  </w:t>
      </w:r>
      <w:r w:rsidRPr="00E677FD">
        <w:rPr>
          <w:i/>
        </w:rPr>
        <w:t>The Australian app</w:t>
      </w:r>
      <w:r w:rsidR="003C4C31">
        <w:rPr>
          <w:i/>
        </w:rPr>
        <w:t>roved PI recommends that the 5 microgram</w:t>
      </w:r>
      <w:r w:rsidRPr="00E677FD">
        <w:rPr>
          <w:i/>
        </w:rPr>
        <w:t xml:space="preserve"> pen is used for the first month of therapy to reduce gastrointestinal side effects. </w:t>
      </w:r>
      <w:r w:rsidR="003C4C31">
        <w:rPr>
          <w:i/>
        </w:rPr>
        <w:t xml:space="preserve"> </w:t>
      </w:r>
      <w:r w:rsidRPr="00E677FD">
        <w:rPr>
          <w:i/>
        </w:rPr>
        <w:t>Some patients may need</w:t>
      </w:r>
      <w:r w:rsidR="003C4C31">
        <w:rPr>
          <w:i/>
        </w:rPr>
        <w:t xml:space="preserve"> to use the 5 microgram</w:t>
      </w:r>
      <w:r w:rsidRPr="00E677FD">
        <w:rPr>
          <w:i/>
        </w:rPr>
        <w:t xml:space="preserve"> pen beyond the first month of treatment but this extended usage is anticipated to be low. </w:t>
      </w:r>
      <w:r w:rsidR="008A0526">
        <w:rPr>
          <w:i/>
        </w:rPr>
        <w:t xml:space="preserve"> As the 5 microgram</w:t>
      </w:r>
      <w:r w:rsidRPr="00E677FD">
        <w:rPr>
          <w:i/>
        </w:rPr>
        <w:t xml:space="preserve"> pen and 10</w:t>
      </w:r>
      <w:r w:rsidR="008A0526">
        <w:rPr>
          <w:i/>
        </w:rPr>
        <w:t xml:space="preserve"> micro</w:t>
      </w:r>
      <w:r w:rsidRPr="00E677FD">
        <w:rPr>
          <w:i/>
        </w:rPr>
        <w:t>g</w:t>
      </w:r>
      <w:r w:rsidR="008A0526">
        <w:rPr>
          <w:i/>
        </w:rPr>
        <w:t>ram</w:t>
      </w:r>
      <w:r w:rsidRPr="00E677FD">
        <w:rPr>
          <w:i/>
        </w:rPr>
        <w:t xml:space="preserve"> pen are priced equivalently there is no financial benefit to the patient to continue on the lower dose.</w:t>
      </w:r>
    </w:p>
    <w:p w14:paraId="18B0FD59" w14:textId="53B9056D" w:rsidR="00F95BCD" w:rsidRPr="00E677FD" w:rsidRDefault="00F95BCD" w:rsidP="00F95BCD">
      <w:pPr>
        <w:pStyle w:val="ListParagraph"/>
        <w:numPr>
          <w:ilvl w:val="0"/>
          <w:numId w:val="9"/>
        </w:numPr>
        <w:rPr>
          <w:rFonts w:eastAsia="Calibri" w:cs="Times New Roman"/>
          <w:i/>
        </w:rPr>
      </w:pPr>
      <w:r w:rsidRPr="00E677FD">
        <w:rPr>
          <w:i/>
        </w:rPr>
        <w:t xml:space="preserve">For simplicity, we have assumed all patients will </w:t>
      </w:r>
      <w:r w:rsidR="00CF64A5">
        <w:rPr>
          <w:i/>
        </w:rPr>
        <w:t>be prescribed a maximum of 1x5 microgram pen, followed by 9x10 microgram</w:t>
      </w:r>
      <w:r w:rsidRPr="00E677FD">
        <w:rPr>
          <w:i/>
        </w:rPr>
        <w:t xml:space="preserve"> pens per annum</w:t>
      </w:r>
      <w:r>
        <w:rPr>
          <w:i/>
        </w:rPr>
        <w:t>’</w:t>
      </w:r>
    </w:p>
    <w:p w14:paraId="58F3F953" w14:textId="3EFB6584" w:rsidR="00F95BCD" w:rsidRDefault="00F95BCD" w:rsidP="00F95BCD">
      <w:pPr>
        <w:rPr>
          <w:rFonts w:eastAsia="Calibri" w:cs="Times New Roman"/>
        </w:rPr>
      </w:pPr>
      <w:r>
        <w:rPr>
          <w:rFonts w:eastAsia="Calibri" w:cs="Times New Roman"/>
        </w:rPr>
        <w:t>In Advice to the PBAC for the November 2008 PBAC submission, the DUSC had considered that some variation in practice (from the assumption that patients will increase to the 10</w:t>
      </w:r>
      <w:r w:rsidR="00FC3835">
        <w:rPr>
          <w:rFonts w:eastAsia="Calibri" w:cs="Times New Roman"/>
        </w:rPr>
        <w:t xml:space="preserve"> microgram </w:t>
      </w:r>
      <w:r>
        <w:rPr>
          <w:rFonts w:eastAsia="Calibri" w:cs="Times New Roman"/>
        </w:rPr>
        <w:t xml:space="preserve">dose after the first month) would be expected, particularly if some of the side effects of treatment, such as nausea, are dose dependent.  </w:t>
      </w:r>
    </w:p>
    <w:p w14:paraId="22B0D59F" w14:textId="0613D67A" w:rsidR="00F95BCD" w:rsidRDefault="00F95BCD" w:rsidP="00F95BCD">
      <w:r>
        <w:rPr>
          <w:rFonts w:eastAsia="Calibri" w:cs="Times New Roman"/>
        </w:rPr>
        <w:lastRenderedPageBreak/>
        <w:t xml:space="preserve">Table 7 shows that the </w:t>
      </w:r>
      <w:r w:rsidRPr="00B57D32">
        <w:rPr>
          <w:rFonts w:eastAsia="Calibri" w:cs="Times New Roman"/>
        </w:rPr>
        <w:t xml:space="preserve">5 </w:t>
      </w:r>
      <w:r w:rsidR="00FC3835">
        <w:rPr>
          <w:rFonts w:eastAsia="Calibri" w:cs="Times New Roman"/>
        </w:rPr>
        <w:t>microgram</w:t>
      </w:r>
      <w:r>
        <w:rPr>
          <w:rFonts w:eastAsia="Calibri" w:cs="Times New Roman"/>
        </w:rPr>
        <w:t xml:space="preserve"> item was used much more than predicted, especially in Year 3, whilst the 10 </w:t>
      </w:r>
      <w:r w:rsidR="00FC3835">
        <w:rPr>
          <w:rFonts w:eastAsia="Calibri" w:cs="Times New Roman"/>
        </w:rPr>
        <w:t>microgram</w:t>
      </w:r>
      <w:r>
        <w:rPr>
          <w:rFonts w:eastAsia="Calibri" w:cs="Times New Roman"/>
        </w:rPr>
        <w:t xml:space="preserve"> it</w:t>
      </w:r>
      <w:r w:rsidR="00AA18FC">
        <w:rPr>
          <w:rFonts w:eastAsia="Calibri" w:cs="Times New Roman"/>
        </w:rPr>
        <w:t xml:space="preserve">em was used less than expected.  </w:t>
      </w:r>
      <w:r>
        <w:rPr>
          <w:rFonts w:eastAsia="Calibri" w:cs="Times New Roman"/>
        </w:rPr>
        <w:t>The most likely explanation is that a proportion of patients remain on 5</w:t>
      </w:r>
      <w:r w:rsidR="00523972">
        <w:rPr>
          <w:rFonts w:eastAsia="Calibri" w:cs="Times New Roman"/>
        </w:rPr>
        <w:t xml:space="preserve"> </w:t>
      </w:r>
      <w:r>
        <w:rPr>
          <w:rFonts w:eastAsia="Calibri" w:cs="Times New Roman"/>
        </w:rPr>
        <w:t>m</w:t>
      </w:r>
      <w:r w:rsidR="00523972">
        <w:rPr>
          <w:rFonts w:eastAsia="Calibri" w:cs="Times New Roman"/>
        </w:rPr>
        <w:t>i</w:t>
      </w:r>
      <w:r>
        <w:rPr>
          <w:rFonts w:eastAsia="Calibri" w:cs="Times New Roman"/>
        </w:rPr>
        <w:t>c</w:t>
      </w:r>
      <w:r w:rsidR="00523972">
        <w:rPr>
          <w:rFonts w:eastAsia="Calibri" w:cs="Times New Roman"/>
        </w:rPr>
        <w:t>ro</w:t>
      </w:r>
      <w:r>
        <w:rPr>
          <w:rFonts w:eastAsia="Calibri" w:cs="Times New Roman"/>
        </w:rPr>
        <w:t>g</w:t>
      </w:r>
      <w:r w:rsidR="00523972">
        <w:rPr>
          <w:rFonts w:eastAsia="Calibri" w:cs="Times New Roman"/>
        </w:rPr>
        <w:t>ram</w:t>
      </w:r>
      <w:r w:rsidR="00AA18FC">
        <w:rPr>
          <w:rFonts w:eastAsia="Calibri" w:cs="Times New Roman"/>
        </w:rPr>
        <w:t xml:space="preserve"> exenatide twice daily</w:t>
      </w:r>
      <w:r w:rsidR="0047404A">
        <w:rPr>
          <w:rFonts w:eastAsia="Calibri" w:cs="Times New Roman"/>
        </w:rPr>
        <w:t xml:space="preserve"> </w:t>
      </w:r>
      <w:r>
        <w:rPr>
          <w:rFonts w:eastAsia="Calibri" w:cs="Times New Roman"/>
        </w:rPr>
        <w:t xml:space="preserve">beyond the one month initiation period. </w:t>
      </w:r>
      <w:r w:rsidR="0047404A">
        <w:rPr>
          <w:rFonts w:eastAsia="Calibri" w:cs="Times New Roman"/>
        </w:rPr>
        <w:t xml:space="preserve"> </w:t>
      </w:r>
      <w:r w:rsidR="000E302A">
        <w:rPr>
          <w:rFonts w:eastAsia="Calibri" w:cs="Times New Roman"/>
        </w:rPr>
        <w:t xml:space="preserve">In one of the </w:t>
      </w:r>
      <w:r>
        <w:rPr>
          <w:rFonts w:eastAsia="Calibri" w:cs="Times New Roman"/>
        </w:rPr>
        <w:t>clinical trials</w:t>
      </w:r>
      <w:r w:rsidR="000E302A">
        <w:rPr>
          <w:rFonts w:eastAsia="Calibri" w:cs="Times New Roman"/>
        </w:rPr>
        <w:t xml:space="preserve"> presented in the submission</w:t>
      </w:r>
      <w:r>
        <w:rPr>
          <w:rFonts w:eastAsia="Calibri" w:cs="Times New Roman"/>
        </w:rPr>
        <w:t>, 18.6</w:t>
      </w:r>
      <w:r w:rsidR="0047404A">
        <w:rPr>
          <w:rFonts w:eastAsia="Calibri" w:cs="Times New Roman"/>
        </w:rPr>
        <w:t xml:space="preserve"> </w:t>
      </w:r>
      <w:r w:rsidRPr="007D1F38">
        <w:rPr>
          <w:rFonts w:eastAsia="Calibri" w:cs="Times New Roman"/>
        </w:rPr>
        <w:t xml:space="preserve">% of patients </w:t>
      </w:r>
      <w:r>
        <w:rPr>
          <w:rFonts w:eastAsia="Calibri" w:cs="Times New Roman"/>
        </w:rPr>
        <w:t xml:space="preserve">at the completion of the study </w:t>
      </w:r>
      <w:r w:rsidRPr="007D1F38">
        <w:rPr>
          <w:rFonts w:eastAsia="Calibri" w:cs="Times New Roman"/>
        </w:rPr>
        <w:t>were on 5</w:t>
      </w:r>
      <w:r w:rsidR="0047404A">
        <w:rPr>
          <w:rFonts w:eastAsia="Calibri" w:cs="Times New Roman"/>
        </w:rPr>
        <w:t xml:space="preserve"> </w:t>
      </w:r>
      <w:r w:rsidR="00FC3835">
        <w:rPr>
          <w:rFonts w:eastAsia="Calibri" w:cs="Times New Roman"/>
        </w:rPr>
        <w:t>microgram</w:t>
      </w:r>
      <w:r w:rsidRPr="007D1F38">
        <w:rPr>
          <w:rFonts w:eastAsia="Calibri" w:cs="Times New Roman"/>
        </w:rPr>
        <w:t xml:space="preserve"> </w:t>
      </w:r>
      <w:r>
        <w:rPr>
          <w:rFonts w:eastAsia="Calibri" w:cs="Times New Roman"/>
        </w:rPr>
        <w:t>exenatide.</w:t>
      </w:r>
      <w:r>
        <w:rPr>
          <w:rStyle w:val="FootnoteReference"/>
          <w:rFonts w:eastAsia="Calibri" w:cs="Times New Roman"/>
        </w:rPr>
        <w:footnoteReference w:id="7"/>
      </w:r>
      <w:r>
        <w:rPr>
          <w:rFonts w:eastAsia="Calibri" w:cs="Times New Roman"/>
        </w:rPr>
        <w:t xml:space="preserve">  </w:t>
      </w:r>
      <w:r w:rsidR="00297CF7">
        <w:rPr>
          <w:rFonts w:eastAsia="Calibri" w:cs="Times New Roman"/>
        </w:rPr>
        <w:t>An</w:t>
      </w:r>
      <w:r>
        <w:rPr>
          <w:rFonts w:eastAsia="Calibri" w:cs="Times New Roman"/>
        </w:rPr>
        <w:t xml:space="preserve"> observational study of 452 type 2 diabetes patients in the United States reported that 28</w:t>
      </w:r>
      <w:r w:rsidR="00297CF7">
        <w:rPr>
          <w:rFonts w:eastAsia="Calibri" w:cs="Times New Roman"/>
        </w:rPr>
        <w:t xml:space="preserve"> </w:t>
      </w:r>
      <w:r>
        <w:rPr>
          <w:rFonts w:eastAsia="Calibri" w:cs="Times New Roman"/>
        </w:rPr>
        <w:t xml:space="preserve">% of patients continue to use 5 </w:t>
      </w:r>
      <w:r w:rsidR="00FC3835">
        <w:rPr>
          <w:rFonts w:eastAsia="Calibri" w:cs="Times New Roman"/>
        </w:rPr>
        <w:t>microgram</w:t>
      </w:r>
      <w:r>
        <w:rPr>
          <w:rFonts w:eastAsia="Calibri" w:cs="Times New Roman"/>
        </w:rPr>
        <w:t xml:space="preserve"> exena</w:t>
      </w:r>
      <w:r w:rsidR="00297CF7">
        <w:rPr>
          <w:rFonts w:eastAsia="Calibri" w:cs="Times New Roman"/>
        </w:rPr>
        <w:t>tide twice daily six</w:t>
      </w:r>
      <w:r>
        <w:rPr>
          <w:rFonts w:eastAsia="Calibri" w:cs="Times New Roman"/>
        </w:rPr>
        <w:t xml:space="preserve"> months after initiation</w:t>
      </w:r>
      <w:r w:rsidR="00D64C10">
        <w:rPr>
          <w:rFonts w:eastAsia="Calibri" w:cs="Times New Roman"/>
        </w:rPr>
        <w:t>.</w:t>
      </w:r>
      <w:r>
        <w:rPr>
          <w:rStyle w:val="FootnoteReference"/>
          <w:rFonts w:eastAsia="Calibri" w:cs="Times New Roman"/>
        </w:rPr>
        <w:footnoteReference w:id="8"/>
      </w:r>
      <w:r>
        <w:rPr>
          <w:rFonts w:eastAsia="Calibri" w:cs="Times New Roman"/>
        </w:rPr>
        <w:t xml:space="preserve"> </w:t>
      </w:r>
    </w:p>
    <w:p w14:paraId="796BF4D4" w14:textId="16F72918" w:rsidR="006370A3" w:rsidRDefault="00F95BCD" w:rsidP="00F95BCD">
      <w:r>
        <w:t xml:space="preserve">To help elucidate the reasons for the greater than predicted utilisation </w:t>
      </w:r>
      <w:r w:rsidR="003B012B">
        <w:t>of 5 microgram</w:t>
      </w:r>
      <w:r>
        <w:t xml:space="preserve"> exenatide, a prescription sequence analysis was pe</w:t>
      </w:r>
      <w:r w:rsidR="004E1DB0">
        <w:t xml:space="preserve">rformed at the PBS item level.  </w:t>
      </w:r>
      <w:r>
        <w:t xml:space="preserve">For each patient, the strength of each exenatide prescription and the exenatide </w:t>
      </w:r>
      <w:r w:rsidRPr="009B43F1">
        <w:t>prescription</w:t>
      </w:r>
      <w:r>
        <w:t xml:space="preserve"> immediately before it was determined for all prescriptions in the period from August 2010 to March 2014, inclusive.</w:t>
      </w:r>
      <w:r w:rsidR="00F75F2C">
        <w:t xml:space="preserve">  The</w:t>
      </w:r>
      <w:r w:rsidR="006370A3">
        <w:t xml:space="preserve"> results of this analysis </w:t>
      </w:r>
      <w:r w:rsidR="003E30E6">
        <w:t>are shown in T</w:t>
      </w:r>
      <w:r w:rsidR="006370A3">
        <w:t>able 8.</w:t>
      </w:r>
    </w:p>
    <w:p w14:paraId="1E0E15F7" w14:textId="77777777" w:rsidR="00CC3451" w:rsidRPr="00925A99" w:rsidRDefault="00CC3451" w:rsidP="00CC3451">
      <w:pPr>
        <w:pStyle w:val="Tabletitle"/>
      </w:pPr>
      <w:r w:rsidRPr="00925A99">
        <w:t xml:space="preserve">Table </w:t>
      </w:r>
      <w:r>
        <w:t>8</w:t>
      </w:r>
      <w:r w:rsidRPr="00925A99">
        <w:t xml:space="preserve">: </w:t>
      </w:r>
      <w:r>
        <w:t xml:space="preserve">Exenatide prescription by strength and strength of prior prescription </w:t>
      </w:r>
    </w:p>
    <w:tbl>
      <w:tblPr>
        <w:tblStyle w:val="TableGrid"/>
        <w:tblW w:w="4906" w:type="pct"/>
        <w:tblInd w:w="108" w:type="dxa"/>
        <w:tblLook w:val="04A0" w:firstRow="1" w:lastRow="0" w:firstColumn="1" w:lastColumn="0" w:noHBand="0" w:noVBand="1"/>
        <w:tblCaption w:val="Table 8: Exenatide perscription by strength and strength of prior prescription"/>
      </w:tblPr>
      <w:tblGrid>
        <w:gridCol w:w="2188"/>
        <w:gridCol w:w="2293"/>
        <w:gridCol w:w="2293"/>
        <w:gridCol w:w="2227"/>
      </w:tblGrid>
      <w:tr w:rsidR="00CC3451" w14:paraId="28B4E646" w14:textId="77777777" w:rsidTr="00B962CB">
        <w:trPr>
          <w:tblHeader/>
        </w:trPr>
        <w:tc>
          <w:tcPr>
            <w:tcW w:w="1215" w:type="pct"/>
            <w:shd w:val="clear" w:color="auto" w:fill="BFBFBF" w:themeFill="background1" w:themeFillShade="BF"/>
          </w:tcPr>
          <w:p w14:paraId="1D6D5DC1" w14:textId="77777777" w:rsidR="00CC3451" w:rsidRPr="00232A29" w:rsidRDefault="00CC3451" w:rsidP="006577FD">
            <w:pPr>
              <w:jc w:val="center"/>
              <w:rPr>
                <w:b/>
                <w:sz w:val="20"/>
                <w:szCs w:val="20"/>
              </w:rPr>
            </w:pPr>
            <w:r w:rsidRPr="00232A29">
              <w:rPr>
                <w:b/>
                <w:sz w:val="20"/>
                <w:szCs w:val="20"/>
              </w:rPr>
              <w:t>Prior prescription strength</w:t>
            </w:r>
          </w:p>
        </w:tc>
        <w:tc>
          <w:tcPr>
            <w:tcW w:w="1274" w:type="pct"/>
            <w:shd w:val="clear" w:color="auto" w:fill="BFBFBF" w:themeFill="background1" w:themeFillShade="BF"/>
          </w:tcPr>
          <w:p w14:paraId="07B2715C" w14:textId="77777777" w:rsidR="00CC3451" w:rsidRPr="00232A29" w:rsidRDefault="00CC3451" w:rsidP="006577FD">
            <w:pPr>
              <w:jc w:val="center"/>
              <w:rPr>
                <w:b/>
                <w:sz w:val="20"/>
                <w:szCs w:val="20"/>
              </w:rPr>
            </w:pPr>
            <w:r w:rsidRPr="00232A29">
              <w:rPr>
                <w:b/>
                <w:sz w:val="20"/>
                <w:szCs w:val="20"/>
              </w:rPr>
              <w:t>Prescription strength</w:t>
            </w:r>
          </w:p>
        </w:tc>
        <w:tc>
          <w:tcPr>
            <w:tcW w:w="1274" w:type="pct"/>
            <w:shd w:val="clear" w:color="auto" w:fill="BFBFBF" w:themeFill="background1" w:themeFillShade="BF"/>
          </w:tcPr>
          <w:p w14:paraId="63B38B65" w14:textId="77777777" w:rsidR="00CC3451" w:rsidRPr="00232A29" w:rsidRDefault="00CC3451" w:rsidP="006577FD">
            <w:pPr>
              <w:jc w:val="center"/>
              <w:rPr>
                <w:b/>
                <w:sz w:val="20"/>
                <w:szCs w:val="20"/>
              </w:rPr>
            </w:pPr>
            <w:r w:rsidRPr="00232A29">
              <w:rPr>
                <w:b/>
                <w:sz w:val="20"/>
                <w:szCs w:val="20"/>
              </w:rPr>
              <w:t>Prescriptions</w:t>
            </w:r>
          </w:p>
        </w:tc>
        <w:tc>
          <w:tcPr>
            <w:tcW w:w="1237" w:type="pct"/>
            <w:shd w:val="clear" w:color="auto" w:fill="BFBFBF" w:themeFill="background1" w:themeFillShade="BF"/>
          </w:tcPr>
          <w:p w14:paraId="79F78BA3" w14:textId="77777777" w:rsidR="00CC3451" w:rsidRPr="00232A29" w:rsidRDefault="00CC3451" w:rsidP="006577FD">
            <w:pPr>
              <w:jc w:val="center"/>
              <w:rPr>
                <w:b/>
                <w:sz w:val="20"/>
                <w:szCs w:val="20"/>
              </w:rPr>
            </w:pPr>
            <w:r w:rsidRPr="00232A29">
              <w:rPr>
                <w:b/>
                <w:sz w:val="20"/>
                <w:szCs w:val="20"/>
              </w:rPr>
              <w:t>% Prescriptions</w:t>
            </w:r>
          </w:p>
        </w:tc>
      </w:tr>
      <w:tr w:rsidR="00CC3451" w14:paraId="1C12D11B" w14:textId="77777777" w:rsidTr="006577FD">
        <w:tc>
          <w:tcPr>
            <w:tcW w:w="1215" w:type="pct"/>
          </w:tcPr>
          <w:p w14:paraId="3EF2E139" w14:textId="77777777" w:rsidR="00CC3451" w:rsidRPr="00232A29" w:rsidRDefault="00CC3451" w:rsidP="006577FD">
            <w:pPr>
              <w:jc w:val="center"/>
              <w:rPr>
                <w:sz w:val="20"/>
                <w:szCs w:val="20"/>
              </w:rPr>
            </w:pPr>
            <w:r w:rsidRPr="00232A29">
              <w:rPr>
                <w:sz w:val="20"/>
                <w:szCs w:val="20"/>
              </w:rPr>
              <w:t>None</w:t>
            </w:r>
          </w:p>
        </w:tc>
        <w:tc>
          <w:tcPr>
            <w:tcW w:w="1274" w:type="pct"/>
          </w:tcPr>
          <w:p w14:paraId="06B720BA" w14:textId="706F761C" w:rsidR="00CC3451" w:rsidRPr="00232A29" w:rsidRDefault="00203310" w:rsidP="006577FD">
            <w:pPr>
              <w:jc w:val="center"/>
              <w:rPr>
                <w:sz w:val="20"/>
                <w:szCs w:val="20"/>
              </w:rPr>
            </w:pPr>
            <w:r>
              <w:rPr>
                <w:sz w:val="20"/>
                <w:szCs w:val="20"/>
              </w:rPr>
              <w:t>5 microgram</w:t>
            </w:r>
          </w:p>
        </w:tc>
        <w:tc>
          <w:tcPr>
            <w:tcW w:w="1274" w:type="pct"/>
          </w:tcPr>
          <w:p w14:paraId="3A6F2AF4" w14:textId="77777777" w:rsidR="00CC3451" w:rsidRPr="00232A29" w:rsidRDefault="00CC3451" w:rsidP="006577FD">
            <w:pPr>
              <w:jc w:val="center"/>
              <w:rPr>
                <w:sz w:val="20"/>
                <w:szCs w:val="20"/>
              </w:rPr>
            </w:pPr>
            <w:r w:rsidRPr="00232A29">
              <w:rPr>
                <w:sz w:val="20"/>
                <w:szCs w:val="20"/>
              </w:rPr>
              <w:t>22,742</w:t>
            </w:r>
          </w:p>
        </w:tc>
        <w:tc>
          <w:tcPr>
            <w:tcW w:w="1237" w:type="pct"/>
          </w:tcPr>
          <w:p w14:paraId="55CFB2FF" w14:textId="62A92106" w:rsidR="00CC3451" w:rsidRPr="00232A29" w:rsidRDefault="00CC3451" w:rsidP="006577FD">
            <w:pPr>
              <w:jc w:val="center"/>
              <w:rPr>
                <w:sz w:val="20"/>
                <w:szCs w:val="20"/>
              </w:rPr>
            </w:pPr>
            <w:r w:rsidRPr="00232A29">
              <w:rPr>
                <w:sz w:val="20"/>
                <w:szCs w:val="20"/>
              </w:rPr>
              <w:t>6.6</w:t>
            </w:r>
            <w:r w:rsidR="002E4E69">
              <w:rPr>
                <w:sz w:val="20"/>
                <w:szCs w:val="20"/>
              </w:rPr>
              <w:t xml:space="preserve"> </w:t>
            </w:r>
            <w:r w:rsidRPr="00232A29">
              <w:rPr>
                <w:sz w:val="20"/>
                <w:szCs w:val="20"/>
              </w:rPr>
              <w:t>%</w:t>
            </w:r>
          </w:p>
        </w:tc>
      </w:tr>
      <w:tr w:rsidR="00CC3451" w14:paraId="3D331DB2" w14:textId="77777777" w:rsidTr="006577FD">
        <w:tc>
          <w:tcPr>
            <w:tcW w:w="1215" w:type="pct"/>
          </w:tcPr>
          <w:p w14:paraId="18ECC4F0" w14:textId="03E88EEB" w:rsidR="00CC3451" w:rsidRPr="00232A29" w:rsidRDefault="00203310" w:rsidP="006577FD">
            <w:pPr>
              <w:jc w:val="center"/>
              <w:rPr>
                <w:sz w:val="20"/>
                <w:szCs w:val="20"/>
              </w:rPr>
            </w:pPr>
            <w:r>
              <w:rPr>
                <w:sz w:val="20"/>
                <w:szCs w:val="20"/>
              </w:rPr>
              <w:t>5 microgram</w:t>
            </w:r>
          </w:p>
        </w:tc>
        <w:tc>
          <w:tcPr>
            <w:tcW w:w="1274" w:type="pct"/>
          </w:tcPr>
          <w:p w14:paraId="4E4BF3A5" w14:textId="46EBE1C0" w:rsidR="00CC3451" w:rsidRPr="00232A29" w:rsidRDefault="00CC3451" w:rsidP="006577FD">
            <w:pPr>
              <w:jc w:val="center"/>
              <w:rPr>
                <w:sz w:val="20"/>
                <w:szCs w:val="20"/>
              </w:rPr>
            </w:pPr>
            <w:r w:rsidRPr="00232A29">
              <w:rPr>
                <w:sz w:val="20"/>
                <w:szCs w:val="20"/>
              </w:rPr>
              <w:t>5</w:t>
            </w:r>
            <w:r w:rsidR="00203310">
              <w:rPr>
                <w:sz w:val="20"/>
                <w:szCs w:val="20"/>
              </w:rPr>
              <w:t xml:space="preserve"> microgram</w:t>
            </w:r>
          </w:p>
        </w:tc>
        <w:tc>
          <w:tcPr>
            <w:tcW w:w="1274" w:type="pct"/>
          </w:tcPr>
          <w:p w14:paraId="52CECD38" w14:textId="77777777" w:rsidR="00CC3451" w:rsidRPr="00232A29" w:rsidRDefault="00CC3451" w:rsidP="006577FD">
            <w:pPr>
              <w:jc w:val="center"/>
              <w:rPr>
                <w:sz w:val="20"/>
                <w:szCs w:val="20"/>
              </w:rPr>
            </w:pPr>
            <w:r w:rsidRPr="00232A29">
              <w:rPr>
                <w:sz w:val="20"/>
                <w:szCs w:val="20"/>
              </w:rPr>
              <w:t>66,927</w:t>
            </w:r>
          </w:p>
        </w:tc>
        <w:tc>
          <w:tcPr>
            <w:tcW w:w="1237" w:type="pct"/>
          </w:tcPr>
          <w:p w14:paraId="62A3B3BC" w14:textId="0D64D141" w:rsidR="00CC3451" w:rsidRPr="00232A29" w:rsidRDefault="00CC3451" w:rsidP="006577FD">
            <w:pPr>
              <w:jc w:val="center"/>
              <w:rPr>
                <w:sz w:val="20"/>
                <w:szCs w:val="20"/>
              </w:rPr>
            </w:pPr>
            <w:r w:rsidRPr="00232A29">
              <w:rPr>
                <w:sz w:val="20"/>
                <w:szCs w:val="20"/>
              </w:rPr>
              <w:t>19.3</w:t>
            </w:r>
            <w:r w:rsidR="002E4E69">
              <w:rPr>
                <w:sz w:val="20"/>
                <w:szCs w:val="20"/>
              </w:rPr>
              <w:t xml:space="preserve"> </w:t>
            </w:r>
            <w:r w:rsidRPr="00232A29">
              <w:rPr>
                <w:sz w:val="20"/>
                <w:szCs w:val="20"/>
              </w:rPr>
              <w:t>%</w:t>
            </w:r>
          </w:p>
        </w:tc>
      </w:tr>
      <w:tr w:rsidR="00CC3451" w14:paraId="545694BB" w14:textId="77777777" w:rsidTr="006577FD">
        <w:tc>
          <w:tcPr>
            <w:tcW w:w="1215" w:type="pct"/>
          </w:tcPr>
          <w:p w14:paraId="6D070CCE" w14:textId="61E1AE36" w:rsidR="00CC3451" w:rsidRPr="00232A29" w:rsidRDefault="00CC3451" w:rsidP="006577FD">
            <w:pPr>
              <w:jc w:val="center"/>
              <w:rPr>
                <w:sz w:val="20"/>
                <w:szCs w:val="20"/>
              </w:rPr>
            </w:pPr>
            <w:r w:rsidRPr="00232A29">
              <w:rPr>
                <w:sz w:val="20"/>
                <w:szCs w:val="20"/>
              </w:rPr>
              <w:t>5</w:t>
            </w:r>
            <w:r w:rsidR="00203310">
              <w:rPr>
                <w:sz w:val="20"/>
                <w:szCs w:val="20"/>
              </w:rPr>
              <w:t xml:space="preserve"> microgram</w:t>
            </w:r>
          </w:p>
        </w:tc>
        <w:tc>
          <w:tcPr>
            <w:tcW w:w="1274" w:type="pct"/>
          </w:tcPr>
          <w:p w14:paraId="42831E31" w14:textId="62404B94" w:rsidR="00CC3451" w:rsidRPr="00232A29" w:rsidRDefault="00CC3451" w:rsidP="006577FD">
            <w:pPr>
              <w:jc w:val="center"/>
              <w:rPr>
                <w:sz w:val="20"/>
                <w:szCs w:val="20"/>
              </w:rPr>
            </w:pPr>
            <w:r w:rsidRPr="00232A29">
              <w:rPr>
                <w:sz w:val="20"/>
                <w:szCs w:val="20"/>
              </w:rPr>
              <w:t>10</w:t>
            </w:r>
            <w:r w:rsidR="00203310">
              <w:rPr>
                <w:sz w:val="20"/>
                <w:szCs w:val="20"/>
              </w:rPr>
              <w:t xml:space="preserve"> microgram</w:t>
            </w:r>
          </w:p>
        </w:tc>
        <w:tc>
          <w:tcPr>
            <w:tcW w:w="1274" w:type="pct"/>
          </w:tcPr>
          <w:p w14:paraId="3B2A1219" w14:textId="77777777" w:rsidR="00CC3451" w:rsidRPr="00232A29" w:rsidRDefault="00CC3451" w:rsidP="006577FD">
            <w:pPr>
              <w:jc w:val="center"/>
              <w:rPr>
                <w:sz w:val="20"/>
                <w:szCs w:val="20"/>
              </w:rPr>
            </w:pPr>
            <w:r w:rsidRPr="00232A29">
              <w:rPr>
                <w:sz w:val="20"/>
                <w:szCs w:val="20"/>
              </w:rPr>
              <w:t>19,264</w:t>
            </w:r>
          </w:p>
        </w:tc>
        <w:tc>
          <w:tcPr>
            <w:tcW w:w="1237" w:type="pct"/>
          </w:tcPr>
          <w:p w14:paraId="580509D2" w14:textId="6FBC5791" w:rsidR="00CC3451" w:rsidRPr="00232A29" w:rsidRDefault="00CC3451" w:rsidP="006577FD">
            <w:pPr>
              <w:jc w:val="center"/>
              <w:rPr>
                <w:sz w:val="20"/>
                <w:szCs w:val="20"/>
              </w:rPr>
            </w:pPr>
            <w:r w:rsidRPr="00232A29">
              <w:rPr>
                <w:sz w:val="20"/>
                <w:szCs w:val="20"/>
              </w:rPr>
              <w:t>5.6</w:t>
            </w:r>
            <w:r w:rsidR="002E4E69">
              <w:rPr>
                <w:sz w:val="20"/>
                <w:szCs w:val="20"/>
              </w:rPr>
              <w:t xml:space="preserve"> </w:t>
            </w:r>
            <w:r w:rsidRPr="00232A29">
              <w:rPr>
                <w:sz w:val="20"/>
                <w:szCs w:val="20"/>
              </w:rPr>
              <w:t>%</w:t>
            </w:r>
          </w:p>
        </w:tc>
      </w:tr>
      <w:tr w:rsidR="00CC3451" w14:paraId="1527BD8D" w14:textId="77777777" w:rsidTr="006577FD">
        <w:tc>
          <w:tcPr>
            <w:tcW w:w="1215" w:type="pct"/>
          </w:tcPr>
          <w:p w14:paraId="1894A2CD" w14:textId="77777777" w:rsidR="00CC3451" w:rsidRPr="00232A29" w:rsidRDefault="00CC3451" w:rsidP="006577FD">
            <w:pPr>
              <w:jc w:val="center"/>
              <w:rPr>
                <w:sz w:val="20"/>
                <w:szCs w:val="20"/>
              </w:rPr>
            </w:pPr>
            <w:r w:rsidRPr="00232A29">
              <w:rPr>
                <w:sz w:val="20"/>
                <w:szCs w:val="20"/>
              </w:rPr>
              <w:t>None</w:t>
            </w:r>
          </w:p>
        </w:tc>
        <w:tc>
          <w:tcPr>
            <w:tcW w:w="1274" w:type="pct"/>
          </w:tcPr>
          <w:p w14:paraId="19365649" w14:textId="57A05BE2" w:rsidR="00CC3451" w:rsidRPr="00232A29" w:rsidRDefault="00CC3451" w:rsidP="006577FD">
            <w:pPr>
              <w:jc w:val="center"/>
              <w:rPr>
                <w:sz w:val="20"/>
                <w:szCs w:val="20"/>
              </w:rPr>
            </w:pPr>
            <w:r w:rsidRPr="00232A29">
              <w:rPr>
                <w:sz w:val="20"/>
                <w:szCs w:val="20"/>
              </w:rPr>
              <w:t>10</w:t>
            </w:r>
            <w:r w:rsidR="00203310">
              <w:rPr>
                <w:sz w:val="20"/>
                <w:szCs w:val="20"/>
              </w:rPr>
              <w:t xml:space="preserve"> microgram</w:t>
            </w:r>
          </w:p>
        </w:tc>
        <w:tc>
          <w:tcPr>
            <w:tcW w:w="1274" w:type="pct"/>
          </w:tcPr>
          <w:p w14:paraId="5498F0C1" w14:textId="77777777" w:rsidR="00CC3451" w:rsidRPr="00232A29" w:rsidRDefault="00CC3451" w:rsidP="006577FD">
            <w:pPr>
              <w:jc w:val="center"/>
              <w:rPr>
                <w:sz w:val="20"/>
                <w:szCs w:val="20"/>
              </w:rPr>
            </w:pPr>
            <w:r w:rsidRPr="00232A29">
              <w:rPr>
                <w:sz w:val="20"/>
                <w:szCs w:val="20"/>
              </w:rPr>
              <w:t>9,513</w:t>
            </w:r>
          </w:p>
        </w:tc>
        <w:tc>
          <w:tcPr>
            <w:tcW w:w="1237" w:type="pct"/>
          </w:tcPr>
          <w:p w14:paraId="0A590BD6" w14:textId="27785548" w:rsidR="00CC3451" w:rsidRPr="00232A29" w:rsidRDefault="00CC3451" w:rsidP="006577FD">
            <w:pPr>
              <w:jc w:val="center"/>
              <w:rPr>
                <w:sz w:val="20"/>
                <w:szCs w:val="20"/>
              </w:rPr>
            </w:pPr>
            <w:r w:rsidRPr="00232A29">
              <w:rPr>
                <w:sz w:val="20"/>
                <w:szCs w:val="20"/>
              </w:rPr>
              <w:t>2.7</w:t>
            </w:r>
            <w:r w:rsidR="002E4E69">
              <w:rPr>
                <w:sz w:val="20"/>
                <w:szCs w:val="20"/>
              </w:rPr>
              <w:t xml:space="preserve"> </w:t>
            </w:r>
            <w:r w:rsidRPr="00232A29">
              <w:rPr>
                <w:sz w:val="20"/>
                <w:szCs w:val="20"/>
              </w:rPr>
              <w:t>%</w:t>
            </w:r>
          </w:p>
        </w:tc>
      </w:tr>
      <w:tr w:rsidR="00CC3451" w14:paraId="11CB5A0D" w14:textId="77777777" w:rsidTr="006577FD">
        <w:tc>
          <w:tcPr>
            <w:tcW w:w="1215" w:type="pct"/>
          </w:tcPr>
          <w:p w14:paraId="309F9587" w14:textId="29E53D0A" w:rsidR="00CC3451" w:rsidRPr="00232A29" w:rsidRDefault="00CC3451" w:rsidP="006577FD">
            <w:pPr>
              <w:jc w:val="center"/>
              <w:rPr>
                <w:sz w:val="20"/>
                <w:szCs w:val="20"/>
              </w:rPr>
            </w:pPr>
            <w:r w:rsidRPr="00232A29">
              <w:rPr>
                <w:sz w:val="20"/>
                <w:szCs w:val="20"/>
              </w:rPr>
              <w:t>10</w:t>
            </w:r>
            <w:r w:rsidR="00203310">
              <w:rPr>
                <w:sz w:val="20"/>
                <w:szCs w:val="20"/>
              </w:rPr>
              <w:t xml:space="preserve"> microgram</w:t>
            </w:r>
          </w:p>
        </w:tc>
        <w:tc>
          <w:tcPr>
            <w:tcW w:w="1274" w:type="pct"/>
          </w:tcPr>
          <w:p w14:paraId="75382492" w14:textId="3DF1D541" w:rsidR="00CC3451" w:rsidRPr="00232A29" w:rsidRDefault="00CC3451" w:rsidP="006577FD">
            <w:pPr>
              <w:jc w:val="center"/>
              <w:rPr>
                <w:sz w:val="20"/>
                <w:szCs w:val="20"/>
              </w:rPr>
            </w:pPr>
            <w:r w:rsidRPr="00232A29">
              <w:rPr>
                <w:sz w:val="20"/>
                <w:szCs w:val="20"/>
              </w:rPr>
              <w:t>10</w:t>
            </w:r>
            <w:r w:rsidR="00203310">
              <w:rPr>
                <w:sz w:val="20"/>
                <w:szCs w:val="20"/>
              </w:rPr>
              <w:t xml:space="preserve"> microgram</w:t>
            </w:r>
          </w:p>
        </w:tc>
        <w:tc>
          <w:tcPr>
            <w:tcW w:w="1274" w:type="pct"/>
          </w:tcPr>
          <w:p w14:paraId="05DFEEA7" w14:textId="77777777" w:rsidR="00CC3451" w:rsidRPr="00232A29" w:rsidRDefault="00CC3451" w:rsidP="006577FD">
            <w:pPr>
              <w:jc w:val="center"/>
              <w:rPr>
                <w:sz w:val="20"/>
                <w:szCs w:val="20"/>
              </w:rPr>
            </w:pPr>
            <w:r w:rsidRPr="00232A29">
              <w:rPr>
                <w:sz w:val="20"/>
                <w:szCs w:val="20"/>
              </w:rPr>
              <w:t>222,273</w:t>
            </w:r>
          </w:p>
        </w:tc>
        <w:tc>
          <w:tcPr>
            <w:tcW w:w="1237" w:type="pct"/>
          </w:tcPr>
          <w:p w14:paraId="7AD328A6" w14:textId="4E6C6B85" w:rsidR="00CC3451" w:rsidRPr="00232A29" w:rsidRDefault="00CC3451" w:rsidP="006577FD">
            <w:pPr>
              <w:jc w:val="center"/>
              <w:rPr>
                <w:sz w:val="20"/>
                <w:szCs w:val="20"/>
              </w:rPr>
            </w:pPr>
            <w:r w:rsidRPr="00232A29">
              <w:rPr>
                <w:sz w:val="20"/>
                <w:szCs w:val="20"/>
              </w:rPr>
              <w:t>64.1</w:t>
            </w:r>
            <w:r w:rsidR="002E4E69">
              <w:rPr>
                <w:sz w:val="20"/>
                <w:szCs w:val="20"/>
              </w:rPr>
              <w:t xml:space="preserve"> </w:t>
            </w:r>
            <w:r w:rsidRPr="00232A29">
              <w:rPr>
                <w:sz w:val="20"/>
                <w:szCs w:val="20"/>
              </w:rPr>
              <w:t>%</w:t>
            </w:r>
          </w:p>
        </w:tc>
      </w:tr>
      <w:tr w:rsidR="00CC3451" w14:paraId="2CAEBC6A" w14:textId="77777777" w:rsidTr="006577FD">
        <w:tc>
          <w:tcPr>
            <w:tcW w:w="1215" w:type="pct"/>
          </w:tcPr>
          <w:p w14:paraId="414A4DDC" w14:textId="5A636B65" w:rsidR="00CC3451" w:rsidRPr="00232A29" w:rsidRDefault="00CC3451" w:rsidP="006577FD">
            <w:pPr>
              <w:jc w:val="center"/>
              <w:rPr>
                <w:sz w:val="20"/>
                <w:szCs w:val="20"/>
              </w:rPr>
            </w:pPr>
            <w:r w:rsidRPr="00232A29">
              <w:rPr>
                <w:sz w:val="20"/>
                <w:szCs w:val="20"/>
              </w:rPr>
              <w:t>10</w:t>
            </w:r>
            <w:r w:rsidR="00203310">
              <w:rPr>
                <w:sz w:val="20"/>
                <w:szCs w:val="20"/>
              </w:rPr>
              <w:t xml:space="preserve"> microgram</w:t>
            </w:r>
          </w:p>
        </w:tc>
        <w:tc>
          <w:tcPr>
            <w:tcW w:w="1274" w:type="pct"/>
          </w:tcPr>
          <w:p w14:paraId="5A99C00B" w14:textId="018EE487" w:rsidR="00CC3451" w:rsidRPr="00232A29" w:rsidRDefault="00CC3451" w:rsidP="006577FD">
            <w:pPr>
              <w:jc w:val="center"/>
              <w:rPr>
                <w:sz w:val="20"/>
                <w:szCs w:val="20"/>
              </w:rPr>
            </w:pPr>
            <w:r w:rsidRPr="00232A29">
              <w:rPr>
                <w:sz w:val="20"/>
                <w:szCs w:val="20"/>
              </w:rPr>
              <w:t>5</w:t>
            </w:r>
            <w:r w:rsidR="00203310">
              <w:rPr>
                <w:sz w:val="20"/>
                <w:szCs w:val="20"/>
              </w:rPr>
              <w:t xml:space="preserve"> microgram</w:t>
            </w:r>
          </w:p>
        </w:tc>
        <w:tc>
          <w:tcPr>
            <w:tcW w:w="1274" w:type="pct"/>
          </w:tcPr>
          <w:p w14:paraId="57695F01" w14:textId="77777777" w:rsidR="00CC3451" w:rsidRPr="00232A29" w:rsidRDefault="00CC3451" w:rsidP="006577FD">
            <w:pPr>
              <w:jc w:val="center"/>
              <w:rPr>
                <w:sz w:val="20"/>
                <w:szCs w:val="20"/>
              </w:rPr>
            </w:pPr>
            <w:r w:rsidRPr="00232A29">
              <w:rPr>
                <w:sz w:val="20"/>
                <w:szCs w:val="20"/>
              </w:rPr>
              <w:t>6,157</w:t>
            </w:r>
          </w:p>
        </w:tc>
        <w:tc>
          <w:tcPr>
            <w:tcW w:w="1237" w:type="pct"/>
          </w:tcPr>
          <w:p w14:paraId="006E909E" w14:textId="3065A848" w:rsidR="00CC3451" w:rsidRPr="00232A29" w:rsidRDefault="00CC3451" w:rsidP="006577FD">
            <w:pPr>
              <w:jc w:val="center"/>
              <w:rPr>
                <w:sz w:val="20"/>
                <w:szCs w:val="20"/>
              </w:rPr>
            </w:pPr>
            <w:r w:rsidRPr="00232A29">
              <w:rPr>
                <w:sz w:val="20"/>
                <w:szCs w:val="20"/>
              </w:rPr>
              <w:t>1.8</w:t>
            </w:r>
            <w:r w:rsidR="002E4E69">
              <w:rPr>
                <w:sz w:val="20"/>
                <w:szCs w:val="20"/>
              </w:rPr>
              <w:t xml:space="preserve"> </w:t>
            </w:r>
            <w:r w:rsidRPr="00232A29">
              <w:rPr>
                <w:sz w:val="20"/>
                <w:szCs w:val="20"/>
              </w:rPr>
              <w:t>%</w:t>
            </w:r>
          </w:p>
        </w:tc>
      </w:tr>
    </w:tbl>
    <w:p w14:paraId="1BCD4481" w14:textId="77777777" w:rsidR="0097159F" w:rsidRDefault="0097159F" w:rsidP="0097159F"/>
    <w:p w14:paraId="532FC7E1" w14:textId="67AF2731" w:rsidR="00A1624B" w:rsidRDefault="003125FF" w:rsidP="0097159F">
      <w:r>
        <w:t xml:space="preserve">As can be seen in </w:t>
      </w:r>
      <w:r w:rsidR="00A1624B">
        <w:t>Table 8</w:t>
      </w:r>
      <w:r>
        <w:t>,</w:t>
      </w:r>
      <w:r w:rsidR="00A1624B">
        <w:t xml:space="preserve"> most prescriptions (64.1</w:t>
      </w:r>
      <w:r w:rsidR="0097159F">
        <w:t xml:space="preserve"> </w:t>
      </w:r>
      <w:r w:rsidR="00A1624B">
        <w:t>%) are for continuing treatment on 10</w:t>
      </w:r>
      <w:r w:rsidR="000613F7">
        <w:t xml:space="preserve"> </w:t>
      </w:r>
      <w:r w:rsidR="0097159F">
        <w:t>microgram</w:t>
      </w:r>
      <w:r w:rsidR="00A1624B">
        <w:t xml:space="preserve">. </w:t>
      </w:r>
      <w:r w:rsidR="00A52B8E">
        <w:t xml:space="preserve"> </w:t>
      </w:r>
      <w:r w:rsidR="00A1624B">
        <w:t>However there are some sequences not accounted for in the submission that would have contributed to the greater than expected utilisation of the 5</w:t>
      </w:r>
      <w:r w:rsidR="00147BF0">
        <w:t xml:space="preserve"> </w:t>
      </w:r>
      <w:r w:rsidR="0097159F">
        <w:t>microgram</w:t>
      </w:r>
      <w:r w:rsidR="00A1624B">
        <w:t xml:space="preserve"> strength. These are;</w:t>
      </w:r>
    </w:p>
    <w:p w14:paraId="6B13F706" w14:textId="2E5C3D05" w:rsidR="00A1624B" w:rsidRDefault="00A1624B" w:rsidP="0097159F">
      <w:pPr>
        <w:pStyle w:val="ListParagraph"/>
        <w:numPr>
          <w:ilvl w:val="0"/>
          <w:numId w:val="12"/>
        </w:numPr>
      </w:pPr>
      <w:r>
        <w:t>5</w:t>
      </w:r>
      <w:r w:rsidR="00147BF0">
        <w:t xml:space="preserve"> </w:t>
      </w:r>
      <w:r w:rsidR="0097159F">
        <w:t>microgram</w:t>
      </w:r>
      <w:r>
        <w:t xml:space="preserve"> →</w:t>
      </w:r>
      <w:r w:rsidR="00691147">
        <w:t xml:space="preserve"> 5</w:t>
      </w:r>
      <w:r w:rsidR="00147BF0">
        <w:t xml:space="preserve"> </w:t>
      </w:r>
      <w:r w:rsidR="0097159F">
        <w:t>microgram</w:t>
      </w:r>
      <w:r w:rsidR="00691147">
        <w:t xml:space="preserve"> (19.3</w:t>
      </w:r>
      <w:r w:rsidR="009C6CCD">
        <w:t xml:space="preserve"> </w:t>
      </w:r>
      <w:r w:rsidR="00691147">
        <w:t>%)</w:t>
      </w:r>
      <w:r>
        <w:t>, continuation on 5</w:t>
      </w:r>
      <w:r w:rsidR="00385A05">
        <w:t xml:space="preserve"> </w:t>
      </w:r>
      <w:r w:rsidR="0097159F">
        <w:t>microgram</w:t>
      </w:r>
      <w:r>
        <w:t xml:space="preserve">; and </w:t>
      </w:r>
    </w:p>
    <w:p w14:paraId="77F89DC8" w14:textId="239DA489" w:rsidR="00A1624B" w:rsidRDefault="00A1624B" w:rsidP="0097159F">
      <w:pPr>
        <w:pStyle w:val="ListParagraph"/>
        <w:numPr>
          <w:ilvl w:val="0"/>
          <w:numId w:val="12"/>
        </w:numPr>
      </w:pPr>
      <w:r>
        <w:t>10</w:t>
      </w:r>
      <w:r w:rsidR="00147BF0">
        <w:t xml:space="preserve"> </w:t>
      </w:r>
      <w:r w:rsidR="0097159F">
        <w:t>microgram</w:t>
      </w:r>
      <w:r>
        <w:t xml:space="preserve"> → 5</w:t>
      </w:r>
      <w:r w:rsidR="00147BF0">
        <w:t xml:space="preserve"> </w:t>
      </w:r>
      <w:r w:rsidR="0097159F">
        <w:t>microgram</w:t>
      </w:r>
      <w:r>
        <w:t xml:space="preserve"> (1.8</w:t>
      </w:r>
      <w:r w:rsidR="009C6CCD">
        <w:t xml:space="preserve"> </w:t>
      </w:r>
      <w:r>
        <w:t>%), down titrating from 10</w:t>
      </w:r>
      <w:r w:rsidR="00385A05">
        <w:t xml:space="preserve"> </w:t>
      </w:r>
      <w:r w:rsidR="0097159F">
        <w:t>microgram</w:t>
      </w:r>
      <w:r>
        <w:t xml:space="preserve"> to 5</w:t>
      </w:r>
      <w:r w:rsidR="00147BF0">
        <w:t xml:space="preserve"> </w:t>
      </w:r>
      <w:r w:rsidR="0097159F">
        <w:t>microgram</w:t>
      </w:r>
      <w:r>
        <w:t>.</w:t>
      </w:r>
    </w:p>
    <w:p w14:paraId="17CA048F" w14:textId="3077B5C2" w:rsidR="00A1624B" w:rsidRDefault="00A1624B" w:rsidP="0097159F">
      <w:r>
        <w:t>Some patients (2.7</w:t>
      </w:r>
      <w:r w:rsidR="009C6CCD">
        <w:t xml:space="preserve"> </w:t>
      </w:r>
      <w:r>
        <w:t xml:space="preserve">%) also received the 10 </w:t>
      </w:r>
      <w:r w:rsidR="0097159F">
        <w:t>microgram</w:t>
      </w:r>
      <w:r>
        <w:t xml:space="preserve"> strength as their first PBS prescription. </w:t>
      </w:r>
      <w:r w:rsidR="00A52B8E">
        <w:t xml:space="preserve"> </w:t>
      </w:r>
      <w:r>
        <w:t>These patients may have been on private prescription of exenatide prior to listing or have initiated in hospital and therefore titration not captured in the PBS data.</w:t>
      </w:r>
    </w:p>
    <w:p w14:paraId="3C1DA203" w14:textId="5ADE6E51" w:rsidR="00A1624B" w:rsidRDefault="00A1624B" w:rsidP="0097159F">
      <w:r>
        <w:t>Overall, approximately one quarter of the 5 </w:t>
      </w:r>
      <w:r w:rsidR="0097159F">
        <w:t>microgram</w:t>
      </w:r>
      <w:r>
        <w:t xml:space="preserve"> prescriptions were for initiation and titration and the remaining three quarters for ongoing therapy explaining the difference in predicted versu</w:t>
      </w:r>
      <w:r w:rsidR="00231048">
        <w:t>s actual estimates by strength.</w:t>
      </w:r>
      <w:r w:rsidR="008C481E">
        <w:t xml:space="preserve">  The </w:t>
      </w:r>
      <w:r w:rsidR="008C481E" w:rsidRPr="008C481E">
        <w:t xml:space="preserve">DUSC suggested that the higher than </w:t>
      </w:r>
      <w:r w:rsidR="008C481E" w:rsidRPr="008C481E">
        <w:lastRenderedPageBreak/>
        <w:t>expected use of the 5 microgram strength may also be because of some combination u</w:t>
      </w:r>
      <w:r w:rsidR="008C481E">
        <w:t xml:space="preserve">se as an insulin sparing agent.  </w:t>
      </w:r>
      <w:r w:rsidR="008C481E" w:rsidRPr="008C481E">
        <w:t>The extent of this could not be assessed because whilst the analysis reported the extent of co</w:t>
      </w:r>
      <w:r w:rsidR="00B141C5">
        <w:t>-</w:t>
      </w:r>
      <w:r w:rsidR="008C481E" w:rsidRPr="008C481E">
        <w:t>administration of exenatide with insulin</w:t>
      </w:r>
      <w:r w:rsidR="00B21A3C">
        <w:t xml:space="preserve"> (see Figure 5 and Table 10)</w:t>
      </w:r>
      <w:r w:rsidR="008C481E" w:rsidRPr="008C481E">
        <w:t>, this analysis was not performed for the separate strengths of exenatide.</w:t>
      </w:r>
    </w:p>
    <w:p w14:paraId="54CB0CDF" w14:textId="7A472E1D" w:rsidR="00F30E28" w:rsidRDefault="006953D0" w:rsidP="0097159F">
      <w:r>
        <w:t xml:space="preserve">The </w:t>
      </w:r>
      <w:r w:rsidRPr="006953D0">
        <w:t xml:space="preserve">DUSC had previously suggested (October 2012) that a possible reason for the higher than expected use of the 5 microgram strength could be the adverse event profile, particularly nausea. </w:t>
      </w:r>
      <w:r w:rsidR="004D3957">
        <w:t xml:space="preserve"> </w:t>
      </w:r>
      <w:r w:rsidRPr="006953D0">
        <w:t>The DUSC noted that the current analysis did not suggest a significant amount of co</w:t>
      </w:r>
      <w:r w:rsidR="00D05199">
        <w:t>-</w:t>
      </w:r>
      <w:r w:rsidRPr="006953D0">
        <w:t>administration of exenatide and antiemetics</w:t>
      </w:r>
      <w:r w:rsidR="00D05199">
        <w:t xml:space="preserve"> (see Table 12 and Figure 7)</w:t>
      </w:r>
      <w:r w:rsidRPr="006953D0">
        <w:t xml:space="preserve">, and that if nausea was experienced while on exenatide therapy that it was not being treated with </w:t>
      </w:r>
      <w:r w:rsidR="0008549E">
        <w:t xml:space="preserve">PBS subsidised </w:t>
      </w:r>
      <w:r w:rsidRPr="006953D0">
        <w:t>pharmacotherapy.</w:t>
      </w:r>
    </w:p>
    <w:p w14:paraId="103A26AF" w14:textId="204B8246" w:rsidR="008F74C9" w:rsidRDefault="00F62DE2" w:rsidP="008F74C9">
      <w:pPr>
        <w:spacing w:before="200" w:after="0"/>
      </w:pPr>
      <w:r>
        <w:t xml:space="preserve">The predicted versus actual R/PBS expenditure for exenatide in the first three years of listing is shown in Table 9.  </w:t>
      </w:r>
      <w:r w:rsidR="006C2CDF">
        <w:t>The figures are based on the published price and the date of supply.</w:t>
      </w:r>
    </w:p>
    <w:p w14:paraId="13171394" w14:textId="77777777" w:rsidR="002A17EC" w:rsidRDefault="002A17EC" w:rsidP="002A17EC">
      <w:pPr>
        <w:pStyle w:val="Tabletitle"/>
      </w:pPr>
      <w:r w:rsidRPr="00B609F8">
        <w:t xml:space="preserve">Table </w:t>
      </w:r>
      <w:r>
        <w:t>9:</w:t>
      </w:r>
      <w:r w:rsidRPr="00B609F8">
        <w:t xml:space="preserve"> </w:t>
      </w:r>
      <w:r w:rsidRPr="00232A29">
        <w:t>Predicted vs Actual</w:t>
      </w:r>
      <w:r w:rsidRPr="00B609F8">
        <w:t xml:space="preserve"> R/PBS expenditure (</w:t>
      </w:r>
      <w:r>
        <w:t>published, date of supply</w:t>
      </w:r>
      <w:r w:rsidRPr="00B609F8">
        <w:t>)</w:t>
      </w:r>
    </w:p>
    <w:tbl>
      <w:tblPr>
        <w:tblStyle w:val="TableGrid2"/>
        <w:tblW w:w="4906" w:type="pct"/>
        <w:tblInd w:w="108" w:type="dxa"/>
        <w:tblLook w:val="04A0" w:firstRow="1" w:lastRow="0" w:firstColumn="1" w:lastColumn="0" w:noHBand="0" w:noVBand="1"/>
        <w:tblCaption w:val="Table 9: Predicted versus Actual RPBS and PBS expenditure for exenatide in the first three years of listing"/>
      </w:tblPr>
      <w:tblGrid>
        <w:gridCol w:w="2925"/>
        <w:gridCol w:w="2047"/>
        <w:gridCol w:w="2047"/>
        <w:gridCol w:w="1982"/>
      </w:tblGrid>
      <w:tr w:rsidR="002A17EC" w:rsidRPr="00B609F8" w14:paraId="079A356A" w14:textId="77777777" w:rsidTr="00B962CB">
        <w:trPr>
          <w:tblHeader/>
        </w:trPr>
        <w:tc>
          <w:tcPr>
            <w:tcW w:w="1624" w:type="pct"/>
            <w:shd w:val="clear" w:color="auto" w:fill="BFBFBF" w:themeFill="background1" w:themeFillShade="BF"/>
          </w:tcPr>
          <w:p w14:paraId="7756C744" w14:textId="77777777" w:rsidR="002A17EC" w:rsidRPr="00232A29" w:rsidRDefault="002A17EC" w:rsidP="006577FD">
            <w:pPr>
              <w:rPr>
                <w:rFonts w:eastAsia="Calibri" w:cs="Arial"/>
                <w:b/>
                <w:sz w:val="20"/>
                <w:szCs w:val="20"/>
              </w:rPr>
            </w:pPr>
          </w:p>
        </w:tc>
        <w:tc>
          <w:tcPr>
            <w:tcW w:w="1137" w:type="pct"/>
            <w:shd w:val="clear" w:color="auto" w:fill="BFBFBF" w:themeFill="background1" w:themeFillShade="BF"/>
            <w:vAlign w:val="center"/>
          </w:tcPr>
          <w:p w14:paraId="572765E0" w14:textId="77777777" w:rsidR="002A17EC" w:rsidRPr="00232A29" w:rsidRDefault="002A17EC" w:rsidP="006577FD">
            <w:pPr>
              <w:jc w:val="center"/>
              <w:rPr>
                <w:rFonts w:ascii="Calibri" w:hAnsi="Calibri"/>
                <w:b/>
                <w:color w:val="000000"/>
                <w:sz w:val="20"/>
                <w:szCs w:val="20"/>
              </w:rPr>
            </w:pPr>
            <w:r w:rsidRPr="00232A29">
              <w:rPr>
                <w:rFonts w:ascii="Calibri" w:hAnsi="Calibri"/>
                <w:b/>
                <w:color w:val="000000"/>
                <w:sz w:val="20"/>
                <w:szCs w:val="20"/>
              </w:rPr>
              <w:t>Year 1</w:t>
            </w:r>
          </w:p>
        </w:tc>
        <w:tc>
          <w:tcPr>
            <w:tcW w:w="1137" w:type="pct"/>
            <w:shd w:val="clear" w:color="auto" w:fill="BFBFBF" w:themeFill="background1" w:themeFillShade="BF"/>
            <w:vAlign w:val="center"/>
          </w:tcPr>
          <w:p w14:paraId="1D7C2B0D" w14:textId="77777777" w:rsidR="002A17EC" w:rsidRPr="00232A29" w:rsidRDefault="002A17EC" w:rsidP="006577FD">
            <w:pPr>
              <w:jc w:val="center"/>
              <w:rPr>
                <w:rFonts w:ascii="Calibri" w:hAnsi="Calibri"/>
                <w:b/>
                <w:color w:val="000000"/>
                <w:sz w:val="20"/>
                <w:szCs w:val="20"/>
              </w:rPr>
            </w:pPr>
            <w:r w:rsidRPr="00232A29">
              <w:rPr>
                <w:rFonts w:ascii="Calibri" w:hAnsi="Calibri"/>
                <w:b/>
                <w:color w:val="000000"/>
                <w:sz w:val="20"/>
                <w:szCs w:val="20"/>
              </w:rPr>
              <w:t>Year 2</w:t>
            </w:r>
          </w:p>
        </w:tc>
        <w:tc>
          <w:tcPr>
            <w:tcW w:w="1101" w:type="pct"/>
            <w:shd w:val="clear" w:color="auto" w:fill="BFBFBF" w:themeFill="background1" w:themeFillShade="BF"/>
            <w:vAlign w:val="center"/>
          </w:tcPr>
          <w:p w14:paraId="3F8C620C" w14:textId="77777777" w:rsidR="002A17EC" w:rsidRPr="00232A29" w:rsidRDefault="002A17EC" w:rsidP="006577FD">
            <w:pPr>
              <w:jc w:val="center"/>
              <w:rPr>
                <w:rFonts w:ascii="Calibri" w:hAnsi="Calibri"/>
                <w:b/>
                <w:color w:val="000000"/>
                <w:sz w:val="20"/>
                <w:szCs w:val="20"/>
              </w:rPr>
            </w:pPr>
            <w:r w:rsidRPr="00232A29">
              <w:rPr>
                <w:rFonts w:ascii="Calibri" w:hAnsi="Calibri"/>
                <w:b/>
                <w:color w:val="000000"/>
                <w:sz w:val="20"/>
                <w:szCs w:val="20"/>
              </w:rPr>
              <w:t>Year 3</w:t>
            </w:r>
          </w:p>
        </w:tc>
      </w:tr>
      <w:tr w:rsidR="002A17EC" w:rsidRPr="00B609F8" w14:paraId="0A7335C5" w14:textId="77777777" w:rsidTr="00B962CB">
        <w:trPr>
          <w:tblHeader/>
        </w:trPr>
        <w:tc>
          <w:tcPr>
            <w:tcW w:w="1624" w:type="pct"/>
            <w:shd w:val="clear" w:color="auto" w:fill="BFBFBF" w:themeFill="background1" w:themeFillShade="BF"/>
          </w:tcPr>
          <w:p w14:paraId="41FFC8D3" w14:textId="77777777" w:rsidR="002A17EC" w:rsidRPr="00232A29" w:rsidRDefault="002A17EC" w:rsidP="006577FD">
            <w:pPr>
              <w:rPr>
                <w:rFonts w:eastAsia="Calibri" w:cs="Arial"/>
                <w:b/>
                <w:sz w:val="20"/>
                <w:szCs w:val="20"/>
              </w:rPr>
            </w:pPr>
          </w:p>
        </w:tc>
        <w:tc>
          <w:tcPr>
            <w:tcW w:w="1137" w:type="pct"/>
            <w:shd w:val="clear" w:color="auto" w:fill="BFBFBF" w:themeFill="background1" w:themeFillShade="BF"/>
            <w:vAlign w:val="center"/>
          </w:tcPr>
          <w:p w14:paraId="0CC80BAA" w14:textId="77777777" w:rsidR="002A17EC" w:rsidRPr="00232A29" w:rsidRDefault="002A17EC" w:rsidP="006577FD">
            <w:pPr>
              <w:jc w:val="center"/>
              <w:rPr>
                <w:rFonts w:ascii="Calibri" w:hAnsi="Calibri"/>
                <w:b/>
                <w:color w:val="000000"/>
                <w:sz w:val="20"/>
                <w:szCs w:val="20"/>
              </w:rPr>
            </w:pPr>
            <w:r w:rsidRPr="00232A29">
              <w:rPr>
                <w:rFonts w:ascii="Calibri" w:hAnsi="Calibri"/>
                <w:b/>
                <w:color w:val="000000"/>
                <w:sz w:val="20"/>
                <w:szCs w:val="20"/>
              </w:rPr>
              <w:t>Aug10 to Jul11</w:t>
            </w:r>
          </w:p>
        </w:tc>
        <w:tc>
          <w:tcPr>
            <w:tcW w:w="1137" w:type="pct"/>
            <w:shd w:val="clear" w:color="auto" w:fill="BFBFBF" w:themeFill="background1" w:themeFillShade="BF"/>
            <w:vAlign w:val="center"/>
          </w:tcPr>
          <w:p w14:paraId="71743765" w14:textId="77777777" w:rsidR="002A17EC" w:rsidRPr="00232A29" w:rsidRDefault="002A17EC" w:rsidP="006577FD">
            <w:pPr>
              <w:jc w:val="center"/>
              <w:rPr>
                <w:rFonts w:ascii="Calibri" w:hAnsi="Calibri"/>
                <w:b/>
                <w:color w:val="000000"/>
                <w:sz w:val="20"/>
                <w:szCs w:val="20"/>
              </w:rPr>
            </w:pPr>
            <w:r w:rsidRPr="00232A29">
              <w:rPr>
                <w:rFonts w:ascii="Calibri" w:hAnsi="Calibri"/>
                <w:b/>
                <w:color w:val="000000"/>
                <w:sz w:val="20"/>
                <w:szCs w:val="20"/>
              </w:rPr>
              <w:t>Aug11 to Jul12</w:t>
            </w:r>
          </w:p>
        </w:tc>
        <w:tc>
          <w:tcPr>
            <w:tcW w:w="1101" w:type="pct"/>
            <w:shd w:val="clear" w:color="auto" w:fill="BFBFBF" w:themeFill="background1" w:themeFillShade="BF"/>
            <w:vAlign w:val="center"/>
          </w:tcPr>
          <w:p w14:paraId="127E1834" w14:textId="77777777" w:rsidR="002A17EC" w:rsidRPr="00232A29" w:rsidRDefault="002A17EC" w:rsidP="006577FD">
            <w:pPr>
              <w:jc w:val="center"/>
              <w:rPr>
                <w:rFonts w:ascii="Calibri" w:hAnsi="Calibri"/>
                <w:b/>
                <w:color w:val="000000"/>
                <w:sz w:val="20"/>
                <w:szCs w:val="20"/>
              </w:rPr>
            </w:pPr>
            <w:r w:rsidRPr="00232A29">
              <w:rPr>
                <w:rFonts w:ascii="Calibri" w:hAnsi="Calibri"/>
                <w:b/>
                <w:color w:val="000000"/>
                <w:sz w:val="20"/>
                <w:szCs w:val="20"/>
              </w:rPr>
              <w:t>Aug12 to Jul13</w:t>
            </w:r>
          </w:p>
        </w:tc>
      </w:tr>
      <w:tr w:rsidR="002A17EC" w:rsidRPr="00B609F8" w14:paraId="365D76ED" w14:textId="77777777" w:rsidTr="006577FD">
        <w:tc>
          <w:tcPr>
            <w:tcW w:w="1624" w:type="pct"/>
          </w:tcPr>
          <w:p w14:paraId="00E286DC" w14:textId="77777777" w:rsidR="002A17EC" w:rsidRPr="00B609F8" w:rsidRDefault="002A17EC" w:rsidP="006577FD">
            <w:pPr>
              <w:rPr>
                <w:rFonts w:eastAsia="Calibri" w:cs="Arial"/>
                <w:sz w:val="20"/>
                <w:szCs w:val="20"/>
              </w:rPr>
            </w:pPr>
            <w:r w:rsidRPr="00B609F8">
              <w:rPr>
                <w:rFonts w:eastAsia="Calibri" w:cs="Arial"/>
                <w:sz w:val="20"/>
                <w:szCs w:val="20"/>
              </w:rPr>
              <w:t>Predicted (P)</w:t>
            </w:r>
          </w:p>
        </w:tc>
        <w:tc>
          <w:tcPr>
            <w:tcW w:w="1137" w:type="pct"/>
            <w:vAlign w:val="center"/>
          </w:tcPr>
          <w:p w14:paraId="0D5C538E" w14:textId="77777777" w:rsidR="002A17EC" w:rsidRDefault="002A17EC" w:rsidP="006577FD">
            <w:pPr>
              <w:jc w:val="center"/>
              <w:rPr>
                <w:rFonts w:ascii="Calibri" w:hAnsi="Calibri"/>
                <w:color w:val="000000"/>
                <w:sz w:val="20"/>
                <w:szCs w:val="20"/>
              </w:rPr>
            </w:pPr>
            <w:r>
              <w:rPr>
                <w:rFonts w:ascii="Calibri" w:hAnsi="Calibri"/>
                <w:color w:val="000000"/>
                <w:sz w:val="20"/>
                <w:szCs w:val="20"/>
              </w:rPr>
              <w:t>$9,745,956</w:t>
            </w:r>
          </w:p>
        </w:tc>
        <w:tc>
          <w:tcPr>
            <w:tcW w:w="1137" w:type="pct"/>
            <w:vAlign w:val="center"/>
          </w:tcPr>
          <w:p w14:paraId="29FE39D1" w14:textId="77777777" w:rsidR="002A17EC" w:rsidRDefault="002A17EC" w:rsidP="006577FD">
            <w:pPr>
              <w:jc w:val="center"/>
              <w:rPr>
                <w:rFonts w:ascii="Calibri" w:hAnsi="Calibri"/>
                <w:color w:val="000000"/>
                <w:sz w:val="20"/>
                <w:szCs w:val="20"/>
              </w:rPr>
            </w:pPr>
            <w:r>
              <w:rPr>
                <w:rFonts w:ascii="Calibri" w:hAnsi="Calibri"/>
                <w:color w:val="000000"/>
                <w:sz w:val="20"/>
                <w:szCs w:val="20"/>
              </w:rPr>
              <w:t>$17,464,375</w:t>
            </w:r>
          </w:p>
        </w:tc>
        <w:tc>
          <w:tcPr>
            <w:tcW w:w="1101" w:type="pct"/>
            <w:vAlign w:val="center"/>
          </w:tcPr>
          <w:p w14:paraId="18FCD3FE" w14:textId="77777777" w:rsidR="002A17EC" w:rsidRDefault="002A17EC" w:rsidP="006577FD">
            <w:pPr>
              <w:jc w:val="center"/>
              <w:rPr>
                <w:rFonts w:ascii="Calibri" w:hAnsi="Calibri"/>
                <w:color w:val="000000"/>
                <w:sz w:val="20"/>
                <w:szCs w:val="20"/>
              </w:rPr>
            </w:pPr>
            <w:r>
              <w:rPr>
                <w:rFonts w:ascii="Calibri" w:hAnsi="Calibri"/>
                <w:color w:val="000000"/>
                <w:sz w:val="20"/>
                <w:szCs w:val="20"/>
              </w:rPr>
              <w:t>$22,465,934</w:t>
            </w:r>
          </w:p>
        </w:tc>
      </w:tr>
      <w:tr w:rsidR="002A17EC" w:rsidRPr="00B609F8" w14:paraId="514C6927" w14:textId="77777777" w:rsidTr="006577FD">
        <w:tc>
          <w:tcPr>
            <w:tcW w:w="1624" w:type="pct"/>
          </w:tcPr>
          <w:p w14:paraId="3AA83468" w14:textId="77777777" w:rsidR="002A17EC" w:rsidRPr="00B609F8" w:rsidRDefault="002A17EC" w:rsidP="006577FD">
            <w:pPr>
              <w:rPr>
                <w:rFonts w:eastAsia="Calibri" w:cs="Arial"/>
                <w:sz w:val="20"/>
                <w:szCs w:val="20"/>
              </w:rPr>
            </w:pPr>
            <w:r w:rsidRPr="00B609F8">
              <w:rPr>
                <w:rFonts w:eastAsia="Calibri" w:cs="Arial"/>
                <w:sz w:val="20"/>
                <w:szCs w:val="20"/>
              </w:rPr>
              <w:t>Actual (A)</w:t>
            </w:r>
          </w:p>
        </w:tc>
        <w:tc>
          <w:tcPr>
            <w:tcW w:w="1137" w:type="pct"/>
            <w:vAlign w:val="center"/>
          </w:tcPr>
          <w:p w14:paraId="61EF54E4" w14:textId="77777777" w:rsidR="002A17EC" w:rsidRDefault="002A17EC" w:rsidP="006577FD">
            <w:pPr>
              <w:jc w:val="center"/>
              <w:rPr>
                <w:rFonts w:ascii="Calibri" w:hAnsi="Calibri"/>
                <w:color w:val="000000"/>
                <w:sz w:val="20"/>
                <w:szCs w:val="20"/>
              </w:rPr>
            </w:pPr>
            <w:r>
              <w:rPr>
                <w:rFonts w:ascii="Calibri" w:hAnsi="Calibri"/>
                <w:color w:val="000000"/>
                <w:sz w:val="20"/>
                <w:szCs w:val="20"/>
              </w:rPr>
              <w:t>$5,367,202</w:t>
            </w:r>
          </w:p>
        </w:tc>
        <w:tc>
          <w:tcPr>
            <w:tcW w:w="1137" w:type="pct"/>
            <w:vAlign w:val="center"/>
          </w:tcPr>
          <w:p w14:paraId="3598AA3C" w14:textId="77777777" w:rsidR="002A17EC" w:rsidRDefault="002A17EC" w:rsidP="006577FD">
            <w:pPr>
              <w:jc w:val="center"/>
              <w:rPr>
                <w:rFonts w:ascii="Calibri" w:hAnsi="Calibri"/>
                <w:color w:val="000000"/>
                <w:sz w:val="20"/>
                <w:szCs w:val="20"/>
              </w:rPr>
            </w:pPr>
            <w:r>
              <w:rPr>
                <w:rFonts w:ascii="Calibri" w:hAnsi="Calibri"/>
                <w:color w:val="000000"/>
                <w:sz w:val="20"/>
                <w:szCs w:val="20"/>
              </w:rPr>
              <w:t>$13,059,861</w:t>
            </w:r>
          </w:p>
        </w:tc>
        <w:tc>
          <w:tcPr>
            <w:tcW w:w="1101" w:type="pct"/>
            <w:vAlign w:val="center"/>
          </w:tcPr>
          <w:p w14:paraId="3CC79FDB" w14:textId="77777777" w:rsidR="002A17EC" w:rsidRDefault="002A17EC" w:rsidP="006577FD">
            <w:pPr>
              <w:jc w:val="center"/>
              <w:rPr>
                <w:rFonts w:ascii="Calibri" w:hAnsi="Calibri"/>
                <w:color w:val="000000"/>
                <w:sz w:val="20"/>
                <w:szCs w:val="20"/>
              </w:rPr>
            </w:pPr>
            <w:r>
              <w:rPr>
                <w:rFonts w:ascii="Calibri" w:hAnsi="Calibri"/>
                <w:color w:val="000000"/>
                <w:sz w:val="20"/>
                <w:szCs w:val="20"/>
              </w:rPr>
              <w:t>$20,255,282</w:t>
            </w:r>
          </w:p>
        </w:tc>
      </w:tr>
      <w:tr w:rsidR="002A17EC" w:rsidRPr="00B609F8" w14:paraId="53D52FE0" w14:textId="77777777" w:rsidTr="006577FD">
        <w:tc>
          <w:tcPr>
            <w:tcW w:w="1624" w:type="pct"/>
          </w:tcPr>
          <w:p w14:paraId="7B6AD9C7" w14:textId="77777777" w:rsidR="002A17EC" w:rsidRPr="00B609F8" w:rsidRDefault="002A17EC" w:rsidP="006577FD">
            <w:pPr>
              <w:rPr>
                <w:rFonts w:eastAsia="Calibri" w:cs="Arial"/>
                <w:sz w:val="20"/>
                <w:szCs w:val="20"/>
              </w:rPr>
            </w:pPr>
            <w:r w:rsidRPr="00B609F8">
              <w:rPr>
                <w:rFonts w:eastAsia="Calibri" w:cs="Arial"/>
                <w:sz w:val="20"/>
                <w:szCs w:val="20"/>
              </w:rPr>
              <w:t>Difference</w:t>
            </w:r>
            <w:r>
              <w:rPr>
                <w:rFonts w:eastAsia="Calibri" w:cs="Arial"/>
                <w:sz w:val="20"/>
                <w:szCs w:val="20"/>
              </w:rPr>
              <w:t xml:space="preserve"> </w:t>
            </w:r>
            <w:r w:rsidRPr="00B609F8">
              <w:rPr>
                <w:rFonts w:eastAsia="Calibri" w:cs="Arial"/>
                <w:sz w:val="20"/>
                <w:szCs w:val="20"/>
              </w:rPr>
              <w:t>(A-P)</w:t>
            </w:r>
          </w:p>
        </w:tc>
        <w:tc>
          <w:tcPr>
            <w:tcW w:w="1137" w:type="pct"/>
            <w:vAlign w:val="center"/>
          </w:tcPr>
          <w:p w14:paraId="4D31949D" w14:textId="77777777" w:rsidR="002A17EC" w:rsidRDefault="002A17EC" w:rsidP="006577FD">
            <w:pPr>
              <w:jc w:val="center"/>
              <w:rPr>
                <w:rFonts w:ascii="Calibri" w:hAnsi="Calibri"/>
                <w:color w:val="000000"/>
                <w:sz w:val="20"/>
                <w:szCs w:val="20"/>
              </w:rPr>
            </w:pPr>
            <w:r>
              <w:rPr>
                <w:rFonts w:ascii="Calibri" w:hAnsi="Calibri"/>
                <w:color w:val="000000"/>
                <w:sz w:val="20"/>
                <w:szCs w:val="20"/>
              </w:rPr>
              <w:t>-$4,378,754</w:t>
            </w:r>
          </w:p>
        </w:tc>
        <w:tc>
          <w:tcPr>
            <w:tcW w:w="1137" w:type="pct"/>
            <w:vAlign w:val="center"/>
          </w:tcPr>
          <w:p w14:paraId="021F257A" w14:textId="77777777" w:rsidR="002A17EC" w:rsidRDefault="002A17EC" w:rsidP="006577FD">
            <w:pPr>
              <w:jc w:val="center"/>
              <w:rPr>
                <w:rFonts w:ascii="Calibri" w:hAnsi="Calibri"/>
                <w:color w:val="000000"/>
                <w:sz w:val="20"/>
                <w:szCs w:val="20"/>
              </w:rPr>
            </w:pPr>
            <w:r>
              <w:rPr>
                <w:rFonts w:ascii="Calibri" w:hAnsi="Calibri"/>
                <w:color w:val="000000"/>
                <w:sz w:val="20"/>
                <w:szCs w:val="20"/>
              </w:rPr>
              <w:t>-$4,404,514</w:t>
            </w:r>
          </w:p>
        </w:tc>
        <w:tc>
          <w:tcPr>
            <w:tcW w:w="1101" w:type="pct"/>
            <w:vAlign w:val="center"/>
          </w:tcPr>
          <w:p w14:paraId="7FED7602" w14:textId="77777777" w:rsidR="002A17EC" w:rsidRDefault="002A17EC" w:rsidP="006577FD">
            <w:pPr>
              <w:jc w:val="center"/>
              <w:rPr>
                <w:rFonts w:ascii="Calibri" w:hAnsi="Calibri"/>
                <w:color w:val="000000"/>
                <w:sz w:val="20"/>
                <w:szCs w:val="20"/>
              </w:rPr>
            </w:pPr>
            <w:r>
              <w:rPr>
                <w:rFonts w:ascii="Calibri" w:hAnsi="Calibri"/>
                <w:color w:val="000000"/>
                <w:sz w:val="20"/>
                <w:szCs w:val="20"/>
              </w:rPr>
              <w:t>-$2,210,652</w:t>
            </w:r>
          </w:p>
        </w:tc>
      </w:tr>
      <w:tr w:rsidR="002A17EC" w:rsidRPr="00B609F8" w14:paraId="3E3F0173" w14:textId="77777777" w:rsidTr="006577FD">
        <w:tc>
          <w:tcPr>
            <w:tcW w:w="1624" w:type="pct"/>
          </w:tcPr>
          <w:p w14:paraId="349A8C9A" w14:textId="77777777" w:rsidR="002A17EC" w:rsidRPr="00B609F8" w:rsidRDefault="002A17EC" w:rsidP="006577FD">
            <w:pPr>
              <w:rPr>
                <w:rFonts w:eastAsia="Calibri" w:cs="Arial"/>
                <w:sz w:val="20"/>
                <w:szCs w:val="20"/>
              </w:rPr>
            </w:pPr>
            <w:r w:rsidRPr="00B609F8">
              <w:rPr>
                <w:rFonts w:eastAsia="Calibri" w:cs="Arial"/>
                <w:sz w:val="20"/>
                <w:szCs w:val="20"/>
              </w:rPr>
              <w:t xml:space="preserve">% Difference (A-P)/P </w:t>
            </w:r>
          </w:p>
        </w:tc>
        <w:tc>
          <w:tcPr>
            <w:tcW w:w="1137" w:type="pct"/>
            <w:vAlign w:val="center"/>
          </w:tcPr>
          <w:p w14:paraId="2810BCD3" w14:textId="70A2E1D0" w:rsidR="002A17EC" w:rsidRDefault="002A17EC" w:rsidP="006577FD">
            <w:pPr>
              <w:jc w:val="center"/>
              <w:rPr>
                <w:rFonts w:ascii="Calibri" w:hAnsi="Calibri"/>
                <w:color w:val="000000"/>
                <w:sz w:val="20"/>
                <w:szCs w:val="20"/>
              </w:rPr>
            </w:pPr>
            <w:r>
              <w:rPr>
                <w:rFonts w:ascii="Calibri" w:hAnsi="Calibri"/>
                <w:color w:val="000000"/>
                <w:sz w:val="20"/>
                <w:szCs w:val="20"/>
              </w:rPr>
              <w:t>-45</w:t>
            </w:r>
            <w:r w:rsidR="005C190B">
              <w:rPr>
                <w:rFonts w:ascii="Calibri" w:hAnsi="Calibri"/>
                <w:color w:val="000000"/>
                <w:sz w:val="20"/>
                <w:szCs w:val="20"/>
              </w:rPr>
              <w:t xml:space="preserve"> </w:t>
            </w:r>
            <w:r>
              <w:rPr>
                <w:rFonts w:ascii="Calibri" w:hAnsi="Calibri"/>
                <w:color w:val="000000"/>
                <w:sz w:val="20"/>
                <w:szCs w:val="20"/>
              </w:rPr>
              <w:t>%</w:t>
            </w:r>
          </w:p>
        </w:tc>
        <w:tc>
          <w:tcPr>
            <w:tcW w:w="1137" w:type="pct"/>
            <w:vAlign w:val="center"/>
          </w:tcPr>
          <w:p w14:paraId="2528AC11" w14:textId="33BDD762" w:rsidR="002A17EC" w:rsidRDefault="002A17EC" w:rsidP="006577FD">
            <w:pPr>
              <w:jc w:val="center"/>
              <w:rPr>
                <w:rFonts w:ascii="Calibri" w:hAnsi="Calibri"/>
                <w:color w:val="000000"/>
                <w:sz w:val="20"/>
                <w:szCs w:val="20"/>
              </w:rPr>
            </w:pPr>
            <w:r>
              <w:rPr>
                <w:rFonts w:ascii="Calibri" w:hAnsi="Calibri"/>
                <w:color w:val="000000"/>
                <w:sz w:val="20"/>
                <w:szCs w:val="20"/>
              </w:rPr>
              <w:t>-25</w:t>
            </w:r>
            <w:r w:rsidR="005C190B">
              <w:rPr>
                <w:rFonts w:ascii="Calibri" w:hAnsi="Calibri"/>
                <w:color w:val="000000"/>
                <w:sz w:val="20"/>
                <w:szCs w:val="20"/>
              </w:rPr>
              <w:t xml:space="preserve"> </w:t>
            </w:r>
            <w:r>
              <w:rPr>
                <w:rFonts w:ascii="Calibri" w:hAnsi="Calibri"/>
                <w:color w:val="000000"/>
                <w:sz w:val="20"/>
                <w:szCs w:val="20"/>
              </w:rPr>
              <w:t>%</w:t>
            </w:r>
          </w:p>
        </w:tc>
        <w:tc>
          <w:tcPr>
            <w:tcW w:w="1101" w:type="pct"/>
            <w:vAlign w:val="center"/>
          </w:tcPr>
          <w:p w14:paraId="245DD19C" w14:textId="14FC96F5" w:rsidR="002A17EC" w:rsidRDefault="002A17EC" w:rsidP="006577FD">
            <w:pPr>
              <w:jc w:val="center"/>
              <w:rPr>
                <w:rFonts w:ascii="Calibri" w:hAnsi="Calibri"/>
                <w:color w:val="000000"/>
                <w:sz w:val="20"/>
                <w:szCs w:val="20"/>
              </w:rPr>
            </w:pPr>
            <w:r>
              <w:rPr>
                <w:rFonts w:ascii="Calibri" w:hAnsi="Calibri"/>
                <w:color w:val="000000"/>
                <w:sz w:val="20"/>
                <w:szCs w:val="20"/>
              </w:rPr>
              <w:t>-10</w:t>
            </w:r>
            <w:r w:rsidR="005C190B">
              <w:rPr>
                <w:rFonts w:ascii="Calibri" w:hAnsi="Calibri"/>
                <w:color w:val="000000"/>
                <w:sz w:val="20"/>
                <w:szCs w:val="20"/>
              </w:rPr>
              <w:t xml:space="preserve"> </w:t>
            </w:r>
            <w:r>
              <w:rPr>
                <w:rFonts w:ascii="Calibri" w:hAnsi="Calibri"/>
                <w:color w:val="000000"/>
                <w:sz w:val="20"/>
                <w:szCs w:val="20"/>
              </w:rPr>
              <w:t>%</w:t>
            </w:r>
          </w:p>
        </w:tc>
      </w:tr>
    </w:tbl>
    <w:p w14:paraId="12275FF6" w14:textId="77777777" w:rsidR="002A17EC" w:rsidRDefault="002A17EC" w:rsidP="002A17EC">
      <w:pPr>
        <w:spacing w:after="0"/>
        <w:rPr>
          <w:rFonts w:eastAsia="Calibri" w:cs="Arial"/>
          <w:szCs w:val="20"/>
        </w:rPr>
      </w:pPr>
    </w:p>
    <w:p w14:paraId="0B992947" w14:textId="5F8FB67E" w:rsidR="002A17EC" w:rsidRDefault="002A17EC" w:rsidP="002A17EC">
      <w:r>
        <w:t xml:space="preserve">The submission predictions of expenditure were based on the published price of exenatide. </w:t>
      </w:r>
      <w:r w:rsidR="00DF138E">
        <w:t xml:space="preserve"> </w:t>
      </w:r>
      <w:r>
        <w:t>The percentage differences between predicted and actual expenditure are similar to differences for overall prescription utilisation (see Table 5).</w:t>
      </w:r>
    </w:p>
    <w:p w14:paraId="0DD13228" w14:textId="77777777" w:rsidR="002A17EC" w:rsidRDefault="002A17EC" w:rsidP="002A17EC">
      <w:r>
        <w:t>The effective expenditure was not predicted in the submission.</w:t>
      </w:r>
    </w:p>
    <w:p w14:paraId="4D68A7BA" w14:textId="77777777" w:rsidR="000F1E48" w:rsidRDefault="000F1E48" w:rsidP="00E75810">
      <w:pPr>
        <w:pStyle w:val="Heading3"/>
      </w:pPr>
      <w:r>
        <w:t>Exenatide Treatment Patterns</w:t>
      </w:r>
    </w:p>
    <w:p w14:paraId="42F77352" w14:textId="77777777" w:rsidR="000F1E48" w:rsidRDefault="000F1E48" w:rsidP="000816DB">
      <w:pPr>
        <w:pStyle w:val="Heading4"/>
      </w:pPr>
      <w:r>
        <w:t>Co-administration analysis</w:t>
      </w:r>
    </w:p>
    <w:p w14:paraId="7EF085A5" w14:textId="21CB854B" w:rsidR="002A17EC" w:rsidRDefault="000F1E48" w:rsidP="00E75810">
      <w:r>
        <w:t>The PBS restrictions for exenatide are as dual therapy with either metformin or a sulfonylurea, or as triple therapy with bot</w:t>
      </w:r>
      <w:r w:rsidR="0098009C">
        <w:t xml:space="preserve">h metformin and a sulfonylurea.  </w:t>
      </w:r>
      <w:r>
        <w:t xml:space="preserve">The restriction note specifies that exenatide is not PBS-subsidised for use as monotherapy or in combination with a gliptin, a glitazone, insulin or a sodium-glucose co-transporter 2 (SGLT2) inhibitor. </w:t>
      </w:r>
      <w:r w:rsidR="00BA16F1">
        <w:t xml:space="preserve"> </w:t>
      </w:r>
      <w:r>
        <w:t xml:space="preserve">Figure 5 shows the ten most common exenatide containing regimens. </w:t>
      </w:r>
      <w:r w:rsidR="00BA16F1">
        <w:t xml:space="preserve"> </w:t>
      </w:r>
      <w:r>
        <w:t>The data is shown from August 2012 as regimens for all patients (general, concessional and safety net) can be estimated including medicines priced below</w:t>
      </w:r>
      <w:r w:rsidR="00BA16F1">
        <w:t xml:space="preserve"> the general patient co-payment.  </w:t>
      </w:r>
      <w:r>
        <w:t>Collection of under co</w:t>
      </w:r>
      <w:r w:rsidR="00BA16F1">
        <w:t>-</w:t>
      </w:r>
      <w:r>
        <w:t>payment prescriptions by the Department of Human Services commenced in April 2012.</w:t>
      </w:r>
      <w:r w:rsidR="00C6088C">
        <w:t xml:space="preserve"> </w:t>
      </w:r>
      <w:r>
        <w:t xml:space="preserve"> Detailed methodology on the estimation of drug regimens is provided in Appendix A.</w:t>
      </w:r>
    </w:p>
    <w:p w14:paraId="0E71C775" w14:textId="77777777" w:rsidR="00A22FE8" w:rsidRDefault="00A22FE8" w:rsidP="00E75810">
      <w:pPr>
        <w:sectPr w:rsidR="00A22FE8" w:rsidSect="00945324">
          <w:headerReference w:type="even" r:id="rId23"/>
          <w:headerReference w:type="default" r:id="rId24"/>
          <w:footerReference w:type="even" r:id="rId25"/>
          <w:footerReference w:type="default" r:id="rId26"/>
          <w:headerReference w:type="first" r:id="rId27"/>
          <w:footerReference w:type="first" r:id="rId28"/>
          <w:pgSz w:w="11906" w:h="16838"/>
          <w:pgMar w:top="1644" w:right="1361" w:bottom="1644" w:left="1588" w:header="709" w:footer="709" w:gutter="0"/>
          <w:cols w:space="708"/>
          <w:docGrid w:linePitch="360"/>
        </w:sectPr>
      </w:pPr>
    </w:p>
    <w:p w14:paraId="0B9CB6D0" w14:textId="77777777" w:rsidR="00E20773" w:rsidRPr="004B2B21" w:rsidRDefault="00E20773" w:rsidP="003C5F84">
      <w:pPr>
        <w:spacing w:before="60" w:after="60"/>
      </w:pPr>
      <w:r>
        <w:rPr>
          <w:noProof/>
        </w:rPr>
        <w:lastRenderedPageBreak/>
        <w:drawing>
          <wp:inline distT="0" distB="0" distL="0" distR="0" wp14:anchorId="193346C7" wp14:editId="398A9B77">
            <wp:extent cx="8800077" cy="4001984"/>
            <wp:effectExtent l="0" t="0" r="1270" b="0"/>
            <wp:docPr id="6" name="Chart 6" title="Figure 5 depicts the top 10 regumes that contain exenatide"/>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381CDD">
        <w:rPr>
          <w:b/>
        </w:rPr>
        <w:t xml:space="preserve">Figure </w:t>
      </w:r>
      <w:r>
        <w:rPr>
          <w:b/>
        </w:rPr>
        <w:t>5</w:t>
      </w:r>
      <w:r w:rsidRPr="00381CDD">
        <w:rPr>
          <w:b/>
        </w:rPr>
        <w:t xml:space="preserve">: </w:t>
      </w:r>
      <w:r>
        <w:rPr>
          <w:b/>
        </w:rPr>
        <w:t xml:space="preserve">Top 10 exenatide containing regimens </w:t>
      </w:r>
    </w:p>
    <w:p w14:paraId="161E085B" w14:textId="2ACFF2A2" w:rsidR="00E20773" w:rsidRDefault="00E20773" w:rsidP="00E20773">
      <w:pPr>
        <w:sectPr w:rsidR="00E20773" w:rsidSect="008E68D1">
          <w:pgSz w:w="16838" w:h="11906" w:orient="landscape" w:code="9"/>
          <w:pgMar w:top="1644" w:right="1361" w:bottom="1644" w:left="1588" w:header="425" w:footer="516" w:gutter="0"/>
          <w:cols w:space="708"/>
          <w:docGrid w:linePitch="360"/>
        </w:sectPr>
      </w:pPr>
      <w:r>
        <w:t xml:space="preserve">The most common regimens are exenatide as triple therapy with metformin and a sulfonylurea and exenatide </w:t>
      </w:r>
      <w:r w:rsidR="00830EE6">
        <w:t xml:space="preserve">as dual therapy with metformin.  </w:t>
      </w:r>
      <w:r>
        <w:t>The use of exenatide with metformin and insulin is increasing and has become the third most co</w:t>
      </w:r>
      <w:r w:rsidR="00830EE6">
        <w:t xml:space="preserve">mmon regimen since August 2013.  </w:t>
      </w:r>
      <w:r>
        <w:t>This regimen is not consi</w:t>
      </w:r>
      <w:r w:rsidR="00F877BC">
        <w:t xml:space="preserve">stent with the PBS restriction.  </w:t>
      </w:r>
      <w:r>
        <w:t xml:space="preserve">Figure 5 also shows </w:t>
      </w:r>
      <w:r w:rsidRPr="00796FEE">
        <w:t>that 7 of the top 10 regimens, representing 27.9</w:t>
      </w:r>
      <w:r w:rsidR="0036453A">
        <w:t xml:space="preserve"> </w:t>
      </w:r>
      <w:r w:rsidRPr="00796FEE">
        <w:t>% of the top ten exenatide regimens at the most</w:t>
      </w:r>
      <w:r>
        <w:t xml:space="preserve"> recent time point, do not align with the PBS restrictions. T</w:t>
      </w:r>
      <w:r w:rsidR="00EB0988">
        <w:t xml:space="preserve">able 10 </w:t>
      </w:r>
      <w:r>
        <w:t>provides more details.</w:t>
      </w:r>
      <w:r w:rsidRPr="00974004">
        <w:t xml:space="preserve"> </w:t>
      </w:r>
    </w:p>
    <w:p w14:paraId="3982F044" w14:textId="77777777" w:rsidR="00573453" w:rsidRDefault="00573453" w:rsidP="002C6C0D">
      <w:pPr>
        <w:pStyle w:val="Tabletitle"/>
      </w:pPr>
      <w:r w:rsidRPr="00B609F8">
        <w:lastRenderedPageBreak/>
        <w:t xml:space="preserve">Table </w:t>
      </w:r>
      <w:r>
        <w:t xml:space="preserve">10: </w:t>
      </w:r>
      <w:r w:rsidRPr="00B609F8">
        <w:t xml:space="preserve"> </w:t>
      </w:r>
      <w:r>
        <w:t>Exenatide containing regimens (as at 8 January 2014) by therapy type and compliance with PBS restrictions</w:t>
      </w:r>
    </w:p>
    <w:tbl>
      <w:tblPr>
        <w:tblW w:w="4941" w:type="pct"/>
        <w:tblInd w:w="108" w:type="dxa"/>
        <w:tblLook w:val="04A0" w:firstRow="1" w:lastRow="0" w:firstColumn="1" w:lastColumn="0" w:noHBand="0" w:noVBand="1"/>
      </w:tblPr>
      <w:tblGrid>
        <w:gridCol w:w="1546"/>
        <w:gridCol w:w="1510"/>
        <w:gridCol w:w="4215"/>
        <w:gridCol w:w="897"/>
        <w:gridCol w:w="897"/>
      </w:tblGrid>
      <w:tr w:rsidR="00573453" w:rsidRPr="00DF32E3" w14:paraId="5D156C54" w14:textId="77777777" w:rsidTr="00573453">
        <w:trPr>
          <w:trHeight w:val="510"/>
        </w:trPr>
        <w:tc>
          <w:tcPr>
            <w:tcW w:w="852" w:type="pct"/>
            <w:tcBorders>
              <w:top w:val="nil"/>
              <w:left w:val="nil"/>
              <w:bottom w:val="single" w:sz="4" w:space="0" w:color="95B3D7"/>
              <w:right w:val="nil"/>
            </w:tcBorders>
            <w:shd w:val="clear" w:color="auto" w:fill="BFBFBF" w:themeFill="background1" w:themeFillShade="BF"/>
            <w:vAlign w:val="bottom"/>
            <w:hideMark/>
          </w:tcPr>
          <w:p w14:paraId="6F482E2D"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Compliance with PBS restriction</w:t>
            </w:r>
          </w:p>
        </w:tc>
        <w:tc>
          <w:tcPr>
            <w:tcW w:w="833" w:type="pct"/>
            <w:tcBorders>
              <w:top w:val="nil"/>
              <w:left w:val="nil"/>
              <w:bottom w:val="single" w:sz="4" w:space="0" w:color="95B3D7"/>
              <w:right w:val="nil"/>
            </w:tcBorders>
            <w:shd w:val="clear" w:color="auto" w:fill="BFBFBF" w:themeFill="background1" w:themeFillShade="BF"/>
            <w:noWrap/>
            <w:vAlign w:val="bottom"/>
            <w:hideMark/>
          </w:tcPr>
          <w:p w14:paraId="3F206D82"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 xml:space="preserve">Therapy Type </w:t>
            </w:r>
          </w:p>
        </w:tc>
        <w:tc>
          <w:tcPr>
            <w:tcW w:w="2325" w:type="pct"/>
            <w:tcBorders>
              <w:top w:val="nil"/>
              <w:left w:val="nil"/>
              <w:bottom w:val="single" w:sz="4" w:space="0" w:color="95B3D7"/>
              <w:right w:val="nil"/>
            </w:tcBorders>
            <w:shd w:val="clear" w:color="auto" w:fill="BFBFBF" w:themeFill="background1" w:themeFillShade="BF"/>
            <w:noWrap/>
            <w:vAlign w:val="bottom"/>
            <w:hideMark/>
          </w:tcPr>
          <w:p w14:paraId="5A15E320"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Drug regimen2</w:t>
            </w:r>
          </w:p>
        </w:tc>
        <w:tc>
          <w:tcPr>
            <w:tcW w:w="495" w:type="pct"/>
            <w:tcBorders>
              <w:top w:val="nil"/>
              <w:left w:val="nil"/>
              <w:bottom w:val="single" w:sz="4" w:space="0" w:color="95B3D7"/>
              <w:right w:val="nil"/>
            </w:tcBorders>
            <w:shd w:val="clear" w:color="auto" w:fill="BFBFBF" w:themeFill="background1" w:themeFillShade="BF"/>
            <w:vAlign w:val="bottom"/>
            <w:hideMark/>
          </w:tcPr>
          <w:p w14:paraId="14B726BB"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Patients</w:t>
            </w:r>
          </w:p>
        </w:tc>
        <w:tc>
          <w:tcPr>
            <w:tcW w:w="495" w:type="pct"/>
            <w:tcBorders>
              <w:top w:val="nil"/>
              <w:left w:val="nil"/>
              <w:bottom w:val="single" w:sz="4" w:space="0" w:color="95B3D7"/>
              <w:right w:val="nil"/>
            </w:tcBorders>
            <w:shd w:val="clear" w:color="auto" w:fill="BFBFBF" w:themeFill="background1" w:themeFillShade="BF"/>
            <w:vAlign w:val="bottom"/>
            <w:hideMark/>
          </w:tcPr>
          <w:p w14:paraId="5155A12F" w14:textId="77777777" w:rsidR="00573453" w:rsidRPr="00DF32E3" w:rsidRDefault="00573453" w:rsidP="006577FD">
            <w:pPr>
              <w:spacing w:after="0"/>
              <w:jc w:val="center"/>
              <w:rPr>
                <w:rFonts w:eastAsia="Times New Roman" w:cs="Times New Roman"/>
                <w:b/>
                <w:bCs/>
                <w:color w:val="000000"/>
                <w:sz w:val="20"/>
                <w:szCs w:val="20"/>
              </w:rPr>
            </w:pPr>
            <w:r w:rsidRPr="00DF32E3">
              <w:rPr>
                <w:rFonts w:eastAsia="Times New Roman" w:cs="Times New Roman"/>
                <w:b/>
                <w:bCs/>
                <w:color w:val="000000"/>
                <w:sz w:val="20"/>
                <w:szCs w:val="20"/>
              </w:rPr>
              <w:t xml:space="preserve">% Patients </w:t>
            </w:r>
          </w:p>
        </w:tc>
      </w:tr>
      <w:tr w:rsidR="00573453" w:rsidRPr="00DF32E3" w14:paraId="4D4E0DA4" w14:textId="77777777" w:rsidTr="00573453">
        <w:trPr>
          <w:trHeight w:val="510"/>
        </w:trPr>
        <w:tc>
          <w:tcPr>
            <w:tcW w:w="852" w:type="pct"/>
            <w:tcBorders>
              <w:top w:val="nil"/>
              <w:left w:val="nil"/>
              <w:bottom w:val="nil"/>
              <w:right w:val="nil"/>
            </w:tcBorders>
            <w:shd w:val="clear" w:color="auto" w:fill="auto"/>
            <w:vAlign w:val="bottom"/>
            <w:hideMark/>
          </w:tcPr>
          <w:p w14:paraId="19E9ADB5"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Within PBS restriction</w:t>
            </w:r>
          </w:p>
        </w:tc>
        <w:tc>
          <w:tcPr>
            <w:tcW w:w="833" w:type="pct"/>
            <w:tcBorders>
              <w:top w:val="nil"/>
              <w:left w:val="nil"/>
              <w:bottom w:val="nil"/>
              <w:right w:val="nil"/>
            </w:tcBorders>
            <w:shd w:val="clear" w:color="auto" w:fill="auto"/>
            <w:noWrap/>
            <w:vAlign w:val="bottom"/>
            <w:hideMark/>
          </w:tcPr>
          <w:p w14:paraId="34B9AE67"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Dual</w:t>
            </w:r>
          </w:p>
        </w:tc>
        <w:tc>
          <w:tcPr>
            <w:tcW w:w="2325" w:type="pct"/>
            <w:tcBorders>
              <w:top w:val="nil"/>
              <w:left w:val="nil"/>
              <w:bottom w:val="nil"/>
              <w:right w:val="nil"/>
            </w:tcBorders>
            <w:shd w:val="clear" w:color="auto" w:fill="auto"/>
            <w:noWrap/>
            <w:vAlign w:val="bottom"/>
            <w:hideMark/>
          </w:tcPr>
          <w:p w14:paraId="5264815B" w14:textId="77777777" w:rsidR="00573453" w:rsidRPr="004528E6" w:rsidRDefault="00573453" w:rsidP="006577FD">
            <w:pPr>
              <w:spacing w:after="0"/>
              <w:rPr>
                <w:sz w:val="20"/>
                <w:szCs w:val="20"/>
              </w:rPr>
            </w:pPr>
            <w:r w:rsidRPr="004528E6">
              <w:rPr>
                <w:sz w:val="20"/>
                <w:szCs w:val="20"/>
              </w:rPr>
              <w:t>Exenatide+Metformin</w:t>
            </w:r>
          </w:p>
        </w:tc>
        <w:tc>
          <w:tcPr>
            <w:tcW w:w="495" w:type="pct"/>
            <w:tcBorders>
              <w:top w:val="nil"/>
              <w:left w:val="nil"/>
              <w:bottom w:val="nil"/>
              <w:right w:val="nil"/>
            </w:tcBorders>
            <w:shd w:val="clear" w:color="auto" w:fill="auto"/>
            <w:noWrap/>
            <w:vAlign w:val="bottom"/>
            <w:hideMark/>
          </w:tcPr>
          <w:p w14:paraId="74C35506" w14:textId="77777777" w:rsidR="00573453" w:rsidRPr="004528E6" w:rsidRDefault="00573453" w:rsidP="006577FD">
            <w:pPr>
              <w:spacing w:after="0"/>
              <w:jc w:val="right"/>
              <w:rPr>
                <w:sz w:val="20"/>
                <w:szCs w:val="20"/>
              </w:rPr>
            </w:pPr>
            <w:r w:rsidRPr="004528E6">
              <w:rPr>
                <w:sz w:val="20"/>
                <w:szCs w:val="20"/>
              </w:rPr>
              <w:t xml:space="preserve"> 4,169 </w:t>
            </w:r>
          </w:p>
        </w:tc>
        <w:tc>
          <w:tcPr>
            <w:tcW w:w="495" w:type="pct"/>
            <w:tcBorders>
              <w:top w:val="nil"/>
              <w:left w:val="nil"/>
              <w:bottom w:val="nil"/>
              <w:right w:val="nil"/>
            </w:tcBorders>
            <w:shd w:val="clear" w:color="auto" w:fill="auto"/>
            <w:noWrap/>
            <w:vAlign w:val="bottom"/>
            <w:hideMark/>
          </w:tcPr>
          <w:p w14:paraId="04A1C6A3" w14:textId="3A48F3C6" w:rsidR="00573453" w:rsidRPr="004528E6" w:rsidRDefault="00573453" w:rsidP="006577FD">
            <w:pPr>
              <w:spacing w:after="0"/>
              <w:jc w:val="right"/>
              <w:rPr>
                <w:sz w:val="20"/>
                <w:szCs w:val="20"/>
              </w:rPr>
            </w:pPr>
            <w:r w:rsidRPr="004528E6">
              <w:rPr>
                <w:sz w:val="20"/>
                <w:szCs w:val="20"/>
              </w:rPr>
              <w:t>26.5</w:t>
            </w:r>
            <w:r w:rsidR="00913AB7">
              <w:rPr>
                <w:sz w:val="20"/>
                <w:szCs w:val="20"/>
              </w:rPr>
              <w:t xml:space="preserve"> </w:t>
            </w:r>
            <w:r w:rsidRPr="004528E6">
              <w:rPr>
                <w:sz w:val="20"/>
                <w:szCs w:val="20"/>
              </w:rPr>
              <w:t>%</w:t>
            </w:r>
          </w:p>
        </w:tc>
      </w:tr>
      <w:tr w:rsidR="00573453" w:rsidRPr="00DF32E3" w14:paraId="1734C55F" w14:textId="77777777" w:rsidTr="00573453">
        <w:trPr>
          <w:trHeight w:val="171"/>
        </w:trPr>
        <w:tc>
          <w:tcPr>
            <w:tcW w:w="852" w:type="pct"/>
            <w:tcBorders>
              <w:top w:val="nil"/>
              <w:left w:val="nil"/>
              <w:bottom w:val="nil"/>
              <w:right w:val="nil"/>
            </w:tcBorders>
            <w:shd w:val="clear" w:color="auto" w:fill="auto"/>
            <w:vAlign w:val="bottom"/>
            <w:hideMark/>
          </w:tcPr>
          <w:p w14:paraId="466E2FC8"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0C2BF861"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hideMark/>
          </w:tcPr>
          <w:p w14:paraId="0DE46A39" w14:textId="77777777" w:rsidR="00573453" w:rsidRPr="004528E6" w:rsidRDefault="00573453" w:rsidP="006577FD">
            <w:pPr>
              <w:spacing w:after="0"/>
              <w:rPr>
                <w:sz w:val="20"/>
                <w:szCs w:val="20"/>
              </w:rPr>
            </w:pPr>
            <w:r w:rsidRPr="004528E6">
              <w:rPr>
                <w:sz w:val="20"/>
                <w:szCs w:val="20"/>
              </w:rPr>
              <w:t>Exenatide+Sulfonylurea</w:t>
            </w:r>
          </w:p>
        </w:tc>
        <w:tc>
          <w:tcPr>
            <w:tcW w:w="495" w:type="pct"/>
            <w:tcBorders>
              <w:top w:val="nil"/>
              <w:left w:val="nil"/>
              <w:bottom w:val="nil"/>
              <w:right w:val="nil"/>
            </w:tcBorders>
            <w:shd w:val="clear" w:color="auto" w:fill="auto"/>
            <w:noWrap/>
            <w:vAlign w:val="center"/>
            <w:hideMark/>
          </w:tcPr>
          <w:p w14:paraId="0ECBBD0A" w14:textId="77777777" w:rsidR="00573453" w:rsidRPr="004528E6" w:rsidRDefault="00573453" w:rsidP="006577FD">
            <w:pPr>
              <w:spacing w:after="0"/>
              <w:jc w:val="right"/>
              <w:rPr>
                <w:sz w:val="20"/>
                <w:szCs w:val="20"/>
              </w:rPr>
            </w:pPr>
            <w:r w:rsidRPr="004528E6">
              <w:rPr>
                <w:sz w:val="20"/>
                <w:szCs w:val="20"/>
              </w:rPr>
              <w:t xml:space="preserve"> 818 </w:t>
            </w:r>
          </w:p>
        </w:tc>
        <w:tc>
          <w:tcPr>
            <w:tcW w:w="495" w:type="pct"/>
            <w:tcBorders>
              <w:top w:val="nil"/>
              <w:left w:val="nil"/>
              <w:bottom w:val="nil"/>
              <w:right w:val="nil"/>
            </w:tcBorders>
            <w:shd w:val="clear" w:color="auto" w:fill="auto"/>
            <w:noWrap/>
            <w:vAlign w:val="center"/>
            <w:hideMark/>
          </w:tcPr>
          <w:p w14:paraId="391FE22E" w14:textId="1BBCB984" w:rsidR="00573453" w:rsidRPr="004528E6" w:rsidRDefault="00573453" w:rsidP="006577FD">
            <w:pPr>
              <w:spacing w:after="0"/>
              <w:jc w:val="right"/>
              <w:rPr>
                <w:sz w:val="20"/>
                <w:szCs w:val="20"/>
              </w:rPr>
            </w:pPr>
            <w:r w:rsidRPr="004528E6">
              <w:rPr>
                <w:sz w:val="20"/>
                <w:szCs w:val="20"/>
              </w:rPr>
              <w:t>5.2</w:t>
            </w:r>
            <w:r w:rsidR="00913AB7">
              <w:rPr>
                <w:sz w:val="20"/>
                <w:szCs w:val="20"/>
              </w:rPr>
              <w:t xml:space="preserve"> </w:t>
            </w:r>
            <w:r w:rsidRPr="004528E6">
              <w:rPr>
                <w:sz w:val="20"/>
                <w:szCs w:val="20"/>
              </w:rPr>
              <w:t>%</w:t>
            </w:r>
          </w:p>
        </w:tc>
      </w:tr>
      <w:tr w:rsidR="00573453" w:rsidRPr="00DF32E3" w14:paraId="286F967A" w14:textId="77777777" w:rsidTr="00573453">
        <w:trPr>
          <w:trHeight w:val="255"/>
        </w:trPr>
        <w:tc>
          <w:tcPr>
            <w:tcW w:w="852" w:type="pct"/>
            <w:tcBorders>
              <w:top w:val="nil"/>
              <w:left w:val="nil"/>
              <w:bottom w:val="nil"/>
              <w:right w:val="nil"/>
            </w:tcBorders>
            <w:shd w:val="clear" w:color="auto" w:fill="auto"/>
            <w:vAlign w:val="bottom"/>
            <w:hideMark/>
          </w:tcPr>
          <w:p w14:paraId="5E848C00"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1DFBC893"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Dual Total</w:t>
            </w:r>
          </w:p>
        </w:tc>
        <w:tc>
          <w:tcPr>
            <w:tcW w:w="2325" w:type="pct"/>
            <w:tcBorders>
              <w:top w:val="nil"/>
              <w:left w:val="nil"/>
              <w:bottom w:val="nil"/>
              <w:right w:val="nil"/>
            </w:tcBorders>
            <w:shd w:val="clear" w:color="auto" w:fill="auto"/>
            <w:noWrap/>
            <w:vAlign w:val="center"/>
            <w:hideMark/>
          </w:tcPr>
          <w:p w14:paraId="5F4A6A72" w14:textId="77777777" w:rsidR="00573453" w:rsidRPr="004528E6" w:rsidRDefault="00573453" w:rsidP="006577FD">
            <w:pPr>
              <w:spacing w:after="0"/>
              <w:rPr>
                <w:sz w:val="20"/>
                <w:szCs w:val="20"/>
              </w:rPr>
            </w:pPr>
          </w:p>
        </w:tc>
        <w:tc>
          <w:tcPr>
            <w:tcW w:w="495" w:type="pct"/>
            <w:tcBorders>
              <w:top w:val="nil"/>
              <w:left w:val="nil"/>
              <w:bottom w:val="nil"/>
              <w:right w:val="nil"/>
            </w:tcBorders>
            <w:shd w:val="clear" w:color="auto" w:fill="auto"/>
            <w:noWrap/>
            <w:vAlign w:val="center"/>
            <w:hideMark/>
          </w:tcPr>
          <w:p w14:paraId="44E27659" w14:textId="77777777" w:rsidR="00573453" w:rsidRPr="004528E6" w:rsidRDefault="00573453" w:rsidP="006577FD">
            <w:pPr>
              <w:spacing w:after="0"/>
              <w:jc w:val="right"/>
              <w:rPr>
                <w:sz w:val="20"/>
                <w:szCs w:val="20"/>
              </w:rPr>
            </w:pPr>
            <w:r w:rsidRPr="004528E6">
              <w:rPr>
                <w:sz w:val="20"/>
                <w:szCs w:val="20"/>
              </w:rPr>
              <w:t xml:space="preserve"> 4,987 </w:t>
            </w:r>
          </w:p>
        </w:tc>
        <w:tc>
          <w:tcPr>
            <w:tcW w:w="495" w:type="pct"/>
            <w:tcBorders>
              <w:top w:val="nil"/>
              <w:left w:val="nil"/>
              <w:bottom w:val="nil"/>
              <w:right w:val="nil"/>
            </w:tcBorders>
            <w:shd w:val="clear" w:color="auto" w:fill="auto"/>
            <w:noWrap/>
            <w:vAlign w:val="center"/>
            <w:hideMark/>
          </w:tcPr>
          <w:p w14:paraId="3EE3137E" w14:textId="3225B47A" w:rsidR="00573453" w:rsidRPr="004528E6" w:rsidRDefault="00573453" w:rsidP="006577FD">
            <w:pPr>
              <w:spacing w:after="0"/>
              <w:jc w:val="right"/>
              <w:rPr>
                <w:sz w:val="20"/>
                <w:szCs w:val="20"/>
              </w:rPr>
            </w:pPr>
            <w:r w:rsidRPr="004528E6">
              <w:rPr>
                <w:sz w:val="20"/>
                <w:szCs w:val="20"/>
              </w:rPr>
              <w:t>31.7</w:t>
            </w:r>
            <w:r w:rsidR="00913AB7">
              <w:rPr>
                <w:sz w:val="20"/>
                <w:szCs w:val="20"/>
              </w:rPr>
              <w:t xml:space="preserve"> </w:t>
            </w:r>
            <w:r w:rsidRPr="004528E6">
              <w:rPr>
                <w:sz w:val="20"/>
                <w:szCs w:val="20"/>
              </w:rPr>
              <w:t>%</w:t>
            </w:r>
          </w:p>
        </w:tc>
      </w:tr>
      <w:tr w:rsidR="00573453" w:rsidRPr="00DF32E3" w14:paraId="0748E08F" w14:textId="77777777" w:rsidTr="00573453">
        <w:trPr>
          <w:trHeight w:val="255"/>
        </w:trPr>
        <w:tc>
          <w:tcPr>
            <w:tcW w:w="852" w:type="pct"/>
            <w:tcBorders>
              <w:top w:val="nil"/>
              <w:left w:val="nil"/>
              <w:bottom w:val="nil"/>
              <w:right w:val="nil"/>
            </w:tcBorders>
            <w:shd w:val="clear" w:color="auto" w:fill="auto"/>
            <w:vAlign w:val="bottom"/>
          </w:tcPr>
          <w:p w14:paraId="5BEC87A8"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tcPr>
          <w:p w14:paraId="1C1D20DC"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tcPr>
          <w:p w14:paraId="24824FD2" w14:textId="77777777" w:rsidR="00573453" w:rsidRPr="004528E6" w:rsidRDefault="00573453" w:rsidP="006577FD">
            <w:pPr>
              <w:spacing w:after="0"/>
              <w:rPr>
                <w:sz w:val="20"/>
                <w:szCs w:val="20"/>
              </w:rPr>
            </w:pPr>
          </w:p>
        </w:tc>
        <w:tc>
          <w:tcPr>
            <w:tcW w:w="495" w:type="pct"/>
            <w:tcBorders>
              <w:top w:val="nil"/>
              <w:left w:val="nil"/>
              <w:bottom w:val="nil"/>
              <w:right w:val="nil"/>
            </w:tcBorders>
            <w:shd w:val="clear" w:color="auto" w:fill="auto"/>
            <w:noWrap/>
            <w:vAlign w:val="center"/>
          </w:tcPr>
          <w:p w14:paraId="363CF219" w14:textId="77777777" w:rsidR="00573453" w:rsidRPr="004528E6" w:rsidRDefault="00573453" w:rsidP="006577FD">
            <w:pPr>
              <w:spacing w:after="0"/>
              <w:jc w:val="right"/>
              <w:rPr>
                <w:sz w:val="20"/>
                <w:szCs w:val="20"/>
              </w:rPr>
            </w:pPr>
          </w:p>
        </w:tc>
        <w:tc>
          <w:tcPr>
            <w:tcW w:w="495" w:type="pct"/>
            <w:tcBorders>
              <w:top w:val="nil"/>
              <w:left w:val="nil"/>
              <w:bottom w:val="nil"/>
              <w:right w:val="nil"/>
            </w:tcBorders>
            <w:shd w:val="clear" w:color="auto" w:fill="auto"/>
            <w:noWrap/>
            <w:vAlign w:val="center"/>
          </w:tcPr>
          <w:p w14:paraId="5B207582" w14:textId="77777777" w:rsidR="00573453" w:rsidRPr="004528E6" w:rsidRDefault="00573453" w:rsidP="006577FD">
            <w:pPr>
              <w:spacing w:after="0"/>
              <w:jc w:val="right"/>
              <w:rPr>
                <w:sz w:val="20"/>
                <w:szCs w:val="20"/>
              </w:rPr>
            </w:pPr>
          </w:p>
        </w:tc>
      </w:tr>
      <w:tr w:rsidR="00573453" w:rsidRPr="00DF32E3" w14:paraId="220EB567" w14:textId="77777777" w:rsidTr="00573453">
        <w:trPr>
          <w:trHeight w:val="255"/>
        </w:trPr>
        <w:tc>
          <w:tcPr>
            <w:tcW w:w="852" w:type="pct"/>
            <w:tcBorders>
              <w:top w:val="nil"/>
              <w:left w:val="nil"/>
              <w:bottom w:val="nil"/>
              <w:right w:val="nil"/>
            </w:tcBorders>
            <w:shd w:val="clear" w:color="auto" w:fill="auto"/>
            <w:vAlign w:val="bottom"/>
            <w:hideMark/>
          </w:tcPr>
          <w:p w14:paraId="11DB89BF"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2E4015EA"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Triple</w:t>
            </w:r>
          </w:p>
        </w:tc>
        <w:tc>
          <w:tcPr>
            <w:tcW w:w="2325" w:type="pct"/>
            <w:tcBorders>
              <w:top w:val="nil"/>
              <w:left w:val="nil"/>
              <w:bottom w:val="nil"/>
              <w:right w:val="nil"/>
            </w:tcBorders>
            <w:shd w:val="clear" w:color="auto" w:fill="auto"/>
            <w:noWrap/>
            <w:vAlign w:val="center"/>
            <w:hideMark/>
          </w:tcPr>
          <w:p w14:paraId="6B958E51" w14:textId="77777777" w:rsidR="00573453" w:rsidRPr="004528E6" w:rsidRDefault="00573453" w:rsidP="006577FD">
            <w:pPr>
              <w:spacing w:after="0"/>
              <w:rPr>
                <w:sz w:val="20"/>
                <w:szCs w:val="20"/>
              </w:rPr>
            </w:pPr>
            <w:r w:rsidRPr="004528E6">
              <w:rPr>
                <w:sz w:val="20"/>
                <w:szCs w:val="20"/>
              </w:rPr>
              <w:t>Exenatide+Metformin+Sulfonylurea</w:t>
            </w:r>
          </w:p>
        </w:tc>
        <w:tc>
          <w:tcPr>
            <w:tcW w:w="495" w:type="pct"/>
            <w:tcBorders>
              <w:top w:val="nil"/>
              <w:left w:val="nil"/>
              <w:bottom w:val="nil"/>
              <w:right w:val="nil"/>
            </w:tcBorders>
            <w:shd w:val="clear" w:color="auto" w:fill="auto"/>
            <w:noWrap/>
            <w:vAlign w:val="center"/>
            <w:hideMark/>
          </w:tcPr>
          <w:p w14:paraId="6381B13C" w14:textId="77777777" w:rsidR="00573453" w:rsidRPr="004528E6" w:rsidRDefault="00573453" w:rsidP="006577FD">
            <w:pPr>
              <w:spacing w:after="0"/>
              <w:jc w:val="right"/>
              <w:rPr>
                <w:sz w:val="20"/>
                <w:szCs w:val="20"/>
              </w:rPr>
            </w:pPr>
            <w:r w:rsidRPr="004528E6">
              <w:rPr>
                <w:sz w:val="20"/>
                <w:szCs w:val="20"/>
              </w:rPr>
              <w:t xml:space="preserve"> 5,832 </w:t>
            </w:r>
          </w:p>
        </w:tc>
        <w:tc>
          <w:tcPr>
            <w:tcW w:w="495" w:type="pct"/>
            <w:tcBorders>
              <w:top w:val="nil"/>
              <w:left w:val="nil"/>
              <w:bottom w:val="nil"/>
              <w:right w:val="nil"/>
            </w:tcBorders>
            <w:shd w:val="clear" w:color="auto" w:fill="auto"/>
            <w:noWrap/>
            <w:vAlign w:val="center"/>
            <w:hideMark/>
          </w:tcPr>
          <w:p w14:paraId="017935B9" w14:textId="6B8976A6" w:rsidR="00573453" w:rsidRPr="004528E6" w:rsidRDefault="00573453" w:rsidP="006577FD">
            <w:pPr>
              <w:spacing w:after="0"/>
              <w:jc w:val="right"/>
              <w:rPr>
                <w:sz w:val="20"/>
                <w:szCs w:val="20"/>
              </w:rPr>
            </w:pPr>
            <w:r w:rsidRPr="004528E6">
              <w:rPr>
                <w:sz w:val="20"/>
                <w:szCs w:val="20"/>
              </w:rPr>
              <w:t>37.1</w:t>
            </w:r>
            <w:r w:rsidR="00913AB7">
              <w:rPr>
                <w:sz w:val="20"/>
                <w:szCs w:val="20"/>
              </w:rPr>
              <w:t xml:space="preserve"> </w:t>
            </w:r>
            <w:r w:rsidRPr="004528E6">
              <w:rPr>
                <w:sz w:val="20"/>
                <w:szCs w:val="20"/>
              </w:rPr>
              <w:t>%</w:t>
            </w:r>
          </w:p>
        </w:tc>
      </w:tr>
      <w:tr w:rsidR="00573453" w:rsidRPr="00DF32E3" w14:paraId="5238D654" w14:textId="77777777" w:rsidTr="00573453">
        <w:trPr>
          <w:trHeight w:val="510"/>
        </w:trPr>
        <w:tc>
          <w:tcPr>
            <w:tcW w:w="852" w:type="pct"/>
            <w:tcBorders>
              <w:top w:val="single" w:sz="4" w:space="0" w:color="4F81BD"/>
              <w:left w:val="nil"/>
              <w:bottom w:val="single" w:sz="4" w:space="0" w:color="4F81BD"/>
              <w:right w:val="nil"/>
            </w:tcBorders>
            <w:shd w:val="clear" w:color="auto" w:fill="auto"/>
            <w:vAlign w:val="bottom"/>
            <w:hideMark/>
          </w:tcPr>
          <w:p w14:paraId="2951F6EE"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Within PBS restriction Total</w:t>
            </w:r>
          </w:p>
        </w:tc>
        <w:tc>
          <w:tcPr>
            <w:tcW w:w="833" w:type="pct"/>
            <w:tcBorders>
              <w:top w:val="single" w:sz="4" w:space="0" w:color="4F81BD"/>
              <w:left w:val="nil"/>
              <w:bottom w:val="single" w:sz="4" w:space="0" w:color="4F81BD"/>
              <w:right w:val="nil"/>
            </w:tcBorders>
            <w:shd w:val="clear" w:color="auto" w:fill="auto"/>
            <w:vAlign w:val="bottom"/>
            <w:hideMark/>
          </w:tcPr>
          <w:p w14:paraId="487AC484"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single" w:sz="4" w:space="0" w:color="4F81BD"/>
              <w:left w:val="nil"/>
              <w:bottom w:val="single" w:sz="4" w:space="0" w:color="4F81BD"/>
              <w:right w:val="nil"/>
            </w:tcBorders>
            <w:shd w:val="clear" w:color="auto" w:fill="auto"/>
            <w:vAlign w:val="center"/>
            <w:hideMark/>
          </w:tcPr>
          <w:p w14:paraId="28D1D90E" w14:textId="77777777" w:rsidR="00573453" w:rsidRPr="004528E6" w:rsidRDefault="00573453" w:rsidP="006577FD">
            <w:pPr>
              <w:spacing w:after="0"/>
              <w:rPr>
                <w:sz w:val="20"/>
                <w:szCs w:val="20"/>
              </w:rPr>
            </w:pPr>
          </w:p>
        </w:tc>
        <w:tc>
          <w:tcPr>
            <w:tcW w:w="495" w:type="pct"/>
            <w:tcBorders>
              <w:top w:val="single" w:sz="4" w:space="0" w:color="4F81BD"/>
              <w:left w:val="nil"/>
              <w:bottom w:val="single" w:sz="4" w:space="0" w:color="4F81BD"/>
              <w:right w:val="nil"/>
            </w:tcBorders>
            <w:shd w:val="clear" w:color="auto" w:fill="auto"/>
            <w:noWrap/>
            <w:vAlign w:val="center"/>
            <w:hideMark/>
          </w:tcPr>
          <w:p w14:paraId="1580A8D5" w14:textId="77777777" w:rsidR="00573453" w:rsidRPr="00AC12EF" w:rsidRDefault="00573453" w:rsidP="006577FD">
            <w:pPr>
              <w:spacing w:after="0"/>
              <w:jc w:val="right"/>
              <w:rPr>
                <w:sz w:val="20"/>
                <w:szCs w:val="20"/>
              </w:rPr>
            </w:pPr>
            <w:r w:rsidRPr="00AC12EF">
              <w:rPr>
                <w:sz w:val="20"/>
                <w:szCs w:val="20"/>
              </w:rPr>
              <w:t xml:space="preserve"> 10,8</w:t>
            </w:r>
            <w:r>
              <w:rPr>
                <w:sz w:val="20"/>
                <w:szCs w:val="20"/>
              </w:rPr>
              <w:t>19</w:t>
            </w:r>
            <w:r w:rsidRPr="00AC12EF">
              <w:rPr>
                <w:sz w:val="20"/>
                <w:szCs w:val="20"/>
              </w:rPr>
              <w:t xml:space="preserve"> </w:t>
            </w:r>
          </w:p>
        </w:tc>
        <w:tc>
          <w:tcPr>
            <w:tcW w:w="495" w:type="pct"/>
            <w:tcBorders>
              <w:top w:val="single" w:sz="4" w:space="0" w:color="4F81BD"/>
              <w:left w:val="nil"/>
              <w:bottom w:val="single" w:sz="4" w:space="0" w:color="4F81BD"/>
              <w:right w:val="nil"/>
            </w:tcBorders>
            <w:shd w:val="clear" w:color="auto" w:fill="auto"/>
            <w:noWrap/>
            <w:vAlign w:val="center"/>
            <w:hideMark/>
          </w:tcPr>
          <w:p w14:paraId="03D9B672" w14:textId="13999F57" w:rsidR="00573453" w:rsidRPr="00AC12EF" w:rsidRDefault="00573453" w:rsidP="006577FD">
            <w:pPr>
              <w:spacing w:after="0"/>
              <w:jc w:val="right"/>
              <w:rPr>
                <w:sz w:val="20"/>
                <w:szCs w:val="20"/>
              </w:rPr>
            </w:pPr>
            <w:r w:rsidRPr="00AC12EF">
              <w:rPr>
                <w:sz w:val="20"/>
                <w:szCs w:val="20"/>
              </w:rPr>
              <w:t>6</w:t>
            </w:r>
            <w:r>
              <w:rPr>
                <w:sz w:val="20"/>
                <w:szCs w:val="20"/>
              </w:rPr>
              <w:t>8</w:t>
            </w:r>
            <w:r w:rsidRPr="00AC12EF">
              <w:rPr>
                <w:sz w:val="20"/>
                <w:szCs w:val="20"/>
              </w:rPr>
              <w:t>.</w:t>
            </w:r>
            <w:r>
              <w:rPr>
                <w:sz w:val="20"/>
                <w:szCs w:val="20"/>
              </w:rPr>
              <w:t>9</w:t>
            </w:r>
            <w:r w:rsidR="00913AB7">
              <w:rPr>
                <w:sz w:val="20"/>
                <w:szCs w:val="20"/>
              </w:rPr>
              <w:t xml:space="preserve"> </w:t>
            </w:r>
            <w:r>
              <w:rPr>
                <w:sz w:val="20"/>
                <w:szCs w:val="20"/>
              </w:rPr>
              <w:t>%</w:t>
            </w:r>
          </w:p>
        </w:tc>
      </w:tr>
      <w:tr w:rsidR="00573453" w:rsidRPr="00DF32E3" w14:paraId="40CB5C44" w14:textId="77777777" w:rsidTr="00573453">
        <w:trPr>
          <w:trHeight w:val="510"/>
        </w:trPr>
        <w:tc>
          <w:tcPr>
            <w:tcW w:w="852" w:type="pct"/>
            <w:tcBorders>
              <w:top w:val="nil"/>
              <w:left w:val="nil"/>
              <w:bottom w:val="nil"/>
              <w:right w:val="nil"/>
            </w:tcBorders>
            <w:shd w:val="clear" w:color="auto" w:fill="auto"/>
            <w:vAlign w:val="bottom"/>
            <w:hideMark/>
          </w:tcPr>
          <w:p w14:paraId="69834714"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Outside PBS restriction</w:t>
            </w:r>
          </w:p>
        </w:tc>
        <w:tc>
          <w:tcPr>
            <w:tcW w:w="833" w:type="pct"/>
            <w:tcBorders>
              <w:top w:val="nil"/>
              <w:left w:val="nil"/>
              <w:bottom w:val="nil"/>
              <w:right w:val="nil"/>
            </w:tcBorders>
            <w:shd w:val="clear" w:color="auto" w:fill="auto"/>
            <w:noWrap/>
            <w:vAlign w:val="bottom"/>
            <w:hideMark/>
          </w:tcPr>
          <w:p w14:paraId="6C4AC00D"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Mono</w:t>
            </w:r>
          </w:p>
        </w:tc>
        <w:tc>
          <w:tcPr>
            <w:tcW w:w="2325" w:type="pct"/>
            <w:tcBorders>
              <w:top w:val="nil"/>
              <w:left w:val="nil"/>
              <w:bottom w:val="nil"/>
              <w:right w:val="nil"/>
            </w:tcBorders>
            <w:shd w:val="clear" w:color="auto" w:fill="auto"/>
            <w:noWrap/>
            <w:vAlign w:val="bottom"/>
            <w:hideMark/>
          </w:tcPr>
          <w:p w14:paraId="0AB6A13F" w14:textId="77777777" w:rsidR="00573453" w:rsidRPr="004528E6" w:rsidRDefault="00573453" w:rsidP="006577FD">
            <w:pPr>
              <w:spacing w:after="0"/>
              <w:rPr>
                <w:sz w:val="20"/>
                <w:szCs w:val="20"/>
              </w:rPr>
            </w:pPr>
            <w:r w:rsidRPr="004528E6">
              <w:rPr>
                <w:sz w:val="20"/>
                <w:szCs w:val="20"/>
              </w:rPr>
              <w:t>Exenatide</w:t>
            </w:r>
          </w:p>
        </w:tc>
        <w:tc>
          <w:tcPr>
            <w:tcW w:w="495" w:type="pct"/>
            <w:tcBorders>
              <w:top w:val="nil"/>
              <w:left w:val="nil"/>
              <w:bottom w:val="nil"/>
              <w:right w:val="nil"/>
            </w:tcBorders>
            <w:shd w:val="clear" w:color="auto" w:fill="auto"/>
            <w:noWrap/>
            <w:vAlign w:val="bottom"/>
            <w:hideMark/>
          </w:tcPr>
          <w:p w14:paraId="1B549E5E" w14:textId="77777777" w:rsidR="00573453" w:rsidRPr="00AC12EF" w:rsidRDefault="00573453" w:rsidP="006577FD">
            <w:pPr>
              <w:spacing w:after="0"/>
              <w:jc w:val="right"/>
              <w:rPr>
                <w:sz w:val="20"/>
                <w:szCs w:val="20"/>
              </w:rPr>
            </w:pPr>
            <w:r w:rsidRPr="00AC12EF">
              <w:rPr>
                <w:sz w:val="20"/>
                <w:szCs w:val="20"/>
              </w:rPr>
              <w:t xml:space="preserve"> 886 </w:t>
            </w:r>
          </w:p>
        </w:tc>
        <w:tc>
          <w:tcPr>
            <w:tcW w:w="495" w:type="pct"/>
            <w:tcBorders>
              <w:top w:val="nil"/>
              <w:left w:val="nil"/>
              <w:bottom w:val="nil"/>
              <w:right w:val="nil"/>
            </w:tcBorders>
            <w:shd w:val="clear" w:color="auto" w:fill="auto"/>
            <w:noWrap/>
            <w:vAlign w:val="bottom"/>
            <w:hideMark/>
          </w:tcPr>
          <w:p w14:paraId="184C43A2" w14:textId="078288C7" w:rsidR="00573453" w:rsidRPr="00AC12EF" w:rsidRDefault="00573453" w:rsidP="006577FD">
            <w:pPr>
              <w:spacing w:after="0"/>
              <w:jc w:val="right"/>
              <w:rPr>
                <w:sz w:val="20"/>
                <w:szCs w:val="20"/>
              </w:rPr>
            </w:pPr>
            <w:r w:rsidRPr="00AC12EF">
              <w:rPr>
                <w:sz w:val="20"/>
                <w:szCs w:val="20"/>
              </w:rPr>
              <w:t>5.6</w:t>
            </w:r>
            <w:r w:rsidR="00913AB7">
              <w:rPr>
                <w:sz w:val="20"/>
                <w:szCs w:val="20"/>
              </w:rPr>
              <w:t xml:space="preserve"> </w:t>
            </w:r>
            <w:r w:rsidRPr="00AC12EF">
              <w:rPr>
                <w:sz w:val="20"/>
                <w:szCs w:val="20"/>
              </w:rPr>
              <w:t>%</w:t>
            </w:r>
          </w:p>
        </w:tc>
      </w:tr>
      <w:tr w:rsidR="00573453" w:rsidRPr="00DF32E3" w14:paraId="143BD001" w14:textId="77777777" w:rsidTr="00573453">
        <w:trPr>
          <w:trHeight w:val="255"/>
        </w:trPr>
        <w:tc>
          <w:tcPr>
            <w:tcW w:w="852" w:type="pct"/>
            <w:tcBorders>
              <w:top w:val="nil"/>
              <w:left w:val="nil"/>
              <w:bottom w:val="nil"/>
              <w:right w:val="nil"/>
            </w:tcBorders>
            <w:shd w:val="clear" w:color="auto" w:fill="auto"/>
            <w:vAlign w:val="bottom"/>
          </w:tcPr>
          <w:p w14:paraId="549F824E"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tcPr>
          <w:p w14:paraId="0656CFDE"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tcPr>
          <w:p w14:paraId="4B712FD8" w14:textId="77777777" w:rsidR="00573453" w:rsidRPr="004528E6" w:rsidRDefault="00573453" w:rsidP="006577FD">
            <w:pPr>
              <w:spacing w:after="0"/>
              <w:rPr>
                <w:sz w:val="20"/>
                <w:szCs w:val="20"/>
              </w:rPr>
            </w:pPr>
          </w:p>
        </w:tc>
        <w:tc>
          <w:tcPr>
            <w:tcW w:w="495" w:type="pct"/>
            <w:tcBorders>
              <w:top w:val="nil"/>
              <w:left w:val="nil"/>
              <w:bottom w:val="nil"/>
              <w:right w:val="nil"/>
            </w:tcBorders>
            <w:shd w:val="clear" w:color="auto" w:fill="auto"/>
            <w:noWrap/>
            <w:vAlign w:val="center"/>
          </w:tcPr>
          <w:p w14:paraId="50455426" w14:textId="77777777" w:rsidR="00573453" w:rsidRPr="00AC12EF" w:rsidRDefault="00573453" w:rsidP="006577FD">
            <w:pPr>
              <w:spacing w:after="0"/>
              <w:jc w:val="right"/>
              <w:rPr>
                <w:sz w:val="20"/>
                <w:szCs w:val="20"/>
              </w:rPr>
            </w:pPr>
          </w:p>
        </w:tc>
        <w:tc>
          <w:tcPr>
            <w:tcW w:w="495" w:type="pct"/>
            <w:tcBorders>
              <w:top w:val="nil"/>
              <w:left w:val="nil"/>
              <w:bottom w:val="nil"/>
              <w:right w:val="nil"/>
            </w:tcBorders>
            <w:shd w:val="clear" w:color="auto" w:fill="auto"/>
            <w:noWrap/>
            <w:vAlign w:val="center"/>
          </w:tcPr>
          <w:p w14:paraId="0EBA181D" w14:textId="77777777" w:rsidR="00573453" w:rsidRPr="00AC12EF" w:rsidRDefault="00573453" w:rsidP="006577FD">
            <w:pPr>
              <w:spacing w:after="0"/>
              <w:jc w:val="right"/>
              <w:rPr>
                <w:sz w:val="20"/>
                <w:szCs w:val="20"/>
              </w:rPr>
            </w:pPr>
          </w:p>
        </w:tc>
      </w:tr>
      <w:tr w:rsidR="00573453" w:rsidRPr="00DF32E3" w14:paraId="5B72B540" w14:textId="77777777" w:rsidTr="00573453">
        <w:trPr>
          <w:trHeight w:val="255"/>
        </w:trPr>
        <w:tc>
          <w:tcPr>
            <w:tcW w:w="852" w:type="pct"/>
            <w:tcBorders>
              <w:top w:val="nil"/>
              <w:left w:val="nil"/>
              <w:bottom w:val="nil"/>
              <w:right w:val="nil"/>
            </w:tcBorders>
            <w:shd w:val="clear" w:color="auto" w:fill="auto"/>
            <w:vAlign w:val="bottom"/>
            <w:hideMark/>
          </w:tcPr>
          <w:p w14:paraId="55A76412"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11B6D8BD"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Dual</w:t>
            </w:r>
          </w:p>
        </w:tc>
        <w:tc>
          <w:tcPr>
            <w:tcW w:w="2325" w:type="pct"/>
            <w:tcBorders>
              <w:top w:val="nil"/>
              <w:left w:val="nil"/>
              <w:bottom w:val="nil"/>
              <w:right w:val="nil"/>
            </w:tcBorders>
            <w:shd w:val="clear" w:color="auto" w:fill="auto"/>
            <w:noWrap/>
            <w:vAlign w:val="center"/>
            <w:hideMark/>
          </w:tcPr>
          <w:p w14:paraId="2EA5881A" w14:textId="77777777" w:rsidR="00573453" w:rsidRPr="004528E6" w:rsidRDefault="00573453" w:rsidP="006577FD">
            <w:pPr>
              <w:spacing w:after="0"/>
              <w:rPr>
                <w:sz w:val="20"/>
                <w:szCs w:val="20"/>
              </w:rPr>
            </w:pPr>
            <w:r w:rsidRPr="004528E6">
              <w:rPr>
                <w:sz w:val="20"/>
                <w:szCs w:val="20"/>
              </w:rPr>
              <w:t>Exenatide+Insulin</w:t>
            </w:r>
          </w:p>
        </w:tc>
        <w:tc>
          <w:tcPr>
            <w:tcW w:w="495" w:type="pct"/>
            <w:tcBorders>
              <w:top w:val="nil"/>
              <w:left w:val="nil"/>
              <w:bottom w:val="nil"/>
              <w:right w:val="nil"/>
            </w:tcBorders>
            <w:shd w:val="clear" w:color="auto" w:fill="auto"/>
            <w:noWrap/>
            <w:vAlign w:val="center"/>
            <w:hideMark/>
          </w:tcPr>
          <w:p w14:paraId="1F632530" w14:textId="77777777" w:rsidR="00573453" w:rsidRPr="00AC12EF" w:rsidRDefault="00573453" w:rsidP="006577FD">
            <w:pPr>
              <w:spacing w:after="0"/>
              <w:jc w:val="right"/>
              <w:rPr>
                <w:sz w:val="20"/>
                <w:szCs w:val="20"/>
              </w:rPr>
            </w:pPr>
            <w:r w:rsidRPr="00AC12EF">
              <w:rPr>
                <w:sz w:val="20"/>
                <w:szCs w:val="20"/>
              </w:rPr>
              <w:t xml:space="preserve"> 320 </w:t>
            </w:r>
          </w:p>
        </w:tc>
        <w:tc>
          <w:tcPr>
            <w:tcW w:w="495" w:type="pct"/>
            <w:tcBorders>
              <w:top w:val="nil"/>
              <w:left w:val="nil"/>
              <w:bottom w:val="nil"/>
              <w:right w:val="nil"/>
            </w:tcBorders>
            <w:shd w:val="clear" w:color="auto" w:fill="auto"/>
            <w:noWrap/>
            <w:vAlign w:val="center"/>
            <w:hideMark/>
          </w:tcPr>
          <w:p w14:paraId="399670D0" w14:textId="35C5E84D" w:rsidR="00573453" w:rsidRPr="00AC12EF" w:rsidRDefault="00573453" w:rsidP="006577FD">
            <w:pPr>
              <w:spacing w:after="0"/>
              <w:jc w:val="right"/>
              <w:rPr>
                <w:sz w:val="20"/>
                <w:szCs w:val="20"/>
              </w:rPr>
            </w:pPr>
            <w:r w:rsidRPr="00AC12EF">
              <w:rPr>
                <w:sz w:val="20"/>
                <w:szCs w:val="20"/>
              </w:rPr>
              <w:t>2.0</w:t>
            </w:r>
            <w:r w:rsidR="00913AB7">
              <w:rPr>
                <w:sz w:val="20"/>
                <w:szCs w:val="20"/>
              </w:rPr>
              <w:t xml:space="preserve"> </w:t>
            </w:r>
            <w:r w:rsidRPr="00AC12EF">
              <w:rPr>
                <w:sz w:val="20"/>
                <w:szCs w:val="20"/>
              </w:rPr>
              <w:t>%</w:t>
            </w:r>
          </w:p>
        </w:tc>
      </w:tr>
      <w:tr w:rsidR="00573453" w:rsidRPr="00DF32E3" w14:paraId="29C3EEFF" w14:textId="77777777" w:rsidTr="00573453">
        <w:trPr>
          <w:trHeight w:val="255"/>
        </w:trPr>
        <w:tc>
          <w:tcPr>
            <w:tcW w:w="852" w:type="pct"/>
            <w:tcBorders>
              <w:top w:val="nil"/>
              <w:left w:val="nil"/>
              <w:bottom w:val="nil"/>
              <w:right w:val="nil"/>
            </w:tcBorders>
            <w:shd w:val="clear" w:color="auto" w:fill="auto"/>
            <w:vAlign w:val="bottom"/>
            <w:hideMark/>
          </w:tcPr>
          <w:p w14:paraId="5AA04259"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511E31F6"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hideMark/>
          </w:tcPr>
          <w:p w14:paraId="0E6F9E36" w14:textId="77777777" w:rsidR="00573453" w:rsidRPr="004528E6" w:rsidRDefault="00573453" w:rsidP="006577FD">
            <w:pPr>
              <w:spacing w:after="0"/>
              <w:rPr>
                <w:sz w:val="20"/>
                <w:szCs w:val="20"/>
              </w:rPr>
            </w:pPr>
            <w:r w:rsidRPr="004528E6">
              <w:rPr>
                <w:sz w:val="20"/>
                <w:szCs w:val="20"/>
              </w:rPr>
              <w:t>Exenatide+Gliptin</w:t>
            </w:r>
          </w:p>
        </w:tc>
        <w:tc>
          <w:tcPr>
            <w:tcW w:w="495" w:type="pct"/>
            <w:tcBorders>
              <w:top w:val="nil"/>
              <w:left w:val="nil"/>
              <w:bottom w:val="nil"/>
              <w:right w:val="nil"/>
            </w:tcBorders>
            <w:shd w:val="clear" w:color="auto" w:fill="auto"/>
            <w:noWrap/>
            <w:vAlign w:val="center"/>
            <w:hideMark/>
          </w:tcPr>
          <w:p w14:paraId="6B152A0C" w14:textId="77777777" w:rsidR="00573453" w:rsidRPr="00AC12EF" w:rsidRDefault="00573453" w:rsidP="006577FD">
            <w:pPr>
              <w:spacing w:after="0"/>
              <w:jc w:val="right"/>
              <w:rPr>
                <w:sz w:val="20"/>
                <w:szCs w:val="20"/>
              </w:rPr>
            </w:pPr>
            <w:r w:rsidRPr="00AC12EF">
              <w:rPr>
                <w:sz w:val="20"/>
                <w:szCs w:val="20"/>
              </w:rPr>
              <w:t xml:space="preserve"> 42 </w:t>
            </w:r>
          </w:p>
        </w:tc>
        <w:tc>
          <w:tcPr>
            <w:tcW w:w="495" w:type="pct"/>
            <w:tcBorders>
              <w:top w:val="nil"/>
              <w:left w:val="nil"/>
              <w:bottom w:val="nil"/>
              <w:right w:val="nil"/>
            </w:tcBorders>
            <w:shd w:val="clear" w:color="auto" w:fill="auto"/>
            <w:noWrap/>
            <w:vAlign w:val="center"/>
            <w:hideMark/>
          </w:tcPr>
          <w:p w14:paraId="25FB038D" w14:textId="046D99AF" w:rsidR="00573453" w:rsidRPr="00AC12EF" w:rsidRDefault="00573453" w:rsidP="006577FD">
            <w:pPr>
              <w:spacing w:after="0"/>
              <w:jc w:val="right"/>
              <w:rPr>
                <w:sz w:val="20"/>
                <w:szCs w:val="20"/>
              </w:rPr>
            </w:pPr>
            <w:r w:rsidRPr="00AC12EF">
              <w:rPr>
                <w:sz w:val="20"/>
                <w:szCs w:val="20"/>
              </w:rPr>
              <w:t>0.3</w:t>
            </w:r>
            <w:r w:rsidR="00913AB7">
              <w:rPr>
                <w:sz w:val="20"/>
                <w:szCs w:val="20"/>
              </w:rPr>
              <w:t xml:space="preserve"> </w:t>
            </w:r>
            <w:r w:rsidRPr="00AC12EF">
              <w:rPr>
                <w:sz w:val="20"/>
                <w:szCs w:val="20"/>
              </w:rPr>
              <w:t>%</w:t>
            </w:r>
          </w:p>
        </w:tc>
      </w:tr>
      <w:tr w:rsidR="00573453" w:rsidRPr="00DF32E3" w14:paraId="2F096365" w14:textId="77777777" w:rsidTr="00573453">
        <w:trPr>
          <w:trHeight w:val="255"/>
        </w:trPr>
        <w:tc>
          <w:tcPr>
            <w:tcW w:w="852" w:type="pct"/>
            <w:tcBorders>
              <w:top w:val="nil"/>
              <w:left w:val="nil"/>
              <w:bottom w:val="nil"/>
              <w:right w:val="nil"/>
            </w:tcBorders>
            <w:shd w:val="clear" w:color="auto" w:fill="auto"/>
            <w:vAlign w:val="bottom"/>
            <w:hideMark/>
          </w:tcPr>
          <w:p w14:paraId="5CB47E02"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1352F69C"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hideMark/>
          </w:tcPr>
          <w:p w14:paraId="70CB7704" w14:textId="2CDA2568" w:rsidR="00573453" w:rsidRPr="004528E6" w:rsidRDefault="00573453" w:rsidP="00F518B8">
            <w:pPr>
              <w:spacing w:after="0"/>
              <w:rPr>
                <w:sz w:val="20"/>
                <w:szCs w:val="20"/>
              </w:rPr>
            </w:pPr>
            <w:r w:rsidRPr="004528E6">
              <w:rPr>
                <w:sz w:val="20"/>
                <w:szCs w:val="20"/>
              </w:rPr>
              <w:t xml:space="preserve">Other regimens with &lt; 20 patients each </w:t>
            </w:r>
          </w:p>
        </w:tc>
        <w:tc>
          <w:tcPr>
            <w:tcW w:w="495" w:type="pct"/>
            <w:tcBorders>
              <w:top w:val="nil"/>
              <w:left w:val="nil"/>
              <w:bottom w:val="nil"/>
              <w:right w:val="nil"/>
            </w:tcBorders>
            <w:shd w:val="clear" w:color="auto" w:fill="auto"/>
            <w:noWrap/>
            <w:vAlign w:val="center"/>
            <w:hideMark/>
          </w:tcPr>
          <w:p w14:paraId="48A1C512" w14:textId="77777777" w:rsidR="00573453" w:rsidRPr="00AC12EF" w:rsidRDefault="00573453" w:rsidP="006577FD">
            <w:pPr>
              <w:spacing w:after="0"/>
              <w:jc w:val="right"/>
              <w:rPr>
                <w:sz w:val="20"/>
                <w:szCs w:val="20"/>
              </w:rPr>
            </w:pPr>
            <w:r w:rsidRPr="00AC12EF">
              <w:rPr>
                <w:sz w:val="20"/>
                <w:szCs w:val="20"/>
              </w:rPr>
              <w:t xml:space="preserve"> 14 </w:t>
            </w:r>
          </w:p>
        </w:tc>
        <w:tc>
          <w:tcPr>
            <w:tcW w:w="495" w:type="pct"/>
            <w:tcBorders>
              <w:top w:val="nil"/>
              <w:left w:val="nil"/>
              <w:bottom w:val="nil"/>
              <w:right w:val="nil"/>
            </w:tcBorders>
            <w:shd w:val="clear" w:color="auto" w:fill="auto"/>
            <w:noWrap/>
            <w:vAlign w:val="center"/>
            <w:hideMark/>
          </w:tcPr>
          <w:p w14:paraId="01121DAF" w14:textId="7BAD7B87" w:rsidR="00573453" w:rsidRPr="00AC12EF" w:rsidRDefault="00573453" w:rsidP="006577FD">
            <w:pPr>
              <w:spacing w:after="0"/>
              <w:jc w:val="right"/>
              <w:rPr>
                <w:sz w:val="20"/>
                <w:szCs w:val="20"/>
              </w:rPr>
            </w:pPr>
            <w:r w:rsidRPr="00AC12EF">
              <w:rPr>
                <w:sz w:val="20"/>
                <w:szCs w:val="20"/>
              </w:rPr>
              <w:t>0.1</w:t>
            </w:r>
            <w:r w:rsidR="00913AB7">
              <w:rPr>
                <w:sz w:val="20"/>
                <w:szCs w:val="20"/>
              </w:rPr>
              <w:t xml:space="preserve"> </w:t>
            </w:r>
            <w:r w:rsidRPr="00AC12EF">
              <w:rPr>
                <w:sz w:val="20"/>
                <w:szCs w:val="20"/>
              </w:rPr>
              <w:t>%</w:t>
            </w:r>
          </w:p>
        </w:tc>
      </w:tr>
      <w:tr w:rsidR="00573453" w:rsidRPr="00DF32E3" w14:paraId="1DD09125" w14:textId="77777777" w:rsidTr="00573453">
        <w:trPr>
          <w:trHeight w:val="255"/>
        </w:trPr>
        <w:tc>
          <w:tcPr>
            <w:tcW w:w="852" w:type="pct"/>
            <w:tcBorders>
              <w:top w:val="nil"/>
              <w:left w:val="nil"/>
              <w:bottom w:val="nil"/>
              <w:right w:val="nil"/>
            </w:tcBorders>
            <w:shd w:val="clear" w:color="auto" w:fill="auto"/>
            <w:vAlign w:val="bottom"/>
            <w:hideMark/>
          </w:tcPr>
          <w:p w14:paraId="1636E29A"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529FE2CE"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Dual Total</w:t>
            </w:r>
          </w:p>
        </w:tc>
        <w:tc>
          <w:tcPr>
            <w:tcW w:w="2325" w:type="pct"/>
            <w:tcBorders>
              <w:top w:val="nil"/>
              <w:left w:val="nil"/>
              <w:bottom w:val="nil"/>
              <w:right w:val="nil"/>
            </w:tcBorders>
            <w:shd w:val="clear" w:color="auto" w:fill="auto"/>
            <w:noWrap/>
            <w:vAlign w:val="center"/>
            <w:hideMark/>
          </w:tcPr>
          <w:p w14:paraId="5ACCEB83" w14:textId="77777777" w:rsidR="00573453" w:rsidRPr="004528E6" w:rsidRDefault="00573453" w:rsidP="006577FD">
            <w:pPr>
              <w:spacing w:after="0"/>
              <w:rPr>
                <w:sz w:val="20"/>
                <w:szCs w:val="20"/>
              </w:rPr>
            </w:pPr>
          </w:p>
        </w:tc>
        <w:tc>
          <w:tcPr>
            <w:tcW w:w="495" w:type="pct"/>
            <w:tcBorders>
              <w:top w:val="nil"/>
              <w:left w:val="nil"/>
              <w:bottom w:val="nil"/>
              <w:right w:val="nil"/>
            </w:tcBorders>
            <w:shd w:val="clear" w:color="auto" w:fill="auto"/>
            <w:noWrap/>
            <w:vAlign w:val="center"/>
            <w:hideMark/>
          </w:tcPr>
          <w:p w14:paraId="0273EDB1" w14:textId="77777777" w:rsidR="00573453" w:rsidRPr="00AC12EF" w:rsidRDefault="00573453" w:rsidP="006577FD">
            <w:pPr>
              <w:spacing w:after="0"/>
              <w:jc w:val="right"/>
              <w:rPr>
                <w:sz w:val="20"/>
                <w:szCs w:val="20"/>
              </w:rPr>
            </w:pPr>
            <w:r w:rsidRPr="00AC12EF">
              <w:rPr>
                <w:sz w:val="20"/>
                <w:szCs w:val="20"/>
              </w:rPr>
              <w:t xml:space="preserve"> 376 </w:t>
            </w:r>
          </w:p>
        </w:tc>
        <w:tc>
          <w:tcPr>
            <w:tcW w:w="495" w:type="pct"/>
            <w:tcBorders>
              <w:top w:val="nil"/>
              <w:left w:val="nil"/>
              <w:bottom w:val="nil"/>
              <w:right w:val="nil"/>
            </w:tcBorders>
            <w:shd w:val="clear" w:color="auto" w:fill="auto"/>
            <w:noWrap/>
            <w:vAlign w:val="center"/>
            <w:hideMark/>
          </w:tcPr>
          <w:p w14:paraId="34723E66" w14:textId="4968E9A5" w:rsidR="00573453" w:rsidRPr="00AC12EF" w:rsidRDefault="00573453" w:rsidP="006577FD">
            <w:pPr>
              <w:spacing w:after="0"/>
              <w:jc w:val="right"/>
              <w:rPr>
                <w:sz w:val="20"/>
                <w:szCs w:val="20"/>
              </w:rPr>
            </w:pPr>
            <w:r w:rsidRPr="00AC12EF">
              <w:rPr>
                <w:sz w:val="20"/>
                <w:szCs w:val="20"/>
              </w:rPr>
              <w:t>2.4</w:t>
            </w:r>
            <w:r w:rsidR="00913AB7">
              <w:rPr>
                <w:sz w:val="20"/>
                <w:szCs w:val="20"/>
              </w:rPr>
              <w:t xml:space="preserve"> </w:t>
            </w:r>
            <w:r w:rsidRPr="00AC12EF">
              <w:rPr>
                <w:sz w:val="20"/>
                <w:szCs w:val="20"/>
              </w:rPr>
              <w:t>%</w:t>
            </w:r>
          </w:p>
        </w:tc>
      </w:tr>
      <w:tr w:rsidR="00573453" w:rsidRPr="00DF32E3" w14:paraId="4356E1EC" w14:textId="77777777" w:rsidTr="00573453">
        <w:trPr>
          <w:trHeight w:val="255"/>
        </w:trPr>
        <w:tc>
          <w:tcPr>
            <w:tcW w:w="852" w:type="pct"/>
            <w:tcBorders>
              <w:top w:val="nil"/>
              <w:left w:val="nil"/>
              <w:bottom w:val="nil"/>
              <w:right w:val="nil"/>
            </w:tcBorders>
            <w:shd w:val="clear" w:color="auto" w:fill="auto"/>
            <w:vAlign w:val="bottom"/>
          </w:tcPr>
          <w:p w14:paraId="655D0ADC"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tcPr>
          <w:p w14:paraId="3D7692A2"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tcPr>
          <w:p w14:paraId="08E41C3C" w14:textId="77777777" w:rsidR="00573453" w:rsidRPr="004528E6" w:rsidRDefault="00573453" w:rsidP="006577FD">
            <w:pPr>
              <w:spacing w:after="0"/>
              <w:rPr>
                <w:sz w:val="20"/>
                <w:szCs w:val="20"/>
              </w:rPr>
            </w:pPr>
          </w:p>
        </w:tc>
        <w:tc>
          <w:tcPr>
            <w:tcW w:w="495" w:type="pct"/>
            <w:tcBorders>
              <w:top w:val="nil"/>
              <w:left w:val="nil"/>
              <w:bottom w:val="nil"/>
              <w:right w:val="nil"/>
            </w:tcBorders>
            <w:shd w:val="clear" w:color="auto" w:fill="auto"/>
            <w:noWrap/>
            <w:vAlign w:val="center"/>
          </w:tcPr>
          <w:p w14:paraId="321BD2EF" w14:textId="77777777" w:rsidR="00573453" w:rsidRPr="00AC12EF" w:rsidRDefault="00573453" w:rsidP="006577FD">
            <w:pPr>
              <w:spacing w:after="0"/>
              <w:jc w:val="right"/>
              <w:rPr>
                <w:sz w:val="20"/>
                <w:szCs w:val="20"/>
              </w:rPr>
            </w:pPr>
          </w:p>
        </w:tc>
        <w:tc>
          <w:tcPr>
            <w:tcW w:w="495" w:type="pct"/>
            <w:tcBorders>
              <w:top w:val="nil"/>
              <w:left w:val="nil"/>
              <w:bottom w:val="nil"/>
              <w:right w:val="nil"/>
            </w:tcBorders>
            <w:shd w:val="clear" w:color="auto" w:fill="auto"/>
            <w:noWrap/>
            <w:vAlign w:val="center"/>
          </w:tcPr>
          <w:p w14:paraId="7077E9F2" w14:textId="77777777" w:rsidR="00573453" w:rsidRPr="00AC12EF" w:rsidRDefault="00573453" w:rsidP="006577FD">
            <w:pPr>
              <w:spacing w:after="0"/>
              <w:jc w:val="right"/>
              <w:rPr>
                <w:sz w:val="20"/>
                <w:szCs w:val="20"/>
              </w:rPr>
            </w:pPr>
          </w:p>
        </w:tc>
      </w:tr>
      <w:tr w:rsidR="00573453" w:rsidRPr="00DF32E3" w14:paraId="01EC6042" w14:textId="77777777" w:rsidTr="00573453">
        <w:trPr>
          <w:trHeight w:val="255"/>
        </w:trPr>
        <w:tc>
          <w:tcPr>
            <w:tcW w:w="852" w:type="pct"/>
            <w:tcBorders>
              <w:top w:val="nil"/>
              <w:left w:val="nil"/>
              <w:bottom w:val="nil"/>
              <w:right w:val="nil"/>
            </w:tcBorders>
            <w:shd w:val="clear" w:color="auto" w:fill="auto"/>
            <w:vAlign w:val="bottom"/>
            <w:hideMark/>
          </w:tcPr>
          <w:p w14:paraId="7726020F"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0829E5CD"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Triple</w:t>
            </w:r>
          </w:p>
        </w:tc>
        <w:tc>
          <w:tcPr>
            <w:tcW w:w="2325" w:type="pct"/>
            <w:tcBorders>
              <w:top w:val="nil"/>
              <w:left w:val="nil"/>
              <w:bottom w:val="nil"/>
              <w:right w:val="nil"/>
            </w:tcBorders>
            <w:shd w:val="clear" w:color="auto" w:fill="auto"/>
            <w:noWrap/>
            <w:vAlign w:val="center"/>
            <w:hideMark/>
          </w:tcPr>
          <w:p w14:paraId="4A618F9C" w14:textId="77777777" w:rsidR="00573453" w:rsidRPr="004528E6" w:rsidRDefault="00573453" w:rsidP="006577FD">
            <w:pPr>
              <w:spacing w:after="0"/>
              <w:rPr>
                <w:sz w:val="20"/>
                <w:szCs w:val="20"/>
              </w:rPr>
            </w:pPr>
            <w:r w:rsidRPr="004528E6">
              <w:rPr>
                <w:sz w:val="20"/>
                <w:szCs w:val="20"/>
              </w:rPr>
              <w:t>Exenatide+Insulin+Metformin</w:t>
            </w:r>
          </w:p>
        </w:tc>
        <w:tc>
          <w:tcPr>
            <w:tcW w:w="495" w:type="pct"/>
            <w:tcBorders>
              <w:top w:val="nil"/>
              <w:left w:val="nil"/>
              <w:bottom w:val="nil"/>
              <w:right w:val="nil"/>
            </w:tcBorders>
            <w:shd w:val="clear" w:color="auto" w:fill="auto"/>
            <w:noWrap/>
            <w:vAlign w:val="center"/>
            <w:hideMark/>
          </w:tcPr>
          <w:p w14:paraId="1BCF3EF9" w14:textId="77777777" w:rsidR="00573453" w:rsidRPr="00AC12EF" w:rsidRDefault="00573453" w:rsidP="006577FD">
            <w:pPr>
              <w:spacing w:after="0"/>
              <w:jc w:val="right"/>
              <w:rPr>
                <w:sz w:val="20"/>
                <w:szCs w:val="20"/>
              </w:rPr>
            </w:pPr>
            <w:r w:rsidRPr="00AC12EF">
              <w:rPr>
                <w:sz w:val="20"/>
                <w:szCs w:val="20"/>
              </w:rPr>
              <w:t xml:space="preserve"> 1,235 </w:t>
            </w:r>
          </w:p>
        </w:tc>
        <w:tc>
          <w:tcPr>
            <w:tcW w:w="495" w:type="pct"/>
            <w:tcBorders>
              <w:top w:val="nil"/>
              <w:left w:val="nil"/>
              <w:bottom w:val="nil"/>
              <w:right w:val="nil"/>
            </w:tcBorders>
            <w:shd w:val="clear" w:color="auto" w:fill="auto"/>
            <w:noWrap/>
            <w:vAlign w:val="center"/>
            <w:hideMark/>
          </w:tcPr>
          <w:p w14:paraId="78AF8E20" w14:textId="58D845AB" w:rsidR="00573453" w:rsidRPr="00AC12EF" w:rsidRDefault="00573453" w:rsidP="006577FD">
            <w:pPr>
              <w:spacing w:after="0"/>
              <w:jc w:val="right"/>
              <w:rPr>
                <w:sz w:val="20"/>
                <w:szCs w:val="20"/>
              </w:rPr>
            </w:pPr>
            <w:r w:rsidRPr="00AC12EF">
              <w:rPr>
                <w:sz w:val="20"/>
                <w:szCs w:val="20"/>
              </w:rPr>
              <w:t>7.9</w:t>
            </w:r>
            <w:r w:rsidR="00913AB7">
              <w:rPr>
                <w:sz w:val="20"/>
                <w:szCs w:val="20"/>
              </w:rPr>
              <w:t xml:space="preserve"> </w:t>
            </w:r>
            <w:r w:rsidRPr="00AC12EF">
              <w:rPr>
                <w:sz w:val="20"/>
                <w:szCs w:val="20"/>
              </w:rPr>
              <w:t>%</w:t>
            </w:r>
          </w:p>
        </w:tc>
      </w:tr>
      <w:tr w:rsidR="00573453" w:rsidRPr="00DF32E3" w14:paraId="0A5940F5" w14:textId="77777777" w:rsidTr="00573453">
        <w:trPr>
          <w:trHeight w:val="255"/>
        </w:trPr>
        <w:tc>
          <w:tcPr>
            <w:tcW w:w="852" w:type="pct"/>
            <w:tcBorders>
              <w:top w:val="nil"/>
              <w:left w:val="nil"/>
              <w:bottom w:val="nil"/>
              <w:right w:val="nil"/>
            </w:tcBorders>
            <w:shd w:val="clear" w:color="auto" w:fill="auto"/>
            <w:vAlign w:val="bottom"/>
            <w:hideMark/>
          </w:tcPr>
          <w:p w14:paraId="64357667"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720C309F"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hideMark/>
          </w:tcPr>
          <w:p w14:paraId="58B2477C" w14:textId="77777777" w:rsidR="00573453" w:rsidRPr="004528E6" w:rsidRDefault="00573453" w:rsidP="006577FD">
            <w:pPr>
              <w:spacing w:after="0"/>
              <w:rPr>
                <w:sz w:val="20"/>
                <w:szCs w:val="20"/>
              </w:rPr>
            </w:pPr>
            <w:r w:rsidRPr="004528E6">
              <w:rPr>
                <w:sz w:val="20"/>
                <w:szCs w:val="20"/>
              </w:rPr>
              <w:t>Exenatide+Gliptin+Metformin</w:t>
            </w:r>
          </w:p>
        </w:tc>
        <w:tc>
          <w:tcPr>
            <w:tcW w:w="495" w:type="pct"/>
            <w:tcBorders>
              <w:top w:val="nil"/>
              <w:left w:val="nil"/>
              <w:bottom w:val="nil"/>
              <w:right w:val="nil"/>
            </w:tcBorders>
            <w:shd w:val="clear" w:color="auto" w:fill="auto"/>
            <w:noWrap/>
            <w:vAlign w:val="center"/>
            <w:hideMark/>
          </w:tcPr>
          <w:p w14:paraId="4A6D4653" w14:textId="77777777" w:rsidR="00573453" w:rsidRPr="00AC12EF" w:rsidRDefault="00573453" w:rsidP="006577FD">
            <w:pPr>
              <w:spacing w:after="0"/>
              <w:jc w:val="right"/>
              <w:rPr>
                <w:sz w:val="20"/>
                <w:szCs w:val="20"/>
              </w:rPr>
            </w:pPr>
            <w:r w:rsidRPr="00AC12EF">
              <w:rPr>
                <w:sz w:val="20"/>
                <w:szCs w:val="20"/>
              </w:rPr>
              <w:t xml:space="preserve"> 471 </w:t>
            </w:r>
          </w:p>
        </w:tc>
        <w:tc>
          <w:tcPr>
            <w:tcW w:w="495" w:type="pct"/>
            <w:tcBorders>
              <w:top w:val="nil"/>
              <w:left w:val="nil"/>
              <w:bottom w:val="nil"/>
              <w:right w:val="nil"/>
            </w:tcBorders>
            <w:shd w:val="clear" w:color="auto" w:fill="auto"/>
            <w:noWrap/>
            <w:vAlign w:val="center"/>
            <w:hideMark/>
          </w:tcPr>
          <w:p w14:paraId="5D2FB5AB" w14:textId="7BF58C15" w:rsidR="00573453" w:rsidRPr="00AC12EF" w:rsidRDefault="00573453" w:rsidP="006577FD">
            <w:pPr>
              <w:spacing w:after="0"/>
              <w:jc w:val="right"/>
              <w:rPr>
                <w:sz w:val="20"/>
                <w:szCs w:val="20"/>
              </w:rPr>
            </w:pPr>
            <w:r w:rsidRPr="00AC12EF">
              <w:rPr>
                <w:sz w:val="20"/>
                <w:szCs w:val="20"/>
              </w:rPr>
              <w:t>3.0</w:t>
            </w:r>
            <w:r w:rsidR="00913AB7">
              <w:rPr>
                <w:sz w:val="20"/>
                <w:szCs w:val="20"/>
              </w:rPr>
              <w:t xml:space="preserve"> </w:t>
            </w:r>
            <w:r w:rsidRPr="00AC12EF">
              <w:rPr>
                <w:sz w:val="20"/>
                <w:szCs w:val="20"/>
              </w:rPr>
              <w:t>%</w:t>
            </w:r>
          </w:p>
        </w:tc>
      </w:tr>
      <w:tr w:rsidR="00573453" w:rsidRPr="00DF32E3" w14:paraId="4EBBB6A0" w14:textId="77777777" w:rsidTr="00573453">
        <w:trPr>
          <w:trHeight w:val="198"/>
        </w:trPr>
        <w:tc>
          <w:tcPr>
            <w:tcW w:w="852" w:type="pct"/>
            <w:tcBorders>
              <w:top w:val="nil"/>
              <w:left w:val="nil"/>
              <w:bottom w:val="nil"/>
              <w:right w:val="nil"/>
            </w:tcBorders>
            <w:shd w:val="clear" w:color="auto" w:fill="auto"/>
            <w:vAlign w:val="bottom"/>
            <w:hideMark/>
          </w:tcPr>
          <w:p w14:paraId="1D1DB6B2"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17F68D47"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hideMark/>
          </w:tcPr>
          <w:p w14:paraId="6896A2A0" w14:textId="77777777" w:rsidR="00573453" w:rsidRPr="004528E6" w:rsidRDefault="00573453" w:rsidP="006577FD">
            <w:pPr>
              <w:spacing w:after="0"/>
              <w:rPr>
                <w:sz w:val="20"/>
                <w:szCs w:val="20"/>
              </w:rPr>
            </w:pPr>
            <w:r w:rsidRPr="004528E6">
              <w:rPr>
                <w:sz w:val="20"/>
                <w:szCs w:val="20"/>
              </w:rPr>
              <w:t>Exenatide+Insulin+Sulfonylurea</w:t>
            </w:r>
          </w:p>
        </w:tc>
        <w:tc>
          <w:tcPr>
            <w:tcW w:w="495" w:type="pct"/>
            <w:tcBorders>
              <w:top w:val="nil"/>
              <w:left w:val="nil"/>
              <w:bottom w:val="nil"/>
              <w:right w:val="nil"/>
            </w:tcBorders>
            <w:shd w:val="clear" w:color="auto" w:fill="auto"/>
            <w:noWrap/>
            <w:vAlign w:val="center"/>
            <w:hideMark/>
          </w:tcPr>
          <w:p w14:paraId="75E9B90D" w14:textId="77777777" w:rsidR="00573453" w:rsidRPr="00AC12EF" w:rsidRDefault="00573453" w:rsidP="006577FD">
            <w:pPr>
              <w:spacing w:after="0"/>
              <w:jc w:val="right"/>
              <w:rPr>
                <w:sz w:val="20"/>
                <w:szCs w:val="20"/>
              </w:rPr>
            </w:pPr>
            <w:r w:rsidRPr="00AC12EF">
              <w:rPr>
                <w:sz w:val="20"/>
                <w:szCs w:val="20"/>
              </w:rPr>
              <w:t xml:space="preserve"> 153 </w:t>
            </w:r>
          </w:p>
        </w:tc>
        <w:tc>
          <w:tcPr>
            <w:tcW w:w="495" w:type="pct"/>
            <w:tcBorders>
              <w:top w:val="nil"/>
              <w:left w:val="nil"/>
              <w:bottom w:val="nil"/>
              <w:right w:val="nil"/>
            </w:tcBorders>
            <w:shd w:val="clear" w:color="auto" w:fill="auto"/>
            <w:noWrap/>
            <w:vAlign w:val="center"/>
            <w:hideMark/>
          </w:tcPr>
          <w:p w14:paraId="226D1B44" w14:textId="160BEF1A" w:rsidR="00573453" w:rsidRPr="00AC12EF" w:rsidRDefault="00573453" w:rsidP="006577FD">
            <w:pPr>
              <w:spacing w:after="0"/>
              <w:jc w:val="right"/>
              <w:rPr>
                <w:sz w:val="20"/>
                <w:szCs w:val="20"/>
              </w:rPr>
            </w:pPr>
            <w:r w:rsidRPr="00AC12EF">
              <w:rPr>
                <w:sz w:val="20"/>
                <w:szCs w:val="20"/>
              </w:rPr>
              <w:t>1.0</w:t>
            </w:r>
            <w:r w:rsidR="00913AB7">
              <w:rPr>
                <w:sz w:val="20"/>
                <w:szCs w:val="20"/>
              </w:rPr>
              <w:t xml:space="preserve"> </w:t>
            </w:r>
            <w:r w:rsidRPr="00AC12EF">
              <w:rPr>
                <w:sz w:val="20"/>
                <w:szCs w:val="20"/>
              </w:rPr>
              <w:t>%</w:t>
            </w:r>
          </w:p>
        </w:tc>
      </w:tr>
      <w:tr w:rsidR="00573453" w:rsidRPr="00DF32E3" w14:paraId="3A604EB7" w14:textId="77777777" w:rsidTr="00573453">
        <w:trPr>
          <w:trHeight w:val="255"/>
        </w:trPr>
        <w:tc>
          <w:tcPr>
            <w:tcW w:w="852" w:type="pct"/>
            <w:tcBorders>
              <w:top w:val="nil"/>
              <w:left w:val="nil"/>
              <w:bottom w:val="nil"/>
              <w:right w:val="nil"/>
            </w:tcBorders>
            <w:shd w:val="clear" w:color="auto" w:fill="auto"/>
            <w:vAlign w:val="bottom"/>
            <w:hideMark/>
          </w:tcPr>
          <w:p w14:paraId="1259F770"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207638F7"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hideMark/>
          </w:tcPr>
          <w:p w14:paraId="727414D3" w14:textId="77777777" w:rsidR="00573453" w:rsidRPr="004528E6" w:rsidRDefault="00573453" w:rsidP="006577FD">
            <w:pPr>
              <w:spacing w:after="0"/>
              <w:rPr>
                <w:sz w:val="20"/>
                <w:szCs w:val="20"/>
              </w:rPr>
            </w:pPr>
            <w:r w:rsidRPr="004528E6">
              <w:rPr>
                <w:sz w:val="20"/>
                <w:szCs w:val="20"/>
              </w:rPr>
              <w:t>Exenatide+Gliptin+Sulfonylurea</w:t>
            </w:r>
          </w:p>
        </w:tc>
        <w:tc>
          <w:tcPr>
            <w:tcW w:w="495" w:type="pct"/>
            <w:tcBorders>
              <w:top w:val="nil"/>
              <w:left w:val="nil"/>
              <w:bottom w:val="nil"/>
              <w:right w:val="nil"/>
            </w:tcBorders>
            <w:shd w:val="clear" w:color="auto" w:fill="auto"/>
            <w:noWrap/>
            <w:vAlign w:val="center"/>
            <w:hideMark/>
          </w:tcPr>
          <w:p w14:paraId="6A4FCC39" w14:textId="77777777" w:rsidR="00573453" w:rsidRPr="00AC12EF" w:rsidRDefault="00573453" w:rsidP="006577FD">
            <w:pPr>
              <w:spacing w:after="0"/>
              <w:jc w:val="right"/>
              <w:rPr>
                <w:sz w:val="20"/>
                <w:szCs w:val="20"/>
              </w:rPr>
            </w:pPr>
            <w:r w:rsidRPr="00AC12EF">
              <w:rPr>
                <w:sz w:val="20"/>
                <w:szCs w:val="20"/>
              </w:rPr>
              <w:t xml:space="preserve"> 86 </w:t>
            </w:r>
          </w:p>
        </w:tc>
        <w:tc>
          <w:tcPr>
            <w:tcW w:w="495" w:type="pct"/>
            <w:tcBorders>
              <w:top w:val="nil"/>
              <w:left w:val="nil"/>
              <w:bottom w:val="nil"/>
              <w:right w:val="nil"/>
            </w:tcBorders>
            <w:shd w:val="clear" w:color="auto" w:fill="auto"/>
            <w:noWrap/>
            <w:vAlign w:val="center"/>
            <w:hideMark/>
          </w:tcPr>
          <w:p w14:paraId="125AA45D" w14:textId="62E07A75" w:rsidR="00573453" w:rsidRPr="00AC12EF" w:rsidRDefault="00573453" w:rsidP="006577FD">
            <w:pPr>
              <w:spacing w:after="0"/>
              <w:jc w:val="right"/>
              <w:rPr>
                <w:sz w:val="20"/>
                <w:szCs w:val="20"/>
              </w:rPr>
            </w:pPr>
            <w:r w:rsidRPr="00AC12EF">
              <w:rPr>
                <w:sz w:val="20"/>
                <w:szCs w:val="20"/>
              </w:rPr>
              <w:t>0.5</w:t>
            </w:r>
            <w:r w:rsidR="00913AB7">
              <w:rPr>
                <w:sz w:val="20"/>
                <w:szCs w:val="20"/>
              </w:rPr>
              <w:t xml:space="preserve"> </w:t>
            </w:r>
            <w:r w:rsidRPr="00AC12EF">
              <w:rPr>
                <w:sz w:val="20"/>
                <w:szCs w:val="20"/>
              </w:rPr>
              <w:t>%</w:t>
            </w:r>
          </w:p>
        </w:tc>
      </w:tr>
      <w:tr w:rsidR="00573453" w:rsidRPr="00DF32E3" w14:paraId="224CCE36" w14:textId="77777777" w:rsidTr="00573453">
        <w:trPr>
          <w:trHeight w:val="255"/>
        </w:trPr>
        <w:tc>
          <w:tcPr>
            <w:tcW w:w="852" w:type="pct"/>
            <w:tcBorders>
              <w:top w:val="nil"/>
              <w:left w:val="nil"/>
              <w:bottom w:val="nil"/>
              <w:right w:val="nil"/>
            </w:tcBorders>
            <w:shd w:val="clear" w:color="auto" w:fill="auto"/>
            <w:vAlign w:val="bottom"/>
            <w:hideMark/>
          </w:tcPr>
          <w:p w14:paraId="1BB88E89"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1240DF43"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hideMark/>
          </w:tcPr>
          <w:p w14:paraId="5DC1B760" w14:textId="77777777" w:rsidR="00573453" w:rsidRPr="004528E6" w:rsidRDefault="00573453" w:rsidP="006577FD">
            <w:pPr>
              <w:spacing w:after="0"/>
              <w:rPr>
                <w:sz w:val="20"/>
                <w:szCs w:val="20"/>
              </w:rPr>
            </w:pPr>
            <w:r w:rsidRPr="004528E6">
              <w:rPr>
                <w:sz w:val="20"/>
                <w:szCs w:val="20"/>
              </w:rPr>
              <w:t>Exenatide+Metformin+Pioglitazone</w:t>
            </w:r>
          </w:p>
        </w:tc>
        <w:tc>
          <w:tcPr>
            <w:tcW w:w="495" w:type="pct"/>
            <w:tcBorders>
              <w:top w:val="nil"/>
              <w:left w:val="nil"/>
              <w:bottom w:val="nil"/>
              <w:right w:val="nil"/>
            </w:tcBorders>
            <w:shd w:val="clear" w:color="auto" w:fill="auto"/>
            <w:noWrap/>
            <w:vAlign w:val="center"/>
            <w:hideMark/>
          </w:tcPr>
          <w:p w14:paraId="6BA4B3E4" w14:textId="77777777" w:rsidR="00573453" w:rsidRPr="00AC12EF" w:rsidRDefault="00573453" w:rsidP="006577FD">
            <w:pPr>
              <w:spacing w:after="0"/>
              <w:jc w:val="right"/>
              <w:rPr>
                <w:sz w:val="20"/>
                <w:szCs w:val="20"/>
              </w:rPr>
            </w:pPr>
            <w:r w:rsidRPr="00AC12EF">
              <w:rPr>
                <w:sz w:val="20"/>
                <w:szCs w:val="20"/>
              </w:rPr>
              <w:t xml:space="preserve"> 47 </w:t>
            </w:r>
          </w:p>
        </w:tc>
        <w:tc>
          <w:tcPr>
            <w:tcW w:w="495" w:type="pct"/>
            <w:tcBorders>
              <w:top w:val="nil"/>
              <w:left w:val="nil"/>
              <w:bottom w:val="nil"/>
              <w:right w:val="nil"/>
            </w:tcBorders>
            <w:shd w:val="clear" w:color="auto" w:fill="auto"/>
            <w:noWrap/>
            <w:vAlign w:val="center"/>
            <w:hideMark/>
          </w:tcPr>
          <w:p w14:paraId="28961FC0" w14:textId="58C6B551" w:rsidR="00573453" w:rsidRPr="00AC12EF" w:rsidRDefault="00573453" w:rsidP="006577FD">
            <w:pPr>
              <w:spacing w:after="0"/>
              <w:jc w:val="right"/>
              <w:rPr>
                <w:sz w:val="20"/>
                <w:szCs w:val="20"/>
              </w:rPr>
            </w:pPr>
            <w:r w:rsidRPr="00AC12EF">
              <w:rPr>
                <w:sz w:val="20"/>
                <w:szCs w:val="20"/>
              </w:rPr>
              <w:t>0.3</w:t>
            </w:r>
            <w:r w:rsidR="00913AB7">
              <w:rPr>
                <w:sz w:val="20"/>
                <w:szCs w:val="20"/>
              </w:rPr>
              <w:t xml:space="preserve"> </w:t>
            </w:r>
            <w:r w:rsidRPr="00AC12EF">
              <w:rPr>
                <w:sz w:val="20"/>
                <w:szCs w:val="20"/>
              </w:rPr>
              <w:t>%</w:t>
            </w:r>
          </w:p>
        </w:tc>
      </w:tr>
      <w:tr w:rsidR="00573453" w:rsidRPr="00DF32E3" w14:paraId="4722FF2F" w14:textId="77777777" w:rsidTr="00573453">
        <w:trPr>
          <w:trHeight w:val="255"/>
        </w:trPr>
        <w:tc>
          <w:tcPr>
            <w:tcW w:w="852" w:type="pct"/>
            <w:tcBorders>
              <w:top w:val="nil"/>
              <w:left w:val="nil"/>
              <w:bottom w:val="nil"/>
              <w:right w:val="nil"/>
            </w:tcBorders>
            <w:shd w:val="clear" w:color="auto" w:fill="auto"/>
            <w:vAlign w:val="bottom"/>
            <w:hideMark/>
          </w:tcPr>
          <w:p w14:paraId="778FAFB3"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5E546E2C"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hideMark/>
          </w:tcPr>
          <w:p w14:paraId="68136978" w14:textId="77777777" w:rsidR="00573453" w:rsidRPr="00EB2C27" w:rsidRDefault="00573453" w:rsidP="006577FD">
            <w:pPr>
              <w:spacing w:after="0"/>
              <w:rPr>
                <w:sz w:val="20"/>
                <w:szCs w:val="20"/>
              </w:rPr>
            </w:pPr>
            <w:r w:rsidRPr="00EB2C27">
              <w:rPr>
                <w:sz w:val="20"/>
                <w:szCs w:val="20"/>
              </w:rPr>
              <w:t>Acarbose+Exenatide+Metformin</w:t>
            </w:r>
          </w:p>
        </w:tc>
        <w:tc>
          <w:tcPr>
            <w:tcW w:w="495" w:type="pct"/>
            <w:tcBorders>
              <w:top w:val="nil"/>
              <w:left w:val="nil"/>
              <w:bottom w:val="nil"/>
              <w:right w:val="nil"/>
            </w:tcBorders>
            <w:shd w:val="clear" w:color="auto" w:fill="auto"/>
            <w:noWrap/>
            <w:vAlign w:val="center"/>
            <w:hideMark/>
          </w:tcPr>
          <w:p w14:paraId="4BC2187B" w14:textId="77777777" w:rsidR="00573453" w:rsidRPr="004528E6" w:rsidRDefault="00573453" w:rsidP="006577FD">
            <w:pPr>
              <w:spacing w:after="0"/>
              <w:jc w:val="right"/>
              <w:rPr>
                <w:sz w:val="20"/>
                <w:szCs w:val="20"/>
              </w:rPr>
            </w:pPr>
            <w:r w:rsidRPr="004528E6">
              <w:rPr>
                <w:sz w:val="20"/>
                <w:szCs w:val="20"/>
              </w:rPr>
              <w:t xml:space="preserve"> 31 </w:t>
            </w:r>
          </w:p>
        </w:tc>
        <w:tc>
          <w:tcPr>
            <w:tcW w:w="495" w:type="pct"/>
            <w:tcBorders>
              <w:top w:val="nil"/>
              <w:left w:val="nil"/>
              <w:bottom w:val="nil"/>
              <w:right w:val="nil"/>
            </w:tcBorders>
            <w:shd w:val="clear" w:color="auto" w:fill="auto"/>
            <w:noWrap/>
            <w:vAlign w:val="center"/>
            <w:hideMark/>
          </w:tcPr>
          <w:p w14:paraId="7031F222" w14:textId="5A26C3F5" w:rsidR="00573453" w:rsidRPr="004528E6" w:rsidRDefault="00573453" w:rsidP="006577FD">
            <w:pPr>
              <w:spacing w:after="0"/>
              <w:jc w:val="right"/>
              <w:rPr>
                <w:sz w:val="20"/>
                <w:szCs w:val="20"/>
              </w:rPr>
            </w:pPr>
            <w:r w:rsidRPr="004528E6">
              <w:rPr>
                <w:sz w:val="20"/>
                <w:szCs w:val="20"/>
              </w:rPr>
              <w:t>0.2</w:t>
            </w:r>
            <w:r w:rsidR="00913AB7">
              <w:rPr>
                <w:sz w:val="20"/>
                <w:szCs w:val="20"/>
              </w:rPr>
              <w:t xml:space="preserve"> </w:t>
            </w:r>
            <w:r w:rsidRPr="004528E6">
              <w:rPr>
                <w:sz w:val="20"/>
                <w:szCs w:val="20"/>
              </w:rPr>
              <w:t>%</w:t>
            </w:r>
          </w:p>
        </w:tc>
      </w:tr>
      <w:tr w:rsidR="00573453" w:rsidRPr="00DF32E3" w14:paraId="6971E129" w14:textId="77777777" w:rsidTr="00573453">
        <w:trPr>
          <w:trHeight w:val="255"/>
        </w:trPr>
        <w:tc>
          <w:tcPr>
            <w:tcW w:w="852" w:type="pct"/>
            <w:tcBorders>
              <w:top w:val="nil"/>
              <w:left w:val="nil"/>
              <w:bottom w:val="nil"/>
              <w:right w:val="nil"/>
            </w:tcBorders>
            <w:shd w:val="clear" w:color="auto" w:fill="auto"/>
            <w:vAlign w:val="bottom"/>
            <w:hideMark/>
          </w:tcPr>
          <w:p w14:paraId="24A47914"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54C5C749"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hideMark/>
          </w:tcPr>
          <w:p w14:paraId="427B1F40" w14:textId="77777777" w:rsidR="00573453" w:rsidRPr="00EB2C27" w:rsidRDefault="00573453" w:rsidP="006577FD">
            <w:pPr>
              <w:spacing w:after="0"/>
              <w:rPr>
                <w:sz w:val="20"/>
                <w:szCs w:val="20"/>
              </w:rPr>
            </w:pPr>
            <w:r w:rsidRPr="00EB2C27">
              <w:rPr>
                <w:sz w:val="20"/>
                <w:szCs w:val="20"/>
              </w:rPr>
              <w:t>Acarbose+Exenatide+Sulfonylurea</w:t>
            </w:r>
          </w:p>
        </w:tc>
        <w:tc>
          <w:tcPr>
            <w:tcW w:w="495" w:type="pct"/>
            <w:tcBorders>
              <w:top w:val="nil"/>
              <w:left w:val="nil"/>
              <w:bottom w:val="nil"/>
              <w:right w:val="nil"/>
            </w:tcBorders>
            <w:shd w:val="clear" w:color="auto" w:fill="auto"/>
            <w:noWrap/>
            <w:vAlign w:val="center"/>
            <w:hideMark/>
          </w:tcPr>
          <w:p w14:paraId="086AAB07" w14:textId="77777777" w:rsidR="00573453" w:rsidRPr="004528E6" w:rsidRDefault="00573453" w:rsidP="006577FD">
            <w:pPr>
              <w:spacing w:after="0"/>
              <w:jc w:val="right"/>
              <w:rPr>
                <w:sz w:val="20"/>
                <w:szCs w:val="20"/>
              </w:rPr>
            </w:pPr>
            <w:r w:rsidRPr="004528E6">
              <w:rPr>
                <w:sz w:val="20"/>
                <w:szCs w:val="20"/>
              </w:rPr>
              <w:t xml:space="preserve"> 10 </w:t>
            </w:r>
          </w:p>
        </w:tc>
        <w:tc>
          <w:tcPr>
            <w:tcW w:w="495" w:type="pct"/>
            <w:tcBorders>
              <w:top w:val="nil"/>
              <w:left w:val="nil"/>
              <w:bottom w:val="nil"/>
              <w:right w:val="nil"/>
            </w:tcBorders>
            <w:shd w:val="clear" w:color="auto" w:fill="auto"/>
            <w:noWrap/>
            <w:vAlign w:val="center"/>
            <w:hideMark/>
          </w:tcPr>
          <w:p w14:paraId="7F2FD7AC" w14:textId="1C387E8C" w:rsidR="00573453" w:rsidRPr="004528E6" w:rsidRDefault="00573453" w:rsidP="006577FD">
            <w:pPr>
              <w:spacing w:after="0"/>
              <w:jc w:val="right"/>
              <w:rPr>
                <w:sz w:val="20"/>
                <w:szCs w:val="20"/>
              </w:rPr>
            </w:pPr>
            <w:r w:rsidRPr="004528E6">
              <w:rPr>
                <w:sz w:val="20"/>
                <w:szCs w:val="20"/>
              </w:rPr>
              <w:t>0.1</w:t>
            </w:r>
            <w:r w:rsidR="00913AB7">
              <w:rPr>
                <w:sz w:val="20"/>
                <w:szCs w:val="20"/>
              </w:rPr>
              <w:t xml:space="preserve"> </w:t>
            </w:r>
            <w:r w:rsidRPr="004528E6">
              <w:rPr>
                <w:sz w:val="20"/>
                <w:szCs w:val="20"/>
              </w:rPr>
              <w:t>%</w:t>
            </w:r>
          </w:p>
        </w:tc>
      </w:tr>
      <w:tr w:rsidR="00573453" w:rsidRPr="00DF32E3" w14:paraId="25A1EDA4" w14:textId="77777777" w:rsidTr="00573453">
        <w:trPr>
          <w:trHeight w:val="255"/>
        </w:trPr>
        <w:tc>
          <w:tcPr>
            <w:tcW w:w="852" w:type="pct"/>
            <w:tcBorders>
              <w:top w:val="nil"/>
              <w:left w:val="nil"/>
              <w:bottom w:val="nil"/>
              <w:right w:val="nil"/>
            </w:tcBorders>
            <w:shd w:val="clear" w:color="auto" w:fill="auto"/>
            <w:vAlign w:val="bottom"/>
            <w:hideMark/>
          </w:tcPr>
          <w:p w14:paraId="50D7CF84"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0240CAD5"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hideMark/>
          </w:tcPr>
          <w:p w14:paraId="0AB1F29F" w14:textId="77777777" w:rsidR="00573453" w:rsidRPr="004528E6" w:rsidRDefault="00573453" w:rsidP="006577FD">
            <w:pPr>
              <w:spacing w:after="0"/>
              <w:rPr>
                <w:sz w:val="20"/>
                <w:szCs w:val="20"/>
              </w:rPr>
            </w:pPr>
            <w:r w:rsidRPr="004528E6">
              <w:rPr>
                <w:sz w:val="20"/>
                <w:szCs w:val="20"/>
              </w:rPr>
              <w:t xml:space="preserve">Other regimens with &lt; 20 patients each  </w:t>
            </w:r>
          </w:p>
        </w:tc>
        <w:tc>
          <w:tcPr>
            <w:tcW w:w="495" w:type="pct"/>
            <w:tcBorders>
              <w:top w:val="nil"/>
              <w:left w:val="nil"/>
              <w:bottom w:val="nil"/>
              <w:right w:val="nil"/>
            </w:tcBorders>
            <w:shd w:val="clear" w:color="auto" w:fill="auto"/>
            <w:noWrap/>
            <w:vAlign w:val="center"/>
            <w:hideMark/>
          </w:tcPr>
          <w:p w14:paraId="67B57BCD" w14:textId="77777777" w:rsidR="00573453" w:rsidRPr="00AC12EF" w:rsidRDefault="00573453" w:rsidP="006577FD">
            <w:pPr>
              <w:spacing w:after="0"/>
              <w:jc w:val="right"/>
              <w:rPr>
                <w:sz w:val="20"/>
                <w:szCs w:val="20"/>
              </w:rPr>
            </w:pPr>
            <w:r w:rsidRPr="00AC12EF">
              <w:rPr>
                <w:sz w:val="20"/>
                <w:szCs w:val="20"/>
              </w:rPr>
              <w:t xml:space="preserve"> 40 </w:t>
            </w:r>
          </w:p>
        </w:tc>
        <w:tc>
          <w:tcPr>
            <w:tcW w:w="495" w:type="pct"/>
            <w:tcBorders>
              <w:top w:val="nil"/>
              <w:left w:val="nil"/>
              <w:bottom w:val="nil"/>
              <w:right w:val="nil"/>
            </w:tcBorders>
            <w:shd w:val="clear" w:color="auto" w:fill="auto"/>
            <w:noWrap/>
            <w:vAlign w:val="center"/>
            <w:hideMark/>
          </w:tcPr>
          <w:p w14:paraId="385B6797" w14:textId="3E5B93F5" w:rsidR="00573453" w:rsidRPr="00AC12EF" w:rsidRDefault="00573453" w:rsidP="006577FD">
            <w:pPr>
              <w:spacing w:after="0"/>
              <w:jc w:val="right"/>
              <w:rPr>
                <w:sz w:val="20"/>
                <w:szCs w:val="20"/>
              </w:rPr>
            </w:pPr>
            <w:r w:rsidRPr="00AC12EF">
              <w:rPr>
                <w:sz w:val="20"/>
                <w:szCs w:val="20"/>
              </w:rPr>
              <w:t>0.3</w:t>
            </w:r>
            <w:r w:rsidR="00913AB7">
              <w:rPr>
                <w:sz w:val="20"/>
                <w:szCs w:val="20"/>
              </w:rPr>
              <w:t xml:space="preserve"> </w:t>
            </w:r>
            <w:r w:rsidRPr="00AC12EF">
              <w:rPr>
                <w:sz w:val="20"/>
                <w:szCs w:val="20"/>
              </w:rPr>
              <w:t>%</w:t>
            </w:r>
          </w:p>
        </w:tc>
      </w:tr>
      <w:tr w:rsidR="00573453" w:rsidRPr="00DF32E3" w14:paraId="0754A701" w14:textId="77777777" w:rsidTr="00573453">
        <w:trPr>
          <w:trHeight w:val="255"/>
        </w:trPr>
        <w:tc>
          <w:tcPr>
            <w:tcW w:w="852" w:type="pct"/>
            <w:tcBorders>
              <w:top w:val="nil"/>
              <w:left w:val="nil"/>
              <w:bottom w:val="nil"/>
              <w:right w:val="nil"/>
            </w:tcBorders>
            <w:shd w:val="clear" w:color="auto" w:fill="auto"/>
            <w:vAlign w:val="bottom"/>
            <w:hideMark/>
          </w:tcPr>
          <w:p w14:paraId="502661A0"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6B7C280A"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Triple Total</w:t>
            </w:r>
          </w:p>
        </w:tc>
        <w:tc>
          <w:tcPr>
            <w:tcW w:w="2325" w:type="pct"/>
            <w:tcBorders>
              <w:top w:val="nil"/>
              <w:left w:val="nil"/>
              <w:bottom w:val="nil"/>
              <w:right w:val="nil"/>
            </w:tcBorders>
            <w:shd w:val="clear" w:color="auto" w:fill="auto"/>
            <w:noWrap/>
            <w:vAlign w:val="center"/>
            <w:hideMark/>
          </w:tcPr>
          <w:p w14:paraId="1518FD93" w14:textId="77777777" w:rsidR="00573453" w:rsidRPr="004528E6" w:rsidRDefault="00573453" w:rsidP="006577FD">
            <w:pPr>
              <w:spacing w:after="0"/>
              <w:rPr>
                <w:sz w:val="20"/>
                <w:szCs w:val="20"/>
              </w:rPr>
            </w:pPr>
          </w:p>
        </w:tc>
        <w:tc>
          <w:tcPr>
            <w:tcW w:w="495" w:type="pct"/>
            <w:tcBorders>
              <w:top w:val="nil"/>
              <w:left w:val="nil"/>
              <w:bottom w:val="nil"/>
              <w:right w:val="nil"/>
            </w:tcBorders>
            <w:shd w:val="clear" w:color="auto" w:fill="auto"/>
            <w:noWrap/>
            <w:vAlign w:val="center"/>
            <w:hideMark/>
          </w:tcPr>
          <w:p w14:paraId="7AC4A021" w14:textId="77777777" w:rsidR="00573453" w:rsidRPr="00AC12EF" w:rsidRDefault="00573453" w:rsidP="006577FD">
            <w:pPr>
              <w:spacing w:after="0"/>
              <w:jc w:val="right"/>
              <w:rPr>
                <w:sz w:val="20"/>
                <w:szCs w:val="20"/>
              </w:rPr>
            </w:pPr>
            <w:r w:rsidRPr="00AC12EF">
              <w:rPr>
                <w:sz w:val="20"/>
                <w:szCs w:val="20"/>
              </w:rPr>
              <w:t xml:space="preserve"> 2,0</w:t>
            </w:r>
            <w:r>
              <w:rPr>
                <w:sz w:val="20"/>
                <w:szCs w:val="20"/>
              </w:rPr>
              <w:t>73</w:t>
            </w:r>
            <w:r w:rsidRPr="00AC12EF">
              <w:rPr>
                <w:sz w:val="20"/>
                <w:szCs w:val="20"/>
              </w:rPr>
              <w:t xml:space="preserve"> </w:t>
            </w:r>
          </w:p>
        </w:tc>
        <w:tc>
          <w:tcPr>
            <w:tcW w:w="495" w:type="pct"/>
            <w:tcBorders>
              <w:top w:val="nil"/>
              <w:left w:val="nil"/>
              <w:bottom w:val="nil"/>
              <w:right w:val="nil"/>
            </w:tcBorders>
            <w:shd w:val="clear" w:color="auto" w:fill="auto"/>
            <w:noWrap/>
            <w:vAlign w:val="center"/>
            <w:hideMark/>
          </w:tcPr>
          <w:p w14:paraId="644006E0" w14:textId="5A47E256" w:rsidR="00573453" w:rsidRPr="00AC12EF" w:rsidRDefault="00573453" w:rsidP="006577FD">
            <w:pPr>
              <w:spacing w:after="0"/>
              <w:jc w:val="right"/>
              <w:rPr>
                <w:sz w:val="20"/>
                <w:szCs w:val="20"/>
              </w:rPr>
            </w:pPr>
            <w:r>
              <w:rPr>
                <w:sz w:val="20"/>
                <w:szCs w:val="20"/>
              </w:rPr>
              <w:t>13.3</w:t>
            </w:r>
            <w:r w:rsidR="00913AB7">
              <w:rPr>
                <w:sz w:val="20"/>
                <w:szCs w:val="20"/>
              </w:rPr>
              <w:t xml:space="preserve"> </w:t>
            </w:r>
            <w:r w:rsidRPr="00AC12EF">
              <w:rPr>
                <w:sz w:val="20"/>
                <w:szCs w:val="20"/>
              </w:rPr>
              <w:t>%</w:t>
            </w:r>
          </w:p>
        </w:tc>
      </w:tr>
      <w:tr w:rsidR="00573453" w:rsidRPr="00DF32E3" w14:paraId="040FCB0A" w14:textId="77777777" w:rsidTr="00573453">
        <w:trPr>
          <w:trHeight w:val="255"/>
        </w:trPr>
        <w:tc>
          <w:tcPr>
            <w:tcW w:w="852" w:type="pct"/>
            <w:tcBorders>
              <w:top w:val="nil"/>
              <w:left w:val="nil"/>
              <w:bottom w:val="nil"/>
              <w:right w:val="nil"/>
            </w:tcBorders>
            <w:shd w:val="clear" w:color="auto" w:fill="auto"/>
            <w:vAlign w:val="bottom"/>
          </w:tcPr>
          <w:p w14:paraId="55978CDB"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tcPr>
          <w:p w14:paraId="32038FF1"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tcPr>
          <w:p w14:paraId="4DB5D6FC" w14:textId="77777777" w:rsidR="00573453" w:rsidRPr="004528E6" w:rsidRDefault="00573453" w:rsidP="006577FD">
            <w:pPr>
              <w:spacing w:after="0"/>
              <w:rPr>
                <w:sz w:val="20"/>
                <w:szCs w:val="20"/>
              </w:rPr>
            </w:pPr>
          </w:p>
        </w:tc>
        <w:tc>
          <w:tcPr>
            <w:tcW w:w="495" w:type="pct"/>
            <w:tcBorders>
              <w:top w:val="nil"/>
              <w:left w:val="nil"/>
              <w:bottom w:val="nil"/>
              <w:right w:val="nil"/>
            </w:tcBorders>
            <w:shd w:val="clear" w:color="auto" w:fill="auto"/>
            <w:noWrap/>
            <w:vAlign w:val="center"/>
          </w:tcPr>
          <w:p w14:paraId="5405517F" w14:textId="77777777" w:rsidR="00573453" w:rsidRPr="00AC12EF" w:rsidRDefault="00573453" w:rsidP="006577FD">
            <w:pPr>
              <w:spacing w:after="0"/>
              <w:jc w:val="right"/>
              <w:rPr>
                <w:sz w:val="20"/>
                <w:szCs w:val="20"/>
              </w:rPr>
            </w:pPr>
          </w:p>
        </w:tc>
        <w:tc>
          <w:tcPr>
            <w:tcW w:w="495" w:type="pct"/>
            <w:tcBorders>
              <w:top w:val="nil"/>
              <w:left w:val="nil"/>
              <w:bottom w:val="nil"/>
              <w:right w:val="nil"/>
            </w:tcBorders>
            <w:shd w:val="clear" w:color="auto" w:fill="auto"/>
            <w:noWrap/>
            <w:vAlign w:val="center"/>
          </w:tcPr>
          <w:p w14:paraId="6B1447B5" w14:textId="77777777" w:rsidR="00573453" w:rsidRPr="00AC12EF" w:rsidRDefault="00573453" w:rsidP="006577FD">
            <w:pPr>
              <w:spacing w:after="0"/>
              <w:jc w:val="right"/>
              <w:rPr>
                <w:sz w:val="20"/>
                <w:szCs w:val="20"/>
              </w:rPr>
            </w:pPr>
          </w:p>
        </w:tc>
      </w:tr>
      <w:tr w:rsidR="00573453" w:rsidRPr="00DF32E3" w14:paraId="456F8B47" w14:textId="77777777" w:rsidTr="00573453">
        <w:trPr>
          <w:trHeight w:val="255"/>
        </w:trPr>
        <w:tc>
          <w:tcPr>
            <w:tcW w:w="852" w:type="pct"/>
            <w:tcBorders>
              <w:top w:val="nil"/>
              <w:left w:val="nil"/>
              <w:bottom w:val="nil"/>
              <w:right w:val="nil"/>
            </w:tcBorders>
            <w:shd w:val="clear" w:color="auto" w:fill="auto"/>
            <w:vAlign w:val="bottom"/>
            <w:hideMark/>
          </w:tcPr>
          <w:p w14:paraId="6CED01D7"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5B6C92AF"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Quad or more</w:t>
            </w:r>
          </w:p>
        </w:tc>
        <w:tc>
          <w:tcPr>
            <w:tcW w:w="2325" w:type="pct"/>
            <w:tcBorders>
              <w:top w:val="nil"/>
              <w:left w:val="nil"/>
              <w:bottom w:val="nil"/>
              <w:right w:val="nil"/>
            </w:tcBorders>
            <w:shd w:val="clear" w:color="auto" w:fill="auto"/>
            <w:noWrap/>
            <w:vAlign w:val="center"/>
            <w:hideMark/>
          </w:tcPr>
          <w:p w14:paraId="6F442DE5" w14:textId="77777777" w:rsidR="00573453" w:rsidRPr="004528E6" w:rsidRDefault="00573453" w:rsidP="006577FD">
            <w:pPr>
              <w:spacing w:after="0"/>
              <w:rPr>
                <w:sz w:val="20"/>
                <w:szCs w:val="20"/>
              </w:rPr>
            </w:pPr>
            <w:r w:rsidRPr="004528E6">
              <w:rPr>
                <w:sz w:val="20"/>
                <w:szCs w:val="20"/>
              </w:rPr>
              <w:t>Exenatide+Insulin+Metformin+Sulfonylurea</w:t>
            </w:r>
          </w:p>
        </w:tc>
        <w:tc>
          <w:tcPr>
            <w:tcW w:w="495" w:type="pct"/>
            <w:tcBorders>
              <w:top w:val="nil"/>
              <w:left w:val="nil"/>
              <w:bottom w:val="nil"/>
              <w:right w:val="nil"/>
            </w:tcBorders>
            <w:shd w:val="clear" w:color="auto" w:fill="auto"/>
            <w:noWrap/>
            <w:vAlign w:val="center"/>
            <w:hideMark/>
          </w:tcPr>
          <w:p w14:paraId="25A1A0BB" w14:textId="77777777" w:rsidR="00573453" w:rsidRPr="00AC12EF" w:rsidRDefault="00573453" w:rsidP="006577FD">
            <w:pPr>
              <w:spacing w:after="0"/>
              <w:jc w:val="right"/>
              <w:rPr>
                <w:sz w:val="20"/>
                <w:szCs w:val="20"/>
              </w:rPr>
            </w:pPr>
            <w:r w:rsidRPr="00AC12EF">
              <w:rPr>
                <w:sz w:val="20"/>
                <w:szCs w:val="20"/>
              </w:rPr>
              <w:t xml:space="preserve"> 840 </w:t>
            </w:r>
          </w:p>
        </w:tc>
        <w:tc>
          <w:tcPr>
            <w:tcW w:w="495" w:type="pct"/>
            <w:tcBorders>
              <w:top w:val="nil"/>
              <w:left w:val="nil"/>
              <w:bottom w:val="nil"/>
              <w:right w:val="nil"/>
            </w:tcBorders>
            <w:shd w:val="clear" w:color="auto" w:fill="auto"/>
            <w:noWrap/>
            <w:vAlign w:val="center"/>
            <w:hideMark/>
          </w:tcPr>
          <w:p w14:paraId="449FE70C" w14:textId="12C2F043" w:rsidR="00573453" w:rsidRPr="00AC12EF" w:rsidRDefault="00573453" w:rsidP="006577FD">
            <w:pPr>
              <w:spacing w:after="0"/>
              <w:jc w:val="right"/>
              <w:rPr>
                <w:sz w:val="20"/>
                <w:szCs w:val="20"/>
              </w:rPr>
            </w:pPr>
            <w:r w:rsidRPr="00AC12EF">
              <w:rPr>
                <w:sz w:val="20"/>
                <w:szCs w:val="20"/>
              </w:rPr>
              <w:t>5.3</w:t>
            </w:r>
            <w:r w:rsidR="00913AB7">
              <w:rPr>
                <w:sz w:val="20"/>
                <w:szCs w:val="20"/>
              </w:rPr>
              <w:t xml:space="preserve"> </w:t>
            </w:r>
            <w:r w:rsidRPr="00AC12EF">
              <w:rPr>
                <w:sz w:val="20"/>
                <w:szCs w:val="20"/>
              </w:rPr>
              <w:t>%</w:t>
            </w:r>
          </w:p>
        </w:tc>
      </w:tr>
      <w:tr w:rsidR="00573453" w:rsidRPr="00DF32E3" w14:paraId="31C95A06" w14:textId="77777777" w:rsidTr="00573453">
        <w:trPr>
          <w:trHeight w:val="255"/>
        </w:trPr>
        <w:tc>
          <w:tcPr>
            <w:tcW w:w="852" w:type="pct"/>
            <w:tcBorders>
              <w:top w:val="nil"/>
              <w:left w:val="nil"/>
              <w:bottom w:val="nil"/>
              <w:right w:val="nil"/>
            </w:tcBorders>
            <w:shd w:val="clear" w:color="auto" w:fill="auto"/>
            <w:vAlign w:val="bottom"/>
            <w:hideMark/>
          </w:tcPr>
          <w:p w14:paraId="633F0D6A"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04F2878F"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hideMark/>
          </w:tcPr>
          <w:p w14:paraId="67472993" w14:textId="77777777" w:rsidR="00573453" w:rsidRPr="004528E6" w:rsidRDefault="00573453" w:rsidP="006577FD">
            <w:pPr>
              <w:spacing w:after="0"/>
              <w:rPr>
                <w:sz w:val="20"/>
                <w:szCs w:val="20"/>
              </w:rPr>
            </w:pPr>
            <w:r w:rsidRPr="004528E6">
              <w:rPr>
                <w:sz w:val="20"/>
                <w:szCs w:val="20"/>
              </w:rPr>
              <w:t>Exenatide+Gliptin+Metformin+Sulfonylurea</w:t>
            </w:r>
          </w:p>
        </w:tc>
        <w:tc>
          <w:tcPr>
            <w:tcW w:w="495" w:type="pct"/>
            <w:tcBorders>
              <w:top w:val="nil"/>
              <w:left w:val="nil"/>
              <w:bottom w:val="nil"/>
              <w:right w:val="nil"/>
            </w:tcBorders>
            <w:shd w:val="clear" w:color="auto" w:fill="auto"/>
            <w:noWrap/>
            <w:vAlign w:val="center"/>
            <w:hideMark/>
          </w:tcPr>
          <w:p w14:paraId="3012E82F" w14:textId="77777777" w:rsidR="00573453" w:rsidRPr="00AC12EF" w:rsidRDefault="00573453" w:rsidP="006577FD">
            <w:pPr>
              <w:spacing w:after="0"/>
              <w:jc w:val="right"/>
              <w:rPr>
                <w:sz w:val="20"/>
                <w:szCs w:val="20"/>
              </w:rPr>
            </w:pPr>
            <w:r w:rsidRPr="00AC12EF">
              <w:rPr>
                <w:sz w:val="20"/>
                <w:szCs w:val="20"/>
              </w:rPr>
              <w:t xml:space="preserve"> 272 </w:t>
            </w:r>
          </w:p>
        </w:tc>
        <w:tc>
          <w:tcPr>
            <w:tcW w:w="495" w:type="pct"/>
            <w:tcBorders>
              <w:top w:val="nil"/>
              <w:left w:val="nil"/>
              <w:bottom w:val="nil"/>
              <w:right w:val="nil"/>
            </w:tcBorders>
            <w:shd w:val="clear" w:color="auto" w:fill="auto"/>
            <w:noWrap/>
            <w:vAlign w:val="center"/>
            <w:hideMark/>
          </w:tcPr>
          <w:p w14:paraId="60622F9C" w14:textId="5B87E6D9" w:rsidR="00573453" w:rsidRPr="00AC12EF" w:rsidRDefault="00573453" w:rsidP="006577FD">
            <w:pPr>
              <w:spacing w:after="0"/>
              <w:jc w:val="right"/>
              <w:rPr>
                <w:sz w:val="20"/>
                <w:szCs w:val="20"/>
              </w:rPr>
            </w:pPr>
            <w:r w:rsidRPr="00AC12EF">
              <w:rPr>
                <w:sz w:val="20"/>
                <w:szCs w:val="20"/>
              </w:rPr>
              <w:t>1.7</w:t>
            </w:r>
            <w:r w:rsidR="00913AB7">
              <w:rPr>
                <w:sz w:val="20"/>
                <w:szCs w:val="20"/>
              </w:rPr>
              <w:t xml:space="preserve"> </w:t>
            </w:r>
            <w:r w:rsidRPr="00AC12EF">
              <w:rPr>
                <w:sz w:val="20"/>
                <w:szCs w:val="20"/>
              </w:rPr>
              <w:t>%</w:t>
            </w:r>
          </w:p>
        </w:tc>
      </w:tr>
      <w:tr w:rsidR="00573453" w:rsidRPr="00DF32E3" w14:paraId="0B0E63D6" w14:textId="77777777" w:rsidTr="00573453">
        <w:trPr>
          <w:trHeight w:val="255"/>
        </w:trPr>
        <w:tc>
          <w:tcPr>
            <w:tcW w:w="852" w:type="pct"/>
            <w:tcBorders>
              <w:top w:val="nil"/>
              <w:left w:val="nil"/>
              <w:bottom w:val="nil"/>
              <w:right w:val="nil"/>
            </w:tcBorders>
            <w:shd w:val="clear" w:color="auto" w:fill="auto"/>
            <w:vAlign w:val="bottom"/>
            <w:hideMark/>
          </w:tcPr>
          <w:p w14:paraId="148F76AB"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5EC83378"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hideMark/>
          </w:tcPr>
          <w:p w14:paraId="416B6905" w14:textId="77777777" w:rsidR="00573453" w:rsidRPr="004528E6" w:rsidRDefault="00573453" w:rsidP="006577FD">
            <w:pPr>
              <w:spacing w:after="0"/>
              <w:rPr>
                <w:sz w:val="20"/>
                <w:szCs w:val="20"/>
              </w:rPr>
            </w:pPr>
            <w:r w:rsidRPr="004528E6">
              <w:rPr>
                <w:sz w:val="20"/>
                <w:szCs w:val="20"/>
              </w:rPr>
              <w:t xml:space="preserve">Other regimens with &lt; 20 patients each   </w:t>
            </w:r>
          </w:p>
        </w:tc>
        <w:tc>
          <w:tcPr>
            <w:tcW w:w="495" w:type="pct"/>
            <w:tcBorders>
              <w:top w:val="nil"/>
              <w:left w:val="nil"/>
              <w:bottom w:val="nil"/>
              <w:right w:val="nil"/>
            </w:tcBorders>
            <w:shd w:val="clear" w:color="auto" w:fill="auto"/>
            <w:noWrap/>
            <w:vAlign w:val="center"/>
            <w:hideMark/>
          </w:tcPr>
          <w:p w14:paraId="50A8CA45" w14:textId="77777777" w:rsidR="00573453" w:rsidRPr="00AC12EF" w:rsidRDefault="00573453" w:rsidP="006577FD">
            <w:pPr>
              <w:spacing w:after="0"/>
              <w:jc w:val="right"/>
              <w:rPr>
                <w:sz w:val="20"/>
                <w:szCs w:val="20"/>
              </w:rPr>
            </w:pPr>
            <w:r w:rsidRPr="00AC12EF">
              <w:rPr>
                <w:sz w:val="20"/>
                <w:szCs w:val="20"/>
              </w:rPr>
              <w:t xml:space="preserve"> 203 </w:t>
            </w:r>
          </w:p>
        </w:tc>
        <w:tc>
          <w:tcPr>
            <w:tcW w:w="495" w:type="pct"/>
            <w:tcBorders>
              <w:top w:val="nil"/>
              <w:left w:val="nil"/>
              <w:bottom w:val="nil"/>
              <w:right w:val="nil"/>
            </w:tcBorders>
            <w:shd w:val="clear" w:color="auto" w:fill="auto"/>
            <w:noWrap/>
            <w:vAlign w:val="center"/>
            <w:hideMark/>
          </w:tcPr>
          <w:p w14:paraId="766490A8" w14:textId="07AFE8A1" w:rsidR="00573453" w:rsidRPr="00AC12EF" w:rsidRDefault="00573453" w:rsidP="006577FD">
            <w:pPr>
              <w:spacing w:after="0"/>
              <w:jc w:val="right"/>
              <w:rPr>
                <w:sz w:val="20"/>
                <w:szCs w:val="20"/>
              </w:rPr>
            </w:pPr>
            <w:r w:rsidRPr="00AC12EF">
              <w:rPr>
                <w:sz w:val="20"/>
                <w:szCs w:val="20"/>
              </w:rPr>
              <w:t>1.3</w:t>
            </w:r>
            <w:r w:rsidR="00913AB7">
              <w:rPr>
                <w:sz w:val="20"/>
                <w:szCs w:val="20"/>
              </w:rPr>
              <w:t xml:space="preserve"> </w:t>
            </w:r>
            <w:r w:rsidRPr="00AC12EF">
              <w:rPr>
                <w:sz w:val="20"/>
                <w:szCs w:val="20"/>
              </w:rPr>
              <w:t>%</w:t>
            </w:r>
          </w:p>
        </w:tc>
      </w:tr>
      <w:tr w:rsidR="00573453" w:rsidRPr="00DF32E3" w14:paraId="69AF8EBE" w14:textId="77777777" w:rsidTr="00573453">
        <w:trPr>
          <w:trHeight w:val="255"/>
        </w:trPr>
        <w:tc>
          <w:tcPr>
            <w:tcW w:w="852" w:type="pct"/>
            <w:tcBorders>
              <w:top w:val="nil"/>
              <w:left w:val="nil"/>
              <w:right w:val="nil"/>
            </w:tcBorders>
            <w:shd w:val="clear" w:color="auto" w:fill="auto"/>
            <w:vAlign w:val="bottom"/>
            <w:hideMark/>
          </w:tcPr>
          <w:p w14:paraId="4218C44F"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right w:val="nil"/>
            </w:tcBorders>
            <w:shd w:val="clear" w:color="auto" w:fill="auto"/>
            <w:noWrap/>
            <w:vAlign w:val="bottom"/>
            <w:hideMark/>
          </w:tcPr>
          <w:p w14:paraId="4B2FF40C"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right w:val="nil"/>
            </w:tcBorders>
            <w:shd w:val="clear" w:color="auto" w:fill="auto"/>
            <w:noWrap/>
            <w:vAlign w:val="center"/>
            <w:hideMark/>
          </w:tcPr>
          <w:p w14:paraId="09B2590A" w14:textId="77777777" w:rsidR="00573453" w:rsidRPr="004528E6" w:rsidRDefault="00573453" w:rsidP="006577FD">
            <w:pPr>
              <w:spacing w:after="0"/>
              <w:rPr>
                <w:sz w:val="20"/>
                <w:szCs w:val="20"/>
              </w:rPr>
            </w:pPr>
            <w:r w:rsidRPr="004528E6">
              <w:rPr>
                <w:sz w:val="20"/>
                <w:szCs w:val="20"/>
              </w:rPr>
              <w:t>Exenatide+Metformin+Pioglitazone+Sulfonylurea</w:t>
            </w:r>
          </w:p>
        </w:tc>
        <w:tc>
          <w:tcPr>
            <w:tcW w:w="495" w:type="pct"/>
            <w:tcBorders>
              <w:top w:val="nil"/>
              <w:left w:val="nil"/>
              <w:right w:val="nil"/>
            </w:tcBorders>
            <w:shd w:val="clear" w:color="auto" w:fill="auto"/>
            <w:noWrap/>
            <w:vAlign w:val="center"/>
            <w:hideMark/>
          </w:tcPr>
          <w:p w14:paraId="1A0E7E98" w14:textId="77777777" w:rsidR="00573453" w:rsidRPr="00AC12EF" w:rsidRDefault="00573453" w:rsidP="006577FD">
            <w:pPr>
              <w:spacing w:after="0"/>
              <w:jc w:val="right"/>
              <w:rPr>
                <w:sz w:val="20"/>
                <w:szCs w:val="20"/>
              </w:rPr>
            </w:pPr>
            <w:r w:rsidRPr="00AC12EF">
              <w:rPr>
                <w:sz w:val="20"/>
                <w:szCs w:val="20"/>
              </w:rPr>
              <w:t xml:space="preserve"> 106 </w:t>
            </w:r>
          </w:p>
        </w:tc>
        <w:tc>
          <w:tcPr>
            <w:tcW w:w="495" w:type="pct"/>
            <w:tcBorders>
              <w:top w:val="nil"/>
              <w:left w:val="nil"/>
              <w:right w:val="nil"/>
            </w:tcBorders>
            <w:shd w:val="clear" w:color="auto" w:fill="auto"/>
            <w:noWrap/>
            <w:vAlign w:val="center"/>
            <w:hideMark/>
          </w:tcPr>
          <w:p w14:paraId="391B5C45" w14:textId="027C1B25" w:rsidR="00573453" w:rsidRPr="00AC12EF" w:rsidRDefault="00573453" w:rsidP="006577FD">
            <w:pPr>
              <w:spacing w:after="0"/>
              <w:jc w:val="right"/>
              <w:rPr>
                <w:sz w:val="20"/>
                <w:szCs w:val="20"/>
              </w:rPr>
            </w:pPr>
            <w:r w:rsidRPr="00AC12EF">
              <w:rPr>
                <w:sz w:val="20"/>
                <w:szCs w:val="20"/>
              </w:rPr>
              <w:t>0.7</w:t>
            </w:r>
            <w:r w:rsidR="00913AB7">
              <w:rPr>
                <w:sz w:val="20"/>
                <w:szCs w:val="20"/>
              </w:rPr>
              <w:t xml:space="preserve"> </w:t>
            </w:r>
            <w:r w:rsidRPr="00AC12EF">
              <w:rPr>
                <w:sz w:val="20"/>
                <w:szCs w:val="20"/>
              </w:rPr>
              <w:t>%</w:t>
            </w:r>
          </w:p>
        </w:tc>
      </w:tr>
      <w:tr w:rsidR="00573453" w:rsidRPr="00DF32E3" w14:paraId="33ABFDC9" w14:textId="77777777" w:rsidTr="00573453">
        <w:trPr>
          <w:trHeight w:val="255"/>
        </w:trPr>
        <w:tc>
          <w:tcPr>
            <w:tcW w:w="852" w:type="pct"/>
            <w:tcBorders>
              <w:top w:val="nil"/>
              <w:left w:val="nil"/>
              <w:bottom w:val="nil"/>
              <w:right w:val="nil"/>
            </w:tcBorders>
            <w:shd w:val="clear" w:color="auto" w:fill="auto"/>
            <w:vAlign w:val="bottom"/>
          </w:tcPr>
          <w:p w14:paraId="0F03FA66"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tcPr>
          <w:p w14:paraId="26A9D9B2"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tcPr>
          <w:p w14:paraId="5D1155CF" w14:textId="77777777" w:rsidR="00573453" w:rsidRPr="004528E6" w:rsidRDefault="00573453" w:rsidP="006577FD">
            <w:pPr>
              <w:spacing w:after="0"/>
              <w:rPr>
                <w:sz w:val="20"/>
                <w:szCs w:val="20"/>
              </w:rPr>
            </w:pPr>
            <w:r w:rsidRPr="004528E6">
              <w:rPr>
                <w:sz w:val="20"/>
                <w:szCs w:val="20"/>
              </w:rPr>
              <w:t>Acarbose+Exenatide+Metformin+Sulfonylurea</w:t>
            </w:r>
          </w:p>
        </w:tc>
        <w:tc>
          <w:tcPr>
            <w:tcW w:w="495" w:type="pct"/>
            <w:tcBorders>
              <w:top w:val="nil"/>
              <w:left w:val="nil"/>
              <w:bottom w:val="nil"/>
              <w:right w:val="nil"/>
            </w:tcBorders>
            <w:shd w:val="clear" w:color="auto" w:fill="auto"/>
            <w:noWrap/>
            <w:vAlign w:val="center"/>
          </w:tcPr>
          <w:p w14:paraId="7D15BF5C" w14:textId="77777777" w:rsidR="00573453" w:rsidRPr="00AC12EF" w:rsidRDefault="00573453" w:rsidP="006577FD">
            <w:pPr>
              <w:spacing w:after="0"/>
              <w:jc w:val="right"/>
              <w:rPr>
                <w:sz w:val="20"/>
                <w:szCs w:val="20"/>
              </w:rPr>
            </w:pPr>
            <w:r w:rsidRPr="00AC12EF">
              <w:rPr>
                <w:sz w:val="20"/>
                <w:szCs w:val="20"/>
              </w:rPr>
              <w:t xml:space="preserve"> 95 </w:t>
            </w:r>
          </w:p>
        </w:tc>
        <w:tc>
          <w:tcPr>
            <w:tcW w:w="495" w:type="pct"/>
            <w:tcBorders>
              <w:top w:val="nil"/>
              <w:left w:val="nil"/>
              <w:bottom w:val="nil"/>
              <w:right w:val="nil"/>
            </w:tcBorders>
            <w:shd w:val="clear" w:color="auto" w:fill="auto"/>
            <w:noWrap/>
            <w:vAlign w:val="center"/>
          </w:tcPr>
          <w:p w14:paraId="465B3278" w14:textId="6E2A05D3" w:rsidR="00573453" w:rsidRPr="00AC12EF" w:rsidRDefault="00573453" w:rsidP="006577FD">
            <w:pPr>
              <w:spacing w:after="0"/>
              <w:jc w:val="right"/>
              <w:rPr>
                <w:sz w:val="20"/>
                <w:szCs w:val="20"/>
              </w:rPr>
            </w:pPr>
            <w:r w:rsidRPr="00AC12EF">
              <w:rPr>
                <w:sz w:val="20"/>
                <w:szCs w:val="20"/>
              </w:rPr>
              <w:t>0.6</w:t>
            </w:r>
            <w:r w:rsidR="00913AB7">
              <w:rPr>
                <w:sz w:val="20"/>
                <w:szCs w:val="20"/>
              </w:rPr>
              <w:t xml:space="preserve"> </w:t>
            </w:r>
            <w:r w:rsidRPr="00AC12EF">
              <w:rPr>
                <w:sz w:val="20"/>
                <w:szCs w:val="20"/>
              </w:rPr>
              <w:t>%</w:t>
            </w:r>
          </w:p>
        </w:tc>
      </w:tr>
      <w:tr w:rsidR="00573453" w:rsidRPr="00DF32E3" w14:paraId="0C0BA6B1" w14:textId="77777777" w:rsidTr="00573453">
        <w:trPr>
          <w:trHeight w:val="255"/>
        </w:trPr>
        <w:tc>
          <w:tcPr>
            <w:tcW w:w="852" w:type="pct"/>
            <w:tcBorders>
              <w:top w:val="nil"/>
              <w:left w:val="nil"/>
              <w:bottom w:val="nil"/>
              <w:right w:val="nil"/>
            </w:tcBorders>
            <w:shd w:val="clear" w:color="auto" w:fill="auto"/>
            <w:vAlign w:val="bottom"/>
            <w:hideMark/>
          </w:tcPr>
          <w:p w14:paraId="6833D9D7" w14:textId="77777777" w:rsidR="00573453" w:rsidRPr="00DF32E3" w:rsidRDefault="00573453" w:rsidP="006577FD">
            <w:pPr>
              <w:spacing w:after="0"/>
              <w:rPr>
                <w:rFonts w:eastAsia="Times New Roman" w:cs="Times New Roman"/>
                <w:b/>
                <w:bCs/>
                <w:color w:val="000000"/>
                <w:sz w:val="20"/>
                <w:szCs w:val="20"/>
              </w:rPr>
            </w:pPr>
          </w:p>
        </w:tc>
        <w:tc>
          <w:tcPr>
            <w:tcW w:w="833" w:type="pct"/>
            <w:tcBorders>
              <w:top w:val="nil"/>
              <w:left w:val="nil"/>
              <w:bottom w:val="nil"/>
              <w:right w:val="nil"/>
            </w:tcBorders>
            <w:shd w:val="clear" w:color="auto" w:fill="auto"/>
            <w:noWrap/>
            <w:vAlign w:val="bottom"/>
            <w:hideMark/>
          </w:tcPr>
          <w:p w14:paraId="2838F46F"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nil"/>
              <w:left w:val="nil"/>
              <w:bottom w:val="nil"/>
              <w:right w:val="nil"/>
            </w:tcBorders>
            <w:shd w:val="clear" w:color="auto" w:fill="auto"/>
            <w:noWrap/>
            <w:vAlign w:val="center"/>
            <w:hideMark/>
          </w:tcPr>
          <w:p w14:paraId="2C060C4F" w14:textId="77777777" w:rsidR="00573453" w:rsidRPr="004528E6" w:rsidRDefault="00573453" w:rsidP="006577FD">
            <w:pPr>
              <w:spacing w:after="0"/>
              <w:rPr>
                <w:sz w:val="20"/>
                <w:szCs w:val="20"/>
              </w:rPr>
            </w:pPr>
            <w:r w:rsidRPr="004528E6">
              <w:rPr>
                <w:sz w:val="20"/>
                <w:szCs w:val="20"/>
              </w:rPr>
              <w:t>Exenatide+Gliptin+Insulin+Metformin</w:t>
            </w:r>
          </w:p>
        </w:tc>
        <w:tc>
          <w:tcPr>
            <w:tcW w:w="495" w:type="pct"/>
            <w:tcBorders>
              <w:top w:val="nil"/>
              <w:left w:val="nil"/>
              <w:bottom w:val="nil"/>
              <w:right w:val="nil"/>
            </w:tcBorders>
            <w:shd w:val="clear" w:color="auto" w:fill="auto"/>
            <w:noWrap/>
            <w:vAlign w:val="center"/>
            <w:hideMark/>
          </w:tcPr>
          <w:p w14:paraId="7F12FF33" w14:textId="77777777" w:rsidR="00573453" w:rsidRPr="00AC12EF" w:rsidRDefault="00573453" w:rsidP="006577FD">
            <w:pPr>
              <w:spacing w:after="0"/>
              <w:jc w:val="right"/>
              <w:rPr>
                <w:sz w:val="20"/>
                <w:szCs w:val="20"/>
              </w:rPr>
            </w:pPr>
            <w:r w:rsidRPr="00AC12EF">
              <w:rPr>
                <w:sz w:val="20"/>
                <w:szCs w:val="20"/>
              </w:rPr>
              <w:t xml:space="preserve"> 38 </w:t>
            </w:r>
          </w:p>
        </w:tc>
        <w:tc>
          <w:tcPr>
            <w:tcW w:w="495" w:type="pct"/>
            <w:tcBorders>
              <w:top w:val="nil"/>
              <w:left w:val="nil"/>
              <w:bottom w:val="nil"/>
              <w:right w:val="nil"/>
            </w:tcBorders>
            <w:shd w:val="clear" w:color="auto" w:fill="auto"/>
            <w:noWrap/>
            <w:vAlign w:val="center"/>
            <w:hideMark/>
          </w:tcPr>
          <w:p w14:paraId="16D532D4" w14:textId="5D2E5003" w:rsidR="00573453" w:rsidRPr="00AC12EF" w:rsidRDefault="00573453" w:rsidP="006577FD">
            <w:pPr>
              <w:spacing w:after="0"/>
              <w:jc w:val="right"/>
              <w:rPr>
                <w:sz w:val="20"/>
                <w:szCs w:val="20"/>
              </w:rPr>
            </w:pPr>
            <w:r w:rsidRPr="00AC12EF">
              <w:rPr>
                <w:sz w:val="20"/>
                <w:szCs w:val="20"/>
              </w:rPr>
              <w:t>0.2</w:t>
            </w:r>
            <w:r w:rsidR="00913AB7">
              <w:rPr>
                <w:sz w:val="20"/>
                <w:szCs w:val="20"/>
              </w:rPr>
              <w:t xml:space="preserve"> </w:t>
            </w:r>
            <w:r w:rsidRPr="00AC12EF">
              <w:rPr>
                <w:sz w:val="20"/>
                <w:szCs w:val="20"/>
              </w:rPr>
              <w:t>%</w:t>
            </w:r>
          </w:p>
        </w:tc>
      </w:tr>
      <w:tr w:rsidR="00573453" w:rsidRPr="00DF32E3" w14:paraId="55788E6A" w14:textId="77777777" w:rsidTr="00573453">
        <w:trPr>
          <w:trHeight w:val="255"/>
        </w:trPr>
        <w:tc>
          <w:tcPr>
            <w:tcW w:w="852" w:type="pct"/>
            <w:tcBorders>
              <w:top w:val="nil"/>
              <w:left w:val="nil"/>
              <w:bottom w:val="single" w:sz="4" w:space="0" w:color="95B3D7"/>
              <w:right w:val="nil"/>
            </w:tcBorders>
            <w:shd w:val="clear" w:color="auto" w:fill="auto"/>
            <w:vAlign w:val="bottom"/>
            <w:hideMark/>
          </w:tcPr>
          <w:p w14:paraId="36068634" w14:textId="77777777" w:rsidR="00573453" w:rsidRPr="00DF32E3" w:rsidRDefault="00573453" w:rsidP="006577FD">
            <w:pPr>
              <w:spacing w:after="0"/>
              <w:rPr>
                <w:rFonts w:eastAsia="Times New Roman" w:cs="Times New Roman"/>
                <w:b/>
                <w:bCs/>
                <w:color w:val="000000"/>
                <w:sz w:val="20"/>
                <w:szCs w:val="20"/>
              </w:rPr>
            </w:pPr>
          </w:p>
        </w:tc>
        <w:tc>
          <w:tcPr>
            <w:tcW w:w="3158" w:type="pct"/>
            <w:gridSpan w:val="2"/>
            <w:tcBorders>
              <w:top w:val="nil"/>
              <w:left w:val="nil"/>
              <w:bottom w:val="nil"/>
              <w:right w:val="nil"/>
            </w:tcBorders>
            <w:shd w:val="clear" w:color="auto" w:fill="auto"/>
            <w:noWrap/>
            <w:vAlign w:val="center"/>
            <w:hideMark/>
          </w:tcPr>
          <w:p w14:paraId="335751AF" w14:textId="77777777" w:rsidR="00573453" w:rsidRPr="004528E6" w:rsidRDefault="00573453" w:rsidP="006577FD">
            <w:pPr>
              <w:spacing w:after="0"/>
              <w:rPr>
                <w:rFonts w:eastAsia="Times New Roman" w:cs="Times New Roman"/>
                <w:b/>
                <w:bCs/>
                <w:color w:val="000000"/>
                <w:sz w:val="20"/>
                <w:szCs w:val="20"/>
              </w:rPr>
            </w:pPr>
            <w:r w:rsidRPr="004528E6">
              <w:rPr>
                <w:rFonts w:eastAsia="Times New Roman" w:cs="Times New Roman"/>
                <w:b/>
                <w:bCs/>
                <w:color w:val="000000"/>
                <w:sz w:val="20"/>
                <w:szCs w:val="20"/>
              </w:rPr>
              <w:t>Quad or more Total</w:t>
            </w:r>
          </w:p>
        </w:tc>
        <w:tc>
          <w:tcPr>
            <w:tcW w:w="495" w:type="pct"/>
            <w:tcBorders>
              <w:top w:val="nil"/>
              <w:left w:val="nil"/>
              <w:bottom w:val="nil"/>
              <w:right w:val="nil"/>
            </w:tcBorders>
            <w:shd w:val="clear" w:color="auto" w:fill="auto"/>
            <w:noWrap/>
            <w:vAlign w:val="center"/>
            <w:hideMark/>
          </w:tcPr>
          <w:p w14:paraId="37E5636B" w14:textId="77777777" w:rsidR="00573453" w:rsidRPr="00AC12EF" w:rsidRDefault="00573453" w:rsidP="006577FD">
            <w:pPr>
              <w:spacing w:after="0"/>
              <w:jc w:val="right"/>
              <w:rPr>
                <w:sz w:val="20"/>
                <w:szCs w:val="20"/>
              </w:rPr>
            </w:pPr>
            <w:r w:rsidRPr="00AC12EF">
              <w:rPr>
                <w:sz w:val="20"/>
                <w:szCs w:val="20"/>
              </w:rPr>
              <w:t>1,554</w:t>
            </w:r>
          </w:p>
        </w:tc>
        <w:tc>
          <w:tcPr>
            <w:tcW w:w="495" w:type="pct"/>
            <w:tcBorders>
              <w:top w:val="nil"/>
              <w:left w:val="nil"/>
              <w:bottom w:val="nil"/>
              <w:right w:val="nil"/>
            </w:tcBorders>
            <w:shd w:val="clear" w:color="auto" w:fill="auto"/>
            <w:noWrap/>
            <w:vAlign w:val="center"/>
            <w:hideMark/>
          </w:tcPr>
          <w:p w14:paraId="7623C63A" w14:textId="54C0641F" w:rsidR="00573453" w:rsidRPr="00AC12EF" w:rsidRDefault="00573453" w:rsidP="006577FD">
            <w:pPr>
              <w:spacing w:after="0"/>
              <w:jc w:val="right"/>
              <w:rPr>
                <w:sz w:val="20"/>
                <w:szCs w:val="20"/>
              </w:rPr>
            </w:pPr>
            <w:r w:rsidRPr="00AC12EF">
              <w:rPr>
                <w:sz w:val="20"/>
                <w:szCs w:val="20"/>
              </w:rPr>
              <w:t>9.9</w:t>
            </w:r>
            <w:r w:rsidR="00913AB7">
              <w:rPr>
                <w:sz w:val="20"/>
                <w:szCs w:val="20"/>
              </w:rPr>
              <w:t xml:space="preserve"> </w:t>
            </w:r>
            <w:r w:rsidRPr="00AC12EF">
              <w:rPr>
                <w:sz w:val="20"/>
                <w:szCs w:val="20"/>
              </w:rPr>
              <w:t>%</w:t>
            </w:r>
          </w:p>
        </w:tc>
      </w:tr>
      <w:tr w:rsidR="00573453" w:rsidRPr="00DF32E3" w14:paraId="60249354" w14:textId="77777777" w:rsidTr="00573453">
        <w:trPr>
          <w:trHeight w:val="510"/>
        </w:trPr>
        <w:tc>
          <w:tcPr>
            <w:tcW w:w="852" w:type="pct"/>
            <w:tcBorders>
              <w:top w:val="single" w:sz="4" w:space="0" w:color="4F81BD"/>
              <w:left w:val="nil"/>
              <w:bottom w:val="single" w:sz="4" w:space="0" w:color="4F81BD"/>
              <w:right w:val="nil"/>
            </w:tcBorders>
            <w:shd w:val="clear" w:color="auto" w:fill="auto"/>
            <w:vAlign w:val="bottom"/>
            <w:hideMark/>
          </w:tcPr>
          <w:p w14:paraId="0CFC4F34"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Outside PBS restriction Total</w:t>
            </w:r>
          </w:p>
        </w:tc>
        <w:tc>
          <w:tcPr>
            <w:tcW w:w="833" w:type="pct"/>
            <w:tcBorders>
              <w:top w:val="single" w:sz="4" w:space="0" w:color="4F81BD"/>
              <w:left w:val="nil"/>
              <w:bottom w:val="single" w:sz="4" w:space="0" w:color="4F81BD"/>
              <w:right w:val="nil"/>
            </w:tcBorders>
            <w:shd w:val="clear" w:color="auto" w:fill="auto"/>
            <w:vAlign w:val="bottom"/>
            <w:hideMark/>
          </w:tcPr>
          <w:p w14:paraId="4677376F"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single" w:sz="4" w:space="0" w:color="4F81BD"/>
              <w:left w:val="nil"/>
              <w:bottom w:val="single" w:sz="4" w:space="0" w:color="4F81BD"/>
              <w:right w:val="nil"/>
            </w:tcBorders>
            <w:shd w:val="clear" w:color="auto" w:fill="auto"/>
            <w:vAlign w:val="center"/>
            <w:hideMark/>
          </w:tcPr>
          <w:p w14:paraId="66968A58" w14:textId="77777777" w:rsidR="00573453" w:rsidRPr="004528E6" w:rsidRDefault="00573453" w:rsidP="006577FD">
            <w:pPr>
              <w:spacing w:after="0"/>
              <w:rPr>
                <w:sz w:val="20"/>
                <w:szCs w:val="20"/>
              </w:rPr>
            </w:pPr>
          </w:p>
        </w:tc>
        <w:tc>
          <w:tcPr>
            <w:tcW w:w="495" w:type="pct"/>
            <w:tcBorders>
              <w:top w:val="single" w:sz="4" w:space="0" w:color="4F81BD"/>
              <w:left w:val="nil"/>
              <w:bottom w:val="single" w:sz="4" w:space="0" w:color="4F81BD"/>
              <w:right w:val="nil"/>
            </w:tcBorders>
            <w:shd w:val="clear" w:color="auto" w:fill="auto"/>
            <w:noWrap/>
            <w:vAlign w:val="center"/>
          </w:tcPr>
          <w:p w14:paraId="384636D3" w14:textId="77777777" w:rsidR="00573453" w:rsidRPr="00AC12EF" w:rsidRDefault="00573453" w:rsidP="006577FD">
            <w:pPr>
              <w:spacing w:after="0"/>
              <w:jc w:val="right"/>
              <w:rPr>
                <w:sz w:val="20"/>
                <w:szCs w:val="20"/>
              </w:rPr>
            </w:pPr>
            <w:r w:rsidRPr="00AC12EF">
              <w:rPr>
                <w:sz w:val="20"/>
                <w:szCs w:val="20"/>
              </w:rPr>
              <w:t>4,8</w:t>
            </w:r>
            <w:r>
              <w:rPr>
                <w:sz w:val="20"/>
                <w:szCs w:val="20"/>
              </w:rPr>
              <w:t>89</w:t>
            </w:r>
          </w:p>
        </w:tc>
        <w:tc>
          <w:tcPr>
            <w:tcW w:w="495" w:type="pct"/>
            <w:tcBorders>
              <w:top w:val="single" w:sz="4" w:space="0" w:color="4F81BD"/>
              <w:left w:val="nil"/>
              <w:bottom w:val="single" w:sz="4" w:space="0" w:color="4F81BD"/>
              <w:right w:val="nil"/>
            </w:tcBorders>
            <w:shd w:val="clear" w:color="auto" w:fill="auto"/>
            <w:noWrap/>
            <w:vAlign w:val="center"/>
          </w:tcPr>
          <w:p w14:paraId="78B202DB" w14:textId="73CDDBB7" w:rsidR="00573453" w:rsidRPr="00AC12EF" w:rsidRDefault="00573453" w:rsidP="006577FD">
            <w:pPr>
              <w:spacing w:after="0"/>
              <w:jc w:val="right"/>
              <w:rPr>
                <w:sz w:val="20"/>
                <w:szCs w:val="20"/>
              </w:rPr>
            </w:pPr>
            <w:r>
              <w:rPr>
                <w:sz w:val="20"/>
                <w:szCs w:val="20"/>
              </w:rPr>
              <w:t>31.1</w:t>
            </w:r>
            <w:r w:rsidR="00913AB7">
              <w:rPr>
                <w:sz w:val="20"/>
                <w:szCs w:val="20"/>
              </w:rPr>
              <w:t xml:space="preserve"> </w:t>
            </w:r>
            <w:r w:rsidRPr="00AC12EF">
              <w:rPr>
                <w:sz w:val="20"/>
                <w:szCs w:val="20"/>
              </w:rPr>
              <w:t>%</w:t>
            </w:r>
          </w:p>
        </w:tc>
      </w:tr>
      <w:tr w:rsidR="00573453" w:rsidRPr="00DF32E3" w14:paraId="5071EDE3" w14:textId="77777777" w:rsidTr="00573453">
        <w:trPr>
          <w:trHeight w:val="255"/>
        </w:trPr>
        <w:tc>
          <w:tcPr>
            <w:tcW w:w="852" w:type="pct"/>
            <w:tcBorders>
              <w:top w:val="single" w:sz="4" w:space="0" w:color="95B3D7"/>
              <w:left w:val="nil"/>
              <w:bottom w:val="nil"/>
              <w:right w:val="nil"/>
            </w:tcBorders>
            <w:shd w:val="clear" w:color="auto" w:fill="FFFFFF" w:themeFill="background1"/>
            <w:vAlign w:val="bottom"/>
            <w:hideMark/>
          </w:tcPr>
          <w:p w14:paraId="7634DC72" w14:textId="77777777" w:rsidR="00573453" w:rsidRPr="00DF32E3" w:rsidRDefault="00573453" w:rsidP="006577FD">
            <w:pPr>
              <w:spacing w:after="0"/>
              <w:rPr>
                <w:rFonts w:eastAsia="Times New Roman" w:cs="Times New Roman"/>
                <w:b/>
                <w:bCs/>
                <w:color w:val="000000"/>
                <w:sz w:val="20"/>
                <w:szCs w:val="20"/>
              </w:rPr>
            </w:pPr>
            <w:r w:rsidRPr="00DF32E3">
              <w:rPr>
                <w:rFonts w:eastAsia="Times New Roman" w:cs="Times New Roman"/>
                <w:b/>
                <w:bCs/>
                <w:color w:val="000000"/>
                <w:sz w:val="20"/>
                <w:szCs w:val="20"/>
              </w:rPr>
              <w:t>Total</w:t>
            </w:r>
          </w:p>
        </w:tc>
        <w:tc>
          <w:tcPr>
            <w:tcW w:w="833" w:type="pct"/>
            <w:tcBorders>
              <w:top w:val="single" w:sz="4" w:space="0" w:color="95B3D7"/>
              <w:left w:val="nil"/>
              <w:bottom w:val="nil"/>
              <w:right w:val="nil"/>
            </w:tcBorders>
            <w:shd w:val="clear" w:color="auto" w:fill="FFFFFF" w:themeFill="background1"/>
            <w:vAlign w:val="bottom"/>
            <w:hideMark/>
          </w:tcPr>
          <w:p w14:paraId="64FA06EF" w14:textId="77777777" w:rsidR="00573453" w:rsidRPr="00DF32E3" w:rsidRDefault="00573453" w:rsidP="006577FD">
            <w:pPr>
              <w:spacing w:after="0"/>
              <w:rPr>
                <w:rFonts w:eastAsia="Times New Roman" w:cs="Times New Roman"/>
                <w:b/>
                <w:bCs/>
                <w:color w:val="000000"/>
                <w:sz w:val="20"/>
                <w:szCs w:val="20"/>
              </w:rPr>
            </w:pPr>
          </w:p>
        </w:tc>
        <w:tc>
          <w:tcPr>
            <w:tcW w:w="2325" w:type="pct"/>
            <w:tcBorders>
              <w:top w:val="single" w:sz="4" w:space="0" w:color="95B3D7"/>
              <w:left w:val="nil"/>
              <w:bottom w:val="nil"/>
              <w:right w:val="nil"/>
            </w:tcBorders>
            <w:shd w:val="clear" w:color="auto" w:fill="FFFFFF" w:themeFill="background1"/>
            <w:vAlign w:val="center"/>
            <w:hideMark/>
          </w:tcPr>
          <w:p w14:paraId="66E8F2E3" w14:textId="77777777" w:rsidR="00573453" w:rsidRPr="004528E6" w:rsidRDefault="00573453" w:rsidP="006577FD">
            <w:pPr>
              <w:spacing w:after="0"/>
              <w:rPr>
                <w:sz w:val="20"/>
                <w:szCs w:val="20"/>
              </w:rPr>
            </w:pPr>
          </w:p>
        </w:tc>
        <w:tc>
          <w:tcPr>
            <w:tcW w:w="495" w:type="pct"/>
            <w:tcBorders>
              <w:top w:val="single" w:sz="4" w:space="0" w:color="95B3D7"/>
              <w:left w:val="nil"/>
              <w:bottom w:val="nil"/>
              <w:right w:val="nil"/>
            </w:tcBorders>
            <w:shd w:val="clear" w:color="auto" w:fill="FFFFFF" w:themeFill="background1"/>
            <w:noWrap/>
            <w:vAlign w:val="center"/>
            <w:hideMark/>
          </w:tcPr>
          <w:p w14:paraId="11BAD62B" w14:textId="77777777" w:rsidR="00573453" w:rsidRPr="004528E6" w:rsidRDefault="00573453" w:rsidP="006577FD">
            <w:pPr>
              <w:spacing w:after="0"/>
              <w:jc w:val="right"/>
              <w:rPr>
                <w:sz w:val="20"/>
                <w:szCs w:val="20"/>
              </w:rPr>
            </w:pPr>
            <w:r w:rsidRPr="004528E6">
              <w:rPr>
                <w:sz w:val="20"/>
                <w:szCs w:val="20"/>
              </w:rPr>
              <w:t xml:space="preserve"> 15,708 </w:t>
            </w:r>
          </w:p>
        </w:tc>
        <w:tc>
          <w:tcPr>
            <w:tcW w:w="495" w:type="pct"/>
            <w:tcBorders>
              <w:top w:val="single" w:sz="4" w:space="0" w:color="95B3D7"/>
              <w:left w:val="nil"/>
              <w:bottom w:val="nil"/>
              <w:right w:val="nil"/>
            </w:tcBorders>
            <w:shd w:val="clear" w:color="auto" w:fill="FFFFFF" w:themeFill="background1"/>
            <w:noWrap/>
            <w:vAlign w:val="center"/>
            <w:hideMark/>
          </w:tcPr>
          <w:p w14:paraId="47B6F215" w14:textId="3B72EF3F" w:rsidR="00573453" w:rsidRPr="004528E6" w:rsidRDefault="00573453" w:rsidP="006577FD">
            <w:pPr>
              <w:spacing w:after="0"/>
              <w:jc w:val="right"/>
              <w:rPr>
                <w:sz w:val="20"/>
                <w:szCs w:val="20"/>
              </w:rPr>
            </w:pPr>
            <w:r w:rsidRPr="004528E6">
              <w:rPr>
                <w:sz w:val="20"/>
                <w:szCs w:val="20"/>
              </w:rPr>
              <w:t>100.0</w:t>
            </w:r>
            <w:r w:rsidR="00913AB7">
              <w:rPr>
                <w:sz w:val="20"/>
                <w:szCs w:val="20"/>
              </w:rPr>
              <w:t xml:space="preserve"> </w:t>
            </w:r>
            <w:r w:rsidRPr="004528E6">
              <w:rPr>
                <w:sz w:val="20"/>
                <w:szCs w:val="20"/>
              </w:rPr>
              <w:t>%</w:t>
            </w:r>
          </w:p>
        </w:tc>
      </w:tr>
    </w:tbl>
    <w:p w14:paraId="3DC00AA3" w14:textId="77777777" w:rsidR="00573453" w:rsidRPr="00DF32E3" w:rsidRDefault="00573453" w:rsidP="00806A9F">
      <w:pPr>
        <w:pStyle w:val="Figurecaption"/>
      </w:pPr>
      <w:r w:rsidRPr="00DF32E3">
        <w:t>Note: Combination products are represented as their components in the above regimens</w:t>
      </w:r>
      <w:r>
        <w:t xml:space="preserve">. </w:t>
      </w:r>
    </w:p>
    <w:p w14:paraId="374B06E8" w14:textId="2BAE1FBB" w:rsidR="00573453" w:rsidRDefault="00573453" w:rsidP="001358D7">
      <w:r>
        <w:t>Exenatide is most commonly prescribed as</w:t>
      </w:r>
      <w:r w:rsidR="007A2E2C">
        <w:t xml:space="preserve"> a component of triple therapy</w:t>
      </w:r>
      <w:r w:rsidR="00682FF6">
        <w:t>, representing 50.4 % of regimens</w:t>
      </w:r>
      <w:r w:rsidR="007A2E2C">
        <w:t>.</w:t>
      </w:r>
      <w:r w:rsidR="00730560">
        <w:t xml:space="preserve">  </w:t>
      </w:r>
      <w:r>
        <w:t>For regimens that meet the PBS restrictions, triple therapy regimens are slightly more common than dual therapy regimens</w:t>
      </w:r>
      <w:r w:rsidR="00D8455B">
        <w:t>.</w:t>
      </w:r>
    </w:p>
    <w:p w14:paraId="4E67C9FD" w14:textId="77777777" w:rsidR="00625DD4" w:rsidRDefault="00CD6583" w:rsidP="00625DD4">
      <w:r w:rsidRPr="00CD6583">
        <w:t xml:space="preserve">Use </w:t>
      </w:r>
      <w:r w:rsidR="002C15F5">
        <w:t xml:space="preserve">of exenatide </w:t>
      </w:r>
      <w:r w:rsidRPr="00CD6583">
        <w:t>outside the PBS criteria is occurring in approximately 31</w:t>
      </w:r>
      <w:r w:rsidR="00C04911">
        <w:t xml:space="preserve"> </w:t>
      </w:r>
      <w:r w:rsidRPr="00CD6583">
        <w:t xml:space="preserve">% of cases, with </w:t>
      </w:r>
      <w:r w:rsidR="00E76AB8">
        <w:t>17.4 % of all patients on exenatide in January</w:t>
      </w:r>
      <w:r w:rsidR="00B9093E">
        <w:t xml:space="preserve"> 2014 </w:t>
      </w:r>
      <w:r w:rsidR="00B0152A">
        <w:t xml:space="preserve">using exenatide </w:t>
      </w:r>
      <w:r w:rsidR="00B9093E">
        <w:t xml:space="preserve">in </w:t>
      </w:r>
      <w:r w:rsidR="00B0152A">
        <w:t xml:space="preserve">combination with </w:t>
      </w:r>
      <w:r w:rsidR="00E76AB8">
        <w:t>insulin</w:t>
      </w:r>
      <w:r w:rsidRPr="00CD6583">
        <w:t>.</w:t>
      </w:r>
      <w:r w:rsidR="00625DD4">
        <w:t xml:space="preserve">  The February 2013 DUSC analysis found that 16 % of exenatide was co-administered with insulin (in a prevalent snapshot of concessional patient regimens in May 2012).</w:t>
      </w:r>
    </w:p>
    <w:p w14:paraId="5454D470" w14:textId="06BE9442" w:rsidR="00573453" w:rsidRDefault="00573453" w:rsidP="001358D7">
      <w:r>
        <w:lastRenderedPageBreak/>
        <w:t>The remaining regimens that are outside of the PBS criteria involve monotherapy or co</w:t>
      </w:r>
      <w:r>
        <w:noBreakHyphen/>
        <w:t xml:space="preserve">administration with a gliptin, a glitazone or a SGLT2 inhibitor.  </w:t>
      </w:r>
      <w:r w:rsidR="008E77E2">
        <w:t>Exenatide was</w:t>
      </w:r>
      <w:r w:rsidR="008E77E2" w:rsidRPr="008E77E2">
        <w:t xml:space="preserve"> prescribed as mon</w:t>
      </w:r>
      <w:r w:rsidR="008E77E2">
        <w:t xml:space="preserve">otherapy in 5.6 % of patients and as quadruple therapy </w:t>
      </w:r>
      <w:r w:rsidR="0066738C">
        <w:t xml:space="preserve">in </w:t>
      </w:r>
      <w:r w:rsidR="008E77E2">
        <w:t>9.9 % of patients</w:t>
      </w:r>
      <w:r w:rsidR="008E77E2" w:rsidRPr="008E77E2">
        <w:t>.</w:t>
      </w:r>
      <w:r w:rsidR="00BD3ACD">
        <w:t xml:space="preserve">  </w:t>
      </w:r>
      <w:r w:rsidR="00BD3ACD" w:rsidRPr="00BD3ACD">
        <w:t>In the pre-Subcommittee response the sponsor of exenatide stated that all apparent monotherapy use may not be single agent use since patients could also be receiving other therapies as private prescriptions.</w:t>
      </w:r>
      <w:r w:rsidR="00BD3ACD">
        <w:t xml:space="preserve">  The </w:t>
      </w:r>
      <w:r w:rsidR="00BD3ACD" w:rsidRPr="00BD3ACD">
        <w:t>DUSC agreed that this is possible and if it is occurring would be more apparent in the General patie</w:t>
      </w:r>
      <w:r w:rsidR="00A73E8D">
        <w:t xml:space="preserve">nts than concessional patients.  </w:t>
      </w:r>
      <w:r w:rsidR="00BD3ACD" w:rsidRPr="00BD3ACD">
        <w:t xml:space="preserve">The proportion of "concession only" patients using exenatide monotherapy </w:t>
      </w:r>
      <w:r w:rsidR="009A26D2">
        <w:t xml:space="preserve">of </w:t>
      </w:r>
      <w:r w:rsidR="00BD3ACD" w:rsidRPr="00BD3ACD">
        <w:t>5.2</w:t>
      </w:r>
      <w:r w:rsidR="009A26D2">
        <w:t xml:space="preserve"> </w:t>
      </w:r>
      <w:r w:rsidR="00BD3ACD" w:rsidRPr="00BD3ACD">
        <w:t xml:space="preserve">% (361 of 6,931 patients) is similar to that in the total population </w:t>
      </w:r>
      <w:r w:rsidR="00D81369">
        <w:t xml:space="preserve">of </w:t>
      </w:r>
      <w:r w:rsidR="00BD3ACD" w:rsidRPr="00BD3ACD">
        <w:t>5.6</w:t>
      </w:r>
      <w:r w:rsidR="00D81369">
        <w:t xml:space="preserve"> % (886 of 15,708).  </w:t>
      </w:r>
      <w:r w:rsidR="00BD3ACD" w:rsidRPr="00BD3ACD">
        <w:t>By inference, the extent of monotherapy in the concessional only and general population is similar.</w:t>
      </w:r>
    </w:p>
    <w:p w14:paraId="2A0C427C" w14:textId="0342C6A0" w:rsidR="0018084A" w:rsidRDefault="00573453" w:rsidP="001358D7">
      <w:r>
        <w:t>A concern raised by stakeholders with the February 2013 DUSC analysis of diabetes medicines, was the representativeness of the concession only population.</w:t>
      </w:r>
      <w:r w:rsidR="008F2577">
        <w:t xml:space="preserve"> </w:t>
      </w:r>
      <w:r>
        <w:t xml:space="preserve"> A concession-only cohort was required at this time because some diabetes medicines are priced below the general PBS co</w:t>
      </w:r>
      <w:r w:rsidR="002269EB">
        <w:t>-</w:t>
      </w:r>
      <w:r>
        <w:t>payment and for general beneficiary patients supply was not captured in the dataset.</w:t>
      </w:r>
      <w:r w:rsidR="002269EB">
        <w:t xml:space="preserve"> </w:t>
      </w:r>
      <w:r>
        <w:t xml:space="preserve"> </w:t>
      </w:r>
      <w:r w:rsidR="002269EB">
        <w:t xml:space="preserve">The </w:t>
      </w:r>
      <w:r>
        <w:t xml:space="preserve">DUSC considered that patterns of use in general and concessional patients are likely to be sufficiently similar to allow extrapolation of the concessional cohort findings to the total population with diabetes, and also noted that the majority of patients with diabetes are concession patients.  The current analysis, with results shown in Figure 5 and Table 10, includes all patients (concessional and general). </w:t>
      </w:r>
      <w:r w:rsidR="00440D08">
        <w:t xml:space="preserve"> </w:t>
      </w:r>
      <w:r>
        <w:t xml:space="preserve">For comparison the same analysis undertaken in the concession only population is provided in Appendix </w:t>
      </w:r>
      <w:r w:rsidR="00777041">
        <w:t>B</w:t>
      </w:r>
      <w:r>
        <w:t>.</w:t>
      </w:r>
      <w:r w:rsidR="001328F3">
        <w:t xml:space="preserve">  </w:t>
      </w:r>
      <w:r w:rsidRPr="00A82B35">
        <w:t xml:space="preserve">Compared with </w:t>
      </w:r>
      <w:r>
        <w:t>17.4</w:t>
      </w:r>
      <w:r w:rsidR="00B217F6">
        <w:t xml:space="preserve"> </w:t>
      </w:r>
      <w:r w:rsidRPr="00A82B35">
        <w:t>% of all patient regimens being in combination with insulin, t</w:t>
      </w:r>
      <w:r>
        <w:t>he concession only cohort result</w:t>
      </w:r>
      <w:r w:rsidRPr="00A82B35">
        <w:t xml:space="preserve"> is </w:t>
      </w:r>
      <w:r>
        <w:t>19.3</w:t>
      </w:r>
      <w:r w:rsidR="0024134C">
        <w:t xml:space="preserve"> </w:t>
      </w:r>
      <w:r w:rsidRPr="00A82B35">
        <w:t xml:space="preserve">% confirming that there is not a large difference in the regimen distribution between the </w:t>
      </w:r>
      <w:r>
        <w:t>c</w:t>
      </w:r>
      <w:r w:rsidRPr="00A82B35">
        <w:t xml:space="preserve">oncessional </w:t>
      </w:r>
      <w:r>
        <w:t>o</w:t>
      </w:r>
      <w:r w:rsidRPr="00A82B35">
        <w:t>nly cohort and all patients</w:t>
      </w:r>
      <w:r>
        <w:t xml:space="preserve"> on exenatide</w:t>
      </w:r>
      <w:r w:rsidRPr="00A82B35">
        <w:t>.</w:t>
      </w:r>
      <w:r w:rsidR="00E1345B">
        <w:t xml:space="preserve">  </w:t>
      </w:r>
      <w:r>
        <w:t>Comparing the distribution of the top 10 exenatide containing regimens for all patients in Figure 6 with the conc</w:t>
      </w:r>
      <w:r w:rsidR="00265000">
        <w:t>ession only cohort in Appendix B</w:t>
      </w:r>
      <w:r>
        <w:t>, shows that the drug regimens are similar for the two cohorts.</w:t>
      </w:r>
    </w:p>
    <w:p w14:paraId="1A8161D3" w14:textId="73C4262C" w:rsidR="00D9008F" w:rsidRDefault="00D9008F" w:rsidP="00E5612C">
      <w:pPr>
        <w:pStyle w:val="Heading3"/>
      </w:pPr>
      <w:r w:rsidRPr="00D9008F">
        <w:t>Place of exenatide in therapy</w:t>
      </w:r>
    </w:p>
    <w:p w14:paraId="103ADFAF" w14:textId="01BC4CAF" w:rsidR="00646554" w:rsidRDefault="00646554" w:rsidP="00646554">
      <w:r w:rsidRPr="00646554">
        <w:t>To improve our understanding of the place of exenatide in therapy, the current analysis examines regimens used immediately prior to initiation of exenatide.</w:t>
      </w:r>
      <w:r w:rsidR="00441E82">
        <w:t xml:space="preserve">  </w:t>
      </w:r>
      <w:r w:rsidRPr="00646554">
        <w:t xml:space="preserve">This analysis was undertaken in a cohort of patients (n=2,072) who received their first PBS prescription for exenatide between January </w:t>
      </w:r>
      <w:r w:rsidR="00FA53E7">
        <w:t xml:space="preserve">2013 and March 2013, inclusive.  </w:t>
      </w:r>
      <w:r w:rsidRPr="00646554">
        <w:t>This time period represents a reasonable balance between recent clinical practice and having sufficient period of time prior to initiation (6 months of under</w:t>
      </w:r>
      <w:r w:rsidR="00CF0471">
        <w:t xml:space="preserve"> </w:t>
      </w:r>
      <w:r w:rsidRPr="00646554">
        <w:t>co</w:t>
      </w:r>
      <w:r w:rsidR="00CF0471">
        <w:t>-</w:t>
      </w:r>
      <w:r w:rsidRPr="00646554">
        <w:t>payment data) and after initiation (12 months follow-up) to distinguish switching and co-administration of medicines.</w:t>
      </w:r>
      <w:r w:rsidR="00A519CC">
        <w:t xml:space="preserve">  </w:t>
      </w:r>
      <w:r w:rsidRPr="00646554">
        <w:t>Full details of the method</w:t>
      </w:r>
      <w:r w:rsidR="00D57B3E">
        <w:t>ology are provided in Appendix A</w:t>
      </w:r>
      <w:r w:rsidRPr="00646554">
        <w:t>.</w:t>
      </w:r>
      <w:r w:rsidR="00D57B3E">
        <w:t xml:space="preserve"> </w:t>
      </w:r>
      <w:r w:rsidRPr="00646554">
        <w:t xml:space="preserve"> The results of the analysis are presented in Table 11 and Figure 6.</w:t>
      </w:r>
    </w:p>
    <w:p w14:paraId="0A1EE173" w14:textId="77777777" w:rsidR="006A6A24" w:rsidRDefault="006A6A24">
      <w:pPr>
        <w:spacing w:line="276" w:lineRule="auto"/>
        <w:rPr>
          <w:rFonts w:eastAsiaTheme="majorEastAsia" w:cstheme="majorBidi"/>
          <w:b/>
          <w:bCs/>
        </w:rPr>
      </w:pPr>
      <w:r>
        <w:br w:type="page"/>
      </w:r>
    </w:p>
    <w:p w14:paraId="724380D5" w14:textId="3C3CF8BB" w:rsidR="00C55569" w:rsidRPr="00925A99" w:rsidRDefault="00C55569" w:rsidP="0093684D">
      <w:pPr>
        <w:pStyle w:val="Tabletitle"/>
      </w:pPr>
      <w:r w:rsidRPr="00925A99">
        <w:lastRenderedPageBreak/>
        <w:t>Table 1</w:t>
      </w:r>
      <w:r>
        <w:t>1</w:t>
      </w:r>
      <w:r w:rsidRPr="00925A99">
        <w:t xml:space="preserve">: </w:t>
      </w:r>
      <w:r>
        <w:t>Top 25 drug regimen transitions at initiation</w:t>
      </w:r>
    </w:p>
    <w:tbl>
      <w:tblPr>
        <w:tblW w:w="5100" w:type="pct"/>
        <w:tblInd w:w="108" w:type="dxa"/>
        <w:tblLayout w:type="fixed"/>
        <w:tblLook w:val="04A0" w:firstRow="1" w:lastRow="0" w:firstColumn="1" w:lastColumn="0" w:noHBand="0" w:noVBand="1"/>
      </w:tblPr>
      <w:tblGrid>
        <w:gridCol w:w="708"/>
        <w:gridCol w:w="2822"/>
        <w:gridCol w:w="3810"/>
        <w:gridCol w:w="1024"/>
        <w:gridCol w:w="992"/>
      </w:tblGrid>
      <w:tr w:rsidR="00E86089" w:rsidRPr="007E56DF" w14:paraId="4A947AB4" w14:textId="77777777" w:rsidTr="00E86089">
        <w:trPr>
          <w:trHeight w:val="255"/>
        </w:trPr>
        <w:tc>
          <w:tcPr>
            <w:tcW w:w="379" w:type="pct"/>
            <w:tcBorders>
              <w:top w:val="single" w:sz="4" w:space="0" w:color="000000"/>
              <w:left w:val="single" w:sz="4" w:space="0" w:color="000000"/>
              <w:bottom w:val="single" w:sz="4" w:space="0" w:color="auto"/>
              <w:right w:val="nil"/>
            </w:tcBorders>
            <w:shd w:val="clear" w:color="auto" w:fill="BFBFBF" w:themeFill="background1" w:themeFillShade="BF"/>
            <w:vAlign w:val="center"/>
          </w:tcPr>
          <w:p w14:paraId="22B258DA" w14:textId="77777777" w:rsidR="00C55569" w:rsidRPr="007D3FB9" w:rsidRDefault="00C55569" w:rsidP="006577FD">
            <w:pPr>
              <w:spacing w:after="0"/>
              <w:rPr>
                <w:rFonts w:eastAsia="Times New Roman" w:cs="Times New Roman"/>
                <w:b/>
                <w:sz w:val="20"/>
                <w:szCs w:val="20"/>
              </w:rPr>
            </w:pPr>
            <w:r w:rsidRPr="007D3FB9">
              <w:rPr>
                <w:rFonts w:eastAsia="Times New Roman" w:cs="Times New Roman"/>
                <w:b/>
                <w:sz w:val="20"/>
                <w:szCs w:val="20"/>
              </w:rPr>
              <w:t>Rank</w:t>
            </w:r>
          </w:p>
        </w:tc>
        <w:tc>
          <w:tcPr>
            <w:tcW w:w="1508"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2F076535" w14:textId="77777777" w:rsidR="00C55569" w:rsidRPr="007D3FB9" w:rsidRDefault="00C55569" w:rsidP="006577FD">
            <w:pPr>
              <w:spacing w:after="0"/>
              <w:rPr>
                <w:rFonts w:eastAsia="Times New Roman" w:cs="Times New Roman"/>
                <w:b/>
                <w:sz w:val="20"/>
                <w:szCs w:val="20"/>
              </w:rPr>
            </w:pPr>
            <w:r w:rsidRPr="007D3FB9">
              <w:rPr>
                <w:rFonts w:eastAsia="Times New Roman" w:cs="Times New Roman"/>
                <w:b/>
                <w:sz w:val="20"/>
                <w:szCs w:val="20"/>
              </w:rPr>
              <w:t xml:space="preserve">Pre-initiation regimen </w:t>
            </w:r>
            <w:r>
              <w:rPr>
                <w:rFonts w:eastAsia="Times New Roman" w:cs="Times New Roman"/>
                <w:b/>
                <w:sz w:val="20"/>
                <w:szCs w:val="20"/>
              </w:rPr>
              <w:br/>
            </w:r>
            <w:r w:rsidRPr="007D3FB9">
              <w:rPr>
                <w:rFonts w:eastAsia="Times New Roman" w:cs="Times New Roman"/>
                <w:b/>
                <w:sz w:val="20"/>
                <w:szCs w:val="20"/>
              </w:rPr>
              <w:t>(week=-1)</w:t>
            </w:r>
          </w:p>
        </w:tc>
        <w:tc>
          <w:tcPr>
            <w:tcW w:w="2036" w:type="pct"/>
            <w:tcBorders>
              <w:top w:val="single" w:sz="4" w:space="0" w:color="000000"/>
              <w:left w:val="single" w:sz="4" w:space="0" w:color="000000"/>
              <w:bottom w:val="single" w:sz="4" w:space="0" w:color="auto"/>
              <w:right w:val="nil"/>
            </w:tcBorders>
            <w:shd w:val="clear" w:color="auto" w:fill="BFBFBF" w:themeFill="background1" w:themeFillShade="BF"/>
            <w:noWrap/>
            <w:vAlign w:val="center"/>
            <w:hideMark/>
          </w:tcPr>
          <w:p w14:paraId="49C27D11" w14:textId="77777777" w:rsidR="00C55569" w:rsidRPr="007D3FB9" w:rsidRDefault="00C55569" w:rsidP="006577FD">
            <w:pPr>
              <w:spacing w:after="0"/>
              <w:rPr>
                <w:rFonts w:eastAsia="Times New Roman" w:cs="Times New Roman"/>
                <w:b/>
                <w:sz w:val="20"/>
                <w:szCs w:val="20"/>
              </w:rPr>
            </w:pPr>
            <w:r w:rsidRPr="007D3FB9">
              <w:rPr>
                <w:rFonts w:eastAsia="Times New Roman" w:cs="Times New Roman"/>
                <w:b/>
                <w:sz w:val="20"/>
                <w:szCs w:val="20"/>
              </w:rPr>
              <w:t>Post-initiation regimen (week=0)</w:t>
            </w:r>
          </w:p>
        </w:tc>
        <w:tc>
          <w:tcPr>
            <w:tcW w:w="547" w:type="pct"/>
            <w:tcBorders>
              <w:top w:val="single" w:sz="4" w:space="0" w:color="000000"/>
              <w:left w:val="single" w:sz="4" w:space="0" w:color="000000"/>
              <w:bottom w:val="single" w:sz="4" w:space="0" w:color="auto"/>
              <w:right w:val="nil"/>
            </w:tcBorders>
            <w:shd w:val="clear" w:color="auto" w:fill="BFBFBF" w:themeFill="background1" w:themeFillShade="BF"/>
            <w:noWrap/>
            <w:vAlign w:val="center"/>
            <w:hideMark/>
          </w:tcPr>
          <w:p w14:paraId="4544D4B6" w14:textId="77777777" w:rsidR="00C55569" w:rsidRPr="007D3FB9" w:rsidRDefault="00C55569" w:rsidP="006577FD">
            <w:pPr>
              <w:spacing w:after="0"/>
              <w:rPr>
                <w:rFonts w:eastAsia="Times New Roman" w:cs="Times New Roman"/>
                <w:b/>
                <w:sz w:val="20"/>
                <w:szCs w:val="20"/>
              </w:rPr>
            </w:pPr>
            <w:r w:rsidRPr="007D3FB9">
              <w:rPr>
                <w:rFonts w:eastAsia="Times New Roman" w:cs="Times New Roman"/>
                <w:b/>
                <w:sz w:val="20"/>
                <w:szCs w:val="20"/>
              </w:rPr>
              <w:t>Patients</w:t>
            </w:r>
          </w:p>
        </w:tc>
        <w:tc>
          <w:tcPr>
            <w:tcW w:w="530" w:type="pct"/>
            <w:tcBorders>
              <w:top w:val="single" w:sz="4" w:space="0" w:color="000000"/>
              <w:left w:val="nil"/>
              <w:bottom w:val="single" w:sz="4" w:space="0" w:color="auto"/>
              <w:right w:val="single" w:sz="4" w:space="0" w:color="000000"/>
            </w:tcBorders>
            <w:shd w:val="clear" w:color="auto" w:fill="BFBFBF" w:themeFill="background1" w:themeFillShade="BF"/>
            <w:noWrap/>
            <w:vAlign w:val="center"/>
            <w:hideMark/>
          </w:tcPr>
          <w:p w14:paraId="7CA1144B" w14:textId="77777777" w:rsidR="00C55569" w:rsidRPr="007D3FB9" w:rsidRDefault="00C55569" w:rsidP="006577FD">
            <w:pPr>
              <w:spacing w:after="0"/>
              <w:jc w:val="center"/>
              <w:rPr>
                <w:rFonts w:eastAsia="Times New Roman" w:cs="Times New Roman"/>
                <w:b/>
                <w:sz w:val="20"/>
                <w:szCs w:val="20"/>
              </w:rPr>
            </w:pPr>
            <w:r w:rsidRPr="007D3FB9">
              <w:rPr>
                <w:rFonts w:eastAsia="Times New Roman" w:cs="Times New Roman"/>
                <w:b/>
                <w:sz w:val="20"/>
                <w:szCs w:val="20"/>
              </w:rPr>
              <w:t>% Patients</w:t>
            </w:r>
          </w:p>
        </w:tc>
      </w:tr>
      <w:tr w:rsidR="00E86089" w:rsidRPr="007E56DF" w14:paraId="055AD17C" w14:textId="77777777" w:rsidTr="00E86089">
        <w:trPr>
          <w:trHeight w:val="284"/>
        </w:trPr>
        <w:tc>
          <w:tcPr>
            <w:tcW w:w="379" w:type="pct"/>
            <w:tcBorders>
              <w:top w:val="single" w:sz="4" w:space="0" w:color="auto"/>
              <w:left w:val="single" w:sz="4" w:space="0" w:color="000000"/>
              <w:bottom w:val="nil"/>
              <w:right w:val="nil"/>
            </w:tcBorders>
          </w:tcPr>
          <w:p w14:paraId="3D34362A"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1</w:t>
            </w:r>
          </w:p>
        </w:tc>
        <w:tc>
          <w:tcPr>
            <w:tcW w:w="1508" w:type="pct"/>
            <w:tcBorders>
              <w:top w:val="single" w:sz="4" w:space="0" w:color="auto"/>
              <w:left w:val="single" w:sz="4" w:space="0" w:color="000000"/>
              <w:bottom w:val="nil"/>
              <w:right w:val="single" w:sz="4" w:space="0" w:color="000000"/>
            </w:tcBorders>
            <w:vAlign w:val="bottom"/>
          </w:tcPr>
          <w:p w14:paraId="170EBCE1" w14:textId="77777777" w:rsidR="00C55569" w:rsidRPr="007D3FB9" w:rsidRDefault="00C55569" w:rsidP="006577FD">
            <w:pPr>
              <w:spacing w:after="0"/>
              <w:rPr>
                <w:sz w:val="20"/>
                <w:szCs w:val="20"/>
              </w:rPr>
            </w:pPr>
            <w:r w:rsidRPr="007D3FB9">
              <w:rPr>
                <w:sz w:val="20"/>
                <w:szCs w:val="20"/>
              </w:rPr>
              <w:t>Metformin+Sulfonylurea</w:t>
            </w:r>
          </w:p>
        </w:tc>
        <w:tc>
          <w:tcPr>
            <w:tcW w:w="2036" w:type="pct"/>
            <w:tcBorders>
              <w:top w:val="single" w:sz="4" w:space="0" w:color="auto"/>
              <w:left w:val="single" w:sz="4" w:space="0" w:color="000000"/>
              <w:bottom w:val="nil"/>
              <w:right w:val="nil"/>
            </w:tcBorders>
            <w:shd w:val="clear" w:color="auto" w:fill="auto"/>
            <w:noWrap/>
            <w:vAlign w:val="bottom"/>
          </w:tcPr>
          <w:p w14:paraId="2B70D27D" w14:textId="77777777" w:rsidR="00C55569" w:rsidRPr="007D3FB9" w:rsidRDefault="00C55569" w:rsidP="006577FD">
            <w:pPr>
              <w:spacing w:after="0"/>
              <w:rPr>
                <w:sz w:val="20"/>
                <w:szCs w:val="20"/>
              </w:rPr>
            </w:pPr>
            <w:r w:rsidRPr="007D3FB9">
              <w:rPr>
                <w:sz w:val="20"/>
                <w:szCs w:val="20"/>
              </w:rPr>
              <w:t>Exenatide+Metformin+Sulfonylurea</w:t>
            </w:r>
          </w:p>
        </w:tc>
        <w:tc>
          <w:tcPr>
            <w:tcW w:w="547" w:type="pct"/>
            <w:tcBorders>
              <w:top w:val="single" w:sz="4" w:space="0" w:color="auto"/>
              <w:left w:val="single" w:sz="4" w:space="0" w:color="000000"/>
              <w:bottom w:val="nil"/>
              <w:right w:val="nil"/>
            </w:tcBorders>
            <w:shd w:val="clear" w:color="auto" w:fill="auto"/>
            <w:noWrap/>
            <w:vAlign w:val="bottom"/>
          </w:tcPr>
          <w:p w14:paraId="2247DB94" w14:textId="77777777" w:rsidR="00C55569" w:rsidRPr="007D3FB9" w:rsidRDefault="00C55569" w:rsidP="006577FD">
            <w:pPr>
              <w:spacing w:after="0"/>
              <w:jc w:val="center"/>
              <w:rPr>
                <w:sz w:val="20"/>
                <w:szCs w:val="20"/>
              </w:rPr>
            </w:pPr>
            <w:r w:rsidRPr="007D3FB9">
              <w:rPr>
                <w:sz w:val="20"/>
                <w:szCs w:val="20"/>
              </w:rPr>
              <w:t>356</w:t>
            </w:r>
          </w:p>
        </w:tc>
        <w:tc>
          <w:tcPr>
            <w:tcW w:w="530" w:type="pct"/>
            <w:tcBorders>
              <w:top w:val="single" w:sz="4" w:space="0" w:color="auto"/>
              <w:left w:val="nil"/>
              <w:bottom w:val="nil"/>
              <w:right w:val="single" w:sz="4" w:space="0" w:color="000000"/>
            </w:tcBorders>
            <w:shd w:val="clear" w:color="auto" w:fill="auto"/>
            <w:noWrap/>
            <w:vAlign w:val="bottom"/>
          </w:tcPr>
          <w:p w14:paraId="39BF9242" w14:textId="08DC1056" w:rsidR="00C55569" w:rsidRPr="007D3FB9" w:rsidRDefault="00C55569" w:rsidP="006577FD">
            <w:pPr>
              <w:spacing w:after="0"/>
              <w:jc w:val="center"/>
              <w:rPr>
                <w:sz w:val="20"/>
                <w:szCs w:val="20"/>
              </w:rPr>
            </w:pPr>
            <w:r w:rsidRPr="007D3FB9">
              <w:rPr>
                <w:sz w:val="20"/>
                <w:szCs w:val="20"/>
              </w:rPr>
              <w:t>17.2</w:t>
            </w:r>
            <w:r w:rsidR="009D67A2">
              <w:rPr>
                <w:sz w:val="20"/>
                <w:szCs w:val="20"/>
              </w:rPr>
              <w:t xml:space="preserve"> </w:t>
            </w:r>
            <w:r w:rsidRPr="007D3FB9">
              <w:rPr>
                <w:sz w:val="20"/>
                <w:szCs w:val="20"/>
              </w:rPr>
              <w:t>%</w:t>
            </w:r>
          </w:p>
        </w:tc>
      </w:tr>
      <w:tr w:rsidR="00E86089" w:rsidRPr="007E56DF" w14:paraId="55142F94" w14:textId="77777777" w:rsidTr="00E86089">
        <w:trPr>
          <w:trHeight w:val="255"/>
        </w:trPr>
        <w:tc>
          <w:tcPr>
            <w:tcW w:w="379" w:type="pct"/>
            <w:tcBorders>
              <w:top w:val="nil"/>
              <w:left w:val="single" w:sz="4" w:space="0" w:color="000000"/>
              <w:bottom w:val="nil"/>
              <w:right w:val="nil"/>
            </w:tcBorders>
          </w:tcPr>
          <w:p w14:paraId="08233DEB"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2</w:t>
            </w:r>
          </w:p>
        </w:tc>
        <w:tc>
          <w:tcPr>
            <w:tcW w:w="1508" w:type="pct"/>
            <w:tcBorders>
              <w:top w:val="nil"/>
              <w:left w:val="single" w:sz="4" w:space="0" w:color="000000"/>
              <w:bottom w:val="nil"/>
              <w:right w:val="single" w:sz="4" w:space="0" w:color="000000"/>
            </w:tcBorders>
            <w:vAlign w:val="bottom"/>
          </w:tcPr>
          <w:p w14:paraId="4B0B18DE" w14:textId="77777777" w:rsidR="00C55569" w:rsidRPr="007D3FB9" w:rsidRDefault="00C55569" w:rsidP="006577FD">
            <w:pPr>
              <w:spacing w:after="0"/>
              <w:rPr>
                <w:sz w:val="20"/>
                <w:szCs w:val="20"/>
              </w:rPr>
            </w:pPr>
            <w:r w:rsidRPr="007D3FB9">
              <w:rPr>
                <w:sz w:val="20"/>
                <w:szCs w:val="20"/>
              </w:rPr>
              <w:t>Metformin</w:t>
            </w:r>
          </w:p>
        </w:tc>
        <w:tc>
          <w:tcPr>
            <w:tcW w:w="2036" w:type="pct"/>
            <w:tcBorders>
              <w:top w:val="nil"/>
              <w:left w:val="single" w:sz="4" w:space="0" w:color="000000"/>
              <w:bottom w:val="nil"/>
              <w:right w:val="nil"/>
            </w:tcBorders>
            <w:shd w:val="clear" w:color="auto" w:fill="auto"/>
            <w:noWrap/>
            <w:vAlign w:val="bottom"/>
          </w:tcPr>
          <w:p w14:paraId="03C5D4D8" w14:textId="77777777" w:rsidR="00C55569" w:rsidRPr="007D3FB9" w:rsidRDefault="00C55569" w:rsidP="006577FD">
            <w:pPr>
              <w:spacing w:after="0"/>
              <w:rPr>
                <w:sz w:val="20"/>
                <w:szCs w:val="20"/>
              </w:rPr>
            </w:pPr>
            <w:r w:rsidRPr="007D3FB9">
              <w:rPr>
                <w:sz w:val="20"/>
                <w:szCs w:val="20"/>
              </w:rPr>
              <w:t>Exenatide+Metformin</w:t>
            </w:r>
          </w:p>
        </w:tc>
        <w:tc>
          <w:tcPr>
            <w:tcW w:w="547" w:type="pct"/>
            <w:tcBorders>
              <w:top w:val="nil"/>
              <w:left w:val="single" w:sz="4" w:space="0" w:color="000000"/>
              <w:bottom w:val="nil"/>
              <w:right w:val="nil"/>
            </w:tcBorders>
            <w:shd w:val="clear" w:color="auto" w:fill="auto"/>
            <w:noWrap/>
            <w:vAlign w:val="bottom"/>
          </w:tcPr>
          <w:p w14:paraId="57830DED" w14:textId="77777777" w:rsidR="00C55569" w:rsidRPr="007D3FB9" w:rsidRDefault="00C55569" w:rsidP="006577FD">
            <w:pPr>
              <w:spacing w:after="0"/>
              <w:jc w:val="center"/>
              <w:rPr>
                <w:sz w:val="20"/>
                <w:szCs w:val="20"/>
              </w:rPr>
            </w:pPr>
            <w:r w:rsidRPr="007D3FB9">
              <w:rPr>
                <w:sz w:val="20"/>
                <w:szCs w:val="20"/>
              </w:rPr>
              <w:t>154</w:t>
            </w:r>
          </w:p>
        </w:tc>
        <w:tc>
          <w:tcPr>
            <w:tcW w:w="530" w:type="pct"/>
            <w:tcBorders>
              <w:top w:val="nil"/>
              <w:left w:val="nil"/>
              <w:bottom w:val="nil"/>
              <w:right w:val="single" w:sz="4" w:space="0" w:color="000000"/>
            </w:tcBorders>
            <w:shd w:val="clear" w:color="auto" w:fill="auto"/>
            <w:noWrap/>
            <w:vAlign w:val="bottom"/>
          </w:tcPr>
          <w:p w14:paraId="59BA246C" w14:textId="7D6B7361" w:rsidR="00C55569" w:rsidRPr="007D3FB9" w:rsidRDefault="00C55569" w:rsidP="006577FD">
            <w:pPr>
              <w:spacing w:after="0"/>
              <w:jc w:val="center"/>
              <w:rPr>
                <w:sz w:val="20"/>
                <w:szCs w:val="20"/>
              </w:rPr>
            </w:pPr>
            <w:r w:rsidRPr="007D3FB9">
              <w:rPr>
                <w:sz w:val="20"/>
                <w:szCs w:val="20"/>
              </w:rPr>
              <w:t>7.4</w:t>
            </w:r>
            <w:r w:rsidR="009D67A2">
              <w:rPr>
                <w:sz w:val="20"/>
                <w:szCs w:val="20"/>
              </w:rPr>
              <w:t xml:space="preserve"> </w:t>
            </w:r>
            <w:r w:rsidRPr="007D3FB9">
              <w:rPr>
                <w:sz w:val="20"/>
                <w:szCs w:val="20"/>
              </w:rPr>
              <w:t>%</w:t>
            </w:r>
          </w:p>
        </w:tc>
      </w:tr>
      <w:tr w:rsidR="00E86089" w:rsidRPr="007E56DF" w14:paraId="10BEB1B0" w14:textId="77777777" w:rsidTr="00E86089">
        <w:trPr>
          <w:trHeight w:val="255"/>
        </w:trPr>
        <w:tc>
          <w:tcPr>
            <w:tcW w:w="379" w:type="pct"/>
            <w:tcBorders>
              <w:top w:val="nil"/>
              <w:left w:val="single" w:sz="4" w:space="0" w:color="000000"/>
              <w:bottom w:val="nil"/>
              <w:right w:val="nil"/>
            </w:tcBorders>
          </w:tcPr>
          <w:p w14:paraId="027233A3"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3</w:t>
            </w:r>
          </w:p>
        </w:tc>
        <w:tc>
          <w:tcPr>
            <w:tcW w:w="1508" w:type="pct"/>
            <w:tcBorders>
              <w:top w:val="nil"/>
              <w:left w:val="single" w:sz="4" w:space="0" w:color="000000"/>
              <w:bottom w:val="nil"/>
              <w:right w:val="single" w:sz="4" w:space="0" w:color="000000"/>
            </w:tcBorders>
            <w:vAlign w:val="bottom"/>
          </w:tcPr>
          <w:p w14:paraId="723392C8" w14:textId="77777777" w:rsidR="00C55569" w:rsidRPr="007D3FB9" w:rsidRDefault="00C55569" w:rsidP="006577FD">
            <w:pPr>
              <w:spacing w:after="0"/>
              <w:rPr>
                <w:sz w:val="20"/>
                <w:szCs w:val="20"/>
              </w:rPr>
            </w:pPr>
            <w:r w:rsidRPr="007D3FB9">
              <w:rPr>
                <w:sz w:val="20"/>
                <w:szCs w:val="20"/>
              </w:rPr>
              <w:t>Insulin+Metformin</w:t>
            </w:r>
          </w:p>
        </w:tc>
        <w:tc>
          <w:tcPr>
            <w:tcW w:w="2036" w:type="pct"/>
            <w:tcBorders>
              <w:top w:val="nil"/>
              <w:left w:val="single" w:sz="4" w:space="0" w:color="000000"/>
              <w:bottom w:val="nil"/>
              <w:right w:val="nil"/>
            </w:tcBorders>
            <w:shd w:val="clear" w:color="auto" w:fill="auto"/>
            <w:noWrap/>
            <w:vAlign w:val="bottom"/>
          </w:tcPr>
          <w:p w14:paraId="3F93070F" w14:textId="77777777" w:rsidR="00C55569" w:rsidRPr="007D3FB9" w:rsidRDefault="00C55569" w:rsidP="006577FD">
            <w:pPr>
              <w:spacing w:after="0"/>
              <w:rPr>
                <w:sz w:val="20"/>
                <w:szCs w:val="20"/>
              </w:rPr>
            </w:pPr>
            <w:r w:rsidRPr="007D3FB9">
              <w:rPr>
                <w:sz w:val="20"/>
                <w:szCs w:val="20"/>
              </w:rPr>
              <w:t>Exenatide+Insulin+Metformin</w:t>
            </w:r>
          </w:p>
        </w:tc>
        <w:tc>
          <w:tcPr>
            <w:tcW w:w="547" w:type="pct"/>
            <w:tcBorders>
              <w:top w:val="nil"/>
              <w:left w:val="single" w:sz="4" w:space="0" w:color="000000"/>
              <w:bottom w:val="nil"/>
              <w:right w:val="nil"/>
            </w:tcBorders>
            <w:shd w:val="clear" w:color="auto" w:fill="auto"/>
            <w:noWrap/>
            <w:vAlign w:val="bottom"/>
          </w:tcPr>
          <w:p w14:paraId="0682935C" w14:textId="77777777" w:rsidR="00C55569" w:rsidRPr="007D3FB9" w:rsidRDefault="00C55569" w:rsidP="006577FD">
            <w:pPr>
              <w:spacing w:after="0"/>
              <w:jc w:val="center"/>
              <w:rPr>
                <w:sz w:val="20"/>
                <w:szCs w:val="20"/>
              </w:rPr>
            </w:pPr>
            <w:r w:rsidRPr="007D3FB9">
              <w:rPr>
                <w:sz w:val="20"/>
                <w:szCs w:val="20"/>
              </w:rPr>
              <w:t>129</w:t>
            </w:r>
          </w:p>
        </w:tc>
        <w:tc>
          <w:tcPr>
            <w:tcW w:w="530" w:type="pct"/>
            <w:tcBorders>
              <w:top w:val="nil"/>
              <w:left w:val="nil"/>
              <w:bottom w:val="nil"/>
              <w:right w:val="single" w:sz="4" w:space="0" w:color="000000"/>
            </w:tcBorders>
            <w:shd w:val="clear" w:color="auto" w:fill="auto"/>
            <w:noWrap/>
            <w:vAlign w:val="bottom"/>
          </w:tcPr>
          <w:p w14:paraId="5A5BD9C8" w14:textId="1E363CA9" w:rsidR="00C55569" w:rsidRPr="007D3FB9" w:rsidRDefault="00C55569" w:rsidP="006577FD">
            <w:pPr>
              <w:spacing w:after="0"/>
              <w:jc w:val="center"/>
              <w:rPr>
                <w:sz w:val="20"/>
                <w:szCs w:val="20"/>
              </w:rPr>
            </w:pPr>
            <w:r w:rsidRPr="007D3FB9">
              <w:rPr>
                <w:sz w:val="20"/>
                <w:szCs w:val="20"/>
              </w:rPr>
              <w:t>6.2</w:t>
            </w:r>
            <w:r w:rsidR="009D67A2">
              <w:rPr>
                <w:sz w:val="20"/>
                <w:szCs w:val="20"/>
              </w:rPr>
              <w:t xml:space="preserve"> </w:t>
            </w:r>
            <w:r w:rsidRPr="007D3FB9">
              <w:rPr>
                <w:sz w:val="20"/>
                <w:szCs w:val="20"/>
              </w:rPr>
              <w:t>%</w:t>
            </w:r>
          </w:p>
        </w:tc>
      </w:tr>
      <w:tr w:rsidR="00E86089" w:rsidRPr="007E56DF" w14:paraId="55D5F8DB" w14:textId="77777777" w:rsidTr="00E86089">
        <w:trPr>
          <w:trHeight w:val="255"/>
        </w:trPr>
        <w:tc>
          <w:tcPr>
            <w:tcW w:w="379" w:type="pct"/>
            <w:tcBorders>
              <w:top w:val="nil"/>
              <w:left w:val="single" w:sz="4" w:space="0" w:color="000000"/>
              <w:bottom w:val="nil"/>
              <w:right w:val="nil"/>
            </w:tcBorders>
          </w:tcPr>
          <w:p w14:paraId="7EB37337"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4</w:t>
            </w:r>
          </w:p>
        </w:tc>
        <w:tc>
          <w:tcPr>
            <w:tcW w:w="1508" w:type="pct"/>
            <w:tcBorders>
              <w:top w:val="nil"/>
              <w:left w:val="single" w:sz="4" w:space="0" w:color="000000"/>
              <w:bottom w:val="nil"/>
              <w:right w:val="single" w:sz="4" w:space="0" w:color="000000"/>
            </w:tcBorders>
            <w:vAlign w:val="bottom"/>
          </w:tcPr>
          <w:p w14:paraId="455813B8" w14:textId="77777777" w:rsidR="00C55569" w:rsidRPr="007D3FB9" w:rsidRDefault="00C55569" w:rsidP="006577FD">
            <w:pPr>
              <w:spacing w:after="0"/>
              <w:rPr>
                <w:sz w:val="20"/>
                <w:szCs w:val="20"/>
              </w:rPr>
            </w:pPr>
            <w:r w:rsidRPr="007D3FB9">
              <w:rPr>
                <w:sz w:val="20"/>
                <w:szCs w:val="20"/>
              </w:rPr>
              <w:t>None</w:t>
            </w:r>
          </w:p>
        </w:tc>
        <w:tc>
          <w:tcPr>
            <w:tcW w:w="2036" w:type="pct"/>
            <w:tcBorders>
              <w:top w:val="nil"/>
              <w:left w:val="single" w:sz="4" w:space="0" w:color="000000"/>
              <w:bottom w:val="nil"/>
              <w:right w:val="nil"/>
            </w:tcBorders>
            <w:shd w:val="clear" w:color="auto" w:fill="auto"/>
            <w:noWrap/>
            <w:vAlign w:val="bottom"/>
          </w:tcPr>
          <w:p w14:paraId="5EF954BB" w14:textId="77777777" w:rsidR="00C55569" w:rsidRPr="007D3FB9" w:rsidRDefault="00C55569" w:rsidP="006577FD">
            <w:pPr>
              <w:spacing w:after="0"/>
              <w:rPr>
                <w:sz w:val="20"/>
                <w:szCs w:val="20"/>
              </w:rPr>
            </w:pPr>
            <w:r w:rsidRPr="007D3FB9">
              <w:rPr>
                <w:sz w:val="20"/>
                <w:szCs w:val="20"/>
              </w:rPr>
              <w:t>Exenatide</w:t>
            </w:r>
          </w:p>
        </w:tc>
        <w:tc>
          <w:tcPr>
            <w:tcW w:w="547" w:type="pct"/>
            <w:tcBorders>
              <w:top w:val="nil"/>
              <w:left w:val="single" w:sz="4" w:space="0" w:color="000000"/>
              <w:bottom w:val="nil"/>
              <w:right w:val="nil"/>
            </w:tcBorders>
            <w:shd w:val="clear" w:color="auto" w:fill="auto"/>
            <w:noWrap/>
            <w:vAlign w:val="bottom"/>
          </w:tcPr>
          <w:p w14:paraId="1E347070" w14:textId="77777777" w:rsidR="00C55569" w:rsidRPr="007D3FB9" w:rsidRDefault="00C55569" w:rsidP="006577FD">
            <w:pPr>
              <w:spacing w:after="0"/>
              <w:jc w:val="center"/>
              <w:rPr>
                <w:sz w:val="20"/>
                <w:szCs w:val="20"/>
              </w:rPr>
            </w:pPr>
            <w:r w:rsidRPr="007D3FB9">
              <w:rPr>
                <w:sz w:val="20"/>
                <w:szCs w:val="20"/>
              </w:rPr>
              <w:t>116</w:t>
            </w:r>
          </w:p>
        </w:tc>
        <w:tc>
          <w:tcPr>
            <w:tcW w:w="530" w:type="pct"/>
            <w:tcBorders>
              <w:top w:val="nil"/>
              <w:left w:val="nil"/>
              <w:bottom w:val="nil"/>
              <w:right w:val="single" w:sz="4" w:space="0" w:color="000000"/>
            </w:tcBorders>
            <w:shd w:val="clear" w:color="auto" w:fill="auto"/>
            <w:noWrap/>
            <w:vAlign w:val="bottom"/>
          </w:tcPr>
          <w:p w14:paraId="5CCA3EBE" w14:textId="21C1F2F1" w:rsidR="00C55569" w:rsidRPr="007D3FB9" w:rsidRDefault="00C55569" w:rsidP="006577FD">
            <w:pPr>
              <w:spacing w:after="0"/>
              <w:jc w:val="center"/>
              <w:rPr>
                <w:sz w:val="20"/>
                <w:szCs w:val="20"/>
              </w:rPr>
            </w:pPr>
            <w:r w:rsidRPr="007D3FB9">
              <w:rPr>
                <w:sz w:val="20"/>
                <w:szCs w:val="20"/>
              </w:rPr>
              <w:t>5.6</w:t>
            </w:r>
            <w:r w:rsidR="009D67A2">
              <w:rPr>
                <w:sz w:val="20"/>
                <w:szCs w:val="20"/>
              </w:rPr>
              <w:t xml:space="preserve"> </w:t>
            </w:r>
            <w:r w:rsidRPr="007D3FB9">
              <w:rPr>
                <w:sz w:val="20"/>
                <w:szCs w:val="20"/>
              </w:rPr>
              <w:t>%</w:t>
            </w:r>
          </w:p>
        </w:tc>
      </w:tr>
      <w:tr w:rsidR="00E86089" w:rsidRPr="007E56DF" w14:paraId="605647C7" w14:textId="77777777" w:rsidTr="00E86089">
        <w:trPr>
          <w:trHeight w:val="255"/>
        </w:trPr>
        <w:tc>
          <w:tcPr>
            <w:tcW w:w="379" w:type="pct"/>
            <w:tcBorders>
              <w:top w:val="nil"/>
              <w:left w:val="single" w:sz="4" w:space="0" w:color="000000"/>
              <w:bottom w:val="nil"/>
              <w:right w:val="nil"/>
            </w:tcBorders>
          </w:tcPr>
          <w:p w14:paraId="0CB8D0BD"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5</w:t>
            </w:r>
          </w:p>
        </w:tc>
        <w:tc>
          <w:tcPr>
            <w:tcW w:w="1508" w:type="pct"/>
            <w:tcBorders>
              <w:top w:val="nil"/>
              <w:left w:val="single" w:sz="4" w:space="0" w:color="000000"/>
              <w:bottom w:val="nil"/>
              <w:right w:val="single" w:sz="4" w:space="0" w:color="000000"/>
            </w:tcBorders>
            <w:vAlign w:val="bottom"/>
          </w:tcPr>
          <w:p w14:paraId="292C9AB5" w14:textId="77777777" w:rsidR="00C55569" w:rsidRPr="007D3FB9" w:rsidRDefault="00C55569" w:rsidP="006577FD">
            <w:pPr>
              <w:spacing w:after="0"/>
              <w:rPr>
                <w:sz w:val="20"/>
                <w:szCs w:val="20"/>
              </w:rPr>
            </w:pPr>
            <w:r w:rsidRPr="007D3FB9">
              <w:rPr>
                <w:sz w:val="20"/>
                <w:szCs w:val="20"/>
              </w:rPr>
              <w:t>Gliptin+Metformin</w:t>
            </w:r>
          </w:p>
        </w:tc>
        <w:tc>
          <w:tcPr>
            <w:tcW w:w="2036" w:type="pct"/>
            <w:tcBorders>
              <w:top w:val="nil"/>
              <w:left w:val="single" w:sz="4" w:space="0" w:color="000000"/>
              <w:bottom w:val="nil"/>
              <w:right w:val="nil"/>
            </w:tcBorders>
            <w:shd w:val="clear" w:color="auto" w:fill="auto"/>
            <w:noWrap/>
            <w:vAlign w:val="bottom"/>
          </w:tcPr>
          <w:p w14:paraId="2F37E680" w14:textId="77777777" w:rsidR="00C55569" w:rsidRPr="007D3FB9" w:rsidRDefault="00C55569" w:rsidP="006577FD">
            <w:pPr>
              <w:spacing w:after="0"/>
              <w:rPr>
                <w:sz w:val="20"/>
                <w:szCs w:val="20"/>
              </w:rPr>
            </w:pPr>
            <w:r w:rsidRPr="007D3FB9">
              <w:rPr>
                <w:sz w:val="20"/>
                <w:szCs w:val="20"/>
              </w:rPr>
              <w:t>Exenatide+Metformin</w:t>
            </w:r>
          </w:p>
        </w:tc>
        <w:tc>
          <w:tcPr>
            <w:tcW w:w="547" w:type="pct"/>
            <w:tcBorders>
              <w:top w:val="nil"/>
              <w:left w:val="single" w:sz="4" w:space="0" w:color="000000"/>
              <w:bottom w:val="nil"/>
              <w:right w:val="nil"/>
            </w:tcBorders>
            <w:shd w:val="clear" w:color="auto" w:fill="auto"/>
            <w:noWrap/>
            <w:vAlign w:val="bottom"/>
          </w:tcPr>
          <w:p w14:paraId="0E9280B0" w14:textId="77777777" w:rsidR="00C55569" w:rsidRPr="007D3FB9" w:rsidRDefault="00C55569" w:rsidP="006577FD">
            <w:pPr>
              <w:spacing w:after="0"/>
              <w:jc w:val="center"/>
              <w:rPr>
                <w:sz w:val="20"/>
                <w:szCs w:val="20"/>
              </w:rPr>
            </w:pPr>
            <w:r w:rsidRPr="007D3FB9">
              <w:rPr>
                <w:sz w:val="20"/>
                <w:szCs w:val="20"/>
              </w:rPr>
              <w:t>113</w:t>
            </w:r>
          </w:p>
        </w:tc>
        <w:tc>
          <w:tcPr>
            <w:tcW w:w="530" w:type="pct"/>
            <w:tcBorders>
              <w:top w:val="nil"/>
              <w:left w:val="nil"/>
              <w:bottom w:val="nil"/>
              <w:right w:val="single" w:sz="4" w:space="0" w:color="000000"/>
            </w:tcBorders>
            <w:shd w:val="clear" w:color="auto" w:fill="auto"/>
            <w:noWrap/>
            <w:vAlign w:val="bottom"/>
          </w:tcPr>
          <w:p w14:paraId="255F9EA8" w14:textId="2891CF55" w:rsidR="00C55569" w:rsidRPr="007D3FB9" w:rsidRDefault="00C55569" w:rsidP="006577FD">
            <w:pPr>
              <w:spacing w:after="0"/>
              <w:jc w:val="center"/>
              <w:rPr>
                <w:sz w:val="20"/>
                <w:szCs w:val="20"/>
              </w:rPr>
            </w:pPr>
            <w:r w:rsidRPr="007D3FB9">
              <w:rPr>
                <w:sz w:val="20"/>
                <w:szCs w:val="20"/>
              </w:rPr>
              <w:t>5.5</w:t>
            </w:r>
            <w:r w:rsidR="009D67A2">
              <w:rPr>
                <w:sz w:val="20"/>
                <w:szCs w:val="20"/>
              </w:rPr>
              <w:t xml:space="preserve"> </w:t>
            </w:r>
            <w:r w:rsidRPr="007D3FB9">
              <w:rPr>
                <w:sz w:val="20"/>
                <w:szCs w:val="20"/>
              </w:rPr>
              <w:t>%</w:t>
            </w:r>
          </w:p>
        </w:tc>
      </w:tr>
      <w:tr w:rsidR="00E86089" w:rsidRPr="007E56DF" w14:paraId="13744D92" w14:textId="77777777" w:rsidTr="00E86089">
        <w:trPr>
          <w:trHeight w:val="255"/>
        </w:trPr>
        <w:tc>
          <w:tcPr>
            <w:tcW w:w="379" w:type="pct"/>
            <w:tcBorders>
              <w:top w:val="nil"/>
              <w:left w:val="single" w:sz="4" w:space="0" w:color="000000"/>
              <w:bottom w:val="nil"/>
              <w:right w:val="nil"/>
            </w:tcBorders>
          </w:tcPr>
          <w:p w14:paraId="690C98B3"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6</w:t>
            </w:r>
          </w:p>
        </w:tc>
        <w:tc>
          <w:tcPr>
            <w:tcW w:w="1508" w:type="pct"/>
            <w:tcBorders>
              <w:top w:val="nil"/>
              <w:left w:val="single" w:sz="4" w:space="0" w:color="000000"/>
              <w:bottom w:val="nil"/>
              <w:right w:val="single" w:sz="4" w:space="0" w:color="000000"/>
            </w:tcBorders>
            <w:vAlign w:val="bottom"/>
          </w:tcPr>
          <w:p w14:paraId="234AEB16" w14:textId="77777777" w:rsidR="00C55569" w:rsidRPr="007D3FB9" w:rsidRDefault="00C55569" w:rsidP="006577FD">
            <w:pPr>
              <w:spacing w:after="0"/>
              <w:rPr>
                <w:sz w:val="20"/>
                <w:szCs w:val="20"/>
              </w:rPr>
            </w:pPr>
            <w:r w:rsidRPr="007D3FB9">
              <w:rPr>
                <w:sz w:val="20"/>
                <w:szCs w:val="20"/>
              </w:rPr>
              <w:t>Gliptin+Metformin</w:t>
            </w:r>
          </w:p>
        </w:tc>
        <w:tc>
          <w:tcPr>
            <w:tcW w:w="2036" w:type="pct"/>
            <w:tcBorders>
              <w:top w:val="nil"/>
              <w:left w:val="single" w:sz="4" w:space="0" w:color="000000"/>
              <w:bottom w:val="nil"/>
              <w:right w:val="nil"/>
            </w:tcBorders>
            <w:shd w:val="clear" w:color="auto" w:fill="auto"/>
            <w:noWrap/>
            <w:vAlign w:val="bottom"/>
          </w:tcPr>
          <w:p w14:paraId="0C297F97" w14:textId="77777777" w:rsidR="00C55569" w:rsidRPr="007D3FB9" w:rsidRDefault="00C55569" w:rsidP="006577FD">
            <w:pPr>
              <w:spacing w:after="0"/>
              <w:rPr>
                <w:sz w:val="20"/>
                <w:szCs w:val="20"/>
              </w:rPr>
            </w:pPr>
            <w:r w:rsidRPr="007D3FB9">
              <w:rPr>
                <w:sz w:val="20"/>
                <w:szCs w:val="20"/>
              </w:rPr>
              <w:t>Exenatide+Gliptin+Metformin</w:t>
            </w:r>
          </w:p>
        </w:tc>
        <w:tc>
          <w:tcPr>
            <w:tcW w:w="547" w:type="pct"/>
            <w:tcBorders>
              <w:top w:val="nil"/>
              <w:left w:val="single" w:sz="4" w:space="0" w:color="000000"/>
              <w:bottom w:val="nil"/>
              <w:right w:val="nil"/>
            </w:tcBorders>
            <w:shd w:val="clear" w:color="auto" w:fill="auto"/>
            <w:noWrap/>
            <w:vAlign w:val="bottom"/>
          </w:tcPr>
          <w:p w14:paraId="2F107A1B" w14:textId="77777777" w:rsidR="00C55569" w:rsidRPr="007D3FB9" w:rsidRDefault="00C55569" w:rsidP="006577FD">
            <w:pPr>
              <w:spacing w:after="0"/>
              <w:jc w:val="center"/>
              <w:rPr>
                <w:sz w:val="20"/>
                <w:szCs w:val="20"/>
              </w:rPr>
            </w:pPr>
            <w:r w:rsidRPr="007D3FB9">
              <w:rPr>
                <w:sz w:val="20"/>
                <w:szCs w:val="20"/>
              </w:rPr>
              <w:t>75</w:t>
            </w:r>
          </w:p>
        </w:tc>
        <w:tc>
          <w:tcPr>
            <w:tcW w:w="530" w:type="pct"/>
            <w:tcBorders>
              <w:top w:val="nil"/>
              <w:left w:val="nil"/>
              <w:bottom w:val="nil"/>
              <w:right w:val="single" w:sz="4" w:space="0" w:color="000000"/>
            </w:tcBorders>
            <w:shd w:val="clear" w:color="auto" w:fill="auto"/>
            <w:noWrap/>
            <w:vAlign w:val="bottom"/>
          </w:tcPr>
          <w:p w14:paraId="262924C5" w14:textId="7CCBCA2A" w:rsidR="00C55569" w:rsidRPr="007D3FB9" w:rsidRDefault="00C55569" w:rsidP="006577FD">
            <w:pPr>
              <w:spacing w:after="0"/>
              <w:jc w:val="center"/>
              <w:rPr>
                <w:sz w:val="20"/>
                <w:szCs w:val="20"/>
              </w:rPr>
            </w:pPr>
            <w:r w:rsidRPr="007D3FB9">
              <w:rPr>
                <w:sz w:val="20"/>
                <w:szCs w:val="20"/>
              </w:rPr>
              <w:t>3.6</w:t>
            </w:r>
            <w:r w:rsidR="009D67A2">
              <w:rPr>
                <w:sz w:val="20"/>
                <w:szCs w:val="20"/>
              </w:rPr>
              <w:t xml:space="preserve"> </w:t>
            </w:r>
            <w:r w:rsidRPr="007D3FB9">
              <w:rPr>
                <w:sz w:val="20"/>
                <w:szCs w:val="20"/>
              </w:rPr>
              <w:t>%</w:t>
            </w:r>
          </w:p>
        </w:tc>
      </w:tr>
      <w:tr w:rsidR="00E86089" w:rsidRPr="007E56DF" w14:paraId="390FBF67" w14:textId="77777777" w:rsidTr="00E86089">
        <w:trPr>
          <w:trHeight w:val="255"/>
        </w:trPr>
        <w:tc>
          <w:tcPr>
            <w:tcW w:w="379" w:type="pct"/>
            <w:tcBorders>
              <w:top w:val="nil"/>
              <w:left w:val="single" w:sz="4" w:space="0" w:color="000000"/>
              <w:bottom w:val="nil"/>
              <w:right w:val="nil"/>
            </w:tcBorders>
          </w:tcPr>
          <w:p w14:paraId="6FD08FC3"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7</w:t>
            </w:r>
          </w:p>
        </w:tc>
        <w:tc>
          <w:tcPr>
            <w:tcW w:w="1508" w:type="pct"/>
            <w:tcBorders>
              <w:top w:val="nil"/>
              <w:left w:val="single" w:sz="4" w:space="0" w:color="000000"/>
              <w:bottom w:val="nil"/>
              <w:right w:val="single" w:sz="4" w:space="0" w:color="000000"/>
            </w:tcBorders>
            <w:vAlign w:val="bottom"/>
          </w:tcPr>
          <w:p w14:paraId="2F280EBF" w14:textId="77777777" w:rsidR="00C55569" w:rsidRPr="007D3FB9" w:rsidRDefault="00C55569" w:rsidP="006577FD">
            <w:pPr>
              <w:spacing w:after="0"/>
              <w:rPr>
                <w:sz w:val="20"/>
                <w:szCs w:val="20"/>
              </w:rPr>
            </w:pPr>
            <w:r w:rsidRPr="007D3FB9">
              <w:rPr>
                <w:sz w:val="20"/>
                <w:szCs w:val="20"/>
              </w:rPr>
              <w:t>Insulin+Metformin+</w:t>
            </w:r>
            <w:r>
              <w:rPr>
                <w:sz w:val="20"/>
                <w:szCs w:val="20"/>
              </w:rPr>
              <w:br/>
            </w:r>
            <w:r w:rsidRPr="007D3FB9">
              <w:rPr>
                <w:sz w:val="20"/>
                <w:szCs w:val="20"/>
              </w:rPr>
              <w:t>Sulfonylurea</w:t>
            </w:r>
          </w:p>
        </w:tc>
        <w:tc>
          <w:tcPr>
            <w:tcW w:w="2036" w:type="pct"/>
            <w:tcBorders>
              <w:top w:val="nil"/>
              <w:left w:val="single" w:sz="4" w:space="0" w:color="000000"/>
              <w:bottom w:val="nil"/>
              <w:right w:val="nil"/>
            </w:tcBorders>
            <w:shd w:val="clear" w:color="auto" w:fill="auto"/>
            <w:noWrap/>
            <w:vAlign w:val="bottom"/>
          </w:tcPr>
          <w:p w14:paraId="2ECA863C" w14:textId="77777777" w:rsidR="00C55569" w:rsidRPr="007D3FB9" w:rsidRDefault="00C55569" w:rsidP="006577FD">
            <w:pPr>
              <w:spacing w:after="0"/>
              <w:rPr>
                <w:sz w:val="20"/>
                <w:szCs w:val="20"/>
              </w:rPr>
            </w:pPr>
            <w:r w:rsidRPr="007D3FB9">
              <w:rPr>
                <w:sz w:val="20"/>
                <w:szCs w:val="20"/>
              </w:rPr>
              <w:t>Exenatide+Metformin+Sulfonylurea</w:t>
            </w:r>
          </w:p>
        </w:tc>
        <w:tc>
          <w:tcPr>
            <w:tcW w:w="547" w:type="pct"/>
            <w:tcBorders>
              <w:top w:val="nil"/>
              <w:left w:val="single" w:sz="4" w:space="0" w:color="000000"/>
              <w:bottom w:val="nil"/>
              <w:right w:val="nil"/>
            </w:tcBorders>
            <w:shd w:val="clear" w:color="auto" w:fill="auto"/>
            <w:noWrap/>
            <w:vAlign w:val="bottom"/>
          </w:tcPr>
          <w:p w14:paraId="2A8C8543" w14:textId="77777777" w:rsidR="00C55569" w:rsidRPr="007D3FB9" w:rsidRDefault="00C55569" w:rsidP="006577FD">
            <w:pPr>
              <w:spacing w:after="0"/>
              <w:jc w:val="center"/>
              <w:rPr>
                <w:sz w:val="20"/>
                <w:szCs w:val="20"/>
              </w:rPr>
            </w:pPr>
            <w:r w:rsidRPr="007D3FB9">
              <w:rPr>
                <w:sz w:val="20"/>
                <w:szCs w:val="20"/>
              </w:rPr>
              <w:t>61</w:t>
            </w:r>
          </w:p>
        </w:tc>
        <w:tc>
          <w:tcPr>
            <w:tcW w:w="530" w:type="pct"/>
            <w:tcBorders>
              <w:top w:val="nil"/>
              <w:left w:val="nil"/>
              <w:bottom w:val="nil"/>
              <w:right w:val="single" w:sz="4" w:space="0" w:color="000000"/>
            </w:tcBorders>
            <w:shd w:val="clear" w:color="auto" w:fill="auto"/>
            <w:noWrap/>
            <w:vAlign w:val="bottom"/>
          </w:tcPr>
          <w:p w14:paraId="6BE13088" w14:textId="3117A8BE" w:rsidR="00C55569" w:rsidRPr="007D3FB9" w:rsidRDefault="00C55569" w:rsidP="006577FD">
            <w:pPr>
              <w:spacing w:after="0"/>
              <w:jc w:val="center"/>
              <w:rPr>
                <w:sz w:val="20"/>
                <w:szCs w:val="20"/>
              </w:rPr>
            </w:pPr>
            <w:r w:rsidRPr="007D3FB9">
              <w:rPr>
                <w:sz w:val="20"/>
                <w:szCs w:val="20"/>
              </w:rPr>
              <w:t>2.9</w:t>
            </w:r>
            <w:r w:rsidR="009D67A2">
              <w:rPr>
                <w:sz w:val="20"/>
                <w:szCs w:val="20"/>
              </w:rPr>
              <w:t xml:space="preserve"> </w:t>
            </w:r>
            <w:r w:rsidRPr="007D3FB9">
              <w:rPr>
                <w:sz w:val="20"/>
                <w:szCs w:val="20"/>
              </w:rPr>
              <w:t>%</w:t>
            </w:r>
          </w:p>
        </w:tc>
      </w:tr>
      <w:tr w:rsidR="00E86089" w:rsidRPr="007E56DF" w14:paraId="7A06DAF2" w14:textId="77777777" w:rsidTr="00E86089">
        <w:trPr>
          <w:trHeight w:val="255"/>
        </w:trPr>
        <w:tc>
          <w:tcPr>
            <w:tcW w:w="379" w:type="pct"/>
            <w:tcBorders>
              <w:top w:val="nil"/>
              <w:left w:val="single" w:sz="4" w:space="0" w:color="000000"/>
              <w:bottom w:val="nil"/>
              <w:right w:val="nil"/>
            </w:tcBorders>
          </w:tcPr>
          <w:p w14:paraId="2C2E9EC5"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8</w:t>
            </w:r>
          </w:p>
        </w:tc>
        <w:tc>
          <w:tcPr>
            <w:tcW w:w="1508" w:type="pct"/>
            <w:tcBorders>
              <w:top w:val="nil"/>
              <w:left w:val="single" w:sz="4" w:space="0" w:color="000000"/>
              <w:bottom w:val="nil"/>
              <w:right w:val="single" w:sz="4" w:space="0" w:color="000000"/>
            </w:tcBorders>
            <w:vAlign w:val="bottom"/>
          </w:tcPr>
          <w:p w14:paraId="138DC8EE" w14:textId="77777777" w:rsidR="00C55569" w:rsidRPr="007D3FB9" w:rsidRDefault="00C55569" w:rsidP="006577FD">
            <w:pPr>
              <w:spacing w:after="0"/>
              <w:rPr>
                <w:sz w:val="20"/>
                <w:szCs w:val="20"/>
              </w:rPr>
            </w:pPr>
            <w:r w:rsidRPr="007D3FB9">
              <w:rPr>
                <w:sz w:val="20"/>
                <w:szCs w:val="20"/>
              </w:rPr>
              <w:t>Gliptin+Metformin+</w:t>
            </w:r>
            <w:r>
              <w:rPr>
                <w:sz w:val="20"/>
                <w:szCs w:val="20"/>
              </w:rPr>
              <w:br/>
            </w:r>
            <w:r w:rsidRPr="007D3FB9">
              <w:rPr>
                <w:sz w:val="20"/>
                <w:szCs w:val="20"/>
              </w:rPr>
              <w:t>Sulfonylurea</w:t>
            </w:r>
          </w:p>
        </w:tc>
        <w:tc>
          <w:tcPr>
            <w:tcW w:w="2036" w:type="pct"/>
            <w:tcBorders>
              <w:top w:val="nil"/>
              <w:left w:val="single" w:sz="4" w:space="0" w:color="000000"/>
              <w:bottom w:val="nil"/>
              <w:right w:val="nil"/>
            </w:tcBorders>
            <w:shd w:val="clear" w:color="auto" w:fill="auto"/>
            <w:noWrap/>
            <w:vAlign w:val="bottom"/>
          </w:tcPr>
          <w:p w14:paraId="41621260" w14:textId="77777777" w:rsidR="00C55569" w:rsidRPr="007D3FB9" w:rsidRDefault="00C55569" w:rsidP="006577FD">
            <w:pPr>
              <w:spacing w:after="0"/>
              <w:rPr>
                <w:sz w:val="20"/>
                <w:szCs w:val="20"/>
              </w:rPr>
            </w:pPr>
            <w:r w:rsidRPr="007D3FB9">
              <w:rPr>
                <w:sz w:val="20"/>
                <w:szCs w:val="20"/>
              </w:rPr>
              <w:t>Exenatide+Metformin+Sulfonylurea</w:t>
            </w:r>
          </w:p>
        </w:tc>
        <w:tc>
          <w:tcPr>
            <w:tcW w:w="547" w:type="pct"/>
            <w:tcBorders>
              <w:top w:val="nil"/>
              <w:left w:val="single" w:sz="4" w:space="0" w:color="000000"/>
              <w:bottom w:val="nil"/>
              <w:right w:val="nil"/>
            </w:tcBorders>
            <w:shd w:val="clear" w:color="auto" w:fill="auto"/>
            <w:noWrap/>
            <w:vAlign w:val="bottom"/>
          </w:tcPr>
          <w:p w14:paraId="6A67C464" w14:textId="77777777" w:rsidR="00C55569" w:rsidRPr="007D3FB9" w:rsidRDefault="00C55569" w:rsidP="006577FD">
            <w:pPr>
              <w:spacing w:after="0"/>
              <w:jc w:val="center"/>
              <w:rPr>
                <w:sz w:val="20"/>
                <w:szCs w:val="20"/>
              </w:rPr>
            </w:pPr>
            <w:r w:rsidRPr="007D3FB9">
              <w:rPr>
                <w:sz w:val="20"/>
                <w:szCs w:val="20"/>
              </w:rPr>
              <w:t>53</w:t>
            </w:r>
          </w:p>
        </w:tc>
        <w:tc>
          <w:tcPr>
            <w:tcW w:w="530" w:type="pct"/>
            <w:tcBorders>
              <w:top w:val="nil"/>
              <w:left w:val="nil"/>
              <w:bottom w:val="nil"/>
              <w:right w:val="single" w:sz="4" w:space="0" w:color="000000"/>
            </w:tcBorders>
            <w:shd w:val="clear" w:color="auto" w:fill="auto"/>
            <w:noWrap/>
            <w:vAlign w:val="bottom"/>
          </w:tcPr>
          <w:p w14:paraId="29E6102A" w14:textId="73B141AF" w:rsidR="00C55569" w:rsidRPr="007D3FB9" w:rsidRDefault="00C55569" w:rsidP="006577FD">
            <w:pPr>
              <w:spacing w:after="0"/>
              <w:jc w:val="center"/>
              <w:rPr>
                <w:sz w:val="20"/>
                <w:szCs w:val="20"/>
              </w:rPr>
            </w:pPr>
            <w:r w:rsidRPr="007D3FB9">
              <w:rPr>
                <w:sz w:val="20"/>
                <w:szCs w:val="20"/>
              </w:rPr>
              <w:t>2.6</w:t>
            </w:r>
            <w:r w:rsidR="009D67A2">
              <w:rPr>
                <w:sz w:val="20"/>
                <w:szCs w:val="20"/>
              </w:rPr>
              <w:t xml:space="preserve"> </w:t>
            </w:r>
            <w:r w:rsidRPr="007D3FB9">
              <w:rPr>
                <w:sz w:val="20"/>
                <w:szCs w:val="20"/>
              </w:rPr>
              <w:t>%</w:t>
            </w:r>
          </w:p>
        </w:tc>
      </w:tr>
      <w:tr w:rsidR="00E86089" w:rsidRPr="007E56DF" w14:paraId="3E45796E" w14:textId="77777777" w:rsidTr="00E86089">
        <w:trPr>
          <w:trHeight w:val="255"/>
        </w:trPr>
        <w:tc>
          <w:tcPr>
            <w:tcW w:w="379" w:type="pct"/>
            <w:tcBorders>
              <w:top w:val="nil"/>
              <w:left w:val="single" w:sz="4" w:space="0" w:color="000000"/>
              <w:bottom w:val="nil"/>
              <w:right w:val="nil"/>
            </w:tcBorders>
          </w:tcPr>
          <w:p w14:paraId="740A5EE3"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9</w:t>
            </w:r>
          </w:p>
        </w:tc>
        <w:tc>
          <w:tcPr>
            <w:tcW w:w="1508" w:type="pct"/>
            <w:tcBorders>
              <w:top w:val="nil"/>
              <w:left w:val="single" w:sz="4" w:space="0" w:color="000000"/>
              <w:bottom w:val="nil"/>
              <w:right w:val="single" w:sz="4" w:space="0" w:color="000000"/>
            </w:tcBorders>
            <w:vAlign w:val="bottom"/>
          </w:tcPr>
          <w:p w14:paraId="4CE716BC" w14:textId="77777777" w:rsidR="00C55569" w:rsidRPr="007D3FB9" w:rsidRDefault="00C55569" w:rsidP="006577FD">
            <w:pPr>
              <w:spacing w:after="0"/>
              <w:rPr>
                <w:sz w:val="20"/>
                <w:szCs w:val="20"/>
              </w:rPr>
            </w:pPr>
            <w:r w:rsidRPr="007D3FB9">
              <w:rPr>
                <w:sz w:val="20"/>
                <w:szCs w:val="20"/>
              </w:rPr>
              <w:t>Insulin+Metformin</w:t>
            </w:r>
          </w:p>
        </w:tc>
        <w:tc>
          <w:tcPr>
            <w:tcW w:w="2036" w:type="pct"/>
            <w:tcBorders>
              <w:top w:val="nil"/>
              <w:left w:val="single" w:sz="4" w:space="0" w:color="000000"/>
              <w:bottom w:val="nil"/>
              <w:right w:val="nil"/>
            </w:tcBorders>
            <w:shd w:val="clear" w:color="auto" w:fill="auto"/>
            <w:noWrap/>
            <w:vAlign w:val="bottom"/>
          </w:tcPr>
          <w:p w14:paraId="58601644" w14:textId="77777777" w:rsidR="00C55569" w:rsidRPr="007D3FB9" w:rsidRDefault="00C55569" w:rsidP="006577FD">
            <w:pPr>
              <w:spacing w:after="0"/>
              <w:rPr>
                <w:sz w:val="20"/>
                <w:szCs w:val="20"/>
              </w:rPr>
            </w:pPr>
            <w:r w:rsidRPr="007D3FB9">
              <w:rPr>
                <w:sz w:val="20"/>
                <w:szCs w:val="20"/>
              </w:rPr>
              <w:t>Exenatide+Metformin</w:t>
            </w:r>
          </w:p>
        </w:tc>
        <w:tc>
          <w:tcPr>
            <w:tcW w:w="547" w:type="pct"/>
            <w:tcBorders>
              <w:top w:val="nil"/>
              <w:left w:val="single" w:sz="4" w:space="0" w:color="000000"/>
              <w:bottom w:val="nil"/>
              <w:right w:val="nil"/>
            </w:tcBorders>
            <w:shd w:val="clear" w:color="auto" w:fill="auto"/>
            <w:noWrap/>
            <w:vAlign w:val="bottom"/>
          </w:tcPr>
          <w:p w14:paraId="79432516" w14:textId="77777777" w:rsidR="00C55569" w:rsidRPr="007D3FB9" w:rsidRDefault="00C55569" w:rsidP="006577FD">
            <w:pPr>
              <w:spacing w:after="0"/>
              <w:jc w:val="center"/>
              <w:rPr>
                <w:sz w:val="20"/>
                <w:szCs w:val="20"/>
              </w:rPr>
            </w:pPr>
            <w:r w:rsidRPr="007D3FB9">
              <w:rPr>
                <w:sz w:val="20"/>
                <w:szCs w:val="20"/>
              </w:rPr>
              <w:t>52</w:t>
            </w:r>
          </w:p>
        </w:tc>
        <w:tc>
          <w:tcPr>
            <w:tcW w:w="530" w:type="pct"/>
            <w:tcBorders>
              <w:top w:val="nil"/>
              <w:left w:val="nil"/>
              <w:bottom w:val="nil"/>
              <w:right w:val="single" w:sz="4" w:space="0" w:color="000000"/>
            </w:tcBorders>
            <w:shd w:val="clear" w:color="auto" w:fill="auto"/>
            <w:noWrap/>
            <w:vAlign w:val="bottom"/>
          </w:tcPr>
          <w:p w14:paraId="1FF2BCE6" w14:textId="7231CD68" w:rsidR="00C55569" w:rsidRPr="007D3FB9" w:rsidRDefault="00C55569" w:rsidP="006577FD">
            <w:pPr>
              <w:spacing w:after="0"/>
              <w:jc w:val="center"/>
              <w:rPr>
                <w:sz w:val="20"/>
                <w:szCs w:val="20"/>
              </w:rPr>
            </w:pPr>
            <w:r w:rsidRPr="007D3FB9">
              <w:rPr>
                <w:sz w:val="20"/>
                <w:szCs w:val="20"/>
              </w:rPr>
              <w:t>2.5</w:t>
            </w:r>
            <w:r w:rsidR="009D67A2">
              <w:rPr>
                <w:sz w:val="20"/>
                <w:szCs w:val="20"/>
              </w:rPr>
              <w:t xml:space="preserve"> </w:t>
            </w:r>
            <w:r w:rsidRPr="007D3FB9">
              <w:rPr>
                <w:sz w:val="20"/>
                <w:szCs w:val="20"/>
              </w:rPr>
              <w:t>%</w:t>
            </w:r>
          </w:p>
        </w:tc>
      </w:tr>
      <w:tr w:rsidR="00E86089" w:rsidRPr="007E56DF" w14:paraId="4B122CF8" w14:textId="77777777" w:rsidTr="00E86089">
        <w:trPr>
          <w:trHeight w:val="255"/>
        </w:trPr>
        <w:tc>
          <w:tcPr>
            <w:tcW w:w="379" w:type="pct"/>
            <w:tcBorders>
              <w:top w:val="nil"/>
              <w:left w:val="single" w:sz="4" w:space="0" w:color="000000"/>
              <w:bottom w:val="nil"/>
              <w:right w:val="nil"/>
            </w:tcBorders>
          </w:tcPr>
          <w:p w14:paraId="0A503B71"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10</w:t>
            </w:r>
          </w:p>
        </w:tc>
        <w:tc>
          <w:tcPr>
            <w:tcW w:w="1508" w:type="pct"/>
            <w:tcBorders>
              <w:top w:val="nil"/>
              <w:left w:val="single" w:sz="4" w:space="0" w:color="000000"/>
              <w:bottom w:val="nil"/>
              <w:right w:val="single" w:sz="4" w:space="0" w:color="000000"/>
            </w:tcBorders>
            <w:vAlign w:val="bottom"/>
          </w:tcPr>
          <w:p w14:paraId="430526A8" w14:textId="77777777" w:rsidR="00C55569" w:rsidRPr="007D3FB9" w:rsidRDefault="00C55569" w:rsidP="006577FD">
            <w:pPr>
              <w:spacing w:after="0"/>
              <w:rPr>
                <w:sz w:val="20"/>
                <w:szCs w:val="20"/>
              </w:rPr>
            </w:pPr>
            <w:r w:rsidRPr="007D3FB9">
              <w:rPr>
                <w:sz w:val="20"/>
                <w:szCs w:val="20"/>
              </w:rPr>
              <w:t>Metformin+Sulfonylurea</w:t>
            </w:r>
          </w:p>
        </w:tc>
        <w:tc>
          <w:tcPr>
            <w:tcW w:w="2036" w:type="pct"/>
            <w:tcBorders>
              <w:top w:val="nil"/>
              <w:left w:val="single" w:sz="4" w:space="0" w:color="000000"/>
              <w:bottom w:val="nil"/>
              <w:right w:val="nil"/>
            </w:tcBorders>
            <w:shd w:val="clear" w:color="auto" w:fill="auto"/>
            <w:noWrap/>
            <w:vAlign w:val="bottom"/>
          </w:tcPr>
          <w:p w14:paraId="37A8D53F" w14:textId="77777777" w:rsidR="00C55569" w:rsidRPr="007D3FB9" w:rsidRDefault="00C55569" w:rsidP="006577FD">
            <w:pPr>
              <w:spacing w:after="0"/>
              <w:rPr>
                <w:sz w:val="20"/>
                <w:szCs w:val="20"/>
              </w:rPr>
            </w:pPr>
            <w:r w:rsidRPr="007D3FB9">
              <w:rPr>
                <w:sz w:val="20"/>
                <w:szCs w:val="20"/>
              </w:rPr>
              <w:t>Exenatide+Metformin</w:t>
            </w:r>
          </w:p>
        </w:tc>
        <w:tc>
          <w:tcPr>
            <w:tcW w:w="547" w:type="pct"/>
            <w:tcBorders>
              <w:top w:val="nil"/>
              <w:left w:val="single" w:sz="4" w:space="0" w:color="000000"/>
              <w:bottom w:val="nil"/>
              <w:right w:val="nil"/>
            </w:tcBorders>
            <w:shd w:val="clear" w:color="auto" w:fill="auto"/>
            <w:noWrap/>
            <w:vAlign w:val="bottom"/>
          </w:tcPr>
          <w:p w14:paraId="6309A009" w14:textId="77777777" w:rsidR="00C55569" w:rsidRPr="007D3FB9" w:rsidRDefault="00C55569" w:rsidP="006577FD">
            <w:pPr>
              <w:spacing w:after="0"/>
              <w:jc w:val="center"/>
              <w:rPr>
                <w:sz w:val="20"/>
                <w:szCs w:val="20"/>
              </w:rPr>
            </w:pPr>
            <w:r w:rsidRPr="007D3FB9">
              <w:rPr>
                <w:sz w:val="20"/>
                <w:szCs w:val="20"/>
              </w:rPr>
              <w:t>52</w:t>
            </w:r>
          </w:p>
        </w:tc>
        <w:tc>
          <w:tcPr>
            <w:tcW w:w="530" w:type="pct"/>
            <w:tcBorders>
              <w:top w:val="nil"/>
              <w:left w:val="nil"/>
              <w:bottom w:val="nil"/>
              <w:right w:val="single" w:sz="4" w:space="0" w:color="000000"/>
            </w:tcBorders>
            <w:shd w:val="clear" w:color="auto" w:fill="auto"/>
            <w:noWrap/>
            <w:vAlign w:val="bottom"/>
          </w:tcPr>
          <w:p w14:paraId="034D646C" w14:textId="7BA21221" w:rsidR="00C55569" w:rsidRPr="007D3FB9" w:rsidRDefault="00C55569" w:rsidP="006577FD">
            <w:pPr>
              <w:spacing w:after="0"/>
              <w:jc w:val="center"/>
              <w:rPr>
                <w:sz w:val="20"/>
                <w:szCs w:val="20"/>
              </w:rPr>
            </w:pPr>
            <w:r w:rsidRPr="007D3FB9">
              <w:rPr>
                <w:sz w:val="20"/>
                <w:szCs w:val="20"/>
              </w:rPr>
              <w:t>2.5</w:t>
            </w:r>
            <w:r w:rsidR="009D67A2">
              <w:rPr>
                <w:sz w:val="20"/>
                <w:szCs w:val="20"/>
              </w:rPr>
              <w:t xml:space="preserve"> </w:t>
            </w:r>
            <w:r w:rsidRPr="007D3FB9">
              <w:rPr>
                <w:sz w:val="20"/>
                <w:szCs w:val="20"/>
              </w:rPr>
              <w:t>%</w:t>
            </w:r>
          </w:p>
        </w:tc>
      </w:tr>
      <w:tr w:rsidR="00E86089" w:rsidRPr="007E56DF" w14:paraId="33F4F239" w14:textId="77777777" w:rsidTr="00E86089">
        <w:trPr>
          <w:trHeight w:val="255"/>
        </w:trPr>
        <w:tc>
          <w:tcPr>
            <w:tcW w:w="379" w:type="pct"/>
            <w:tcBorders>
              <w:top w:val="nil"/>
              <w:left w:val="single" w:sz="4" w:space="0" w:color="000000"/>
              <w:bottom w:val="nil"/>
              <w:right w:val="nil"/>
            </w:tcBorders>
          </w:tcPr>
          <w:p w14:paraId="1354069B"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11</w:t>
            </w:r>
          </w:p>
        </w:tc>
        <w:tc>
          <w:tcPr>
            <w:tcW w:w="1508" w:type="pct"/>
            <w:tcBorders>
              <w:top w:val="nil"/>
              <w:left w:val="single" w:sz="4" w:space="0" w:color="000000"/>
              <w:bottom w:val="nil"/>
              <w:right w:val="single" w:sz="4" w:space="0" w:color="000000"/>
            </w:tcBorders>
            <w:vAlign w:val="bottom"/>
          </w:tcPr>
          <w:p w14:paraId="198E30FE" w14:textId="77777777" w:rsidR="00C55569" w:rsidRPr="007D3FB9" w:rsidRDefault="00C55569" w:rsidP="006577FD">
            <w:pPr>
              <w:spacing w:after="0"/>
              <w:rPr>
                <w:sz w:val="20"/>
                <w:szCs w:val="20"/>
              </w:rPr>
            </w:pPr>
            <w:r w:rsidRPr="007D3FB9">
              <w:rPr>
                <w:sz w:val="20"/>
                <w:szCs w:val="20"/>
              </w:rPr>
              <w:t>Insulin</w:t>
            </w:r>
          </w:p>
        </w:tc>
        <w:tc>
          <w:tcPr>
            <w:tcW w:w="2036" w:type="pct"/>
            <w:tcBorders>
              <w:top w:val="nil"/>
              <w:left w:val="single" w:sz="4" w:space="0" w:color="000000"/>
              <w:bottom w:val="nil"/>
              <w:right w:val="nil"/>
            </w:tcBorders>
            <w:shd w:val="clear" w:color="auto" w:fill="auto"/>
            <w:noWrap/>
            <w:vAlign w:val="bottom"/>
          </w:tcPr>
          <w:p w14:paraId="7EFA3B17" w14:textId="77777777" w:rsidR="00C55569" w:rsidRPr="007D3FB9" w:rsidRDefault="00C55569" w:rsidP="006577FD">
            <w:pPr>
              <w:spacing w:after="0"/>
              <w:rPr>
                <w:sz w:val="20"/>
                <w:szCs w:val="20"/>
              </w:rPr>
            </w:pPr>
            <w:r w:rsidRPr="007D3FB9">
              <w:rPr>
                <w:sz w:val="20"/>
                <w:szCs w:val="20"/>
              </w:rPr>
              <w:t>Exenatide+Insulin</w:t>
            </w:r>
          </w:p>
        </w:tc>
        <w:tc>
          <w:tcPr>
            <w:tcW w:w="547" w:type="pct"/>
            <w:tcBorders>
              <w:top w:val="nil"/>
              <w:left w:val="single" w:sz="4" w:space="0" w:color="000000"/>
              <w:bottom w:val="nil"/>
              <w:right w:val="nil"/>
            </w:tcBorders>
            <w:shd w:val="clear" w:color="auto" w:fill="auto"/>
            <w:noWrap/>
            <w:vAlign w:val="bottom"/>
          </w:tcPr>
          <w:p w14:paraId="60B9D1BF" w14:textId="77777777" w:rsidR="00C55569" w:rsidRPr="007D3FB9" w:rsidRDefault="00C55569" w:rsidP="006577FD">
            <w:pPr>
              <w:spacing w:after="0"/>
              <w:jc w:val="center"/>
              <w:rPr>
                <w:sz w:val="20"/>
                <w:szCs w:val="20"/>
              </w:rPr>
            </w:pPr>
            <w:r w:rsidRPr="007D3FB9">
              <w:rPr>
                <w:sz w:val="20"/>
                <w:szCs w:val="20"/>
              </w:rPr>
              <w:t>52</w:t>
            </w:r>
          </w:p>
        </w:tc>
        <w:tc>
          <w:tcPr>
            <w:tcW w:w="530" w:type="pct"/>
            <w:tcBorders>
              <w:top w:val="nil"/>
              <w:left w:val="nil"/>
              <w:bottom w:val="nil"/>
              <w:right w:val="single" w:sz="4" w:space="0" w:color="000000"/>
            </w:tcBorders>
            <w:shd w:val="clear" w:color="auto" w:fill="auto"/>
            <w:noWrap/>
            <w:vAlign w:val="bottom"/>
          </w:tcPr>
          <w:p w14:paraId="53B077E8" w14:textId="139E65DD" w:rsidR="00C55569" w:rsidRPr="007D3FB9" w:rsidRDefault="00C55569" w:rsidP="006577FD">
            <w:pPr>
              <w:spacing w:after="0"/>
              <w:jc w:val="center"/>
              <w:rPr>
                <w:sz w:val="20"/>
                <w:szCs w:val="20"/>
              </w:rPr>
            </w:pPr>
            <w:r w:rsidRPr="007D3FB9">
              <w:rPr>
                <w:sz w:val="20"/>
                <w:szCs w:val="20"/>
              </w:rPr>
              <w:t>2.5</w:t>
            </w:r>
            <w:r w:rsidR="009D67A2">
              <w:rPr>
                <w:sz w:val="20"/>
                <w:szCs w:val="20"/>
              </w:rPr>
              <w:t xml:space="preserve"> </w:t>
            </w:r>
            <w:r w:rsidRPr="007D3FB9">
              <w:rPr>
                <w:sz w:val="20"/>
                <w:szCs w:val="20"/>
              </w:rPr>
              <w:t>%</w:t>
            </w:r>
          </w:p>
        </w:tc>
      </w:tr>
      <w:tr w:rsidR="00E86089" w:rsidRPr="007E56DF" w14:paraId="4067E004" w14:textId="77777777" w:rsidTr="00E86089">
        <w:trPr>
          <w:trHeight w:val="255"/>
        </w:trPr>
        <w:tc>
          <w:tcPr>
            <w:tcW w:w="379" w:type="pct"/>
            <w:tcBorders>
              <w:top w:val="nil"/>
              <w:left w:val="single" w:sz="4" w:space="0" w:color="000000"/>
              <w:bottom w:val="nil"/>
              <w:right w:val="nil"/>
            </w:tcBorders>
          </w:tcPr>
          <w:p w14:paraId="56FD409C"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12</w:t>
            </w:r>
          </w:p>
        </w:tc>
        <w:tc>
          <w:tcPr>
            <w:tcW w:w="1508" w:type="pct"/>
            <w:tcBorders>
              <w:top w:val="nil"/>
              <w:left w:val="single" w:sz="4" w:space="0" w:color="000000"/>
              <w:bottom w:val="nil"/>
              <w:right w:val="single" w:sz="4" w:space="0" w:color="000000"/>
            </w:tcBorders>
            <w:vAlign w:val="bottom"/>
          </w:tcPr>
          <w:p w14:paraId="4CA47A96" w14:textId="77777777" w:rsidR="00C55569" w:rsidRPr="007D3FB9" w:rsidRDefault="00C55569" w:rsidP="006577FD">
            <w:pPr>
              <w:spacing w:after="0"/>
              <w:rPr>
                <w:sz w:val="20"/>
                <w:szCs w:val="20"/>
              </w:rPr>
            </w:pPr>
            <w:r w:rsidRPr="007D3FB9">
              <w:rPr>
                <w:sz w:val="20"/>
                <w:szCs w:val="20"/>
              </w:rPr>
              <w:t>Insulin+Metformin+</w:t>
            </w:r>
            <w:r>
              <w:rPr>
                <w:sz w:val="20"/>
                <w:szCs w:val="20"/>
              </w:rPr>
              <w:br/>
            </w:r>
            <w:r w:rsidRPr="007D3FB9">
              <w:rPr>
                <w:sz w:val="20"/>
                <w:szCs w:val="20"/>
              </w:rPr>
              <w:t>Sulfonylurea</w:t>
            </w:r>
          </w:p>
        </w:tc>
        <w:tc>
          <w:tcPr>
            <w:tcW w:w="2036" w:type="pct"/>
            <w:tcBorders>
              <w:top w:val="nil"/>
              <w:left w:val="single" w:sz="4" w:space="0" w:color="000000"/>
              <w:bottom w:val="nil"/>
              <w:right w:val="nil"/>
            </w:tcBorders>
            <w:shd w:val="clear" w:color="auto" w:fill="auto"/>
            <w:noWrap/>
            <w:vAlign w:val="bottom"/>
          </w:tcPr>
          <w:p w14:paraId="5CFFA522" w14:textId="77777777" w:rsidR="00C55569" w:rsidRPr="007D3FB9" w:rsidRDefault="00C55569" w:rsidP="006577FD">
            <w:pPr>
              <w:spacing w:after="0"/>
              <w:rPr>
                <w:sz w:val="20"/>
                <w:szCs w:val="20"/>
              </w:rPr>
            </w:pPr>
            <w:r w:rsidRPr="007D3FB9">
              <w:rPr>
                <w:sz w:val="20"/>
                <w:szCs w:val="20"/>
              </w:rPr>
              <w:t>Exenatide+Insulin+Metformin+Sulfonylurea</w:t>
            </w:r>
          </w:p>
        </w:tc>
        <w:tc>
          <w:tcPr>
            <w:tcW w:w="547" w:type="pct"/>
            <w:tcBorders>
              <w:top w:val="nil"/>
              <w:left w:val="single" w:sz="4" w:space="0" w:color="000000"/>
              <w:bottom w:val="nil"/>
              <w:right w:val="nil"/>
            </w:tcBorders>
            <w:shd w:val="clear" w:color="auto" w:fill="auto"/>
            <w:noWrap/>
            <w:vAlign w:val="bottom"/>
          </w:tcPr>
          <w:p w14:paraId="566EDE9E" w14:textId="77777777" w:rsidR="00C55569" w:rsidRPr="007D3FB9" w:rsidRDefault="00C55569" w:rsidP="006577FD">
            <w:pPr>
              <w:spacing w:after="0"/>
              <w:jc w:val="center"/>
              <w:rPr>
                <w:sz w:val="20"/>
                <w:szCs w:val="20"/>
              </w:rPr>
            </w:pPr>
            <w:r w:rsidRPr="007D3FB9">
              <w:rPr>
                <w:sz w:val="20"/>
                <w:szCs w:val="20"/>
              </w:rPr>
              <w:t>44</w:t>
            </w:r>
          </w:p>
        </w:tc>
        <w:tc>
          <w:tcPr>
            <w:tcW w:w="530" w:type="pct"/>
            <w:tcBorders>
              <w:top w:val="nil"/>
              <w:left w:val="nil"/>
              <w:bottom w:val="nil"/>
              <w:right w:val="single" w:sz="4" w:space="0" w:color="000000"/>
            </w:tcBorders>
            <w:shd w:val="clear" w:color="auto" w:fill="auto"/>
            <w:noWrap/>
            <w:vAlign w:val="bottom"/>
          </w:tcPr>
          <w:p w14:paraId="765F485C" w14:textId="3EB69C16" w:rsidR="00C55569" w:rsidRPr="007D3FB9" w:rsidRDefault="00C55569" w:rsidP="006577FD">
            <w:pPr>
              <w:spacing w:after="0"/>
              <w:jc w:val="center"/>
              <w:rPr>
                <w:sz w:val="20"/>
                <w:szCs w:val="20"/>
              </w:rPr>
            </w:pPr>
            <w:r w:rsidRPr="007D3FB9">
              <w:rPr>
                <w:sz w:val="20"/>
                <w:szCs w:val="20"/>
              </w:rPr>
              <w:t>2.1</w:t>
            </w:r>
            <w:r w:rsidR="009D67A2">
              <w:rPr>
                <w:sz w:val="20"/>
                <w:szCs w:val="20"/>
              </w:rPr>
              <w:t xml:space="preserve"> </w:t>
            </w:r>
            <w:r w:rsidRPr="007D3FB9">
              <w:rPr>
                <w:sz w:val="20"/>
                <w:szCs w:val="20"/>
              </w:rPr>
              <w:t>%</w:t>
            </w:r>
          </w:p>
        </w:tc>
      </w:tr>
      <w:tr w:rsidR="00E86089" w:rsidRPr="007E56DF" w14:paraId="765F3CA5" w14:textId="77777777" w:rsidTr="00E86089">
        <w:trPr>
          <w:trHeight w:val="255"/>
        </w:trPr>
        <w:tc>
          <w:tcPr>
            <w:tcW w:w="379" w:type="pct"/>
            <w:tcBorders>
              <w:top w:val="nil"/>
              <w:left w:val="single" w:sz="4" w:space="0" w:color="000000"/>
              <w:bottom w:val="nil"/>
              <w:right w:val="nil"/>
            </w:tcBorders>
          </w:tcPr>
          <w:p w14:paraId="6C09D730"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13</w:t>
            </w:r>
          </w:p>
        </w:tc>
        <w:tc>
          <w:tcPr>
            <w:tcW w:w="1508" w:type="pct"/>
            <w:tcBorders>
              <w:top w:val="nil"/>
              <w:left w:val="single" w:sz="4" w:space="0" w:color="000000"/>
              <w:bottom w:val="nil"/>
              <w:right w:val="single" w:sz="4" w:space="0" w:color="000000"/>
            </w:tcBorders>
            <w:vAlign w:val="bottom"/>
          </w:tcPr>
          <w:p w14:paraId="50912F31" w14:textId="77777777" w:rsidR="00C55569" w:rsidRPr="007D3FB9" w:rsidRDefault="00C55569" w:rsidP="006577FD">
            <w:pPr>
              <w:spacing w:after="0"/>
              <w:rPr>
                <w:sz w:val="20"/>
                <w:szCs w:val="20"/>
              </w:rPr>
            </w:pPr>
            <w:r w:rsidRPr="007D3FB9">
              <w:rPr>
                <w:sz w:val="20"/>
                <w:szCs w:val="20"/>
              </w:rPr>
              <w:t>Sulfonylurea</w:t>
            </w:r>
          </w:p>
        </w:tc>
        <w:tc>
          <w:tcPr>
            <w:tcW w:w="2036" w:type="pct"/>
            <w:tcBorders>
              <w:top w:val="nil"/>
              <w:left w:val="single" w:sz="4" w:space="0" w:color="000000"/>
              <w:bottom w:val="nil"/>
              <w:right w:val="nil"/>
            </w:tcBorders>
            <w:shd w:val="clear" w:color="auto" w:fill="auto"/>
            <w:noWrap/>
            <w:vAlign w:val="bottom"/>
          </w:tcPr>
          <w:p w14:paraId="6CCC5413" w14:textId="77777777" w:rsidR="00C55569" w:rsidRPr="007D3FB9" w:rsidRDefault="00C55569" w:rsidP="006577FD">
            <w:pPr>
              <w:spacing w:after="0"/>
              <w:rPr>
                <w:sz w:val="20"/>
                <w:szCs w:val="20"/>
              </w:rPr>
            </w:pPr>
            <w:r w:rsidRPr="007D3FB9">
              <w:rPr>
                <w:sz w:val="20"/>
                <w:szCs w:val="20"/>
              </w:rPr>
              <w:t>Exenatide+Sulfonylurea</w:t>
            </w:r>
          </w:p>
        </w:tc>
        <w:tc>
          <w:tcPr>
            <w:tcW w:w="547" w:type="pct"/>
            <w:tcBorders>
              <w:top w:val="nil"/>
              <w:left w:val="single" w:sz="4" w:space="0" w:color="000000"/>
              <w:bottom w:val="nil"/>
              <w:right w:val="nil"/>
            </w:tcBorders>
            <w:shd w:val="clear" w:color="auto" w:fill="auto"/>
            <w:noWrap/>
            <w:vAlign w:val="bottom"/>
          </w:tcPr>
          <w:p w14:paraId="75C23E9B" w14:textId="77777777" w:rsidR="00C55569" w:rsidRPr="007D3FB9" w:rsidRDefault="00C55569" w:rsidP="006577FD">
            <w:pPr>
              <w:spacing w:after="0"/>
              <w:jc w:val="center"/>
              <w:rPr>
                <w:sz w:val="20"/>
                <w:szCs w:val="20"/>
              </w:rPr>
            </w:pPr>
            <w:r w:rsidRPr="007D3FB9">
              <w:rPr>
                <w:sz w:val="20"/>
                <w:szCs w:val="20"/>
              </w:rPr>
              <w:t>42</w:t>
            </w:r>
          </w:p>
        </w:tc>
        <w:tc>
          <w:tcPr>
            <w:tcW w:w="530" w:type="pct"/>
            <w:tcBorders>
              <w:top w:val="nil"/>
              <w:left w:val="nil"/>
              <w:bottom w:val="nil"/>
              <w:right w:val="single" w:sz="4" w:space="0" w:color="000000"/>
            </w:tcBorders>
            <w:shd w:val="clear" w:color="auto" w:fill="auto"/>
            <w:noWrap/>
            <w:vAlign w:val="bottom"/>
          </w:tcPr>
          <w:p w14:paraId="37E8BB1E" w14:textId="7E8ED8CC" w:rsidR="00C55569" w:rsidRPr="007D3FB9" w:rsidRDefault="00C55569" w:rsidP="006577FD">
            <w:pPr>
              <w:spacing w:after="0"/>
              <w:jc w:val="center"/>
              <w:rPr>
                <w:sz w:val="20"/>
                <w:szCs w:val="20"/>
              </w:rPr>
            </w:pPr>
            <w:r w:rsidRPr="007D3FB9">
              <w:rPr>
                <w:sz w:val="20"/>
                <w:szCs w:val="20"/>
              </w:rPr>
              <w:t>2.0</w:t>
            </w:r>
            <w:r w:rsidR="009D67A2">
              <w:rPr>
                <w:sz w:val="20"/>
                <w:szCs w:val="20"/>
              </w:rPr>
              <w:t xml:space="preserve"> </w:t>
            </w:r>
            <w:r w:rsidRPr="007D3FB9">
              <w:rPr>
                <w:sz w:val="20"/>
                <w:szCs w:val="20"/>
              </w:rPr>
              <w:t>%</w:t>
            </w:r>
          </w:p>
        </w:tc>
      </w:tr>
      <w:tr w:rsidR="00E86089" w:rsidRPr="007E56DF" w14:paraId="5E9C82D7" w14:textId="77777777" w:rsidTr="00E86089">
        <w:trPr>
          <w:trHeight w:val="255"/>
        </w:trPr>
        <w:tc>
          <w:tcPr>
            <w:tcW w:w="379" w:type="pct"/>
            <w:tcBorders>
              <w:top w:val="nil"/>
              <w:left w:val="single" w:sz="4" w:space="0" w:color="000000"/>
              <w:bottom w:val="nil"/>
              <w:right w:val="nil"/>
            </w:tcBorders>
          </w:tcPr>
          <w:p w14:paraId="3EA68279"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14</w:t>
            </w:r>
          </w:p>
        </w:tc>
        <w:tc>
          <w:tcPr>
            <w:tcW w:w="1508" w:type="pct"/>
            <w:tcBorders>
              <w:top w:val="nil"/>
              <w:left w:val="single" w:sz="4" w:space="0" w:color="000000"/>
              <w:bottom w:val="nil"/>
              <w:right w:val="single" w:sz="4" w:space="0" w:color="000000"/>
            </w:tcBorders>
            <w:vAlign w:val="bottom"/>
          </w:tcPr>
          <w:p w14:paraId="14E83174" w14:textId="77777777" w:rsidR="00C55569" w:rsidRPr="007D3FB9" w:rsidRDefault="00C55569" w:rsidP="006577FD">
            <w:pPr>
              <w:spacing w:after="0"/>
              <w:rPr>
                <w:sz w:val="20"/>
                <w:szCs w:val="20"/>
              </w:rPr>
            </w:pPr>
            <w:r w:rsidRPr="007D3FB9">
              <w:rPr>
                <w:sz w:val="20"/>
                <w:szCs w:val="20"/>
              </w:rPr>
              <w:t>Metformin</w:t>
            </w:r>
          </w:p>
        </w:tc>
        <w:tc>
          <w:tcPr>
            <w:tcW w:w="2036" w:type="pct"/>
            <w:tcBorders>
              <w:top w:val="nil"/>
              <w:left w:val="single" w:sz="4" w:space="0" w:color="000000"/>
              <w:bottom w:val="nil"/>
              <w:right w:val="nil"/>
            </w:tcBorders>
            <w:shd w:val="clear" w:color="auto" w:fill="auto"/>
            <w:noWrap/>
            <w:vAlign w:val="bottom"/>
          </w:tcPr>
          <w:p w14:paraId="2ABDEC49" w14:textId="77777777" w:rsidR="00C55569" w:rsidRPr="007D3FB9" w:rsidRDefault="00C55569" w:rsidP="006577FD">
            <w:pPr>
              <w:spacing w:after="0"/>
              <w:rPr>
                <w:sz w:val="20"/>
                <w:szCs w:val="20"/>
              </w:rPr>
            </w:pPr>
            <w:r w:rsidRPr="007D3FB9">
              <w:rPr>
                <w:sz w:val="20"/>
                <w:szCs w:val="20"/>
              </w:rPr>
              <w:t>Exenatide</w:t>
            </w:r>
          </w:p>
        </w:tc>
        <w:tc>
          <w:tcPr>
            <w:tcW w:w="547" w:type="pct"/>
            <w:tcBorders>
              <w:top w:val="nil"/>
              <w:left w:val="single" w:sz="4" w:space="0" w:color="000000"/>
              <w:bottom w:val="nil"/>
              <w:right w:val="nil"/>
            </w:tcBorders>
            <w:shd w:val="clear" w:color="auto" w:fill="auto"/>
            <w:noWrap/>
            <w:vAlign w:val="bottom"/>
          </w:tcPr>
          <w:p w14:paraId="531E6863" w14:textId="77777777" w:rsidR="00C55569" w:rsidRPr="007D3FB9" w:rsidRDefault="00C55569" w:rsidP="006577FD">
            <w:pPr>
              <w:spacing w:after="0"/>
              <w:jc w:val="center"/>
              <w:rPr>
                <w:sz w:val="20"/>
                <w:szCs w:val="20"/>
              </w:rPr>
            </w:pPr>
            <w:r w:rsidRPr="007D3FB9">
              <w:rPr>
                <w:sz w:val="20"/>
                <w:szCs w:val="20"/>
              </w:rPr>
              <w:t>37</w:t>
            </w:r>
          </w:p>
        </w:tc>
        <w:tc>
          <w:tcPr>
            <w:tcW w:w="530" w:type="pct"/>
            <w:tcBorders>
              <w:top w:val="nil"/>
              <w:left w:val="nil"/>
              <w:bottom w:val="nil"/>
              <w:right w:val="single" w:sz="4" w:space="0" w:color="000000"/>
            </w:tcBorders>
            <w:shd w:val="clear" w:color="auto" w:fill="auto"/>
            <w:noWrap/>
            <w:vAlign w:val="bottom"/>
          </w:tcPr>
          <w:p w14:paraId="50977CD3" w14:textId="491FFE06" w:rsidR="00C55569" w:rsidRPr="007D3FB9" w:rsidRDefault="00C55569" w:rsidP="006577FD">
            <w:pPr>
              <w:spacing w:after="0"/>
              <w:jc w:val="center"/>
              <w:rPr>
                <w:sz w:val="20"/>
                <w:szCs w:val="20"/>
              </w:rPr>
            </w:pPr>
            <w:r w:rsidRPr="007D3FB9">
              <w:rPr>
                <w:sz w:val="20"/>
                <w:szCs w:val="20"/>
              </w:rPr>
              <w:t>1.8</w:t>
            </w:r>
            <w:r w:rsidR="009D67A2">
              <w:rPr>
                <w:sz w:val="20"/>
                <w:szCs w:val="20"/>
              </w:rPr>
              <w:t xml:space="preserve"> </w:t>
            </w:r>
            <w:r w:rsidRPr="007D3FB9">
              <w:rPr>
                <w:sz w:val="20"/>
                <w:szCs w:val="20"/>
              </w:rPr>
              <w:t>%</w:t>
            </w:r>
          </w:p>
        </w:tc>
      </w:tr>
      <w:tr w:rsidR="00E86089" w:rsidRPr="007E56DF" w14:paraId="41E24D73" w14:textId="77777777" w:rsidTr="00E86089">
        <w:trPr>
          <w:trHeight w:val="255"/>
        </w:trPr>
        <w:tc>
          <w:tcPr>
            <w:tcW w:w="379" w:type="pct"/>
            <w:tcBorders>
              <w:top w:val="nil"/>
              <w:left w:val="single" w:sz="4" w:space="0" w:color="000000"/>
              <w:bottom w:val="nil"/>
              <w:right w:val="nil"/>
            </w:tcBorders>
          </w:tcPr>
          <w:p w14:paraId="35546A4B"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15</w:t>
            </w:r>
          </w:p>
        </w:tc>
        <w:tc>
          <w:tcPr>
            <w:tcW w:w="1508" w:type="pct"/>
            <w:tcBorders>
              <w:top w:val="nil"/>
              <w:left w:val="single" w:sz="4" w:space="0" w:color="000000"/>
              <w:bottom w:val="nil"/>
              <w:right w:val="single" w:sz="4" w:space="0" w:color="000000"/>
            </w:tcBorders>
            <w:vAlign w:val="bottom"/>
          </w:tcPr>
          <w:p w14:paraId="027E8037" w14:textId="77777777" w:rsidR="00C55569" w:rsidRPr="007D3FB9" w:rsidRDefault="00C55569" w:rsidP="006577FD">
            <w:pPr>
              <w:spacing w:after="0"/>
              <w:rPr>
                <w:sz w:val="20"/>
                <w:szCs w:val="20"/>
              </w:rPr>
            </w:pPr>
            <w:r w:rsidRPr="007D3FB9">
              <w:rPr>
                <w:sz w:val="20"/>
                <w:szCs w:val="20"/>
              </w:rPr>
              <w:t>Gliptin+Metformin+</w:t>
            </w:r>
            <w:r>
              <w:rPr>
                <w:sz w:val="20"/>
                <w:szCs w:val="20"/>
              </w:rPr>
              <w:br/>
            </w:r>
            <w:r w:rsidRPr="007D3FB9">
              <w:rPr>
                <w:sz w:val="20"/>
                <w:szCs w:val="20"/>
              </w:rPr>
              <w:t>Sulfonylurea</w:t>
            </w:r>
          </w:p>
        </w:tc>
        <w:tc>
          <w:tcPr>
            <w:tcW w:w="2036" w:type="pct"/>
            <w:tcBorders>
              <w:top w:val="nil"/>
              <w:left w:val="single" w:sz="4" w:space="0" w:color="000000"/>
              <w:bottom w:val="nil"/>
              <w:right w:val="nil"/>
            </w:tcBorders>
            <w:shd w:val="clear" w:color="auto" w:fill="auto"/>
            <w:noWrap/>
            <w:vAlign w:val="bottom"/>
          </w:tcPr>
          <w:p w14:paraId="4A095D9A" w14:textId="77777777" w:rsidR="00C55569" w:rsidRPr="007D3FB9" w:rsidRDefault="00C55569" w:rsidP="006577FD">
            <w:pPr>
              <w:spacing w:after="0"/>
              <w:rPr>
                <w:sz w:val="20"/>
                <w:szCs w:val="20"/>
              </w:rPr>
            </w:pPr>
            <w:r w:rsidRPr="007D3FB9">
              <w:rPr>
                <w:sz w:val="20"/>
                <w:szCs w:val="20"/>
              </w:rPr>
              <w:t>Exenatide+Gliptin+Metformin+Sulfonylurea</w:t>
            </w:r>
          </w:p>
        </w:tc>
        <w:tc>
          <w:tcPr>
            <w:tcW w:w="547" w:type="pct"/>
            <w:tcBorders>
              <w:top w:val="nil"/>
              <w:left w:val="single" w:sz="4" w:space="0" w:color="000000"/>
              <w:bottom w:val="nil"/>
              <w:right w:val="nil"/>
            </w:tcBorders>
            <w:shd w:val="clear" w:color="auto" w:fill="auto"/>
            <w:noWrap/>
            <w:vAlign w:val="bottom"/>
          </w:tcPr>
          <w:p w14:paraId="6458A973" w14:textId="77777777" w:rsidR="00C55569" w:rsidRPr="007D3FB9" w:rsidRDefault="00C55569" w:rsidP="006577FD">
            <w:pPr>
              <w:spacing w:after="0"/>
              <w:jc w:val="center"/>
              <w:rPr>
                <w:sz w:val="20"/>
                <w:szCs w:val="20"/>
              </w:rPr>
            </w:pPr>
            <w:r w:rsidRPr="007D3FB9">
              <w:rPr>
                <w:sz w:val="20"/>
                <w:szCs w:val="20"/>
              </w:rPr>
              <w:t>35</w:t>
            </w:r>
          </w:p>
        </w:tc>
        <w:tc>
          <w:tcPr>
            <w:tcW w:w="530" w:type="pct"/>
            <w:tcBorders>
              <w:top w:val="nil"/>
              <w:left w:val="nil"/>
              <w:bottom w:val="nil"/>
              <w:right w:val="single" w:sz="4" w:space="0" w:color="000000"/>
            </w:tcBorders>
            <w:shd w:val="clear" w:color="auto" w:fill="auto"/>
            <w:noWrap/>
            <w:vAlign w:val="bottom"/>
          </w:tcPr>
          <w:p w14:paraId="38697CB7" w14:textId="6B610604" w:rsidR="00C55569" w:rsidRPr="007D3FB9" w:rsidRDefault="00C55569" w:rsidP="006577FD">
            <w:pPr>
              <w:spacing w:after="0"/>
              <w:jc w:val="center"/>
              <w:rPr>
                <w:sz w:val="20"/>
                <w:szCs w:val="20"/>
              </w:rPr>
            </w:pPr>
            <w:r w:rsidRPr="007D3FB9">
              <w:rPr>
                <w:sz w:val="20"/>
                <w:szCs w:val="20"/>
              </w:rPr>
              <w:t>1.7</w:t>
            </w:r>
            <w:r w:rsidR="009D67A2">
              <w:rPr>
                <w:sz w:val="20"/>
                <w:szCs w:val="20"/>
              </w:rPr>
              <w:t xml:space="preserve"> </w:t>
            </w:r>
            <w:r w:rsidRPr="007D3FB9">
              <w:rPr>
                <w:sz w:val="20"/>
                <w:szCs w:val="20"/>
              </w:rPr>
              <w:t>%</w:t>
            </w:r>
          </w:p>
        </w:tc>
      </w:tr>
      <w:tr w:rsidR="00E86089" w:rsidRPr="007E56DF" w14:paraId="5A24E84A" w14:textId="77777777" w:rsidTr="00E86089">
        <w:trPr>
          <w:trHeight w:val="255"/>
        </w:trPr>
        <w:tc>
          <w:tcPr>
            <w:tcW w:w="379" w:type="pct"/>
            <w:tcBorders>
              <w:top w:val="nil"/>
              <w:left w:val="single" w:sz="4" w:space="0" w:color="000000"/>
              <w:bottom w:val="nil"/>
              <w:right w:val="nil"/>
            </w:tcBorders>
          </w:tcPr>
          <w:p w14:paraId="21C20DDF"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16</w:t>
            </w:r>
          </w:p>
        </w:tc>
        <w:tc>
          <w:tcPr>
            <w:tcW w:w="1508" w:type="pct"/>
            <w:tcBorders>
              <w:top w:val="nil"/>
              <w:left w:val="single" w:sz="4" w:space="0" w:color="000000"/>
              <w:bottom w:val="nil"/>
              <w:right w:val="single" w:sz="4" w:space="0" w:color="000000"/>
            </w:tcBorders>
            <w:vAlign w:val="bottom"/>
          </w:tcPr>
          <w:p w14:paraId="2C9AD65D" w14:textId="77777777" w:rsidR="00C55569" w:rsidRPr="007D3FB9" w:rsidRDefault="00C55569" w:rsidP="006577FD">
            <w:pPr>
              <w:spacing w:after="0"/>
              <w:rPr>
                <w:sz w:val="20"/>
                <w:szCs w:val="20"/>
              </w:rPr>
            </w:pPr>
            <w:r w:rsidRPr="007D3FB9">
              <w:rPr>
                <w:sz w:val="20"/>
                <w:szCs w:val="20"/>
              </w:rPr>
              <w:t>Metformin+Pioglitazone+</w:t>
            </w:r>
            <w:r>
              <w:rPr>
                <w:sz w:val="20"/>
                <w:szCs w:val="20"/>
              </w:rPr>
              <w:br/>
            </w:r>
            <w:r w:rsidRPr="007D3FB9">
              <w:rPr>
                <w:sz w:val="20"/>
                <w:szCs w:val="20"/>
              </w:rPr>
              <w:t>Sulfonylurea</w:t>
            </w:r>
          </w:p>
        </w:tc>
        <w:tc>
          <w:tcPr>
            <w:tcW w:w="2036" w:type="pct"/>
            <w:tcBorders>
              <w:top w:val="nil"/>
              <w:left w:val="single" w:sz="4" w:space="0" w:color="000000"/>
              <w:bottom w:val="nil"/>
              <w:right w:val="nil"/>
            </w:tcBorders>
            <w:shd w:val="clear" w:color="auto" w:fill="auto"/>
            <w:noWrap/>
            <w:vAlign w:val="bottom"/>
          </w:tcPr>
          <w:p w14:paraId="4B1E8A06" w14:textId="77777777" w:rsidR="00C55569" w:rsidRPr="007D3FB9" w:rsidRDefault="00C55569" w:rsidP="006577FD">
            <w:pPr>
              <w:spacing w:after="0"/>
              <w:rPr>
                <w:sz w:val="20"/>
                <w:szCs w:val="20"/>
              </w:rPr>
            </w:pPr>
            <w:r w:rsidRPr="007D3FB9">
              <w:rPr>
                <w:sz w:val="20"/>
                <w:szCs w:val="20"/>
              </w:rPr>
              <w:t>Exenatide+Metformin+Sulfonylurea</w:t>
            </w:r>
          </w:p>
        </w:tc>
        <w:tc>
          <w:tcPr>
            <w:tcW w:w="547" w:type="pct"/>
            <w:tcBorders>
              <w:top w:val="nil"/>
              <w:left w:val="single" w:sz="4" w:space="0" w:color="000000"/>
              <w:bottom w:val="nil"/>
              <w:right w:val="nil"/>
            </w:tcBorders>
            <w:shd w:val="clear" w:color="auto" w:fill="auto"/>
            <w:noWrap/>
            <w:vAlign w:val="bottom"/>
          </w:tcPr>
          <w:p w14:paraId="6DA1D2A8" w14:textId="77777777" w:rsidR="00C55569" w:rsidRPr="007D3FB9" w:rsidRDefault="00C55569" w:rsidP="006577FD">
            <w:pPr>
              <w:spacing w:after="0"/>
              <w:jc w:val="center"/>
              <w:rPr>
                <w:sz w:val="20"/>
                <w:szCs w:val="20"/>
              </w:rPr>
            </w:pPr>
            <w:r w:rsidRPr="007D3FB9">
              <w:rPr>
                <w:sz w:val="20"/>
                <w:szCs w:val="20"/>
              </w:rPr>
              <w:t>31</w:t>
            </w:r>
          </w:p>
        </w:tc>
        <w:tc>
          <w:tcPr>
            <w:tcW w:w="530" w:type="pct"/>
            <w:tcBorders>
              <w:top w:val="nil"/>
              <w:left w:val="nil"/>
              <w:bottom w:val="nil"/>
              <w:right w:val="single" w:sz="4" w:space="0" w:color="000000"/>
            </w:tcBorders>
            <w:shd w:val="clear" w:color="auto" w:fill="auto"/>
            <w:noWrap/>
            <w:vAlign w:val="bottom"/>
          </w:tcPr>
          <w:p w14:paraId="741B65FF" w14:textId="0430BF7E" w:rsidR="00C55569" w:rsidRPr="007D3FB9" w:rsidRDefault="00C55569" w:rsidP="006577FD">
            <w:pPr>
              <w:spacing w:after="0"/>
              <w:jc w:val="center"/>
              <w:rPr>
                <w:sz w:val="20"/>
                <w:szCs w:val="20"/>
              </w:rPr>
            </w:pPr>
            <w:r w:rsidRPr="007D3FB9">
              <w:rPr>
                <w:sz w:val="20"/>
                <w:szCs w:val="20"/>
              </w:rPr>
              <w:t>1.5</w:t>
            </w:r>
            <w:r w:rsidR="009D67A2">
              <w:rPr>
                <w:sz w:val="20"/>
                <w:szCs w:val="20"/>
              </w:rPr>
              <w:t xml:space="preserve"> </w:t>
            </w:r>
            <w:r w:rsidRPr="007D3FB9">
              <w:rPr>
                <w:sz w:val="20"/>
                <w:szCs w:val="20"/>
              </w:rPr>
              <w:t>%</w:t>
            </w:r>
          </w:p>
        </w:tc>
      </w:tr>
      <w:tr w:rsidR="00E86089" w:rsidRPr="007E56DF" w14:paraId="67622013" w14:textId="77777777" w:rsidTr="00E86089">
        <w:trPr>
          <w:trHeight w:val="255"/>
        </w:trPr>
        <w:tc>
          <w:tcPr>
            <w:tcW w:w="379" w:type="pct"/>
            <w:tcBorders>
              <w:top w:val="nil"/>
              <w:left w:val="single" w:sz="4" w:space="0" w:color="000000"/>
              <w:bottom w:val="nil"/>
              <w:right w:val="nil"/>
            </w:tcBorders>
          </w:tcPr>
          <w:p w14:paraId="54F03413"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17</w:t>
            </w:r>
          </w:p>
        </w:tc>
        <w:tc>
          <w:tcPr>
            <w:tcW w:w="1508" w:type="pct"/>
            <w:tcBorders>
              <w:top w:val="nil"/>
              <w:left w:val="single" w:sz="4" w:space="0" w:color="000000"/>
              <w:bottom w:val="nil"/>
              <w:right w:val="single" w:sz="4" w:space="0" w:color="000000"/>
            </w:tcBorders>
            <w:vAlign w:val="bottom"/>
          </w:tcPr>
          <w:p w14:paraId="1E0AAAE6" w14:textId="77777777" w:rsidR="00C55569" w:rsidRPr="007D3FB9" w:rsidRDefault="00C55569" w:rsidP="006577FD">
            <w:pPr>
              <w:spacing w:after="0"/>
              <w:rPr>
                <w:sz w:val="20"/>
                <w:szCs w:val="20"/>
              </w:rPr>
            </w:pPr>
            <w:r w:rsidRPr="007D3FB9">
              <w:rPr>
                <w:sz w:val="20"/>
                <w:szCs w:val="20"/>
              </w:rPr>
              <w:t>Gliptin+Metformin+Metformin</w:t>
            </w:r>
          </w:p>
        </w:tc>
        <w:tc>
          <w:tcPr>
            <w:tcW w:w="2036" w:type="pct"/>
            <w:tcBorders>
              <w:top w:val="nil"/>
              <w:left w:val="single" w:sz="4" w:space="0" w:color="000000"/>
              <w:bottom w:val="nil"/>
              <w:right w:val="nil"/>
            </w:tcBorders>
            <w:shd w:val="clear" w:color="auto" w:fill="auto"/>
            <w:noWrap/>
            <w:vAlign w:val="bottom"/>
          </w:tcPr>
          <w:p w14:paraId="1A4B05E9" w14:textId="77777777" w:rsidR="00C55569" w:rsidRPr="007D3FB9" w:rsidRDefault="00C55569" w:rsidP="006577FD">
            <w:pPr>
              <w:spacing w:after="0"/>
              <w:rPr>
                <w:sz w:val="20"/>
                <w:szCs w:val="20"/>
              </w:rPr>
            </w:pPr>
            <w:r w:rsidRPr="007D3FB9">
              <w:rPr>
                <w:sz w:val="20"/>
                <w:szCs w:val="20"/>
              </w:rPr>
              <w:t>Exenatide+Metformin</w:t>
            </w:r>
          </w:p>
        </w:tc>
        <w:tc>
          <w:tcPr>
            <w:tcW w:w="547" w:type="pct"/>
            <w:tcBorders>
              <w:top w:val="nil"/>
              <w:left w:val="single" w:sz="4" w:space="0" w:color="000000"/>
              <w:bottom w:val="nil"/>
              <w:right w:val="nil"/>
            </w:tcBorders>
            <w:shd w:val="clear" w:color="auto" w:fill="auto"/>
            <w:noWrap/>
            <w:vAlign w:val="bottom"/>
          </w:tcPr>
          <w:p w14:paraId="4B2E72A4" w14:textId="77777777" w:rsidR="00C55569" w:rsidRPr="007D3FB9" w:rsidRDefault="00C55569" w:rsidP="006577FD">
            <w:pPr>
              <w:spacing w:after="0"/>
              <w:jc w:val="center"/>
              <w:rPr>
                <w:sz w:val="20"/>
                <w:szCs w:val="20"/>
              </w:rPr>
            </w:pPr>
            <w:r w:rsidRPr="007D3FB9">
              <w:rPr>
                <w:sz w:val="20"/>
                <w:szCs w:val="20"/>
              </w:rPr>
              <w:t>30</w:t>
            </w:r>
          </w:p>
        </w:tc>
        <w:tc>
          <w:tcPr>
            <w:tcW w:w="530" w:type="pct"/>
            <w:tcBorders>
              <w:top w:val="nil"/>
              <w:left w:val="nil"/>
              <w:bottom w:val="nil"/>
              <w:right w:val="single" w:sz="4" w:space="0" w:color="000000"/>
            </w:tcBorders>
            <w:shd w:val="clear" w:color="auto" w:fill="auto"/>
            <w:noWrap/>
            <w:vAlign w:val="bottom"/>
          </w:tcPr>
          <w:p w14:paraId="4FF0E3DB" w14:textId="5D2EF7CC" w:rsidR="00C55569" w:rsidRPr="007D3FB9" w:rsidRDefault="00C55569" w:rsidP="006577FD">
            <w:pPr>
              <w:spacing w:after="0"/>
              <w:jc w:val="center"/>
              <w:rPr>
                <w:sz w:val="20"/>
                <w:szCs w:val="20"/>
              </w:rPr>
            </w:pPr>
            <w:r w:rsidRPr="007D3FB9">
              <w:rPr>
                <w:sz w:val="20"/>
                <w:szCs w:val="20"/>
              </w:rPr>
              <w:t>1.4</w:t>
            </w:r>
            <w:r w:rsidR="009D67A2">
              <w:rPr>
                <w:sz w:val="20"/>
                <w:szCs w:val="20"/>
              </w:rPr>
              <w:t xml:space="preserve"> </w:t>
            </w:r>
            <w:r w:rsidRPr="007D3FB9">
              <w:rPr>
                <w:sz w:val="20"/>
                <w:szCs w:val="20"/>
              </w:rPr>
              <w:t>%</w:t>
            </w:r>
          </w:p>
        </w:tc>
      </w:tr>
      <w:tr w:rsidR="00E86089" w:rsidRPr="007E56DF" w14:paraId="3FD5FF6B" w14:textId="77777777" w:rsidTr="00E86089">
        <w:trPr>
          <w:trHeight w:val="255"/>
        </w:trPr>
        <w:tc>
          <w:tcPr>
            <w:tcW w:w="379" w:type="pct"/>
            <w:tcBorders>
              <w:top w:val="nil"/>
              <w:left w:val="single" w:sz="4" w:space="0" w:color="000000"/>
              <w:bottom w:val="nil"/>
              <w:right w:val="nil"/>
            </w:tcBorders>
          </w:tcPr>
          <w:p w14:paraId="3A7558BC"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18</w:t>
            </w:r>
          </w:p>
        </w:tc>
        <w:tc>
          <w:tcPr>
            <w:tcW w:w="1508" w:type="pct"/>
            <w:tcBorders>
              <w:top w:val="nil"/>
              <w:left w:val="single" w:sz="4" w:space="0" w:color="000000"/>
              <w:bottom w:val="nil"/>
              <w:right w:val="single" w:sz="4" w:space="0" w:color="000000"/>
            </w:tcBorders>
            <w:vAlign w:val="bottom"/>
          </w:tcPr>
          <w:p w14:paraId="42DA0A59" w14:textId="77777777" w:rsidR="00C55569" w:rsidRPr="007D3FB9" w:rsidRDefault="00C55569" w:rsidP="006577FD">
            <w:pPr>
              <w:spacing w:after="0"/>
              <w:rPr>
                <w:sz w:val="20"/>
                <w:szCs w:val="20"/>
              </w:rPr>
            </w:pPr>
            <w:r w:rsidRPr="007D3FB9">
              <w:rPr>
                <w:sz w:val="20"/>
                <w:szCs w:val="20"/>
              </w:rPr>
              <w:t>None</w:t>
            </w:r>
          </w:p>
        </w:tc>
        <w:tc>
          <w:tcPr>
            <w:tcW w:w="2036" w:type="pct"/>
            <w:tcBorders>
              <w:top w:val="nil"/>
              <w:left w:val="single" w:sz="4" w:space="0" w:color="000000"/>
              <w:bottom w:val="nil"/>
              <w:right w:val="nil"/>
            </w:tcBorders>
            <w:shd w:val="clear" w:color="auto" w:fill="auto"/>
            <w:noWrap/>
            <w:vAlign w:val="bottom"/>
          </w:tcPr>
          <w:p w14:paraId="41CBE14F" w14:textId="77777777" w:rsidR="00C55569" w:rsidRPr="007D3FB9" w:rsidRDefault="00C55569" w:rsidP="006577FD">
            <w:pPr>
              <w:spacing w:after="0"/>
              <w:rPr>
                <w:sz w:val="20"/>
                <w:szCs w:val="20"/>
              </w:rPr>
            </w:pPr>
            <w:r w:rsidRPr="007D3FB9">
              <w:rPr>
                <w:sz w:val="20"/>
                <w:szCs w:val="20"/>
              </w:rPr>
              <w:t>Exenatide+Metformin</w:t>
            </w:r>
          </w:p>
        </w:tc>
        <w:tc>
          <w:tcPr>
            <w:tcW w:w="547" w:type="pct"/>
            <w:tcBorders>
              <w:top w:val="nil"/>
              <w:left w:val="single" w:sz="4" w:space="0" w:color="000000"/>
              <w:bottom w:val="nil"/>
              <w:right w:val="nil"/>
            </w:tcBorders>
            <w:shd w:val="clear" w:color="auto" w:fill="auto"/>
            <w:noWrap/>
            <w:vAlign w:val="bottom"/>
          </w:tcPr>
          <w:p w14:paraId="458F5988" w14:textId="77777777" w:rsidR="00C55569" w:rsidRPr="007D3FB9" w:rsidRDefault="00C55569" w:rsidP="006577FD">
            <w:pPr>
              <w:spacing w:after="0"/>
              <w:jc w:val="center"/>
              <w:rPr>
                <w:sz w:val="20"/>
                <w:szCs w:val="20"/>
              </w:rPr>
            </w:pPr>
            <w:r w:rsidRPr="007D3FB9">
              <w:rPr>
                <w:sz w:val="20"/>
                <w:szCs w:val="20"/>
              </w:rPr>
              <w:t>26</w:t>
            </w:r>
          </w:p>
        </w:tc>
        <w:tc>
          <w:tcPr>
            <w:tcW w:w="530" w:type="pct"/>
            <w:tcBorders>
              <w:top w:val="nil"/>
              <w:left w:val="nil"/>
              <w:bottom w:val="nil"/>
              <w:right w:val="single" w:sz="4" w:space="0" w:color="000000"/>
            </w:tcBorders>
            <w:shd w:val="clear" w:color="auto" w:fill="auto"/>
            <w:noWrap/>
            <w:vAlign w:val="bottom"/>
          </w:tcPr>
          <w:p w14:paraId="276A9B56" w14:textId="6DE541B2" w:rsidR="00C55569" w:rsidRPr="007D3FB9" w:rsidRDefault="00C55569" w:rsidP="006577FD">
            <w:pPr>
              <w:spacing w:after="0"/>
              <w:jc w:val="center"/>
              <w:rPr>
                <w:sz w:val="20"/>
                <w:szCs w:val="20"/>
              </w:rPr>
            </w:pPr>
            <w:r w:rsidRPr="007D3FB9">
              <w:rPr>
                <w:sz w:val="20"/>
                <w:szCs w:val="20"/>
              </w:rPr>
              <w:t>1.3</w:t>
            </w:r>
            <w:r w:rsidR="009D67A2">
              <w:rPr>
                <w:sz w:val="20"/>
                <w:szCs w:val="20"/>
              </w:rPr>
              <w:t xml:space="preserve"> </w:t>
            </w:r>
            <w:r w:rsidRPr="007D3FB9">
              <w:rPr>
                <w:sz w:val="20"/>
                <w:szCs w:val="20"/>
              </w:rPr>
              <w:t>%</w:t>
            </w:r>
          </w:p>
        </w:tc>
      </w:tr>
      <w:tr w:rsidR="00E86089" w:rsidRPr="007E56DF" w14:paraId="13C16C33" w14:textId="77777777" w:rsidTr="00E86089">
        <w:trPr>
          <w:trHeight w:val="255"/>
        </w:trPr>
        <w:tc>
          <w:tcPr>
            <w:tcW w:w="379" w:type="pct"/>
            <w:tcBorders>
              <w:top w:val="nil"/>
              <w:left w:val="single" w:sz="4" w:space="0" w:color="000000"/>
              <w:bottom w:val="nil"/>
              <w:right w:val="nil"/>
            </w:tcBorders>
          </w:tcPr>
          <w:p w14:paraId="0FB48929"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19</w:t>
            </w:r>
          </w:p>
        </w:tc>
        <w:tc>
          <w:tcPr>
            <w:tcW w:w="1508" w:type="pct"/>
            <w:tcBorders>
              <w:top w:val="nil"/>
              <w:left w:val="single" w:sz="4" w:space="0" w:color="000000"/>
              <w:bottom w:val="nil"/>
              <w:right w:val="single" w:sz="4" w:space="0" w:color="000000"/>
            </w:tcBorders>
            <w:vAlign w:val="bottom"/>
          </w:tcPr>
          <w:p w14:paraId="1BFEA2D8" w14:textId="77777777" w:rsidR="00C55569" w:rsidRPr="007D3FB9" w:rsidRDefault="00C55569" w:rsidP="006577FD">
            <w:pPr>
              <w:spacing w:after="0"/>
              <w:rPr>
                <w:sz w:val="20"/>
                <w:szCs w:val="20"/>
              </w:rPr>
            </w:pPr>
            <w:r w:rsidRPr="007D3FB9">
              <w:rPr>
                <w:sz w:val="20"/>
                <w:szCs w:val="20"/>
              </w:rPr>
              <w:t>Gliptin+Sulfonylurea</w:t>
            </w:r>
          </w:p>
        </w:tc>
        <w:tc>
          <w:tcPr>
            <w:tcW w:w="2036" w:type="pct"/>
            <w:tcBorders>
              <w:top w:val="nil"/>
              <w:left w:val="single" w:sz="4" w:space="0" w:color="000000"/>
              <w:bottom w:val="nil"/>
              <w:right w:val="nil"/>
            </w:tcBorders>
            <w:shd w:val="clear" w:color="auto" w:fill="auto"/>
            <w:noWrap/>
            <w:vAlign w:val="bottom"/>
          </w:tcPr>
          <w:p w14:paraId="12B9EDBF" w14:textId="77777777" w:rsidR="00C55569" w:rsidRPr="007D3FB9" w:rsidRDefault="00C55569" w:rsidP="006577FD">
            <w:pPr>
              <w:spacing w:after="0"/>
              <w:rPr>
                <w:sz w:val="20"/>
                <w:szCs w:val="20"/>
              </w:rPr>
            </w:pPr>
            <w:r w:rsidRPr="007D3FB9">
              <w:rPr>
                <w:sz w:val="20"/>
                <w:szCs w:val="20"/>
              </w:rPr>
              <w:t>Exenatide+Sulfonylurea</w:t>
            </w:r>
          </w:p>
        </w:tc>
        <w:tc>
          <w:tcPr>
            <w:tcW w:w="547" w:type="pct"/>
            <w:tcBorders>
              <w:top w:val="nil"/>
              <w:left w:val="single" w:sz="4" w:space="0" w:color="000000"/>
              <w:bottom w:val="nil"/>
              <w:right w:val="nil"/>
            </w:tcBorders>
            <w:shd w:val="clear" w:color="auto" w:fill="auto"/>
            <w:noWrap/>
            <w:vAlign w:val="bottom"/>
          </w:tcPr>
          <w:p w14:paraId="01E2717C" w14:textId="77777777" w:rsidR="00C55569" w:rsidRPr="007D3FB9" w:rsidRDefault="00C55569" w:rsidP="006577FD">
            <w:pPr>
              <w:spacing w:after="0"/>
              <w:jc w:val="center"/>
              <w:rPr>
                <w:sz w:val="20"/>
                <w:szCs w:val="20"/>
              </w:rPr>
            </w:pPr>
            <w:r w:rsidRPr="007D3FB9">
              <w:rPr>
                <w:sz w:val="20"/>
                <w:szCs w:val="20"/>
              </w:rPr>
              <w:t>25</w:t>
            </w:r>
          </w:p>
        </w:tc>
        <w:tc>
          <w:tcPr>
            <w:tcW w:w="530" w:type="pct"/>
            <w:tcBorders>
              <w:top w:val="nil"/>
              <w:left w:val="nil"/>
              <w:bottom w:val="nil"/>
              <w:right w:val="single" w:sz="4" w:space="0" w:color="000000"/>
            </w:tcBorders>
            <w:shd w:val="clear" w:color="auto" w:fill="auto"/>
            <w:noWrap/>
            <w:vAlign w:val="bottom"/>
          </w:tcPr>
          <w:p w14:paraId="67286541" w14:textId="0F163BC8" w:rsidR="00C55569" w:rsidRPr="007D3FB9" w:rsidRDefault="00C55569" w:rsidP="006577FD">
            <w:pPr>
              <w:spacing w:after="0"/>
              <w:jc w:val="center"/>
              <w:rPr>
                <w:sz w:val="20"/>
                <w:szCs w:val="20"/>
              </w:rPr>
            </w:pPr>
            <w:r w:rsidRPr="007D3FB9">
              <w:rPr>
                <w:sz w:val="20"/>
                <w:szCs w:val="20"/>
              </w:rPr>
              <w:t>1.2</w:t>
            </w:r>
            <w:r w:rsidR="009D67A2">
              <w:rPr>
                <w:sz w:val="20"/>
                <w:szCs w:val="20"/>
              </w:rPr>
              <w:t xml:space="preserve"> </w:t>
            </w:r>
            <w:r w:rsidRPr="007D3FB9">
              <w:rPr>
                <w:sz w:val="20"/>
                <w:szCs w:val="20"/>
              </w:rPr>
              <w:t>%</w:t>
            </w:r>
          </w:p>
        </w:tc>
      </w:tr>
      <w:tr w:rsidR="00E86089" w:rsidRPr="007E56DF" w14:paraId="646DF1CE" w14:textId="77777777" w:rsidTr="00E86089">
        <w:trPr>
          <w:trHeight w:val="255"/>
        </w:trPr>
        <w:tc>
          <w:tcPr>
            <w:tcW w:w="379" w:type="pct"/>
            <w:tcBorders>
              <w:top w:val="nil"/>
              <w:left w:val="single" w:sz="4" w:space="0" w:color="000000"/>
              <w:bottom w:val="nil"/>
              <w:right w:val="nil"/>
            </w:tcBorders>
          </w:tcPr>
          <w:p w14:paraId="7E609520"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20</w:t>
            </w:r>
          </w:p>
        </w:tc>
        <w:tc>
          <w:tcPr>
            <w:tcW w:w="1508" w:type="pct"/>
            <w:tcBorders>
              <w:top w:val="nil"/>
              <w:left w:val="single" w:sz="4" w:space="0" w:color="000000"/>
              <w:bottom w:val="nil"/>
              <w:right w:val="single" w:sz="4" w:space="0" w:color="000000"/>
            </w:tcBorders>
            <w:vAlign w:val="bottom"/>
          </w:tcPr>
          <w:p w14:paraId="5A45DA18" w14:textId="77777777" w:rsidR="00C55569" w:rsidRPr="007D3FB9" w:rsidRDefault="00C55569" w:rsidP="006577FD">
            <w:pPr>
              <w:spacing w:after="0"/>
              <w:rPr>
                <w:sz w:val="20"/>
                <w:szCs w:val="20"/>
              </w:rPr>
            </w:pPr>
            <w:r w:rsidRPr="007D3FB9">
              <w:rPr>
                <w:sz w:val="20"/>
                <w:szCs w:val="20"/>
              </w:rPr>
              <w:t>Gliptin+Metformin</w:t>
            </w:r>
          </w:p>
        </w:tc>
        <w:tc>
          <w:tcPr>
            <w:tcW w:w="2036" w:type="pct"/>
            <w:tcBorders>
              <w:top w:val="nil"/>
              <w:left w:val="single" w:sz="4" w:space="0" w:color="000000"/>
              <w:bottom w:val="nil"/>
              <w:right w:val="nil"/>
            </w:tcBorders>
            <w:shd w:val="clear" w:color="auto" w:fill="auto"/>
            <w:noWrap/>
            <w:vAlign w:val="bottom"/>
          </w:tcPr>
          <w:p w14:paraId="44CCB318" w14:textId="77777777" w:rsidR="00C55569" w:rsidRPr="007D3FB9" w:rsidRDefault="00C55569" w:rsidP="006577FD">
            <w:pPr>
              <w:spacing w:after="0"/>
              <w:rPr>
                <w:sz w:val="20"/>
                <w:szCs w:val="20"/>
              </w:rPr>
            </w:pPr>
            <w:r w:rsidRPr="007D3FB9">
              <w:rPr>
                <w:sz w:val="20"/>
                <w:szCs w:val="20"/>
              </w:rPr>
              <w:t>Exenatide+Metformin+Sulfonylurea</w:t>
            </w:r>
          </w:p>
        </w:tc>
        <w:tc>
          <w:tcPr>
            <w:tcW w:w="547" w:type="pct"/>
            <w:tcBorders>
              <w:top w:val="nil"/>
              <w:left w:val="single" w:sz="4" w:space="0" w:color="000000"/>
              <w:bottom w:val="nil"/>
              <w:right w:val="nil"/>
            </w:tcBorders>
            <w:shd w:val="clear" w:color="auto" w:fill="auto"/>
            <w:noWrap/>
            <w:vAlign w:val="bottom"/>
          </w:tcPr>
          <w:p w14:paraId="7BFF7A87" w14:textId="77777777" w:rsidR="00C55569" w:rsidRPr="007D3FB9" w:rsidRDefault="00C55569" w:rsidP="006577FD">
            <w:pPr>
              <w:spacing w:after="0"/>
              <w:jc w:val="center"/>
              <w:rPr>
                <w:sz w:val="20"/>
                <w:szCs w:val="20"/>
              </w:rPr>
            </w:pPr>
            <w:r w:rsidRPr="007D3FB9">
              <w:rPr>
                <w:sz w:val="20"/>
                <w:szCs w:val="20"/>
              </w:rPr>
              <w:t>23</w:t>
            </w:r>
          </w:p>
        </w:tc>
        <w:tc>
          <w:tcPr>
            <w:tcW w:w="530" w:type="pct"/>
            <w:tcBorders>
              <w:top w:val="nil"/>
              <w:left w:val="nil"/>
              <w:bottom w:val="nil"/>
              <w:right w:val="single" w:sz="4" w:space="0" w:color="000000"/>
            </w:tcBorders>
            <w:shd w:val="clear" w:color="auto" w:fill="auto"/>
            <w:noWrap/>
            <w:vAlign w:val="bottom"/>
          </w:tcPr>
          <w:p w14:paraId="130C92F1" w14:textId="630033B5" w:rsidR="00C55569" w:rsidRPr="007D3FB9" w:rsidRDefault="00C55569" w:rsidP="006577FD">
            <w:pPr>
              <w:spacing w:after="0"/>
              <w:jc w:val="center"/>
              <w:rPr>
                <w:sz w:val="20"/>
                <w:szCs w:val="20"/>
              </w:rPr>
            </w:pPr>
            <w:r w:rsidRPr="007D3FB9">
              <w:rPr>
                <w:sz w:val="20"/>
                <w:szCs w:val="20"/>
              </w:rPr>
              <w:t>1.1</w:t>
            </w:r>
            <w:r w:rsidR="009D67A2">
              <w:rPr>
                <w:sz w:val="20"/>
                <w:szCs w:val="20"/>
              </w:rPr>
              <w:t xml:space="preserve"> </w:t>
            </w:r>
            <w:r w:rsidRPr="007D3FB9">
              <w:rPr>
                <w:sz w:val="20"/>
                <w:szCs w:val="20"/>
              </w:rPr>
              <w:t>%</w:t>
            </w:r>
          </w:p>
        </w:tc>
      </w:tr>
      <w:tr w:rsidR="00E86089" w:rsidRPr="007E56DF" w14:paraId="43CA4AE2" w14:textId="77777777" w:rsidTr="00E86089">
        <w:trPr>
          <w:trHeight w:val="255"/>
        </w:trPr>
        <w:tc>
          <w:tcPr>
            <w:tcW w:w="379" w:type="pct"/>
            <w:tcBorders>
              <w:top w:val="nil"/>
              <w:left w:val="single" w:sz="4" w:space="0" w:color="000000"/>
              <w:bottom w:val="nil"/>
              <w:right w:val="nil"/>
            </w:tcBorders>
          </w:tcPr>
          <w:p w14:paraId="68E245E6"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21</w:t>
            </w:r>
          </w:p>
        </w:tc>
        <w:tc>
          <w:tcPr>
            <w:tcW w:w="1508" w:type="pct"/>
            <w:tcBorders>
              <w:top w:val="nil"/>
              <w:left w:val="single" w:sz="4" w:space="0" w:color="000000"/>
              <w:bottom w:val="nil"/>
              <w:right w:val="single" w:sz="4" w:space="0" w:color="000000"/>
            </w:tcBorders>
            <w:vAlign w:val="bottom"/>
          </w:tcPr>
          <w:p w14:paraId="4BA06F22" w14:textId="77777777" w:rsidR="00C55569" w:rsidRPr="007D3FB9" w:rsidRDefault="00C55569" w:rsidP="006577FD">
            <w:pPr>
              <w:spacing w:after="0"/>
              <w:rPr>
                <w:sz w:val="20"/>
                <w:szCs w:val="20"/>
              </w:rPr>
            </w:pPr>
            <w:r w:rsidRPr="007D3FB9">
              <w:rPr>
                <w:sz w:val="20"/>
                <w:szCs w:val="20"/>
              </w:rPr>
              <w:t>Metformin+Sulfonylurea</w:t>
            </w:r>
          </w:p>
        </w:tc>
        <w:tc>
          <w:tcPr>
            <w:tcW w:w="2036" w:type="pct"/>
            <w:tcBorders>
              <w:top w:val="nil"/>
              <w:left w:val="single" w:sz="4" w:space="0" w:color="000000"/>
              <w:bottom w:val="nil"/>
              <w:right w:val="nil"/>
            </w:tcBorders>
            <w:shd w:val="clear" w:color="auto" w:fill="auto"/>
            <w:noWrap/>
            <w:vAlign w:val="bottom"/>
          </w:tcPr>
          <w:p w14:paraId="64D43860" w14:textId="77777777" w:rsidR="00C55569" w:rsidRPr="007D3FB9" w:rsidRDefault="00C55569" w:rsidP="006577FD">
            <w:pPr>
              <w:spacing w:after="0"/>
              <w:rPr>
                <w:sz w:val="20"/>
                <w:szCs w:val="20"/>
              </w:rPr>
            </w:pPr>
            <w:r w:rsidRPr="007D3FB9">
              <w:rPr>
                <w:sz w:val="20"/>
                <w:szCs w:val="20"/>
              </w:rPr>
              <w:t>Exenatide+Sulfonylurea</w:t>
            </w:r>
          </w:p>
        </w:tc>
        <w:tc>
          <w:tcPr>
            <w:tcW w:w="547" w:type="pct"/>
            <w:tcBorders>
              <w:top w:val="nil"/>
              <w:left w:val="single" w:sz="4" w:space="0" w:color="000000"/>
              <w:bottom w:val="nil"/>
              <w:right w:val="nil"/>
            </w:tcBorders>
            <w:shd w:val="clear" w:color="auto" w:fill="auto"/>
            <w:noWrap/>
            <w:vAlign w:val="bottom"/>
          </w:tcPr>
          <w:p w14:paraId="3C83B096" w14:textId="77777777" w:rsidR="00C55569" w:rsidRPr="007D3FB9" w:rsidRDefault="00C55569" w:rsidP="006577FD">
            <w:pPr>
              <w:spacing w:after="0"/>
              <w:jc w:val="center"/>
              <w:rPr>
                <w:sz w:val="20"/>
                <w:szCs w:val="20"/>
              </w:rPr>
            </w:pPr>
            <w:r w:rsidRPr="007D3FB9">
              <w:rPr>
                <w:sz w:val="20"/>
                <w:szCs w:val="20"/>
              </w:rPr>
              <w:t>20</w:t>
            </w:r>
          </w:p>
        </w:tc>
        <w:tc>
          <w:tcPr>
            <w:tcW w:w="530" w:type="pct"/>
            <w:tcBorders>
              <w:top w:val="nil"/>
              <w:left w:val="nil"/>
              <w:bottom w:val="nil"/>
              <w:right w:val="single" w:sz="4" w:space="0" w:color="000000"/>
            </w:tcBorders>
            <w:shd w:val="clear" w:color="auto" w:fill="auto"/>
            <w:noWrap/>
            <w:vAlign w:val="bottom"/>
          </w:tcPr>
          <w:p w14:paraId="231A520C" w14:textId="19CC8E9B" w:rsidR="00C55569" w:rsidRPr="007D3FB9" w:rsidRDefault="00C55569" w:rsidP="006577FD">
            <w:pPr>
              <w:spacing w:after="0"/>
              <w:jc w:val="center"/>
              <w:rPr>
                <w:sz w:val="20"/>
                <w:szCs w:val="20"/>
              </w:rPr>
            </w:pPr>
            <w:r w:rsidRPr="007D3FB9">
              <w:rPr>
                <w:sz w:val="20"/>
                <w:szCs w:val="20"/>
              </w:rPr>
              <w:t>1.0</w:t>
            </w:r>
            <w:r w:rsidR="009D67A2">
              <w:rPr>
                <w:sz w:val="20"/>
                <w:szCs w:val="20"/>
              </w:rPr>
              <w:t xml:space="preserve"> </w:t>
            </w:r>
            <w:r w:rsidRPr="007D3FB9">
              <w:rPr>
                <w:sz w:val="20"/>
                <w:szCs w:val="20"/>
              </w:rPr>
              <w:t>%</w:t>
            </w:r>
          </w:p>
        </w:tc>
      </w:tr>
      <w:tr w:rsidR="00E86089" w:rsidRPr="007E56DF" w14:paraId="45E2A04E" w14:textId="77777777" w:rsidTr="00E86089">
        <w:trPr>
          <w:trHeight w:val="255"/>
        </w:trPr>
        <w:tc>
          <w:tcPr>
            <w:tcW w:w="379" w:type="pct"/>
            <w:tcBorders>
              <w:top w:val="nil"/>
              <w:left w:val="single" w:sz="4" w:space="0" w:color="000000"/>
              <w:bottom w:val="nil"/>
              <w:right w:val="nil"/>
            </w:tcBorders>
          </w:tcPr>
          <w:p w14:paraId="42A7A69B"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22</w:t>
            </w:r>
          </w:p>
        </w:tc>
        <w:tc>
          <w:tcPr>
            <w:tcW w:w="1508" w:type="pct"/>
            <w:tcBorders>
              <w:top w:val="nil"/>
              <w:left w:val="single" w:sz="4" w:space="0" w:color="000000"/>
              <w:bottom w:val="nil"/>
              <w:right w:val="single" w:sz="4" w:space="0" w:color="000000"/>
            </w:tcBorders>
            <w:vAlign w:val="bottom"/>
          </w:tcPr>
          <w:p w14:paraId="34AF4E5E" w14:textId="77777777" w:rsidR="00C55569" w:rsidRPr="007D3FB9" w:rsidRDefault="00C55569" w:rsidP="006577FD">
            <w:pPr>
              <w:spacing w:after="0"/>
              <w:rPr>
                <w:sz w:val="20"/>
                <w:szCs w:val="20"/>
              </w:rPr>
            </w:pPr>
            <w:r w:rsidRPr="007D3FB9">
              <w:rPr>
                <w:sz w:val="20"/>
                <w:szCs w:val="20"/>
              </w:rPr>
              <w:t>Gliptin+Metformin</w:t>
            </w:r>
            <w:r>
              <w:rPr>
                <w:sz w:val="20"/>
                <w:szCs w:val="20"/>
              </w:rPr>
              <w:t>+Metformin</w:t>
            </w:r>
            <w:r>
              <w:rPr>
                <w:sz w:val="20"/>
                <w:szCs w:val="20"/>
              </w:rPr>
              <w:br/>
              <w:t>+</w:t>
            </w:r>
            <w:r w:rsidRPr="007D3FB9">
              <w:rPr>
                <w:sz w:val="20"/>
                <w:szCs w:val="20"/>
              </w:rPr>
              <w:t>Sulfonylurea</w:t>
            </w:r>
          </w:p>
        </w:tc>
        <w:tc>
          <w:tcPr>
            <w:tcW w:w="2036" w:type="pct"/>
            <w:tcBorders>
              <w:top w:val="nil"/>
              <w:left w:val="single" w:sz="4" w:space="0" w:color="000000"/>
              <w:bottom w:val="nil"/>
              <w:right w:val="nil"/>
            </w:tcBorders>
            <w:shd w:val="clear" w:color="auto" w:fill="auto"/>
            <w:noWrap/>
            <w:vAlign w:val="bottom"/>
          </w:tcPr>
          <w:p w14:paraId="445E3F9E" w14:textId="77777777" w:rsidR="00C55569" w:rsidRPr="007D3FB9" w:rsidRDefault="00C55569" w:rsidP="006577FD">
            <w:pPr>
              <w:spacing w:after="0"/>
              <w:rPr>
                <w:sz w:val="20"/>
                <w:szCs w:val="20"/>
              </w:rPr>
            </w:pPr>
            <w:r w:rsidRPr="007D3FB9">
              <w:rPr>
                <w:sz w:val="20"/>
                <w:szCs w:val="20"/>
              </w:rPr>
              <w:t>Exenatide+Metformin+Sulfonylurea</w:t>
            </w:r>
          </w:p>
        </w:tc>
        <w:tc>
          <w:tcPr>
            <w:tcW w:w="547" w:type="pct"/>
            <w:tcBorders>
              <w:top w:val="nil"/>
              <w:left w:val="single" w:sz="4" w:space="0" w:color="000000"/>
              <w:bottom w:val="nil"/>
              <w:right w:val="nil"/>
            </w:tcBorders>
            <w:shd w:val="clear" w:color="auto" w:fill="auto"/>
            <w:noWrap/>
            <w:vAlign w:val="bottom"/>
          </w:tcPr>
          <w:p w14:paraId="6EBB7792" w14:textId="77777777" w:rsidR="00C55569" w:rsidRPr="007D3FB9" w:rsidRDefault="00C55569" w:rsidP="006577FD">
            <w:pPr>
              <w:spacing w:after="0"/>
              <w:jc w:val="center"/>
              <w:rPr>
                <w:sz w:val="20"/>
                <w:szCs w:val="20"/>
              </w:rPr>
            </w:pPr>
            <w:r w:rsidRPr="007D3FB9">
              <w:rPr>
                <w:sz w:val="20"/>
                <w:szCs w:val="20"/>
              </w:rPr>
              <w:t>20</w:t>
            </w:r>
          </w:p>
        </w:tc>
        <w:tc>
          <w:tcPr>
            <w:tcW w:w="530" w:type="pct"/>
            <w:tcBorders>
              <w:top w:val="nil"/>
              <w:left w:val="nil"/>
              <w:bottom w:val="nil"/>
              <w:right w:val="single" w:sz="4" w:space="0" w:color="000000"/>
            </w:tcBorders>
            <w:shd w:val="clear" w:color="auto" w:fill="auto"/>
            <w:noWrap/>
            <w:vAlign w:val="bottom"/>
          </w:tcPr>
          <w:p w14:paraId="28E720D0" w14:textId="5787A0B5" w:rsidR="00C55569" w:rsidRPr="007D3FB9" w:rsidRDefault="00C55569" w:rsidP="006577FD">
            <w:pPr>
              <w:spacing w:after="0"/>
              <w:jc w:val="center"/>
              <w:rPr>
                <w:sz w:val="20"/>
                <w:szCs w:val="20"/>
              </w:rPr>
            </w:pPr>
            <w:r w:rsidRPr="007D3FB9">
              <w:rPr>
                <w:sz w:val="20"/>
                <w:szCs w:val="20"/>
              </w:rPr>
              <w:t>1.0</w:t>
            </w:r>
            <w:r w:rsidR="009D67A2">
              <w:rPr>
                <w:sz w:val="20"/>
                <w:szCs w:val="20"/>
              </w:rPr>
              <w:t xml:space="preserve"> </w:t>
            </w:r>
            <w:r w:rsidRPr="007D3FB9">
              <w:rPr>
                <w:sz w:val="20"/>
                <w:szCs w:val="20"/>
              </w:rPr>
              <w:t>%</w:t>
            </w:r>
          </w:p>
        </w:tc>
      </w:tr>
      <w:tr w:rsidR="00E86089" w:rsidRPr="007E56DF" w14:paraId="7658D4CC" w14:textId="77777777" w:rsidTr="00E86089">
        <w:trPr>
          <w:trHeight w:val="255"/>
        </w:trPr>
        <w:tc>
          <w:tcPr>
            <w:tcW w:w="379" w:type="pct"/>
            <w:tcBorders>
              <w:top w:val="nil"/>
              <w:left w:val="single" w:sz="4" w:space="0" w:color="000000"/>
              <w:bottom w:val="nil"/>
              <w:right w:val="nil"/>
            </w:tcBorders>
          </w:tcPr>
          <w:p w14:paraId="222CBAE3"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23</w:t>
            </w:r>
          </w:p>
        </w:tc>
        <w:tc>
          <w:tcPr>
            <w:tcW w:w="1508" w:type="pct"/>
            <w:tcBorders>
              <w:top w:val="nil"/>
              <w:left w:val="single" w:sz="4" w:space="0" w:color="000000"/>
              <w:bottom w:val="nil"/>
              <w:right w:val="single" w:sz="4" w:space="0" w:color="000000"/>
            </w:tcBorders>
            <w:vAlign w:val="bottom"/>
          </w:tcPr>
          <w:p w14:paraId="290A552E" w14:textId="77777777" w:rsidR="00C55569" w:rsidRPr="007D3FB9" w:rsidRDefault="00C55569" w:rsidP="006577FD">
            <w:pPr>
              <w:spacing w:after="0"/>
              <w:rPr>
                <w:sz w:val="20"/>
                <w:szCs w:val="20"/>
              </w:rPr>
            </w:pPr>
            <w:r w:rsidRPr="007D3FB9">
              <w:rPr>
                <w:sz w:val="20"/>
                <w:szCs w:val="20"/>
              </w:rPr>
              <w:t>Insulin+Metformin</w:t>
            </w:r>
          </w:p>
        </w:tc>
        <w:tc>
          <w:tcPr>
            <w:tcW w:w="2036" w:type="pct"/>
            <w:tcBorders>
              <w:top w:val="nil"/>
              <w:left w:val="single" w:sz="4" w:space="0" w:color="000000"/>
              <w:bottom w:val="nil"/>
              <w:right w:val="nil"/>
            </w:tcBorders>
            <w:shd w:val="clear" w:color="auto" w:fill="auto"/>
            <w:noWrap/>
            <w:vAlign w:val="bottom"/>
          </w:tcPr>
          <w:p w14:paraId="0C72A0D4" w14:textId="77777777" w:rsidR="00C55569" w:rsidRPr="007D3FB9" w:rsidRDefault="00C55569" w:rsidP="006577FD">
            <w:pPr>
              <w:spacing w:after="0"/>
              <w:rPr>
                <w:sz w:val="20"/>
                <w:szCs w:val="20"/>
              </w:rPr>
            </w:pPr>
            <w:r w:rsidRPr="007D3FB9">
              <w:rPr>
                <w:sz w:val="20"/>
                <w:szCs w:val="20"/>
              </w:rPr>
              <w:t>Exenatide+Insulin</w:t>
            </w:r>
          </w:p>
        </w:tc>
        <w:tc>
          <w:tcPr>
            <w:tcW w:w="547" w:type="pct"/>
            <w:tcBorders>
              <w:top w:val="nil"/>
              <w:left w:val="single" w:sz="4" w:space="0" w:color="000000"/>
              <w:bottom w:val="nil"/>
              <w:right w:val="nil"/>
            </w:tcBorders>
            <w:shd w:val="clear" w:color="auto" w:fill="auto"/>
            <w:noWrap/>
            <w:vAlign w:val="bottom"/>
          </w:tcPr>
          <w:p w14:paraId="249093B3" w14:textId="77777777" w:rsidR="00C55569" w:rsidRPr="007D3FB9" w:rsidRDefault="00C55569" w:rsidP="006577FD">
            <w:pPr>
              <w:spacing w:after="0"/>
              <w:jc w:val="center"/>
              <w:rPr>
                <w:sz w:val="20"/>
                <w:szCs w:val="20"/>
              </w:rPr>
            </w:pPr>
            <w:r w:rsidRPr="007D3FB9">
              <w:rPr>
                <w:sz w:val="20"/>
                <w:szCs w:val="20"/>
              </w:rPr>
              <w:t>20</w:t>
            </w:r>
          </w:p>
        </w:tc>
        <w:tc>
          <w:tcPr>
            <w:tcW w:w="530" w:type="pct"/>
            <w:tcBorders>
              <w:top w:val="nil"/>
              <w:left w:val="nil"/>
              <w:bottom w:val="nil"/>
              <w:right w:val="single" w:sz="4" w:space="0" w:color="000000"/>
            </w:tcBorders>
            <w:shd w:val="clear" w:color="auto" w:fill="auto"/>
            <w:noWrap/>
            <w:vAlign w:val="bottom"/>
          </w:tcPr>
          <w:p w14:paraId="597EF3B9" w14:textId="092D15C6" w:rsidR="00C55569" w:rsidRPr="007D3FB9" w:rsidRDefault="00C55569" w:rsidP="006577FD">
            <w:pPr>
              <w:spacing w:after="0"/>
              <w:jc w:val="center"/>
              <w:rPr>
                <w:sz w:val="20"/>
                <w:szCs w:val="20"/>
              </w:rPr>
            </w:pPr>
            <w:r w:rsidRPr="007D3FB9">
              <w:rPr>
                <w:sz w:val="20"/>
                <w:szCs w:val="20"/>
              </w:rPr>
              <w:t>1.0</w:t>
            </w:r>
            <w:r w:rsidR="009D67A2">
              <w:rPr>
                <w:sz w:val="20"/>
                <w:szCs w:val="20"/>
              </w:rPr>
              <w:t xml:space="preserve"> </w:t>
            </w:r>
            <w:r w:rsidRPr="007D3FB9">
              <w:rPr>
                <w:sz w:val="20"/>
                <w:szCs w:val="20"/>
              </w:rPr>
              <w:t>%</w:t>
            </w:r>
          </w:p>
        </w:tc>
      </w:tr>
      <w:tr w:rsidR="00E86089" w:rsidRPr="007E56DF" w14:paraId="1C3C687B" w14:textId="77777777" w:rsidTr="00E86089">
        <w:trPr>
          <w:trHeight w:val="255"/>
        </w:trPr>
        <w:tc>
          <w:tcPr>
            <w:tcW w:w="379" w:type="pct"/>
            <w:tcBorders>
              <w:top w:val="nil"/>
              <w:left w:val="single" w:sz="4" w:space="0" w:color="000000"/>
              <w:bottom w:val="nil"/>
              <w:right w:val="nil"/>
            </w:tcBorders>
          </w:tcPr>
          <w:p w14:paraId="48E89915"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24</w:t>
            </w:r>
          </w:p>
        </w:tc>
        <w:tc>
          <w:tcPr>
            <w:tcW w:w="1508" w:type="pct"/>
            <w:tcBorders>
              <w:top w:val="nil"/>
              <w:left w:val="single" w:sz="4" w:space="0" w:color="000000"/>
              <w:bottom w:val="nil"/>
              <w:right w:val="single" w:sz="4" w:space="0" w:color="000000"/>
            </w:tcBorders>
            <w:vAlign w:val="bottom"/>
          </w:tcPr>
          <w:p w14:paraId="1E45A7F4" w14:textId="77777777" w:rsidR="00C55569" w:rsidRPr="007D3FB9" w:rsidRDefault="00C55569" w:rsidP="006577FD">
            <w:pPr>
              <w:spacing w:after="0"/>
              <w:rPr>
                <w:sz w:val="20"/>
                <w:szCs w:val="20"/>
              </w:rPr>
            </w:pPr>
            <w:r w:rsidRPr="007D3FB9">
              <w:rPr>
                <w:sz w:val="20"/>
                <w:szCs w:val="20"/>
              </w:rPr>
              <w:t>Insulin+Metformin</w:t>
            </w:r>
          </w:p>
        </w:tc>
        <w:tc>
          <w:tcPr>
            <w:tcW w:w="2036" w:type="pct"/>
            <w:tcBorders>
              <w:top w:val="nil"/>
              <w:left w:val="single" w:sz="4" w:space="0" w:color="000000"/>
              <w:bottom w:val="nil"/>
              <w:right w:val="nil"/>
            </w:tcBorders>
            <w:shd w:val="clear" w:color="auto" w:fill="auto"/>
            <w:noWrap/>
            <w:vAlign w:val="bottom"/>
          </w:tcPr>
          <w:p w14:paraId="7148EFA3" w14:textId="77777777" w:rsidR="00C55569" w:rsidRPr="007D3FB9" w:rsidRDefault="00C55569" w:rsidP="006577FD">
            <w:pPr>
              <w:spacing w:after="0"/>
              <w:rPr>
                <w:sz w:val="20"/>
                <w:szCs w:val="20"/>
              </w:rPr>
            </w:pPr>
            <w:r w:rsidRPr="007D3FB9">
              <w:rPr>
                <w:sz w:val="20"/>
                <w:szCs w:val="20"/>
              </w:rPr>
              <w:t>Exenatide+Metformin+Sulfonylurea</w:t>
            </w:r>
          </w:p>
        </w:tc>
        <w:tc>
          <w:tcPr>
            <w:tcW w:w="547" w:type="pct"/>
            <w:tcBorders>
              <w:top w:val="nil"/>
              <w:left w:val="single" w:sz="4" w:space="0" w:color="000000"/>
              <w:bottom w:val="nil"/>
              <w:right w:val="nil"/>
            </w:tcBorders>
            <w:shd w:val="clear" w:color="auto" w:fill="auto"/>
            <w:noWrap/>
            <w:vAlign w:val="bottom"/>
          </w:tcPr>
          <w:p w14:paraId="161E42AB" w14:textId="77777777" w:rsidR="00C55569" w:rsidRPr="007D3FB9" w:rsidRDefault="00C55569" w:rsidP="006577FD">
            <w:pPr>
              <w:spacing w:after="0"/>
              <w:jc w:val="center"/>
              <w:rPr>
                <w:sz w:val="20"/>
                <w:szCs w:val="20"/>
              </w:rPr>
            </w:pPr>
            <w:r w:rsidRPr="007D3FB9">
              <w:rPr>
                <w:sz w:val="20"/>
                <w:szCs w:val="20"/>
              </w:rPr>
              <w:t>18</w:t>
            </w:r>
          </w:p>
        </w:tc>
        <w:tc>
          <w:tcPr>
            <w:tcW w:w="530" w:type="pct"/>
            <w:tcBorders>
              <w:top w:val="nil"/>
              <w:left w:val="nil"/>
              <w:bottom w:val="nil"/>
              <w:right w:val="single" w:sz="4" w:space="0" w:color="000000"/>
            </w:tcBorders>
            <w:shd w:val="clear" w:color="auto" w:fill="auto"/>
            <w:noWrap/>
            <w:vAlign w:val="bottom"/>
          </w:tcPr>
          <w:p w14:paraId="21F056BE" w14:textId="21A9147D" w:rsidR="00C55569" w:rsidRPr="007D3FB9" w:rsidRDefault="00C55569" w:rsidP="006577FD">
            <w:pPr>
              <w:spacing w:after="0"/>
              <w:jc w:val="center"/>
              <w:rPr>
                <w:sz w:val="20"/>
                <w:szCs w:val="20"/>
              </w:rPr>
            </w:pPr>
            <w:r w:rsidRPr="007D3FB9">
              <w:rPr>
                <w:sz w:val="20"/>
                <w:szCs w:val="20"/>
              </w:rPr>
              <w:t>0.9</w:t>
            </w:r>
            <w:r w:rsidR="009D67A2">
              <w:rPr>
                <w:sz w:val="20"/>
                <w:szCs w:val="20"/>
              </w:rPr>
              <w:t xml:space="preserve"> </w:t>
            </w:r>
            <w:r w:rsidRPr="007D3FB9">
              <w:rPr>
                <w:sz w:val="20"/>
                <w:szCs w:val="20"/>
              </w:rPr>
              <w:t>%</w:t>
            </w:r>
          </w:p>
        </w:tc>
      </w:tr>
      <w:tr w:rsidR="00E86089" w:rsidRPr="007E56DF" w14:paraId="4BD79477" w14:textId="77777777" w:rsidTr="00E86089">
        <w:trPr>
          <w:trHeight w:val="255"/>
        </w:trPr>
        <w:tc>
          <w:tcPr>
            <w:tcW w:w="379" w:type="pct"/>
            <w:tcBorders>
              <w:top w:val="nil"/>
              <w:left w:val="single" w:sz="4" w:space="0" w:color="000000"/>
              <w:bottom w:val="nil"/>
              <w:right w:val="nil"/>
            </w:tcBorders>
          </w:tcPr>
          <w:p w14:paraId="5480E5AA"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25</w:t>
            </w:r>
          </w:p>
        </w:tc>
        <w:tc>
          <w:tcPr>
            <w:tcW w:w="1508" w:type="pct"/>
            <w:tcBorders>
              <w:top w:val="nil"/>
              <w:left w:val="single" w:sz="4" w:space="0" w:color="000000"/>
              <w:bottom w:val="nil"/>
              <w:right w:val="single" w:sz="4" w:space="0" w:color="000000"/>
            </w:tcBorders>
            <w:vAlign w:val="bottom"/>
          </w:tcPr>
          <w:p w14:paraId="6FF78053" w14:textId="77777777" w:rsidR="00C55569" w:rsidRPr="007D3FB9" w:rsidRDefault="00C55569" w:rsidP="006577FD">
            <w:pPr>
              <w:spacing w:after="0"/>
              <w:rPr>
                <w:sz w:val="20"/>
                <w:szCs w:val="20"/>
              </w:rPr>
            </w:pPr>
            <w:r w:rsidRPr="007D3FB9">
              <w:rPr>
                <w:sz w:val="20"/>
                <w:szCs w:val="20"/>
              </w:rPr>
              <w:t>Insulin</w:t>
            </w:r>
          </w:p>
        </w:tc>
        <w:tc>
          <w:tcPr>
            <w:tcW w:w="2036" w:type="pct"/>
            <w:tcBorders>
              <w:top w:val="nil"/>
              <w:left w:val="single" w:sz="4" w:space="0" w:color="000000"/>
              <w:bottom w:val="nil"/>
              <w:right w:val="nil"/>
            </w:tcBorders>
            <w:shd w:val="clear" w:color="auto" w:fill="auto"/>
            <w:noWrap/>
            <w:vAlign w:val="bottom"/>
          </w:tcPr>
          <w:p w14:paraId="0502DAA1" w14:textId="77777777" w:rsidR="00C55569" w:rsidRPr="007D3FB9" w:rsidRDefault="00C55569" w:rsidP="006577FD">
            <w:pPr>
              <w:spacing w:after="0"/>
              <w:rPr>
                <w:sz w:val="20"/>
                <w:szCs w:val="20"/>
              </w:rPr>
            </w:pPr>
            <w:r w:rsidRPr="007D3FB9">
              <w:rPr>
                <w:sz w:val="20"/>
                <w:szCs w:val="20"/>
              </w:rPr>
              <w:t>Exenatide</w:t>
            </w:r>
          </w:p>
        </w:tc>
        <w:tc>
          <w:tcPr>
            <w:tcW w:w="547" w:type="pct"/>
            <w:tcBorders>
              <w:top w:val="nil"/>
              <w:left w:val="single" w:sz="4" w:space="0" w:color="000000"/>
              <w:bottom w:val="nil"/>
              <w:right w:val="nil"/>
            </w:tcBorders>
            <w:shd w:val="clear" w:color="auto" w:fill="auto"/>
            <w:noWrap/>
            <w:vAlign w:val="bottom"/>
          </w:tcPr>
          <w:p w14:paraId="598A0A4F" w14:textId="77777777" w:rsidR="00C55569" w:rsidRPr="007D3FB9" w:rsidRDefault="00C55569" w:rsidP="006577FD">
            <w:pPr>
              <w:spacing w:after="0"/>
              <w:jc w:val="center"/>
              <w:rPr>
                <w:sz w:val="20"/>
                <w:szCs w:val="20"/>
              </w:rPr>
            </w:pPr>
            <w:r w:rsidRPr="007D3FB9">
              <w:rPr>
                <w:sz w:val="20"/>
                <w:szCs w:val="20"/>
              </w:rPr>
              <w:t>16</w:t>
            </w:r>
          </w:p>
        </w:tc>
        <w:tc>
          <w:tcPr>
            <w:tcW w:w="530" w:type="pct"/>
            <w:tcBorders>
              <w:top w:val="nil"/>
              <w:left w:val="nil"/>
              <w:bottom w:val="nil"/>
              <w:right w:val="single" w:sz="4" w:space="0" w:color="000000"/>
            </w:tcBorders>
            <w:shd w:val="clear" w:color="auto" w:fill="auto"/>
            <w:noWrap/>
            <w:vAlign w:val="bottom"/>
          </w:tcPr>
          <w:p w14:paraId="1FBA5EE7" w14:textId="6E83C4CB" w:rsidR="00C55569" w:rsidRPr="007D3FB9" w:rsidRDefault="00C55569" w:rsidP="006577FD">
            <w:pPr>
              <w:spacing w:after="0"/>
              <w:jc w:val="center"/>
              <w:rPr>
                <w:sz w:val="20"/>
                <w:szCs w:val="20"/>
              </w:rPr>
            </w:pPr>
            <w:r w:rsidRPr="007D3FB9">
              <w:rPr>
                <w:sz w:val="20"/>
                <w:szCs w:val="20"/>
              </w:rPr>
              <w:t>0.8</w:t>
            </w:r>
            <w:r w:rsidR="009D67A2">
              <w:rPr>
                <w:sz w:val="20"/>
                <w:szCs w:val="20"/>
              </w:rPr>
              <w:t xml:space="preserve"> </w:t>
            </w:r>
            <w:r w:rsidRPr="007D3FB9">
              <w:rPr>
                <w:sz w:val="20"/>
                <w:szCs w:val="20"/>
              </w:rPr>
              <w:t>%</w:t>
            </w:r>
          </w:p>
        </w:tc>
      </w:tr>
      <w:tr w:rsidR="00E86089" w:rsidRPr="007E56DF" w14:paraId="33CBFD0A" w14:textId="77777777" w:rsidTr="00E86089">
        <w:trPr>
          <w:trHeight w:val="255"/>
        </w:trPr>
        <w:tc>
          <w:tcPr>
            <w:tcW w:w="379" w:type="pct"/>
            <w:tcBorders>
              <w:top w:val="single" w:sz="4" w:space="0" w:color="000000"/>
              <w:left w:val="single" w:sz="4" w:space="0" w:color="000000"/>
              <w:bottom w:val="nil"/>
              <w:right w:val="nil"/>
            </w:tcBorders>
          </w:tcPr>
          <w:p w14:paraId="28677D30" w14:textId="77777777" w:rsidR="00C55569" w:rsidRPr="007D3FB9" w:rsidRDefault="00C55569" w:rsidP="006577FD">
            <w:pPr>
              <w:spacing w:after="0"/>
              <w:rPr>
                <w:rFonts w:eastAsia="Times New Roman" w:cs="Times New Roman"/>
                <w:sz w:val="20"/>
                <w:szCs w:val="20"/>
              </w:rPr>
            </w:pPr>
          </w:p>
        </w:tc>
        <w:tc>
          <w:tcPr>
            <w:tcW w:w="1508" w:type="pct"/>
            <w:tcBorders>
              <w:top w:val="single" w:sz="4" w:space="0" w:color="000000"/>
              <w:left w:val="single" w:sz="4" w:space="0" w:color="000000"/>
              <w:bottom w:val="nil"/>
              <w:right w:val="single" w:sz="4" w:space="0" w:color="000000"/>
            </w:tcBorders>
          </w:tcPr>
          <w:p w14:paraId="253A59C1" w14:textId="77777777" w:rsidR="00C55569" w:rsidRPr="007D3FB9" w:rsidRDefault="00C55569" w:rsidP="006577FD">
            <w:pPr>
              <w:spacing w:after="0"/>
              <w:rPr>
                <w:rFonts w:eastAsia="Times New Roman" w:cs="Times New Roman"/>
                <w:sz w:val="20"/>
                <w:szCs w:val="20"/>
              </w:rPr>
            </w:pPr>
          </w:p>
        </w:tc>
        <w:tc>
          <w:tcPr>
            <w:tcW w:w="2036" w:type="pct"/>
            <w:tcBorders>
              <w:top w:val="single" w:sz="4" w:space="0" w:color="000000"/>
              <w:left w:val="single" w:sz="4" w:space="0" w:color="000000"/>
              <w:bottom w:val="nil"/>
              <w:right w:val="nil"/>
            </w:tcBorders>
            <w:shd w:val="clear" w:color="auto" w:fill="auto"/>
            <w:noWrap/>
            <w:vAlign w:val="bottom"/>
            <w:hideMark/>
          </w:tcPr>
          <w:p w14:paraId="4A92073F"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Other transitions</w:t>
            </w:r>
          </w:p>
        </w:tc>
        <w:tc>
          <w:tcPr>
            <w:tcW w:w="547" w:type="pct"/>
            <w:tcBorders>
              <w:top w:val="single" w:sz="4" w:space="0" w:color="000000"/>
              <w:left w:val="single" w:sz="4" w:space="0" w:color="000000"/>
              <w:bottom w:val="nil"/>
              <w:right w:val="nil"/>
            </w:tcBorders>
            <w:shd w:val="clear" w:color="auto" w:fill="auto"/>
            <w:noWrap/>
            <w:vAlign w:val="bottom"/>
            <w:hideMark/>
          </w:tcPr>
          <w:p w14:paraId="5F2CD653" w14:textId="77777777" w:rsidR="00C55569" w:rsidRPr="007D3FB9" w:rsidRDefault="00C55569" w:rsidP="006577FD">
            <w:pPr>
              <w:spacing w:after="0"/>
              <w:jc w:val="center"/>
              <w:rPr>
                <w:rFonts w:eastAsia="Times New Roman" w:cs="Times New Roman"/>
                <w:sz w:val="20"/>
                <w:szCs w:val="20"/>
              </w:rPr>
            </w:pPr>
            <w:r w:rsidRPr="007D3FB9">
              <w:rPr>
                <w:rFonts w:eastAsia="Times New Roman" w:cs="Times New Roman"/>
                <w:sz w:val="20"/>
                <w:szCs w:val="20"/>
              </w:rPr>
              <w:t>472</w:t>
            </w:r>
          </w:p>
        </w:tc>
        <w:tc>
          <w:tcPr>
            <w:tcW w:w="530" w:type="pct"/>
            <w:tcBorders>
              <w:top w:val="single" w:sz="4" w:space="0" w:color="000000"/>
              <w:left w:val="nil"/>
              <w:bottom w:val="nil"/>
              <w:right w:val="single" w:sz="4" w:space="0" w:color="000000"/>
            </w:tcBorders>
            <w:shd w:val="clear" w:color="auto" w:fill="auto"/>
            <w:noWrap/>
            <w:vAlign w:val="bottom"/>
            <w:hideMark/>
          </w:tcPr>
          <w:p w14:paraId="56271135" w14:textId="5021813A" w:rsidR="00C55569" w:rsidRPr="007D3FB9" w:rsidRDefault="00C55569" w:rsidP="006577FD">
            <w:pPr>
              <w:spacing w:after="0"/>
              <w:jc w:val="center"/>
              <w:rPr>
                <w:rFonts w:eastAsia="Times New Roman" w:cs="Times New Roman"/>
                <w:sz w:val="20"/>
                <w:szCs w:val="20"/>
              </w:rPr>
            </w:pPr>
            <w:r w:rsidRPr="007D3FB9">
              <w:rPr>
                <w:rFonts w:eastAsia="Times New Roman" w:cs="Times New Roman"/>
                <w:sz w:val="20"/>
                <w:szCs w:val="20"/>
              </w:rPr>
              <w:t>22.8</w:t>
            </w:r>
            <w:r w:rsidR="009D67A2">
              <w:rPr>
                <w:rFonts w:eastAsia="Times New Roman" w:cs="Times New Roman"/>
                <w:sz w:val="20"/>
                <w:szCs w:val="20"/>
              </w:rPr>
              <w:t xml:space="preserve"> </w:t>
            </w:r>
            <w:r w:rsidRPr="007D3FB9">
              <w:rPr>
                <w:rFonts w:eastAsia="Times New Roman" w:cs="Times New Roman"/>
                <w:sz w:val="20"/>
                <w:szCs w:val="20"/>
              </w:rPr>
              <w:t>%</w:t>
            </w:r>
          </w:p>
        </w:tc>
      </w:tr>
      <w:tr w:rsidR="00E86089" w:rsidRPr="007E56DF" w14:paraId="34234CC9" w14:textId="77777777" w:rsidTr="00E86089">
        <w:trPr>
          <w:trHeight w:val="255"/>
        </w:trPr>
        <w:tc>
          <w:tcPr>
            <w:tcW w:w="379" w:type="pct"/>
            <w:tcBorders>
              <w:top w:val="single" w:sz="4" w:space="0" w:color="000000"/>
              <w:left w:val="single" w:sz="4" w:space="0" w:color="000000"/>
              <w:bottom w:val="single" w:sz="4" w:space="0" w:color="000000"/>
              <w:right w:val="nil"/>
            </w:tcBorders>
          </w:tcPr>
          <w:p w14:paraId="33B739DB" w14:textId="77777777" w:rsidR="00C55569" w:rsidRPr="007D3FB9" w:rsidRDefault="00C55569" w:rsidP="006577FD">
            <w:pPr>
              <w:spacing w:after="0"/>
              <w:rPr>
                <w:rFonts w:eastAsia="Times New Roman" w:cs="Times New Roman"/>
                <w:sz w:val="20"/>
                <w:szCs w:val="20"/>
              </w:rPr>
            </w:pPr>
          </w:p>
        </w:tc>
        <w:tc>
          <w:tcPr>
            <w:tcW w:w="1508" w:type="pct"/>
            <w:tcBorders>
              <w:top w:val="single" w:sz="4" w:space="0" w:color="000000"/>
              <w:left w:val="single" w:sz="4" w:space="0" w:color="000000"/>
              <w:bottom w:val="single" w:sz="4" w:space="0" w:color="000000"/>
              <w:right w:val="single" w:sz="4" w:space="0" w:color="000000"/>
            </w:tcBorders>
          </w:tcPr>
          <w:p w14:paraId="17335C81" w14:textId="77777777" w:rsidR="00C55569" w:rsidRPr="007D3FB9" w:rsidRDefault="00C55569" w:rsidP="006577FD">
            <w:pPr>
              <w:spacing w:after="0"/>
              <w:rPr>
                <w:rFonts w:eastAsia="Times New Roman" w:cs="Times New Roman"/>
                <w:sz w:val="20"/>
                <w:szCs w:val="20"/>
              </w:rPr>
            </w:pPr>
          </w:p>
        </w:tc>
        <w:tc>
          <w:tcPr>
            <w:tcW w:w="2036" w:type="pct"/>
            <w:tcBorders>
              <w:top w:val="single" w:sz="4" w:space="0" w:color="000000"/>
              <w:left w:val="single" w:sz="4" w:space="0" w:color="000000"/>
              <w:bottom w:val="single" w:sz="4" w:space="0" w:color="000000"/>
              <w:right w:val="nil"/>
            </w:tcBorders>
            <w:shd w:val="clear" w:color="auto" w:fill="auto"/>
            <w:noWrap/>
            <w:vAlign w:val="bottom"/>
            <w:hideMark/>
          </w:tcPr>
          <w:p w14:paraId="28708174" w14:textId="77777777" w:rsidR="00C55569" w:rsidRPr="007D3FB9" w:rsidRDefault="00C55569" w:rsidP="006577FD">
            <w:pPr>
              <w:spacing w:after="0"/>
              <w:rPr>
                <w:rFonts w:eastAsia="Times New Roman" w:cs="Times New Roman"/>
                <w:sz w:val="20"/>
                <w:szCs w:val="20"/>
              </w:rPr>
            </w:pPr>
            <w:r w:rsidRPr="007D3FB9">
              <w:rPr>
                <w:rFonts w:eastAsia="Times New Roman" w:cs="Times New Roman"/>
                <w:sz w:val="20"/>
                <w:szCs w:val="20"/>
              </w:rPr>
              <w:t>Grand Total</w:t>
            </w:r>
          </w:p>
        </w:tc>
        <w:tc>
          <w:tcPr>
            <w:tcW w:w="547" w:type="pct"/>
            <w:tcBorders>
              <w:top w:val="single" w:sz="4" w:space="0" w:color="000000"/>
              <w:left w:val="single" w:sz="4" w:space="0" w:color="000000"/>
              <w:bottom w:val="single" w:sz="4" w:space="0" w:color="000000"/>
              <w:right w:val="nil"/>
            </w:tcBorders>
            <w:shd w:val="clear" w:color="auto" w:fill="auto"/>
            <w:noWrap/>
            <w:vAlign w:val="bottom"/>
            <w:hideMark/>
          </w:tcPr>
          <w:p w14:paraId="7F2308A4" w14:textId="77777777" w:rsidR="00C55569" w:rsidRPr="007D3FB9" w:rsidRDefault="00C55569" w:rsidP="006577FD">
            <w:pPr>
              <w:spacing w:after="0"/>
              <w:jc w:val="center"/>
              <w:rPr>
                <w:rFonts w:eastAsia="Times New Roman" w:cs="Times New Roman"/>
                <w:sz w:val="20"/>
                <w:szCs w:val="20"/>
              </w:rPr>
            </w:pPr>
            <w:r w:rsidRPr="007D3FB9">
              <w:rPr>
                <w:rFonts w:eastAsia="Times New Roman" w:cs="Times New Roman"/>
                <w:sz w:val="20"/>
                <w:szCs w:val="20"/>
              </w:rPr>
              <w:t>2,072</w:t>
            </w:r>
          </w:p>
        </w:tc>
        <w:tc>
          <w:tcPr>
            <w:tcW w:w="530" w:type="pct"/>
            <w:tcBorders>
              <w:top w:val="single" w:sz="4" w:space="0" w:color="000000"/>
              <w:left w:val="nil"/>
              <w:bottom w:val="single" w:sz="4" w:space="0" w:color="000000"/>
              <w:right w:val="single" w:sz="4" w:space="0" w:color="000000"/>
            </w:tcBorders>
            <w:shd w:val="clear" w:color="auto" w:fill="auto"/>
            <w:noWrap/>
            <w:vAlign w:val="bottom"/>
            <w:hideMark/>
          </w:tcPr>
          <w:p w14:paraId="7E0F830C" w14:textId="3067740D" w:rsidR="00C55569" w:rsidRPr="007D3FB9" w:rsidRDefault="00C55569" w:rsidP="006577FD">
            <w:pPr>
              <w:spacing w:after="0"/>
              <w:jc w:val="center"/>
              <w:rPr>
                <w:rFonts w:eastAsia="Times New Roman" w:cs="Times New Roman"/>
                <w:sz w:val="20"/>
                <w:szCs w:val="20"/>
              </w:rPr>
            </w:pPr>
            <w:r w:rsidRPr="007D3FB9">
              <w:rPr>
                <w:rFonts w:eastAsia="Times New Roman" w:cs="Times New Roman"/>
                <w:sz w:val="20"/>
                <w:szCs w:val="20"/>
              </w:rPr>
              <w:t>100.0</w:t>
            </w:r>
            <w:r w:rsidR="009D67A2">
              <w:rPr>
                <w:rFonts w:eastAsia="Times New Roman" w:cs="Times New Roman"/>
                <w:sz w:val="20"/>
                <w:szCs w:val="20"/>
              </w:rPr>
              <w:t xml:space="preserve"> </w:t>
            </w:r>
            <w:r w:rsidRPr="007D3FB9">
              <w:rPr>
                <w:rFonts w:eastAsia="Times New Roman" w:cs="Times New Roman"/>
                <w:sz w:val="20"/>
                <w:szCs w:val="20"/>
              </w:rPr>
              <w:t>%</w:t>
            </w:r>
          </w:p>
        </w:tc>
      </w:tr>
    </w:tbl>
    <w:p w14:paraId="49458460" w14:textId="77777777" w:rsidR="00C55569" w:rsidRDefault="00C55569" w:rsidP="0093684D">
      <w:pPr>
        <w:pStyle w:val="Figurecaption"/>
      </w:pPr>
      <w:r w:rsidRPr="00C90DE6">
        <w:t>Note: Combination products are represented as their components in the above regimens</w:t>
      </w:r>
    </w:p>
    <w:p w14:paraId="44CE6AD4" w14:textId="032F4029" w:rsidR="002712BA" w:rsidRDefault="002712BA" w:rsidP="002712BA">
      <w:r>
        <w:t xml:space="preserve">The regimens used immediately prior to exenatide are diverse. </w:t>
      </w:r>
      <w:r w:rsidR="000972FE">
        <w:t xml:space="preserve"> </w:t>
      </w:r>
      <w:r>
        <w:t>Most frequently exenatide was initiated as add on therapy to metformin and a sulfonylurea (17.2</w:t>
      </w:r>
      <w:r w:rsidR="000972FE">
        <w:t xml:space="preserve"> </w:t>
      </w:r>
      <w:r>
        <w:t xml:space="preserve">%). </w:t>
      </w:r>
      <w:r w:rsidR="000972FE">
        <w:t xml:space="preserve"> </w:t>
      </w:r>
      <w:r>
        <w:t>Exenatide added to metformin was the next most common regimen (7.4</w:t>
      </w:r>
      <w:r w:rsidR="000972FE">
        <w:t xml:space="preserve"> </w:t>
      </w:r>
      <w:r>
        <w:t xml:space="preserve">%).  </w:t>
      </w:r>
      <w:r w:rsidR="000972FE">
        <w:t xml:space="preserve"> </w:t>
      </w:r>
      <w:r>
        <w:t>The third most common was use of exenatide as add on to metformin and insulin (6.2</w:t>
      </w:r>
      <w:r w:rsidR="000972FE">
        <w:t xml:space="preserve"> </w:t>
      </w:r>
      <w:r>
        <w:t xml:space="preserve">%). </w:t>
      </w:r>
      <w:r w:rsidR="000972FE">
        <w:t xml:space="preserve"> </w:t>
      </w:r>
      <w:r>
        <w:t xml:space="preserve">This may represent use as an insulin sparing regimen but is not a regimen that meets subsidy criteria. </w:t>
      </w:r>
      <w:r w:rsidR="00C9547A">
        <w:t xml:space="preserve"> </w:t>
      </w:r>
      <w:r>
        <w:t>The fourth most common regimen transition was from no therapy to monotherapy exenatide (5.6</w:t>
      </w:r>
      <w:r w:rsidR="000972FE">
        <w:t xml:space="preserve"> </w:t>
      </w:r>
      <w:r>
        <w:t xml:space="preserve">%). </w:t>
      </w:r>
    </w:p>
    <w:p w14:paraId="39EC99D9" w14:textId="007AE940" w:rsidR="009D5229" w:rsidRDefault="009D5229" w:rsidP="002712BA">
      <w:r w:rsidRPr="009D5229">
        <w:t>Of the top 25 drug regimen transitions at initiation to exenatide, 64</w:t>
      </w:r>
      <w:r w:rsidR="002C3ECC">
        <w:t xml:space="preserve"> </w:t>
      </w:r>
      <w:r w:rsidRPr="009D5229">
        <w:t>% are exenatide added on to the prior regimen and 36</w:t>
      </w:r>
      <w:r w:rsidR="002C3ECC">
        <w:t xml:space="preserve"> </w:t>
      </w:r>
      <w:r w:rsidRPr="009D5229">
        <w:t xml:space="preserve">% are exenatide substituting at least one drug in the prior regimen. </w:t>
      </w:r>
      <w:r w:rsidR="002C3ECC">
        <w:t xml:space="preserve"> </w:t>
      </w:r>
      <w:r w:rsidRPr="009D5229">
        <w:t>Of the add-on transitions, 22</w:t>
      </w:r>
      <w:r w:rsidR="002C3ECC">
        <w:t xml:space="preserve"> </w:t>
      </w:r>
      <w:r w:rsidRPr="009D5229">
        <w:t>% are add-ons to a regimen containing</w:t>
      </w:r>
      <w:r w:rsidR="00EC203B">
        <w:t xml:space="preserve"> insulin.  Of the substituting </w:t>
      </w:r>
      <w:r w:rsidRPr="009D5229">
        <w:t>transitions, 26</w:t>
      </w:r>
      <w:r w:rsidR="002C3ECC">
        <w:t xml:space="preserve"> </w:t>
      </w:r>
      <w:r w:rsidRPr="009D5229">
        <w:t>% are substituting insulin</w:t>
      </w:r>
      <w:r>
        <w:t>.</w:t>
      </w:r>
    </w:p>
    <w:p w14:paraId="3DE50E33" w14:textId="363034D9" w:rsidR="002712BA" w:rsidRDefault="002712BA" w:rsidP="002712BA">
      <w:r>
        <w:t>When considering prevalent patients treated with exenatide (Figure 5) approximately 17.4</w:t>
      </w:r>
      <w:r w:rsidR="00CB7029">
        <w:t xml:space="preserve"> </w:t>
      </w:r>
      <w:r>
        <w:t>% were on a regimen containing insulin.</w:t>
      </w:r>
      <w:r w:rsidR="00814BA7">
        <w:t xml:space="preserve"> </w:t>
      </w:r>
      <w:r>
        <w:t xml:space="preserve"> In the cohort of patients initiating exenatide </w:t>
      </w:r>
      <w:r>
        <w:lastRenderedPageBreak/>
        <w:t>between January and March 2013, 572 (28</w:t>
      </w:r>
      <w:r w:rsidR="000972FE">
        <w:t xml:space="preserve"> </w:t>
      </w:r>
      <w:r>
        <w:t>%) were on an insulin containing regimen just prior to initiation</w:t>
      </w:r>
      <w:r w:rsidR="00814BA7">
        <w:t xml:space="preserve"> to exenatide (i.e. week = -1).  </w:t>
      </w:r>
      <w:r>
        <w:t>Of these, 387 patients (68</w:t>
      </w:r>
      <w:r w:rsidR="000972FE">
        <w:t xml:space="preserve"> </w:t>
      </w:r>
      <w:r>
        <w:t>%) were on an insulin containing regimen at initiation (i.e. week 0) (i.e. exenatide was added to insulin) and 185 patients (32</w:t>
      </w:r>
      <w:r w:rsidR="000972FE">
        <w:t xml:space="preserve"> </w:t>
      </w:r>
      <w:r>
        <w:t>%) were on an insulin free regimen (i.e. exenatide substituted insulin).</w:t>
      </w:r>
    </w:p>
    <w:p w14:paraId="19EB1F7E" w14:textId="175E836F" w:rsidR="00441E82" w:rsidRDefault="002712BA" w:rsidP="002712BA">
      <w:r>
        <w:t>Figure 6 illustrates changes in regimens in the first 11 months after initiation to exenatide.</w:t>
      </w:r>
    </w:p>
    <w:p w14:paraId="1B2D8EFA" w14:textId="77777777" w:rsidR="00E06E1D" w:rsidRPr="00D00809" w:rsidRDefault="00E06E1D" w:rsidP="00E06E1D">
      <w:pPr>
        <w:rPr>
          <w:b/>
        </w:rPr>
      </w:pPr>
      <w:r>
        <w:rPr>
          <w:noProof/>
        </w:rPr>
        <w:drawing>
          <wp:inline distT="0" distB="0" distL="0" distR="0" wp14:anchorId="5B24BE64" wp14:editId="624E9049">
            <wp:extent cx="5713977" cy="3460569"/>
            <wp:effectExtent l="0" t="0" r="1270" b="6985"/>
            <wp:docPr id="13" name="Chart 13" title="Figure 6 depicts the regimens pre and post initiation of exenatide"/>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DD2CD8F" w14:textId="77777777" w:rsidR="00E06E1D" w:rsidRPr="004B2B21" w:rsidRDefault="00E06E1D" w:rsidP="00E06E1D">
      <w:pPr>
        <w:pStyle w:val="Figuretitle"/>
      </w:pPr>
      <w:r w:rsidRPr="00381CDD">
        <w:t xml:space="preserve">Figure </w:t>
      </w:r>
      <w:r>
        <w:t>6</w:t>
      </w:r>
      <w:r w:rsidRPr="00381CDD">
        <w:t xml:space="preserve">: </w:t>
      </w:r>
      <w:r>
        <w:t>Treatment regimens pre &amp; post initiation to exenatide</w:t>
      </w:r>
    </w:p>
    <w:p w14:paraId="4037A4DE" w14:textId="1D6DA72B" w:rsidR="00B0540A" w:rsidRDefault="00B0540A" w:rsidP="00B0540A">
      <w:r>
        <w:t xml:space="preserve">There is significant shift away from exenatide containing regimens in the 12 months post-initiation. </w:t>
      </w:r>
      <w:r w:rsidR="00627520">
        <w:t xml:space="preserve"> </w:t>
      </w:r>
      <w:r>
        <w:t>Of the 2,072 patients who initiated in this period 1,396 (67</w:t>
      </w:r>
      <w:r w:rsidR="00627520">
        <w:t xml:space="preserve"> </w:t>
      </w:r>
      <w:r>
        <w:t>%) and 1,171 (57</w:t>
      </w:r>
      <w:r w:rsidR="00627520">
        <w:t xml:space="preserve"> </w:t>
      </w:r>
      <w:r>
        <w:t>%) were still on an exenatide containing regimen after 6 and 11 months (i.e. 48</w:t>
      </w:r>
      <w:r w:rsidR="00627520">
        <w:t xml:space="preserve"> weeks), respectively.  </w:t>
      </w:r>
      <w:r>
        <w:t>An observational study conducted by Bergenstal et al</w:t>
      </w:r>
      <w:r w:rsidR="00627520">
        <w:t>.</w:t>
      </w:r>
      <w:r w:rsidR="000D4198">
        <w:rPr>
          <w:vertAlign w:val="superscript"/>
        </w:rPr>
        <w:t>8</w:t>
      </w:r>
      <w:r>
        <w:t xml:space="preserve"> reported that after 6 and 12 months, 66.6</w:t>
      </w:r>
      <w:r w:rsidR="00627520">
        <w:t xml:space="preserve"> </w:t>
      </w:r>
      <w:r>
        <w:t>% and 54.0</w:t>
      </w:r>
      <w:r w:rsidR="00627520">
        <w:t xml:space="preserve"> </w:t>
      </w:r>
      <w:r>
        <w:t xml:space="preserve">% respectively of the original 452 patients were still on exenatide treatment. </w:t>
      </w:r>
      <w:r w:rsidR="00000B2F">
        <w:t xml:space="preserve"> </w:t>
      </w:r>
      <w:r>
        <w:t>This is very similar to the continuation rates in this analysis.</w:t>
      </w:r>
    </w:p>
    <w:p w14:paraId="5062DB72" w14:textId="0B328332" w:rsidR="001214EC" w:rsidRDefault="00B0540A" w:rsidP="00B0540A">
      <w:r>
        <w:t>The submission Section E assumed that 20</w:t>
      </w:r>
      <w:r w:rsidR="00000B2F">
        <w:t xml:space="preserve"> </w:t>
      </w:r>
      <w:r>
        <w:t>% of patients would stop treatment after o</w:t>
      </w:r>
      <w:r w:rsidR="009C54FA">
        <w:t xml:space="preserve">ne pen (i.e. one prescription).  </w:t>
      </w:r>
      <w:r>
        <w:t>Although not explicit in the submission, this was presumably based on completion rates of 80.6</w:t>
      </w:r>
      <w:r w:rsidR="00000B2F">
        <w:t xml:space="preserve"> </w:t>
      </w:r>
      <w:r>
        <w:t>% and 78</w:t>
      </w:r>
      <w:r w:rsidR="00000B2F">
        <w:t xml:space="preserve"> </w:t>
      </w:r>
      <w:r>
        <w:t>% or discontinuation rates of 8-9</w:t>
      </w:r>
      <w:r w:rsidR="00000B2F">
        <w:t xml:space="preserve"> </w:t>
      </w:r>
      <w:r>
        <w:t>% reported for the two key trials presented in the submission.</w:t>
      </w:r>
      <w:r w:rsidR="009C54FA">
        <w:t xml:space="preserve">  </w:t>
      </w:r>
      <w:r>
        <w:t>The current analysis shows that there were 1,760 patients (85</w:t>
      </w:r>
      <w:r w:rsidR="00000B2F">
        <w:t xml:space="preserve"> </w:t>
      </w:r>
      <w:r>
        <w:t xml:space="preserve">%) remaining on </w:t>
      </w:r>
      <w:r w:rsidR="009C54FA">
        <w:t xml:space="preserve">an exenatide regimen at week 5.  </w:t>
      </w:r>
      <w:r>
        <w:t>Thus the discontinuation rate after one script was 15</w:t>
      </w:r>
      <w:r w:rsidR="00000B2F">
        <w:t xml:space="preserve"> </w:t>
      </w:r>
      <w:r>
        <w:t>% which is reasonably close to the assumption in the submission.</w:t>
      </w:r>
    </w:p>
    <w:p w14:paraId="56B53BE3" w14:textId="7ED53DD6" w:rsidR="00C81D1B" w:rsidRDefault="00C81D1B" w:rsidP="00C81D1B">
      <w:pPr>
        <w:pStyle w:val="Heading3"/>
      </w:pPr>
      <w:r>
        <w:t>Use of exenatide with anti-emetics</w:t>
      </w:r>
    </w:p>
    <w:p w14:paraId="187B100A" w14:textId="77777777" w:rsidR="007B6F7F" w:rsidRDefault="007B6F7F" w:rsidP="007B6F7F">
      <w:r>
        <w:t>Drugs for nausea and vomiting treatment were added to the co-administration analysis. The drugs included are presented in Table 12.</w:t>
      </w:r>
    </w:p>
    <w:p w14:paraId="44230668" w14:textId="77777777" w:rsidR="007B6F7F" w:rsidRPr="00BB0CB0" w:rsidRDefault="007B6F7F" w:rsidP="00D833DB">
      <w:pPr>
        <w:pStyle w:val="Tabletitle"/>
      </w:pPr>
      <w:r w:rsidRPr="00925A99">
        <w:lastRenderedPageBreak/>
        <w:t>Table 1</w:t>
      </w:r>
      <w:r>
        <w:t>2</w:t>
      </w:r>
      <w:r w:rsidRPr="00925A99">
        <w:t xml:space="preserve">: </w:t>
      </w:r>
      <w:r>
        <w:t xml:space="preserve">Anti-emetics used in co-administration analysis </w:t>
      </w:r>
    </w:p>
    <w:tbl>
      <w:tblPr>
        <w:tblStyle w:val="TableGrid"/>
        <w:tblW w:w="0" w:type="auto"/>
        <w:tblInd w:w="108" w:type="dxa"/>
        <w:tblLayout w:type="fixed"/>
        <w:tblLook w:val="04A0" w:firstRow="1" w:lastRow="0" w:firstColumn="1" w:lastColumn="0" w:noHBand="0" w:noVBand="1"/>
        <w:tblCaption w:val="Table 12: anti-emetics used in co-administration analysis"/>
        <w:tblDescription w:val="This includes the PBS ATC code and the drug name"/>
      </w:tblPr>
      <w:tblGrid>
        <w:gridCol w:w="1560"/>
        <w:gridCol w:w="1984"/>
      </w:tblGrid>
      <w:tr w:rsidR="007B6F7F" w14:paraId="767BF411" w14:textId="77777777" w:rsidTr="00F518B8">
        <w:trPr>
          <w:tblHeader/>
        </w:trPr>
        <w:tc>
          <w:tcPr>
            <w:tcW w:w="1560" w:type="dxa"/>
            <w:shd w:val="clear" w:color="auto" w:fill="BFBFBF" w:themeFill="background1" w:themeFillShade="BF"/>
          </w:tcPr>
          <w:p w14:paraId="0EB99528" w14:textId="77777777" w:rsidR="007B6F7F" w:rsidRPr="00BA3526" w:rsidRDefault="007B6F7F" w:rsidP="006577FD">
            <w:pPr>
              <w:rPr>
                <w:b/>
                <w:sz w:val="22"/>
                <w:szCs w:val="22"/>
              </w:rPr>
            </w:pPr>
            <w:r w:rsidRPr="00BA3526">
              <w:rPr>
                <w:b/>
                <w:sz w:val="22"/>
                <w:szCs w:val="22"/>
              </w:rPr>
              <w:t>PBS ATC code</w:t>
            </w:r>
          </w:p>
        </w:tc>
        <w:tc>
          <w:tcPr>
            <w:tcW w:w="1984" w:type="dxa"/>
            <w:shd w:val="clear" w:color="auto" w:fill="BFBFBF" w:themeFill="background1" w:themeFillShade="BF"/>
          </w:tcPr>
          <w:p w14:paraId="009BDD0D" w14:textId="77777777" w:rsidR="007B6F7F" w:rsidRPr="00BA3526" w:rsidRDefault="007B6F7F" w:rsidP="006577FD">
            <w:pPr>
              <w:rPr>
                <w:b/>
                <w:sz w:val="22"/>
                <w:szCs w:val="22"/>
              </w:rPr>
            </w:pPr>
            <w:r w:rsidRPr="00BA3526">
              <w:rPr>
                <w:b/>
                <w:sz w:val="22"/>
                <w:szCs w:val="22"/>
              </w:rPr>
              <w:t>Drug Name</w:t>
            </w:r>
          </w:p>
        </w:tc>
      </w:tr>
      <w:tr w:rsidR="007B6F7F" w14:paraId="5C99E8FD" w14:textId="77777777" w:rsidTr="00D833DB">
        <w:trPr>
          <w:trHeight w:val="250"/>
        </w:trPr>
        <w:tc>
          <w:tcPr>
            <w:tcW w:w="1560" w:type="dxa"/>
          </w:tcPr>
          <w:p w14:paraId="0C4F20CC" w14:textId="77777777" w:rsidR="007B6F7F" w:rsidRPr="00BA3526" w:rsidRDefault="007B6F7F" w:rsidP="006577FD">
            <w:pPr>
              <w:rPr>
                <w:sz w:val="22"/>
                <w:szCs w:val="22"/>
              </w:rPr>
            </w:pPr>
            <w:r w:rsidRPr="00BA3526">
              <w:rPr>
                <w:sz w:val="22"/>
                <w:szCs w:val="22"/>
              </w:rPr>
              <w:t>A03FA01</w:t>
            </w:r>
          </w:p>
        </w:tc>
        <w:tc>
          <w:tcPr>
            <w:tcW w:w="1984" w:type="dxa"/>
          </w:tcPr>
          <w:p w14:paraId="52A9F146" w14:textId="77777777" w:rsidR="007B6F7F" w:rsidRPr="00BA3526" w:rsidRDefault="007B6F7F" w:rsidP="006577FD">
            <w:pPr>
              <w:rPr>
                <w:sz w:val="22"/>
                <w:szCs w:val="22"/>
              </w:rPr>
            </w:pPr>
            <w:r w:rsidRPr="00BA3526">
              <w:rPr>
                <w:sz w:val="22"/>
                <w:szCs w:val="22"/>
              </w:rPr>
              <w:t>Metoclopramide</w:t>
            </w:r>
          </w:p>
        </w:tc>
      </w:tr>
      <w:tr w:rsidR="007B6F7F" w14:paraId="102B55BA" w14:textId="77777777" w:rsidTr="00D833DB">
        <w:tc>
          <w:tcPr>
            <w:tcW w:w="1560" w:type="dxa"/>
          </w:tcPr>
          <w:p w14:paraId="178C1498" w14:textId="77777777" w:rsidR="007B6F7F" w:rsidRPr="00BA3526" w:rsidRDefault="007B6F7F" w:rsidP="006577FD">
            <w:pPr>
              <w:rPr>
                <w:sz w:val="22"/>
                <w:szCs w:val="22"/>
              </w:rPr>
            </w:pPr>
            <w:r w:rsidRPr="00BA3526">
              <w:rPr>
                <w:sz w:val="22"/>
                <w:szCs w:val="22"/>
              </w:rPr>
              <w:t>A03FA03</w:t>
            </w:r>
          </w:p>
        </w:tc>
        <w:tc>
          <w:tcPr>
            <w:tcW w:w="1984" w:type="dxa"/>
          </w:tcPr>
          <w:p w14:paraId="73FEC729" w14:textId="77777777" w:rsidR="007B6F7F" w:rsidRPr="00BA3526" w:rsidRDefault="007B6F7F" w:rsidP="006577FD">
            <w:pPr>
              <w:rPr>
                <w:sz w:val="22"/>
                <w:szCs w:val="22"/>
              </w:rPr>
            </w:pPr>
            <w:r w:rsidRPr="00BA3526">
              <w:rPr>
                <w:sz w:val="22"/>
                <w:szCs w:val="22"/>
              </w:rPr>
              <w:t>Domperidone</w:t>
            </w:r>
          </w:p>
        </w:tc>
      </w:tr>
      <w:tr w:rsidR="007B6F7F" w14:paraId="0C8D169C" w14:textId="77777777" w:rsidTr="00D833DB">
        <w:tc>
          <w:tcPr>
            <w:tcW w:w="1560" w:type="dxa"/>
          </w:tcPr>
          <w:p w14:paraId="69846E59" w14:textId="77777777" w:rsidR="007B6F7F" w:rsidRPr="00BA3526" w:rsidRDefault="007B6F7F" w:rsidP="006577FD">
            <w:pPr>
              <w:rPr>
                <w:sz w:val="22"/>
                <w:szCs w:val="22"/>
              </w:rPr>
            </w:pPr>
            <w:r w:rsidRPr="00BA3526">
              <w:rPr>
                <w:sz w:val="22"/>
                <w:szCs w:val="22"/>
              </w:rPr>
              <w:t>A04AA01</w:t>
            </w:r>
          </w:p>
        </w:tc>
        <w:tc>
          <w:tcPr>
            <w:tcW w:w="1984" w:type="dxa"/>
          </w:tcPr>
          <w:p w14:paraId="188A4BDD" w14:textId="77777777" w:rsidR="007B6F7F" w:rsidRPr="00BA3526" w:rsidRDefault="007B6F7F" w:rsidP="006577FD">
            <w:pPr>
              <w:rPr>
                <w:sz w:val="22"/>
                <w:szCs w:val="22"/>
              </w:rPr>
            </w:pPr>
            <w:r w:rsidRPr="00BA3526">
              <w:rPr>
                <w:sz w:val="22"/>
                <w:szCs w:val="22"/>
              </w:rPr>
              <w:t>Ondansetron</w:t>
            </w:r>
          </w:p>
        </w:tc>
      </w:tr>
      <w:tr w:rsidR="007B6F7F" w14:paraId="4000573A" w14:textId="77777777" w:rsidTr="00D833DB">
        <w:tc>
          <w:tcPr>
            <w:tcW w:w="1560" w:type="dxa"/>
          </w:tcPr>
          <w:p w14:paraId="1BA9106D" w14:textId="77777777" w:rsidR="007B6F7F" w:rsidRPr="00BA3526" w:rsidRDefault="007B6F7F" w:rsidP="006577FD">
            <w:pPr>
              <w:rPr>
                <w:sz w:val="22"/>
                <w:szCs w:val="22"/>
              </w:rPr>
            </w:pPr>
            <w:r w:rsidRPr="00BA3526">
              <w:rPr>
                <w:sz w:val="22"/>
                <w:szCs w:val="22"/>
              </w:rPr>
              <w:t>A04AA02</w:t>
            </w:r>
          </w:p>
        </w:tc>
        <w:tc>
          <w:tcPr>
            <w:tcW w:w="1984" w:type="dxa"/>
          </w:tcPr>
          <w:p w14:paraId="3FE7F074" w14:textId="77777777" w:rsidR="007B6F7F" w:rsidRPr="00BA3526" w:rsidRDefault="007B6F7F" w:rsidP="006577FD">
            <w:pPr>
              <w:rPr>
                <w:sz w:val="22"/>
                <w:szCs w:val="22"/>
              </w:rPr>
            </w:pPr>
            <w:r w:rsidRPr="00BA3526">
              <w:rPr>
                <w:sz w:val="22"/>
                <w:szCs w:val="22"/>
              </w:rPr>
              <w:t>Granisetron</w:t>
            </w:r>
          </w:p>
        </w:tc>
      </w:tr>
      <w:tr w:rsidR="007B6F7F" w14:paraId="1CD9A757" w14:textId="77777777" w:rsidTr="00D833DB">
        <w:tc>
          <w:tcPr>
            <w:tcW w:w="1560" w:type="dxa"/>
          </w:tcPr>
          <w:p w14:paraId="681F11AD" w14:textId="77777777" w:rsidR="007B6F7F" w:rsidRPr="00BA3526" w:rsidRDefault="007B6F7F" w:rsidP="006577FD">
            <w:pPr>
              <w:rPr>
                <w:sz w:val="22"/>
                <w:szCs w:val="22"/>
              </w:rPr>
            </w:pPr>
            <w:r w:rsidRPr="00BA3526">
              <w:rPr>
                <w:sz w:val="22"/>
                <w:szCs w:val="22"/>
              </w:rPr>
              <w:t>A04AA03</w:t>
            </w:r>
          </w:p>
        </w:tc>
        <w:tc>
          <w:tcPr>
            <w:tcW w:w="1984" w:type="dxa"/>
          </w:tcPr>
          <w:p w14:paraId="0AF6103D" w14:textId="77777777" w:rsidR="007B6F7F" w:rsidRPr="00BA3526" w:rsidRDefault="007B6F7F" w:rsidP="006577FD">
            <w:pPr>
              <w:rPr>
                <w:sz w:val="22"/>
                <w:szCs w:val="22"/>
              </w:rPr>
            </w:pPr>
            <w:r w:rsidRPr="00BA3526">
              <w:rPr>
                <w:sz w:val="22"/>
                <w:szCs w:val="22"/>
              </w:rPr>
              <w:t>Tropisetron</w:t>
            </w:r>
          </w:p>
        </w:tc>
      </w:tr>
      <w:tr w:rsidR="007B6F7F" w14:paraId="338C98F9" w14:textId="77777777" w:rsidTr="00D833DB">
        <w:tc>
          <w:tcPr>
            <w:tcW w:w="1560" w:type="dxa"/>
          </w:tcPr>
          <w:p w14:paraId="64F56A67" w14:textId="77777777" w:rsidR="007B6F7F" w:rsidRPr="00BA3526" w:rsidRDefault="007B6F7F" w:rsidP="006577FD">
            <w:pPr>
              <w:rPr>
                <w:sz w:val="22"/>
                <w:szCs w:val="22"/>
              </w:rPr>
            </w:pPr>
            <w:r w:rsidRPr="00BA3526">
              <w:rPr>
                <w:sz w:val="22"/>
                <w:szCs w:val="22"/>
              </w:rPr>
              <w:t>A04AA04</w:t>
            </w:r>
          </w:p>
        </w:tc>
        <w:tc>
          <w:tcPr>
            <w:tcW w:w="1984" w:type="dxa"/>
          </w:tcPr>
          <w:p w14:paraId="35FFDB4B" w14:textId="77777777" w:rsidR="007B6F7F" w:rsidRPr="00BA3526" w:rsidRDefault="007B6F7F" w:rsidP="006577FD">
            <w:pPr>
              <w:rPr>
                <w:sz w:val="22"/>
                <w:szCs w:val="22"/>
              </w:rPr>
            </w:pPr>
            <w:r w:rsidRPr="00BA3526">
              <w:rPr>
                <w:sz w:val="22"/>
                <w:szCs w:val="22"/>
              </w:rPr>
              <w:t>Dolasetron</w:t>
            </w:r>
          </w:p>
        </w:tc>
      </w:tr>
      <w:tr w:rsidR="007B6F7F" w14:paraId="64A4D68B" w14:textId="77777777" w:rsidTr="00D833DB">
        <w:tc>
          <w:tcPr>
            <w:tcW w:w="1560" w:type="dxa"/>
          </w:tcPr>
          <w:p w14:paraId="33D5624C" w14:textId="77777777" w:rsidR="007B6F7F" w:rsidRPr="00BA3526" w:rsidRDefault="007B6F7F" w:rsidP="006577FD">
            <w:pPr>
              <w:rPr>
                <w:sz w:val="22"/>
                <w:szCs w:val="22"/>
              </w:rPr>
            </w:pPr>
            <w:r w:rsidRPr="00BA3526">
              <w:rPr>
                <w:sz w:val="22"/>
                <w:szCs w:val="22"/>
              </w:rPr>
              <w:t>A04AA05</w:t>
            </w:r>
          </w:p>
        </w:tc>
        <w:tc>
          <w:tcPr>
            <w:tcW w:w="1984" w:type="dxa"/>
          </w:tcPr>
          <w:p w14:paraId="1C28CF49" w14:textId="77777777" w:rsidR="007B6F7F" w:rsidRPr="00BA3526" w:rsidRDefault="007B6F7F" w:rsidP="006577FD">
            <w:pPr>
              <w:rPr>
                <w:sz w:val="22"/>
                <w:szCs w:val="22"/>
              </w:rPr>
            </w:pPr>
            <w:r w:rsidRPr="00BA3526">
              <w:rPr>
                <w:sz w:val="22"/>
                <w:szCs w:val="22"/>
              </w:rPr>
              <w:t>Palonosetron</w:t>
            </w:r>
          </w:p>
        </w:tc>
      </w:tr>
      <w:tr w:rsidR="007B6F7F" w14:paraId="29BFC55E" w14:textId="77777777" w:rsidTr="00D833DB">
        <w:tc>
          <w:tcPr>
            <w:tcW w:w="1560" w:type="dxa"/>
          </w:tcPr>
          <w:p w14:paraId="22C78716" w14:textId="77777777" w:rsidR="007B6F7F" w:rsidRPr="00BA3526" w:rsidRDefault="007B6F7F" w:rsidP="006577FD">
            <w:pPr>
              <w:rPr>
                <w:sz w:val="22"/>
                <w:szCs w:val="22"/>
              </w:rPr>
            </w:pPr>
            <w:r w:rsidRPr="00BA3526">
              <w:rPr>
                <w:sz w:val="22"/>
                <w:szCs w:val="22"/>
              </w:rPr>
              <w:t>A04AD12</w:t>
            </w:r>
          </w:p>
        </w:tc>
        <w:tc>
          <w:tcPr>
            <w:tcW w:w="1984" w:type="dxa"/>
          </w:tcPr>
          <w:p w14:paraId="5B9622BE" w14:textId="77777777" w:rsidR="007B6F7F" w:rsidRPr="00BA3526" w:rsidRDefault="007B6F7F" w:rsidP="006577FD">
            <w:pPr>
              <w:rPr>
                <w:sz w:val="22"/>
                <w:szCs w:val="22"/>
              </w:rPr>
            </w:pPr>
            <w:r w:rsidRPr="00BA3526">
              <w:rPr>
                <w:sz w:val="22"/>
                <w:szCs w:val="22"/>
              </w:rPr>
              <w:t>Aprepitant</w:t>
            </w:r>
          </w:p>
        </w:tc>
      </w:tr>
      <w:tr w:rsidR="007B6F7F" w14:paraId="7299B638" w14:textId="77777777" w:rsidTr="00D833DB">
        <w:tc>
          <w:tcPr>
            <w:tcW w:w="1560" w:type="dxa"/>
          </w:tcPr>
          <w:p w14:paraId="3D0361AB" w14:textId="77777777" w:rsidR="007B6F7F" w:rsidRPr="00BA3526" w:rsidRDefault="007B6F7F" w:rsidP="006577FD">
            <w:pPr>
              <w:rPr>
                <w:sz w:val="22"/>
                <w:szCs w:val="22"/>
              </w:rPr>
            </w:pPr>
            <w:r w:rsidRPr="00BA3526">
              <w:rPr>
                <w:sz w:val="22"/>
                <w:szCs w:val="22"/>
              </w:rPr>
              <w:t>A04AD</w:t>
            </w:r>
          </w:p>
        </w:tc>
        <w:tc>
          <w:tcPr>
            <w:tcW w:w="1984" w:type="dxa"/>
          </w:tcPr>
          <w:p w14:paraId="45C6B1A4" w14:textId="77777777" w:rsidR="007B6F7F" w:rsidRPr="00BA3526" w:rsidRDefault="007B6F7F" w:rsidP="006577FD">
            <w:pPr>
              <w:rPr>
                <w:sz w:val="22"/>
                <w:szCs w:val="22"/>
              </w:rPr>
            </w:pPr>
            <w:r w:rsidRPr="00BA3526">
              <w:rPr>
                <w:sz w:val="22"/>
                <w:szCs w:val="22"/>
              </w:rPr>
              <w:t>Prochlorperazine</w:t>
            </w:r>
          </w:p>
        </w:tc>
      </w:tr>
      <w:tr w:rsidR="007B6F7F" w14:paraId="1E50EC56" w14:textId="77777777" w:rsidTr="00D833DB">
        <w:tc>
          <w:tcPr>
            <w:tcW w:w="1560" w:type="dxa"/>
          </w:tcPr>
          <w:p w14:paraId="0DF073CA" w14:textId="77777777" w:rsidR="007B6F7F" w:rsidRPr="00BA3526" w:rsidRDefault="007B6F7F" w:rsidP="006577FD">
            <w:pPr>
              <w:rPr>
                <w:sz w:val="22"/>
                <w:szCs w:val="22"/>
              </w:rPr>
            </w:pPr>
            <w:r w:rsidRPr="00BA3526">
              <w:rPr>
                <w:sz w:val="22"/>
                <w:szCs w:val="22"/>
              </w:rPr>
              <w:t>A04AD</w:t>
            </w:r>
          </w:p>
        </w:tc>
        <w:tc>
          <w:tcPr>
            <w:tcW w:w="1984" w:type="dxa"/>
          </w:tcPr>
          <w:p w14:paraId="5C96C002" w14:textId="77777777" w:rsidR="007B6F7F" w:rsidRPr="00BA3526" w:rsidRDefault="007B6F7F" w:rsidP="006577FD">
            <w:pPr>
              <w:rPr>
                <w:sz w:val="22"/>
                <w:szCs w:val="22"/>
              </w:rPr>
            </w:pPr>
            <w:r w:rsidRPr="00BA3526">
              <w:rPr>
                <w:sz w:val="22"/>
                <w:szCs w:val="22"/>
              </w:rPr>
              <w:t>Promethazine</w:t>
            </w:r>
          </w:p>
        </w:tc>
      </w:tr>
    </w:tbl>
    <w:p w14:paraId="10349A02" w14:textId="77777777" w:rsidR="00651C91" w:rsidRDefault="00651C91" w:rsidP="007B6F7F"/>
    <w:p w14:paraId="4D04FFC4" w14:textId="6076F073" w:rsidR="00651C91" w:rsidRDefault="00651C91" w:rsidP="007B6F7F">
      <w:r>
        <w:t>Drug regimens containing an anti-emetic for patients initiating exena</w:t>
      </w:r>
      <w:r w:rsidR="002D328B">
        <w:t>tide for the period January to M</w:t>
      </w:r>
      <w:r>
        <w:t>arch 2013 are shown in Figure 7.</w:t>
      </w:r>
    </w:p>
    <w:p w14:paraId="63EF7B4D" w14:textId="77777777" w:rsidR="007B6F7F" w:rsidRDefault="007B6F7F" w:rsidP="007B6F7F">
      <w:pPr>
        <w:rPr>
          <w:rStyle w:val="FiguretitleChar"/>
        </w:rPr>
      </w:pPr>
      <w:r>
        <w:rPr>
          <w:noProof/>
        </w:rPr>
        <w:drawing>
          <wp:inline distT="0" distB="0" distL="0" distR="0" wp14:anchorId="755A240B" wp14:editId="37223A67">
            <wp:extent cx="5943600" cy="3558540"/>
            <wp:effectExtent l="0" t="0" r="0" b="3810"/>
            <wp:docPr id="9" name="Chart 9" title="Figure 7 shows the drug regimens containing an anti-emetic for patients initiating exenatide from January to March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235EB4">
        <w:rPr>
          <w:rStyle w:val="FiguretitleChar"/>
        </w:rPr>
        <w:t>Figure 7: Drug regimens containing an anti-emetic for patients initiating exenatide from January to March 2013 inclusive.</w:t>
      </w:r>
    </w:p>
    <w:p w14:paraId="3BA52F05" w14:textId="51012140" w:rsidR="002C2795" w:rsidRPr="002C2795" w:rsidRDefault="005E334E" w:rsidP="002C2795">
      <w:r>
        <w:t>Figure 7 shows that anti-emetic drugs wer</w:t>
      </w:r>
      <w:r w:rsidR="00064E6B">
        <w:t xml:space="preserve">e used relatively infrequently.  </w:t>
      </w:r>
      <w:r>
        <w:t>The rate of anti-emetic drug use does not appear to be much higher following initiation of exenatide.</w:t>
      </w:r>
      <w:r w:rsidR="00064E6B">
        <w:t xml:space="preserve">  </w:t>
      </w:r>
      <w:r>
        <w:t>At week 5 after initiation only 79 patients (3.8</w:t>
      </w:r>
      <w:r w:rsidR="00064E6B">
        <w:t xml:space="preserve"> </w:t>
      </w:r>
      <w:r>
        <w:t>%) of the 2072 patients initiating to exenatide had a regimen containing an anti-emetic.</w:t>
      </w:r>
    </w:p>
    <w:p w14:paraId="3A74B465" w14:textId="5C201DBF" w:rsidR="007346C7" w:rsidRDefault="00957837" w:rsidP="00FD13CD">
      <w:pPr>
        <w:pStyle w:val="Heading3"/>
      </w:pPr>
      <w:r>
        <w:lastRenderedPageBreak/>
        <w:t>DUSC actions</w:t>
      </w:r>
    </w:p>
    <w:p w14:paraId="2D774B25" w14:textId="4DF6C053" w:rsidR="00E36BEA" w:rsidRDefault="00E371AE" w:rsidP="00E36BEA">
      <w:pPr>
        <w:pStyle w:val="ListParagraph"/>
        <w:numPr>
          <w:ilvl w:val="0"/>
          <w:numId w:val="4"/>
        </w:numPr>
        <w:spacing w:after="0"/>
        <w:ind w:left="360"/>
      </w:pPr>
      <w:r>
        <w:t>The DUSC requested that the report be provided to the PBAC, noting that while the extent of utilisation has been similar to predicted at the time of listing, patterns of exenatide use are diverse and not all use is consis</w:t>
      </w:r>
      <w:r w:rsidR="004818E0">
        <w:t>tent with the PBS restrictions.</w:t>
      </w:r>
    </w:p>
    <w:p w14:paraId="0E3D06EC" w14:textId="77777777" w:rsidR="00E36BEA" w:rsidRDefault="00E36BEA" w:rsidP="00E36BEA">
      <w:pPr>
        <w:spacing w:after="0"/>
      </w:pPr>
    </w:p>
    <w:p w14:paraId="6B691516" w14:textId="18D2EC04" w:rsidR="00E371AE" w:rsidRPr="00E371AE" w:rsidRDefault="00E371AE" w:rsidP="00A95D06">
      <w:pPr>
        <w:pStyle w:val="ListParagraph"/>
        <w:numPr>
          <w:ilvl w:val="0"/>
          <w:numId w:val="4"/>
        </w:numPr>
        <w:ind w:left="360"/>
      </w:pPr>
      <w:r>
        <w:t>The DUSC considered that education may be required on the PBS prescribing criteria for exenatide.</w:t>
      </w:r>
    </w:p>
    <w:p w14:paraId="75A03124" w14:textId="77777777" w:rsidR="001B50CA" w:rsidRPr="0092516A" w:rsidRDefault="001B50CA" w:rsidP="00FD13CD">
      <w:pPr>
        <w:pStyle w:val="Heading3"/>
      </w:pPr>
      <w:r w:rsidRPr="0092516A">
        <w:t>Context for analysis</w:t>
      </w:r>
    </w:p>
    <w:p w14:paraId="1D8A2B2A" w14:textId="77777777" w:rsidR="001B50CA" w:rsidRPr="00241E48" w:rsidRDefault="001B50CA" w:rsidP="001B50CA">
      <w:pPr>
        <w:spacing w:after="240"/>
        <w:rPr>
          <w:rFonts w:eastAsiaTheme="majorEastAsia" w:cstheme="majorBidi"/>
          <w:bCs/>
        </w:rPr>
      </w:pPr>
      <w:r w:rsidRPr="00241E48">
        <w:rPr>
          <w:rFonts w:eastAsiaTheme="majorEastAsia" w:cstheme="majorBidi"/>
          <w:bCs/>
        </w:rPr>
        <w:t>The DUSC is a Sub Committee of the Pharmaceutical Benefits Advisory Committee (PBAC). The DUSC assesses estimates on projected usage an</w:t>
      </w:r>
      <w:r>
        <w:rPr>
          <w:rFonts w:eastAsiaTheme="majorEastAsia" w:cstheme="majorBidi"/>
          <w:bCs/>
        </w:rPr>
        <w:t>d financial cost of medicines.</w:t>
      </w:r>
    </w:p>
    <w:p w14:paraId="58A6B21D" w14:textId="77777777" w:rsidR="001B50CA" w:rsidRPr="00241E48" w:rsidRDefault="001B50CA" w:rsidP="001B50CA">
      <w:pPr>
        <w:spacing w:after="240"/>
        <w:rPr>
          <w:rFonts w:eastAsiaTheme="majorEastAsia" w:cstheme="majorBidi"/>
          <w:bCs/>
        </w:rPr>
      </w:pPr>
      <w:r w:rsidRPr="00241E48">
        <w:rPr>
          <w:rFonts w:eastAsiaTheme="majorEastAsia"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E0BE3CC" w14:textId="77777777" w:rsidR="001B50CA" w:rsidRDefault="001B50CA" w:rsidP="001B50CA">
      <w:pPr>
        <w:spacing w:after="240"/>
        <w:rPr>
          <w:rFonts w:eastAsiaTheme="majorEastAsia" w:cstheme="majorBidi"/>
          <w:bCs/>
        </w:rPr>
      </w:pPr>
      <w:r w:rsidRPr="00241E48">
        <w:rPr>
          <w:rFonts w:eastAsiaTheme="majorEastAsia" w:cstheme="majorBidi"/>
          <w:bCs/>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2A85FF2" w14:textId="77777777" w:rsidR="00C75822" w:rsidRDefault="00C75822" w:rsidP="00C75822">
      <w:pPr>
        <w:spacing w:after="0"/>
        <w:rPr>
          <w:rFonts w:eastAsiaTheme="majorEastAsia" w:cstheme="majorBidi"/>
          <w:bCs/>
        </w:rPr>
      </w:pPr>
      <w:r>
        <w:rPr>
          <w:rFonts w:eastAsiaTheme="majorEastAsia" w:cstheme="majorBidi"/>
          <w:bCs/>
        </w:rPr>
        <w:t xml:space="preserve">The </w:t>
      </w:r>
      <w:r w:rsidRPr="00CB5441">
        <w:rPr>
          <w:rFonts w:eastAsiaTheme="majorEastAsia" w:cstheme="majorBidi"/>
          <w:bCs/>
        </w:rPr>
        <w:t xml:space="preserve">utilisation </w:t>
      </w:r>
      <w:r>
        <w:rPr>
          <w:rFonts w:eastAsiaTheme="majorEastAsia" w:cstheme="majorBidi"/>
          <w:bCs/>
        </w:rPr>
        <w:t>analysis report was</w:t>
      </w:r>
      <w:r w:rsidRPr="00CB5441">
        <w:rPr>
          <w:rFonts w:eastAsiaTheme="majorEastAsia" w:cstheme="majorBidi"/>
          <w:bCs/>
        </w:rPr>
        <w:t xml:space="preserve"> provided to the pharmaceutical sponsors of each d</w:t>
      </w:r>
      <w:r>
        <w:rPr>
          <w:rFonts w:eastAsiaTheme="majorEastAsia" w:cstheme="majorBidi"/>
          <w:bCs/>
        </w:rPr>
        <w:t xml:space="preserve">rug and comments on the report </w:t>
      </w:r>
      <w:r w:rsidRPr="00CB5441">
        <w:rPr>
          <w:rFonts w:eastAsiaTheme="majorEastAsia" w:cstheme="majorBidi"/>
          <w:bCs/>
        </w:rPr>
        <w:t>were provided to DUSC</w:t>
      </w:r>
      <w:r>
        <w:rPr>
          <w:rFonts w:eastAsiaTheme="majorEastAsia" w:cstheme="majorBidi"/>
          <w:bCs/>
        </w:rPr>
        <w:t xml:space="preserve"> prior to its consideration of the analysis.</w:t>
      </w:r>
    </w:p>
    <w:p w14:paraId="44EFDCE9" w14:textId="7EEAB7B5" w:rsidR="003529E0" w:rsidRDefault="003529E0" w:rsidP="00FD13CD">
      <w:pPr>
        <w:pStyle w:val="Heading3"/>
      </w:pPr>
      <w:r>
        <w:t>Sponsor</w:t>
      </w:r>
      <w:r w:rsidR="0041081A">
        <w:t>’</w:t>
      </w:r>
      <w:r w:rsidRPr="0092516A">
        <w:t>s comments</w:t>
      </w:r>
    </w:p>
    <w:p w14:paraId="35A3E9D3" w14:textId="0BF6861A" w:rsidR="00180101" w:rsidRPr="00180101" w:rsidRDefault="00180101" w:rsidP="00180101">
      <w:r>
        <w:t>AstraZeneca Pty Ltd:  The sponsor has no comment.</w:t>
      </w:r>
    </w:p>
    <w:p w14:paraId="5076FCCF" w14:textId="77777777" w:rsidR="00966F55" w:rsidRDefault="00966F55">
      <w:pPr>
        <w:spacing w:line="276" w:lineRule="auto"/>
        <w:rPr>
          <w:rFonts w:eastAsiaTheme="majorEastAsia" w:cstheme="majorBidi"/>
          <w:b/>
          <w:bCs/>
          <w:sz w:val="32"/>
          <w:szCs w:val="32"/>
        </w:rPr>
      </w:pPr>
      <w:r>
        <w:br w:type="page"/>
      </w:r>
    </w:p>
    <w:p w14:paraId="016AE134" w14:textId="3DF08DA6" w:rsidR="002C6E0C" w:rsidRDefault="002C6E0C" w:rsidP="001B4788">
      <w:pPr>
        <w:pStyle w:val="Heading3"/>
      </w:pPr>
      <w:r>
        <w:lastRenderedPageBreak/>
        <w:t>Appendices</w:t>
      </w:r>
    </w:p>
    <w:p w14:paraId="3D5828F8" w14:textId="6797BDAB" w:rsidR="00687370" w:rsidRDefault="00BC495A" w:rsidP="00D8090B">
      <w:pPr>
        <w:pStyle w:val="Heading4"/>
      </w:pPr>
      <w:r>
        <w:t>Appendix A</w:t>
      </w:r>
      <w:r w:rsidR="00687370">
        <w:t xml:space="preserve">: </w:t>
      </w:r>
      <w:r w:rsidR="00687370">
        <w:br/>
        <w:t xml:space="preserve">Detailed methodology to </w:t>
      </w:r>
      <w:r w:rsidR="00687370" w:rsidRPr="003C6919">
        <w:t>estimate drug regimens and regimen transitions</w:t>
      </w:r>
    </w:p>
    <w:p w14:paraId="7A2884BD" w14:textId="77777777" w:rsidR="00687370" w:rsidRPr="003C6919" w:rsidRDefault="00687370" w:rsidP="00687370">
      <w:pPr>
        <w:rPr>
          <w:rFonts w:cstheme="minorHAnsi"/>
          <w:u w:val="single"/>
          <w:lang w:val="en-US"/>
        </w:rPr>
      </w:pPr>
      <w:r w:rsidRPr="003C6919">
        <w:rPr>
          <w:rFonts w:cstheme="minorHAnsi"/>
          <w:u w:val="single"/>
          <w:lang w:val="en-US"/>
        </w:rPr>
        <w:t>Drug treatment regimens are estimated</w:t>
      </w:r>
      <w:r>
        <w:rPr>
          <w:rFonts w:cstheme="minorHAnsi"/>
          <w:u w:val="single"/>
          <w:lang w:val="en-US"/>
        </w:rPr>
        <w:t xml:space="preserve"> from prescription supply dates</w:t>
      </w:r>
    </w:p>
    <w:p w14:paraId="7F792DE8" w14:textId="77777777" w:rsidR="00687370" w:rsidRPr="003C6919" w:rsidRDefault="00687370" w:rsidP="00687370">
      <w:pPr>
        <w:rPr>
          <w:rFonts w:cstheme="minorHAnsi"/>
        </w:rPr>
      </w:pPr>
      <w:r w:rsidRPr="003C6919">
        <w:rPr>
          <w:rFonts w:cstheme="minorHAnsi"/>
        </w:rPr>
        <w:t xml:space="preserve">The prescription data contains date of supply of each prescription, but no information on whether or not medicines should be </w:t>
      </w:r>
      <w:r>
        <w:rPr>
          <w:rFonts w:cstheme="minorHAnsi"/>
        </w:rPr>
        <w:t>(</w:t>
      </w:r>
      <w:r w:rsidRPr="003C6919">
        <w:rPr>
          <w:rFonts w:cstheme="minorHAnsi"/>
        </w:rPr>
        <w:t>or were</w:t>
      </w:r>
      <w:r>
        <w:rPr>
          <w:rFonts w:cstheme="minorHAnsi"/>
        </w:rPr>
        <w:t>)</w:t>
      </w:r>
      <w:r w:rsidRPr="003C6919">
        <w:rPr>
          <w:rFonts w:cstheme="minorHAnsi"/>
        </w:rPr>
        <w:t xml:space="preserve"> co-administered. Thus co-administration was estimated from the data in the following way;</w:t>
      </w:r>
    </w:p>
    <w:p w14:paraId="66E32905" w14:textId="77777777" w:rsidR="00687370" w:rsidRPr="003C6919" w:rsidRDefault="00687370" w:rsidP="00687370">
      <w:pPr>
        <w:rPr>
          <w:rFonts w:cstheme="minorHAnsi"/>
          <w:lang w:val="en-US"/>
        </w:rPr>
      </w:pPr>
      <w:r w:rsidRPr="003C6919">
        <w:rPr>
          <w:rFonts w:cstheme="minorHAnsi"/>
          <w:lang w:val="en-US"/>
        </w:rPr>
        <w:t xml:space="preserve">Step 1: </w:t>
      </w:r>
    </w:p>
    <w:p w14:paraId="33A99BE1" w14:textId="77777777" w:rsidR="00687370" w:rsidRPr="003C6919" w:rsidRDefault="00687370" w:rsidP="00687370">
      <w:pPr>
        <w:rPr>
          <w:rFonts w:cstheme="minorHAnsi"/>
          <w:lang w:val="en-US"/>
        </w:rPr>
      </w:pPr>
      <w:r w:rsidRPr="003C6919">
        <w:rPr>
          <w:rFonts w:cstheme="minorHAnsi"/>
          <w:lang w:val="en-US"/>
        </w:rPr>
        <w:t xml:space="preserve">Determine the estimated medication coverage days for </w:t>
      </w:r>
      <w:r w:rsidRPr="003C6919">
        <w:rPr>
          <w:rFonts w:cstheme="minorHAnsi"/>
          <w:b/>
          <w:lang w:val="en-US"/>
        </w:rPr>
        <w:t>each</w:t>
      </w:r>
      <w:r w:rsidRPr="003C6919">
        <w:rPr>
          <w:rFonts w:cstheme="minorHAnsi"/>
          <w:lang w:val="en-US"/>
        </w:rPr>
        <w:t xml:space="preserve"> drug or drug group. </w:t>
      </w:r>
    </w:p>
    <w:p w14:paraId="0CCDD245" w14:textId="77777777" w:rsidR="00687370" w:rsidRPr="003C6919" w:rsidRDefault="00687370" w:rsidP="00687370">
      <w:pPr>
        <w:rPr>
          <w:rFonts w:cstheme="minorHAnsi"/>
          <w:lang w:val="en-US"/>
        </w:rPr>
      </w:pPr>
      <w:r w:rsidRPr="003C6919">
        <w:rPr>
          <w:rFonts w:cstheme="minorHAnsi"/>
          <w:lang w:val="en-US"/>
        </w:rPr>
        <w:t>This mainly involves detecting breaks in treatment</w:t>
      </w:r>
      <w:r>
        <w:rPr>
          <w:rFonts w:cstheme="minorHAnsi"/>
          <w:lang w:val="en-US"/>
        </w:rPr>
        <w:t>. T</w:t>
      </w:r>
      <w:r w:rsidRPr="003C6919">
        <w:rPr>
          <w:rFonts w:cstheme="minorHAnsi"/>
          <w:lang w:val="en-US"/>
        </w:rPr>
        <w:t xml:space="preserve">he outcome is the start and estimated end date for each episode of treatment for each drug or drug group. </w:t>
      </w:r>
    </w:p>
    <w:p w14:paraId="4F085823" w14:textId="77777777" w:rsidR="00687370" w:rsidRPr="003C6919" w:rsidRDefault="00687370" w:rsidP="00687370">
      <w:pPr>
        <w:rPr>
          <w:rFonts w:cstheme="minorHAnsi"/>
          <w:lang w:val="en-US"/>
        </w:rPr>
      </w:pPr>
      <w:r w:rsidRPr="003C6919">
        <w:rPr>
          <w:rFonts w:cstheme="minorHAnsi"/>
          <w:lang w:val="en-US"/>
        </w:rPr>
        <w:t xml:space="preserve">Step 2: </w:t>
      </w:r>
    </w:p>
    <w:p w14:paraId="0E2A23F7" w14:textId="77777777" w:rsidR="00687370" w:rsidRPr="003C6919" w:rsidRDefault="00687370" w:rsidP="00687370">
      <w:pPr>
        <w:rPr>
          <w:rFonts w:cstheme="minorHAnsi"/>
          <w:lang w:val="en-US"/>
        </w:rPr>
      </w:pPr>
      <w:r w:rsidRPr="003C6919">
        <w:rPr>
          <w:rFonts w:cstheme="minorHAnsi"/>
          <w:lang w:val="en-US"/>
        </w:rPr>
        <w:t xml:space="preserve">Determine the estimated medication coverage days </w:t>
      </w:r>
      <w:r w:rsidRPr="003C6919">
        <w:rPr>
          <w:rFonts w:cstheme="minorHAnsi"/>
          <w:b/>
          <w:lang w:val="en-US"/>
        </w:rPr>
        <w:t>across all</w:t>
      </w:r>
      <w:r w:rsidRPr="003C6919">
        <w:rPr>
          <w:rFonts w:cstheme="minorHAnsi"/>
          <w:lang w:val="en-US"/>
        </w:rPr>
        <w:t xml:space="preserve"> drug and drug group episodes defined in Step 1. The outcome is an estimated treatment regimen for each patient for every day in the data period. </w:t>
      </w:r>
    </w:p>
    <w:p w14:paraId="01B267C4" w14:textId="77777777" w:rsidR="00687370" w:rsidRPr="003C6919" w:rsidRDefault="00687370" w:rsidP="00687370">
      <w:pPr>
        <w:rPr>
          <w:rFonts w:cstheme="minorHAnsi"/>
          <w:lang w:val="en-US"/>
        </w:rPr>
      </w:pPr>
      <w:r w:rsidRPr="003C6919">
        <w:rPr>
          <w:rFonts w:cstheme="minorHAnsi"/>
          <w:lang w:val="en-US"/>
        </w:rPr>
        <w:t>Similar methods have been used for assessing medicine use in Australian populations.</w:t>
      </w:r>
      <w:r w:rsidRPr="003C6919">
        <w:rPr>
          <w:rStyle w:val="FootnoteReference"/>
          <w:rFonts w:cstheme="minorHAnsi"/>
          <w:lang w:val="en-US"/>
        </w:rPr>
        <w:footnoteReference w:id="9"/>
      </w:r>
      <w:r w:rsidRPr="003C6919">
        <w:rPr>
          <w:rFonts w:cstheme="minorHAnsi"/>
          <w:vertAlign w:val="superscript"/>
          <w:lang w:val="en-US"/>
        </w:rPr>
        <w:t>,</w:t>
      </w:r>
      <w:r w:rsidRPr="003C6919">
        <w:rPr>
          <w:rStyle w:val="FootnoteReference"/>
          <w:rFonts w:cstheme="minorHAnsi"/>
          <w:lang w:val="en-US"/>
        </w:rPr>
        <w:footnoteReference w:id="10"/>
      </w:r>
      <w:r w:rsidRPr="003C6919">
        <w:rPr>
          <w:rFonts w:cstheme="minorHAnsi"/>
          <w:lang w:val="en-US"/>
        </w:rPr>
        <w:t xml:space="preserve"> Hallas</w:t>
      </w:r>
      <w:r w:rsidRPr="003C6919">
        <w:rPr>
          <w:rStyle w:val="FootnoteReference"/>
          <w:rFonts w:cstheme="minorHAnsi"/>
          <w:lang w:val="en-US"/>
        </w:rPr>
        <w:footnoteReference w:id="11"/>
      </w:r>
      <w:r w:rsidRPr="003C6919">
        <w:rPr>
          <w:rFonts w:cstheme="minorHAnsi"/>
          <w:lang w:val="en-US"/>
        </w:rPr>
        <w:t xml:space="preserve"> describes the method and provides references to early variants. </w:t>
      </w:r>
    </w:p>
    <w:p w14:paraId="3443840C" w14:textId="5501FC2F" w:rsidR="00687370" w:rsidRPr="003C6919" w:rsidRDefault="00904A68" w:rsidP="00687370">
      <w:pPr>
        <w:rPr>
          <w:rFonts w:cstheme="minorHAnsi"/>
        </w:rPr>
      </w:pPr>
      <w:r>
        <w:rPr>
          <w:rFonts w:cstheme="minorHAnsi"/>
        </w:rPr>
        <w:t>Figure A</w:t>
      </w:r>
      <w:r w:rsidR="00687370" w:rsidRPr="003C6919">
        <w:rPr>
          <w:rFonts w:cstheme="minorHAnsi"/>
        </w:rPr>
        <w:t>1 illustrates the method specified above.</w:t>
      </w:r>
      <w:r w:rsidR="002E21C9">
        <w:rPr>
          <w:rFonts w:cstheme="minorHAnsi"/>
        </w:rPr>
        <w:t xml:space="preserve"> </w:t>
      </w:r>
      <w:r w:rsidR="00687370" w:rsidRPr="003C6919">
        <w:rPr>
          <w:rFonts w:cstheme="minorHAnsi"/>
        </w:rPr>
        <w:t xml:space="preserve">The standard coverage days (SCD) for each drug A, B &amp; C have been shortened to 5 days to enable the figure to fit on one page. The Step 1 process results in the production of the episodes (pink bars) and the Step 2 process results in the production of the treatment regimen (blue bar). The days in this illustration are days from initiation (applicable to an incident patient analysis) but they can also be calendar days (applicable to a prevalent patient analysis). </w:t>
      </w:r>
    </w:p>
    <w:p w14:paraId="1D2DA2E5" w14:textId="77777777" w:rsidR="00687370" w:rsidRPr="003C6919" w:rsidRDefault="00687370" w:rsidP="00687370">
      <w:pPr>
        <w:rPr>
          <w:rFonts w:cstheme="minorHAnsi"/>
        </w:rPr>
      </w:pPr>
      <w:r w:rsidRPr="003C6919">
        <w:rPr>
          <w:rFonts w:cstheme="minorHAnsi"/>
        </w:rPr>
        <w:t>In this illustration, a break in treatment is defined as a coverage gap of 2 or more SCDs (i.e. the patient has not received re-supply at two consecutive expected refill dates.  The first gap in drug A coverage (from days -39 to -35) is not deemed to be a break in the drug A Episode 1 as the estimated gap in coverage is only 1 x SCD. The 2</w:t>
      </w:r>
      <w:r w:rsidRPr="003C6919">
        <w:rPr>
          <w:rFonts w:cstheme="minorHAnsi"/>
          <w:vertAlign w:val="superscript"/>
        </w:rPr>
        <w:t>nd</w:t>
      </w:r>
      <w:r w:rsidRPr="003C6919">
        <w:rPr>
          <w:rFonts w:cstheme="minorHAnsi"/>
        </w:rPr>
        <w:t xml:space="preserve"> gap in drug A coverage from days -29 to -20 is deemed to be a break in treatment and the end of Episode 1 because the gap in estimated coverage is 2 x SCD.</w:t>
      </w:r>
    </w:p>
    <w:p w14:paraId="7ACEF032" w14:textId="77777777" w:rsidR="00687370" w:rsidRPr="003C6919" w:rsidRDefault="00687370" w:rsidP="00687370">
      <w:pPr>
        <w:rPr>
          <w:rFonts w:cstheme="minorHAnsi"/>
        </w:rPr>
      </w:pPr>
      <w:r w:rsidRPr="003C6919">
        <w:rPr>
          <w:rFonts w:cstheme="minorHAnsi"/>
        </w:rPr>
        <w:lastRenderedPageBreak/>
        <w:t>The two prescriptions for drug B supplied on day -9 are interpreted as dose escalation of drug B, if each prescription is for a different strength. The two prescriptions are deemed to be necessary to supply one SCD period and not used to extend the drug coverage period. If each prescription of drug B were for the same strength then this would be interpreted as “stockpiling” and assumed to extend the drug coverage period (see Details of Methodology below for details)</w:t>
      </w:r>
    </w:p>
    <w:p w14:paraId="6FE1B987" w14:textId="77777777" w:rsidR="00687370" w:rsidRPr="003C6919" w:rsidRDefault="00687370" w:rsidP="00687370">
      <w:pPr>
        <w:rPr>
          <w:rFonts w:cstheme="minorHAnsi"/>
        </w:rPr>
      </w:pPr>
      <w:r w:rsidRPr="003C6919">
        <w:rPr>
          <w:rFonts w:cstheme="minorHAnsi"/>
        </w:rPr>
        <w:t>Drug C is a 3</w:t>
      </w:r>
      <w:r w:rsidRPr="003C6919">
        <w:rPr>
          <w:rFonts w:cstheme="minorHAnsi"/>
          <w:vertAlign w:val="superscript"/>
        </w:rPr>
        <w:t>rd</w:t>
      </w:r>
      <w:r w:rsidRPr="003C6919">
        <w:rPr>
          <w:rFonts w:cstheme="minorHAnsi"/>
        </w:rPr>
        <w:t xml:space="preserve"> line agent and initiated on day 0 (by definition).  The basic method imputes a short period of B+C, but a refinement of the method includes the calculation of an adjusted treatment regimen which removes short periods of overlap when it is likely that a switch has occurred before prior medicine is deemed to be fully used.</w:t>
      </w:r>
    </w:p>
    <w:p w14:paraId="41976A8D" w14:textId="77777777" w:rsidR="00687370" w:rsidRPr="005E6C3B" w:rsidRDefault="00687370" w:rsidP="00687370">
      <w:pPr>
        <w:rPr>
          <w:rFonts w:cstheme="minorHAnsi"/>
        </w:rPr>
      </w:pPr>
      <w:r w:rsidRPr="003C6919">
        <w:rPr>
          <w:rFonts w:cstheme="minorHAnsi"/>
        </w:rPr>
        <w:t xml:space="preserve">The final method for estimating the drug treatment regimen includes several refinements which are </w:t>
      </w:r>
      <w:r w:rsidRPr="005E6C3B">
        <w:rPr>
          <w:rFonts w:cstheme="minorHAnsi"/>
        </w:rPr>
        <w:t>explained in below.  Briefly they are:</w:t>
      </w:r>
    </w:p>
    <w:p w14:paraId="68DF7C76" w14:textId="77777777" w:rsidR="00687370" w:rsidRPr="005E6C3B" w:rsidRDefault="00687370" w:rsidP="00687370">
      <w:pPr>
        <w:pStyle w:val="ListParagraph"/>
        <w:numPr>
          <w:ilvl w:val="0"/>
          <w:numId w:val="13"/>
        </w:numPr>
        <w:spacing w:after="0"/>
        <w:ind w:left="567" w:hanging="567"/>
        <w:rPr>
          <w:rFonts w:cstheme="minorHAnsi"/>
        </w:rPr>
      </w:pPr>
      <w:r w:rsidRPr="005E6C3B">
        <w:rPr>
          <w:rFonts w:cstheme="minorHAnsi"/>
        </w:rPr>
        <w:t>Calculation of the treatment regimen on a weekly rather than daily basis.</w:t>
      </w:r>
    </w:p>
    <w:p w14:paraId="60B6A184" w14:textId="77777777" w:rsidR="00687370" w:rsidRPr="005E6C3B" w:rsidRDefault="00687370" w:rsidP="00687370">
      <w:pPr>
        <w:pStyle w:val="ListParagraph"/>
        <w:numPr>
          <w:ilvl w:val="0"/>
          <w:numId w:val="13"/>
        </w:numPr>
        <w:spacing w:after="0"/>
        <w:ind w:left="567" w:hanging="567"/>
        <w:rPr>
          <w:rFonts w:cstheme="minorHAnsi"/>
        </w:rPr>
      </w:pPr>
      <w:r w:rsidRPr="005E6C3B">
        <w:rPr>
          <w:rFonts w:cstheme="minorHAnsi"/>
        </w:rPr>
        <w:t>Calculation of drug treatment regimen transitions – including an adjustment to allow for switching when the prior medication is not fully used.</w:t>
      </w:r>
    </w:p>
    <w:p w14:paraId="595F3F4F" w14:textId="77777777" w:rsidR="00687370" w:rsidRPr="005E6C3B" w:rsidRDefault="00687370" w:rsidP="00687370">
      <w:pPr>
        <w:pStyle w:val="ListParagraph"/>
        <w:numPr>
          <w:ilvl w:val="0"/>
          <w:numId w:val="13"/>
        </w:numPr>
        <w:spacing w:after="0"/>
        <w:ind w:left="567" w:hanging="567"/>
        <w:rPr>
          <w:rFonts w:cstheme="minorHAnsi"/>
        </w:rPr>
      </w:pPr>
      <w:r w:rsidRPr="005E6C3B">
        <w:rPr>
          <w:rFonts w:cstheme="minorHAnsi"/>
        </w:rPr>
        <w:t>Adjustment to allow for stockpiling of medication, both same-day supply and supplies on different days.</w:t>
      </w:r>
    </w:p>
    <w:p w14:paraId="360CAB4B" w14:textId="77777777" w:rsidR="00687370" w:rsidRDefault="00687370" w:rsidP="00687370">
      <w:pPr>
        <w:pStyle w:val="ListParagraph"/>
        <w:numPr>
          <w:ilvl w:val="0"/>
          <w:numId w:val="13"/>
        </w:numPr>
        <w:spacing w:after="0"/>
        <w:ind w:left="567" w:hanging="567"/>
        <w:rPr>
          <w:rFonts w:cstheme="minorHAnsi"/>
        </w:rPr>
      </w:pPr>
      <w:r w:rsidRPr="005E6C3B">
        <w:rPr>
          <w:rFonts w:cstheme="minorHAnsi"/>
        </w:rPr>
        <w:t xml:space="preserve">Change in the rules for </w:t>
      </w:r>
      <w:r>
        <w:rPr>
          <w:rFonts w:cstheme="minorHAnsi"/>
        </w:rPr>
        <w:t>prescriptions</w:t>
      </w:r>
      <w:r w:rsidRPr="005E6C3B">
        <w:rPr>
          <w:rFonts w:cstheme="minorHAnsi"/>
        </w:rPr>
        <w:t xml:space="preserve"> whose coverage spans the initiation data</w:t>
      </w:r>
      <w:r>
        <w:rPr>
          <w:rFonts w:cstheme="minorHAnsi"/>
        </w:rPr>
        <w:t>;</w:t>
      </w:r>
      <w:r>
        <w:rPr>
          <w:rFonts w:cstheme="minorHAnsi"/>
        </w:rPr>
        <w:br/>
        <w:t>- removal of stockpiling rule</w:t>
      </w:r>
    </w:p>
    <w:p w14:paraId="4D11C648" w14:textId="10E8FBBD" w:rsidR="00966F55" w:rsidRDefault="00687370" w:rsidP="00966F55">
      <w:pPr>
        <w:pStyle w:val="ListParagraph"/>
        <w:numPr>
          <w:ilvl w:val="0"/>
          <w:numId w:val="13"/>
        </w:numPr>
        <w:spacing w:after="0"/>
        <w:ind w:left="567" w:hanging="567"/>
        <w:rPr>
          <w:rFonts w:cstheme="minorHAnsi"/>
        </w:rPr>
      </w:pPr>
      <w:r w:rsidRPr="004E05E6">
        <w:rPr>
          <w:rFonts w:cstheme="minorHAnsi"/>
        </w:rPr>
        <w:t>Estimating if a patient is continuing or stopping after their last script</w:t>
      </w:r>
    </w:p>
    <w:p w14:paraId="4D4B9E31" w14:textId="77777777" w:rsidR="00DE4B98" w:rsidRDefault="00DE4B98" w:rsidP="00DE4B98">
      <w:pPr>
        <w:spacing w:after="0"/>
        <w:rPr>
          <w:rFonts w:cstheme="minorHAnsi"/>
        </w:rPr>
        <w:sectPr w:rsidR="00DE4B98" w:rsidSect="00945324">
          <w:pgSz w:w="11906" w:h="16838"/>
          <w:pgMar w:top="1644" w:right="1361" w:bottom="1644" w:left="1588" w:header="709" w:footer="709" w:gutter="0"/>
          <w:cols w:space="708"/>
          <w:docGrid w:linePitch="360"/>
        </w:sectPr>
      </w:pPr>
    </w:p>
    <w:p w14:paraId="10F201A4" w14:textId="77777777" w:rsidR="00DE4B98" w:rsidRPr="003C6919" w:rsidRDefault="00DE4B98" w:rsidP="00DE4B98">
      <w:pPr>
        <w:rPr>
          <w:rFonts w:cstheme="minorHAnsi"/>
        </w:rPr>
      </w:pPr>
      <w:r w:rsidRPr="003C6919">
        <w:rPr>
          <w:rFonts w:cstheme="minorHAnsi"/>
          <w:noProof/>
        </w:rPr>
        <w:lastRenderedPageBreak/>
        <w:drawing>
          <wp:inline distT="0" distB="0" distL="0" distR="0" wp14:anchorId="7449ED32" wp14:editId="4C9C09F5">
            <wp:extent cx="8800077" cy="2937314"/>
            <wp:effectExtent l="0" t="0" r="1270" b="0"/>
            <wp:docPr id="4" name="Picture 4" title="Figure A1 is a diagrammatic representation of the methodlogy that was used to determine treatment regi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825023" cy="2945641"/>
                    </a:xfrm>
                    <a:prstGeom prst="rect">
                      <a:avLst/>
                    </a:prstGeom>
                    <a:noFill/>
                    <a:ln>
                      <a:noFill/>
                    </a:ln>
                  </pic:spPr>
                </pic:pic>
              </a:graphicData>
            </a:graphic>
          </wp:inline>
        </w:drawing>
      </w:r>
    </w:p>
    <w:p w14:paraId="31CCE31E" w14:textId="65BFDCBF" w:rsidR="000707E6" w:rsidRDefault="00DE4B98" w:rsidP="006F4332">
      <w:pPr>
        <w:pStyle w:val="Tabletitle"/>
        <w:rPr>
          <w:lang w:val="en-US"/>
        </w:rPr>
        <w:sectPr w:rsidR="000707E6" w:rsidSect="006577FD">
          <w:pgSz w:w="16838" w:h="11906" w:orient="landscape" w:code="9"/>
          <w:pgMar w:top="1644" w:right="1361" w:bottom="1644" w:left="1588" w:header="708" w:footer="708" w:gutter="0"/>
          <w:cols w:space="708"/>
          <w:docGrid w:linePitch="360"/>
        </w:sectPr>
      </w:pPr>
      <w:r w:rsidRPr="003C6919">
        <w:rPr>
          <w:lang w:val="en-US"/>
        </w:rPr>
        <w:t>Figure A1 Diagrammatic representation of the methodology used to determine treatment regimen</w:t>
      </w:r>
    </w:p>
    <w:p w14:paraId="20F26CD4" w14:textId="0F45C86D" w:rsidR="004E5B0F" w:rsidRPr="00F518B8" w:rsidRDefault="004419A9" w:rsidP="00F518B8">
      <w:pPr>
        <w:pStyle w:val="Heading5"/>
      </w:pPr>
      <w:r w:rsidRPr="00F518B8">
        <w:lastRenderedPageBreak/>
        <w:t>Details of Methodology</w:t>
      </w:r>
    </w:p>
    <w:p w14:paraId="41D3930A" w14:textId="44996F32" w:rsidR="00DE4B98" w:rsidRDefault="00DE4B98" w:rsidP="00DE4B98">
      <w:pPr>
        <w:spacing w:after="0"/>
        <w:rPr>
          <w:rFonts w:cstheme="minorHAnsi"/>
        </w:rPr>
      </w:pPr>
    </w:p>
    <w:p w14:paraId="599B2D71" w14:textId="0EF452CE" w:rsidR="00C52D77" w:rsidRPr="00C52D77" w:rsidRDefault="00C52D77" w:rsidP="00F70CEF">
      <w:pPr>
        <w:rPr>
          <w:rFonts w:cstheme="minorHAnsi"/>
          <w:b/>
        </w:rPr>
      </w:pPr>
      <w:r w:rsidRPr="00C52D77">
        <w:rPr>
          <w:rFonts w:cstheme="minorHAnsi"/>
          <w:b/>
        </w:rPr>
        <w:t>1.</w:t>
      </w:r>
      <w:r w:rsidRPr="00C52D77">
        <w:rPr>
          <w:rFonts w:cstheme="minorHAnsi"/>
          <w:b/>
        </w:rPr>
        <w:tab/>
        <w:t>Calcu</w:t>
      </w:r>
      <w:r>
        <w:rPr>
          <w:rFonts w:cstheme="minorHAnsi"/>
          <w:b/>
        </w:rPr>
        <w:t>lation of the treatment regimen</w:t>
      </w:r>
    </w:p>
    <w:p w14:paraId="312B294F" w14:textId="77777777" w:rsidR="00C52D77" w:rsidRPr="00C52D77" w:rsidRDefault="00C52D77" w:rsidP="005217EF">
      <w:r w:rsidRPr="00C52D77">
        <w:t>Drug treatment regimens are estimated from prescription supply dates in the following way;</w:t>
      </w:r>
    </w:p>
    <w:p w14:paraId="5FDC8CB2" w14:textId="77777777" w:rsidR="00C52D77" w:rsidRPr="00C52D77" w:rsidRDefault="00C52D77" w:rsidP="005217EF">
      <w:r w:rsidRPr="00C52D77">
        <w:t xml:space="preserve">Step 1: </w:t>
      </w:r>
    </w:p>
    <w:p w14:paraId="2B0E7011" w14:textId="77777777" w:rsidR="00C52D77" w:rsidRPr="00C52D77" w:rsidRDefault="00C52D77" w:rsidP="005217EF">
      <w:r w:rsidRPr="00C52D77">
        <w:t xml:space="preserve">Determine the estimated medication coverage days for </w:t>
      </w:r>
      <w:r w:rsidRPr="002717D1">
        <w:rPr>
          <w:b/>
        </w:rPr>
        <w:t>each</w:t>
      </w:r>
      <w:r w:rsidRPr="00C52D77">
        <w:t xml:space="preserve"> drug or drug group. </w:t>
      </w:r>
    </w:p>
    <w:p w14:paraId="63EE0920" w14:textId="77777777" w:rsidR="00C52D77" w:rsidRPr="00C52D77" w:rsidRDefault="00C52D77" w:rsidP="005217EF">
      <w:r w:rsidRPr="00C52D77">
        <w:t xml:space="preserve">This mainly involves detecting breaks in treatment. The outcome is the start and estimated end date for each episode for each drug or drug group. </w:t>
      </w:r>
    </w:p>
    <w:p w14:paraId="3DE0FF5F" w14:textId="77777777" w:rsidR="00C52D77" w:rsidRPr="00C52D77" w:rsidRDefault="00C52D77" w:rsidP="005217EF">
      <w:r w:rsidRPr="00C52D77">
        <w:t xml:space="preserve">Step 2: </w:t>
      </w:r>
    </w:p>
    <w:p w14:paraId="7BB1A4D1" w14:textId="77777777" w:rsidR="00C52D77" w:rsidRPr="00C52D77" w:rsidRDefault="00C52D77" w:rsidP="005217EF">
      <w:r w:rsidRPr="00C52D77">
        <w:t xml:space="preserve">Determine the estimated medication coverage days </w:t>
      </w:r>
      <w:r w:rsidRPr="002717D1">
        <w:rPr>
          <w:b/>
        </w:rPr>
        <w:t>across</w:t>
      </w:r>
      <w:r w:rsidRPr="00700670">
        <w:rPr>
          <w:b/>
        </w:rPr>
        <w:t xml:space="preserve"> all</w:t>
      </w:r>
      <w:r w:rsidRPr="00C52D77">
        <w:t xml:space="preserve"> drug and drug group episodes defined in Step 1. The outcome is an estimated treatment regimen for each patient for every day in the data period. </w:t>
      </w:r>
    </w:p>
    <w:p w14:paraId="7EFC50B7" w14:textId="690CE6CD" w:rsidR="004E5B0F" w:rsidRDefault="00C52D77" w:rsidP="005217EF">
      <w:r w:rsidRPr="00C52D77">
        <w:t>Step 2 above was modified so that the treatment regimen was estimated on a weekly rather than daily basis. This modification was deemed necessary to keep the data volume at a manageable level. This modification means that if the a medication coverage start date falls in a particular calendar week (for prevalent patient analysis)  or week since initiation (for initiation analysis) then the medication is deemed to cover that week. The same rule was applied to the medication coverage end date.</w:t>
      </w:r>
    </w:p>
    <w:p w14:paraId="24670C4B" w14:textId="77777777" w:rsidR="004C3FC1" w:rsidRPr="003251AF" w:rsidRDefault="004C3FC1" w:rsidP="004C3FC1">
      <w:pPr>
        <w:rPr>
          <w:b/>
        </w:rPr>
      </w:pPr>
      <w:r w:rsidRPr="003251AF">
        <w:rPr>
          <w:b/>
        </w:rPr>
        <w:t>2.</w:t>
      </w:r>
      <w:r w:rsidRPr="003251AF">
        <w:rPr>
          <w:b/>
        </w:rPr>
        <w:tab/>
        <w:t>Drug regimen transitions - including an adjustment to allow for switching when the prior medication is not fully used</w:t>
      </w:r>
    </w:p>
    <w:p w14:paraId="204F5B09" w14:textId="77777777" w:rsidR="004C3FC1" w:rsidRDefault="004C3FC1" w:rsidP="004C3FC1">
      <w:r>
        <w:t>Once estimated drug regimens have been determined for every week, then transitions can be computed.</w:t>
      </w:r>
    </w:p>
    <w:p w14:paraId="43DE8EED" w14:textId="4AD9A097" w:rsidR="00FE622D" w:rsidRDefault="00FE622D" w:rsidP="00FE622D">
      <w:r>
        <w:t xml:space="preserve">These are useful for determining patient </w:t>
      </w:r>
      <w:r w:rsidR="005C5A77">
        <w:t>behaviour</w:t>
      </w:r>
      <w:r>
        <w:t xml:space="preserve"> upon initiation of a drug; e.g. A</w:t>
      </w:r>
      <w:r>
        <w:t xml:space="preserve">A+B </w:t>
      </w:r>
      <w:r w:rsidR="00F03172">
        <w:t>(adding to existing therapy), A</w:t>
      </w:r>
      <w:r w:rsidR="00F03172" w:rsidRPr="005E6C3B">
        <w:rPr>
          <w:rFonts w:cstheme="minorHAnsi"/>
          <w:lang w:val="en-US"/>
        </w:rPr>
        <w:sym w:font="Wingdings" w:char="F0E0"/>
      </w:r>
      <w:r>
        <w:t>B (switching) or None</w:t>
      </w:r>
      <w:r w:rsidR="00F03172" w:rsidRPr="005E6C3B">
        <w:rPr>
          <w:rFonts w:cstheme="minorHAnsi"/>
          <w:lang w:val="en-US"/>
        </w:rPr>
        <w:sym w:font="Wingdings" w:char="F0E0"/>
      </w:r>
      <w:r>
        <w:t>A (starting therapy).</w:t>
      </w:r>
    </w:p>
    <w:p w14:paraId="1CABDE04" w14:textId="77777777" w:rsidR="00CC7E61" w:rsidRPr="005E6C3B" w:rsidRDefault="00CC7E61" w:rsidP="00CC7E61">
      <w:pPr>
        <w:rPr>
          <w:rFonts w:cstheme="minorHAnsi"/>
          <w:lang w:val="en-US"/>
        </w:rPr>
      </w:pPr>
      <w:r w:rsidRPr="005E6C3B">
        <w:rPr>
          <w:rFonts w:cstheme="minorHAnsi"/>
          <w:lang w:val="en-US"/>
        </w:rPr>
        <w:t>The transitions can be;</w:t>
      </w:r>
    </w:p>
    <w:p w14:paraId="0870FD7F" w14:textId="77777777" w:rsidR="00CC7E61" w:rsidRPr="005E6C3B" w:rsidRDefault="00CC7E61" w:rsidP="00CC7E61">
      <w:pPr>
        <w:pStyle w:val="ListParagraph"/>
        <w:numPr>
          <w:ilvl w:val="0"/>
          <w:numId w:val="14"/>
        </w:numPr>
        <w:spacing w:after="0"/>
        <w:rPr>
          <w:rFonts w:cstheme="minorHAnsi"/>
          <w:lang w:val="en-US"/>
        </w:rPr>
      </w:pPr>
      <w:r w:rsidRPr="005E6C3B">
        <w:rPr>
          <w:rFonts w:cstheme="minorHAnsi"/>
          <w:lang w:val="en-US"/>
        </w:rPr>
        <w:t xml:space="preserve">previous drug regimen </w:t>
      </w:r>
      <w:r w:rsidRPr="005E6C3B">
        <w:rPr>
          <w:rFonts w:cstheme="minorHAnsi"/>
          <w:lang w:val="en-US"/>
        </w:rPr>
        <w:sym w:font="Wingdings" w:char="F0E0"/>
      </w:r>
      <w:r w:rsidRPr="005E6C3B">
        <w:rPr>
          <w:rFonts w:cstheme="minorHAnsi"/>
          <w:lang w:val="en-US"/>
        </w:rPr>
        <w:t>drug regimen at week x, or</w:t>
      </w:r>
    </w:p>
    <w:p w14:paraId="41EF8C2E" w14:textId="2DEB7FCE" w:rsidR="00CC7E61" w:rsidRPr="00CC7E61" w:rsidRDefault="00CC7E61" w:rsidP="00CC7E61">
      <w:pPr>
        <w:pStyle w:val="ListParagraph"/>
        <w:numPr>
          <w:ilvl w:val="0"/>
          <w:numId w:val="14"/>
        </w:numPr>
        <w:rPr>
          <w:rFonts w:cstheme="minorHAnsi"/>
          <w:lang w:val="en-US"/>
        </w:rPr>
      </w:pPr>
      <w:r w:rsidRPr="00CC7E61">
        <w:rPr>
          <w:rFonts w:cstheme="minorHAnsi"/>
          <w:lang w:val="en-US"/>
        </w:rPr>
        <w:t>drug regimen at w</w:t>
      </w:r>
      <w:r w:rsidR="00DE3504">
        <w:rPr>
          <w:rFonts w:cstheme="minorHAnsi"/>
          <w:lang w:val="en-US"/>
        </w:rPr>
        <w:t xml:space="preserve">eek -1 </w:t>
      </w:r>
      <w:r w:rsidRPr="005E6C3B">
        <w:rPr>
          <w:rFonts w:cstheme="minorHAnsi"/>
          <w:lang w:val="en-US"/>
        </w:rPr>
        <w:sym w:font="Wingdings" w:char="F0E0"/>
      </w:r>
      <w:r w:rsidRPr="00CC7E61">
        <w:rPr>
          <w:rFonts w:cstheme="minorHAnsi"/>
          <w:lang w:val="en-US"/>
        </w:rPr>
        <w:t>drug regimen at week x</w:t>
      </w:r>
    </w:p>
    <w:p w14:paraId="715E16D6" w14:textId="77777777" w:rsidR="00CC7E61" w:rsidRPr="005E6C3B" w:rsidRDefault="00CC7E61" w:rsidP="00CC7E61">
      <w:pPr>
        <w:rPr>
          <w:rFonts w:cstheme="minorHAnsi"/>
          <w:lang w:val="en-US"/>
        </w:rPr>
      </w:pPr>
      <w:r w:rsidRPr="005E6C3B">
        <w:rPr>
          <w:rFonts w:cstheme="minorHAnsi"/>
          <w:lang w:val="en-US"/>
        </w:rPr>
        <w:t xml:space="preserve">Option A has the advantage that it can be calculated at any week, whereas Option B can only be calculated after initiation (i.e. from week 0). The main advantages of Option B are that it can easily be used to adjust the drug regimen in the first few weeks after initiation to allow for switching when the prior medication is not fully used. That is, if a patient switches from A to B, in the first few weeks after initiation to drug B the drug regimen may be incorrectly estimated to be A+B if the patient still has drug A “on hand” (i.e. some is unused) when drug B is initiated. </w:t>
      </w:r>
    </w:p>
    <w:p w14:paraId="419F041B" w14:textId="77777777" w:rsidR="00CC7E61" w:rsidRPr="005E6C3B" w:rsidRDefault="00CC7E61" w:rsidP="00CC7E61">
      <w:pPr>
        <w:rPr>
          <w:rFonts w:cstheme="minorHAnsi"/>
          <w:lang w:val="en-US"/>
        </w:rPr>
      </w:pPr>
      <w:r w:rsidRPr="005E6C3B">
        <w:rPr>
          <w:rFonts w:cstheme="minorHAnsi"/>
          <w:lang w:val="en-US"/>
        </w:rPr>
        <w:lastRenderedPageBreak/>
        <w:t>The regimen transitions are adjusted so that if a regimen transition corresponding to a switch (e.g. A</w:t>
      </w:r>
      <w:r w:rsidRPr="005E6C3B">
        <w:rPr>
          <w:rFonts w:cstheme="minorHAnsi"/>
          <w:lang w:val="en-US"/>
        </w:rPr>
        <w:sym w:font="Wingdings" w:char="F0E0"/>
      </w:r>
      <w:r w:rsidRPr="005E6C3B">
        <w:rPr>
          <w:rFonts w:cstheme="minorHAnsi"/>
          <w:lang w:val="en-US"/>
        </w:rPr>
        <w:t xml:space="preserve">B) is detected within the first </w:t>
      </w:r>
      <w:r>
        <w:rPr>
          <w:rFonts w:cstheme="minorHAnsi"/>
          <w:lang w:val="en-US"/>
        </w:rPr>
        <w:t>X</w:t>
      </w:r>
      <w:r w:rsidRPr="005E6C3B">
        <w:rPr>
          <w:rFonts w:cstheme="minorHAnsi"/>
          <w:lang w:val="en-US"/>
        </w:rPr>
        <w:t xml:space="preserve"> weeks after initiation (e.g. at week </w:t>
      </w:r>
      <w:r>
        <w:rPr>
          <w:rFonts w:cstheme="minorHAnsi"/>
          <w:lang w:val="en-US"/>
        </w:rPr>
        <w:t>Y</w:t>
      </w:r>
      <w:r w:rsidRPr="005E6C3B">
        <w:rPr>
          <w:rFonts w:cstheme="minorHAnsi"/>
          <w:lang w:val="en-US"/>
        </w:rPr>
        <w:t xml:space="preserve">), then all weeks between the initiation (i.e. week 0) and week </w:t>
      </w:r>
      <w:r>
        <w:rPr>
          <w:rFonts w:cstheme="minorHAnsi"/>
          <w:lang w:val="en-US"/>
        </w:rPr>
        <w:t>Y</w:t>
      </w:r>
      <w:r w:rsidRPr="005E6C3B">
        <w:rPr>
          <w:rFonts w:cstheme="minorHAnsi"/>
          <w:lang w:val="en-US"/>
        </w:rPr>
        <w:t xml:space="preserve"> are modified to the switch transition (i.e. A-B). This means some instances of "A</w:t>
      </w:r>
      <w:r w:rsidRPr="005E6C3B">
        <w:rPr>
          <w:rFonts w:cstheme="minorHAnsi"/>
          <w:lang w:val="en-US"/>
        </w:rPr>
        <w:sym w:font="Wingdings" w:char="F0E0"/>
      </w:r>
      <w:r w:rsidRPr="005E6C3B">
        <w:rPr>
          <w:rFonts w:cstheme="minorHAnsi"/>
          <w:lang w:val="en-US"/>
        </w:rPr>
        <w:t>A+B" (apparent co-administration after a switch) are modified to "A</w:t>
      </w:r>
      <w:r w:rsidRPr="005E6C3B">
        <w:rPr>
          <w:rFonts w:cstheme="minorHAnsi"/>
          <w:lang w:val="en-US"/>
        </w:rPr>
        <w:sym w:font="Wingdings" w:char="F0E0"/>
      </w:r>
      <w:r w:rsidRPr="005E6C3B">
        <w:rPr>
          <w:rFonts w:cstheme="minorHAnsi"/>
          <w:lang w:val="en-US"/>
        </w:rPr>
        <w:t xml:space="preserve">B" from week 0 to week </w:t>
      </w:r>
      <w:r>
        <w:rPr>
          <w:rFonts w:cstheme="minorHAnsi"/>
          <w:lang w:val="en-US"/>
        </w:rPr>
        <w:t>Y</w:t>
      </w:r>
      <w:r w:rsidRPr="005E6C3B">
        <w:rPr>
          <w:rFonts w:cstheme="minorHAnsi"/>
          <w:lang w:val="en-US"/>
        </w:rPr>
        <w:t xml:space="preserve"> (where </w:t>
      </w:r>
      <w:r>
        <w:rPr>
          <w:rFonts w:cstheme="minorHAnsi"/>
          <w:lang w:val="en-US"/>
        </w:rPr>
        <w:t>Y</w:t>
      </w:r>
      <w:r w:rsidRPr="005E6C3B">
        <w:rPr>
          <w:rFonts w:cstheme="minorHAnsi"/>
          <w:lang w:val="en-US"/>
        </w:rPr>
        <w:t xml:space="preserve"> ≤</w:t>
      </w:r>
      <w:r>
        <w:rPr>
          <w:rFonts w:cstheme="minorHAnsi"/>
          <w:lang w:val="en-US"/>
        </w:rPr>
        <w:t xml:space="preserve"> X</w:t>
      </w:r>
      <w:r w:rsidRPr="005E6C3B">
        <w:rPr>
          <w:rFonts w:cstheme="minorHAnsi"/>
          <w:lang w:val="en-US"/>
        </w:rPr>
        <w:t>).</w:t>
      </w:r>
      <w:r>
        <w:rPr>
          <w:rFonts w:cstheme="minorHAnsi"/>
          <w:lang w:val="en-US"/>
        </w:rPr>
        <w:t xml:space="preserve"> The value of X is the 1 week + SCD (expressed in weeks) for the drug or drug group that is being substituted.</w:t>
      </w:r>
    </w:p>
    <w:p w14:paraId="0C6D5D19" w14:textId="77777777" w:rsidR="00CC7E61" w:rsidRPr="005E6C3B" w:rsidRDefault="00CC7E61" w:rsidP="00CC7E61">
      <w:pPr>
        <w:rPr>
          <w:rFonts w:cstheme="minorHAnsi"/>
          <w:lang w:val="en-US"/>
        </w:rPr>
      </w:pPr>
      <w:r w:rsidRPr="005E6C3B">
        <w:rPr>
          <w:rFonts w:cstheme="minorHAnsi"/>
          <w:lang w:val="en-US"/>
        </w:rPr>
        <w:t xml:space="preserve">This means that if </w:t>
      </w:r>
      <w:r>
        <w:rPr>
          <w:rFonts w:cstheme="minorHAnsi"/>
          <w:lang w:val="en-US"/>
        </w:rPr>
        <w:t xml:space="preserve">a drug A </w:t>
      </w:r>
      <w:r w:rsidRPr="005E6C3B">
        <w:rPr>
          <w:rFonts w:cstheme="minorHAnsi"/>
          <w:lang w:val="en-US"/>
        </w:rPr>
        <w:t xml:space="preserve">was supplied 1 day before an initiation to </w:t>
      </w:r>
      <w:r>
        <w:rPr>
          <w:rFonts w:cstheme="minorHAnsi"/>
          <w:lang w:val="en-US"/>
        </w:rPr>
        <w:t>drug B</w:t>
      </w:r>
      <w:r w:rsidRPr="005E6C3B">
        <w:rPr>
          <w:rFonts w:cstheme="minorHAnsi"/>
          <w:lang w:val="en-US"/>
        </w:rPr>
        <w:t xml:space="preserve"> and then there were no further supplies of </w:t>
      </w:r>
      <w:r>
        <w:rPr>
          <w:rFonts w:cstheme="minorHAnsi"/>
          <w:lang w:val="en-US"/>
        </w:rPr>
        <w:t>drug A</w:t>
      </w:r>
      <w:r w:rsidRPr="005E6C3B">
        <w:rPr>
          <w:rFonts w:cstheme="minorHAnsi"/>
          <w:lang w:val="en-US"/>
        </w:rPr>
        <w:t xml:space="preserve">, then there would be apparent co-administration of </w:t>
      </w:r>
      <w:r>
        <w:rPr>
          <w:rFonts w:cstheme="minorHAnsi"/>
          <w:lang w:val="en-US"/>
        </w:rPr>
        <w:t>A</w:t>
      </w:r>
      <w:r w:rsidRPr="005E6C3B">
        <w:rPr>
          <w:rFonts w:cstheme="minorHAnsi"/>
          <w:lang w:val="en-US"/>
        </w:rPr>
        <w:t xml:space="preserve"> and </w:t>
      </w:r>
      <w:r>
        <w:rPr>
          <w:rFonts w:cstheme="minorHAnsi"/>
          <w:lang w:val="en-US"/>
        </w:rPr>
        <w:t>B</w:t>
      </w:r>
      <w:r w:rsidRPr="005E6C3B">
        <w:rPr>
          <w:rFonts w:cstheme="minorHAnsi"/>
          <w:lang w:val="en-US"/>
        </w:rPr>
        <w:t xml:space="preserve"> from week 0 to week </w:t>
      </w:r>
      <w:r>
        <w:rPr>
          <w:rFonts w:cstheme="minorHAnsi"/>
          <w:lang w:val="en-US"/>
        </w:rPr>
        <w:t xml:space="preserve">X-1 and </w:t>
      </w:r>
      <w:r w:rsidRPr="005E6C3B">
        <w:rPr>
          <w:rFonts w:cstheme="minorHAnsi"/>
          <w:lang w:val="en-US"/>
        </w:rPr>
        <w:t xml:space="preserve">in week </w:t>
      </w:r>
      <w:r>
        <w:rPr>
          <w:rFonts w:cstheme="minorHAnsi"/>
          <w:lang w:val="en-US"/>
        </w:rPr>
        <w:t>X</w:t>
      </w:r>
      <w:r w:rsidRPr="005E6C3B">
        <w:rPr>
          <w:rFonts w:cstheme="minorHAnsi"/>
          <w:lang w:val="en-US"/>
        </w:rPr>
        <w:t xml:space="preserve"> the drug regimen would be </w:t>
      </w:r>
      <w:r>
        <w:rPr>
          <w:rFonts w:cstheme="minorHAnsi"/>
          <w:lang w:val="en-US"/>
        </w:rPr>
        <w:t>drug B</w:t>
      </w:r>
      <w:r w:rsidRPr="005E6C3B">
        <w:rPr>
          <w:rFonts w:cstheme="minorHAnsi"/>
          <w:lang w:val="en-US"/>
        </w:rPr>
        <w:t xml:space="preserve"> only and considered a switch</w:t>
      </w:r>
      <w:r>
        <w:rPr>
          <w:rFonts w:cstheme="minorHAnsi"/>
          <w:lang w:val="en-US"/>
        </w:rPr>
        <w:t>. Thus the regimens from weeks 0 to X-1 would be modified to be dug B only</w:t>
      </w:r>
      <w:r w:rsidRPr="005E6C3B">
        <w:rPr>
          <w:rFonts w:cstheme="minorHAnsi"/>
          <w:lang w:val="en-US"/>
        </w:rPr>
        <w:t xml:space="preserve">. If a switch is first detected in week </w:t>
      </w:r>
      <w:r>
        <w:rPr>
          <w:rFonts w:cstheme="minorHAnsi"/>
          <w:lang w:val="en-US"/>
        </w:rPr>
        <w:t xml:space="preserve">X +1 </w:t>
      </w:r>
      <w:r w:rsidRPr="005E6C3B">
        <w:rPr>
          <w:rFonts w:cstheme="minorHAnsi"/>
          <w:lang w:val="en-US"/>
        </w:rPr>
        <w:t xml:space="preserve">then the </w:t>
      </w:r>
      <w:r>
        <w:rPr>
          <w:rFonts w:cstheme="minorHAnsi"/>
          <w:lang w:val="en-US"/>
        </w:rPr>
        <w:t xml:space="preserve">A </w:t>
      </w:r>
      <w:r w:rsidRPr="005E6C3B">
        <w:rPr>
          <w:rFonts w:cstheme="minorHAnsi"/>
          <w:lang w:val="en-US"/>
        </w:rPr>
        <w:t xml:space="preserve">script would have been supplied in week 0 (i.e. at or after initiation to </w:t>
      </w:r>
      <w:r>
        <w:rPr>
          <w:rFonts w:cstheme="minorHAnsi"/>
          <w:lang w:val="en-US"/>
        </w:rPr>
        <w:t>drug B</w:t>
      </w:r>
      <w:r w:rsidRPr="005E6C3B">
        <w:rPr>
          <w:rFonts w:cstheme="minorHAnsi"/>
          <w:lang w:val="en-US"/>
        </w:rPr>
        <w:t xml:space="preserve">) and this would mean that the transition was not a switch, but an add. Thus the logic is only applied to weeks 0 to </w:t>
      </w:r>
      <w:r>
        <w:rPr>
          <w:rFonts w:cstheme="minorHAnsi"/>
          <w:lang w:val="en-US"/>
        </w:rPr>
        <w:t>X</w:t>
      </w:r>
      <w:r w:rsidRPr="005E6C3B">
        <w:rPr>
          <w:rFonts w:cstheme="minorHAnsi"/>
          <w:lang w:val="en-US"/>
        </w:rPr>
        <w:t xml:space="preserve">. </w:t>
      </w:r>
    </w:p>
    <w:p w14:paraId="5A994107" w14:textId="77777777" w:rsidR="00CC7E61" w:rsidRPr="005E6C3B" w:rsidRDefault="00CC7E61" w:rsidP="00CC7E61">
      <w:pPr>
        <w:rPr>
          <w:rFonts w:cstheme="minorHAnsi"/>
          <w:lang w:val="en-US"/>
        </w:rPr>
      </w:pPr>
      <w:r w:rsidRPr="005E6C3B">
        <w:rPr>
          <w:rFonts w:cstheme="minorHAnsi"/>
          <w:lang w:val="en-US"/>
        </w:rPr>
        <w:t>A transition is considered a switch if a drug in the regimen prior to initiation (the week=-1 regimen) is not in the regimen post initiation (i.e. the week=0 regimen).</w:t>
      </w:r>
      <w:r w:rsidRPr="005E6C3B">
        <w:rPr>
          <w:rFonts w:cstheme="minorHAnsi"/>
          <w:lang w:val="en-US"/>
        </w:rPr>
        <w:tab/>
      </w:r>
    </w:p>
    <w:p w14:paraId="4460852E" w14:textId="77777777" w:rsidR="00CC7E61" w:rsidRPr="005E6C3B" w:rsidRDefault="00CC7E61" w:rsidP="00CC7E61">
      <w:pPr>
        <w:rPr>
          <w:rFonts w:cstheme="minorHAnsi"/>
          <w:lang w:val="en-US"/>
        </w:rPr>
      </w:pPr>
      <w:r w:rsidRPr="005E6C3B">
        <w:rPr>
          <w:rFonts w:cstheme="minorHAnsi"/>
          <w:lang w:val="en-US"/>
        </w:rPr>
        <w:t>After this transition adjustment, the drug regimens can also be adjusted by using the regimen after the arrow in the adjusted regimen transition. That is, if a transition gets adjusted from A</w:t>
      </w:r>
      <w:r w:rsidRPr="005E6C3B">
        <w:rPr>
          <w:rFonts w:cstheme="minorHAnsi"/>
          <w:lang w:val="en-US"/>
        </w:rPr>
        <w:sym w:font="Wingdings" w:char="F0E0"/>
      </w:r>
      <w:r w:rsidRPr="005E6C3B">
        <w:rPr>
          <w:rFonts w:cstheme="minorHAnsi"/>
          <w:lang w:val="en-US"/>
        </w:rPr>
        <w:t>A+B to A</w:t>
      </w:r>
      <w:r w:rsidRPr="005E6C3B">
        <w:rPr>
          <w:rFonts w:cstheme="minorHAnsi"/>
          <w:lang w:val="en-US"/>
        </w:rPr>
        <w:sym w:font="Wingdings" w:char="F0E0"/>
      </w:r>
      <w:r w:rsidRPr="005E6C3B">
        <w:rPr>
          <w:rFonts w:cstheme="minorHAnsi"/>
          <w:lang w:val="en-US"/>
        </w:rPr>
        <w:t xml:space="preserve">B in week </w:t>
      </w:r>
      <w:r>
        <w:rPr>
          <w:rFonts w:cstheme="minorHAnsi"/>
          <w:lang w:val="en-US"/>
        </w:rPr>
        <w:t>Y</w:t>
      </w:r>
      <w:r w:rsidRPr="005E6C3B">
        <w:rPr>
          <w:rFonts w:cstheme="minorHAnsi"/>
          <w:lang w:val="en-US"/>
        </w:rPr>
        <w:t xml:space="preserve"> then the adjusted drug regimen for week </w:t>
      </w:r>
      <w:r>
        <w:rPr>
          <w:rFonts w:cstheme="minorHAnsi"/>
          <w:lang w:val="en-US"/>
        </w:rPr>
        <w:t>Y</w:t>
      </w:r>
      <w:r w:rsidRPr="005E6C3B">
        <w:rPr>
          <w:rFonts w:cstheme="minorHAnsi"/>
          <w:lang w:val="en-US"/>
        </w:rPr>
        <w:t xml:space="preserve"> changes from A+B to B. Thus even though the drug regimen is calculated first, its adjustment is dependent on both the regimen transition and adjusted regimen transition. Thus the sequence of calculations is;</w:t>
      </w:r>
    </w:p>
    <w:p w14:paraId="45E2152B" w14:textId="77777777" w:rsidR="00CC7E61" w:rsidRPr="005E6C3B" w:rsidRDefault="00CC7E61" w:rsidP="00CC7E61">
      <w:pPr>
        <w:pStyle w:val="ListParagraph"/>
        <w:numPr>
          <w:ilvl w:val="0"/>
          <w:numId w:val="15"/>
        </w:numPr>
        <w:spacing w:after="0"/>
        <w:rPr>
          <w:rFonts w:cstheme="minorHAnsi"/>
          <w:lang w:val="en-US"/>
        </w:rPr>
      </w:pPr>
      <w:r w:rsidRPr="005E6C3B">
        <w:rPr>
          <w:rFonts w:cstheme="minorHAnsi"/>
          <w:lang w:val="en-US"/>
        </w:rPr>
        <w:t>drug regimens</w:t>
      </w:r>
    </w:p>
    <w:p w14:paraId="0D52FC33" w14:textId="77777777" w:rsidR="00CC7E61" w:rsidRPr="005E6C3B" w:rsidRDefault="00CC7E61" w:rsidP="00CC7E61">
      <w:pPr>
        <w:pStyle w:val="ListParagraph"/>
        <w:numPr>
          <w:ilvl w:val="0"/>
          <w:numId w:val="15"/>
        </w:numPr>
        <w:spacing w:after="0"/>
        <w:rPr>
          <w:rFonts w:cstheme="minorHAnsi"/>
          <w:lang w:val="en-US"/>
        </w:rPr>
      </w:pPr>
      <w:r w:rsidRPr="005E6C3B">
        <w:rPr>
          <w:rFonts w:cstheme="minorHAnsi"/>
          <w:lang w:val="en-US"/>
        </w:rPr>
        <w:t>drug regimen transitions around initiation</w:t>
      </w:r>
    </w:p>
    <w:p w14:paraId="43A1E161" w14:textId="77777777" w:rsidR="00CC7E61" w:rsidRPr="005E6C3B" w:rsidRDefault="00CC7E61" w:rsidP="00CC7E61">
      <w:pPr>
        <w:pStyle w:val="ListParagraph"/>
        <w:numPr>
          <w:ilvl w:val="0"/>
          <w:numId w:val="15"/>
        </w:numPr>
        <w:spacing w:after="0"/>
        <w:rPr>
          <w:rFonts w:cstheme="minorHAnsi"/>
          <w:lang w:val="en-US"/>
        </w:rPr>
      </w:pPr>
      <w:r w:rsidRPr="005E6C3B">
        <w:rPr>
          <w:rFonts w:cstheme="minorHAnsi"/>
          <w:lang w:val="en-US"/>
        </w:rPr>
        <w:t>adjusted drug regimen transitions</w:t>
      </w:r>
    </w:p>
    <w:p w14:paraId="2C391F93" w14:textId="6A1FF5CD" w:rsidR="001E373F" w:rsidRDefault="00CC7E61" w:rsidP="004649AB">
      <w:pPr>
        <w:pStyle w:val="ListParagraph"/>
        <w:numPr>
          <w:ilvl w:val="0"/>
          <w:numId w:val="15"/>
        </w:numPr>
        <w:rPr>
          <w:rFonts w:cstheme="minorHAnsi"/>
          <w:lang w:val="en-US"/>
        </w:rPr>
      </w:pPr>
      <w:r w:rsidRPr="005E6C3B">
        <w:rPr>
          <w:rFonts w:cstheme="minorHAnsi"/>
          <w:lang w:val="en-US"/>
        </w:rPr>
        <w:t>adjusted drug regimens</w:t>
      </w:r>
    </w:p>
    <w:p w14:paraId="6725AF8F" w14:textId="21333702" w:rsidR="004649AB" w:rsidRDefault="004649AB" w:rsidP="004649AB">
      <w:pPr>
        <w:rPr>
          <w:rFonts w:cstheme="minorHAnsi"/>
        </w:rPr>
      </w:pPr>
      <w:r w:rsidRPr="004649AB">
        <w:rPr>
          <w:rFonts w:cstheme="minorHAnsi"/>
        </w:rPr>
        <w:t>The above adjustment process is reliant on having regard to drug initiations. If the analysis is for prevalent drug regimens only (i.e. regimens by calendar week and not relative to an initiation date) then the above adjustment is not possible. This is not a major problem as the overestimation of co-administration (e.g. A</w:t>
      </w:r>
      <w:r w:rsidRPr="005E6C3B">
        <w:sym w:font="Wingdings" w:char="F0E0"/>
      </w:r>
      <w:r w:rsidRPr="004649AB">
        <w:rPr>
          <w:rFonts w:cstheme="minorHAnsi"/>
        </w:rPr>
        <w:t>A+B instead of A</w:t>
      </w:r>
      <w:r w:rsidRPr="005E6C3B">
        <w:sym w:font="Wingdings" w:char="F0E0"/>
      </w:r>
      <w:r w:rsidRPr="004649AB">
        <w:rPr>
          <w:rFonts w:cstheme="minorHAnsi"/>
        </w:rPr>
        <w:t>B) is greatest in the month after initiation. In a prevalent patient analysis, patient initiations (to any and all drugs) are spread out in time (i.e. all patients do not generally initiate in the same week), and so the overestimation is also spread out over time and so minimised. In an initiating patient analysis, all over-estimations occur at the same time (as time is relative to the initiation week) and so the overestimation is significant and so needs to be adjusted for.  In theory in a prevalent patient analysis, it is possible to do an initiation analysis for every drug and so find adjusted drug regimens that can then be re-expressed in calendar weeks. In practice this is too resource intensive and is unlikely to be make a significant difference to the prevalent patient drug regimens.</w:t>
      </w:r>
    </w:p>
    <w:p w14:paraId="6A4EAE96" w14:textId="77777777" w:rsidR="00344683" w:rsidRPr="00344683" w:rsidRDefault="00344683" w:rsidP="00344683">
      <w:pPr>
        <w:rPr>
          <w:rFonts w:cstheme="minorHAnsi"/>
          <w:b/>
        </w:rPr>
      </w:pPr>
      <w:r w:rsidRPr="00344683">
        <w:rPr>
          <w:rFonts w:cstheme="minorHAnsi"/>
          <w:b/>
        </w:rPr>
        <w:t>3.</w:t>
      </w:r>
      <w:r w:rsidRPr="00344683">
        <w:rPr>
          <w:rFonts w:cstheme="minorHAnsi"/>
          <w:b/>
        </w:rPr>
        <w:tab/>
        <w:t>Adjustment to allow for stockpiling of medication, both same-day supply and supplies on different days</w:t>
      </w:r>
    </w:p>
    <w:p w14:paraId="678C915F" w14:textId="77777777" w:rsidR="00344683" w:rsidRPr="00344683" w:rsidRDefault="00344683" w:rsidP="00344683">
      <w:pPr>
        <w:rPr>
          <w:rFonts w:cstheme="minorHAnsi"/>
        </w:rPr>
      </w:pPr>
      <w:r w:rsidRPr="00344683">
        <w:rPr>
          <w:rFonts w:cstheme="minorHAnsi"/>
        </w:rPr>
        <w:lastRenderedPageBreak/>
        <w:t>The two step methodology outlined in point 1 and refined by logic in point 2 above did not take into account the phenomenon of stockpiling. This often occurs towards the end of the calendar year when a Safety Net card holder fills prescriptions more frequently than expected, so as to stockpile the medicine and avoid a higher co-payment in the next calendar year when they lose Safety Net eligibility. Stockpiling can also occur at other times of the year. Step 1 can impute higher rates of breaks in episodes around February. This is likely to be due to the stockpiling effect and not due to genuine breaks in treatment. Thus the rule to estimate the prescription coverage end date was modified to be the greater of;</w:t>
      </w:r>
    </w:p>
    <w:p w14:paraId="1FF500A1" w14:textId="77777777" w:rsidR="006044B8" w:rsidRDefault="00344683" w:rsidP="006044B8">
      <w:pPr>
        <w:pStyle w:val="ListParagraph"/>
        <w:numPr>
          <w:ilvl w:val="0"/>
          <w:numId w:val="16"/>
        </w:numPr>
        <w:ind w:left="360"/>
      </w:pPr>
      <w:r w:rsidRPr="00344683">
        <w:t>the predicted coverage end date of the previous prescription plus the standard coverage days (SCD); and,</w:t>
      </w:r>
    </w:p>
    <w:p w14:paraId="3ED67CE8" w14:textId="1525D31B" w:rsidR="001C7DA4" w:rsidRDefault="00344683" w:rsidP="006044B8">
      <w:pPr>
        <w:pStyle w:val="ListParagraph"/>
        <w:numPr>
          <w:ilvl w:val="0"/>
          <w:numId w:val="16"/>
        </w:numPr>
        <w:ind w:left="360"/>
      </w:pPr>
      <w:r w:rsidRPr="00344683">
        <w:t>the actual refill date of the previous prescription plus the SCD.</w:t>
      </w:r>
    </w:p>
    <w:p w14:paraId="61E42EF5" w14:textId="77777777" w:rsidR="004D5498" w:rsidRDefault="004D5498" w:rsidP="004D5498">
      <w:r>
        <w:t>This way of calculating the prescription coverage end date takes into account medication stockpiling (i.e. early supply). The logic of the break rule remained unchanged, that is;</w:t>
      </w:r>
    </w:p>
    <w:p w14:paraId="4FE7A475" w14:textId="22D37E57" w:rsidR="0056680F" w:rsidRDefault="004D5498" w:rsidP="004D5498">
      <w:pPr>
        <w:pStyle w:val="ListParagraph"/>
        <w:numPr>
          <w:ilvl w:val="0"/>
          <w:numId w:val="17"/>
        </w:numPr>
        <w:ind w:left="360"/>
      </w:pPr>
      <w:r>
        <w:t>a break was where a prescription was supplied 2 x SCD or more after the coverage end date of the previous prescription for the same drug or drug group.</w:t>
      </w:r>
    </w:p>
    <w:p w14:paraId="2FBC887C" w14:textId="77777777" w:rsidR="001408CC" w:rsidRDefault="001408CC" w:rsidP="001408CC">
      <w:r>
        <w:t>Application of this refinement results in the reduction of the extent of seasonality in the number of breaks in episodes.</w:t>
      </w:r>
    </w:p>
    <w:p w14:paraId="6ECCC2A7" w14:textId="77777777" w:rsidR="001408CC" w:rsidRDefault="001408CC" w:rsidP="001408CC">
      <w:r>
        <w:t>If multiple prescriptions of the same drug (but not the same strength) or drug group are supplied on the same day, it was assumed that these were necessary for the prescribed dose for the SCD and not for an extension of coverage.</w:t>
      </w:r>
    </w:p>
    <w:p w14:paraId="4054770E" w14:textId="77777777" w:rsidR="001408CC" w:rsidRDefault="001408CC" w:rsidP="001408CC">
      <w:r>
        <w:t>If multiple prescriptions of the same drug are supplied it is generally for two different strengths to enable the prescribed dose to be administered. If two prescriptions for the same strength (as opposed to increased quantity for a single script) are supplied, the method assumes this is similar to stockpiling (i.e. same day stockpiling) and the predicted coverage end date is extended to be the greater of;</w:t>
      </w:r>
    </w:p>
    <w:p w14:paraId="03682DA1" w14:textId="06E96129" w:rsidR="001408CC" w:rsidRDefault="001408CC" w:rsidP="001408CC">
      <w:pPr>
        <w:pStyle w:val="ListParagraph"/>
        <w:numPr>
          <w:ilvl w:val="0"/>
          <w:numId w:val="17"/>
        </w:numPr>
        <w:ind w:left="360"/>
      </w:pPr>
      <w:r>
        <w:t>the predicted coverage end date of the previous prescription plus n x SCD; and,</w:t>
      </w:r>
    </w:p>
    <w:p w14:paraId="4EAB2F49" w14:textId="53C1477F" w:rsidR="001408CC" w:rsidRDefault="001408CC" w:rsidP="008B5A18">
      <w:pPr>
        <w:pStyle w:val="ListParagraph"/>
        <w:numPr>
          <w:ilvl w:val="0"/>
          <w:numId w:val="17"/>
        </w:numPr>
        <w:spacing w:after="0"/>
        <w:ind w:left="360"/>
      </w:pPr>
      <w:r>
        <w:t>the actual refill date of the previous prescription plus n x SCD</w:t>
      </w:r>
    </w:p>
    <w:p w14:paraId="1841ED65" w14:textId="77777777" w:rsidR="001408CC" w:rsidRDefault="001408CC" w:rsidP="001408CC">
      <w:r>
        <w:t>where n = number of prescriptions on the same day.</w:t>
      </w:r>
    </w:p>
    <w:p w14:paraId="343D086B" w14:textId="77777777" w:rsidR="001408CC" w:rsidRDefault="001408CC" w:rsidP="001408CC">
      <w:r>
        <w:t>A special case of multiple prescriptions being supplied on the same day is Regulation 24 prescriptions.</w:t>
      </w:r>
    </w:p>
    <w:p w14:paraId="45F26C75" w14:textId="2478CAB6" w:rsidR="005C6E89" w:rsidRDefault="001408CC" w:rsidP="001408CC">
      <w:r>
        <w:t>If the original and repeat prescriptions were supplied under Regulation 24 on the same day, then this was assumed to extend the coverage period (i.e. coverage period = prescriptions x SCD).</w:t>
      </w:r>
    </w:p>
    <w:p w14:paraId="0B9D582B" w14:textId="5DEDFBF8" w:rsidR="00B36160" w:rsidRDefault="00B36160" w:rsidP="00B36160">
      <w:r w:rsidRPr="00B36160">
        <w:rPr>
          <w:b/>
        </w:rPr>
        <w:t>4.</w:t>
      </w:r>
      <w:r w:rsidRPr="00B36160">
        <w:rPr>
          <w:b/>
        </w:rPr>
        <w:tab/>
        <w:t>Change in the rules for prescriptions whose coverage spans the initiation data</w:t>
      </w:r>
      <w:r w:rsidR="005C5A77" w:rsidRPr="00B36160">
        <w:rPr>
          <w:b/>
        </w:rPr>
        <w:t>; -</w:t>
      </w:r>
      <w:r w:rsidRPr="00B36160">
        <w:rPr>
          <w:b/>
        </w:rPr>
        <w:t xml:space="preserve"> removal of stockpiling rule</w:t>
      </w:r>
    </w:p>
    <w:p w14:paraId="2E4C20C5" w14:textId="77777777" w:rsidR="00B36160" w:rsidRDefault="00B36160" w:rsidP="00B36160">
      <w:r>
        <w:t xml:space="preserve">It was found that the stockpiling rule could result in the script coverage end date getting considerably ahead of the script supply date. This is the intent of the rule, however when a new drug B was initiated the stockpiling rules was resulting in the imputation that the new </w:t>
      </w:r>
      <w:r>
        <w:lastRenderedPageBreak/>
        <w:t>drug B was being added to an existing drug A, when in all probability it was substituting drug A. To correct for this, the script coverage rule was changed so that if the script coverage period for a drug A script included the initiation date for drug B, then the stockpiling rule would not apply to the drug A script (i.e. its coverage would be from its supply date to the supply date + SCD). The rationale for this change is that even if patient has a lot of drug A on hand, the decision by the prescriber to initiate a new drug means that a switch could have occurred.</w:t>
      </w:r>
    </w:p>
    <w:p w14:paraId="3991F36B" w14:textId="77777777" w:rsidR="00B36160" w:rsidRPr="00DB0EA9" w:rsidRDefault="00B36160" w:rsidP="00B36160">
      <w:pPr>
        <w:rPr>
          <w:b/>
        </w:rPr>
      </w:pPr>
      <w:r w:rsidRPr="00DB0EA9">
        <w:rPr>
          <w:b/>
        </w:rPr>
        <w:t>5.</w:t>
      </w:r>
      <w:r w:rsidRPr="00DB0EA9">
        <w:rPr>
          <w:b/>
        </w:rPr>
        <w:tab/>
        <w:t>Estimating if a patient is continuing or stopping after their last script</w:t>
      </w:r>
    </w:p>
    <w:p w14:paraId="0E610F38" w14:textId="4D04F2EC" w:rsidR="00D744FB" w:rsidRDefault="00B36160" w:rsidP="00B36160">
      <w:r>
        <w:t>If the last script in a patients script history is supplied within 2 x SCD of the end of the data period then the treatment is estimated to be continuing at the end of the data period (i.e. the episode coverage end date is set to the end date of the data period). Otherwise the treatment episode is estimated to have stopped and the episode coverage end date is equal to If the last script in a patients script history plus 1 x SCD</w:t>
      </w:r>
      <w:r w:rsidR="00250C9D">
        <w:t>.</w:t>
      </w:r>
    </w:p>
    <w:p w14:paraId="1C40DAE5" w14:textId="757B18AF" w:rsidR="00DD1256" w:rsidRPr="0091074E" w:rsidRDefault="0070484D" w:rsidP="00DD1256">
      <w:pPr>
        <w:pStyle w:val="Tableheading"/>
        <w:jc w:val="left"/>
      </w:pPr>
      <w:r>
        <w:t>Table A</w:t>
      </w:r>
      <w:r w:rsidR="00DD1256">
        <w:t xml:space="preserve">1: </w:t>
      </w:r>
      <w:r w:rsidR="00DD1256" w:rsidRPr="0091074E">
        <w:t>Standard Coverage Days used in this analysis</w:t>
      </w:r>
    </w:p>
    <w:tbl>
      <w:tblPr>
        <w:tblStyle w:val="TableGrid"/>
        <w:tblW w:w="4912" w:type="pct"/>
        <w:tblInd w:w="108" w:type="dxa"/>
        <w:tblLook w:val="04A0" w:firstRow="1" w:lastRow="0" w:firstColumn="1" w:lastColumn="0" w:noHBand="0" w:noVBand="1"/>
        <w:tblCaption w:val="Table A1 describes the standard coverage days used in the analysis"/>
        <w:tblDescription w:val="It lists the drug or drug group and the median time to re-supply by any item of the same drug or drug group"/>
      </w:tblPr>
      <w:tblGrid>
        <w:gridCol w:w="2030"/>
        <w:gridCol w:w="6982"/>
      </w:tblGrid>
      <w:tr w:rsidR="00DD1256" w14:paraId="7ABFE522" w14:textId="77777777" w:rsidTr="00F518B8">
        <w:trPr>
          <w:trHeight w:val="866"/>
          <w:tblHeader/>
        </w:trPr>
        <w:tc>
          <w:tcPr>
            <w:tcW w:w="1126" w:type="pct"/>
          </w:tcPr>
          <w:p w14:paraId="7F1A31F2" w14:textId="77777777" w:rsidR="00DD1256" w:rsidRDefault="00DD1256" w:rsidP="006577FD">
            <w:pPr>
              <w:rPr>
                <w:rFonts w:cstheme="minorHAnsi"/>
              </w:rPr>
            </w:pPr>
            <w:r>
              <w:rPr>
                <w:rFonts w:cstheme="minorHAnsi"/>
              </w:rPr>
              <w:t>Drug or Drug Group</w:t>
            </w:r>
          </w:p>
        </w:tc>
        <w:tc>
          <w:tcPr>
            <w:tcW w:w="3874" w:type="pct"/>
          </w:tcPr>
          <w:p w14:paraId="2AFB0372" w14:textId="77777777" w:rsidR="00DD1256" w:rsidRDefault="00DD1256" w:rsidP="006577FD">
            <w:pPr>
              <w:rPr>
                <w:rFonts w:cstheme="minorHAnsi"/>
              </w:rPr>
            </w:pPr>
            <w:r>
              <w:rPr>
                <w:rFonts w:cstheme="minorHAnsi"/>
              </w:rPr>
              <w:t>Standard Coverage Days</w:t>
            </w:r>
            <w:r>
              <w:rPr>
                <w:rFonts w:cstheme="minorHAnsi"/>
              </w:rPr>
              <w:br/>
              <w:t>(i.e. Median time to re-supply by any item of the same drug or drug group)</w:t>
            </w:r>
          </w:p>
        </w:tc>
      </w:tr>
      <w:tr w:rsidR="00DD1256" w14:paraId="42A0A93F" w14:textId="77777777" w:rsidTr="006202D6">
        <w:trPr>
          <w:trHeight w:val="277"/>
        </w:trPr>
        <w:tc>
          <w:tcPr>
            <w:tcW w:w="1126" w:type="pct"/>
          </w:tcPr>
          <w:p w14:paraId="2EC63673" w14:textId="77777777" w:rsidR="00DD1256" w:rsidRPr="000B27D8" w:rsidRDefault="00DD1256" w:rsidP="006577FD">
            <w:r w:rsidRPr="000B27D8">
              <w:t>Acarbose</w:t>
            </w:r>
          </w:p>
        </w:tc>
        <w:tc>
          <w:tcPr>
            <w:tcW w:w="3874" w:type="pct"/>
          </w:tcPr>
          <w:p w14:paraId="05239F3D" w14:textId="77777777" w:rsidR="00DD1256" w:rsidRPr="00401CD5" w:rsidRDefault="00DD1256" w:rsidP="006577FD">
            <w:r w:rsidRPr="00401CD5">
              <w:t>31</w:t>
            </w:r>
          </w:p>
        </w:tc>
      </w:tr>
      <w:tr w:rsidR="00DD1256" w14:paraId="3799B053" w14:textId="77777777" w:rsidTr="006202D6">
        <w:trPr>
          <w:trHeight w:val="277"/>
        </w:trPr>
        <w:tc>
          <w:tcPr>
            <w:tcW w:w="1126" w:type="pct"/>
          </w:tcPr>
          <w:p w14:paraId="2889B7AB" w14:textId="77777777" w:rsidR="00DD1256" w:rsidRPr="000B27D8" w:rsidRDefault="00DD1256" w:rsidP="006577FD">
            <w:r w:rsidRPr="000B27D8">
              <w:t>Antiemetic</w:t>
            </w:r>
          </w:p>
        </w:tc>
        <w:tc>
          <w:tcPr>
            <w:tcW w:w="3874" w:type="pct"/>
          </w:tcPr>
          <w:p w14:paraId="4657F689" w14:textId="77777777" w:rsidR="00DD1256" w:rsidRPr="00401CD5" w:rsidRDefault="00DD1256" w:rsidP="006577FD">
            <w:r w:rsidRPr="00401CD5">
              <w:t>35</w:t>
            </w:r>
          </w:p>
        </w:tc>
      </w:tr>
      <w:tr w:rsidR="00DD1256" w14:paraId="26A3F049" w14:textId="77777777" w:rsidTr="006202D6">
        <w:trPr>
          <w:trHeight w:val="277"/>
        </w:trPr>
        <w:tc>
          <w:tcPr>
            <w:tcW w:w="1126" w:type="pct"/>
          </w:tcPr>
          <w:p w14:paraId="1E0E2FBB" w14:textId="77777777" w:rsidR="00DD1256" w:rsidRPr="000B27D8" w:rsidRDefault="00DD1256" w:rsidP="006577FD">
            <w:r w:rsidRPr="000B27D8">
              <w:t>Dapagliflozin</w:t>
            </w:r>
          </w:p>
        </w:tc>
        <w:tc>
          <w:tcPr>
            <w:tcW w:w="3874" w:type="pct"/>
          </w:tcPr>
          <w:p w14:paraId="2149C8AA" w14:textId="77777777" w:rsidR="00DD1256" w:rsidRPr="00401CD5" w:rsidRDefault="00DD1256" w:rsidP="006577FD">
            <w:r w:rsidRPr="00401CD5">
              <w:t>2</w:t>
            </w:r>
            <w:r>
              <w:t>8*</w:t>
            </w:r>
          </w:p>
        </w:tc>
      </w:tr>
      <w:tr w:rsidR="00DD1256" w14:paraId="4D085EF8" w14:textId="77777777" w:rsidTr="006202D6">
        <w:trPr>
          <w:trHeight w:val="277"/>
        </w:trPr>
        <w:tc>
          <w:tcPr>
            <w:tcW w:w="1126" w:type="pct"/>
          </w:tcPr>
          <w:p w14:paraId="7A45E1C7" w14:textId="77777777" w:rsidR="00DD1256" w:rsidRPr="000B27D8" w:rsidRDefault="00DD1256" w:rsidP="006577FD">
            <w:r w:rsidRPr="000B27D8">
              <w:t>Exenatide</w:t>
            </w:r>
          </w:p>
        </w:tc>
        <w:tc>
          <w:tcPr>
            <w:tcW w:w="3874" w:type="pct"/>
          </w:tcPr>
          <w:p w14:paraId="65F39783" w14:textId="77777777" w:rsidR="00DD1256" w:rsidRPr="00401CD5" w:rsidRDefault="00DD1256" w:rsidP="006577FD">
            <w:r w:rsidRPr="00401CD5">
              <w:t>32</w:t>
            </w:r>
          </w:p>
        </w:tc>
      </w:tr>
      <w:tr w:rsidR="00DD1256" w14:paraId="378292DD" w14:textId="77777777" w:rsidTr="006202D6">
        <w:trPr>
          <w:trHeight w:val="295"/>
        </w:trPr>
        <w:tc>
          <w:tcPr>
            <w:tcW w:w="1126" w:type="pct"/>
          </w:tcPr>
          <w:p w14:paraId="55303CE3" w14:textId="77777777" w:rsidR="00DD1256" w:rsidRPr="000B27D8" w:rsidRDefault="00DD1256" w:rsidP="006577FD">
            <w:r w:rsidRPr="000B27D8">
              <w:t>Gliptin</w:t>
            </w:r>
          </w:p>
        </w:tc>
        <w:tc>
          <w:tcPr>
            <w:tcW w:w="3874" w:type="pct"/>
          </w:tcPr>
          <w:p w14:paraId="369CC6C7" w14:textId="77777777" w:rsidR="00DD1256" w:rsidRPr="00401CD5" w:rsidRDefault="00DD1256" w:rsidP="006577FD">
            <w:r w:rsidRPr="00401CD5">
              <w:t>29</w:t>
            </w:r>
          </w:p>
        </w:tc>
      </w:tr>
      <w:tr w:rsidR="00DD1256" w14:paraId="56406A98" w14:textId="77777777" w:rsidTr="006202D6">
        <w:trPr>
          <w:trHeight w:val="277"/>
        </w:trPr>
        <w:tc>
          <w:tcPr>
            <w:tcW w:w="1126" w:type="pct"/>
          </w:tcPr>
          <w:p w14:paraId="27490892" w14:textId="77777777" w:rsidR="00DD1256" w:rsidRPr="000B27D8" w:rsidRDefault="00DD1256" w:rsidP="006577FD">
            <w:r w:rsidRPr="000B27D8">
              <w:t>Insulin</w:t>
            </w:r>
          </w:p>
        </w:tc>
        <w:tc>
          <w:tcPr>
            <w:tcW w:w="3874" w:type="pct"/>
          </w:tcPr>
          <w:p w14:paraId="37DA8C2D" w14:textId="77777777" w:rsidR="00DD1256" w:rsidRPr="00401CD5" w:rsidRDefault="00DD1256" w:rsidP="006577FD">
            <w:r w:rsidRPr="00401CD5">
              <w:t>8</w:t>
            </w:r>
            <w:r>
              <w:t>0</w:t>
            </w:r>
          </w:p>
        </w:tc>
      </w:tr>
      <w:tr w:rsidR="00DD1256" w14:paraId="3D9CE696" w14:textId="77777777" w:rsidTr="006202D6">
        <w:trPr>
          <w:trHeight w:val="277"/>
        </w:trPr>
        <w:tc>
          <w:tcPr>
            <w:tcW w:w="1126" w:type="pct"/>
          </w:tcPr>
          <w:p w14:paraId="004637AB" w14:textId="77777777" w:rsidR="00DD1256" w:rsidRPr="000B27D8" w:rsidRDefault="00DD1256" w:rsidP="006577FD">
            <w:r w:rsidRPr="000B27D8">
              <w:t>MetGlipCombo</w:t>
            </w:r>
          </w:p>
        </w:tc>
        <w:tc>
          <w:tcPr>
            <w:tcW w:w="3874" w:type="pct"/>
          </w:tcPr>
          <w:p w14:paraId="20D2448F" w14:textId="77777777" w:rsidR="00DD1256" w:rsidRPr="00401CD5" w:rsidRDefault="00DD1256" w:rsidP="006577FD">
            <w:r w:rsidRPr="00401CD5">
              <w:t>29</w:t>
            </w:r>
          </w:p>
        </w:tc>
      </w:tr>
      <w:tr w:rsidR="00DD1256" w14:paraId="3DE4B82C" w14:textId="77777777" w:rsidTr="006202D6">
        <w:trPr>
          <w:trHeight w:val="277"/>
        </w:trPr>
        <w:tc>
          <w:tcPr>
            <w:tcW w:w="1126" w:type="pct"/>
          </w:tcPr>
          <w:p w14:paraId="4746D90A" w14:textId="77777777" w:rsidR="00DD1256" w:rsidRPr="000B27D8" w:rsidRDefault="00DD1256" w:rsidP="006577FD">
            <w:r w:rsidRPr="000B27D8">
              <w:t>MetRosiCombo</w:t>
            </w:r>
          </w:p>
        </w:tc>
        <w:tc>
          <w:tcPr>
            <w:tcW w:w="3874" w:type="pct"/>
          </w:tcPr>
          <w:p w14:paraId="04013897" w14:textId="77777777" w:rsidR="00DD1256" w:rsidRPr="00401CD5" w:rsidRDefault="00DD1256" w:rsidP="006577FD">
            <w:r w:rsidRPr="00401CD5">
              <w:t>30</w:t>
            </w:r>
          </w:p>
        </w:tc>
      </w:tr>
      <w:tr w:rsidR="00DD1256" w14:paraId="416F814C" w14:textId="77777777" w:rsidTr="006202D6">
        <w:trPr>
          <w:trHeight w:val="277"/>
        </w:trPr>
        <w:tc>
          <w:tcPr>
            <w:tcW w:w="1126" w:type="pct"/>
          </w:tcPr>
          <w:p w14:paraId="0A7A361F" w14:textId="77777777" w:rsidR="00DD1256" w:rsidRPr="000B27D8" w:rsidRDefault="00DD1256" w:rsidP="006577FD">
            <w:r w:rsidRPr="000B27D8">
              <w:t>MetSulfCombo</w:t>
            </w:r>
          </w:p>
        </w:tc>
        <w:tc>
          <w:tcPr>
            <w:tcW w:w="3874" w:type="pct"/>
          </w:tcPr>
          <w:p w14:paraId="0D7AF757" w14:textId="77777777" w:rsidR="00DD1256" w:rsidRPr="00401CD5" w:rsidRDefault="00DD1256" w:rsidP="006577FD">
            <w:r w:rsidRPr="00401CD5">
              <w:t>27</w:t>
            </w:r>
          </w:p>
        </w:tc>
      </w:tr>
      <w:tr w:rsidR="00DD1256" w14:paraId="3E2484F3" w14:textId="77777777" w:rsidTr="006202D6">
        <w:trPr>
          <w:trHeight w:val="295"/>
        </w:trPr>
        <w:tc>
          <w:tcPr>
            <w:tcW w:w="1126" w:type="pct"/>
          </w:tcPr>
          <w:p w14:paraId="6DC01F64" w14:textId="77777777" w:rsidR="00DD1256" w:rsidRPr="000B27D8" w:rsidRDefault="00DD1256" w:rsidP="006577FD">
            <w:r w:rsidRPr="000B27D8">
              <w:t>Metformin</w:t>
            </w:r>
          </w:p>
        </w:tc>
        <w:tc>
          <w:tcPr>
            <w:tcW w:w="3874" w:type="pct"/>
          </w:tcPr>
          <w:p w14:paraId="7E8136E9" w14:textId="77777777" w:rsidR="00DD1256" w:rsidRPr="00401CD5" w:rsidRDefault="00DD1256" w:rsidP="006577FD">
            <w:r w:rsidRPr="00401CD5">
              <w:t>32</w:t>
            </w:r>
          </w:p>
        </w:tc>
      </w:tr>
      <w:tr w:rsidR="00DD1256" w14:paraId="516E8F2F" w14:textId="77777777" w:rsidTr="006202D6">
        <w:trPr>
          <w:trHeight w:val="277"/>
        </w:trPr>
        <w:tc>
          <w:tcPr>
            <w:tcW w:w="1126" w:type="pct"/>
          </w:tcPr>
          <w:p w14:paraId="1A0D454E" w14:textId="77777777" w:rsidR="00DD1256" w:rsidRPr="000B27D8" w:rsidRDefault="00DD1256" w:rsidP="006577FD">
            <w:r w:rsidRPr="000B27D8">
              <w:t>Pioglitazone</w:t>
            </w:r>
          </w:p>
        </w:tc>
        <w:tc>
          <w:tcPr>
            <w:tcW w:w="3874" w:type="pct"/>
          </w:tcPr>
          <w:p w14:paraId="0A2891D0" w14:textId="77777777" w:rsidR="00DD1256" w:rsidRPr="00401CD5" w:rsidRDefault="00DD1256" w:rsidP="006577FD">
            <w:r w:rsidRPr="00401CD5">
              <w:t>29</w:t>
            </w:r>
          </w:p>
        </w:tc>
      </w:tr>
      <w:tr w:rsidR="00DD1256" w14:paraId="3980F050" w14:textId="77777777" w:rsidTr="006202D6">
        <w:trPr>
          <w:trHeight w:val="277"/>
        </w:trPr>
        <w:tc>
          <w:tcPr>
            <w:tcW w:w="1126" w:type="pct"/>
          </w:tcPr>
          <w:p w14:paraId="1977E7E0" w14:textId="77777777" w:rsidR="00DD1256" w:rsidRPr="000B27D8" w:rsidRDefault="00DD1256" w:rsidP="006577FD">
            <w:r w:rsidRPr="000B27D8">
              <w:t>Rosiglitazone</w:t>
            </w:r>
          </w:p>
        </w:tc>
        <w:tc>
          <w:tcPr>
            <w:tcW w:w="3874" w:type="pct"/>
          </w:tcPr>
          <w:p w14:paraId="28074223" w14:textId="77777777" w:rsidR="00DD1256" w:rsidRPr="00401CD5" w:rsidRDefault="00DD1256" w:rsidP="006577FD">
            <w:r w:rsidRPr="00401CD5">
              <w:t>28</w:t>
            </w:r>
          </w:p>
        </w:tc>
      </w:tr>
      <w:tr w:rsidR="00DD1256" w14:paraId="5C005BB5" w14:textId="77777777" w:rsidTr="006202D6">
        <w:trPr>
          <w:trHeight w:val="295"/>
        </w:trPr>
        <w:tc>
          <w:tcPr>
            <w:tcW w:w="1126" w:type="pct"/>
          </w:tcPr>
          <w:p w14:paraId="228FFE5D" w14:textId="77777777" w:rsidR="00DD1256" w:rsidRDefault="00DD1256" w:rsidP="006577FD">
            <w:r w:rsidRPr="000B27D8">
              <w:t>Sulfonylurea</w:t>
            </w:r>
          </w:p>
        </w:tc>
        <w:tc>
          <w:tcPr>
            <w:tcW w:w="3874" w:type="pct"/>
          </w:tcPr>
          <w:p w14:paraId="091DEC56" w14:textId="77777777" w:rsidR="00DD1256" w:rsidRDefault="00DD1256" w:rsidP="006577FD">
            <w:r w:rsidRPr="00401CD5">
              <w:t>31</w:t>
            </w:r>
          </w:p>
        </w:tc>
      </w:tr>
    </w:tbl>
    <w:p w14:paraId="0368229F" w14:textId="3C3C3187" w:rsidR="00250C9D" w:rsidRDefault="00DD1256" w:rsidP="0070484D">
      <w:pPr>
        <w:pStyle w:val="Figurecaption"/>
      </w:pPr>
      <w:r>
        <w:t>* The number of dapagliflozin prescriptions included in the analysis is small and so the estimate is uncertain.</w:t>
      </w:r>
    </w:p>
    <w:p w14:paraId="1C9242C5" w14:textId="5F747FDC" w:rsidR="00B02663" w:rsidRDefault="00B02663">
      <w:pPr>
        <w:spacing w:line="276" w:lineRule="auto"/>
      </w:pPr>
      <w:r>
        <w:br w:type="page"/>
      </w:r>
    </w:p>
    <w:p w14:paraId="1359F5F6" w14:textId="0FCBA0C7" w:rsidR="00F1270F" w:rsidRDefault="00190D16" w:rsidP="00FC7BF0">
      <w:pPr>
        <w:pStyle w:val="Heading4"/>
      </w:pPr>
      <w:r>
        <w:lastRenderedPageBreak/>
        <w:t>Appendix B</w:t>
      </w:r>
      <w:r w:rsidR="00B02663">
        <w:t xml:space="preserve">: </w:t>
      </w:r>
      <w:r w:rsidR="00B02663">
        <w:br/>
        <w:t>Estimated drug regimens for “Concession Only” patients</w:t>
      </w:r>
    </w:p>
    <w:p w14:paraId="32AE1FC6" w14:textId="77777777" w:rsidR="00261985" w:rsidRDefault="00261985" w:rsidP="00261985">
      <w:r>
        <w:t>The “Concession Only” cohort is defined as those patients who initiated exenatide in the period August 2010 to March 2014 inclusive and who did not have a General Patient script in the period July 2009 to March 2014.</w:t>
      </w:r>
    </w:p>
    <w:p w14:paraId="0786807B" w14:textId="0CD9675E" w:rsidR="00261985" w:rsidRDefault="00261985" w:rsidP="00261985">
      <w:r>
        <w:t>It is possible to show a longer time series of drug regimens for “Concession Only” patients as patient level under-</w:t>
      </w:r>
      <w:r w:rsidR="005C5A77">
        <w:t>co-payment</w:t>
      </w:r>
      <w:r>
        <w:t xml:space="preserve"> prescriptions were not required to estimate drug regimens.</w:t>
      </w:r>
    </w:p>
    <w:p w14:paraId="42475B7D" w14:textId="45E2B4AF" w:rsidR="00261985" w:rsidRDefault="002C69A2" w:rsidP="00261985">
      <w:r>
        <w:rPr>
          <w:noProof/>
        </w:rPr>
        <w:drawing>
          <wp:inline distT="0" distB="0" distL="0" distR="0" wp14:anchorId="253A6907" wp14:editId="46F50354">
            <wp:extent cx="5687695" cy="3678228"/>
            <wp:effectExtent l="0" t="0" r="8255" b="0"/>
            <wp:docPr id="2" name="Chart 2" title="Figure C.1 shows the top 10 exenatide containing regimens for Concession Only pati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5AFDB25" w14:textId="0CF3B9EF" w:rsidR="00686559" w:rsidRDefault="002C69A2" w:rsidP="002C69A2">
      <w:pPr>
        <w:pStyle w:val="Figuretitle"/>
      </w:pPr>
      <w:r w:rsidRPr="002C69A2">
        <w:t>Figure C.1: Top 10 exenatide containing regimens for Concession Only patients</w:t>
      </w:r>
    </w:p>
    <w:p w14:paraId="7D30C8E2" w14:textId="77777777" w:rsidR="00686559" w:rsidRDefault="00686559">
      <w:pPr>
        <w:spacing w:line="276" w:lineRule="auto"/>
        <w:rPr>
          <w:rFonts w:cs="Arial"/>
          <w:b/>
        </w:rPr>
      </w:pPr>
      <w:r>
        <w:br w:type="page"/>
      </w:r>
    </w:p>
    <w:p w14:paraId="25D65B04" w14:textId="1B97A568" w:rsidR="00FE645A" w:rsidRDefault="00A4020E" w:rsidP="001B4788">
      <w:pPr>
        <w:pStyle w:val="Heading3"/>
      </w:pPr>
      <w:r w:rsidRPr="00A4020E">
        <w:lastRenderedPageBreak/>
        <w:t>Disclaimer</w:t>
      </w:r>
    </w:p>
    <w:p w14:paraId="477D7D94" w14:textId="739898AB" w:rsidR="000B268E" w:rsidRPr="000B268E" w:rsidRDefault="000B268E" w:rsidP="00125FC2">
      <w:r w:rsidRPr="000B268E">
        <w:t>The information provided in this report does not constitute medical advice and is not intended to take the place of profe</w:t>
      </w:r>
      <w:r w:rsidR="00F11CFC">
        <w:t xml:space="preserve">ssional medical advice or care.  </w:t>
      </w:r>
      <w:r w:rsidRPr="000B268E">
        <w:t>It is not intended to define what constitutes reasonable, appropriate or best care for any individual for any given health issue.</w:t>
      </w:r>
      <w:r w:rsidR="00E628EA">
        <w:t xml:space="preserve">  </w:t>
      </w:r>
      <w:r w:rsidRPr="000B268E">
        <w:t>The information should not be used as a substitute for the judgement and skill of a medical practitioner.</w:t>
      </w:r>
    </w:p>
    <w:p w14:paraId="34477926" w14:textId="601956EB" w:rsidR="000B268E" w:rsidRPr="000B268E" w:rsidRDefault="000B268E" w:rsidP="00125FC2">
      <w:r w:rsidRPr="000B268E">
        <w:t>The Department of Health (DoH) has made all reasonable efforts to ensure that information provided in this report is accurate. The information provided in this report was up-to-date when it was considered by the Drug Utilisation Sub-committee of the Pharmaceutic</w:t>
      </w:r>
      <w:r w:rsidR="00F11CFC">
        <w:t xml:space="preserve">al Benefits Advisory Committee.  </w:t>
      </w:r>
      <w:r w:rsidRPr="000B268E">
        <w:t>The context for that information may have changed since publication.</w:t>
      </w:r>
    </w:p>
    <w:p w14:paraId="34FF6D3D" w14:textId="77777777" w:rsidR="000B268E" w:rsidRPr="000B268E" w:rsidRDefault="000B268E" w:rsidP="00125FC2">
      <w:r w:rsidRPr="000B268E">
        <w:t xml:space="preserve">To the extent provided by law, DoH makes no warranties or representations as to accuracy or completeness of information contained in this report. </w:t>
      </w:r>
    </w:p>
    <w:p w14:paraId="1F8EAE28" w14:textId="460E8D1C" w:rsidR="005C4023" w:rsidRPr="000B268E" w:rsidRDefault="000B268E" w:rsidP="00125FC2">
      <w:r w:rsidRPr="000B268E">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5C4023" w:rsidRPr="000B268E" w:rsidSect="00945324">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B962CB" w:rsidRDefault="00B962CB" w:rsidP="00A35800">
      <w:r>
        <w:separator/>
      </w:r>
    </w:p>
  </w:endnote>
  <w:endnote w:type="continuationSeparator" w:id="0">
    <w:p w14:paraId="45A4A8C8" w14:textId="77777777" w:rsidR="00B962CB" w:rsidRDefault="00B962CB"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00000000"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B962CB" w:rsidRDefault="00B962CB"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B962CB" w:rsidRDefault="00B962CB"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19521"/>
      <w:docPartObj>
        <w:docPartGallery w:val="Page Numbers (Bottom of Page)"/>
        <w:docPartUnique/>
      </w:docPartObj>
    </w:sdtPr>
    <w:sdtEndPr/>
    <w:sdtContent>
      <w:sdt>
        <w:sdtPr>
          <w:id w:val="860082579"/>
          <w:docPartObj>
            <w:docPartGallery w:val="Page Numbers (Top of Page)"/>
            <w:docPartUnique/>
          </w:docPartObj>
        </w:sdtPr>
        <w:sdtEndPr/>
        <w:sdtContent>
          <w:p w14:paraId="2C33146D" w14:textId="67FBB389" w:rsidR="00B962CB" w:rsidRPr="00CB6ABE" w:rsidRDefault="00B962CB" w:rsidP="00CB6ABE">
            <w:pPr>
              <w:pStyle w:val="Footer"/>
              <w:jc w:val="center"/>
              <w:rPr>
                <w:i/>
                <w:sz w:val="20"/>
                <w:szCs w:val="20"/>
              </w:rPr>
            </w:pPr>
            <w:r>
              <w:rPr>
                <w:i/>
                <w:sz w:val="20"/>
                <w:szCs w:val="20"/>
              </w:rPr>
              <w:t>Public Release Document, October 2014 DUSC Meeting</w:t>
            </w:r>
          </w:p>
          <w:p w14:paraId="16541DE1" w14:textId="3EA36B32" w:rsidR="00B962CB" w:rsidRDefault="00B962CB" w:rsidP="00CB6ABE">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1E681C">
              <w:rPr>
                <w:bCs/>
                <w:i/>
                <w:noProof/>
                <w:sz w:val="20"/>
                <w:szCs w:val="20"/>
              </w:rPr>
              <w:t>3</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1E681C">
              <w:rPr>
                <w:bCs/>
                <w:i/>
                <w:noProof/>
                <w:sz w:val="20"/>
                <w:szCs w:val="20"/>
              </w:rPr>
              <w:t>33</w:t>
            </w:r>
            <w:r w:rsidRPr="00CB6ABE">
              <w:rPr>
                <w:bCs/>
                <w:i/>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93DE" w14:textId="77777777" w:rsidR="00B962CB" w:rsidRDefault="00B96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B962CB" w:rsidRDefault="00B962CB" w:rsidP="00A35800">
      <w:r>
        <w:separator/>
      </w:r>
    </w:p>
  </w:footnote>
  <w:footnote w:type="continuationSeparator" w:id="0">
    <w:p w14:paraId="7E2CA1E4" w14:textId="77777777" w:rsidR="00B962CB" w:rsidRDefault="00B962CB" w:rsidP="00A35800">
      <w:r>
        <w:continuationSeparator/>
      </w:r>
    </w:p>
  </w:footnote>
  <w:footnote w:id="1">
    <w:p w14:paraId="0856FF43" w14:textId="6774E238" w:rsidR="00B962CB" w:rsidRDefault="00B962CB">
      <w:pPr>
        <w:pStyle w:val="FootnoteText"/>
      </w:pPr>
      <w:r>
        <w:rPr>
          <w:rStyle w:val="FootnoteReference"/>
        </w:rPr>
        <w:footnoteRef/>
      </w:r>
      <w:r>
        <w:t xml:space="preserve"> Byetta (exenatide). Approved Product Information. Sydney: AstraZeneca. Approved 13 June 2007. Updated 19 May 2014. Available from &lt;www.ebs.tga.gov.au&gt;. Accessed 2 July 2014.</w:t>
      </w:r>
    </w:p>
  </w:footnote>
  <w:footnote w:id="2">
    <w:p w14:paraId="3C623CEC" w14:textId="1FB07A11" w:rsidR="00B962CB" w:rsidRDefault="00B962CB">
      <w:pPr>
        <w:pStyle w:val="FootnoteText"/>
      </w:pPr>
      <w:r>
        <w:rPr>
          <w:rStyle w:val="FootnoteReference"/>
        </w:rPr>
        <w:footnoteRef/>
      </w:r>
      <w:r>
        <w:t xml:space="preserve"> </w:t>
      </w:r>
      <w:r w:rsidRPr="00B752DC">
        <w:t>Dunstan D, Zimmet P, Welborn T, Cameron A, Shaw J, de Courten M, Jolley D, McCarty D, on behalf of the AusDiab Steering Committee: The Australian Diabetes, Obesity and Lifestyle Study (AusDiab): methods and response rates. Diabetes Res Clin Pract 2002</w:t>
      </w:r>
      <w:r>
        <w:t xml:space="preserve">; </w:t>
      </w:r>
      <w:r w:rsidRPr="00651E7A">
        <w:t>57(2):</w:t>
      </w:r>
      <w:r>
        <w:t xml:space="preserve"> </w:t>
      </w:r>
      <w:r w:rsidRPr="00651E7A">
        <w:t>119-29.</w:t>
      </w:r>
    </w:p>
  </w:footnote>
  <w:footnote w:id="3">
    <w:p w14:paraId="0D90FA69" w14:textId="51B0CFFE" w:rsidR="00B962CB" w:rsidRDefault="00B962CB">
      <w:pPr>
        <w:pStyle w:val="FootnoteText"/>
      </w:pPr>
      <w:r>
        <w:rPr>
          <w:rStyle w:val="FootnoteReference"/>
        </w:rPr>
        <w:footnoteRef/>
      </w:r>
      <w:r>
        <w:t xml:space="preserve"> </w:t>
      </w:r>
      <w:r w:rsidRPr="000D29AB">
        <w:t>Dunstan, P.Z. Zimmet, T.A. Welborn, J. Shaw, M. de Courten, A. Cameron, et al. The rising prevalence of diabetes and impaired glucose tolerance: the Australian diabetes obesity and lifestyl</w:t>
      </w:r>
      <w:r>
        <w:t>e study. Diabetes Care 2002; 25(5): 829–</w:t>
      </w:r>
      <w:r w:rsidRPr="000D29AB">
        <w:t>34</w:t>
      </w:r>
      <w:r>
        <w:t>.</w:t>
      </w:r>
    </w:p>
  </w:footnote>
  <w:footnote w:id="4">
    <w:p w14:paraId="53C66E7B" w14:textId="7C8DD7CD" w:rsidR="00B962CB" w:rsidRDefault="00B962CB">
      <w:pPr>
        <w:pStyle w:val="FootnoteText"/>
      </w:pPr>
      <w:r>
        <w:rPr>
          <w:rStyle w:val="FootnoteReference"/>
        </w:rPr>
        <w:footnoteRef/>
      </w:r>
      <w:r>
        <w:t xml:space="preserve"> Davis WA</w:t>
      </w:r>
      <w:r w:rsidRPr="00BE5194">
        <w:rPr>
          <w:rFonts w:hint="eastAsia"/>
        </w:rPr>
        <w:t>, M. Kn</w:t>
      </w:r>
      <w:r>
        <w:rPr>
          <w:rFonts w:hint="eastAsia"/>
        </w:rPr>
        <w:t xml:space="preserve">uiman, D. V. Hendrie, </w:t>
      </w:r>
      <w:r w:rsidRPr="00BE5194">
        <w:rPr>
          <w:rFonts w:hint="eastAsia"/>
        </w:rPr>
        <w:t>Davis</w:t>
      </w:r>
      <w:r>
        <w:t xml:space="preserve"> TM. </w:t>
      </w:r>
      <w:r w:rsidRPr="00346D0A">
        <w:t>The Obesity driven rising costs of Type 2 diabetes in Australia: projections from the Fremantle Diabetes Study. Internal Medicine Journal 2006;</w:t>
      </w:r>
      <w:r>
        <w:t xml:space="preserve"> </w:t>
      </w:r>
      <w:r w:rsidRPr="00346D0A">
        <w:t>36:</w:t>
      </w:r>
      <w:r>
        <w:t xml:space="preserve"> </w:t>
      </w:r>
      <w:r w:rsidRPr="00346D0A">
        <w:t>155</w:t>
      </w:r>
      <w:r>
        <w:t>-</w:t>
      </w:r>
      <w:r w:rsidRPr="00346D0A">
        <w:t>61</w:t>
      </w:r>
      <w:r>
        <w:t>.</w:t>
      </w:r>
    </w:p>
  </w:footnote>
  <w:footnote w:id="5">
    <w:p w14:paraId="2B0912CD" w14:textId="77777777" w:rsidR="00B962CB" w:rsidRDefault="00B962CB" w:rsidP="00801FDA">
      <w:pPr>
        <w:pStyle w:val="FootnoteText"/>
      </w:pPr>
      <w:r>
        <w:rPr>
          <w:rStyle w:val="FootnoteReference"/>
        </w:rPr>
        <w:footnoteRef/>
      </w:r>
      <w:r>
        <w:t xml:space="preserve"> </w:t>
      </w:r>
      <w:r w:rsidRPr="00833C3C">
        <w:t>Simmons et al Prevalence of Diabetes in Rural Victoria, Diabetes Research and Clinical Practice 70 (2005) 287–290</w:t>
      </w:r>
    </w:p>
  </w:footnote>
  <w:footnote w:id="6">
    <w:p w14:paraId="19E7B1FF" w14:textId="20A6A8C5" w:rsidR="00B962CB" w:rsidRDefault="00B962CB">
      <w:pPr>
        <w:pStyle w:val="FootnoteText"/>
      </w:pPr>
      <w:r>
        <w:rPr>
          <w:rStyle w:val="FootnoteReference"/>
        </w:rPr>
        <w:footnoteRef/>
      </w:r>
      <w:r>
        <w:t xml:space="preserve"> </w:t>
      </w:r>
      <w:r w:rsidRPr="00F84AEE">
        <w:t>AIHW 2011. Diabetes prevalence in Australia: detailed estimates for 2007-08. Diabetes series no. 17. Cat. no. CVD 56. Canberra: AIHW. Viewed 8 January 2015 &lt;http://www.aihw.gov.au/publ</w:t>
      </w:r>
      <w:r>
        <w:t>ication-detail/?id=10737419311&gt;.</w:t>
      </w:r>
    </w:p>
  </w:footnote>
  <w:footnote w:id="7">
    <w:p w14:paraId="1C2EF349" w14:textId="237DFDBD" w:rsidR="00B962CB" w:rsidRDefault="00B962CB" w:rsidP="00F95BCD">
      <w:pPr>
        <w:pStyle w:val="FootnoteText"/>
      </w:pPr>
      <w:r>
        <w:rPr>
          <w:rStyle w:val="FootnoteReference"/>
        </w:rPr>
        <w:footnoteRef/>
      </w:r>
      <w:r>
        <w:t xml:space="preserve"> </w:t>
      </w:r>
      <w:r w:rsidRPr="002453F2">
        <w:t>Heine RJ1, Van Gaal LF, Johns D, Mihm MJ, Widel MH, Brodows RG; GWAA Study Group.</w:t>
      </w:r>
      <w:r>
        <w:t xml:space="preserve"> </w:t>
      </w:r>
      <w:r w:rsidRPr="002453F2">
        <w:t>Exenatide versus insulin glargine in patients with suboptimally controlled type 2 diabetes: a randomized trial.</w:t>
      </w:r>
      <w:r>
        <w:t xml:space="preserve"> </w:t>
      </w:r>
      <w:r w:rsidRPr="002453F2">
        <w:t>Ann Intern Med 2005;</w:t>
      </w:r>
      <w:r>
        <w:t xml:space="preserve"> </w:t>
      </w:r>
      <w:r w:rsidRPr="002453F2">
        <w:t>143(8):559-69.</w:t>
      </w:r>
    </w:p>
  </w:footnote>
  <w:footnote w:id="8">
    <w:p w14:paraId="503803DF" w14:textId="5D7D8D60" w:rsidR="00B962CB" w:rsidRDefault="00B962CB" w:rsidP="00F95BCD">
      <w:pPr>
        <w:pStyle w:val="FootnoteText"/>
      </w:pPr>
      <w:r>
        <w:rPr>
          <w:rStyle w:val="FootnoteReference"/>
        </w:rPr>
        <w:footnoteRef/>
      </w:r>
      <w:r>
        <w:t xml:space="preserve"> Bergenstal RM1, Garrison LP Jr, Miller LA, Hou L, Blickensderfer A, Zagar A, et al. Exenatide BID Observational Study (ExOS): results for primary and secondary endpoints of a prospective research study to evaluate the clinical effectiveness of exenatide BID use in patients with type 2 diabetes in a real-world setting. Curr Med Res Opin 2011; 27(12):2335-42. doi: 10.1185/03007995.2011.628305.</w:t>
      </w:r>
    </w:p>
    <w:p w14:paraId="6CCCA5C9" w14:textId="14363745" w:rsidR="00B962CB" w:rsidRDefault="00B962CB" w:rsidP="00F95BCD">
      <w:pPr>
        <w:pStyle w:val="FootnoteText"/>
      </w:pPr>
    </w:p>
  </w:footnote>
  <w:footnote w:id="9">
    <w:p w14:paraId="5FED3D92" w14:textId="2FEE5D30" w:rsidR="00B962CB" w:rsidRPr="003C6919" w:rsidRDefault="00B962CB" w:rsidP="00687370">
      <w:pPr>
        <w:pStyle w:val="FootnoteText"/>
        <w:rPr>
          <w:rFonts w:cstheme="minorHAnsi"/>
          <w:szCs w:val="18"/>
        </w:rPr>
      </w:pPr>
      <w:r w:rsidRPr="003C6919">
        <w:rPr>
          <w:rStyle w:val="FootnoteReference"/>
          <w:rFonts w:cstheme="minorHAnsi"/>
          <w:szCs w:val="18"/>
        </w:rPr>
        <w:footnoteRef/>
      </w:r>
      <w:r w:rsidRPr="003C6919">
        <w:rPr>
          <w:rFonts w:cstheme="minorHAnsi"/>
          <w:szCs w:val="18"/>
        </w:rPr>
        <w:t xml:space="preserve"> Pratt N, Roughead EE, Ramsay E, Salter A, Ryan P 2011 “Risk of hospitalization for hip fracture and pneumonia associated with antipsychotic prescribing in the elderly: a self-controlled case-series analysis in an Australian health care claims database” Drug Saf. 34(7):567-75. doi: 10.2165/11588470-000000000-00000</w:t>
      </w:r>
      <w:r>
        <w:rPr>
          <w:rFonts w:cstheme="minorHAnsi"/>
          <w:szCs w:val="18"/>
        </w:rPr>
        <w:t>.</w:t>
      </w:r>
    </w:p>
  </w:footnote>
  <w:footnote w:id="10">
    <w:p w14:paraId="2B5FF856" w14:textId="6679C032" w:rsidR="00B962CB" w:rsidRPr="003C6919" w:rsidRDefault="00B962CB" w:rsidP="00063231">
      <w:pPr>
        <w:spacing w:after="0"/>
        <w:rPr>
          <w:rFonts w:cstheme="minorHAnsi"/>
          <w:sz w:val="18"/>
          <w:szCs w:val="18"/>
        </w:rPr>
      </w:pPr>
      <w:r w:rsidRPr="003C6919">
        <w:rPr>
          <w:rStyle w:val="FootnoteReference"/>
          <w:rFonts w:cstheme="minorHAnsi"/>
          <w:sz w:val="18"/>
          <w:szCs w:val="18"/>
        </w:rPr>
        <w:footnoteRef/>
      </w:r>
      <w:r w:rsidRPr="003C6919">
        <w:rPr>
          <w:rFonts w:cstheme="minorHAnsi"/>
          <w:sz w:val="18"/>
          <w:szCs w:val="18"/>
        </w:rPr>
        <w:t xml:space="preserve"> Vitry AI, Roughead EE, Preiss AK, Ryan P, Ramsay EN, Gilbert AL, Caughey GE, Shakib S, Esterman A, Zhang Y, McDermott RA 2010 “Influence of comorbidities on therapeutic progression of diabetes treatment in Australian veterans: a cohort study” PLoS One. 5(11):e14024. do</w:t>
      </w:r>
      <w:r>
        <w:rPr>
          <w:rFonts w:cstheme="minorHAnsi"/>
          <w:sz w:val="18"/>
          <w:szCs w:val="18"/>
        </w:rPr>
        <w:t>i: 10.1371/journal.pone.0014024.</w:t>
      </w:r>
    </w:p>
  </w:footnote>
  <w:footnote w:id="11">
    <w:p w14:paraId="325181B0" w14:textId="4A819350" w:rsidR="00B962CB" w:rsidRPr="00063231" w:rsidRDefault="00B962CB" w:rsidP="00063231">
      <w:pPr>
        <w:rPr>
          <w:rFonts w:cstheme="minorHAnsi"/>
          <w:b/>
          <w:sz w:val="18"/>
          <w:szCs w:val="18"/>
          <w:lang w:val="en-US"/>
        </w:rPr>
      </w:pPr>
      <w:r w:rsidRPr="003C6919">
        <w:rPr>
          <w:rStyle w:val="FootnoteReference"/>
          <w:rFonts w:cstheme="minorHAnsi"/>
          <w:sz w:val="18"/>
          <w:szCs w:val="18"/>
        </w:rPr>
        <w:footnoteRef/>
      </w:r>
      <w:r w:rsidRPr="003C6919">
        <w:rPr>
          <w:rFonts w:cstheme="minorHAnsi"/>
          <w:sz w:val="18"/>
          <w:szCs w:val="18"/>
        </w:rPr>
        <w:t xml:space="preserve"> Hallas J. 2005 “Drug utilization statistics for individual-level pharmacy dispensing data” Pharmacoepidemiol Drug Saf. 14:455–463. doi: 10.1002/pds.1063</w:t>
      </w:r>
      <w:r>
        <w:rPr>
          <w:rFonts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D6F22" w14:textId="77777777" w:rsidR="00B962CB" w:rsidRDefault="00B962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DABA9" w14:textId="77777777" w:rsidR="00B962CB" w:rsidRDefault="00B962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14302" w14:textId="77777777" w:rsidR="00B962CB" w:rsidRDefault="00B962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4F0"/>
    <w:multiLevelType w:val="hybridMultilevel"/>
    <w:tmpl w:val="0F94F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7860D1"/>
    <w:multiLevelType w:val="hybridMultilevel"/>
    <w:tmpl w:val="EFD0A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AE1209"/>
    <w:multiLevelType w:val="hybridMultilevel"/>
    <w:tmpl w:val="536E16C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D022E09"/>
    <w:multiLevelType w:val="hybridMultilevel"/>
    <w:tmpl w:val="2AB01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7278D5"/>
    <w:multiLevelType w:val="hybridMultilevel"/>
    <w:tmpl w:val="9B709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CF0104"/>
    <w:multiLevelType w:val="hybridMultilevel"/>
    <w:tmpl w:val="38D0D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7657B9"/>
    <w:multiLevelType w:val="hybridMultilevel"/>
    <w:tmpl w:val="2318CA0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61122EF"/>
    <w:multiLevelType w:val="hybridMultilevel"/>
    <w:tmpl w:val="B25847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6A24445"/>
    <w:multiLevelType w:val="hybridMultilevel"/>
    <w:tmpl w:val="71C03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A345180"/>
    <w:multiLevelType w:val="hybridMultilevel"/>
    <w:tmpl w:val="A13AC9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CC9546C"/>
    <w:multiLevelType w:val="hybridMultilevel"/>
    <w:tmpl w:val="00E2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7FE3161"/>
    <w:multiLevelType w:val="hybridMultilevel"/>
    <w:tmpl w:val="B2362DE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5AE82DE1"/>
    <w:multiLevelType w:val="hybridMultilevel"/>
    <w:tmpl w:val="ABE26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71F6223"/>
    <w:multiLevelType w:val="hybridMultilevel"/>
    <w:tmpl w:val="6054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760E3984"/>
    <w:multiLevelType w:val="hybridMultilevel"/>
    <w:tmpl w:val="753AA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4E2541"/>
    <w:multiLevelType w:val="hybridMultilevel"/>
    <w:tmpl w:val="C39E00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
  </w:num>
  <w:num w:numId="4">
    <w:abstractNumId w:val="0"/>
  </w:num>
  <w:num w:numId="5">
    <w:abstractNumId w:val="15"/>
  </w:num>
  <w:num w:numId="6">
    <w:abstractNumId w:val="4"/>
  </w:num>
  <w:num w:numId="7">
    <w:abstractNumId w:val="16"/>
  </w:num>
  <w:num w:numId="8">
    <w:abstractNumId w:val="3"/>
  </w:num>
  <w:num w:numId="9">
    <w:abstractNumId w:val="7"/>
  </w:num>
  <w:num w:numId="10">
    <w:abstractNumId w:val="9"/>
  </w:num>
  <w:num w:numId="11">
    <w:abstractNumId w:val="5"/>
  </w:num>
  <w:num w:numId="12">
    <w:abstractNumId w:val="10"/>
  </w:num>
  <w:num w:numId="13">
    <w:abstractNumId w:val="6"/>
  </w:num>
  <w:num w:numId="14">
    <w:abstractNumId w:val="11"/>
  </w:num>
  <w:num w:numId="15">
    <w:abstractNumId w:val="2"/>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0B2F"/>
    <w:rsid w:val="0001288E"/>
    <w:rsid w:val="00016FCB"/>
    <w:rsid w:val="000174FE"/>
    <w:rsid w:val="00020E9F"/>
    <w:rsid w:val="00022617"/>
    <w:rsid w:val="000350C6"/>
    <w:rsid w:val="00046D7D"/>
    <w:rsid w:val="0005619F"/>
    <w:rsid w:val="000613F7"/>
    <w:rsid w:val="00063231"/>
    <w:rsid w:val="00064E6B"/>
    <w:rsid w:val="00067E1D"/>
    <w:rsid w:val="000707E6"/>
    <w:rsid w:val="00076DF6"/>
    <w:rsid w:val="000816DB"/>
    <w:rsid w:val="0008549E"/>
    <w:rsid w:val="000933D3"/>
    <w:rsid w:val="00094DCF"/>
    <w:rsid w:val="00095D51"/>
    <w:rsid w:val="000972FE"/>
    <w:rsid w:val="000A3178"/>
    <w:rsid w:val="000A73CB"/>
    <w:rsid w:val="000B268E"/>
    <w:rsid w:val="000B71C1"/>
    <w:rsid w:val="000B796C"/>
    <w:rsid w:val="000C6E5D"/>
    <w:rsid w:val="000C7D8B"/>
    <w:rsid w:val="000D29AB"/>
    <w:rsid w:val="000D3973"/>
    <w:rsid w:val="000D4198"/>
    <w:rsid w:val="000D5904"/>
    <w:rsid w:val="000E295D"/>
    <w:rsid w:val="000E302A"/>
    <w:rsid w:val="000E485D"/>
    <w:rsid w:val="000F1E48"/>
    <w:rsid w:val="000F22BC"/>
    <w:rsid w:val="000F2F51"/>
    <w:rsid w:val="000F625C"/>
    <w:rsid w:val="000F760B"/>
    <w:rsid w:val="001018D5"/>
    <w:rsid w:val="00102126"/>
    <w:rsid w:val="00112FB2"/>
    <w:rsid w:val="00113D74"/>
    <w:rsid w:val="0011416B"/>
    <w:rsid w:val="00114805"/>
    <w:rsid w:val="00117C5C"/>
    <w:rsid w:val="001214EC"/>
    <w:rsid w:val="00125FC2"/>
    <w:rsid w:val="001264EA"/>
    <w:rsid w:val="00130892"/>
    <w:rsid w:val="001327FB"/>
    <w:rsid w:val="001328F3"/>
    <w:rsid w:val="001354DE"/>
    <w:rsid w:val="001358D7"/>
    <w:rsid w:val="001408CC"/>
    <w:rsid w:val="001420B3"/>
    <w:rsid w:val="0014260F"/>
    <w:rsid w:val="00146255"/>
    <w:rsid w:val="001463AC"/>
    <w:rsid w:val="00147BF0"/>
    <w:rsid w:val="00154EA5"/>
    <w:rsid w:val="0015691C"/>
    <w:rsid w:val="001714FD"/>
    <w:rsid w:val="001734F0"/>
    <w:rsid w:val="00174183"/>
    <w:rsid w:val="001759EC"/>
    <w:rsid w:val="00180101"/>
    <w:rsid w:val="0018084A"/>
    <w:rsid w:val="00190D16"/>
    <w:rsid w:val="001A79FF"/>
    <w:rsid w:val="001B4788"/>
    <w:rsid w:val="001B50CA"/>
    <w:rsid w:val="001B5D37"/>
    <w:rsid w:val="001C2785"/>
    <w:rsid w:val="001C3B8B"/>
    <w:rsid w:val="001C4016"/>
    <w:rsid w:val="001C7BC7"/>
    <w:rsid w:val="001C7DA4"/>
    <w:rsid w:val="001D2DCB"/>
    <w:rsid w:val="001D3548"/>
    <w:rsid w:val="001D390D"/>
    <w:rsid w:val="001E31A6"/>
    <w:rsid w:val="001E373F"/>
    <w:rsid w:val="001E681C"/>
    <w:rsid w:val="001F1034"/>
    <w:rsid w:val="001F2C97"/>
    <w:rsid w:val="001F2F3E"/>
    <w:rsid w:val="001F366F"/>
    <w:rsid w:val="00200B0C"/>
    <w:rsid w:val="002018FE"/>
    <w:rsid w:val="00201C17"/>
    <w:rsid w:val="00203310"/>
    <w:rsid w:val="002062FB"/>
    <w:rsid w:val="002104AA"/>
    <w:rsid w:val="00214013"/>
    <w:rsid w:val="00221F11"/>
    <w:rsid w:val="002269EB"/>
    <w:rsid w:val="00231048"/>
    <w:rsid w:val="00235EB4"/>
    <w:rsid w:val="00240356"/>
    <w:rsid w:val="0024134C"/>
    <w:rsid w:val="0024294B"/>
    <w:rsid w:val="00245007"/>
    <w:rsid w:val="002453F2"/>
    <w:rsid w:val="002509D5"/>
    <w:rsid w:val="00250C9D"/>
    <w:rsid w:val="00252D19"/>
    <w:rsid w:val="00261985"/>
    <w:rsid w:val="00263359"/>
    <w:rsid w:val="00265000"/>
    <w:rsid w:val="002712BA"/>
    <w:rsid w:val="002717D1"/>
    <w:rsid w:val="00272EFD"/>
    <w:rsid w:val="00274794"/>
    <w:rsid w:val="00275D5A"/>
    <w:rsid w:val="002801FD"/>
    <w:rsid w:val="00282807"/>
    <w:rsid w:val="0028594C"/>
    <w:rsid w:val="00293480"/>
    <w:rsid w:val="002966F2"/>
    <w:rsid w:val="00297CF7"/>
    <w:rsid w:val="002A17EC"/>
    <w:rsid w:val="002A48CC"/>
    <w:rsid w:val="002A5708"/>
    <w:rsid w:val="002B7D2A"/>
    <w:rsid w:val="002C15F5"/>
    <w:rsid w:val="002C2795"/>
    <w:rsid w:val="002C3CF6"/>
    <w:rsid w:val="002C3ECC"/>
    <w:rsid w:val="002C4942"/>
    <w:rsid w:val="002C69A2"/>
    <w:rsid w:val="002C6C0D"/>
    <w:rsid w:val="002C6E0C"/>
    <w:rsid w:val="002D2B22"/>
    <w:rsid w:val="002D328B"/>
    <w:rsid w:val="002D472A"/>
    <w:rsid w:val="002E10F4"/>
    <w:rsid w:val="002E21C9"/>
    <w:rsid w:val="002E2E72"/>
    <w:rsid w:val="002E3337"/>
    <w:rsid w:val="002E4E69"/>
    <w:rsid w:val="002E654B"/>
    <w:rsid w:val="002F2DDF"/>
    <w:rsid w:val="002F49A8"/>
    <w:rsid w:val="002F61CA"/>
    <w:rsid w:val="002F63ED"/>
    <w:rsid w:val="002F7E0B"/>
    <w:rsid w:val="00302B27"/>
    <w:rsid w:val="003039B8"/>
    <w:rsid w:val="0030749C"/>
    <w:rsid w:val="003110DA"/>
    <w:rsid w:val="003125FF"/>
    <w:rsid w:val="00312F40"/>
    <w:rsid w:val="00313B8D"/>
    <w:rsid w:val="003251AF"/>
    <w:rsid w:val="00327F81"/>
    <w:rsid w:val="003317AB"/>
    <w:rsid w:val="003326D7"/>
    <w:rsid w:val="003370D0"/>
    <w:rsid w:val="00340F95"/>
    <w:rsid w:val="00343204"/>
    <w:rsid w:val="00344683"/>
    <w:rsid w:val="00346D0A"/>
    <w:rsid w:val="00347CBC"/>
    <w:rsid w:val="003529A1"/>
    <w:rsid w:val="003529E0"/>
    <w:rsid w:val="003531ED"/>
    <w:rsid w:val="003623CA"/>
    <w:rsid w:val="0036453A"/>
    <w:rsid w:val="00364F6F"/>
    <w:rsid w:val="0036738C"/>
    <w:rsid w:val="0038097B"/>
    <w:rsid w:val="003811C7"/>
    <w:rsid w:val="00385A05"/>
    <w:rsid w:val="0039017F"/>
    <w:rsid w:val="003B012B"/>
    <w:rsid w:val="003C4C31"/>
    <w:rsid w:val="003C5F84"/>
    <w:rsid w:val="003D0A30"/>
    <w:rsid w:val="003D6756"/>
    <w:rsid w:val="003D7D4F"/>
    <w:rsid w:val="003E30E6"/>
    <w:rsid w:val="003F2C10"/>
    <w:rsid w:val="003F45AF"/>
    <w:rsid w:val="003F66A1"/>
    <w:rsid w:val="003F6AE4"/>
    <w:rsid w:val="00400C42"/>
    <w:rsid w:val="0041081A"/>
    <w:rsid w:val="00414CE3"/>
    <w:rsid w:val="004208B9"/>
    <w:rsid w:val="0042399B"/>
    <w:rsid w:val="004265C2"/>
    <w:rsid w:val="00440D08"/>
    <w:rsid w:val="004419A9"/>
    <w:rsid w:val="00441E82"/>
    <w:rsid w:val="00461B50"/>
    <w:rsid w:val="00462FF4"/>
    <w:rsid w:val="004649AB"/>
    <w:rsid w:val="0047404A"/>
    <w:rsid w:val="00481108"/>
    <w:rsid w:val="00481330"/>
    <w:rsid w:val="004818E0"/>
    <w:rsid w:val="0049042B"/>
    <w:rsid w:val="004A3B2F"/>
    <w:rsid w:val="004A458E"/>
    <w:rsid w:val="004A6823"/>
    <w:rsid w:val="004A7D75"/>
    <w:rsid w:val="004B23E7"/>
    <w:rsid w:val="004B306F"/>
    <w:rsid w:val="004B4675"/>
    <w:rsid w:val="004B552B"/>
    <w:rsid w:val="004C3186"/>
    <w:rsid w:val="004C3FC1"/>
    <w:rsid w:val="004C5042"/>
    <w:rsid w:val="004C5529"/>
    <w:rsid w:val="004D14BD"/>
    <w:rsid w:val="004D3957"/>
    <w:rsid w:val="004D5498"/>
    <w:rsid w:val="004E0D55"/>
    <w:rsid w:val="004E1DB0"/>
    <w:rsid w:val="004E5B0F"/>
    <w:rsid w:val="004E6BF0"/>
    <w:rsid w:val="004F1E15"/>
    <w:rsid w:val="00503998"/>
    <w:rsid w:val="0050623B"/>
    <w:rsid w:val="00516E8D"/>
    <w:rsid w:val="0052072E"/>
    <w:rsid w:val="005217EF"/>
    <w:rsid w:val="00523972"/>
    <w:rsid w:val="005339F6"/>
    <w:rsid w:val="00535299"/>
    <w:rsid w:val="005466E9"/>
    <w:rsid w:val="00554433"/>
    <w:rsid w:val="00561CB4"/>
    <w:rsid w:val="00564B27"/>
    <w:rsid w:val="005651C8"/>
    <w:rsid w:val="0056524B"/>
    <w:rsid w:val="0056680F"/>
    <w:rsid w:val="0056699C"/>
    <w:rsid w:val="00567730"/>
    <w:rsid w:val="00567F95"/>
    <w:rsid w:val="00573453"/>
    <w:rsid w:val="00583DBF"/>
    <w:rsid w:val="00585DF4"/>
    <w:rsid w:val="00591512"/>
    <w:rsid w:val="005C190B"/>
    <w:rsid w:val="005C25A2"/>
    <w:rsid w:val="005C2AE7"/>
    <w:rsid w:val="005C4023"/>
    <w:rsid w:val="005C55C6"/>
    <w:rsid w:val="005C597F"/>
    <w:rsid w:val="005C5A77"/>
    <w:rsid w:val="005C6E89"/>
    <w:rsid w:val="005D436A"/>
    <w:rsid w:val="005E147D"/>
    <w:rsid w:val="005E1A34"/>
    <w:rsid w:val="005E22C2"/>
    <w:rsid w:val="005E334E"/>
    <w:rsid w:val="006044B8"/>
    <w:rsid w:val="00604A7F"/>
    <w:rsid w:val="00606906"/>
    <w:rsid w:val="00614832"/>
    <w:rsid w:val="006202D6"/>
    <w:rsid w:val="00622B0C"/>
    <w:rsid w:val="00625DD4"/>
    <w:rsid w:val="00627520"/>
    <w:rsid w:val="00630079"/>
    <w:rsid w:val="0063021F"/>
    <w:rsid w:val="00630CA0"/>
    <w:rsid w:val="00631589"/>
    <w:rsid w:val="00632F04"/>
    <w:rsid w:val="00633CFD"/>
    <w:rsid w:val="00635817"/>
    <w:rsid w:val="0063631C"/>
    <w:rsid w:val="006370A3"/>
    <w:rsid w:val="0064194B"/>
    <w:rsid w:val="00646554"/>
    <w:rsid w:val="00651907"/>
    <w:rsid w:val="00651B08"/>
    <w:rsid w:val="00651C91"/>
    <w:rsid w:val="00651E7A"/>
    <w:rsid w:val="006537D9"/>
    <w:rsid w:val="006577FD"/>
    <w:rsid w:val="006579F8"/>
    <w:rsid w:val="00660F4A"/>
    <w:rsid w:val="0066219A"/>
    <w:rsid w:val="00665DEF"/>
    <w:rsid w:val="0066738C"/>
    <w:rsid w:val="00675BB1"/>
    <w:rsid w:val="00682FF6"/>
    <w:rsid w:val="00684255"/>
    <w:rsid w:val="00686559"/>
    <w:rsid w:val="00687370"/>
    <w:rsid w:val="00691147"/>
    <w:rsid w:val="006953D0"/>
    <w:rsid w:val="006A44F5"/>
    <w:rsid w:val="006A4E4A"/>
    <w:rsid w:val="006A58EE"/>
    <w:rsid w:val="006A6A24"/>
    <w:rsid w:val="006B4537"/>
    <w:rsid w:val="006B709B"/>
    <w:rsid w:val="006C2CDF"/>
    <w:rsid w:val="006C3112"/>
    <w:rsid w:val="006C4620"/>
    <w:rsid w:val="006C51CB"/>
    <w:rsid w:val="006D6B76"/>
    <w:rsid w:val="006E0181"/>
    <w:rsid w:val="006E1008"/>
    <w:rsid w:val="006E2FAA"/>
    <w:rsid w:val="006E5D0E"/>
    <w:rsid w:val="006F1899"/>
    <w:rsid w:val="006F4332"/>
    <w:rsid w:val="006F772E"/>
    <w:rsid w:val="00700670"/>
    <w:rsid w:val="0070484D"/>
    <w:rsid w:val="00705309"/>
    <w:rsid w:val="00705DAD"/>
    <w:rsid w:val="00715682"/>
    <w:rsid w:val="00723D3F"/>
    <w:rsid w:val="007247B9"/>
    <w:rsid w:val="00727D85"/>
    <w:rsid w:val="007304E9"/>
    <w:rsid w:val="00730560"/>
    <w:rsid w:val="007346C7"/>
    <w:rsid w:val="00736041"/>
    <w:rsid w:val="007408C7"/>
    <w:rsid w:val="00750632"/>
    <w:rsid w:val="0075110A"/>
    <w:rsid w:val="00752C7F"/>
    <w:rsid w:val="00767133"/>
    <w:rsid w:val="00772E87"/>
    <w:rsid w:val="007760FC"/>
    <w:rsid w:val="00776598"/>
    <w:rsid w:val="00777041"/>
    <w:rsid w:val="007805CA"/>
    <w:rsid w:val="00796B2F"/>
    <w:rsid w:val="00796E84"/>
    <w:rsid w:val="007A2E2C"/>
    <w:rsid w:val="007A4A7E"/>
    <w:rsid w:val="007A60F8"/>
    <w:rsid w:val="007B124F"/>
    <w:rsid w:val="007B3BDE"/>
    <w:rsid w:val="007B3C3F"/>
    <w:rsid w:val="007B6659"/>
    <w:rsid w:val="007B6F7F"/>
    <w:rsid w:val="007B77A9"/>
    <w:rsid w:val="007C1E23"/>
    <w:rsid w:val="007D2B3D"/>
    <w:rsid w:val="007D44E9"/>
    <w:rsid w:val="007E5861"/>
    <w:rsid w:val="007E5CE8"/>
    <w:rsid w:val="00800C2D"/>
    <w:rsid w:val="00801FDA"/>
    <w:rsid w:val="00804098"/>
    <w:rsid w:val="00805C48"/>
    <w:rsid w:val="00806A9F"/>
    <w:rsid w:val="008142B4"/>
    <w:rsid w:val="00814BA7"/>
    <w:rsid w:val="0082208F"/>
    <w:rsid w:val="0082657A"/>
    <w:rsid w:val="00827B0F"/>
    <w:rsid w:val="00830CA7"/>
    <w:rsid w:val="00830EE6"/>
    <w:rsid w:val="00832324"/>
    <w:rsid w:val="00847290"/>
    <w:rsid w:val="0085256D"/>
    <w:rsid w:val="00852A4C"/>
    <w:rsid w:val="00856089"/>
    <w:rsid w:val="00856BB4"/>
    <w:rsid w:val="00856CF5"/>
    <w:rsid w:val="00865B24"/>
    <w:rsid w:val="0088087E"/>
    <w:rsid w:val="00887EFB"/>
    <w:rsid w:val="00896025"/>
    <w:rsid w:val="00896403"/>
    <w:rsid w:val="00897097"/>
    <w:rsid w:val="008A0526"/>
    <w:rsid w:val="008A4410"/>
    <w:rsid w:val="008B3592"/>
    <w:rsid w:val="008B5A18"/>
    <w:rsid w:val="008C0F9F"/>
    <w:rsid w:val="008C1B34"/>
    <w:rsid w:val="008C34A3"/>
    <w:rsid w:val="008C481E"/>
    <w:rsid w:val="008D070A"/>
    <w:rsid w:val="008D26F8"/>
    <w:rsid w:val="008D41FB"/>
    <w:rsid w:val="008D727C"/>
    <w:rsid w:val="008E68D1"/>
    <w:rsid w:val="008E77E2"/>
    <w:rsid w:val="008F2577"/>
    <w:rsid w:val="008F74C9"/>
    <w:rsid w:val="00902FD0"/>
    <w:rsid w:val="00904A68"/>
    <w:rsid w:val="009053D3"/>
    <w:rsid w:val="00905AB4"/>
    <w:rsid w:val="00913AB7"/>
    <w:rsid w:val="0093111F"/>
    <w:rsid w:val="00935689"/>
    <w:rsid w:val="0093684D"/>
    <w:rsid w:val="009379BA"/>
    <w:rsid w:val="0094366B"/>
    <w:rsid w:val="00945324"/>
    <w:rsid w:val="009554F3"/>
    <w:rsid w:val="00957837"/>
    <w:rsid w:val="00957E40"/>
    <w:rsid w:val="0096087C"/>
    <w:rsid w:val="00961881"/>
    <w:rsid w:val="0096189A"/>
    <w:rsid w:val="00962AEF"/>
    <w:rsid w:val="009637A8"/>
    <w:rsid w:val="009663B6"/>
    <w:rsid w:val="00966F55"/>
    <w:rsid w:val="0097159F"/>
    <w:rsid w:val="009748A2"/>
    <w:rsid w:val="0098009C"/>
    <w:rsid w:val="00980286"/>
    <w:rsid w:val="00980972"/>
    <w:rsid w:val="00992DCF"/>
    <w:rsid w:val="009A26D2"/>
    <w:rsid w:val="009A4CD6"/>
    <w:rsid w:val="009A52BD"/>
    <w:rsid w:val="009B772E"/>
    <w:rsid w:val="009C0886"/>
    <w:rsid w:val="009C1465"/>
    <w:rsid w:val="009C1AA8"/>
    <w:rsid w:val="009C35F2"/>
    <w:rsid w:val="009C4077"/>
    <w:rsid w:val="009C54FA"/>
    <w:rsid w:val="009C6CCD"/>
    <w:rsid w:val="009C7C43"/>
    <w:rsid w:val="009D2BB9"/>
    <w:rsid w:val="009D41C8"/>
    <w:rsid w:val="009D5229"/>
    <w:rsid w:val="009D67A2"/>
    <w:rsid w:val="009E031D"/>
    <w:rsid w:val="009E2173"/>
    <w:rsid w:val="009E21A7"/>
    <w:rsid w:val="009E3ED0"/>
    <w:rsid w:val="009F4D9A"/>
    <w:rsid w:val="00A103ED"/>
    <w:rsid w:val="00A1052B"/>
    <w:rsid w:val="00A108F9"/>
    <w:rsid w:val="00A13C60"/>
    <w:rsid w:val="00A1624B"/>
    <w:rsid w:val="00A22FE8"/>
    <w:rsid w:val="00A30F98"/>
    <w:rsid w:val="00A33554"/>
    <w:rsid w:val="00A35800"/>
    <w:rsid w:val="00A36FA8"/>
    <w:rsid w:val="00A3777D"/>
    <w:rsid w:val="00A4020E"/>
    <w:rsid w:val="00A47C8A"/>
    <w:rsid w:val="00A519CC"/>
    <w:rsid w:val="00A52B8E"/>
    <w:rsid w:val="00A55579"/>
    <w:rsid w:val="00A71CE9"/>
    <w:rsid w:val="00A73E8D"/>
    <w:rsid w:val="00A755D7"/>
    <w:rsid w:val="00A75767"/>
    <w:rsid w:val="00A77FE6"/>
    <w:rsid w:val="00A805A8"/>
    <w:rsid w:val="00A82B68"/>
    <w:rsid w:val="00A82F7C"/>
    <w:rsid w:val="00A84CAD"/>
    <w:rsid w:val="00A87B32"/>
    <w:rsid w:val="00A92D9F"/>
    <w:rsid w:val="00A95D06"/>
    <w:rsid w:val="00AA18FC"/>
    <w:rsid w:val="00AA67B1"/>
    <w:rsid w:val="00AB0AA4"/>
    <w:rsid w:val="00AB3733"/>
    <w:rsid w:val="00AC703B"/>
    <w:rsid w:val="00AD3505"/>
    <w:rsid w:val="00AE0073"/>
    <w:rsid w:val="00AE3FB3"/>
    <w:rsid w:val="00AE4EAB"/>
    <w:rsid w:val="00AF6BB9"/>
    <w:rsid w:val="00AF6DE8"/>
    <w:rsid w:val="00B0152A"/>
    <w:rsid w:val="00B02663"/>
    <w:rsid w:val="00B02AB9"/>
    <w:rsid w:val="00B05310"/>
    <w:rsid w:val="00B0540A"/>
    <w:rsid w:val="00B07422"/>
    <w:rsid w:val="00B07EF1"/>
    <w:rsid w:val="00B11227"/>
    <w:rsid w:val="00B141C5"/>
    <w:rsid w:val="00B217F6"/>
    <w:rsid w:val="00B21A3C"/>
    <w:rsid w:val="00B22AE8"/>
    <w:rsid w:val="00B36160"/>
    <w:rsid w:val="00B50DB1"/>
    <w:rsid w:val="00B524EE"/>
    <w:rsid w:val="00B53AF6"/>
    <w:rsid w:val="00B673E5"/>
    <w:rsid w:val="00B9093E"/>
    <w:rsid w:val="00B9120F"/>
    <w:rsid w:val="00B924A4"/>
    <w:rsid w:val="00B95FB9"/>
    <w:rsid w:val="00B962CB"/>
    <w:rsid w:val="00B97BDC"/>
    <w:rsid w:val="00BA16F1"/>
    <w:rsid w:val="00BA406C"/>
    <w:rsid w:val="00BA4D27"/>
    <w:rsid w:val="00BB0D1A"/>
    <w:rsid w:val="00BB12AE"/>
    <w:rsid w:val="00BB1D3B"/>
    <w:rsid w:val="00BB2DE8"/>
    <w:rsid w:val="00BC35ED"/>
    <w:rsid w:val="00BC4655"/>
    <w:rsid w:val="00BC495A"/>
    <w:rsid w:val="00BC49A5"/>
    <w:rsid w:val="00BC55C3"/>
    <w:rsid w:val="00BD3ACD"/>
    <w:rsid w:val="00BD4521"/>
    <w:rsid w:val="00BE2FF5"/>
    <w:rsid w:val="00BE5194"/>
    <w:rsid w:val="00BE5D65"/>
    <w:rsid w:val="00BF238E"/>
    <w:rsid w:val="00BF6D5C"/>
    <w:rsid w:val="00C0076F"/>
    <w:rsid w:val="00C04911"/>
    <w:rsid w:val="00C26824"/>
    <w:rsid w:val="00C31122"/>
    <w:rsid w:val="00C35F1C"/>
    <w:rsid w:val="00C41246"/>
    <w:rsid w:val="00C45E5F"/>
    <w:rsid w:val="00C5141A"/>
    <w:rsid w:val="00C52D77"/>
    <w:rsid w:val="00C55569"/>
    <w:rsid w:val="00C6088C"/>
    <w:rsid w:val="00C60DA4"/>
    <w:rsid w:val="00C62867"/>
    <w:rsid w:val="00C672F4"/>
    <w:rsid w:val="00C675DB"/>
    <w:rsid w:val="00C714D0"/>
    <w:rsid w:val="00C74C1E"/>
    <w:rsid w:val="00C75822"/>
    <w:rsid w:val="00C77466"/>
    <w:rsid w:val="00C778F0"/>
    <w:rsid w:val="00C81D1B"/>
    <w:rsid w:val="00C81F99"/>
    <w:rsid w:val="00C83134"/>
    <w:rsid w:val="00C9547A"/>
    <w:rsid w:val="00C97AFA"/>
    <w:rsid w:val="00CB16A9"/>
    <w:rsid w:val="00CB410E"/>
    <w:rsid w:val="00CB4273"/>
    <w:rsid w:val="00CB4C3D"/>
    <w:rsid w:val="00CB4FDE"/>
    <w:rsid w:val="00CB626E"/>
    <w:rsid w:val="00CB6ABE"/>
    <w:rsid w:val="00CB7029"/>
    <w:rsid w:val="00CC3451"/>
    <w:rsid w:val="00CC5530"/>
    <w:rsid w:val="00CC7E61"/>
    <w:rsid w:val="00CD4673"/>
    <w:rsid w:val="00CD6583"/>
    <w:rsid w:val="00CE001C"/>
    <w:rsid w:val="00CE2CDF"/>
    <w:rsid w:val="00CE417B"/>
    <w:rsid w:val="00CF0471"/>
    <w:rsid w:val="00CF64A5"/>
    <w:rsid w:val="00CF6FB3"/>
    <w:rsid w:val="00CF7D70"/>
    <w:rsid w:val="00D05199"/>
    <w:rsid w:val="00D07119"/>
    <w:rsid w:val="00D107EE"/>
    <w:rsid w:val="00D13C41"/>
    <w:rsid w:val="00D151EB"/>
    <w:rsid w:val="00D2108F"/>
    <w:rsid w:val="00D30378"/>
    <w:rsid w:val="00D32EA5"/>
    <w:rsid w:val="00D344EC"/>
    <w:rsid w:val="00D34CF2"/>
    <w:rsid w:val="00D538AD"/>
    <w:rsid w:val="00D547C0"/>
    <w:rsid w:val="00D56BB9"/>
    <w:rsid w:val="00D57B3E"/>
    <w:rsid w:val="00D57B6F"/>
    <w:rsid w:val="00D62A63"/>
    <w:rsid w:val="00D6439E"/>
    <w:rsid w:val="00D64C10"/>
    <w:rsid w:val="00D650CE"/>
    <w:rsid w:val="00D70E27"/>
    <w:rsid w:val="00D744FB"/>
    <w:rsid w:val="00D75578"/>
    <w:rsid w:val="00D7645B"/>
    <w:rsid w:val="00D76E5B"/>
    <w:rsid w:val="00D8090B"/>
    <w:rsid w:val="00D81369"/>
    <w:rsid w:val="00D8280D"/>
    <w:rsid w:val="00D833DB"/>
    <w:rsid w:val="00D8455B"/>
    <w:rsid w:val="00D8758B"/>
    <w:rsid w:val="00D87809"/>
    <w:rsid w:val="00D9008F"/>
    <w:rsid w:val="00D963BE"/>
    <w:rsid w:val="00D971FE"/>
    <w:rsid w:val="00DA3419"/>
    <w:rsid w:val="00DA7459"/>
    <w:rsid w:val="00DA7D09"/>
    <w:rsid w:val="00DB0EA9"/>
    <w:rsid w:val="00DB6DD3"/>
    <w:rsid w:val="00DB7FBA"/>
    <w:rsid w:val="00DC49E9"/>
    <w:rsid w:val="00DD1256"/>
    <w:rsid w:val="00DD35D0"/>
    <w:rsid w:val="00DD70ED"/>
    <w:rsid w:val="00DE0B96"/>
    <w:rsid w:val="00DE20D3"/>
    <w:rsid w:val="00DE260E"/>
    <w:rsid w:val="00DE3504"/>
    <w:rsid w:val="00DE3804"/>
    <w:rsid w:val="00DE3BDB"/>
    <w:rsid w:val="00DE4B98"/>
    <w:rsid w:val="00DE7B01"/>
    <w:rsid w:val="00DF0B13"/>
    <w:rsid w:val="00DF138E"/>
    <w:rsid w:val="00DF4A94"/>
    <w:rsid w:val="00E014DE"/>
    <w:rsid w:val="00E066C3"/>
    <w:rsid w:val="00E06753"/>
    <w:rsid w:val="00E06E1D"/>
    <w:rsid w:val="00E11A6D"/>
    <w:rsid w:val="00E1345B"/>
    <w:rsid w:val="00E1353A"/>
    <w:rsid w:val="00E14D65"/>
    <w:rsid w:val="00E153FC"/>
    <w:rsid w:val="00E1564B"/>
    <w:rsid w:val="00E1709A"/>
    <w:rsid w:val="00E1764B"/>
    <w:rsid w:val="00E20773"/>
    <w:rsid w:val="00E208A0"/>
    <w:rsid w:val="00E244CA"/>
    <w:rsid w:val="00E36BEA"/>
    <w:rsid w:val="00E371AE"/>
    <w:rsid w:val="00E376AA"/>
    <w:rsid w:val="00E41C8B"/>
    <w:rsid w:val="00E45B5C"/>
    <w:rsid w:val="00E55D60"/>
    <w:rsid w:val="00E5612C"/>
    <w:rsid w:val="00E628EA"/>
    <w:rsid w:val="00E677DD"/>
    <w:rsid w:val="00E73E04"/>
    <w:rsid w:val="00E75810"/>
    <w:rsid w:val="00E763E3"/>
    <w:rsid w:val="00E76AB8"/>
    <w:rsid w:val="00E85C2B"/>
    <w:rsid w:val="00E86089"/>
    <w:rsid w:val="00E933E0"/>
    <w:rsid w:val="00E97B56"/>
    <w:rsid w:val="00EA75A9"/>
    <w:rsid w:val="00EB0988"/>
    <w:rsid w:val="00EB46C0"/>
    <w:rsid w:val="00EB6C07"/>
    <w:rsid w:val="00EC028D"/>
    <w:rsid w:val="00EC16A7"/>
    <w:rsid w:val="00EC203B"/>
    <w:rsid w:val="00ED13BB"/>
    <w:rsid w:val="00ED369B"/>
    <w:rsid w:val="00ED633B"/>
    <w:rsid w:val="00EE478C"/>
    <w:rsid w:val="00F0158C"/>
    <w:rsid w:val="00F03172"/>
    <w:rsid w:val="00F03860"/>
    <w:rsid w:val="00F112DB"/>
    <w:rsid w:val="00F11CFC"/>
    <w:rsid w:val="00F11DA1"/>
    <w:rsid w:val="00F1270F"/>
    <w:rsid w:val="00F13545"/>
    <w:rsid w:val="00F162D1"/>
    <w:rsid w:val="00F27B73"/>
    <w:rsid w:val="00F30E28"/>
    <w:rsid w:val="00F33EE6"/>
    <w:rsid w:val="00F34C77"/>
    <w:rsid w:val="00F410A9"/>
    <w:rsid w:val="00F43923"/>
    <w:rsid w:val="00F449B9"/>
    <w:rsid w:val="00F518B8"/>
    <w:rsid w:val="00F5338F"/>
    <w:rsid w:val="00F55B1B"/>
    <w:rsid w:val="00F56746"/>
    <w:rsid w:val="00F61326"/>
    <w:rsid w:val="00F62DE2"/>
    <w:rsid w:val="00F70CEF"/>
    <w:rsid w:val="00F75F2C"/>
    <w:rsid w:val="00F8141E"/>
    <w:rsid w:val="00F84AEE"/>
    <w:rsid w:val="00F877BC"/>
    <w:rsid w:val="00F91ADC"/>
    <w:rsid w:val="00F95BCD"/>
    <w:rsid w:val="00FA53E7"/>
    <w:rsid w:val="00FC3835"/>
    <w:rsid w:val="00FC4A73"/>
    <w:rsid w:val="00FC6B54"/>
    <w:rsid w:val="00FC7BF0"/>
    <w:rsid w:val="00FD0280"/>
    <w:rsid w:val="00FD13CD"/>
    <w:rsid w:val="00FD15BB"/>
    <w:rsid w:val="00FD1E46"/>
    <w:rsid w:val="00FD3CAD"/>
    <w:rsid w:val="00FD4F79"/>
    <w:rsid w:val="00FE622D"/>
    <w:rsid w:val="00FE64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A30F98"/>
    <w:rPr>
      <w:sz w:val="20"/>
      <w:szCs w:val="20"/>
    </w:rPr>
  </w:style>
  <w:style w:type="character" w:customStyle="1" w:styleId="FigurecaptionChar">
    <w:name w:val="Figure caption Char"/>
    <w:basedOn w:val="DefaultParagraphFont"/>
    <w:link w:val="Figurecaption"/>
    <w:rsid w:val="00A30F98"/>
    <w:rPr>
      <w:sz w:val="20"/>
      <w:szCs w:val="20"/>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Normal"/>
    <w:link w:val="FiguretitleChar"/>
    <w:qFormat/>
    <w:rsid w:val="007A4A7E"/>
    <w:pPr>
      <w:spacing w:before="60" w:after="60"/>
    </w:pPr>
    <w:rPr>
      <w:rFonts w:cs="Arial"/>
      <w:b/>
    </w:rPr>
  </w:style>
  <w:style w:type="character" w:customStyle="1" w:styleId="FiguretitleChar">
    <w:name w:val="Figure title Char"/>
    <w:basedOn w:val="TabletitleChar"/>
    <w:link w:val="Figuretitle"/>
    <w:rsid w:val="007A4A7E"/>
    <w:rPr>
      <w:rFonts w:eastAsiaTheme="majorEastAsia" w:cs="Arial"/>
      <w:b/>
      <w:bCs w:val="0"/>
      <w:sz w:val="24"/>
      <w:szCs w:val="24"/>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uiPriority w:val="34"/>
    <w:qFormat/>
    <w:rsid w:val="00957E40"/>
    <w:pPr>
      <w:ind w:left="720"/>
      <w:contextualSpacing/>
    </w:pPr>
  </w:style>
  <w:style w:type="character" w:styleId="FollowedHyperlink">
    <w:name w:val="FollowedHyperlink"/>
    <w:basedOn w:val="DefaultParagraphFont"/>
    <w:uiPriority w:val="99"/>
    <w:semiHidden/>
    <w:unhideWhenUsed/>
    <w:rsid w:val="008D26F8"/>
    <w:rPr>
      <w:color w:val="800080" w:themeColor="followedHyperlink"/>
      <w:u w:val="single"/>
    </w:rPr>
  </w:style>
  <w:style w:type="paragraph" w:customStyle="1" w:styleId="TableText">
    <w:name w:val="Table Text"/>
    <w:basedOn w:val="Normal"/>
    <w:rsid w:val="00801FDA"/>
    <w:pPr>
      <w:spacing w:after="0"/>
    </w:pPr>
    <w:rPr>
      <w:rFonts w:ascii="Arial" w:eastAsia="Arial" w:hAnsi="Arial" w:cs="Arial"/>
      <w:sz w:val="20"/>
      <w:szCs w:val="20"/>
      <w:lang w:val="en-US" w:eastAsia="en-US"/>
    </w:rPr>
  </w:style>
  <w:style w:type="table" w:customStyle="1" w:styleId="TableGrid2">
    <w:name w:val="Table Grid2"/>
    <w:basedOn w:val="TableNormal"/>
    <w:next w:val="TableGrid"/>
    <w:uiPriority w:val="59"/>
    <w:rsid w:val="00E244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A30F98"/>
    <w:rPr>
      <w:sz w:val="20"/>
      <w:szCs w:val="20"/>
    </w:rPr>
  </w:style>
  <w:style w:type="character" w:customStyle="1" w:styleId="FigurecaptionChar">
    <w:name w:val="Figure caption Char"/>
    <w:basedOn w:val="DefaultParagraphFont"/>
    <w:link w:val="Figurecaption"/>
    <w:rsid w:val="00A30F98"/>
    <w:rPr>
      <w:sz w:val="20"/>
      <w:szCs w:val="20"/>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Normal"/>
    <w:link w:val="FiguretitleChar"/>
    <w:qFormat/>
    <w:rsid w:val="007A4A7E"/>
    <w:pPr>
      <w:spacing w:before="60" w:after="60"/>
    </w:pPr>
    <w:rPr>
      <w:rFonts w:cs="Arial"/>
      <w:b/>
    </w:rPr>
  </w:style>
  <w:style w:type="character" w:customStyle="1" w:styleId="FiguretitleChar">
    <w:name w:val="Figure title Char"/>
    <w:basedOn w:val="TabletitleChar"/>
    <w:link w:val="Figuretitle"/>
    <w:rsid w:val="007A4A7E"/>
    <w:rPr>
      <w:rFonts w:eastAsiaTheme="majorEastAsia" w:cs="Arial"/>
      <w:b/>
      <w:bCs w:val="0"/>
      <w:sz w:val="24"/>
      <w:szCs w:val="24"/>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uiPriority w:val="34"/>
    <w:qFormat/>
    <w:rsid w:val="00957E40"/>
    <w:pPr>
      <w:ind w:left="720"/>
      <w:contextualSpacing/>
    </w:pPr>
  </w:style>
  <w:style w:type="character" w:styleId="FollowedHyperlink">
    <w:name w:val="FollowedHyperlink"/>
    <w:basedOn w:val="DefaultParagraphFont"/>
    <w:uiPriority w:val="99"/>
    <w:semiHidden/>
    <w:unhideWhenUsed/>
    <w:rsid w:val="008D26F8"/>
    <w:rPr>
      <w:color w:val="800080" w:themeColor="followedHyperlink"/>
      <w:u w:val="single"/>
    </w:rPr>
  </w:style>
  <w:style w:type="paragraph" w:customStyle="1" w:styleId="TableText">
    <w:name w:val="Table Text"/>
    <w:basedOn w:val="Normal"/>
    <w:rsid w:val="00801FDA"/>
    <w:pPr>
      <w:spacing w:after="0"/>
    </w:pPr>
    <w:rPr>
      <w:rFonts w:ascii="Arial" w:eastAsia="Arial" w:hAnsi="Arial" w:cs="Arial"/>
      <w:sz w:val="20"/>
      <w:szCs w:val="20"/>
      <w:lang w:val="en-US" w:eastAsia="en-US"/>
    </w:rPr>
  </w:style>
  <w:style w:type="table" w:customStyle="1" w:styleId="TableGrid2">
    <w:name w:val="Table Grid2"/>
    <w:basedOn w:val="TableNormal"/>
    <w:next w:val="TableGrid"/>
    <w:uiPriority w:val="59"/>
    <w:rsid w:val="00E244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810">
      <w:bodyDiv w:val="1"/>
      <w:marLeft w:val="0"/>
      <w:marRight w:val="0"/>
      <w:marTop w:val="0"/>
      <w:marBottom w:val="0"/>
      <w:divBdr>
        <w:top w:val="none" w:sz="0" w:space="0" w:color="auto"/>
        <w:left w:val="none" w:sz="0" w:space="0" w:color="auto"/>
        <w:bottom w:val="none" w:sz="0" w:space="0" w:color="auto"/>
        <w:right w:val="none" w:sz="0" w:space="0" w:color="auto"/>
      </w:divBdr>
      <w:divsChild>
        <w:div w:id="659118243">
          <w:marLeft w:val="0"/>
          <w:marRight w:val="0"/>
          <w:marTop w:val="0"/>
          <w:marBottom w:val="0"/>
          <w:divBdr>
            <w:top w:val="none" w:sz="0" w:space="0" w:color="auto"/>
            <w:left w:val="none" w:sz="0" w:space="0" w:color="auto"/>
            <w:bottom w:val="none" w:sz="0" w:space="0" w:color="auto"/>
            <w:right w:val="none" w:sz="0" w:space="0" w:color="auto"/>
          </w:divBdr>
          <w:divsChild>
            <w:div w:id="2065980754">
              <w:marLeft w:val="0"/>
              <w:marRight w:val="0"/>
              <w:marTop w:val="0"/>
              <w:marBottom w:val="0"/>
              <w:divBdr>
                <w:top w:val="none" w:sz="0" w:space="0" w:color="auto"/>
                <w:left w:val="none" w:sz="0" w:space="0" w:color="auto"/>
                <w:bottom w:val="none" w:sz="0" w:space="0" w:color="auto"/>
                <w:right w:val="none" w:sz="0" w:space="0" w:color="auto"/>
              </w:divBdr>
              <w:divsChild>
                <w:div w:id="485972191">
                  <w:marLeft w:val="0"/>
                  <w:marRight w:val="0"/>
                  <w:marTop w:val="0"/>
                  <w:marBottom w:val="0"/>
                  <w:divBdr>
                    <w:top w:val="none" w:sz="0" w:space="0" w:color="auto"/>
                    <w:left w:val="none" w:sz="0" w:space="0" w:color="auto"/>
                    <w:bottom w:val="none" w:sz="0" w:space="0" w:color="auto"/>
                    <w:right w:val="none" w:sz="0" w:space="0" w:color="auto"/>
                  </w:divBdr>
                  <w:divsChild>
                    <w:div w:id="1796218873">
                      <w:marLeft w:val="0"/>
                      <w:marRight w:val="0"/>
                      <w:marTop w:val="0"/>
                      <w:marBottom w:val="0"/>
                      <w:divBdr>
                        <w:top w:val="none" w:sz="0" w:space="0" w:color="auto"/>
                        <w:left w:val="none" w:sz="0" w:space="0" w:color="auto"/>
                        <w:bottom w:val="none" w:sz="0" w:space="0" w:color="auto"/>
                        <w:right w:val="none" w:sz="0" w:space="0" w:color="auto"/>
                      </w:divBdr>
                      <w:divsChild>
                        <w:div w:id="1050881550">
                          <w:marLeft w:val="0"/>
                          <w:marRight w:val="0"/>
                          <w:marTop w:val="0"/>
                          <w:marBottom w:val="0"/>
                          <w:divBdr>
                            <w:top w:val="none" w:sz="0" w:space="0" w:color="auto"/>
                            <w:left w:val="none" w:sz="0" w:space="0" w:color="auto"/>
                            <w:bottom w:val="none" w:sz="0" w:space="0" w:color="auto"/>
                            <w:right w:val="none" w:sz="0" w:space="0" w:color="auto"/>
                          </w:divBdr>
                          <w:divsChild>
                            <w:div w:id="1373311079">
                              <w:marLeft w:val="0"/>
                              <w:marRight w:val="0"/>
                              <w:marTop w:val="0"/>
                              <w:marBottom w:val="0"/>
                              <w:divBdr>
                                <w:top w:val="none" w:sz="0" w:space="0" w:color="auto"/>
                                <w:left w:val="none" w:sz="0" w:space="0" w:color="auto"/>
                                <w:bottom w:val="none" w:sz="0" w:space="0" w:color="auto"/>
                                <w:right w:val="none" w:sz="0" w:space="0" w:color="auto"/>
                              </w:divBdr>
                              <w:divsChild>
                                <w:div w:id="302468664">
                                  <w:marLeft w:val="0"/>
                                  <w:marRight w:val="0"/>
                                  <w:marTop w:val="0"/>
                                  <w:marBottom w:val="0"/>
                                  <w:divBdr>
                                    <w:top w:val="none" w:sz="0" w:space="0" w:color="auto"/>
                                    <w:left w:val="none" w:sz="0" w:space="0" w:color="auto"/>
                                    <w:bottom w:val="none" w:sz="0" w:space="0" w:color="auto"/>
                                    <w:right w:val="none" w:sz="0" w:space="0" w:color="auto"/>
                                  </w:divBdr>
                                  <w:divsChild>
                                    <w:div w:id="209072132">
                                      <w:marLeft w:val="0"/>
                                      <w:marRight w:val="0"/>
                                      <w:marTop w:val="0"/>
                                      <w:marBottom w:val="0"/>
                                      <w:divBdr>
                                        <w:top w:val="none" w:sz="0" w:space="0" w:color="auto"/>
                                        <w:left w:val="none" w:sz="0" w:space="0" w:color="auto"/>
                                        <w:bottom w:val="none" w:sz="0" w:space="0" w:color="auto"/>
                                        <w:right w:val="none" w:sz="0" w:space="0" w:color="auto"/>
                                      </w:divBdr>
                                      <w:divsChild>
                                        <w:div w:id="640497278">
                                          <w:marLeft w:val="0"/>
                                          <w:marRight w:val="0"/>
                                          <w:marTop w:val="0"/>
                                          <w:marBottom w:val="0"/>
                                          <w:divBdr>
                                            <w:top w:val="none" w:sz="0" w:space="0" w:color="auto"/>
                                            <w:left w:val="none" w:sz="0" w:space="0" w:color="auto"/>
                                            <w:bottom w:val="none" w:sz="0" w:space="0" w:color="auto"/>
                                            <w:right w:val="none" w:sz="0" w:space="0" w:color="auto"/>
                                          </w:divBdr>
                                          <w:divsChild>
                                            <w:div w:id="134642017">
                                              <w:marLeft w:val="0"/>
                                              <w:marRight w:val="0"/>
                                              <w:marTop w:val="0"/>
                                              <w:marBottom w:val="0"/>
                                              <w:divBdr>
                                                <w:top w:val="none" w:sz="0" w:space="0" w:color="auto"/>
                                                <w:left w:val="none" w:sz="0" w:space="0" w:color="auto"/>
                                                <w:bottom w:val="none" w:sz="0" w:space="0" w:color="auto"/>
                                                <w:right w:val="none" w:sz="0" w:space="0" w:color="auto"/>
                                              </w:divBdr>
                                              <w:divsChild>
                                                <w:div w:id="5382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1811899463">
      <w:bodyDiv w:val="1"/>
      <w:marLeft w:val="0"/>
      <w:marRight w:val="0"/>
      <w:marTop w:val="0"/>
      <w:marBottom w:val="0"/>
      <w:divBdr>
        <w:top w:val="none" w:sz="0" w:space="0" w:color="auto"/>
        <w:left w:val="none" w:sz="0" w:space="0" w:color="auto"/>
        <w:bottom w:val="none" w:sz="0" w:space="0" w:color="auto"/>
        <w:right w:val="none" w:sz="0" w:space="0" w:color="auto"/>
      </w:divBdr>
      <w:divsChild>
        <w:div w:id="319961765">
          <w:marLeft w:val="0"/>
          <w:marRight w:val="0"/>
          <w:marTop w:val="0"/>
          <w:marBottom w:val="0"/>
          <w:divBdr>
            <w:top w:val="none" w:sz="0" w:space="0" w:color="auto"/>
            <w:left w:val="none" w:sz="0" w:space="0" w:color="auto"/>
            <w:bottom w:val="none" w:sz="0" w:space="0" w:color="auto"/>
            <w:right w:val="none" w:sz="0" w:space="0" w:color="auto"/>
          </w:divBdr>
          <w:divsChild>
            <w:div w:id="1929805173">
              <w:marLeft w:val="0"/>
              <w:marRight w:val="0"/>
              <w:marTop w:val="0"/>
              <w:marBottom w:val="0"/>
              <w:divBdr>
                <w:top w:val="none" w:sz="0" w:space="0" w:color="auto"/>
                <w:left w:val="none" w:sz="0" w:space="0" w:color="auto"/>
                <w:bottom w:val="none" w:sz="0" w:space="0" w:color="auto"/>
                <w:right w:val="none" w:sz="0" w:space="0" w:color="auto"/>
              </w:divBdr>
              <w:divsChild>
                <w:div w:id="1222709896">
                  <w:marLeft w:val="0"/>
                  <w:marRight w:val="0"/>
                  <w:marTop w:val="0"/>
                  <w:marBottom w:val="0"/>
                  <w:divBdr>
                    <w:top w:val="none" w:sz="0" w:space="0" w:color="auto"/>
                    <w:left w:val="none" w:sz="0" w:space="0" w:color="auto"/>
                    <w:bottom w:val="none" w:sz="0" w:space="0" w:color="auto"/>
                    <w:right w:val="none" w:sz="0" w:space="0" w:color="auto"/>
                  </w:divBdr>
                  <w:divsChild>
                    <w:div w:id="617184103">
                      <w:marLeft w:val="0"/>
                      <w:marRight w:val="0"/>
                      <w:marTop w:val="0"/>
                      <w:marBottom w:val="0"/>
                      <w:divBdr>
                        <w:top w:val="none" w:sz="0" w:space="0" w:color="auto"/>
                        <w:left w:val="none" w:sz="0" w:space="0" w:color="auto"/>
                        <w:bottom w:val="none" w:sz="0" w:space="0" w:color="auto"/>
                        <w:right w:val="none" w:sz="0" w:space="0" w:color="auto"/>
                      </w:divBdr>
                      <w:divsChild>
                        <w:div w:id="1896504354">
                          <w:marLeft w:val="0"/>
                          <w:marRight w:val="0"/>
                          <w:marTop w:val="0"/>
                          <w:marBottom w:val="0"/>
                          <w:divBdr>
                            <w:top w:val="none" w:sz="0" w:space="0" w:color="auto"/>
                            <w:left w:val="none" w:sz="0" w:space="0" w:color="auto"/>
                            <w:bottom w:val="none" w:sz="0" w:space="0" w:color="auto"/>
                            <w:right w:val="none" w:sz="0" w:space="0" w:color="auto"/>
                          </w:divBdr>
                          <w:divsChild>
                            <w:div w:id="849880456">
                              <w:marLeft w:val="0"/>
                              <w:marRight w:val="0"/>
                              <w:marTop w:val="0"/>
                              <w:marBottom w:val="0"/>
                              <w:divBdr>
                                <w:top w:val="none" w:sz="0" w:space="0" w:color="auto"/>
                                <w:left w:val="none" w:sz="0" w:space="0" w:color="auto"/>
                                <w:bottom w:val="none" w:sz="0" w:space="0" w:color="auto"/>
                                <w:right w:val="none" w:sz="0" w:space="0" w:color="auto"/>
                              </w:divBdr>
                              <w:divsChild>
                                <w:div w:id="211423064">
                                  <w:marLeft w:val="0"/>
                                  <w:marRight w:val="0"/>
                                  <w:marTop w:val="0"/>
                                  <w:marBottom w:val="0"/>
                                  <w:divBdr>
                                    <w:top w:val="none" w:sz="0" w:space="0" w:color="auto"/>
                                    <w:left w:val="none" w:sz="0" w:space="0" w:color="auto"/>
                                    <w:bottom w:val="none" w:sz="0" w:space="0" w:color="auto"/>
                                    <w:right w:val="none" w:sz="0" w:space="0" w:color="auto"/>
                                  </w:divBdr>
                                  <w:divsChild>
                                    <w:div w:id="1108743677">
                                      <w:marLeft w:val="0"/>
                                      <w:marRight w:val="0"/>
                                      <w:marTop w:val="0"/>
                                      <w:marBottom w:val="0"/>
                                      <w:divBdr>
                                        <w:top w:val="none" w:sz="0" w:space="0" w:color="auto"/>
                                        <w:left w:val="none" w:sz="0" w:space="0" w:color="auto"/>
                                        <w:bottom w:val="none" w:sz="0" w:space="0" w:color="auto"/>
                                        <w:right w:val="none" w:sz="0" w:space="0" w:color="auto"/>
                                      </w:divBdr>
                                      <w:divsChild>
                                        <w:div w:id="965543865">
                                          <w:marLeft w:val="0"/>
                                          <w:marRight w:val="0"/>
                                          <w:marTop w:val="0"/>
                                          <w:marBottom w:val="0"/>
                                          <w:divBdr>
                                            <w:top w:val="none" w:sz="0" w:space="0" w:color="auto"/>
                                            <w:left w:val="none" w:sz="0" w:space="0" w:color="auto"/>
                                            <w:bottom w:val="none" w:sz="0" w:space="0" w:color="auto"/>
                                            <w:right w:val="none" w:sz="0" w:space="0" w:color="auto"/>
                                          </w:divBdr>
                                          <w:divsChild>
                                            <w:div w:id="703597994">
                                              <w:marLeft w:val="0"/>
                                              <w:marRight w:val="0"/>
                                              <w:marTop w:val="0"/>
                                              <w:marBottom w:val="0"/>
                                              <w:divBdr>
                                                <w:top w:val="none" w:sz="0" w:space="0" w:color="auto"/>
                                                <w:left w:val="none" w:sz="0" w:space="0" w:color="auto"/>
                                                <w:bottom w:val="none" w:sz="0" w:space="0" w:color="auto"/>
                                                <w:right w:val="none" w:sz="0" w:space="0" w:color="auto"/>
                                              </w:divBdr>
                                              <w:divsChild>
                                                <w:div w:id="76357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info/industry/listing/elements/pbac-meetings/psd/2008-03/pbac-psd-exenatide-mar08" TargetMode="External"/><Relationship Id="rId18" Type="http://schemas.openxmlformats.org/officeDocument/2006/relationships/hyperlink" Target="http://www.pbs.gov.au/info/industry/listing/elements/pbac-meetings/psd/2013-11/exenatid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bs.gov.au/info/industry/listing/elements/pbac-meetings/psd/2007-07/pbac-psd-exentide-july07" TargetMode="External"/><Relationship Id="rId17" Type="http://schemas.openxmlformats.org/officeDocument/2006/relationships/hyperlink" Target="http://www.pbs.gov.au/info/industry/listing/elements/pbac-meetings/psd/2014-07/lixisenatide-with-insulin-psd-07-2014" TargetMode="External"/><Relationship Id="rId25" Type="http://schemas.openxmlformats.org/officeDocument/2006/relationships/footer" Target="footer1.xml"/><Relationship Id="rId33"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hyperlink" Target="http://www.pbs.gov.au/info/industry/listing/elements/pbac-meetings/psd/2014-07/lixisenatide-dual-triple-therapy-psd-07-2014" TargetMode="External"/><Relationship Id="rId20" Type="http://schemas.openxmlformats.org/officeDocument/2006/relationships/chart" Target="charts/chart2.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 TargetMode="External"/><Relationship Id="rId24" Type="http://schemas.openxmlformats.org/officeDocument/2006/relationships/header" Target="header2.xml"/><Relationship Id="rId32"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www.pbs.gov.au/info/industry/listing/elements/pbac-meetings/psd/2013-03/liraglutid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tga.gov.au/consumers/information-medicines-cmi.htm" TargetMode="External"/><Relationship Id="rId19" Type="http://schemas.openxmlformats.org/officeDocument/2006/relationships/chart" Target="charts/chart1.xml"/><Relationship Id="rId31"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hyperlink" Target="http://www.pbs.gov.au/info/industry/listing/elements/pbac-meetings/psd/2008-11/pbac-psd-exenatide-nov08" TargetMode="External"/><Relationship Id="rId22" Type="http://schemas.openxmlformats.org/officeDocument/2006/relationships/chart" Target="charts/chart4.xml"/><Relationship Id="rId27" Type="http://schemas.openxmlformats.org/officeDocument/2006/relationships/header" Target="header3.xml"/><Relationship Id="rId30" Type="http://schemas.openxmlformats.org/officeDocument/2006/relationships/chart" Target="charts/chart6.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[Chart in Microsoft Word]Sheet1 (3)!PivotTable3</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s>
    <c:plotArea>
      <c:layout/>
      <c:lineChart>
        <c:grouping val="standard"/>
        <c:varyColors val="0"/>
        <c:ser>
          <c:idx val="0"/>
          <c:order val="0"/>
          <c:tx>
            <c:strRef>
              <c:f>'Sheet1 (3)'!$C$4:$C$5</c:f>
              <c:strCache>
                <c:ptCount val="1"/>
                <c:pt idx="0">
                  <c:v>prevalent patients</c:v>
                </c:pt>
              </c:strCache>
            </c:strRef>
          </c:tx>
          <c:cat>
            <c:multiLvlStrRef>
              <c:f>'Sheet1 (3)'!$A$6:$B$21</c:f>
              <c:multiLvlStrCache>
                <c:ptCount val="15"/>
                <c:lvl>
                  <c:pt idx="0">
                    <c:v>2010Q3</c:v>
                  </c:pt>
                  <c:pt idx="1">
                    <c:v>2010Q4</c:v>
                  </c:pt>
                  <c:pt idx="2">
                    <c:v>2011Q1</c:v>
                  </c:pt>
                  <c:pt idx="3">
                    <c:v>2011Q2</c:v>
                  </c:pt>
                  <c:pt idx="4">
                    <c:v>2011Q3</c:v>
                  </c:pt>
                  <c:pt idx="5">
                    <c:v>2011Q4</c:v>
                  </c:pt>
                  <c:pt idx="6">
                    <c:v>2012Q1</c:v>
                  </c:pt>
                  <c:pt idx="7">
                    <c:v>2012Q2</c:v>
                  </c:pt>
                  <c:pt idx="8">
                    <c:v>2012Q3</c:v>
                  </c:pt>
                  <c:pt idx="9">
                    <c:v>2012Q4</c:v>
                  </c:pt>
                  <c:pt idx="10">
                    <c:v>2013Q1</c:v>
                  </c:pt>
                  <c:pt idx="11">
                    <c:v>2013Q2</c:v>
                  </c:pt>
                  <c:pt idx="12">
                    <c:v>2013Q3</c:v>
                  </c:pt>
                  <c:pt idx="13">
                    <c:v>2013Q4</c:v>
                  </c:pt>
                  <c:pt idx="14">
                    <c:v>2014Q1</c:v>
                  </c:pt>
                </c:lvl>
                <c:lvl>
                  <c:pt idx="0">
                    <c:v>2010</c:v>
                  </c:pt>
                  <c:pt idx="2">
                    <c:v>2011</c:v>
                  </c:pt>
                  <c:pt idx="6">
                    <c:v>2012</c:v>
                  </c:pt>
                  <c:pt idx="10">
                    <c:v>2013</c:v>
                  </c:pt>
                  <c:pt idx="14">
                    <c:v>2014</c:v>
                  </c:pt>
                </c:lvl>
              </c:multiLvlStrCache>
            </c:multiLvlStrRef>
          </c:cat>
          <c:val>
            <c:numRef>
              <c:f>'Sheet1 (3)'!$C$6:$C$21</c:f>
              <c:numCache>
                <c:formatCode>General</c:formatCode>
                <c:ptCount val="15"/>
                <c:pt idx="0">
                  <c:v>1282</c:v>
                </c:pt>
                <c:pt idx="1">
                  <c:v>3003</c:v>
                </c:pt>
                <c:pt idx="2">
                  <c:v>3915</c:v>
                </c:pt>
                <c:pt idx="3">
                  <c:v>5111</c:v>
                </c:pt>
                <c:pt idx="4">
                  <c:v>6415</c:v>
                </c:pt>
                <c:pt idx="5">
                  <c:v>7851</c:v>
                </c:pt>
                <c:pt idx="6">
                  <c:v>8403</c:v>
                </c:pt>
                <c:pt idx="7">
                  <c:v>9759</c:v>
                </c:pt>
                <c:pt idx="8">
                  <c:v>11090</c:v>
                </c:pt>
                <c:pt idx="9">
                  <c:v>12583</c:v>
                </c:pt>
                <c:pt idx="10">
                  <c:v>12672</c:v>
                </c:pt>
                <c:pt idx="11">
                  <c:v>14107</c:v>
                </c:pt>
                <c:pt idx="12">
                  <c:v>15602</c:v>
                </c:pt>
                <c:pt idx="13">
                  <c:v>17174</c:v>
                </c:pt>
                <c:pt idx="14">
                  <c:v>16648</c:v>
                </c:pt>
              </c:numCache>
            </c:numRef>
          </c:val>
          <c:smooth val="0"/>
        </c:ser>
        <c:ser>
          <c:idx val="1"/>
          <c:order val="1"/>
          <c:tx>
            <c:strRef>
              <c:f>'Sheet1 (3)'!$D$4:$D$5</c:f>
              <c:strCache>
                <c:ptCount val="1"/>
                <c:pt idx="0">
                  <c:v>initiating patients</c:v>
                </c:pt>
              </c:strCache>
            </c:strRef>
          </c:tx>
          <c:cat>
            <c:multiLvlStrRef>
              <c:f>'Sheet1 (3)'!$A$6:$B$21</c:f>
              <c:multiLvlStrCache>
                <c:ptCount val="15"/>
                <c:lvl>
                  <c:pt idx="0">
                    <c:v>2010Q3</c:v>
                  </c:pt>
                  <c:pt idx="1">
                    <c:v>2010Q4</c:v>
                  </c:pt>
                  <c:pt idx="2">
                    <c:v>2011Q1</c:v>
                  </c:pt>
                  <c:pt idx="3">
                    <c:v>2011Q2</c:v>
                  </c:pt>
                  <c:pt idx="4">
                    <c:v>2011Q3</c:v>
                  </c:pt>
                  <c:pt idx="5">
                    <c:v>2011Q4</c:v>
                  </c:pt>
                  <c:pt idx="6">
                    <c:v>2012Q1</c:v>
                  </c:pt>
                  <c:pt idx="7">
                    <c:v>2012Q2</c:v>
                  </c:pt>
                  <c:pt idx="8">
                    <c:v>2012Q3</c:v>
                  </c:pt>
                  <c:pt idx="9">
                    <c:v>2012Q4</c:v>
                  </c:pt>
                  <c:pt idx="10">
                    <c:v>2013Q1</c:v>
                  </c:pt>
                  <c:pt idx="11">
                    <c:v>2013Q2</c:v>
                  </c:pt>
                  <c:pt idx="12">
                    <c:v>2013Q3</c:v>
                  </c:pt>
                  <c:pt idx="13">
                    <c:v>2013Q4</c:v>
                  </c:pt>
                  <c:pt idx="14">
                    <c:v>2014Q1</c:v>
                  </c:pt>
                </c:lvl>
                <c:lvl>
                  <c:pt idx="0">
                    <c:v>2010</c:v>
                  </c:pt>
                  <c:pt idx="2">
                    <c:v>2011</c:v>
                  </c:pt>
                  <c:pt idx="6">
                    <c:v>2012</c:v>
                  </c:pt>
                  <c:pt idx="10">
                    <c:v>2013</c:v>
                  </c:pt>
                  <c:pt idx="14">
                    <c:v>2014</c:v>
                  </c:pt>
                </c:lvl>
              </c:multiLvlStrCache>
            </c:multiLvlStrRef>
          </c:cat>
          <c:val>
            <c:numRef>
              <c:f>'Sheet1 (3)'!$D$6:$D$21</c:f>
              <c:numCache>
                <c:formatCode>General</c:formatCode>
                <c:ptCount val="15"/>
                <c:pt idx="0">
                  <c:v>1282</c:v>
                </c:pt>
                <c:pt idx="1">
                  <c:v>1889</c:v>
                </c:pt>
                <c:pt idx="2">
                  <c:v>1482</c:v>
                </c:pt>
                <c:pt idx="3">
                  <c:v>1743</c:v>
                </c:pt>
                <c:pt idx="4">
                  <c:v>1985</c:v>
                </c:pt>
                <c:pt idx="5">
                  <c:v>2234</c:v>
                </c:pt>
                <c:pt idx="6">
                  <c:v>1805</c:v>
                </c:pt>
                <c:pt idx="7">
                  <c:v>2154</c:v>
                </c:pt>
                <c:pt idx="8">
                  <c:v>2466</c:v>
                </c:pt>
                <c:pt idx="9">
                  <c:v>2581</c:v>
                </c:pt>
                <c:pt idx="10">
                  <c:v>2072</c:v>
                </c:pt>
                <c:pt idx="11">
                  <c:v>2488</c:v>
                </c:pt>
                <c:pt idx="12">
                  <c:v>2860</c:v>
                </c:pt>
                <c:pt idx="13">
                  <c:v>2947</c:v>
                </c:pt>
                <c:pt idx="14">
                  <c:v>2237</c:v>
                </c:pt>
              </c:numCache>
            </c:numRef>
          </c:val>
          <c:smooth val="0"/>
        </c:ser>
        <c:dLbls>
          <c:showLegendKey val="0"/>
          <c:showVal val="0"/>
          <c:showCatName val="0"/>
          <c:showSerName val="0"/>
          <c:showPercent val="0"/>
          <c:showBubbleSize val="0"/>
        </c:dLbls>
        <c:marker val="1"/>
        <c:smooth val="0"/>
        <c:axId val="85398272"/>
        <c:axId val="85399808"/>
      </c:lineChart>
      <c:catAx>
        <c:axId val="85398272"/>
        <c:scaling>
          <c:orientation val="minMax"/>
        </c:scaling>
        <c:delete val="0"/>
        <c:axPos val="b"/>
        <c:majorTickMark val="none"/>
        <c:minorTickMark val="none"/>
        <c:tickLblPos val="nextTo"/>
        <c:txPr>
          <a:bodyPr rot="-5400000" vert="horz"/>
          <a:lstStyle/>
          <a:p>
            <a:pPr>
              <a:defRPr/>
            </a:pPr>
            <a:endParaRPr lang="en-US"/>
          </a:p>
        </c:txPr>
        <c:crossAx val="85399808"/>
        <c:crosses val="autoZero"/>
        <c:auto val="1"/>
        <c:lblAlgn val="ctr"/>
        <c:lblOffset val="100"/>
        <c:noMultiLvlLbl val="0"/>
      </c:catAx>
      <c:valAx>
        <c:axId val="85399808"/>
        <c:scaling>
          <c:orientation val="minMax"/>
          <c:max val="18000"/>
        </c:scaling>
        <c:delete val="0"/>
        <c:axPos val="l"/>
        <c:majorGridlines/>
        <c:numFmt formatCode="#,##0" sourceLinked="0"/>
        <c:majorTickMark val="none"/>
        <c:minorTickMark val="none"/>
        <c:tickLblPos val="nextTo"/>
        <c:crossAx val="85398272"/>
        <c:crosses val="autoZero"/>
        <c:crossBetween val="between"/>
      </c:valAx>
    </c:plotArea>
    <c:legend>
      <c:legendPos val="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[D814 PATCNT  exenatide -  by QOS - fig1 + age &amp; gender.xlsx]Sheet1 (4)!PivotTable3</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s>
    <c:plotArea>
      <c:layout/>
      <c:lineChart>
        <c:grouping val="standard"/>
        <c:varyColors val="0"/>
        <c:ser>
          <c:idx val="0"/>
          <c:order val="0"/>
          <c:tx>
            <c:strRef>
              <c:f>'Sheet1 (4)'!$B$5:$B$6</c:f>
              <c:strCache>
                <c:ptCount val="1"/>
                <c:pt idx="0">
                  <c:v>Male</c:v>
                </c:pt>
              </c:strCache>
            </c:strRef>
          </c:tx>
          <c:cat>
            <c:strRef>
              <c:f>'Sheet1 (4)'!$A$7:$A$98</c:f>
              <c:strCache>
                <c:ptCount val="91"/>
                <c:pt idx="0">
                  <c:v>2</c:v>
                </c:pt>
                <c:pt idx="1">
                  <c:v>4</c:v>
                </c:pt>
                <c:pt idx="2">
                  <c:v>6</c:v>
                </c:pt>
                <c:pt idx="3">
                  <c:v>7</c:v>
                </c:pt>
                <c:pt idx="4">
                  <c:v>8</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25</c:v>
                </c:pt>
                <c:pt idx="20">
                  <c:v>26</c:v>
                </c:pt>
                <c:pt idx="21">
                  <c:v>27</c:v>
                </c:pt>
                <c:pt idx="22">
                  <c:v>28</c:v>
                </c:pt>
                <c:pt idx="23">
                  <c:v>29</c:v>
                </c:pt>
                <c:pt idx="24">
                  <c:v>30</c:v>
                </c:pt>
                <c:pt idx="25">
                  <c:v>31</c:v>
                </c:pt>
                <c:pt idx="26">
                  <c:v>32</c:v>
                </c:pt>
                <c:pt idx="27">
                  <c:v>33</c:v>
                </c:pt>
                <c:pt idx="28">
                  <c:v>34</c:v>
                </c:pt>
                <c:pt idx="29">
                  <c:v>35</c:v>
                </c:pt>
                <c:pt idx="30">
                  <c:v>36</c:v>
                </c:pt>
                <c:pt idx="31">
                  <c:v>37</c:v>
                </c:pt>
                <c:pt idx="32">
                  <c:v>38</c:v>
                </c:pt>
                <c:pt idx="33">
                  <c:v>39</c:v>
                </c:pt>
                <c:pt idx="34">
                  <c:v>40</c:v>
                </c:pt>
                <c:pt idx="35">
                  <c:v>41</c:v>
                </c:pt>
                <c:pt idx="36">
                  <c:v>42</c:v>
                </c:pt>
                <c:pt idx="37">
                  <c:v>43</c:v>
                </c:pt>
                <c:pt idx="38">
                  <c:v>44</c:v>
                </c:pt>
                <c:pt idx="39">
                  <c:v>45</c:v>
                </c:pt>
                <c:pt idx="40">
                  <c:v>46</c:v>
                </c:pt>
                <c:pt idx="41">
                  <c:v>47</c:v>
                </c:pt>
                <c:pt idx="42">
                  <c:v>48</c:v>
                </c:pt>
                <c:pt idx="43">
                  <c:v>49</c:v>
                </c:pt>
                <c:pt idx="44">
                  <c:v>50</c:v>
                </c:pt>
                <c:pt idx="45">
                  <c:v>51</c:v>
                </c:pt>
                <c:pt idx="46">
                  <c:v>52</c:v>
                </c:pt>
                <c:pt idx="47">
                  <c:v>53</c:v>
                </c:pt>
                <c:pt idx="48">
                  <c:v>54</c:v>
                </c:pt>
                <c:pt idx="49">
                  <c:v>55</c:v>
                </c:pt>
                <c:pt idx="50">
                  <c:v>56</c:v>
                </c:pt>
                <c:pt idx="51">
                  <c:v>57</c:v>
                </c:pt>
                <c:pt idx="52">
                  <c:v>58</c:v>
                </c:pt>
                <c:pt idx="53">
                  <c:v>59</c:v>
                </c:pt>
                <c:pt idx="54">
                  <c:v>60</c:v>
                </c:pt>
                <c:pt idx="55">
                  <c:v>61</c:v>
                </c:pt>
                <c:pt idx="56">
                  <c:v>62</c:v>
                </c:pt>
                <c:pt idx="57">
                  <c:v>63</c:v>
                </c:pt>
                <c:pt idx="58">
                  <c:v>64</c:v>
                </c:pt>
                <c:pt idx="59">
                  <c:v>65</c:v>
                </c:pt>
                <c:pt idx="60">
                  <c:v>66</c:v>
                </c:pt>
                <c:pt idx="61">
                  <c:v>67</c:v>
                </c:pt>
                <c:pt idx="62">
                  <c:v>68</c:v>
                </c:pt>
                <c:pt idx="63">
                  <c:v>69</c:v>
                </c:pt>
                <c:pt idx="64">
                  <c:v>70</c:v>
                </c:pt>
                <c:pt idx="65">
                  <c:v>71</c:v>
                </c:pt>
                <c:pt idx="66">
                  <c:v>72</c:v>
                </c:pt>
                <c:pt idx="67">
                  <c:v>73</c:v>
                </c:pt>
                <c:pt idx="68">
                  <c:v>74</c:v>
                </c:pt>
                <c:pt idx="69">
                  <c:v>75</c:v>
                </c:pt>
                <c:pt idx="70">
                  <c:v>76</c:v>
                </c:pt>
                <c:pt idx="71">
                  <c:v>77</c:v>
                </c:pt>
                <c:pt idx="72">
                  <c:v>78</c:v>
                </c:pt>
                <c:pt idx="73">
                  <c:v>79</c:v>
                </c:pt>
                <c:pt idx="74">
                  <c:v>80</c:v>
                </c:pt>
                <c:pt idx="75">
                  <c:v>81</c:v>
                </c:pt>
                <c:pt idx="76">
                  <c:v>82</c:v>
                </c:pt>
                <c:pt idx="77">
                  <c:v>83</c:v>
                </c:pt>
                <c:pt idx="78">
                  <c:v>84</c:v>
                </c:pt>
                <c:pt idx="79">
                  <c:v>85</c:v>
                </c:pt>
                <c:pt idx="80">
                  <c:v>86</c:v>
                </c:pt>
                <c:pt idx="81">
                  <c:v>87</c:v>
                </c:pt>
                <c:pt idx="82">
                  <c:v>88</c:v>
                </c:pt>
                <c:pt idx="83">
                  <c:v>89</c:v>
                </c:pt>
                <c:pt idx="84">
                  <c:v>90</c:v>
                </c:pt>
                <c:pt idx="85">
                  <c:v>91</c:v>
                </c:pt>
                <c:pt idx="86">
                  <c:v>93</c:v>
                </c:pt>
                <c:pt idx="87">
                  <c:v>94</c:v>
                </c:pt>
                <c:pt idx="88">
                  <c:v>96</c:v>
                </c:pt>
                <c:pt idx="89">
                  <c:v>100</c:v>
                </c:pt>
                <c:pt idx="90">
                  <c:v>109</c:v>
                </c:pt>
              </c:strCache>
            </c:strRef>
          </c:cat>
          <c:val>
            <c:numRef>
              <c:f>'Sheet1 (4)'!$B$7:$B$98</c:f>
              <c:numCache>
                <c:formatCode>General</c:formatCode>
                <c:ptCount val="91"/>
                <c:pt idx="0">
                  <c:v>2</c:v>
                </c:pt>
                <c:pt idx="1">
                  <c:v>1</c:v>
                </c:pt>
                <c:pt idx="2">
                  <c:v>1</c:v>
                </c:pt>
                <c:pt idx="3">
                  <c:v>1</c:v>
                </c:pt>
                <c:pt idx="4">
                  <c:v>2</c:v>
                </c:pt>
                <c:pt idx="5">
                  <c:v>1</c:v>
                </c:pt>
                <c:pt idx="8">
                  <c:v>1</c:v>
                </c:pt>
                <c:pt idx="10">
                  <c:v>1</c:v>
                </c:pt>
                <c:pt idx="12">
                  <c:v>2</c:v>
                </c:pt>
                <c:pt idx="13">
                  <c:v>7</c:v>
                </c:pt>
                <c:pt idx="14">
                  <c:v>8</c:v>
                </c:pt>
                <c:pt idx="15">
                  <c:v>3</c:v>
                </c:pt>
                <c:pt idx="16">
                  <c:v>12</c:v>
                </c:pt>
                <c:pt idx="17">
                  <c:v>15</c:v>
                </c:pt>
                <c:pt idx="18">
                  <c:v>10</c:v>
                </c:pt>
                <c:pt idx="19">
                  <c:v>13</c:v>
                </c:pt>
                <c:pt idx="20">
                  <c:v>21</c:v>
                </c:pt>
                <c:pt idx="21">
                  <c:v>21</c:v>
                </c:pt>
                <c:pt idx="22">
                  <c:v>15</c:v>
                </c:pt>
                <c:pt idx="23">
                  <c:v>30</c:v>
                </c:pt>
                <c:pt idx="24">
                  <c:v>38</c:v>
                </c:pt>
                <c:pt idx="25">
                  <c:v>32</c:v>
                </c:pt>
                <c:pt idx="26">
                  <c:v>64</c:v>
                </c:pt>
                <c:pt idx="27">
                  <c:v>44</c:v>
                </c:pt>
                <c:pt idx="28">
                  <c:v>56</c:v>
                </c:pt>
                <c:pt idx="29">
                  <c:v>77</c:v>
                </c:pt>
                <c:pt idx="30">
                  <c:v>73</c:v>
                </c:pt>
                <c:pt idx="31">
                  <c:v>110</c:v>
                </c:pt>
                <c:pt idx="32">
                  <c:v>123</c:v>
                </c:pt>
                <c:pt idx="33">
                  <c:v>151</c:v>
                </c:pt>
                <c:pt idx="34">
                  <c:v>171</c:v>
                </c:pt>
                <c:pt idx="35">
                  <c:v>176</c:v>
                </c:pt>
                <c:pt idx="36">
                  <c:v>191</c:v>
                </c:pt>
                <c:pt idx="37">
                  <c:v>230</c:v>
                </c:pt>
                <c:pt idx="38">
                  <c:v>241</c:v>
                </c:pt>
                <c:pt idx="39">
                  <c:v>241</c:v>
                </c:pt>
                <c:pt idx="40">
                  <c:v>291</c:v>
                </c:pt>
                <c:pt idx="41">
                  <c:v>266</c:v>
                </c:pt>
                <c:pt idx="42">
                  <c:v>397</c:v>
                </c:pt>
                <c:pt idx="43">
                  <c:v>401</c:v>
                </c:pt>
                <c:pt idx="44">
                  <c:v>447</c:v>
                </c:pt>
                <c:pt idx="45">
                  <c:v>474</c:v>
                </c:pt>
                <c:pt idx="46">
                  <c:v>450</c:v>
                </c:pt>
                <c:pt idx="47">
                  <c:v>513</c:v>
                </c:pt>
                <c:pt idx="48">
                  <c:v>519</c:v>
                </c:pt>
                <c:pt idx="49">
                  <c:v>551</c:v>
                </c:pt>
                <c:pt idx="50">
                  <c:v>568</c:v>
                </c:pt>
                <c:pt idx="51">
                  <c:v>590</c:v>
                </c:pt>
                <c:pt idx="52">
                  <c:v>565</c:v>
                </c:pt>
                <c:pt idx="53">
                  <c:v>681</c:v>
                </c:pt>
                <c:pt idx="54">
                  <c:v>664</c:v>
                </c:pt>
                <c:pt idx="55">
                  <c:v>626</c:v>
                </c:pt>
                <c:pt idx="56">
                  <c:v>693</c:v>
                </c:pt>
                <c:pt idx="57">
                  <c:v>649</c:v>
                </c:pt>
                <c:pt idx="58">
                  <c:v>665</c:v>
                </c:pt>
                <c:pt idx="59">
                  <c:v>633</c:v>
                </c:pt>
                <c:pt idx="60">
                  <c:v>543</c:v>
                </c:pt>
                <c:pt idx="61">
                  <c:v>471</c:v>
                </c:pt>
                <c:pt idx="62">
                  <c:v>472</c:v>
                </c:pt>
                <c:pt idx="63">
                  <c:v>403</c:v>
                </c:pt>
                <c:pt idx="64">
                  <c:v>331</c:v>
                </c:pt>
                <c:pt idx="65">
                  <c:v>308</c:v>
                </c:pt>
                <c:pt idx="66">
                  <c:v>249</c:v>
                </c:pt>
                <c:pt idx="67">
                  <c:v>230</c:v>
                </c:pt>
                <c:pt idx="68">
                  <c:v>190</c:v>
                </c:pt>
                <c:pt idx="69">
                  <c:v>189</c:v>
                </c:pt>
                <c:pt idx="70">
                  <c:v>129</c:v>
                </c:pt>
                <c:pt idx="71">
                  <c:v>92</c:v>
                </c:pt>
                <c:pt idx="72">
                  <c:v>85</c:v>
                </c:pt>
                <c:pt idx="73">
                  <c:v>65</c:v>
                </c:pt>
                <c:pt idx="74">
                  <c:v>54</c:v>
                </c:pt>
                <c:pt idx="75">
                  <c:v>33</c:v>
                </c:pt>
                <c:pt idx="76">
                  <c:v>36</c:v>
                </c:pt>
                <c:pt idx="77">
                  <c:v>23</c:v>
                </c:pt>
                <c:pt idx="78">
                  <c:v>22</c:v>
                </c:pt>
                <c:pt idx="79">
                  <c:v>17</c:v>
                </c:pt>
                <c:pt idx="80">
                  <c:v>11</c:v>
                </c:pt>
                <c:pt idx="81">
                  <c:v>7</c:v>
                </c:pt>
                <c:pt idx="82">
                  <c:v>5</c:v>
                </c:pt>
                <c:pt idx="83">
                  <c:v>4</c:v>
                </c:pt>
                <c:pt idx="84">
                  <c:v>3</c:v>
                </c:pt>
                <c:pt idx="86">
                  <c:v>1</c:v>
                </c:pt>
                <c:pt idx="89">
                  <c:v>1</c:v>
                </c:pt>
                <c:pt idx="90">
                  <c:v>1</c:v>
                </c:pt>
              </c:numCache>
            </c:numRef>
          </c:val>
          <c:smooth val="0"/>
        </c:ser>
        <c:ser>
          <c:idx val="1"/>
          <c:order val="1"/>
          <c:tx>
            <c:strRef>
              <c:f>'Sheet1 (4)'!$C$5:$C$6</c:f>
              <c:strCache>
                <c:ptCount val="1"/>
                <c:pt idx="0">
                  <c:v>Female</c:v>
                </c:pt>
              </c:strCache>
            </c:strRef>
          </c:tx>
          <c:cat>
            <c:strRef>
              <c:f>'Sheet1 (4)'!$A$7:$A$98</c:f>
              <c:strCache>
                <c:ptCount val="91"/>
                <c:pt idx="0">
                  <c:v>2</c:v>
                </c:pt>
                <c:pt idx="1">
                  <c:v>4</c:v>
                </c:pt>
                <c:pt idx="2">
                  <c:v>6</c:v>
                </c:pt>
                <c:pt idx="3">
                  <c:v>7</c:v>
                </c:pt>
                <c:pt idx="4">
                  <c:v>8</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25</c:v>
                </c:pt>
                <c:pt idx="20">
                  <c:v>26</c:v>
                </c:pt>
                <c:pt idx="21">
                  <c:v>27</c:v>
                </c:pt>
                <c:pt idx="22">
                  <c:v>28</c:v>
                </c:pt>
                <c:pt idx="23">
                  <c:v>29</c:v>
                </c:pt>
                <c:pt idx="24">
                  <c:v>30</c:v>
                </c:pt>
                <c:pt idx="25">
                  <c:v>31</c:v>
                </c:pt>
                <c:pt idx="26">
                  <c:v>32</c:v>
                </c:pt>
                <c:pt idx="27">
                  <c:v>33</c:v>
                </c:pt>
                <c:pt idx="28">
                  <c:v>34</c:v>
                </c:pt>
                <c:pt idx="29">
                  <c:v>35</c:v>
                </c:pt>
                <c:pt idx="30">
                  <c:v>36</c:v>
                </c:pt>
                <c:pt idx="31">
                  <c:v>37</c:v>
                </c:pt>
                <c:pt idx="32">
                  <c:v>38</c:v>
                </c:pt>
                <c:pt idx="33">
                  <c:v>39</c:v>
                </c:pt>
                <c:pt idx="34">
                  <c:v>40</c:v>
                </c:pt>
                <c:pt idx="35">
                  <c:v>41</c:v>
                </c:pt>
                <c:pt idx="36">
                  <c:v>42</c:v>
                </c:pt>
                <c:pt idx="37">
                  <c:v>43</c:v>
                </c:pt>
                <c:pt idx="38">
                  <c:v>44</c:v>
                </c:pt>
                <c:pt idx="39">
                  <c:v>45</c:v>
                </c:pt>
                <c:pt idx="40">
                  <c:v>46</c:v>
                </c:pt>
                <c:pt idx="41">
                  <c:v>47</c:v>
                </c:pt>
                <c:pt idx="42">
                  <c:v>48</c:v>
                </c:pt>
                <c:pt idx="43">
                  <c:v>49</c:v>
                </c:pt>
                <c:pt idx="44">
                  <c:v>50</c:v>
                </c:pt>
                <c:pt idx="45">
                  <c:v>51</c:v>
                </c:pt>
                <c:pt idx="46">
                  <c:v>52</c:v>
                </c:pt>
                <c:pt idx="47">
                  <c:v>53</c:v>
                </c:pt>
                <c:pt idx="48">
                  <c:v>54</c:v>
                </c:pt>
                <c:pt idx="49">
                  <c:v>55</c:v>
                </c:pt>
                <c:pt idx="50">
                  <c:v>56</c:v>
                </c:pt>
                <c:pt idx="51">
                  <c:v>57</c:v>
                </c:pt>
                <c:pt idx="52">
                  <c:v>58</c:v>
                </c:pt>
                <c:pt idx="53">
                  <c:v>59</c:v>
                </c:pt>
                <c:pt idx="54">
                  <c:v>60</c:v>
                </c:pt>
                <c:pt idx="55">
                  <c:v>61</c:v>
                </c:pt>
                <c:pt idx="56">
                  <c:v>62</c:v>
                </c:pt>
                <c:pt idx="57">
                  <c:v>63</c:v>
                </c:pt>
                <c:pt idx="58">
                  <c:v>64</c:v>
                </c:pt>
                <c:pt idx="59">
                  <c:v>65</c:v>
                </c:pt>
                <c:pt idx="60">
                  <c:v>66</c:v>
                </c:pt>
                <c:pt idx="61">
                  <c:v>67</c:v>
                </c:pt>
                <c:pt idx="62">
                  <c:v>68</c:v>
                </c:pt>
                <c:pt idx="63">
                  <c:v>69</c:v>
                </c:pt>
                <c:pt idx="64">
                  <c:v>70</c:v>
                </c:pt>
                <c:pt idx="65">
                  <c:v>71</c:v>
                </c:pt>
                <c:pt idx="66">
                  <c:v>72</c:v>
                </c:pt>
                <c:pt idx="67">
                  <c:v>73</c:v>
                </c:pt>
                <c:pt idx="68">
                  <c:v>74</c:v>
                </c:pt>
                <c:pt idx="69">
                  <c:v>75</c:v>
                </c:pt>
                <c:pt idx="70">
                  <c:v>76</c:v>
                </c:pt>
                <c:pt idx="71">
                  <c:v>77</c:v>
                </c:pt>
                <c:pt idx="72">
                  <c:v>78</c:v>
                </c:pt>
                <c:pt idx="73">
                  <c:v>79</c:v>
                </c:pt>
                <c:pt idx="74">
                  <c:v>80</c:v>
                </c:pt>
                <c:pt idx="75">
                  <c:v>81</c:v>
                </c:pt>
                <c:pt idx="76">
                  <c:v>82</c:v>
                </c:pt>
                <c:pt idx="77">
                  <c:v>83</c:v>
                </c:pt>
                <c:pt idx="78">
                  <c:v>84</c:v>
                </c:pt>
                <c:pt idx="79">
                  <c:v>85</c:v>
                </c:pt>
                <c:pt idx="80">
                  <c:v>86</c:v>
                </c:pt>
                <c:pt idx="81">
                  <c:v>87</c:v>
                </c:pt>
                <c:pt idx="82">
                  <c:v>88</c:v>
                </c:pt>
                <c:pt idx="83">
                  <c:v>89</c:v>
                </c:pt>
                <c:pt idx="84">
                  <c:v>90</c:v>
                </c:pt>
                <c:pt idx="85">
                  <c:v>91</c:v>
                </c:pt>
                <c:pt idx="86">
                  <c:v>93</c:v>
                </c:pt>
                <c:pt idx="87">
                  <c:v>94</c:v>
                </c:pt>
                <c:pt idx="88">
                  <c:v>96</c:v>
                </c:pt>
                <c:pt idx="89">
                  <c:v>100</c:v>
                </c:pt>
                <c:pt idx="90">
                  <c:v>109</c:v>
                </c:pt>
              </c:strCache>
            </c:strRef>
          </c:cat>
          <c:val>
            <c:numRef>
              <c:f>'Sheet1 (4)'!$C$7:$C$98</c:f>
              <c:numCache>
                <c:formatCode>General</c:formatCode>
                <c:ptCount val="91"/>
                <c:pt idx="2">
                  <c:v>2</c:v>
                </c:pt>
                <c:pt idx="5">
                  <c:v>1</c:v>
                </c:pt>
                <c:pt idx="6">
                  <c:v>2</c:v>
                </c:pt>
                <c:pt idx="7">
                  <c:v>2</c:v>
                </c:pt>
                <c:pt idx="9">
                  <c:v>3</c:v>
                </c:pt>
                <c:pt idx="10">
                  <c:v>5</c:v>
                </c:pt>
                <c:pt idx="11">
                  <c:v>6</c:v>
                </c:pt>
                <c:pt idx="12">
                  <c:v>10</c:v>
                </c:pt>
                <c:pt idx="13">
                  <c:v>10</c:v>
                </c:pt>
                <c:pt idx="14">
                  <c:v>10</c:v>
                </c:pt>
                <c:pt idx="15">
                  <c:v>17</c:v>
                </c:pt>
                <c:pt idx="16">
                  <c:v>15</c:v>
                </c:pt>
                <c:pt idx="17">
                  <c:v>17</c:v>
                </c:pt>
                <c:pt idx="18">
                  <c:v>16</c:v>
                </c:pt>
                <c:pt idx="19">
                  <c:v>29</c:v>
                </c:pt>
                <c:pt idx="20">
                  <c:v>28</c:v>
                </c:pt>
                <c:pt idx="21">
                  <c:v>34</c:v>
                </c:pt>
                <c:pt idx="22">
                  <c:v>47</c:v>
                </c:pt>
                <c:pt idx="23">
                  <c:v>35</c:v>
                </c:pt>
                <c:pt idx="24">
                  <c:v>39</c:v>
                </c:pt>
                <c:pt idx="25">
                  <c:v>59</c:v>
                </c:pt>
                <c:pt idx="26">
                  <c:v>61</c:v>
                </c:pt>
                <c:pt idx="27">
                  <c:v>82</c:v>
                </c:pt>
                <c:pt idx="28">
                  <c:v>81</c:v>
                </c:pt>
                <c:pt idx="29">
                  <c:v>86</c:v>
                </c:pt>
                <c:pt idx="30">
                  <c:v>100</c:v>
                </c:pt>
                <c:pt idx="31">
                  <c:v>93</c:v>
                </c:pt>
                <c:pt idx="32">
                  <c:v>127</c:v>
                </c:pt>
                <c:pt idx="33">
                  <c:v>183</c:v>
                </c:pt>
                <c:pt idx="34">
                  <c:v>201</c:v>
                </c:pt>
                <c:pt idx="35">
                  <c:v>183</c:v>
                </c:pt>
                <c:pt idx="36">
                  <c:v>226</c:v>
                </c:pt>
                <c:pt idx="37">
                  <c:v>254</c:v>
                </c:pt>
                <c:pt idx="38">
                  <c:v>252</c:v>
                </c:pt>
                <c:pt idx="39">
                  <c:v>282</c:v>
                </c:pt>
                <c:pt idx="40">
                  <c:v>291</c:v>
                </c:pt>
                <c:pt idx="41">
                  <c:v>298</c:v>
                </c:pt>
                <c:pt idx="42">
                  <c:v>368</c:v>
                </c:pt>
                <c:pt idx="43">
                  <c:v>400</c:v>
                </c:pt>
                <c:pt idx="44">
                  <c:v>420</c:v>
                </c:pt>
                <c:pt idx="45">
                  <c:v>448</c:v>
                </c:pt>
                <c:pt idx="46">
                  <c:v>496</c:v>
                </c:pt>
                <c:pt idx="47">
                  <c:v>481</c:v>
                </c:pt>
                <c:pt idx="48">
                  <c:v>534</c:v>
                </c:pt>
                <c:pt idx="49">
                  <c:v>498</c:v>
                </c:pt>
                <c:pt idx="50">
                  <c:v>542</c:v>
                </c:pt>
                <c:pt idx="51">
                  <c:v>532</c:v>
                </c:pt>
                <c:pt idx="52">
                  <c:v>535</c:v>
                </c:pt>
                <c:pt idx="53">
                  <c:v>548</c:v>
                </c:pt>
                <c:pt idx="54">
                  <c:v>562</c:v>
                </c:pt>
                <c:pt idx="55">
                  <c:v>494</c:v>
                </c:pt>
                <c:pt idx="56">
                  <c:v>526</c:v>
                </c:pt>
                <c:pt idx="57">
                  <c:v>572</c:v>
                </c:pt>
                <c:pt idx="58">
                  <c:v>505</c:v>
                </c:pt>
                <c:pt idx="59">
                  <c:v>485</c:v>
                </c:pt>
                <c:pt idx="60">
                  <c:v>451</c:v>
                </c:pt>
                <c:pt idx="61">
                  <c:v>393</c:v>
                </c:pt>
                <c:pt idx="62">
                  <c:v>339</c:v>
                </c:pt>
                <c:pt idx="63">
                  <c:v>315</c:v>
                </c:pt>
                <c:pt idx="64">
                  <c:v>287</c:v>
                </c:pt>
                <c:pt idx="65">
                  <c:v>252</c:v>
                </c:pt>
                <c:pt idx="66">
                  <c:v>217</c:v>
                </c:pt>
                <c:pt idx="67">
                  <c:v>192</c:v>
                </c:pt>
                <c:pt idx="68">
                  <c:v>158</c:v>
                </c:pt>
                <c:pt idx="69">
                  <c:v>150</c:v>
                </c:pt>
                <c:pt idx="70">
                  <c:v>109</c:v>
                </c:pt>
                <c:pt idx="71">
                  <c:v>76</c:v>
                </c:pt>
                <c:pt idx="72">
                  <c:v>66</c:v>
                </c:pt>
                <c:pt idx="73">
                  <c:v>73</c:v>
                </c:pt>
                <c:pt idx="74">
                  <c:v>41</c:v>
                </c:pt>
                <c:pt idx="75">
                  <c:v>46</c:v>
                </c:pt>
                <c:pt idx="76">
                  <c:v>28</c:v>
                </c:pt>
                <c:pt idx="77">
                  <c:v>24</c:v>
                </c:pt>
                <c:pt idx="78">
                  <c:v>12</c:v>
                </c:pt>
                <c:pt idx="79">
                  <c:v>15</c:v>
                </c:pt>
                <c:pt idx="80">
                  <c:v>8</c:v>
                </c:pt>
                <c:pt idx="81">
                  <c:v>7</c:v>
                </c:pt>
                <c:pt idx="82">
                  <c:v>9</c:v>
                </c:pt>
                <c:pt idx="83">
                  <c:v>4</c:v>
                </c:pt>
                <c:pt idx="84">
                  <c:v>3</c:v>
                </c:pt>
                <c:pt idx="85">
                  <c:v>2</c:v>
                </c:pt>
                <c:pt idx="87">
                  <c:v>2</c:v>
                </c:pt>
                <c:pt idx="88">
                  <c:v>1</c:v>
                </c:pt>
              </c:numCache>
            </c:numRef>
          </c:val>
          <c:smooth val="0"/>
        </c:ser>
        <c:dLbls>
          <c:showLegendKey val="0"/>
          <c:showVal val="0"/>
          <c:showCatName val="0"/>
          <c:showSerName val="0"/>
          <c:showPercent val="0"/>
          <c:showBubbleSize val="0"/>
        </c:dLbls>
        <c:marker val="1"/>
        <c:smooth val="0"/>
        <c:axId val="39370752"/>
        <c:axId val="39372288"/>
      </c:lineChart>
      <c:catAx>
        <c:axId val="39370752"/>
        <c:scaling>
          <c:orientation val="minMax"/>
        </c:scaling>
        <c:delete val="0"/>
        <c:axPos val="b"/>
        <c:majorTickMark val="none"/>
        <c:minorTickMark val="none"/>
        <c:tickLblPos val="nextTo"/>
        <c:txPr>
          <a:bodyPr rot="-5400000" vert="horz"/>
          <a:lstStyle/>
          <a:p>
            <a:pPr>
              <a:defRPr/>
            </a:pPr>
            <a:endParaRPr lang="en-US"/>
          </a:p>
        </c:txPr>
        <c:crossAx val="39372288"/>
        <c:crosses val="autoZero"/>
        <c:auto val="1"/>
        <c:lblAlgn val="ctr"/>
        <c:lblOffset val="100"/>
        <c:noMultiLvlLbl val="0"/>
      </c:catAx>
      <c:valAx>
        <c:axId val="39372288"/>
        <c:scaling>
          <c:orientation val="minMax"/>
          <c:max val="700"/>
        </c:scaling>
        <c:delete val="0"/>
        <c:axPos val="l"/>
        <c:majorGridlines/>
        <c:numFmt formatCode="#,##0" sourceLinked="0"/>
        <c:majorTickMark val="none"/>
        <c:minorTickMark val="none"/>
        <c:tickLblPos val="nextTo"/>
        <c:crossAx val="39370752"/>
        <c:crosses val="autoZero"/>
        <c:crossBetween val="between"/>
      </c:valAx>
    </c:plotArea>
    <c:legend>
      <c:legendPos val="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[D814 exenatide scripts -  by QOS - fig2 - from DPIP.xlsx]Scrpts by Scrpt Type - nc pivot!PivotTable1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s>
    <c:plotArea>
      <c:layout/>
      <c:lineChart>
        <c:grouping val="standard"/>
        <c:varyColors val="0"/>
        <c:ser>
          <c:idx val="0"/>
          <c:order val="0"/>
          <c:tx>
            <c:strRef>
              <c:f>'Scrpts by Scrpt Type - nc pivot'!$B$9:$B$10</c:f>
              <c:strCache>
                <c:ptCount val="1"/>
                <c:pt idx="0">
                  <c:v>PBS</c:v>
                </c:pt>
              </c:strCache>
            </c:strRef>
          </c:tx>
          <c:cat>
            <c:strRef>
              <c:f>'Scrpts by Scrpt Type - nc pivot'!$A$11:$A$32</c:f>
              <c:strCache>
                <c:ptCount val="21"/>
                <c:pt idx="0">
                  <c:v>2009 Q1</c:v>
                </c:pt>
                <c:pt idx="1">
                  <c:v>2009 Q2</c:v>
                </c:pt>
                <c:pt idx="2">
                  <c:v>2009 Q3</c:v>
                </c:pt>
                <c:pt idx="3">
                  <c:v>2009 Q4</c:v>
                </c:pt>
                <c:pt idx="4">
                  <c:v>2010 Q1</c:v>
                </c:pt>
                <c:pt idx="5">
                  <c:v>2010 Q2</c:v>
                </c:pt>
                <c:pt idx="6">
                  <c:v>2010 Q3</c:v>
                </c:pt>
                <c:pt idx="7">
                  <c:v>2010 Q4</c:v>
                </c:pt>
                <c:pt idx="8">
                  <c:v>2011 Q1</c:v>
                </c:pt>
                <c:pt idx="9">
                  <c:v>2011 Q2</c:v>
                </c:pt>
                <c:pt idx="10">
                  <c:v>2011 Q3</c:v>
                </c:pt>
                <c:pt idx="11">
                  <c:v>2011 Q4</c:v>
                </c:pt>
                <c:pt idx="12">
                  <c:v>2012 Q1</c:v>
                </c:pt>
                <c:pt idx="13">
                  <c:v>2012 Q2</c:v>
                </c:pt>
                <c:pt idx="14">
                  <c:v>2012 Q3</c:v>
                </c:pt>
                <c:pt idx="15">
                  <c:v>2012 Q4</c:v>
                </c:pt>
                <c:pt idx="16">
                  <c:v>2013 Q1</c:v>
                </c:pt>
                <c:pt idx="17">
                  <c:v>2013 Q2</c:v>
                </c:pt>
                <c:pt idx="18">
                  <c:v>2013 Q3</c:v>
                </c:pt>
                <c:pt idx="19">
                  <c:v>2013 Q4</c:v>
                </c:pt>
                <c:pt idx="20">
                  <c:v>2014 Q1</c:v>
                </c:pt>
              </c:strCache>
            </c:strRef>
          </c:cat>
          <c:val>
            <c:numRef>
              <c:f>'Scrpts by Scrpt Type - nc pivot'!$B$11:$B$32</c:f>
              <c:numCache>
                <c:formatCode>General</c:formatCode>
                <c:ptCount val="21"/>
                <c:pt idx="6">
                  <c:v>1984</c:v>
                </c:pt>
                <c:pt idx="7">
                  <c:v>6868</c:v>
                </c:pt>
                <c:pt idx="8">
                  <c:v>8042</c:v>
                </c:pt>
                <c:pt idx="9">
                  <c:v>11378</c:v>
                </c:pt>
                <c:pt idx="10">
                  <c:v>14758</c:v>
                </c:pt>
                <c:pt idx="11">
                  <c:v>19911</c:v>
                </c:pt>
                <c:pt idx="12">
                  <c:v>18434</c:v>
                </c:pt>
                <c:pt idx="13">
                  <c:v>22669</c:v>
                </c:pt>
                <c:pt idx="14">
                  <c:v>25981</c:v>
                </c:pt>
                <c:pt idx="15">
                  <c:v>32903</c:v>
                </c:pt>
                <c:pt idx="16">
                  <c:v>27576</c:v>
                </c:pt>
                <c:pt idx="17">
                  <c:v>33093</c:v>
                </c:pt>
                <c:pt idx="18">
                  <c:v>37369</c:v>
                </c:pt>
                <c:pt idx="19">
                  <c:v>45846</c:v>
                </c:pt>
                <c:pt idx="20">
                  <c:v>36322</c:v>
                </c:pt>
              </c:numCache>
            </c:numRef>
          </c:val>
          <c:smooth val="0"/>
        </c:ser>
        <c:ser>
          <c:idx val="1"/>
          <c:order val="1"/>
          <c:tx>
            <c:strRef>
              <c:f>'Scrpts by Scrpt Type - nc pivot'!$C$9:$C$10</c:f>
              <c:strCache>
                <c:ptCount val="1"/>
                <c:pt idx="0">
                  <c:v>RPBS</c:v>
                </c:pt>
              </c:strCache>
            </c:strRef>
          </c:tx>
          <c:cat>
            <c:strRef>
              <c:f>'Scrpts by Scrpt Type - nc pivot'!$A$11:$A$32</c:f>
              <c:strCache>
                <c:ptCount val="21"/>
                <c:pt idx="0">
                  <c:v>2009 Q1</c:v>
                </c:pt>
                <c:pt idx="1">
                  <c:v>2009 Q2</c:v>
                </c:pt>
                <c:pt idx="2">
                  <c:v>2009 Q3</c:v>
                </c:pt>
                <c:pt idx="3">
                  <c:v>2009 Q4</c:v>
                </c:pt>
                <c:pt idx="4">
                  <c:v>2010 Q1</c:v>
                </c:pt>
                <c:pt idx="5">
                  <c:v>2010 Q2</c:v>
                </c:pt>
                <c:pt idx="6">
                  <c:v>2010 Q3</c:v>
                </c:pt>
                <c:pt idx="7">
                  <c:v>2010 Q4</c:v>
                </c:pt>
                <c:pt idx="8">
                  <c:v>2011 Q1</c:v>
                </c:pt>
                <c:pt idx="9">
                  <c:v>2011 Q2</c:v>
                </c:pt>
                <c:pt idx="10">
                  <c:v>2011 Q3</c:v>
                </c:pt>
                <c:pt idx="11">
                  <c:v>2011 Q4</c:v>
                </c:pt>
                <c:pt idx="12">
                  <c:v>2012 Q1</c:v>
                </c:pt>
                <c:pt idx="13">
                  <c:v>2012 Q2</c:v>
                </c:pt>
                <c:pt idx="14">
                  <c:v>2012 Q3</c:v>
                </c:pt>
                <c:pt idx="15">
                  <c:v>2012 Q4</c:v>
                </c:pt>
                <c:pt idx="16">
                  <c:v>2013 Q1</c:v>
                </c:pt>
                <c:pt idx="17">
                  <c:v>2013 Q2</c:v>
                </c:pt>
                <c:pt idx="18">
                  <c:v>2013 Q3</c:v>
                </c:pt>
                <c:pt idx="19">
                  <c:v>2013 Q4</c:v>
                </c:pt>
                <c:pt idx="20">
                  <c:v>2014 Q1</c:v>
                </c:pt>
              </c:strCache>
            </c:strRef>
          </c:cat>
          <c:val>
            <c:numRef>
              <c:f>'Scrpts by Scrpt Type - nc pivot'!$C$11:$C$32</c:f>
              <c:numCache>
                <c:formatCode>General</c:formatCode>
                <c:ptCount val="21"/>
                <c:pt idx="6">
                  <c:v>42</c:v>
                </c:pt>
                <c:pt idx="7">
                  <c:v>204</c:v>
                </c:pt>
                <c:pt idx="8">
                  <c:v>217</c:v>
                </c:pt>
                <c:pt idx="9">
                  <c:v>329</c:v>
                </c:pt>
                <c:pt idx="10">
                  <c:v>365</c:v>
                </c:pt>
                <c:pt idx="11">
                  <c:v>439</c:v>
                </c:pt>
                <c:pt idx="12">
                  <c:v>433</c:v>
                </c:pt>
                <c:pt idx="13">
                  <c:v>483</c:v>
                </c:pt>
                <c:pt idx="14">
                  <c:v>573</c:v>
                </c:pt>
                <c:pt idx="15">
                  <c:v>680</c:v>
                </c:pt>
                <c:pt idx="16">
                  <c:v>539</c:v>
                </c:pt>
                <c:pt idx="17">
                  <c:v>698</c:v>
                </c:pt>
                <c:pt idx="18">
                  <c:v>770</c:v>
                </c:pt>
                <c:pt idx="19">
                  <c:v>938</c:v>
                </c:pt>
                <c:pt idx="20">
                  <c:v>750</c:v>
                </c:pt>
              </c:numCache>
            </c:numRef>
          </c:val>
          <c:smooth val="0"/>
        </c:ser>
        <c:ser>
          <c:idx val="2"/>
          <c:order val="2"/>
          <c:tx>
            <c:strRef>
              <c:f>'Scrpts by Scrpt Type - nc pivot'!$D$9:$D$10</c:f>
              <c:strCache>
                <c:ptCount val="1"/>
                <c:pt idx="0">
                  <c:v>Private estimate</c:v>
                </c:pt>
              </c:strCache>
            </c:strRef>
          </c:tx>
          <c:cat>
            <c:strRef>
              <c:f>'Scrpts by Scrpt Type - nc pivot'!$A$11:$A$32</c:f>
              <c:strCache>
                <c:ptCount val="21"/>
                <c:pt idx="0">
                  <c:v>2009 Q1</c:v>
                </c:pt>
                <c:pt idx="1">
                  <c:v>2009 Q2</c:v>
                </c:pt>
                <c:pt idx="2">
                  <c:v>2009 Q3</c:v>
                </c:pt>
                <c:pt idx="3">
                  <c:v>2009 Q4</c:v>
                </c:pt>
                <c:pt idx="4">
                  <c:v>2010 Q1</c:v>
                </c:pt>
                <c:pt idx="5">
                  <c:v>2010 Q2</c:v>
                </c:pt>
                <c:pt idx="6">
                  <c:v>2010 Q3</c:v>
                </c:pt>
                <c:pt idx="7">
                  <c:v>2010 Q4</c:v>
                </c:pt>
                <c:pt idx="8">
                  <c:v>2011 Q1</c:v>
                </c:pt>
                <c:pt idx="9">
                  <c:v>2011 Q2</c:v>
                </c:pt>
                <c:pt idx="10">
                  <c:v>2011 Q3</c:v>
                </c:pt>
                <c:pt idx="11">
                  <c:v>2011 Q4</c:v>
                </c:pt>
                <c:pt idx="12">
                  <c:v>2012 Q1</c:v>
                </c:pt>
                <c:pt idx="13">
                  <c:v>2012 Q2</c:v>
                </c:pt>
                <c:pt idx="14">
                  <c:v>2012 Q3</c:v>
                </c:pt>
                <c:pt idx="15">
                  <c:v>2012 Q4</c:v>
                </c:pt>
                <c:pt idx="16">
                  <c:v>2013 Q1</c:v>
                </c:pt>
                <c:pt idx="17">
                  <c:v>2013 Q2</c:v>
                </c:pt>
                <c:pt idx="18">
                  <c:v>2013 Q3</c:v>
                </c:pt>
                <c:pt idx="19">
                  <c:v>2013 Q4</c:v>
                </c:pt>
                <c:pt idx="20">
                  <c:v>2014 Q1</c:v>
                </c:pt>
              </c:strCache>
            </c:strRef>
          </c:cat>
          <c:val>
            <c:numRef>
              <c:f>'Scrpts by Scrpt Type - nc pivot'!$D$11:$D$32</c:f>
              <c:numCache>
                <c:formatCode>General</c:formatCode>
                <c:ptCount val="21"/>
                <c:pt idx="0">
                  <c:v>126</c:v>
                </c:pt>
                <c:pt idx="1">
                  <c:v>83</c:v>
                </c:pt>
                <c:pt idx="2">
                  <c:v>531</c:v>
                </c:pt>
                <c:pt idx="3">
                  <c:v>765</c:v>
                </c:pt>
                <c:pt idx="4">
                  <c:v>757</c:v>
                </c:pt>
                <c:pt idx="5">
                  <c:v>529</c:v>
                </c:pt>
                <c:pt idx="6">
                  <c:v>277</c:v>
                </c:pt>
                <c:pt idx="7">
                  <c:v>204</c:v>
                </c:pt>
                <c:pt idx="8">
                  <c:v>156</c:v>
                </c:pt>
                <c:pt idx="9">
                  <c:v>331</c:v>
                </c:pt>
                <c:pt idx="10">
                  <c:v>627</c:v>
                </c:pt>
                <c:pt idx="11">
                  <c:v>465</c:v>
                </c:pt>
                <c:pt idx="12">
                  <c:v>590</c:v>
                </c:pt>
                <c:pt idx="13">
                  <c:v>478</c:v>
                </c:pt>
                <c:pt idx="14">
                  <c:v>481</c:v>
                </c:pt>
              </c:numCache>
            </c:numRef>
          </c:val>
          <c:smooth val="0"/>
        </c:ser>
        <c:dLbls>
          <c:showLegendKey val="0"/>
          <c:showVal val="0"/>
          <c:showCatName val="0"/>
          <c:showSerName val="0"/>
          <c:showPercent val="0"/>
          <c:showBubbleSize val="0"/>
        </c:dLbls>
        <c:marker val="1"/>
        <c:smooth val="0"/>
        <c:axId val="39678720"/>
        <c:axId val="39680256"/>
      </c:lineChart>
      <c:catAx>
        <c:axId val="39678720"/>
        <c:scaling>
          <c:orientation val="minMax"/>
        </c:scaling>
        <c:delete val="0"/>
        <c:axPos val="b"/>
        <c:numFmt formatCode="General" sourceLinked="1"/>
        <c:majorTickMark val="none"/>
        <c:minorTickMark val="none"/>
        <c:tickLblPos val="nextTo"/>
        <c:txPr>
          <a:bodyPr rot="-5400000" vert="horz"/>
          <a:lstStyle/>
          <a:p>
            <a:pPr>
              <a:defRPr/>
            </a:pPr>
            <a:endParaRPr lang="en-US"/>
          </a:p>
        </c:txPr>
        <c:crossAx val="39680256"/>
        <c:crosses val="autoZero"/>
        <c:auto val="0"/>
        <c:lblAlgn val="ctr"/>
        <c:lblOffset val="100"/>
        <c:tickLblSkip val="1"/>
        <c:tickMarkSkip val="1"/>
        <c:noMultiLvlLbl val="0"/>
      </c:catAx>
      <c:valAx>
        <c:axId val="39680256"/>
        <c:scaling>
          <c:orientation val="minMax"/>
        </c:scaling>
        <c:delete val="0"/>
        <c:axPos val="l"/>
        <c:majorGridlines/>
        <c:numFmt formatCode="#,##0" sourceLinked="0"/>
        <c:majorTickMark val="none"/>
        <c:minorTickMark val="none"/>
        <c:tickLblPos val="nextTo"/>
        <c:txPr>
          <a:bodyPr rot="0" vert="horz"/>
          <a:lstStyle/>
          <a:p>
            <a:pPr>
              <a:defRPr/>
            </a:pPr>
            <a:endParaRPr lang="en-US"/>
          </a:p>
        </c:txPr>
        <c:crossAx val="39678720"/>
        <c:crosses val="autoZero"/>
        <c:crossBetween val="between"/>
      </c:valAx>
    </c:plotArea>
    <c:legend>
      <c:legendPos val="t"/>
      <c:overlay val="0"/>
      <c:txPr>
        <a:bodyPr/>
        <a:lstStyle/>
        <a:p>
          <a:pPr>
            <a:defRPr sz="900"/>
          </a:pPr>
          <a:endParaRPr lang="en-US"/>
        </a:p>
      </c:txPr>
    </c:legend>
    <c:plotVisOnly val="1"/>
    <c:dispBlanksAs val="gap"/>
    <c:showDLblsOverMax val="0"/>
  </c:chart>
  <c:spPr>
    <a:ln>
      <a:noFill/>
    </a:ln>
  </c:spPr>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[D814 exenatide scripts -  by QOS - fig2 - from DPIP.xlsx]Item code pivot!PivotTable1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s>
    <c:plotArea>
      <c:layout>
        <c:manualLayout>
          <c:layoutTarget val="inner"/>
          <c:xMode val="edge"/>
          <c:yMode val="edge"/>
          <c:x val="9.9885713885675381E-2"/>
          <c:y val="0.23172554157709285"/>
          <c:w val="0.88045478044499403"/>
          <c:h val="0.61059924716312386"/>
        </c:manualLayout>
      </c:layout>
      <c:lineChart>
        <c:grouping val="standard"/>
        <c:varyColors val="0"/>
        <c:ser>
          <c:idx val="0"/>
          <c:order val="0"/>
          <c:tx>
            <c:strRef>
              <c:f>'Item code pivot'!$B$5:$B$6</c:f>
              <c:strCache>
                <c:ptCount val="1"/>
                <c:pt idx="0">
                  <c:v>3424F - Injection solution 10 micrograms per dose in pre-filled pen, 60 doses 1</c:v>
                </c:pt>
              </c:strCache>
            </c:strRef>
          </c:tx>
          <c:cat>
            <c:strRef>
              <c:f>'Item code pivot'!$A$7:$A$28</c:f>
              <c:strCache>
                <c:ptCount val="21"/>
                <c:pt idx="0">
                  <c:v>2009 Q1</c:v>
                </c:pt>
                <c:pt idx="1">
                  <c:v>2009 Q2</c:v>
                </c:pt>
                <c:pt idx="2">
                  <c:v>2009 Q3</c:v>
                </c:pt>
                <c:pt idx="3">
                  <c:v>2009 Q4</c:v>
                </c:pt>
                <c:pt idx="4">
                  <c:v>2010 Q1</c:v>
                </c:pt>
                <c:pt idx="5">
                  <c:v>2010 Q2</c:v>
                </c:pt>
                <c:pt idx="6">
                  <c:v>2010 Q3</c:v>
                </c:pt>
                <c:pt idx="7">
                  <c:v>2010 Q4</c:v>
                </c:pt>
                <c:pt idx="8">
                  <c:v>2011 Q1</c:v>
                </c:pt>
                <c:pt idx="9">
                  <c:v>2011 Q2</c:v>
                </c:pt>
                <c:pt idx="10">
                  <c:v>2011 Q3</c:v>
                </c:pt>
                <c:pt idx="11">
                  <c:v>2011 Q4</c:v>
                </c:pt>
                <c:pt idx="12">
                  <c:v>2012 Q1</c:v>
                </c:pt>
                <c:pt idx="13">
                  <c:v>2012 Q2</c:v>
                </c:pt>
                <c:pt idx="14">
                  <c:v>2012 Q3</c:v>
                </c:pt>
                <c:pt idx="15">
                  <c:v>2012 Q4</c:v>
                </c:pt>
                <c:pt idx="16">
                  <c:v>2013 Q1</c:v>
                </c:pt>
                <c:pt idx="17">
                  <c:v>2013 Q2</c:v>
                </c:pt>
                <c:pt idx="18">
                  <c:v>2013 Q3</c:v>
                </c:pt>
                <c:pt idx="19">
                  <c:v>2013 Q4</c:v>
                </c:pt>
                <c:pt idx="20">
                  <c:v>2014 Q1</c:v>
                </c:pt>
              </c:strCache>
            </c:strRef>
          </c:cat>
          <c:val>
            <c:numRef>
              <c:f>'Item code pivot'!$B$7:$B$28</c:f>
              <c:numCache>
                <c:formatCode>General</c:formatCode>
                <c:ptCount val="21"/>
                <c:pt idx="6">
                  <c:v>1429</c:v>
                </c:pt>
                <c:pt idx="7">
                  <c:v>4764</c:v>
                </c:pt>
                <c:pt idx="8">
                  <c:v>5671</c:v>
                </c:pt>
                <c:pt idx="9">
                  <c:v>8327</c:v>
                </c:pt>
                <c:pt idx="10">
                  <c:v>10902</c:v>
                </c:pt>
                <c:pt idx="11">
                  <c:v>14692</c:v>
                </c:pt>
                <c:pt idx="12">
                  <c:v>13907</c:v>
                </c:pt>
                <c:pt idx="13">
                  <c:v>17092</c:v>
                </c:pt>
                <c:pt idx="14">
                  <c:v>19637</c:v>
                </c:pt>
                <c:pt idx="15">
                  <c:v>24665</c:v>
                </c:pt>
                <c:pt idx="16">
                  <c:v>20571</c:v>
                </c:pt>
                <c:pt idx="17">
                  <c:v>24791</c:v>
                </c:pt>
                <c:pt idx="18">
                  <c:v>27898</c:v>
                </c:pt>
                <c:pt idx="19">
                  <c:v>34503</c:v>
                </c:pt>
                <c:pt idx="20">
                  <c:v>27421</c:v>
                </c:pt>
              </c:numCache>
            </c:numRef>
          </c:val>
          <c:smooth val="0"/>
        </c:ser>
        <c:ser>
          <c:idx val="1"/>
          <c:order val="1"/>
          <c:tx>
            <c:strRef>
              <c:f>'Item code pivot'!$C$5:$C$6</c:f>
              <c:strCache>
                <c:ptCount val="1"/>
                <c:pt idx="0">
                  <c:v>3423E - Injection solution 5 micrograms per dose in pre-filled pen, 60 doses 1</c:v>
                </c:pt>
              </c:strCache>
            </c:strRef>
          </c:tx>
          <c:cat>
            <c:strRef>
              <c:f>'Item code pivot'!$A$7:$A$28</c:f>
              <c:strCache>
                <c:ptCount val="21"/>
                <c:pt idx="0">
                  <c:v>2009 Q1</c:v>
                </c:pt>
                <c:pt idx="1">
                  <c:v>2009 Q2</c:v>
                </c:pt>
                <c:pt idx="2">
                  <c:v>2009 Q3</c:v>
                </c:pt>
                <c:pt idx="3">
                  <c:v>2009 Q4</c:v>
                </c:pt>
                <c:pt idx="4">
                  <c:v>2010 Q1</c:v>
                </c:pt>
                <c:pt idx="5">
                  <c:v>2010 Q2</c:v>
                </c:pt>
                <c:pt idx="6">
                  <c:v>2010 Q3</c:v>
                </c:pt>
                <c:pt idx="7">
                  <c:v>2010 Q4</c:v>
                </c:pt>
                <c:pt idx="8">
                  <c:v>2011 Q1</c:v>
                </c:pt>
                <c:pt idx="9">
                  <c:v>2011 Q2</c:v>
                </c:pt>
                <c:pt idx="10">
                  <c:v>2011 Q3</c:v>
                </c:pt>
                <c:pt idx="11">
                  <c:v>2011 Q4</c:v>
                </c:pt>
                <c:pt idx="12">
                  <c:v>2012 Q1</c:v>
                </c:pt>
                <c:pt idx="13">
                  <c:v>2012 Q2</c:v>
                </c:pt>
                <c:pt idx="14">
                  <c:v>2012 Q3</c:v>
                </c:pt>
                <c:pt idx="15">
                  <c:v>2012 Q4</c:v>
                </c:pt>
                <c:pt idx="16">
                  <c:v>2013 Q1</c:v>
                </c:pt>
                <c:pt idx="17">
                  <c:v>2013 Q2</c:v>
                </c:pt>
                <c:pt idx="18">
                  <c:v>2013 Q3</c:v>
                </c:pt>
                <c:pt idx="19">
                  <c:v>2013 Q4</c:v>
                </c:pt>
                <c:pt idx="20">
                  <c:v>2014 Q1</c:v>
                </c:pt>
              </c:strCache>
            </c:strRef>
          </c:cat>
          <c:val>
            <c:numRef>
              <c:f>'Item code pivot'!$C$7:$C$28</c:f>
              <c:numCache>
                <c:formatCode>General</c:formatCode>
                <c:ptCount val="21"/>
                <c:pt idx="6">
                  <c:v>874</c:v>
                </c:pt>
                <c:pt idx="7">
                  <c:v>2512</c:v>
                </c:pt>
                <c:pt idx="8">
                  <c:v>2744</c:v>
                </c:pt>
                <c:pt idx="9">
                  <c:v>3711</c:v>
                </c:pt>
                <c:pt idx="10">
                  <c:v>4875</c:v>
                </c:pt>
                <c:pt idx="11">
                  <c:v>6123</c:v>
                </c:pt>
                <c:pt idx="12">
                  <c:v>5564</c:v>
                </c:pt>
                <c:pt idx="13">
                  <c:v>6538</c:v>
                </c:pt>
                <c:pt idx="14">
                  <c:v>7398</c:v>
                </c:pt>
                <c:pt idx="15">
                  <c:v>8918</c:v>
                </c:pt>
                <c:pt idx="16">
                  <c:v>7544</c:v>
                </c:pt>
                <c:pt idx="17">
                  <c:v>9000</c:v>
                </c:pt>
                <c:pt idx="18">
                  <c:v>10241</c:v>
                </c:pt>
                <c:pt idx="19">
                  <c:v>12281</c:v>
                </c:pt>
                <c:pt idx="20">
                  <c:v>9651</c:v>
                </c:pt>
              </c:numCache>
            </c:numRef>
          </c:val>
          <c:smooth val="0"/>
        </c:ser>
        <c:ser>
          <c:idx val="2"/>
          <c:order val="2"/>
          <c:tx>
            <c:strRef>
              <c:f>'Item code pivot'!$D$5:$D$6</c:f>
              <c:strCache>
                <c:ptCount val="1"/>
                <c:pt idx="0">
                  <c:v>20214 - Soln for inj 10ug per 40mL 2.4mL cartridge</c:v>
                </c:pt>
              </c:strCache>
            </c:strRef>
          </c:tx>
          <c:cat>
            <c:strRef>
              <c:f>'Item code pivot'!$A$7:$A$28</c:f>
              <c:strCache>
                <c:ptCount val="21"/>
                <c:pt idx="0">
                  <c:v>2009 Q1</c:v>
                </c:pt>
                <c:pt idx="1">
                  <c:v>2009 Q2</c:v>
                </c:pt>
                <c:pt idx="2">
                  <c:v>2009 Q3</c:v>
                </c:pt>
                <c:pt idx="3">
                  <c:v>2009 Q4</c:v>
                </c:pt>
                <c:pt idx="4">
                  <c:v>2010 Q1</c:v>
                </c:pt>
                <c:pt idx="5">
                  <c:v>2010 Q2</c:v>
                </c:pt>
                <c:pt idx="6">
                  <c:v>2010 Q3</c:v>
                </c:pt>
                <c:pt idx="7">
                  <c:v>2010 Q4</c:v>
                </c:pt>
                <c:pt idx="8">
                  <c:v>2011 Q1</c:v>
                </c:pt>
                <c:pt idx="9">
                  <c:v>2011 Q2</c:v>
                </c:pt>
                <c:pt idx="10">
                  <c:v>2011 Q3</c:v>
                </c:pt>
                <c:pt idx="11">
                  <c:v>2011 Q4</c:v>
                </c:pt>
                <c:pt idx="12">
                  <c:v>2012 Q1</c:v>
                </c:pt>
                <c:pt idx="13">
                  <c:v>2012 Q2</c:v>
                </c:pt>
                <c:pt idx="14">
                  <c:v>2012 Q3</c:v>
                </c:pt>
                <c:pt idx="15">
                  <c:v>2012 Q4</c:v>
                </c:pt>
                <c:pt idx="16">
                  <c:v>2013 Q1</c:v>
                </c:pt>
                <c:pt idx="17">
                  <c:v>2013 Q2</c:v>
                </c:pt>
                <c:pt idx="18">
                  <c:v>2013 Q3</c:v>
                </c:pt>
                <c:pt idx="19">
                  <c:v>2013 Q4</c:v>
                </c:pt>
                <c:pt idx="20">
                  <c:v>2014 Q1</c:v>
                </c:pt>
              </c:strCache>
            </c:strRef>
          </c:cat>
          <c:val>
            <c:numRef>
              <c:f>'Item code pivot'!$D$7:$D$28</c:f>
              <c:numCache>
                <c:formatCode>General</c:formatCode>
                <c:ptCount val="21"/>
                <c:pt idx="0">
                  <c:v>126</c:v>
                </c:pt>
                <c:pt idx="1">
                  <c:v>83</c:v>
                </c:pt>
                <c:pt idx="2">
                  <c:v>531</c:v>
                </c:pt>
                <c:pt idx="3">
                  <c:v>739</c:v>
                </c:pt>
                <c:pt idx="4">
                  <c:v>733</c:v>
                </c:pt>
                <c:pt idx="5">
                  <c:v>516</c:v>
                </c:pt>
              </c:numCache>
            </c:numRef>
          </c:val>
          <c:smooth val="0"/>
        </c:ser>
        <c:ser>
          <c:idx val="3"/>
          <c:order val="3"/>
          <c:tx>
            <c:strRef>
              <c:f>'Item code pivot'!$E$5:$E$6</c:f>
              <c:strCache>
                <c:ptCount val="1"/>
                <c:pt idx="0">
                  <c:v>20213 - Soln for inj 5ug per 20mL 1.2mL cartridge</c:v>
                </c:pt>
              </c:strCache>
            </c:strRef>
          </c:tx>
          <c:cat>
            <c:strRef>
              <c:f>'Item code pivot'!$A$7:$A$28</c:f>
              <c:strCache>
                <c:ptCount val="21"/>
                <c:pt idx="0">
                  <c:v>2009 Q1</c:v>
                </c:pt>
                <c:pt idx="1">
                  <c:v>2009 Q2</c:v>
                </c:pt>
                <c:pt idx="2">
                  <c:v>2009 Q3</c:v>
                </c:pt>
                <c:pt idx="3">
                  <c:v>2009 Q4</c:v>
                </c:pt>
                <c:pt idx="4">
                  <c:v>2010 Q1</c:v>
                </c:pt>
                <c:pt idx="5">
                  <c:v>2010 Q2</c:v>
                </c:pt>
                <c:pt idx="6">
                  <c:v>2010 Q3</c:v>
                </c:pt>
                <c:pt idx="7">
                  <c:v>2010 Q4</c:v>
                </c:pt>
                <c:pt idx="8">
                  <c:v>2011 Q1</c:v>
                </c:pt>
                <c:pt idx="9">
                  <c:v>2011 Q2</c:v>
                </c:pt>
                <c:pt idx="10">
                  <c:v>2011 Q3</c:v>
                </c:pt>
                <c:pt idx="11">
                  <c:v>2011 Q4</c:v>
                </c:pt>
                <c:pt idx="12">
                  <c:v>2012 Q1</c:v>
                </c:pt>
                <c:pt idx="13">
                  <c:v>2012 Q2</c:v>
                </c:pt>
                <c:pt idx="14">
                  <c:v>2012 Q3</c:v>
                </c:pt>
                <c:pt idx="15">
                  <c:v>2012 Q4</c:v>
                </c:pt>
                <c:pt idx="16">
                  <c:v>2013 Q1</c:v>
                </c:pt>
                <c:pt idx="17">
                  <c:v>2013 Q2</c:v>
                </c:pt>
                <c:pt idx="18">
                  <c:v>2013 Q3</c:v>
                </c:pt>
                <c:pt idx="19">
                  <c:v>2013 Q4</c:v>
                </c:pt>
                <c:pt idx="20">
                  <c:v>2014 Q1</c:v>
                </c:pt>
              </c:strCache>
            </c:strRef>
          </c:cat>
          <c:val>
            <c:numRef>
              <c:f>'Item code pivot'!$E$7:$E$28</c:f>
              <c:numCache>
                <c:formatCode>General</c:formatCode>
                <c:ptCount val="21"/>
                <c:pt idx="3">
                  <c:v>26</c:v>
                </c:pt>
                <c:pt idx="4">
                  <c:v>24</c:v>
                </c:pt>
                <c:pt idx="5">
                  <c:v>13</c:v>
                </c:pt>
              </c:numCache>
            </c:numRef>
          </c:val>
          <c:smooth val="0"/>
        </c:ser>
        <c:dLbls>
          <c:showLegendKey val="0"/>
          <c:showVal val="0"/>
          <c:showCatName val="0"/>
          <c:showSerName val="0"/>
          <c:showPercent val="0"/>
          <c:showBubbleSize val="0"/>
        </c:dLbls>
        <c:marker val="1"/>
        <c:smooth val="0"/>
        <c:axId val="40063744"/>
        <c:axId val="40065280"/>
      </c:lineChart>
      <c:catAx>
        <c:axId val="40063744"/>
        <c:scaling>
          <c:orientation val="minMax"/>
        </c:scaling>
        <c:delete val="0"/>
        <c:axPos val="b"/>
        <c:numFmt formatCode="General" sourceLinked="1"/>
        <c:majorTickMark val="none"/>
        <c:minorTickMark val="none"/>
        <c:tickLblPos val="nextTo"/>
        <c:txPr>
          <a:bodyPr rot="-5400000" vert="horz"/>
          <a:lstStyle/>
          <a:p>
            <a:pPr>
              <a:defRPr/>
            </a:pPr>
            <a:endParaRPr lang="en-US"/>
          </a:p>
        </c:txPr>
        <c:crossAx val="40065280"/>
        <c:crosses val="autoZero"/>
        <c:auto val="0"/>
        <c:lblAlgn val="ctr"/>
        <c:lblOffset val="100"/>
        <c:tickLblSkip val="1"/>
        <c:tickMarkSkip val="1"/>
        <c:noMultiLvlLbl val="0"/>
      </c:catAx>
      <c:valAx>
        <c:axId val="40065280"/>
        <c:scaling>
          <c:orientation val="minMax"/>
        </c:scaling>
        <c:delete val="0"/>
        <c:axPos val="l"/>
        <c:majorGridlines/>
        <c:numFmt formatCode="#,##0" sourceLinked="0"/>
        <c:majorTickMark val="none"/>
        <c:minorTickMark val="none"/>
        <c:tickLblPos val="nextTo"/>
        <c:txPr>
          <a:bodyPr rot="0" vert="horz"/>
          <a:lstStyle/>
          <a:p>
            <a:pPr>
              <a:defRPr/>
            </a:pPr>
            <a:endParaRPr lang="en-US"/>
          </a:p>
        </c:txPr>
        <c:crossAx val="40063744"/>
        <c:crosses val="autoZero"/>
        <c:crossBetween val="between"/>
      </c:valAx>
    </c:plotArea>
    <c:legend>
      <c:legendPos val="t"/>
      <c:overlay val="0"/>
      <c:txPr>
        <a:bodyPr/>
        <a:lstStyle/>
        <a:p>
          <a:pPr>
            <a:defRPr sz="800"/>
          </a:pPr>
          <a:endParaRPr lang="en-US"/>
        </a:p>
      </c:txPr>
    </c:legend>
    <c:plotVisOnly val="1"/>
    <c:dispBlanksAs val="gap"/>
    <c:showDLblsOverMax val="0"/>
  </c:chart>
  <c:spPr>
    <a:ln>
      <a:noFill/>
    </a:ln>
  </c:spPr>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[D814, exenatide, prev regimens,  aug10tomar14 init, fu to mar14 - no SP logic &amp; break=2SD if coverage past init, remove combos &amp; antiemetics, fixed end_date, v10.xlsx]Sheet1 (13)!PivotTable1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marker>
          <c:symbol val="none"/>
        </c:marker>
      </c:pivotFmt>
      <c:pivotFmt>
        <c:idx val="1113"/>
        <c:marker>
          <c:symbol val="none"/>
        </c:marker>
      </c:pivotFmt>
      <c:pivotFmt>
        <c:idx val="1114"/>
        <c:marker>
          <c:symbol val="none"/>
        </c:marker>
      </c:pivotFmt>
      <c:pivotFmt>
        <c:idx val="1115"/>
        <c:marker>
          <c:symbol val="none"/>
        </c:marker>
      </c:pivotFmt>
      <c:pivotFmt>
        <c:idx val="1116"/>
        <c:marker>
          <c:symbol val="none"/>
        </c:marker>
      </c:pivotFmt>
      <c:pivotFmt>
        <c:idx val="1117"/>
        <c:marker>
          <c:symbol val="none"/>
        </c:marker>
      </c:pivotFmt>
      <c:pivotFmt>
        <c:idx val="1118"/>
        <c:marker>
          <c:symbol val="none"/>
        </c:marker>
      </c:pivotFmt>
      <c:pivotFmt>
        <c:idx val="1119"/>
        <c:marker>
          <c:symbol val="none"/>
        </c:marker>
      </c:pivotFmt>
      <c:pivotFmt>
        <c:idx val="1120"/>
        <c:marker>
          <c:symbol val="none"/>
        </c:marker>
      </c:pivotFmt>
      <c:pivotFmt>
        <c:idx val="1121"/>
        <c:marker>
          <c:symbol val="none"/>
        </c:marker>
      </c:pivotFmt>
      <c:pivotFmt>
        <c:idx val="1122"/>
        <c:marker>
          <c:symbol val="none"/>
        </c:marker>
      </c:pivotFmt>
      <c:pivotFmt>
        <c:idx val="1123"/>
        <c:marker>
          <c:symbol val="none"/>
        </c:marker>
      </c:pivotFmt>
      <c:pivotFmt>
        <c:idx val="1124"/>
        <c:marker>
          <c:symbol val="none"/>
        </c:marker>
      </c:pivotFmt>
      <c:pivotFmt>
        <c:idx val="1125"/>
        <c:marker>
          <c:symbol val="none"/>
        </c:marker>
      </c:pivotFmt>
      <c:pivotFmt>
        <c:idx val="1126"/>
        <c:marker>
          <c:symbol val="none"/>
        </c:marker>
      </c:pivotFmt>
      <c:pivotFmt>
        <c:idx val="1127"/>
        <c:marker>
          <c:symbol val="none"/>
        </c:marker>
      </c:pivotFmt>
      <c:pivotFmt>
        <c:idx val="1128"/>
        <c:marker>
          <c:symbol val="none"/>
        </c:marker>
      </c:pivotFmt>
      <c:pivotFmt>
        <c:idx val="1129"/>
        <c:marker>
          <c:symbol val="none"/>
        </c:marker>
      </c:pivotFmt>
      <c:pivotFmt>
        <c:idx val="1130"/>
        <c:marker>
          <c:symbol val="none"/>
        </c:marker>
      </c:pivotFmt>
      <c:pivotFmt>
        <c:idx val="1131"/>
        <c:marker>
          <c:symbol val="none"/>
        </c:marker>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marker>
          <c:symbol val="none"/>
        </c:marker>
      </c:pivotFmt>
      <c:pivotFmt>
        <c:idx val="1153"/>
        <c:marker>
          <c:symbol val="none"/>
        </c:marker>
      </c:pivotFmt>
      <c:pivotFmt>
        <c:idx val="1154"/>
        <c:marker>
          <c:symbol val="none"/>
        </c:marker>
      </c:pivotFmt>
      <c:pivotFmt>
        <c:idx val="1155"/>
        <c:marker>
          <c:symbol val="none"/>
        </c:marker>
      </c:pivotFmt>
      <c:pivotFmt>
        <c:idx val="1156"/>
        <c:marker>
          <c:symbol val="none"/>
        </c:marker>
      </c:pivotFmt>
      <c:pivotFmt>
        <c:idx val="1157"/>
        <c:marker>
          <c:symbol val="none"/>
        </c:marker>
      </c:pivotFmt>
      <c:pivotFmt>
        <c:idx val="1158"/>
        <c:marker>
          <c:symbol val="none"/>
        </c:marker>
      </c:pivotFmt>
      <c:pivotFmt>
        <c:idx val="1159"/>
        <c:marker>
          <c:symbol val="none"/>
        </c:marker>
      </c:pivotFmt>
      <c:pivotFmt>
        <c:idx val="1160"/>
        <c:marker>
          <c:symbol val="none"/>
        </c:marker>
      </c:pivotFmt>
      <c:pivotFmt>
        <c:idx val="1161"/>
        <c:marker>
          <c:symbol val="none"/>
        </c:marker>
      </c:pivotFmt>
      <c:pivotFmt>
        <c:idx val="1162"/>
        <c:marker>
          <c:symbol val="none"/>
        </c:marker>
      </c:pivotFmt>
      <c:pivotFmt>
        <c:idx val="1163"/>
        <c:marker>
          <c:symbol val="none"/>
        </c:marker>
      </c:pivotFmt>
      <c:pivotFmt>
        <c:idx val="1164"/>
        <c:marker>
          <c:symbol val="none"/>
        </c:marker>
      </c:pivotFmt>
      <c:pivotFmt>
        <c:idx val="1165"/>
        <c:marker>
          <c:symbol val="none"/>
        </c:marker>
      </c:pivotFmt>
      <c:pivotFmt>
        <c:idx val="1166"/>
        <c:marker>
          <c:symbol val="none"/>
        </c:marker>
      </c:pivotFmt>
      <c:pivotFmt>
        <c:idx val="1167"/>
        <c:marker>
          <c:symbol val="none"/>
        </c:marker>
      </c:pivotFmt>
      <c:pivotFmt>
        <c:idx val="1168"/>
        <c:marker>
          <c:symbol val="none"/>
        </c:marker>
      </c:pivotFmt>
      <c:pivotFmt>
        <c:idx val="1169"/>
        <c:marker>
          <c:symbol val="none"/>
        </c:marker>
      </c:pivotFmt>
      <c:pivotFmt>
        <c:idx val="1170"/>
        <c:marker>
          <c:symbol val="none"/>
        </c:marker>
      </c:pivotFmt>
      <c:pivotFmt>
        <c:idx val="1171"/>
        <c:marker>
          <c:symbol val="none"/>
        </c:marker>
      </c:pivotFmt>
      <c:pivotFmt>
        <c:idx val="1172"/>
        <c:marker>
          <c:symbol val="none"/>
        </c:marker>
      </c:pivotFmt>
      <c:pivotFmt>
        <c:idx val="1173"/>
        <c:marker>
          <c:symbol val="none"/>
        </c:marker>
      </c:pivotFmt>
      <c:pivotFmt>
        <c:idx val="1174"/>
        <c:marker>
          <c:symbol val="none"/>
        </c:marker>
      </c:pivotFmt>
      <c:pivotFmt>
        <c:idx val="1175"/>
        <c:marker>
          <c:symbol val="none"/>
        </c:marker>
      </c:pivotFmt>
      <c:pivotFmt>
        <c:idx val="1176"/>
        <c:marker>
          <c:symbol val="none"/>
        </c:marker>
      </c:pivotFmt>
      <c:pivotFmt>
        <c:idx val="1177"/>
        <c:marker>
          <c:symbol val="none"/>
        </c:marker>
      </c:pivotFmt>
      <c:pivotFmt>
        <c:idx val="1178"/>
        <c:marker>
          <c:symbol val="none"/>
        </c:marker>
      </c:pivotFmt>
      <c:pivotFmt>
        <c:idx val="1179"/>
        <c:marker>
          <c:symbol val="none"/>
        </c:marker>
      </c:pivotFmt>
      <c:pivotFmt>
        <c:idx val="1180"/>
        <c:marker>
          <c:symbol val="none"/>
        </c:marker>
      </c:pivotFmt>
      <c:pivotFmt>
        <c:idx val="1181"/>
        <c:marker>
          <c:symbol val="none"/>
        </c:marker>
      </c:pivotFmt>
      <c:pivotFmt>
        <c:idx val="1182"/>
        <c:marker>
          <c:symbol val="none"/>
        </c:marker>
      </c:pivotFmt>
      <c:pivotFmt>
        <c:idx val="1183"/>
        <c:marker>
          <c:symbol val="none"/>
        </c:marker>
      </c:pivotFmt>
      <c:pivotFmt>
        <c:idx val="1184"/>
        <c:marker>
          <c:symbol val="none"/>
        </c:marker>
      </c:pivotFmt>
      <c:pivotFmt>
        <c:idx val="1185"/>
        <c:marker>
          <c:symbol val="none"/>
        </c:marker>
      </c:pivotFmt>
      <c:pivotFmt>
        <c:idx val="1186"/>
        <c:marker>
          <c:symbol val="none"/>
        </c:marker>
      </c:pivotFmt>
      <c:pivotFmt>
        <c:idx val="1187"/>
        <c:marker>
          <c:symbol val="none"/>
        </c:marker>
      </c:pivotFmt>
      <c:pivotFmt>
        <c:idx val="1188"/>
        <c:marker>
          <c:symbol val="none"/>
        </c:marker>
      </c:pivotFmt>
      <c:pivotFmt>
        <c:idx val="1189"/>
        <c:marker>
          <c:symbol val="none"/>
        </c:marker>
      </c:pivotFmt>
      <c:pivotFmt>
        <c:idx val="1190"/>
        <c:marker>
          <c:symbol val="none"/>
        </c:marker>
      </c:pivotFmt>
      <c:pivotFmt>
        <c:idx val="1191"/>
        <c:marker>
          <c:symbol val="none"/>
        </c:marker>
      </c:pivotFmt>
      <c:pivotFmt>
        <c:idx val="1192"/>
        <c:marker>
          <c:symbol val="none"/>
        </c:marker>
      </c:pivotFmt>
      <c:pivotFmt>
        <c:idx val="1193"/>
        <c:marker>
          <c:symbol val="none"/>
        </c:marker>
      </c:pivotFmt>
      <c:pivotFmt>
        <c:idx val="1194"/>
        <c:marker>
          <c:symbol val="none"/>
        </c:marker>
      </c:pivotFmt>
      <c:pivotFmt>
        <c:idx val="1195"/>
        <c:marker>
          <c:symbol val="none"/>
        </c:marker>
      </c:pivotFmt>
      <c:pivotFmt>
        <c:idx val="1196"/>
        <c:marker>
          <c:symbol val="none"/>
        </c:marker>
      </c:pivotFmt>
      <c:pivotFmt>
        <c:idx val="1197"/>
        <c:marker>
          <c:symbol val="none"/>
        </c:marker>
      </c:pivotFmt>
      <c:pivotFmt>
        <c:idx val="1198"/>
        <c:marker>
          <c:symbol val="none"/>
        </c:marker>
      </c:pivotFmt>
      <c:pivotFmt>
        <c:idx val="1199"/>
        <c:marker>
          <c:symbol val="none"/>
        </c:marker>
      </c:pivotFmt>
      <c:pivotFmt>
        <c:idx val="1200"/>
        <c:marker>
          <c:symbol val="none"/>
        </c:marker>
      </c:pivotFmt>
      <c:pivotFmt>
        <c:idx val="1201"/>
        <c:marker>
          <c:symbol val="none"/>
        </c:marker>
      </c:pivotFmt>
      <c:pivotFmt>
        <c:idx val="1202"/>
        <c:marker>
          <c:symbol val="none"/>
        </c:marker>
      </c:pivotFmt>
      <c:pivotFmt>
        <c:idx val="1203"/>
        <c:marker>
          <c:symbol val="none"/>
        </c:marker>
      </c:pivotFmt>
      <c:pivotFmt>
        <c:idx val="1204"/>
        <c:marker>
          <c:symbol val="none"/>
        </c:marker>
      </c:pivotFmt>
      <c:pivotFmt>
        <c:idx val="1205"/>
        <c:marker>
          <c:symbol val="none"/>
        </c:marker>
      </c:pivotFmt>
      <c:pivotFmt>
        <c:idx val="1206"/>
        <c:marker>
          <c:symbol val="none"/>
        </c:marker>
      </c:pivotFmt>
      <c:pivotFmt>
        <c:idx val="1207"/>
        <c:marker>
          <c:symbol val="none"/>
        </c:marker>
      </c:pivotFmt>
      <c:pivotFmt>
        <c:idx val="1208"/>
        <c:marker>
          <c:symbol val="none"/>
        </c:marker>
      </c:pivotFmt>
      <c:pivotFmt>
        <c:idx val="1209"/>
        <c:marker>
          <c:symbol val="none"/>
        </c:marker>
      </c:pivotFmt>
      <c:pivotFmt>
        <c:idx val="1210"/>
        <c:marker>
          <c:symbol val="none"/>
        </c:marker>
      </c:pivotFmt>
      <c:pivotFmt>
        <c:idx val="1211"/>
        <c:marker>
          <c:symbol val="none"/>
        </c:marker>
      </c:pivotFmt>
      <c:pivotFmt>
        <c:idx val="1212"/>
        <c:marker>
          <c:symbol val="none"/>
        </c:marker>
      </c:pivotFmt>
      <c:pivotFmt>
        <c:idx val="1213"/>
        <c:marker>
          <c:symbol val="none"/>
        </c:marker>
      </c:pivotFmt>
      <c:pivotFmt>
        <c:idx val="1214"/>
        <c:marker>
          <c:symbol val="none"/>
        </c:marker>
      </c:pivotFmt>
      <c:pivotFmt>
        <c:idx val="1215"/>
        <c:marker>
          <c:symbol val="none"/>
        </c:marker>
      </c:pivotFmt>
      <c:pivotFmt>
        <c:idx val="1216"/>
        <c:marker>
          <c:symbol val="none"/>
        </c:marker>
      </c:pivotFmt>
      <c:pivotFmt>
        <c:idx val="1217"/>
        <c:marker>
          <c:symbol val="none"/>
        </c:marker>
      </c:pivotFmt>
      <c:pivotFmt>
        <c:idx val="1218"/>
        <c:marker>
          <c:symbol val="none"/>
        </c:marker>
      </c:pivotFmt>
      <c:pivotFmt>
        <c:idx val="1219"/>
        <c:marker>
          <c:symbol val="none"/>
        </c:marker>
      </c:pivotFmt>
      <c:pivotFmt>
        <c:idx val="1220"/>
        <c:marker>
          <c:symbol val="none"/>
        </c:marker>
      </c:pivotFmt>
      <c:pivotFmt>
        <c:idx val="1221"/>
        <c:marker>
          <c:symbol val="none"/>
        </c:marker>
      </c:pivotFmt>
      <c:pivotFmt>
        <c:idx val="1222"/>
        <c:marker>
          <c:symbol val="none"/>
        </c:marker>
      </c:pivotFmt>
      <c:pivotFmt>
        <c:idx val="1223"/>
        <c:marker>
          <c:symbol val="none"/>
        </c:marker>
      </c:pivotFmt>
      <c:pivotFmt>
        <c:idx val="1224"/>
        <c:marker>
          <c:symbol val="none"/>
        </c:marker>
      </c:pivotFmt>
      <c:pivotFmt>
        <c:idx val="1225"/>
        <c:marker>
          <c:symbol val="none"/>
        </c:marker>
      </c:pivotFmt>
      <c:pivotFmt>
        <c:idx val="1226"/>
        <c:marker>
          <c:symbol val="none"/>
        </c:marker>
      </c:pivotFmt>
      <c:pivotFmt>
        <c:idx val="1227"/>
        <c:marker>
          <c:symbol val="none"/>
        </c:marker>
      </c:pivotFmt>
      <c:pivotFmt>
        <c:idx val="1228"/>
        <c:marker>
          <c:symbol val="none"/>
        </c:marker>
      </c:pivotFmt>
      <c:pivotFmt>
        <c:idx val="1229"/>
        <c:marker>
          <c:symbol val="none"/>
        </c:marker>
      </c:pivotFmt>
      <c:pivotFmt>
        <c:idx val="1230"/>
        <c:marker>
          <c:symbol val="none"/>
        </c:marker>
      </c:pivotFmt>
      <c:pivotFmt>
        <c:idx val="1231"/>
        <c:marker>
          <c:symbol val="none"/>
        </c:marker>
      </c:pivotFmt>
      <c:pivotFmt>
        <c:idx val="1232"/>
        <c:marker>
          <c:symbol val="none"/>
        </c:marker>
      </c:pivotFmt>
      <c:pivotFmt>
        <c:idx val="1233"/>
        <c:marker>
          <c:symbol val="none"/>
        </c:marker>
      </c:pivotFmt>
      <c:pivotFmt>
        <c:idx val="1234"/>
        <c:marker>
          <c:symbol val="none"/>
        </c:marker>
      </c:pivotFmt>
      <c:pivotFmt>
        <c:idx val="1235"/>
        <c:marker>
          <c:symbol val="none"/>
        </c:marker>
      </c:pivotFmt>
      <c:pivotFmt>
        <c:idx val="1236"/>
        <c:marker>
          <c:symbol val="none"/>
        </c:marker>
      </c:pivotFmt>
      <c:pivotFmt>
        <c:idx val="1237"/>
        <c:marker>
          <c:symbol val="none"/>
        </c:marker>
      </c:pivotFmt>
      <c:pivotFmt>
        <c:idx val="1238"/>
        <c:marker>
          <c:symbol val="none"/>
        </c:marker>
      </c:pivotFmt>
      <c:pivotFmt>
        <c:idx val="1239"/>
        <c:marker>
          <c:symbol val="none"/>
        </c:marker>
      </c:pivotFmt>
      <c:pivotFmt>
        <c:idx val="1240"/>
        <c:marker>
          <c:symbol val="none"/>
        </c:marker>
      </c:pivotFmt>
      <c:pivotFmt>
        <c:idx val="1241"/>
        <c:marker>
          <c:symbol val="none"/>
        </c:marker>
      </c:pivotFmt>
      <c:pivotFmt>
        <c:idx val="1242"/>
        <c:marker>
          <c:symbol val="none"/>
        </c:marker>
      </c:pivotFmt>
      <c:pivotFmt>
        <c:idx val="1243"/>
        <c:marker>
          <c:symbol val="none"/>
        </c:marker>
      </c:pivotFmt>
      <c:pivotFmt>
        <c:idx val="1244"/>
        <c:marker>
          <c:symbol val="none"/>
        </c:marker>
      </c:pivotFmt>
      <c:pivotFmt>
        <c:idx val="1245"/>
        <c:marker>
          <c:symbol val="none"/>
        </c:marker>
      </c:pivotFmt>
      <c:pivotFmt>
        <c:idx val="1246"/>
        <c:marker>
          <c:symbol val="none"/>
        </c:marker>
      </c:pivotFmt>
      <c:pivotFmt>
        <c:idx val="1247"/>
        <c:marker>
          <c:symbol val="none"/>
        </c:marker>
      </c:pivotFmt>
      <c:pivotFmt>
        <c:idx val="1248"/>
        <c:marker>
          <c:symbol val="none"/>
        </c:marker>
      </c:pivotFmt>
      <c:pivotFmt>
        <c:idx val="1249"/>
        <c:marker>
          <c:symbol val="none"/>
        </c:marker>
      </c:pivotFmt>
      <c:pivotFmt>
        <c:idx val="1250"/>
        <c:marker>
          <c:symbol val="none"/>
        </c:marker>
      </c:pivotFmt>
      <c:pivotFmt>
        <c:idx val="1251"/>
        <c:marker>
          <c:symbol val="none"/>
        </c:marker>
      </c:pivotFmt>
      <c:pivotFmt>
        <c:idx val="1252"/>
        <c:marker>
          <c:symbol val="none"/>
        </c:marker>
      </c:pivotFmt>
      <c:pivotFmt>
        <c:idx val="1253"/>
        <c:marker>
          <c:symbol val="none"/>
        </c:marker>
      </c:pivotFmt>
      <c:pivotFmt>
        <c:idx val="1254"/>
        <c:marker>
          <c:symbol val="none"/>
        </c:marker>
      </c:pivotFmt>
      <c:pivotFmt>
        <c:idx val="1255"/>
        <c:marker>
          <c:symbol val="none"/>
        </c:marker>
      </c:pivotFmt>
      <c:pivotFmt>
        <c:idx val="1256"/>
        <c:marker>
          <c:symbol val="none"/>
        </c:marker>
      </c:pivotFmt>
      <c:pivotFmt>
        <c:idx val="1257"/>
        <c:marker>
          <c:symbol val="none"/>
        </c:marker>
      </c:pivotFmt>
      <c:pivotFmt>
        <c:idx val="1258"/>
        <c:marker>
          <c:symbol val="none"/>
        </c:marker>
      </c:pivotFmt>
      <c:pivotFmt>
        <c:idx val="1259"/>
        <c:marker>
          <c:symbol val="none"/>
        </c:marker>
      </c:pivotFmt>
      <c:pivotFmt>
        <c:idx val="1260"/>
        <c:marker>
          <c:symbol val="none"/>
        </c:marker>
      </c:pivotFmt>
      <c:pivotFmt>
        <c:idx val="1261"/>
        <c:marker>
          <c:symbol val="none"/>
        </c:marker>
      </c:pivotFmt>
      <c:pivotFmt>
        <c:idx val="1262"/>
        <c:spPr>
          <a:ln>
            <a:solidFill>
              <a:schemeClr val="tx1"/>
            </a:solidFill>
          </a:ln>
        </c:spPr>
        <c:marker>
          <c:symbol val="none"/>
        </c:marker>
      </c:pivotFmt>
      <c:pivotFmt>
        <c:idx val="1263"/>
        <c:marker>
          <c:symbol val="none"/>
        </c:marker>
      </c:pivotFmt>
      <c:pivotFmt>
        <c:idx val="1264"/>
        <c:marker>
          <c:symbol val="none"/>
        </c:marker>
      </c:pivotFmt>
      <c:pivotFmt>
        <c:idx val="1265"/>
        <c:marker>
          <c:symbol val="none"/>
        </c:marker>
      </c:pivotFmt>
      <c:pivotFmt>
        <c:idx val="1266"/>
        <c:spPr>
          <a:ln>
            <a:solidFill>
              <a:srgbClr val="FF0000"/>
            </a:solidFill>
          </a:ln>
        </c:spPr>
        <c:marker>
          <c:symbol val="none"/>
        </c:marker>
      </c:pivotFmt>
      <c:pivotFmt>
        <c:idx val="1267"/>
        <c:marker>
          <c:symbol val="none"/>
        </c:marker>
      </c:pivotFmt>
      <c:pivotFmt>
        <c:idx val="1268"/>
        <c:marker>
          <c:symbol val="none"/>
        </c:marker>
      </c:pivotFmt>
      <c:pivotFmt>
        <c:idx val="1269"/>
        <c:marker>
          <c:symbol val="none"/>
        </c:marker>
      </c:pivotFmt>
      <c:pivotFmt>
        <c:idx val="1270"/>
        <c:marker>
          <c:symbol val="none"/>
        </c:marker>
      </c:pivotFmt>
      <c:pivotFmt>
        <c:idx val="1271"/>
        <c:marker>
          <c:symbol val="none"/>
        </c:marker>
      </c:pivotFmt>
      <c:pivotFmt>
        <c:idx val="1272"/>
        <c:marker>
          <c:symbol val="none"/>
        </c:marker>
      </c:pivotFmt>
      <c:pivotFmt>
        <c:idx val="1273"/>
        <c:marker>
          <c:symbol val="none"/>
        </c:marker>
      </c:pivotFmt>
      <c:pivotFmt>
        <c:idx val="1274"/>
        <c:marker>
          <c:symbol val="none"/>
        </c:marker>
      </c:pivotFmt>
      <c:pivotFmt>
        <c:idx val="1275"/>
        <c:marker>
          <c:symbol val="none"/>
        </c:marker>
      </c:pivotFmt>
      <c:pivotFmt>
        <c:idx val="1276"/>
        <c:marker>
          <c:symbol val="none"/>
        </c:marker>
      </c:pivotFmt>
      <c:pivotFmt>
        <c:idx val="1277"/>
        <c:marker>
          <c:symbol val="none"/>
        </c:marker>
      </c:pivotFmt>
      <c:pivotFmt>
        <c:idx val="1278"/>
        <c:marker>
          <c:symbol val="none"/>
        </c:marker>
      </c:pivotFmt>
      <c:pivotFmt>
        <c:idx val="1279"/>
        <c:marker>
          <c:symbol val="none"/>
        </c:marker>
      </c:pivotFmt>
      <c:pivotFmt>
        <c:idx val="1280"/>
        <c:marker>
          <c:symbol val="none"/>
        </c:marker>
      </c:pivotFmt>
      <c:pivotFmt>
        <c:idx val="1281"/>
        <c:marker>
          <c:symbol val="none"/>
        </c:marker>
      </c:pivotFmt>
      <c:pivotFmt>
        <c:idx val="1282"/>
        <c:marker>
          <c:symbol val="none"/>
        </c:marker>
      </c:pivotFmt>
      <c:pivotFmt>
        <c:idx val="1283"/>
        <c:spPr>
          <a:ln>
            <a:solidFill>
              <a:srgbClr val="FF0000"/>
            </a:solidFill>
          </a:ln>
        </c:spPr>
        <c:marker>
          <c:symbol val="none"/>
        </c:marker>
      </c:pivotFmt>
      <c:pivotFmt>
        <c:idx val="1284"/>
        <c:marker>
          <c:symbol val="none"/>
        </c:marker>
      </c:pivotFmt>
      <c:pivotFmt>
        <c:idx val="1285"/>
        <c:spPr>
          <a:ln>
            <a:solidFill>
              <a:schemeClr val="tx1"/>
            </a:solidFill>
          </a:ln>
        </c:spPr>
        <c:marker>
          <c:symbol val="none"/>
        </c:marker>
      </c:pivotFmt>
      <c:pivotFmt>
        <c:idx val="1286"/>
        <c:marker>
          <c:symbol val="none"/>
        </c:marker>
      </c:pivotFmt>
      <c:pivotFmt>
        <c:idx val="1287"/>
        <c:marker>
          <c:symbol val="none"/>
        </c:marker>
      </c:pivotFmt>
      <c:pivotFmt>
        <c:idx val="1288"/>
        <c:marker>
          <c:symbol val="none"/>
        </c:marker>
      </c:pivotFmt>
      <c:pivotFmt>
        <c:idx val="1289"/>
        <c:marker>
          <c:symbol val="none"/>
        </c:marker>
      </c:pivotFmt>
      <c:pivotFmt>
        <c:idx val="1290"/>
        <c:marker>
          <c:symbol val="none"/>
        </c:marker>
      </c:pivotFmt>
      <c:pivotFmt>
        <c:idx val="1291"/>
        <c:marker>
          <c:symbol val="none"/>
        </c:marker>
      </c:pivotFmt>
      <c:pivotFmt>
        <c:idx val="1292"/>
        <c:marker>
          <c:symbol val="none"/>
        </c:marker>
      </c:pivotFmt>
      <c:pivotFmt>
        <c:idx val="1293"/>
        <c:marker>
          <c:symbol val="none"/>
        </c:marker>
      </c:pivotFmt>
      <c:pivotFmt>
        <c:idx val="1294"/>
        <c:marker>
          <c:symbol val="none"/>
        </c:marker>
      </c:pivotFmt>
      <c:pivotFmt>
        <c:idx val="1295"/>
        <c:marker>
          <c:symbol val="none"/>
        </c:marker>
      </c:pivotFmt>
      <c:pivotFmt>
        <c:idx val="1296"/>
        <c:marker>
          <c:symbol val="none"/>
        </c:marker>
      </c:pivotFmt>
      <c:pivotFmt>
        <c:idx val="1297"/>
        <c:marker>
          <c:symbol val="none"/>
        </c:marker>
      </c:pivotFmt>
      <c:pivotFmt>
        <c:idx val="1298"/>
        <c:marker>
          <c:symbol val="none"/>
        </c:marker>
      </c:pivotFmt>
      <c:pivotFmt>
        <c:idx val="1299"/>
        <c:marker>
          <c:symbol val="none"/>
        </c:marker>
      </c:pivotFmt>
      <c:pivotFmt>
        <c:idx val="1300"/>
        <c:marker>
          <c:symbol val="none"/>
        </c:marker>
      </c:pivotFmt>
      <c:pivotFmt>
        <c:idx val="1301"/>
        <c:spPr>
          <a:ln>
            <a:solidFill>
              <a:srgbClr val="FF0000"/>
            </a:solidFill>
          </a:ln>
        </c:spPr>
        <c:marker>
          <c:symbol val="none"/>
        </c:marker>
      </c:pivotFmt>
      <c:pivotFmt>
        <c:idx val="1302"/>
        <c:marker>
          <c:symbol val="none"/>
        </c:marker>
      </c:pivotFmt>
      <c:pivotFmt>
        <c:idx val="1303"/>
        <c:spPr>
          <a:ln>
            <a:solidFill>
              <a:schemeClr val="tx1"/>
            </a:solidFill>
          </a:ln>
        </c:spPr>
        <c:marker>
          <c:symbol val="none"/>
        </c:marker>
      </c:pivotFmt>
      <c:pivotFmt>
        <c:idx val="1304"/>
        <c:marker>
          <c:symbol val="none"/>
        </c:marker>
      </c:pivotFmt>
      <c:pivotFmt>
        <c:idx val="1305"/>
        <c:marker>
          <c:symbol val="none"/>
        </c:marker>
      </c:pivotFmt>
      <c:pivotFmt>
        <c:idx val="1306"/>
        <c:marker>
          <c:symbol val="none"/>
        </c:marker>
      </c:pivotFmt>
      <c:pivotFmt>
        <c:idx val="1307"/>
        <c:marker>
          <c:symbol val="none"/>
        </c:marker>
      </c:pivotFmt>
      <c:pivotFmt>
        <c:idx val="1308"/>
        <c:marker>
          <c:symbol val="none"/>
        </c:marker>
      </c:pivotFmt>
      <c:pivotFmt>
        <c:idx val="1309"/>
        <c:marker>
          <c:symbol val="none"/>
        </c:marker>
      </c:pivotFmt>
      <c:pivotFmt>
        <c:idx val="1310"/>
        <c:marker>
          <c:symbol val="none"/>
        </c:marker>
      </c:pivotFmt>
      <c:pivotFmt>
        <c:idx val="1311"/>
        <c:marker>
          <c:symbol val="none"/>
        </c:marker>
      </c:pivotFmt>
      <c:pivotFmt>
        <c:idx val="1312"/>
        <c:marker>
          <c:symbol val="none"/>
        </c:marker>
      </c:pivotFmt>
      <c:pivotFmt>
        <c:idx val="1313"/>
        <c:marker>
          <c:symbol val="none"/>
        </c:marker>
      </c:pivotFmt>
      <c:pivotFmt>
        <c:idx val="1314"/>
        <c:marker>
          <c:symbol val="none"/>
        </c:marker>
      </c:pivotFmt>
      <c:pivotFmt>
        <c:idx val="1315"/>
        <c:marker>
          <c:symbol val="none"/>
        </c:marker>
      </c:pivotFmt>
      <c:pivotFmt>
        <c:idx val="1316"/>
        <c:marker>
          <c:symbol val="none"/>
        </c:marker>
      </c:pivotFmt>
      <c:pivotFmt>
        <c:idx val="1317"/>
        <c:marker>
          <c:symbol val="none"/>
        </c:marker>
      </c:pivotFmt>
      <c:pivotFmt>
        <c:idx val="1318"/>
        <c:marker>
          <c:symbol val="none"/>
        </c:marker>
      </c:pivotFmt>
      <c:pivotFmt>
        <c:idx val="1319"/>
        <c:spPr>
          <a:ln>
            <a:solidFill>
              <a:srgbClr val="FF0000"/>
            </a:solidFill>
          </a:ln>
        </c:spPr>
        <c:marker>
          <c:symbol val="none"/>
        </c:marker>
      </c:pivotFmt>
      <c:pivotFmt>
        <c:idx val="1320"/>
        <c:marker>
          <c:symbol val="none"/>
        </c:marker>
      </c:pivotFmt>
      <c:pivotFmt>
        <c:idx val="1321"/>
        <c:spPr>
          <a:ln>
            <a:solidFill>
              <a:schemeClr val="tx1"/>
            </a:solidFill>
          </a:ln>
        </c:spPr>
        <c:marker>
          <c:symbol val="none"/>
        </c:marker>
      </c:pivotFmt>
      <c:pivotFmt>
        <c:idx val="1322"/>
        <c:marker>
          <c:symbol val="none"/>
        </c:marker>
      </c:pivotFmt>
      <c:pivotFmt>
        <c:idx val="1323"/>
        <c:marker>
          <c:symbol val="none"/>
        </c:marker>
      </c:pivotFmt>
      <c:pivotFmt>
        <c:idx val="1324"/>
        <c:marker>
          <c:symbol val="none"/>
        </c:marker>
      </c:pivotFmt>
      <c:pivotFmt>
        <c:idx val="1325"/>
        <c:marker>
          <c:symbol val="none"/>
        </c:marker>
      </c:pivotFmt>
      <c:pivotFmt>
        <c:idx val="1326"/>
        <c:marker>
          <c:symbol val="none"/>
        </c:marker>
      </c:pivotFmt>
      <c:pivotFmt>
        <c:idx val="1327"/>
        <c:marker>
          <c:symbol val="none"/>
        </c:marker>
      </c:pivotFmt>
      <c:pivotFmt>
        <c:idx val="1328"/>
        <c:marker>
          <c:symbol val="none"/>
        </c:marker>
      </c:pivotFmt>
      <c:pivotFmt>
        <c:idx val="1329"/>
        <c:marker>
          <c:symbol val="none"/>
        </c:marker>
      </c:pivotFmt>
      <c:pivotFmt>
        <c:idx val="1330"/>
        <c:marker>
          <c:symbol val="none"/>
        </c:marker>
      </c:pivotFmt>
      <c:pivotFmt>
        <c:idx val="1331"/>
        <c:marker>
          <c:symbol val="none"/>
        </c:marker>
      </c:pivotFmt>
      <c:pivotFmt>
        <c:idx val="1332"/>
        <c:marker>
          <c:symbol val="none"/>
        </c:marker>
      </c:pivotFmt>
      <c:pivotFmt>
        <c:idx val="1333"/>
        <c:marker>
          <c:symbol val="none"/>
        </c:marker>
      </c:pivotFmt>
      <c:pivotFmt>
        <c:idx val="1334"/>
        <c:marker>
          <c:symbol val="none"/>
        </c:marker>
      </c:pivotFmt>
      <c:pivotFmt>
        <c:idx val="1335"/>
        <c:marker>
          <c:symbol val="none"/>
        </c:marker>
      </c:pivotFmt>
      <c:pivotFmt>
        <c:idx val="1336"/>
        <c:marker>
          <c:symbol val="none"/>
        </c:marker>
      </c:pivotFmt>
      <c:pivotFmt>
        <c:idx val="1337"/>
        <c:marker>
          <c:symbol val="none"/>
        </c:marker>
      </c:pivotFmt>
      <c:pivotFmt>
        <c:idx val="1338"/>
        <c:marker>
          <c:symbol val="none"/>
        </c:marker>
      </c:pivotFmt>
      <c:pivotFmt>
        <c:idx val="1339"/>
        <c:spPr>
          <a:ln>
            <a:solidFill>
              <a:srgbClr val="FF0000"/>
            </a:solidFill>
          </a:ln>
        </c:spPr>
        <c:marker>
          <c:symbol val="none"/>
        </c:marker>
      </c:pivotFmt>
      <c:pivotFmt>
        <c:idx val="1340"/>
        <c:marker>
          <c:symbol val="none"/>
        </c:marker>
      </c:pivotFmt>
      <c:pivotFmt>
        <c:idx val="1341"/>
        <c:spPr>
          <a:ln>
            <a:solidFill>
              <a:schemeClr val="tx1"/>
            </a:solidFill>
          </a:ln>
        </c:spPr>
        <c:marker>
          <c:symbol val="none"/>
        </c:marker>
      </c:pivotFmt>
      <c:pivotFmt>
        <c:idx val="1342"/>
        <c:marker>
          <c:symbol val="none"/>
        </c:marker>
      </c:pivotFmt>
      <c:pivotFmt>
        <c:idx val="1343"/>
        <c:marker>
          <c:symbol val="none"/>
        </c:marker>
      </c:pivotFmt>
      <c:pivotFmt>
        <c:idx val="1344"/>
        <c:marker>
          <c:symbol val="none"/>
        </c:marker>
      </c:pivotFmt>
      <c:pivotFmt>
        <c:idx val="1345"/>
        <c:marker>
          <c:symbol val="none"/>
        </c:marker>
      </c:pivotFmt>
      <c:pivotFmt>
        <c:idx val="1346"/>
        <c:marker>
          <c:symbol val="none"/>
        </c:marker>
      </c:pivotFmt>
      <c:pivotFmt>
        <c:idx val="1347"/>
        <c:marker>
          <c:symbol val="none"/>
        </c:marker>
      </c:pivotFmt>
      <c:pivotFmt>
        <c:idx val="1348"/>
        <c:marker>
          <c:symbol val="none"/>
        </c:marker>
      </c:pivotFmt>
      <c:pivotFmt>
        <c:idx val="1349"/>
        <c:marker>
          <c:symbol val="none"/>
        </c:marker>
      </c:pivotFmt>
      <c:pivotFmt>
        <c:idx val="1350"/>
        <c:marker>
          <c:symbol val="none"/>
        </c:marker>
      </c:pivotFmt>
      <c:pivotFmt>
        <c:idx val="1351"/>
        <c:marker>
          <c:symbol val="none"/>
        </c:marker>
      </c:pivotFmt>
      <c:pivotFmt>
        <c:idx val="1352"/>
        <c:marker>
          <c:symbol val="none"/>
        </c:marker>
      </c:pivotFmt>
      <c:pivotFmt>
        <c:idx val="1353"/>
        <c:marker>
          <c:symbol val="none"/>
        </c:marker>
      </c:pivotFmt>
      <c:pivotFmt>
        <c:idx val="1354"/>
        <c:marker>
          <c:symbol val="none"/>
        </c:marker>
      </c:pivotFmt>
      <c:pivotFmt>
        <c:idx val="1355"/>
        <c:marker>
          <c:symbol val="none"/>
        </c:marker>
      </c:pivotFmt>
      <c:pivotFmt>
        <c:idx val="1356"/>
        <c:marker>
          <c:symbol val="none"/>
        </c:marker>
      </c:pivotFmt>
      <c:pivotFmt>
        <c:idx val="1357"/>
        <c:marker>
          <c:symbol val="none"/>
        </c:marker>
      </c:pivotFmt>
      <c:pivotFmt>
        <c:idx val="1358"/>
        <c:marker>
          <c:symbol val="none"/>
        </c:marker>
      </c:pivotFmt>
      <c:pivotFmt>
        <c:idx val="1359"/>
        <c:marker>
          <c:symbol val="none"/>
        </c:marker>
      </c:pivotFmt>
      <c:pivotFmt>
        <c:idx val="1360"/>
        <c:marker>
          <c:symbol val="none"/>
        </c:marker>
      </c:pivotFmt>
      <c:pivotFmt>
        <c:idx val="1361"/>
        <c:marker>
          <c:symbol val="none"/>
        </c:marker>
      </c:pivotFmt>
      <c:pivotFmt>
        <c:idx val="1362"/>
        <c:marker>
          <c:symbol val="none"/>
        </c:marker>
      </c:pivotFmt>
      <c:pivotFmt>
        <c:idx val="1363"/>
        <c:marker>
          <c:symbol val="none"/>
        </c:marker>
      </c:pivotFmt>
      <c:pivotFmt>
        <c:idx val="1364"/>
        <c:marker>
          <c:symbol val="none"/>
        </c:marker>
      </c:pivotFmt>
      <c:pivotFmt>
        <c:idx val="1365"/>
        <c:marker>
          <c:symbol val="none"/>
        </c:marker>
      </c:pivotFmt>
      <c:pivotFmt>
        <c:idx val="1366"/>
        <c:marker>
          <c:symbol val="none"/>
        </c:marker>
      </c:pivotFmt>
      <c:pivotFmt>
        <c:idx val="1367"/>
        <c:marker>
          <c:symbol val="none"/>
        </c:marker>
      </c:pivotFmt>
      <c:pivotFmt>
        <c:idx val="1368"/>
        <c:marker>
          <c:symbol val="none"/>
        </c:marker>
      </c:pivotFmt>
      <c:pivotFmt>
        <c:idx val="1369"/>
        <c:marker>
          <c:symbol val="none"/>
        </c:marker>
      </c:pivotFmt>
      <c:pivotFmt>
        <c:idx val="1370"/>
        <c:marker>
          <c:symbol val="none"/>
        </c:marker>
      </c:pivotFmt>
      <c:pivotFmt>
        <c:idx val="1371"/>
        <c:marker>
          <c:symbol val="none"/>
        </c:marker>
      </c:pivotFmt>
      <c:pivotFmt>
        <c:idx val="1372"/>
        <c:marker>
          <c:symbol val="none"/>
        </c:marker>
      </c:pivotFmt>
      <c:pivotFmt>
        <c:idx val="1373"/>
        <c:marker>
          <c:symbol val="none"/>
        </c:marker>
      </c:pivotFmt>
      <c:pivotFmt>
        <c:idx val="1374"/>
        <c:marker>
          <c:symbol val="none"/>
        </c:marker>
      </c:pivotFmt>
      <c:pivotFmt>
        <c:idx val="1375"/>
        <c:marker>
          <c:symbol val="none"/>
        </c:marker>
      </c:pivotFmt>
      <c:pivotFmt>
        <c:idx val="1376"/>
        <c:marker>
          <c:symbol val="none"/>
        </c:marker>
      </c:pivotFmt>
      <c:pivotFmt>
        <c:idx val="1377"/>
        <c:marker>
          <c:symbol val="none"/>
        </c:marker>
      </c:pivotFmt>
      <c:pivotFmt>
        <c:idx val="1378"/>
        <c:marker>
          <c:symbol val="none"/>
        </c:marker>
      </c:pivotFmt>
      <c:pivotFmt>
        <c:idx val="1379"/>
        <c:marker>
          <c:symbol val="none"/>
        </c:marker>
      </c:pivotFmt>
      <c:pivotFmt>
        <c:idx val="1380"/>
        <c:marker>
          <c:symbol val="none"/>
        </c:marker>
      </c:pivotFmt>
      <c:pivotFmt>
        <c:idx val="1381"/>
        <c:marker>
          <c:symbol val="none"/>
        </c:marker>
      </c:pivotFmt>
      <c:pivotFmt>
        <c:idx val="1382"/>
        <c:marker>
          <c:symbol val="none"/>
        </c:marker>
      </c:pivotFmt>
      <c:pivotFmt>
        <c:idx val="1383"/>
        <c:marker>
          <c:symbol val="none"/>
        </c:marker>
      </c:pivotFmt>
      <c:pivotFmt>
        <c:idx val="1384"/>
        <c:marker>
          <c:symbol val="none"/>
        </c:marker>
      </c:pivotFmt>
      <c:pivotFmt>
        <c:idx val="1385"/>
        <c:marker>
          <c:symbol val="none"/>
        </c:marker>
      </c:pivotFmt>
      <c:pivotFmt>
        <c:idx val="1386"/>
        <c:marker>
          <c:symbol val="none"/>
        </c:marker>
      </c:pivotFmt>
      <c:pivotFmt>
        <c:idx val="1387"/>
        <c:marker>
          <c:symbol val="none"/>
        </c:marker>
      </c:pivotFmt>
      <c:pivotFmt>
        <c:idx val="1388"/>
        <c:marker>
          <c:symbol val="none"/>
        </c:marker>
      </c:pivotFmt>
      <c:pivotFmt>
        <c:idx val="1389"/>
        <c:marker>
          <c:symbol val="none"/>
        </c:marker>
      </c:pivotFmt>
      <c:pivotFmt>
        <c:idx val="1390"/>
        <c:marker>
          <c:symbol val="none"/>
        </c:marker>
      </c:pivotFmt>
      <c:pivotFmt>
        <c:idx val="1391"/>
        <c:marker>
          <c:symbol val="none"/>
        </c:marker>
      </c:pivotFmt>
      <c:pivotFmt>
        <c:idx val="1392"/>
        <c:marker>
          <c:symbol val="none"/>
        </c:marker>
      </c:pivotFmt>
      <c:pivotFmt>
        <c:idx val="1393"/>
        <c:marker>
          <c:symbol val="none"/>
        </c:marker>
      </c:pivotFmt>
      <c:pivotFmt>
        <c:idx val="1394"/>
        <c:marker>
          <c:symbol val="none"/>
        </c:marker>
      </c:pivotFmt>
      <c:pivotFmt>
        <c:idx val="1395"/>
        <c:marker>
          <c:symbol val="none"/>
        </c:marker>
      </c:pivotFmt>
      <c:pivotFmt>
        <c:idx val="1396"/>
        <c:marker>
          <c:symbol val="none"/>
        </c:marker>
      </c:pivotFmt>
      <c:pivotFmt>
        <c:idx val="1397"/>
        <c:marker>
          <c:symbol val="none"/>
        </c:marker>
      </c:pivotFmt>
      <c:pivotFmt>
        <c:idx val="1398"/>
        <c:marker>
          <c:symbol val="none"/>
        </c:marker>
      </c:pivotFmt>
      <c:pivotFmt>
        <c:idx val="1399"/>
        <c:marker>
          <c:symbol val="none"/>
        </c:marker>
      </c:pivotFmt>
      <c:pivotFmt>
        <c:idx val="1400"/>
        <c:marker>
          <c:symbol val="none"/>
        </c:marker>
      </c:pivotFmt>
      <c:pivotFmt>
        <c:idx val="1401"/>
        <c:marker>
          <c:symbol val="none"/>
        </c:marker>
      </c:pivotFmt>
      <c:pivotFmt>
        <c:idx val="1402"/>
        <c:marker>
          <c:symbol val="none"/>
        </c:marker>
      </c:pivotFmt>
      <c:pivotFmt>
        <c:idx val="1403"/>
        <c:marker>
          <c:symbol val="none"/>
        </c:marker>
      </c:pivotFmt>
      <c:pivotFmt>
        <c:idx val="1404"/>
        <c:marker>
          <c:symbol val="none"/>
        </c:marker>
      </c:pivotFmt>
      <c:pivotFmt>
        <c:idx val="1405"/>
        <c:marker>
          <c:symbol val="none"/>
        </c:marker>
      </c:pivotFmt>
      <c:pivotFmt>
        <c:idx val="1406"/>
        <c:marker>
          <c:symbol val="none"/>
        </c:marker>
      </c:pivotFmt>
      <c:pivotFmt>
        <c:idx val="1407"/>
        <c:marker>
          <c:symbol val="none"/>
        </c:marker>
      </c:pivotFmt>
      <c:pivotFmt>
        <c:idx val="1408"/>
        <c:marker>
          <c:symbol val="none"/>
        </c:marker>
      </c:pivotFmt>
      <c:pivotFmt>
        <c:idx val="1409"/>
        <c:marker>
          <c:symbol val="none"/>
        </c:marker>
      </c:pivotFmt>
      <c:pivotFmt>
        <c:idx val="1410"/>
        <c:marker>
          <c:symbol val="none"/>
        </c:marker>
      </c:pivotFmt>
      <c:pivotFmt>
        <c:idx val="1411"/>
        <c:marker>
          <c:symbol val="none"/>
        </c:marker>
      </c:pivotFmt>
      <c:pivotFmt>
        <c:idx val="1412"/>
        <c:marker>
          <c:symbol val="none"/>
        </c:marker>
      </c:pivotFmt>
      <c:pivotFmt>
        <c:idx val="1413"/>
        <c:marker>
          <c:symbol val="none"/>
        </c:marker>
      </c:pivotFmt>
      <c:pivotFmt>
        <c:idx val="1414"/>
        <c:marker>
          <c:symbol val="none"/>
        </c:marker>
      </c:pivotFmt>
      <c:pivotFmt>
        <c:idx val="1415"/>
        <c:marker>
          <c:symbol val="none"/>
        </c:marker>
      </c:pivotFmt>
      <c:pivotFmt>
        <c:idx val="1416"/>
        <c:marker>
          <c:symbol val="none"/>
        </c:marker>
      </c:pivotFmt>
      <c:pivotFmt>
        <c:idx val="1417"/>
        <c:marker>
          <c:symbol val="none"/>
        </c:marker>
      </c:pivotFmt>
      <c:pivotFmt>
        <c:idx val="1418"/>
        <c:marker>
          <c:symbol val="none"/>
        </c:marker>
      </c:pivotFmt>
      <c:pivotFmt>
        <c:idx val="1419"/>
        <c:marker>
          <c:symbol val="none"/>
        </c:marker>
      </c:pivotFmt>
      <c:pivotFmt>
        <c:idx val="1420"/>
        <c:marker>
          <c:symbol val="none"/>
        </c:marker>
      </c:pivotFmt>
      <c:pivotFmt>
        <c:idx val="1421"/>
        <c:marker>
          <c:symbol val="none"/>
        </c:marker>
      </c:pivotFmt>
      <c:pivotFmt>
        <c:idx val="1422"/>
        <c:marker>
          <c:symbol val="none"/>
        </c:marker>
      </c:pivotFmt>
      <c:pivotFmt>
        <c:idx val="1423"/>
        <c:marker>
          <c:symbol val="none"/>
        </c:marker>
      </c:pivotFmt>
      <c:pivotFmt>
        <c:idx val="1424"/>
        <c:marker>
          <c:symbol val="none"/>
        </c:marker>
      </c:pivotFmt>
      <c:pivotFmt>
        <c:idx val="1425"/>
        <c:marker>
          <c:symbol val="none"/>
        </c:marker>
      </c:pivotFmt>
      <c:pivotFmt>
        <c:idx val="1426"/>
        <c:marker>
          <c:symbol val="none"/>
        </c:marker>
      </c:pivotFmt>
      <c:pivotFmt>
        <c:idx val="1427"/>
        <c:marker>
          <c:symbol val="none"/>
        </c:marker>
      </c:pivotFmt>
      <c:pivotFmt>
        <c:idx val="1428"/>
        <c:marker>
          <c:symbol val="none"/>
        </c:marker>
      </c:pivotFmt>
      <c:pivotFmt>
        <c:idx val="1429"/>
        <c:marker>
          <c:symbol val="none"/>
        </c:marker>
      </c:pivotFmt>
      <c:pivotFmt>
        <c:idx val="1430"/>
        <c:marker>
          <c:symbol val="none"/>
        </c:marker>
      </c:pivotFmt>
      <c:pivotFmt>
        <c:idx val="1431"/>
        <c:marker>
          <c:symbol val="none"/>
        </c:marker>
      </c:pivotFmt>
      <c:pivotFmt>
        <c:idx val="1432"/>
        <c:marker>
          <c:symbol val="none"/>
        </c:marker>
      </c:pivotFmt>
      <c:pivotFmt>
        <c:idx val="1433"/>
        <c:marker>
          <c:symbol val="none"/>
        </c:marker>
      </c:pivotFmt>
      <c:pivotFmt>
        <c:idx val="1434"/>
        <c:marker>
          <c:symbol val="none"/>
        </c:marker>
      </c:pivotFmt>
      <c:pivotFmt>
        <c:idx val="1435"/>
        <c:marker>
          <c:symbol val="none"/>
        </c:marker>
      </c:pivotFmt>
      <c:pivotFmt>
        <c:idx val="1436"/>
        <c:marker>
          <c:symbol val="none"/>
        </c:marker>
      </c:pivotFmt>
      <c:pivotFmt>
        <c:idx val="1437"/>
        <c:marker>
          <c:symbol val="none"/>
        </c:marker>
      </c:pivotFmt>
      <c:pivotFmt>
        <c:idx val="1438"/>
        <c:marker>
          <c:symbol val="none"/>
        </c:marker>
      </c:pivotFmt>
      <c:pivotFmt>
        <c:idx val="1439"/>
        <c:marker>
          <c:symbol val="none"/>
        </c:marker>
      </c:pivotFmt>
      <c:pivotFmt>
        <c:idx val="1440"/>
        <c:marker>
          <c:symbol val="none"/>
        </c:marker>
      </c:pivotFmt>
      <c:pivotFmt>
        <c:idx val="1441"/>
        <c:marker>
          <c:symbol val="none"/>
        </c:marker>
      </c:pivotFmt>
      <c:pivotFmt>
        <c:idx val="1442"/>
        <c:marker>
          <c:symbol val="none"/>
        </c:marker>
      </c:pivotFmt>
      <c:pivotFmt>
        <c:idx val="1443"/>
        <c:marker>
          <c:symbol val="none"/>
        </c:marker>
      </c:pivotFmt>
      <c:pivotFmt>
        <c:idx val="1444"/>
        <c:marker>
          <c:symbol val="none"/>
        </c:marker>
      </c:pivotFmt>
      <c:pivotFmt>
        <c:idx val="1445"/>
        <c:marker>
          <c:symbol val="none"/>
        </c:marker>
      </c:pivotFmt>
      <c:pivotFmt>
        <c:idx val="1446"/>
        <c:marker>
          <c:symbol val="none"/>
        </c:marker>
      </c:pivotFmt>
      <c:pivotFmt>
        <c:idx val="1447"/>
        <c:marker>
          <c:symbol val="none"/>
        </c:marker>
      </c:pivotFmt>
      <c:pivotFmt>
        <c:idx val="1448"/>
        <c:marker>
          <c:symbol val="none"/>
        </c:marker>
      </c:pivotFmt>
      <c:pivotFmt>
        <c:idx val="1449"/>
        <c:marker>
          <c:symbol val="none"/>
        </c:marker>
      </c:pivotFmt>
      <c:pivotFmt>
        <c:idx val="1450"/>
        <c:marker>
          <c:symbol val="none"/>
        </c:marker>
      </c:pivotFmt>
      <c:pivotFmt>
        <c:idx val="1451"/>
        <c:marker>
          <c:symbol val="none"/>
        </c:marker>
      </c:pivotFmt>
      <c:pivotFmt>
        <c:idx val="1452"/>
        <c:marker>
          <c:symbol val="none"/>
        </c:marker>
      </c:pivotFmt>
      <c:pivotFmt>
        <c:idx val="1453"/>
        <c:marker>
          <c:symbol val="none"/>
        </c:marker>
      </c:pivotFmt>
      <c:pivotFmt>
        <c:idx val="1454"/>
        <c:marker>
          <c:symbol val="none"/>
        </c:marker>
      </c:pivotFmt>
      <c:pivotFmt>
        <c:idx val="1455"/>
        <c:marker>
          <c:symbol val="none"/>
        </c:marker>
      </c:pivotFmt>
      <c:pivotFmt>
        <c:idx val="1456"/>
        <c:marker>
          <c:symbol val="none"/>
        </c:marker>
      </c:pivotFmt>
      <c:pivotFmt>
        <c:idx val="1457"/>
        <c:marker>
          <c:symbol val="none"/>
        </c:marker>
      </c:pivotFmt>
      <c:pivotFmt>
        <c:idx val="1458"/>
        <c:marker>
          <c:symbol val="none"/>
        </c:marker>
      </c:pivotFmt>
      <c:pivotFmt>
        <c:idx val="1459"/>
        <c:marker>
          <c:symbol val="none"/>
        </c:marker>
      </c:pivotFmt>
      <c:pivotFmt>
        <c:idx val="1460"/>
        <c:marker>
          <c:symbol val="none"/>
        </c:marker>
      </c:pivotFmt>
      <c:pivotFmt>
        <c:idx val="1461"/>
        <c:marker>
          <c:symbol val="none"/>
        </c:marker>
      </c:pivotFmt>
      <c:pivotFmt>
        <c:idx val="1462"/>
        <c:marker>
          <c:symbol val="none"/>
        </c:marker>
      </c:pivotFmt>
      <c:pivotFmt>
        <c:idx val="1463"/>
        <c:marker>
          <c:symbol val="none"/>
        </c:marker>
      </c:pivotFmt>
      <c:pivotFmt>
        <c:idx val="1464"/>
        <c:marker>
          <c:symbol val="none"/>
        </c:marker>
      </c:pivotFmt>
      <c:pivotFmt>
        <c:idx val="1465"/>
        <c:marker>
          <c:symbol val="none"/>
        </c:marker>
      </c:pivotFmt>
      <c:pivotFmt>
        <c:idx val="1466"/>
        <c:marker>
          <c:symbol val="none"/>
        </c:marker>
      </c:pivotFmt>
      <c:pivotFmt>
        <c:idx val="1467"/>
        <c:marker>
          <c:symbol val="none"/>
        </c:marker>
      </c:pivotFmt>
      <c:pivotFmt>
        <c:idx val="1468"/>
        <c:marker>
          <c:symbol val="none"/>
        </c:marker>
      </c:pivotFmt>
      <c:pivotFmt>
        <c:idx val="1469"/>
        <c:marker>
          <c:symbol val="none"/>
        </c:marker>
      </c:pivotFmt>
      <c:pivotFmt>
        <c:idx val="1470"/>
        <c:marker>
          <c:symbol val="none"/>
        </c:marker>
      </c:pivotFmt>
      <c:pivotFmt>
        <c:idx val="1471"/>
        <c:marker>
          <c:symbol val="none"/>
        </c:marker>
      </c:pivotFmt>
      <c:pivotFmt>
        <c:idx val="1472"/>
        <c:marker>
          <c:symbol val="none"/>
        </c:marker>
      </c:pivotFmt>
      <c:pivotFmt>
        <c:idx val="1473"/>
        <c:marker>
          <c:symbol val="none"/>
        </c:marker>
      </c:pivotFmt>
      <c:pivotFmt>
        <c:idx val="1474"/>
        <c:marker>
          <c:symbol val="none"/>
        </c:marker>
      </c:pivotFmt>
      <c:pivotFmt>
        <c:idx val="1475"/>
        <c:marker>
          <c:symbol val="none"/>
        </c:marker>
      </c:pivotFmt>
      <c:pivotFmt>
        <c:idx val="1476"/>
        <c:marker>
          <c:symbol val="none"/>
        </c:marker>
      </c:pivotFmt>
      <c:pivotFmt>
        <c:idx val="1477"/>
        <c:marker>
          <c:symbol val="none"/>
        </c:marker>
      </c:pivotFmt>
      <c:pivotFmt>
        <c:idx val="1478"/>
        <c:marker>
          <c:symbol val="none"/>
        </c:marker>
      </c:pivotFmt>
      <c:pivotFmt>
        <c:idx val="1479"/>
        <c:marker>
          <c:symbol val="none"/>
        </c:marker>
      </c:pivotFmt>
      <c:pivotFmt>
        <c:idx val="1480"/>
        <c:marker>
          <c:symbol val="none"/>
        </c:marker>
      </c:pivotFmt>
      <c:pivotFmt>
        <c:idx val="1481"/>
        <c:marker>
          <c:symbol val="none"/>
        </c:marker>
      </c:pivotFmt>
      <c:pivotFmt>
        <c:idx val="1482"/>
        <c:marker>
          <c:symbol val="none"/>
        </c:marker>
      </c:pivotFmt>
      <c:pivotFmt>
        <c:idx val="1483"/>
        <c:marker>
          <c:symbol val="none"/>
        </c:marker>
      </c:pivotFmt>
      <c:pivotFmt>
        <c:idx val="1484"/>
        <c:marker>
          <c:symbol val="none"/>
        </c:marker>
      </c:pivotFmt>
      <c:pivotFmt>
        <c:idx val="1485"/>
        <c:marker>
          <c:symbol val="none"/>
        </c:marker>
      </c:pivotFmt>
      <c:pivotFmt>
        <c:idx val="1486"/>
        <c:marker>
          <c:symbol val="none"/>
        </c:marker>
      </c:pivotFmt>
      <c:pivotFmt>
        <c:idx val="1487"/>
        <c:marker>
          <c:symbol val="none"/>
        </c:marker>
      </c:pivotFmt>
      <c:pivotFmt>
        <c:idx val="1488"/>
        <c:marker>
          <c:symbol val="none"/>
        </c:marker>
      </c:pivotFmt>
      <c:pivotFmt>
        <c:idx val="1489"/>
        <c:marker>
          <c:symbol val="none"/>
        </c:marker>
      </c:pivotFmt>
      <c:pivotFmt>
        <c:idx val="1490"/>
        <c:marker>
          <c:symbol val="none"/>
        </c:marker>
      </c:pivotFmt>
      <c:pivotFmt>
        <c:idx val="1491"/>
        <c:marker>
          <c:symbol val="none"/>
        </c:marker>
      </c:pivotFmt>
      <c:pivotFmt>
        <c:idx val="1492"/>
        <c:marker>
          <c:symbol val="none"/>
        </c:marker>
      </c:pivotFmt>
      <c:pivotFmt>
        <c:idx val="1493"/>
        <c:marker>
          <c:symbol val="none"/>
        </c:marker>
      </c:pivotFmt>
      <c:pivotFmt>
        <c:idx val="1494"/>
        <c:marker>
          <c:symbol val="none"/>
        </c:marker>
      </c:pivotFmt>
      <c:pivotFmt>
        <c:idx val="1495"/>
        <c:marker>
          <c:symbol val="none"/>
        </c:marker>
      </c:pivotFmt>
      <c:pivotFmt>
        <c:idx val="1496"/>
        <c:marker>
          <c:symbol val="none"/>
        </c:marker>
      </c:pivotFmt>
      <c:pivotFmt>
        <c:idx val="1497"/>
        <c:marker>
          <c:symbol val="none"/>
        </c:marker>
      </c:pivotFmt>
      <c:pivotFmt>
        <c:idx val="1498"/>
        <c:marker>
          <c:symbol val="none"/>
        </c:marker>
      </c:pivotFmt>
      <c:pivotFmt>
        <c:idx val="1499"/>
        <c:marker>
          <c:symbol val="none"/>
        </c:marker>
      </c:pivotFmt>
      <c:pivotFmt>
        <c:idx val="1500"/>
        <c:marker>
          <c:symbol val="none"/>
        </c:marker>
      </c:pivotFmt>
      <c:pivotFmt>
        <c:idx val="1501"/>
        <c:marker>
          <c:symbol val="none"/>
        </c:marker>
      </c:pivotFmt>
      <c:pivotFmt>
        <c:idx val="1502"/>
        <c:marker>
          <c:symbol val="none"/>
        </c:marker>
      </c:pivotFmt>
      <c:pivotFmt>
        <c:idx val="1503"/>
        <c:marker>
          <c:symbol val="none"/>
        </c:marker>
      </c:pivotFmt>
      <c:pivotFmt>
        <c:idx val="1504"/>
        <c:marker>
          <c:symbol val="none"/>
        </c:marker>
      </c:pivotFmt>
      <c:pivotFmt>
        <c:idx val="1505"/>
        <c:marker>
          <c:symbol val="none"/>
        </c:marker>
      </c:pivotFmt>
      <c:pivotFmt>
        <c:idx val="1506"/>
        <c:marker>
          <c:symbol val="none"/>
        </c:marker>
      </c:pivotFmt>
      <c:pivotFmt>
        <c:idx val="1507"/>
        <c:marker>
          <c:symbol val="none"/>
        </c:marker>
      </c:pivotFmt>
      <c:pivotFmt>
        <c:idx val="1508"/>
        <c:marker>
          <c:symbol val="none"/>
        </c:marker>
      </c:pivotFmt>
      <c:pivotFmt>
        <c:idx val="1509"/>
        <c:marker>
          <c:symbol val="none"/>
        </c:marker>
      </c:pivotFmt>
      <c:pivotFmt>
        <c:idx val="1510"/>
        <c:marker>
          <c:symbol val="none"/>
        </c:marker>
      </c:pivotFmt>
      <c:pivotFmt>
        <c:idx val="1511"/>
        <c:marker>
          <c:symbol val="none"/>
        </c:marker>
      </c:pivotFmt>
      <c:pivotFmt>
        <c:idx val="1512"/>
        <c:marker>
          <c:symbol val="none"/>
        </c:marker>
      </c:pivotFmt>
      <c:pivotFmt>
        <c:idx val="1513"/>
        <c:marker>
          <c:symbol val="none"/>
        </c:marker>
      </c:pivotFmt>
      <c:pivotFmt>
        <c:idx val="1514"/>
        <c:marker>
          <c:symbol val="none"/>
        </c:marker>
      </c:pivotFmt>
      <c:pivotFmt>
        <c:idx val="1515"/>
        <c:marker>
          <c:symbol val="none"/>
        </c:marker>
      </c:pivotFmt>
      <c:pivotFmt>
        <c:idx val="1516"/>
        <c:marker>
          <c:symbol val="none"/>
        </c:marker>
      </c:pivotFmt>
      <c:pivotFmt>
        <c:idx val="1517"/>
        <c:marker>
          <c:symbol val="none"/>
        </c:marker>
      </c:pivotFmt>
      <c:pivotFmt>
        <c:idx val="1518"/>
        <c:marker>
          <c:symbol val="none"/>
        </c:marker>
      </c:pivotFmt>
      <c:pivotFmt>
        <c:idx val="1519"/>
        <c:marker>
          <c:symbol val="none"/>
        </c:marker>
      </c:pivotFmt>
      <c:pivotFmt>
        <c:idx val="1520"/>
        <c:marker>
          <c:symbol val="none"/>
        </c:marker>
      </c:pivotFmt>
      <c:pivotFmt>
        <c:idx val="1521"/>
        <c:marker>
          <c:symbol val="none"/>
        </c:marker>
      </c:pivotFmt>
      <c:pivotFmt>
        <c:idx val="1522"/>
        <c:marker>
          <c:symbol val="none"/>
        </c:marker>
      </c:pivotFmt>
      <c:pivotFmt>
        <c:idx val="1523"/>
        <c:marker>
          <c:symbol val="none"/>
        </c:marker>
      </c:pivotFmt>
      <c:pivotFmt>
        <c:idx val="1524"/>
        <c:marker>
          <c:symbol val="none"/>
        </c:marker>
      </c:pivotFmt>
      <c:pivotFmt>
        <c:idx val="1525"/>
        <c:marker>
          <c:symbol val="none"/>
        </c:marker>
      </c:pivotFmt>
      <c:pivotFmt>
        <c:idx val="1526"/>
        <c:marker>
          <c:symbol val="none"/>
        </c:marker>
      </c:pivotFmt>
      <c:pivotFmt>
        <c:idx val="1527"/>
        <c:marker>
          <c:symbol val="none"/>
        </c:marker>
      </c:pivotFmt>
      <c:pivotFmt>
        <c:idx val="1528"/>
        <c:marker>
          <c:symbol val="none"/>
        </c:marker>
      </c:pivotFmt>
      <c:pivotFmt>
        <c:idx val="1529"/>
        <c:marker>
          <c:symbol val="none"/>
        </c:marker>
      </c:pivotFmt>
      <c:pivotFmt>
        <c:idx val="1530"/>
        <c:marker>
          <c:symbol val="none"/>
        </c:marker>
      </c:pivotFmt>
      <c:pivotFmt>
        <c:idx val="1531"/>
        <c:marker>
          <c:symbol val="none"/>
        </c:marker>
      </c:pivotFmt>
      <c:pivotFmt>
        <c:idx val="1532"/>
        <c:marker>
          <c:symbol val="none"/>
        </c:marker>
      </c:pivotFmt>
      <c:pivotFmt>
        <c:idx val="1533"/>
        <c:marker>
          <c:symbol val="none"/>
        </c:marker>
      </c:pivotFmt>
      <c:pivotFmt>
        <c:idx val="1534"/>
        <c:marker>
          <c:symbol val="none"/>
        </c:marker>
      </c:pivotFmt>
      <c:pivotFmt>
        <c:idx val="1535"/>
        <c:marker>
          <c:symbol val="none"/>
        </c:marker>
      </c:pivotFmt>
      <c:pivotFmt>
        <c:idx val="1536"/>
        <c:marker>
          <c:symbol val="none"/>
        </c:marker>
      </c:pivotFmt>
      <c:pivotFmt>
        <c:idx val="1537"/>
        <c:marker>
          <c:symbol val="none"/>
        </c:marker>
      </c:pivotFmt>
      <c:pivotFmt>
        <c:idx val="1538"/>
        <c:marker>
          <c:symbol val="none"/>
        </c:marker>
      </c:pivotFmt>
      <c:pivotFmt>
        <c:idx val="1539"/>
        <c:marker>
          <c:symbol val="none"/>
        </c:marker>
      </c:pivotFmt>
      <c:pivotFmt>
        <c:idx val="1540"/>
        <c:marker>
          <c:symbol val="none"/>
        </c:marker>
      </c:pivotFmt>
      <c:pivotFmt>
        <c:idx val="1541"/>
        <c:marker>
          <c:symbol val="none"/>
        </c:marker>
      </c:pivotFmt>
      <c:pivotFmt>
        <c:idx val="1542"/>
        <c:marker>
          <c:symbol val="none"/>
        </c:marker>
      </c:pivotFmt>
      <c:pivotFmt>
        <c:idx val="1543"/>
        <c:marker>
          <c:symbol val="none"/>
        </c:marker>
      </c:pivotFmt>
      <c:pivotFmt>
        <c:idx val="1544"/>
        <c:marker>
          <c:symbol val="none"/>
        </c:marker>
      </c:pivotFmt>
      <c:pivotFmt>
        <c:idx val="1545"/>
        <c:marker>
          <c:symbol val="none"/>
        </c:marker>
      </c:pivotFmt>
      <c:pivotFmt>
        <c:idx val="1546"/>
        <c:marker>
          <c:symbol val="none"/>
        </c:marker>
      </c:pivotFmt>
      <c:pivotFmt>
        <c:idx val="1547"/>
        <c:marker>
          <c:symbol val="none"/>
        </c:marker>
      </c:pivotFmt>
      <c:pivotFmt>
        <c:idx val="1548"/>
        <c:marker>
          <c:symbol val="none"/>
        </c:marker>
      </c:pivotFmt>
      <c:pivotFmt>
        <c:idx val="1549"/>
        <c:marker>
          <c:symbol val="none"/>
        </c:marker>
      </c:pivotFmt>
      <c:pivotFmt>
        <c:idx val="1550"/>
        <c:marker>
          <c:symbol val="none"/>
        </c:marker>
      </c:pivotFmt>
      <c:pivotFmt>
        <c:idx val="1551"/>
        <c:marker>
          <c:symbol val="none"/>
        </c:marker>
      </c:pivotFmt>
      <c:pivotFmt>
        <c:idx val="1552"/>
        <c:marker>
          <c:symbol val="none"/>
        </c:marker>
      </c:pivotFmt>
      <c:pivotFmt>
        <c:idx val="1553"/>
        <c:marker>
          <c:symbol val="none"/>
        </c:marker>
      </c:pivotFmt>
      <c:pivotFmt>
        <c:idx val="1554"/>
        <c:marker>
          <c:symbol val="none"/>
        </c:marker>
      </c:pivotFmt>
      <c:pivotFmt>
        <c:idx val="1555"/>
        <c:marker>
          <c:symbol val="none"/>
        </c:marker>
      </c:pivotFmt>
      <c:pivotFmt>
        <c:idx val="1556"/>
        <c:marker>
          <c:symbol val="none"/>
        </c:marker>
      </c:pivotFmt>
      <c:pivotFmt>
        <c:idx val="1557"/>
        <c:marker>
          <c:symbol val="none"/>
        </c:marker>
      </c:pivotFmt>
      <c:pivotFmt>
        <c:idx val="1558"/>
        <c:marker>
          <c:symbol val="none"/>
        </c:marker>
      </c:pivotFmt>
      <c:pivotFmt>
        <c:idx val="1559"/>
        <c:marker>
          <c:symbol val="none"/>
        </c:marker>
      </c:pivotFmt>
      <c:pivotFmt>
        <c:idx val="1560"/>
        <c:marker>
          <c:symbol val="none"/>
        </c:marker>
      </c:pivotFmt>
      <c:pivotFmt>
        <c:idx val="1561"/>
        <c:marker>
          <c:symbol val="none"/>
        </c:marker>
      </c:pivotFmt>
      <c:pivotFmt>
        <c:idx val="1562"/>
        <c:marker>
          <c:symbol val="none"/>
        </c:marker>
      </c:pivotFmt>
      <c:pivotFmt>
        <c:idx val="1563"/>
        <c:marker>
          <c:symbol val="none"/>
        </c:marker>
      </c:pivotFmt>
      <c:pivotFmt>
        <c:idx val="1564"/>
        <c:marker>
          <c:symbol val="none"/>
        </c:marker>
      </c:pivotFmt>
      <c:pivotFmt>
        <c:idx val="1565"/>
        <c:marker>
          <c:symbol val="none"/>
        </c:marker>
      </c:pivotFmt>
      <c:pivotFmt>
        <c:idx val="1566"/>
        <c:marker>
          <c:symbol val="none"/>
        </c:marker>
      </c:pivotFmt>
      <c:pivotFmt>
        <c:idx val="1567"/>
        <c:marker>
          <c:symbol val="none"/>
        </c:marker>
      </c:pivotFmt>
      <c:pivotFmt>
        <c:idx val="1568"/>
        <c:marker>
          <c:symbol val="none"/>
        </c:marker>
      </c:pivotFmt>
      <c:pivotFmt>
        <c:idx val="1569"/>
        <c:marker>
          <c:symbol val="none"/>
        </c:marker>
      </c:pivotFmt>
      <c:pivotFmt>
        <c:idx val="1570"/>
        <c:marker>
          <c:symbol val="none"/>
        </c:marker>
      </c:pivotFmt>
      <c:pivotFmt>
        <c:idx val="1571"/>
        <c:marker>
          <c:symbol val="none"/>
        </c:marker>
      </c:pivotFmt>
      <c:pivotFmt>
        <c:idx val="1572"/>
        <c:marker>
          <c:symbol val="none"/>
        </c:marker>
      </c:pivotFmt>
      <c:pivotFmt>
        <c:idx val="1573"/>
        <c:marker>
          <c:symbol val="none"/>
        </c:marker>
      </c:pivotFmt>
      <c:pivotFmt>
        <c:idx val="1574"/>
        <c:marker>
          <c:symbol val="none"/>
        </c:marker>
      </c:pivotFmt>
      <c:pivotFmt>
        <c:idx val="1575"/>
        <c:marker>
          <c:symbol val="none"/>
        </c:marker>
      </c:pivotFmt>
      <c:pivotFmt>
        <c:idx val="1576"/>
        <c:marker>
          <c:symbol val="none"/>
        </c:marker>
      </c:pivotFmt>
      <c:pivotFmt>
        <c:idx val="1577"/>
        <c:marker>
          <c:symbol val="none"/>
        </c:marker>
      </c:pivotFmt>
      <c:pivotFmt>
        <c:idx val="1578"/>
        <c:marker>
          <c:symbol val="none"/>
        </c:marker>
      </c:pivotFmt>
      <c:pivotFmt>
        <c:idx val="1579"/>
        <c:marker>
          <c:symbol val="none"/>
        </c:marker>
      </c:pivotFmt>
      <c:pivotFmt>
        <c:idx val="1580"/>
        <c:marker>
          <c:symbol val="none"/>
        </c:marker>
      </c:pivotFmt>
      <c:pivotFmt>
        <c:idx val="1581"/>
        <c:marker>
          <c:symbol val="none"/>
        </c:marker>
      </c:pivotFmt>
      <c:pivotFmt>
        <c:idx val="1582"/>
        <c:marker>
          <c:symbol val="none"/>
        </c:marker>
      </c:pivotFmt>
      <c:pivotFmt>
        <c:idx val="1583"/>
        <c:marker>
          <c:symbol val="none"/>
        </c:marker>
      </c:pivotFmt>
      <c:pivotFmt>
        <c:idx val="1584"/>
        <c:marker>
          <c:symbol val="none"/>
        </c:marker>
      </c:pivotFmt>
      <c:pivotFmt>
        <c:idx val="1585"/>
        <c:marker>
          <c:symbol val="none"/>
        </c:marker>
      </c:pivotFmt>
      <c:pivotFmt>
        <c:idx val="1586"/>
        <c:marker>
          <c:symbol val="none"/>
        </c:marker>
      </c:pivotFmt>
      <c:pivotFmt>
        <c:idx val="1587"/>
        <c:marker>
          <c:symbol val="none"/>
        </c:marker>
      </c:pivotFmt>
      <c:pivotFmt>
        <c:idx val="1588"/>
        <c:marker>
          <c:symbol val="none"/>
        </c:marker>
      </c:pivotFmt>
      <c:pivotFmt>
        <c:idx val="1589"/>
        <c:marker>
          <c:symbol val="none"/>
        </c:marker>
      </c:pivotFmt>
      <c:pivotFmt>
        <c:idx val="1590"/>
        <c:marker>
          <c:symbol val="none"/>
        </c:marker>
      </c:pivotFmt>
      <c:pivotFmt>
        <c:idx val="1591"/>
        <c:marker>
          <c:symbol val="none"/>
        </c:marker>
      </c:pivotFmt>
      <c:pivotFmt>
        <c:idx val="1592"/>
        <c:marker>
          <c:symbol val="none"/>
        </c:marker>
      </c:pivotFmt>
      <c:pivotFmt>
        <c:idx val="1593"/>
        <c:marker>
          <c:symbol val="none"/>
        </c:marker>
      </c:pivotFmt>
      <c:pivotFmt>
        <c:idx val="1594"/>
        <c:marker>
          <c:symbol val="none"/>
        </c:marker>
      </c:pivotFmt>
      <c:pivotFmt>
        <c:idx val="1595"/>
        <c:marker>
          <c:symbol val="none"/>
        </c:marker>
      </c:pivotFmt>
      <c:pivotFmt>
        <c:idx val="1596"/>
        <c:marker>
          <c:symbol val="none"/>
        </c:marker>
      </c:pivotFmt>
      <c:pivotFmt>
        <c:idx val="1597"/>
        <c:marker>
          <c:symbol val="none"/>
        </c:marker>
      </c:pivotFmt>
      <c:pivotFmt>
        <c:idx val="1598"/>
        <c:marker>
          <c:symbol val="none"/>
        </c:marker>
      </c:pivotFmt>
      <c:pivotFmt>
        <c:idx val="1599"/>
        <c:marker>
          <c:symbol val="none"/>
        </c:marker>
      </c:pivotFmt>
      <c:pivotFmt>
        <c:idx val="1600"/>
        <c:marker>
          <c:symbol val="none"/>
        </c:marker>
      </c:pivotFmt>
      <c:pivotFmt>
        <c:idx val="1601"/>
        <c:marker>
          <c:symbol val="none"/>
        </c:marker>
      </c:pivotFmt>
      <c:pivotFmt>
        <c:idx val="1602"/>
        <c:marker>
          <c:symbol val="none"/>
        </c:marker>
      </c:pivotFmt>
      <c:pivotFmt>
        <c:idx val="1603"/>
        <c:marker>
          <c:symbol val="none"/>
        </c:marker>
      </c:pivotFmt>
      <c:pivotFmt>
        <c:idx val="1604"/>
        <c:marker>
          <c:symbol val="none"/>
        </c:marker>
      </c:pivotFmt>
      <c:pivotFmt>
        <c:idx val="1605"/>
        <c:marker>
          <c:symbol val="none"/>
        </c:marker>
      </c:pivotFmt>
      <c:pivotFmt>
        <c:idx val="1606"/>
        <c:marker>
          <c:symbol val="none"/>
        </c:marker>
      </c:pivotFmt>
      <c:pivotFmt>
        <c:idx val="1607"/>
        <c:marker>
          <c:symbol val="none"/>
        </c:marker>
      </c:pivotFmt>
      <c:pivotFmt>
        <c:idx val="1608"/>
        <c:marker>
          <c:symbol val="none"/>
        </c:marker>
      </c:pivotFmt>
      <c:pivotFmt>
        <c:idx val="1609"/>
        <c:marker>
          <c:symbol val="none"/>
        </c:marker>
      </c:pivotFmt>
      <c:pivotFmt>
        <c:idx val="1610"/>
        <c:marker>
          <c:symbol val="none"/>
        </c:marker>
      </c:pivotFmt>
      <c:pivotFmt>
        <c:idx val="1611"/>
        <c:marker>
          <c:symbol val="none"/>
        </c:marker>
      </c:pivotFmt>
      <c:pivotFmt>
        <c:idx val="1612"/>
        <c:marker>
          <c:symbol val="none"/>
        </c:marker>
      </c:pivotFmt>
      <c:pivotFmt>
        <c:idx val="1613"/>
        <c:marker>
          <c:symbol val="none"/>
        </c:marker>
      </c:pivotFmt>
      <c:pivotFmt>
        <c:idx val="1614"/>
        <c:marker>
          <c:symbol val="none"/>
        </c:marker>
      </c:pivotFmt>
      <c:pivotFmt>
        <c:idx val="1615"/>
        <c:marker>
          <c:symbol val="none"/>
        </c:marker>
      </c:pivotFmt>
      <c:pivotFmt>
        <c:idx val="1616"/>
        <c:marker>
          <c:symbol val="none"/>
        </c:marker>
      </c:pivotFmt>
      <c:pivotFmt>
        <c:idx val="1617"/>
        <c:marker>
          <c:symbol val="none"/>
        </c:marker>
      </c:pivotFmt>
      <c:pivotFmt>
        <c:idx val="1618"/>
        <c:marker>
          <c:symbol val="none"/>
        </c:marker>
      </c:pivotFmt>
      <c:pivotFmt>
        <c:idx val="1619"/>
        <c:marker>
          <c:symbol val="none"/>
        </c:marker>
      </c:pivotFmt>
      <c:pivotFmt>
        <c:idx val="1620"/>
        <c:marker>
          <c:symbol val="none"/>
        </c:marker>
      </c:pivotFmt>
      <c:pivotFmt>
        <c:idx val="1621"/>
        <c:marker>
          <c:symbol val="none"/>
        </c:marker>
      </c:pivotFmt>
      <c:pivotFmt>
        <c:idx val="1622"/>
        <c:marker>
          <c:symbol val="none"/>
        </c:marker>
      </c:pivotFmt>
      <c:pivotFmt>
        <c:idx val="1623"/>
        <c:marker>
          <c:symbol val="none"/>
        </c:marker>
      </c:pivotFmt>
      <c:pivotFmt>
        <c:idx val="1624"/>
        <c:marker>
          <c:symbol val="none"/>
        </c:marker>
      </c:pivotFmt>
      <c:pivotFmt>
        <c:idx val="1625"/>
        <c:marker>
          <c:symbol val="none"/>
        </c:marker>
      </c:pivotFmt>
      <c:pivotFmt>
        <c:idx val="1626"/>
        <c:marker>
          <c:symbol val="none"/>
        </c:marker>
      </c:pivotFmt>
      <c:pivotFmt>
        <c:idx val="1627"/>
        <c:marker>
          <c:symbol val="none"/>
        </c:marker>
      </c:pivotFmt>
      <c:pivotFmt>
        <c:idx val="1628"/>
        <c:marker>
          <c:symbol val="none"/>
        </c:marker>
      </c:pivotFmt>
      <c:pivotFmt>
        <c:idx val="1629"/>
        <c:marker>
          <c:symbol val="none"/>
        </c:marker>
      </c:pivotFmt>
      <c:pivotFmt>
        <c:idx val="1630"/>
        <c:marker>
          <c:symbol val="none"/>
        </c:marker>
      </c:pivotFmt>
      <c:pivotFmt>
        <c:idx val="1631"/>
        <c:marker>
          <c:symbol val="none"/>
        </c:marker>
      </c:pivotFmt>
      <c:pivotFmt>
        <c:idx val="1632"/>
        <c:marker>
          <c:symbol val="none"/>
        </c:marker>
      </c:pivotFmt>
      <c:pivotFmt>
        <c:idx val="1633"/>
        <c:marker>
          <c:symbol val="none"/>
        </c:marker>
      </c:pivotFmt>
      <c:pivotFmt>
        <c:idx val="1634"/>
        <c:marker>
          <c:symbol val="none"/>
        </c:marker>
      </c:pivotFmt>
      <c:pivotFmt>
        <c:idx val="1635"/>
        <c:marker>
          <c:symbol val="none"/>
        </c:marker>
      </c:pivotFmt>
      <c:pivotFmt>
        <c:idx val="1636"/>
        <c:marker>
          <c:symbol val="none"/>
        </c:marker>
      </c:pivotFmt>
      <c:pivotFmt>
        <c:idx val="1637"/>
        <c:marker>
          <c:symbol val="none"/>
        </c:marker>
      </c:pivotFmt>
      <c:pivotFmt>
        <c:idx val="1638"/>
        <c:marker>
          <c:symbol val="none"/>
        </c:marker>
      </c:pivotFmt>
      <c:pivotFmt>
        <c:idx val="1639"/>
        <c:marker>
          <c:symbol val="none"/>
        </c:marker>
      </c:pivotFmt>
      <c:pivotFmt>
        <c:idx val="1640"/>
        <c:marker>
          <c:symbol val="none"/>
        </c:marker>
      </c:pivotFmt>
      <c:pivotFmt>
        <c:idx val="1641"/>
        <c:marker>
          <c:symbol val="none"/>
        </c:marker>
      </c:pivotFmt>
      <c:pivotFmt>
        <c:idx val="1642"/>
        <c:marker>
          <c:symbol val="none"/>
        </c:marker>
      </c:pivotFmt>
      <c:pivotFmt>
        <c:idx val="1643"/>
        <c:marker>
          <c:symbol val="none"/>
        </c:marker>
      </c:pivotFmt>
      <c:pivotFmt>
        <c:idx val="1644"/>
        <c:marker>
          <c:symbol val="none"/>
        </c:marker>
      </c:pivotFmt>
      <c:pivotFmt>
        <c:idx val="1645"/>
        <c:marker>
          <c:symbol val="none"/>
        </c:marker>
      </c:pivotFmt>
      <c:pivotFmt>
        <c:idx val="1646"/>
        <c:marker>
          <c:symbol val="none"/>
        </c:marker>
      </c:pivotFmt>
      <c:pivotFmt>
        <c:idx val="1647"/>
        <c:marker>
          <c:symbol val="none"/>
        </c:marker>
      </c:pivotFmt>
      <c:pivotFmt>
        <c:idx val="1648"/>
        <c:marker>
          <c:symbol val="none"/>
        </c:marker>
      </c:pivotFmt>
      <c:pivotFmt>
        <c:idx val="1649"/>
        <c:marker>
          <c:symbol val="none"/>
        </c:marker>
      </c:pivotFmt>
      <c:pivotFmt>
        <c:idx val="1650"/>
        <c:marker>
          <c:symbol val="none"/>
        </c:marker>
      </c:pivotFmt>
      <c:pivotFmt>
        <c:idx val="1651"/>
        <c:marker>
          <c:symbol val="none"/>
        </c:marker>
      </c:pivotFmt>
      <c:pivotFmt>
        <c:idx val="1652"/>
        <c:marker>
          <c:symbol val="none"/>
        </c:marker>
      </c:pivotFmt>
      <c:pivotFmt>
        <c:idx val="1653"/>
        <c:marker>
          <c:symbol val="none"/>
        </c:marker>
      </c:pivotFmt>
      <c:pivotFmt>
        <c:idx val="1654"/>
        <c:marker>
          <c:symbol val="none"/>
        </c:marker>
      </c:pivotFmt>
      <c:pivotFmt>
        <c:idx val="1655"/>
        <c:marker>
          <c:symbol val="none"/>
        </c:marker>
      </c:pivotFmt>
      <c:pivotFmt>
        <c:idx val="1656"/>
        <c:marker>
          <c:symbol val="none"/>
        </c:marker>
      </c:pivotFmt>
      <c:pivotFmt>
        <c:idx val="1657"/>
        <c:marker>
          <c:symbol val="none"/>
        </c:marker>
      </c:pivotFmt>
      <c:pivotFmt>
        <c:idx val="1658"/>
        <c:marker>
          <c:symbol val="none"/>
        </c:marker>
      </c:pivotFmt>
      <c:pivotFmt>
        <c:idx val="1659"/>
        <c:marker>
          <c:symbol val="none"/>
        </c:marker>
      </c:pivotFmt>
      <c:pivotFmt>
        <c:idx val="1660"/>
        <c:marker>
          <c:symbol val="none"/>
        </c:marker>
      </c:pivotFmt>
      <c:pivotFmt>
        <c:idx val="1661"/>
        <c:marker>
          <c:symbol val="none"/>
        </c:marker>
      </c:pivotFmt>
      <c:pivotFmt>
        <c:idx val="1662"/>
        <c:marker>
          <c:symbol val="none"/>
        </c:marker>
      </c:pivotFmt>
      <c:pivotFmt>
        <c:idx val="1663"/>
        <c:marker>
          <c:symbol val="none"/>
        </c:marker>
      </c:pivotFmt>
      <c:pivotFmt>
        <c:idx val="1664"/>
        <c:marker>
          <c:symbol val="none"/>
        </c:marker>
      </c:pivotFmt>
      <c:pivotFmt>
        <c:idx val="1665"/>
        <c:marker>
          <c:symbol val="none"/>
        </c:marker>
      </c:pivotFmt>
      <c:pivotFmt>
        <c:idx val="1666"/>
        <c:marker>
          <c:symbol val="none"/>
        </c:marker>
      </c:pivotFmt>
      <c:pivotFmt>
        <c:idx val="1667"/>
        <c:marker>
          <c:symbol val="none"/>
        </c:marker>
      </c:pivotFmt>
      <c:pivotFmt>
        <c:idx val="1668"/>
        <c:marker>
          <c:symbol val="none"/>
        </c:marker>
      </c:pivotFmt>
      <c:pivotFmt>
        <c:idx val="1669"/>
        <c:marker>
          <c:symbol val="none"/>
        </c:marker>
      </c:pivotFmt>
      <c:pivotFmt>
        <c:idx val="1670"/>
        <c:marker>
          <c:symbol val="none"/>
        </c:marker>
      </c:pivotFmt>
      <c:pivotFmt>
        <c:idx val="1671"/>
        <c:marker>
          <c:symbol val="none"/>
        </c:marker>
      </c:pivotFmt>
      <c:pivotFmt>
        <c:idx val="1672"/>
        <c:marker>
          <c:symbol val="none"/>
        </c:marker>
      </c:pivotFmt>
      <c:pivotFmt>
        <c:idx val="1673"/>
        <c:marker>
          <c:symbol val="none"/>
        </c:marker>
      </c:pivotFmt>
      <c:pivotFmt>
        <c:idx val="1674"/>
        <c:marker>
          <c:symbol val="none"/>
        </c:marker>
      </c:pivotFmt>
      <c:pivotFmt>
        <c:idx val="1675"/>
        <c:marker>
          <c:symbol val="none"/>
        </c:marker>
      </c:pivotFmt>
      <c:pivotFmt>
        <c:idx val="1676"/>
        <c:marker>
          <c:symbol val="none"/>
        </c:marker>
      </c:pivotFmt>
      <c:pivotFmt>
        <c:idx val="1677"/>
        <c:marker>
          <c:symbol val="none"/>
        </c:marker>
      </c:pivotFmt>
      <c:pivotFmt>
        <c:idx val="1678"/>
        <c:marker>
          <c:symbol val="none"/>
        </c:marker>
      </c:pivotFmt>
      <c:pivotFmt>
        <c:idx val="1679"/>
        <c:marker>
          <c:symbol val="none"/>
        </c:marker>
      </c:pivotFmt>
      <c:pivotFmt>
        <c:idx val="1680"/>
        <c:marker>
          <c:symbol val="none"/>
        </c:marker>
      </c:pivotFmt>
      <c:pivotFmt>
        <c:idx val="1681"/>
        <c:marker>
          <c:symbol val="none"/>
        </c:marker>
      </c:pivotFmt>
      <c:pivotFmt>
        <c:idx val="1682"/>
        <c:marker>
          <c:symbol val="none"/>
        </c:marker>
      </c:pivotFmt>
      <c:pivotFmt>
        <c:idx val="1683"/>
        <c:marker>
          <c:symbol val="none"/>
        </c:marker>
      </c:pivotFmt>
      <c:pivotFmt>
        <c:idx val="1684"/>
        <c:marker>
          <c:symbol val="none"/>
        </c:marker>
      </c:pivotFmt>
      <c:pivotFmt>
        <c:idx val="1685"/>
        <c:marker>
          <c:symbol val="none"/>
        </c:marker>
      </c:pivotFmt>
      <c:pivotFmt>
        <c:idx val="1686"/>
        <c:marker>
          <c:symbol val="none"/>
        </c:marker>
      </c:pivotFmt>
      <c:pivotFmt>
        <c:idx val="1687"/>
        <c:marker>
          <c:symbol val="none"/>
        </c:marker>
      </c:pivotFmt>
      <c:pivotFmt>
        <c:idx val="1688"/>
        <c:marker>
          <c:symbol val="none"/>
        </c:marker>
      </c:pivotFmt>
      <c:pivotFmt>
        <c:idx val="1689"/>
        <c:marker>
          <c:symbol val="none"/>
        </c:marker>
      </c:pivotFmt>
      <c:pivotFmt>
        <c:idx val="1690"/>
        <c:marker>
          <c:symbol val="none"/>
        </c:marker>
      </c:pivotFmt>
      <c:pivotFmt>
        <c:idx val="1691"/>
        <c:marker>
          <c:symbol val="none"/>
        </c:marker>
      </c:pivotFmt>
      <c:pivotFmt>
        <c:idx val="1692"/>
        <c:marker>
          <c:symbol val="none"/>
        </c:marker>
      </c:pivotFmt>
      <c:pivotFmt>
        <c:idx val="1693"/>
        <c:marker>
          <c:symbol val="none"/>
        </c:marker>
      </c:pivotFmt>
      <c:pivotFmt>
        <c:idx val="1694"/>
        <c:marker>
          <c:symbol val="none"/>
        </c:marker>
      </c:pivotFmt>
      <c:pivotFmt>
        <c:idx val="1695"/>
        <c:marker>
          <c:symbol val="none"/>
        </c:marker>
      </c:pivotFmt>
      <c:pivotFmt>
        <c:idx val="1696"/>
        <c:marker>
          <c:symbol val="none"/>
        </c:marker>
      </c:pivotFmt>
      <c:pivotFmt>
        <c:idx val="1697"/>
        <c:marker>
          <c:symbol val="none"/>
        </c:marker>
      </c:pivotFmt>
      <c:pivotFmt>
        <c:idx val="1698"/>
        <c:marker>
          <c:symbol val="none"/>
        </c:marker>
      </c:pivotFmt>
      <c:pivotFmt>
        <c:idx val="1699"/>
        <c:marker>
          <c:symbol val="none"/>
        </c:marker>
      </c:pivotFmt>
      <c:pivotFmt>
        <c:idx val="1700"/>
        <c:marker>
          <c:symbol val="none"/>
        </c:marker>
      </c:pivotFmt>
      <c:pivotFmt>
        <c:idx val="1701"/>
        <c:marker>
          <c:symbol val="none"/>
        </c:marker>
      </c:pivotFmt>
      <c:pivotFmt>
        <c:idx val="1702"/>
        <c:marker>
          <c:symbol val="none"/>
        </c:marker>
      </c:pivotFmt>
      <c:pivotFmt>
        <c:idx val="1703"/>
        <c:marker>
          <c:symbol val="none"/>
        </c:marker>
      </c:pivotFmt>
      <c:pivotFmt>
        <c:idx val="1704"/>
        <c:marker>
          <c:symbol val="none"/>
        </c:marker>
      </c:pivotFmt>
      <c:pivotFmt>
        <c:idx val="1705"/>
        <c:marker>
          <c:symbol val="none"/>
        </c:marker>
      </c:pivotFmt>
      <c:pivotFmt>
        <c:idx val="1706"/>
        <c:marker>
          <c:symbol val="none"/>
        </c:marker>
      </c:pivotFmt>
      <c:pivotFmt>
        <c:idx val="1707"/>
        <c:marker>
          <c:symbol val="none"/>
        </c:marker>
      </c:pivotFmt>
      <c:pivotFmt>
        <c:idx val="1708"/>
        <c:marker>
          <c:symbol val="none"/>
        </c:marker>
      </c:pivotFmt>
      <c:pivotFmt>
        <c:idx val="1709"/>
        <c:marker>
          <c:symbol val="none"/>
        </c:marker>
      </c:pivotFmt>
      <c:pivotFmt>
        <c:idx val="1710"/>
        <c:marker>
          <c:symbol val="none"/>
        </c:marker>
      </c:pivotFmt>
      <c:pivotFmt>
        <c:idx val="1711"/>
        <c:marker>
          <c:symbol val="none"/>
        </c:marker>
      </c:pivotFmt>
      <c:pivotFmt>
        <c:idx val="1712"/>
        <c:marker>
          <c:symbol val="none"/>
        </c:marker>
      </c:pivotFmt>
      <c:pivotFmt>
        <c:idx val="1713"/>
        <c:marker>
          <c:symbol val="none"/>
        </c:marker>
      </c:pivotFmt>
      <c:pivotFmt>
        <c:idx val="1714"/>
        <c:marker>
          <c:symbol val="none"/>
        </c:marker>
      </c:pivotFmt>
      <c:pivotFmt>
        <c:idx val="1715"/>
        <c:marker>
          <c:symbol val="none"/>
        </c:marker>
      </c:pivotFmt>
      <c:pivotFmt>
        <c:idx val="1716"/>
        <c:marker>
          <c:symbol val="none"/>
        </c:marker>
      </c:pivotFmt>
      <c:pivotFmt>
        <c:idx val="1717"/>
        <c:marker>
          <c:symbol val="none"/>
        </c:marker>
      </c:pivotFmt>
      <c:pivotFmt>
        <c:idx val="1718"/>
        <c:marker>
          <c:symbol val="none"/>
        </c:marker>
      </c:pivotFmt>
      <c:pivotFmt>
        <c:idx val="1719"/>
        <c:marker>
          <c:symbol val="none"/>
        </c:marker>
      </c:pivotFmt>
      <c:pivotFmt>
        <c:idx val="1720"/>
        <c:marker>
          <c:symbol val="none"/>
        </c:marker>
      </c:pivotFmt>
      <c:pivotFmt>
        <c:idx val="1721"/>
        <c:marker>
          <c:symbol val="none"/>
        </c:marker>
      </c:pivotFmt>
      <c:pivotFmt>
        <c:idx val="1722"/>
        <c:marker>
          <c:symbol val="none"/>
        </c:marker>
      </c:pivotFmt>
      <c:pivotFmt>
        <c:idx val="1723"/>
        <c:marker>
          <c:symbol val="none"/>
        </c:marker>
      </c:pivotFmt>
      <c:pivotFmt>
        <c:idx val="1724"/>
        <c:marker>
          <c:symbol val="none"/>
        </c:marker>
      </c:pivotFmt>
      <c:pivotFmt>
        <c:idx val="1725"/>
        <c:marker>
          <c:symbol val="none"/>
        </c:marker>
      </c:pivotFmt>
      <c:pivotFmt>
        <c:idx val="1726"/>
        <c:marker>
          <c:symbol val="none"/>
        </c:marker>
      </c:pivotFmt>
      <c:pivotFmt>
        <c:idx val="1727"/>
        <c:marker>
          <c:symbol val="none"/>
        </c:marker>
      </c:pivotFmt>
      <c:pivotFmt>
        <c:idx val="1728"/>
        <c:marker>
          <c:symbol val="none"/>
        </c:marker>
      </c:pivotFmt>
      <c:pivotFmt>
        <c:idx val="1729"/>
        <c:marker>
          <c:symbol val="none"/>
        </c:marker>
      </c:pivotFmt>
      <c:pivotFmt>
        <c:idx val="1730"/>
        <c:marker>
          <c:symbol val="none"/>
        </c:marker>
      </c:pivotFmt>
      <c:pivotFmt>
        <c:idx val="1731"/>
        <c:marker>
          <c:symbol val="none"/>
        </c:marker>
      </c:pivotFmt>
      <c:pivotFmt>
        <c:idx val="1732"/>
        <c:marker>
          <c:symbol val="none"/>
        </c:marker>
      </c:pivotFmt>
      <c:pivotFmt>
        <c:idx val="1733"/>
        <c:marker>
          <c:symbol val="none"/>
        </c:marker>
      </c:pivotFmt>
      <c:pivotFmt>
        <c:idx val="1734"/>
        <c:marker>
          <c:symbol val="none"/>
        </c:marker>
      </c:pivotFmt>
      <c:pivotFmt>
        <c:idx val="1735"/>
        <c:marker>
          <c:symbol val="none"/>
        </c:marker>
      </c:pivotFmt>
      <c:pivotFmt>
        <c:idx val="1736"/>
        <c:marker>
          <c:symbol val="none"/>
        </c:marker>
      </c:pivotFmt>
      <c:pivotFmt>
        <c:idx val="1737"/>
        <c:marker>
          <c:symbol val="none"/>
        </c:marker>
      </c:pivotFmt>
      <c:pivotFmt>
        <c:idx val="1738"/>
        <c:marker>
          <c:symbol val="none"/>
        </c:marker>
      </c:pivotFmt>
      <c:pivotFmt>
        <c:idx val="1739"/>
        <c:marker>
          <c:symbol val="none"/>
        </c:marker>
      </c:pivotFmt>
      <c:pivotFmt>
        <c:idx val="1740"/>
        <c:marker>
          <c:symbol val="none"/>
        </c:marker>
      </c:pivotFmt>
      <c:pivotFmt>
        <c:idx val="1741"/>
        <c:marker>
          <c:symbol val="none"/>
        </c:marker>
      </c:pivotFmt>
      <c:pivotFmt>
        <c:idx val="1742"/>
        <c:marker>
          <c:symbol val="none"/>
        </c:marker>
      </c:pivotFmt>
      <c:pivotFmt>
        <c:idx val="1743"/>
        <c:marker>
          <c:symbol val="none"/>
        </c:marker>
      </c:pivotFmt>
      <c:pivotFmt>
        <c:idx val="1744"/>
        <c:marker>
          <c:symbol val="none"/>
        </c:marker>
      </c:pivotFmt>
      <c:pivotFmt>
        <c:idx val="1745"/>
        <c:marker>
          <c:symbol val="none"/>
        </c:marker>
      </c:pivotFmt>
      <c:pivotFmt>
        <c:idx val="1746"/>
        <c:marker>
          <c:symbol val="none"/>
        </c:marker>
      </c:pivotFmt>
      <c:pivotFmt>
        <c:idx val="1747"/>
        <c:marker>
          <c:symbol val="none"/>
        </c:marker>
      </c:pivotFmt>
      <c:pivotFmt>
        <c:idx val="1748"/>
        <c:marker>
          <c:symbol val="none"/>
        </c:marker>
      </c:pivotFmt>
      <c:pivotFmt>
        <c:idx val="1749"/>
        <c:marker>
          <c:symbol val="none"/>
        </c:marker>
      </c:pivotFmt>
      <c:pivotFmt>
        <c:idx val="1750"/>
        <c:marker>
          <c:symbol val="none"/>
        </c:marker>
      </c:pivotFmt>
      <c:pivotFmt>
        <c:idx val="1751"/>
        <c:marker>
          <c:symbol val="none"/>
        </c:marker>
      </c:pivotFmt>
      <c:pivotFmt>
        <c:idx val="1752"/>
        <c:marker>
          <c:symbol val="none"/>
        </c:marker>
      </c:pivotFmt>
      <c:pivotFmt>
        <c:idx val="1753"/>
        <c:marker>
          <c:symbol val="none"/>
        </c:marker>
      </c:pivotFmt>
      <c:pivotFmt>
        <c:idx val="1754"/>
        <c:marker>
          <c:symbol val="none"/>
        </c:marker>
      </c:pivotFmt>
      <c:pivotFmt>
        <c:idx val="1755"/>
        <c:marker>
          <c:symbol val="none"/>
        </c:marker>
      </c:pivotFmt>
      <c:pivotFmt>
        <c:idx val="1756"/>
        <c:marker>
          <c:symbol val="none"/>
        </c:marker>
      </c:pivotFmt>
      <c:pivotFmt>
        <c:idx val="1757"/>
        <c:marker>
          <c:symbol val="none"/>
        </c:marker>
      </c:pivotFmt>
      <c:pivotFmt>
        <c:idx val="1758"/>
        <c:marker>
          <c:symbol val="none"/>
        </c:marker>
      </c:pivotFmt>
      <c:pivotFmt>
        <c:idx val="1759"/>
        <c:marker>
          <c:symbol val="none"/>
        </c:marker>
      </c:pivotFmt>
      <c:pivotFmt>
        <c:idx val="1760"/>
        <c:marker>
          <c:symbol val="none"/>
        </c:marker>
      </c:pivotFmt>
      <c:pivotFmt>
        <c:idx val="1761"/>
        <c:marker>
          <c:symbol val="none"/>
        </c:marker>
      </c:pivotFmt>
      <c:pivotFmt>
        <c:idx val="1762"/>
        <c:marker>
          <c:symbol val="none"/>
        </c:marker>
      </c:pivotFmt>
      <c:pivotFmt>
        <c:idx val="1763"/>
        <c:marker>
          <c:symbol val="none"/>
        </c:marker>
      </c:pivotFmt>
      <c:pivotFmt>
        <c:idx val="1764"/>
        <c:marker>
          <c:symbol val="none"/>
        </c:marker>
      </c:pivotFmt>
      <c:pivotFmt>
        <c:idx val="1765"/>
        <c:marker>
          <c:symbol val="none"/>
        </c:marker>
      </c:pivotFmt>
      <c:pivotFmt>
        <c:idx val="1766"/>
        <c:marker>
          <c:symbol val="none"/>
        </c:marker>
      </c:pivotFmt>
      <c:pivotFmt>
        <c:idx val="1767"/>
        <c:marker>
          <c:symbol val="none"/>
        </c:marker>
      </c:pivotFmt>
      <c:pivotFmt>
        <c:idx val="1768"/>
        <c:marker>
          <c:symbol val="none"/>
        </c:marker>
      </c:pivotFmt>
      <c:pivotFmt>
        <c:idx val="1769"/>
        <c:marker>
          <c:symbol val="none"/>
        </c:marker>
      </c:pivotFmt>
      <c:pivotFmt>
        <c:idx val="1770"/>
        <c:marker>
          <c:symbol val="none"/>
        </c:marker>
      </c:pivotFmt>
      <c:pivotFmt>
        <c:idx val="1771"/>
        <c:marker>
          <c:symbol val="none"/>
        </c:marker>
      </c:pivotFmt>
      <c:pivotFmt>
        <c:idx val="1772"/>
        <c:marker>
          <c:symbol val="none"/>
        </c:marker>
      </c:pivotFmt>
      <c:pivotFmt>
        <c:idx val="1773"/>
        <c:marker>
          <c:symbol val="none"/>
        </c:marker>
      </c:pivotFmt>
      <c:pivotFmt>
        <c:idx val="1774"/>
        <c:marker>
          <c:symbol val="none"/>
        </c:marker>
      </c:pivotFmt>
      <c:pivotFmt>
        <c:idx val="1775"/>
        <c:marker>
          <c:symbol val="none"/>
        </c:marker>
      </c:pivotFmt>
      <c:pivotFmt>
        <c:idx val="1776"/>
        <c:marker>
          <c:symbol val="none"/>
        </c:marker>
      </c:pivotFmt>
      <c:pivotFmt>
        <c:idx val="1777"/>
        <c:marker>
          <c:symbol val="none"/>
        </c:marker>
      </c:pivotFmt>
      <c:pivotFmt>
        <c:idx val="1778"/>
        <c:marker>
          <c:symbol val="none"/>
        </c:marker>
      </c:pivotFmt>
      <c:pivotFmt>
        <c:idx val="1779"/>
        <c:marker>
          <c:symbol val="none"/>
        </c:marker>
      </c:pivotFmt>
      <c:pivotFmt>
        <c:idx val="1780"/>
        <c:marker>
          <c:symbol val="none"/>
        </c:marker>
      </c:pivotFmt>
      <c:pivotFmt>
        <c:idx val="1781"/>
        <c:marker>
          <c:symbol val="none"/>
        </c:marker>
      </c:pivotFmt>
      <c:pivotFmt>
        <c:idx val="1782"/>
        <c:marker>
          <c:symbol val="none"/>
        </c:marker>
      </c:pivotFmt>
      <c:pivotFmt>
        <c:idx val="1783"/>
        <c:marker>
          <c:symbol val="none"/>
        </c:marker>
      </c:pivotFmt>
      <c:pivotFmt>
        <c:idx val="1784"/>
        <c:marker>
          <c:symbol val="none"/>
        </c:marker>
      </c:pivotFmt>
      <c:pivotFmt>
        <c:idx val="1785"/>
        <c:marker>
          <c:symbol val="none"/>
        </c:marker>
      </c:pivotFmt>
      <c:pivotFmt>
        <c:idx val="1786"/>
        <c:marker>
          <c:symbol val="none"/>
        </c:marker>
      </c:pivotFmt>
      <c:pivotFmt>
        <c:idx val="1787"/>
        <c:marker>
          <c:symbol val="none"/>
        </c:marker>
      </c:pivotFmt>
      <c:pivotFmt>
        <c:idx val="1788"/>
        <c:marker>
          <c:symbol val="none"/>
        </c:marker>
      </c:pivotFmt>
      <c:pivotFmt>
        <c:idx val="1789"/>
        <c:marker>
          <c:symbol val="none"/>
        </c:marker>
      </c:pivotFmt>
      <c:pivotFmt>
        <c:idx val="1790"/>
        <c:marker>
          <c:symbol val="none"/>
        </c:marker>
      </c:pivotFmt>
      <c:pivotFmt>
        <c:idx val="1791"/>
        <c:marker>
          <c:symbol val="none"/>
        </c:marker>
      </c:pivotFmt>
      <c:pivotFmt>
        <c:idx val="1792"/>
        <c:marker>
          <c:symbol val="none"/>
        </c:marker>
      </c:pivotFmt>
      <c:pivotFmt>
        <c:idx val="1793"/>
        <c:marker>
          <c:symbol val="none"/>
        </c:marker>
      </c:pivotFmt>
      <c:pivotFmt>
        <c:idx val="1794"/>
        <c:marker>
          <c:symbol val="none"/>
        </c:marker>
      </c:pivotFmt>
      <c:pivotFmt>
        <c:idx val="1795"/>
        <c:marker>
          <c:symbol val="none"/>
        </c:marker>
      </c:pivotFmt>
      <c:pivotFmt>
        <c:idx val="1796"/>
        <c:marker>
          <c:symbol val="none"/>
        </c:marker>
      </c:pivotFmt>
      <c:pivotFmt>
        <c:idx val="1797"/>
        <c:marker>
          <c:symbol val="none"/>
        </c:marker>
      </c:pivotFmt>
      <c:pivotFmt>
        <c:idx val="1798"/>
        <c:marker>
          <c:symbol val="none"/>
        </c:marker>
      </c:pivotFmt>
      <c:pivotFmt>
        <c:idx val="1799"/>
        <c:marker>
          <c:symbol val="none"/>
        </c:marker>
      </c:pivotFmt>
      <c:pivotFmt>
        <c:idx val="1800"/>
        <c:marker>
          <c:symbol val="none"/>
        </c:marker>
      </c:pivotFmt>
      <c:pivotFmt>
        <c:idx val="1801"/>
        <c:marker>
          <c:symbol val="none"/>
        </c:marker>
      </c:pivotFmt>
      <c:pivotFmt>
        <c:idx val="1802"/>
        <c:marker>
          <c:symbol val="none"/>
        </c:marker>
      </c:pivotFmt>
      <c:pivotFmt>
        <c:idx val="1803"/>
        <c:marker>
          <c:symbol val="none"/>
        </c:marker>
      </c:pivotFmt>
      <c:pivotFmt>
        <c:idx val="1804"/>
        <c:marker>
          <c:symbol val="none"/>
        </c:marker>
      </c:pivotFmt>
      <c:pivotFmt>
        <c:idx val="1805"/>
        <c:marker>
          <c:symbol val="none"/>
        </c:marker>
      </c:pivotFmt>
      <c:pivotFmt>
        <c:idx val="1806"/>
        <c:marker>
          <c:symbol val="none"/>
        </c:marker>
      </c:pivotFmt>
      <c:pivotFmt>
        <c:idx val="1807"/>
        <c:marker>
          <c:symbol val="none"/>
        </c:marker>
      </c:pivotFmt>
      <c:pivotFmt>
        <c:idx val="1808"/>
        <c:marker>
          <c:symbol val="none"/>
        </c:marker>
      </c:pivotFmt>
      <c:pivotFmt>
        <c:idx val="1809"/>
        <c:marker>
          <c:symbol val="none"/>
        </c:marker>
      </c:pivotFmt>
      <c:pivotFmt>
        <c:idx val="1810"/>
        <c:marker>
          <c:symbol val="none"/>
        </c:marker>
      </c:pivotFmt>
      <c:pivotFmt>
        <c:idx val="1811"/>
        <c:marker>
          <c:symbol val="none"/>
        </c:marker>
      </c:pivotFmt>
      <c:pivotFmt>
        <c:idx val="1812"/>
        <c:marker>
          <c:symbol val="none"/>
        </c:marker>
      </c:pivotFmt>
      <c:pivotFmt>
        <c:idx val="1813"/>
        <c:marker>
          <c:symbol val="none"/>
        </c:marker>
      </c:pivotFmt>
      <c:pivotFmt>
        <c:idx val="1814"/>
        <c:marker>
          <c:symbol val="none"/>
        </c:marker>
      </c:pivotFmt>
      <c:pivotFmt>
        <c:idx val="1815"/>
        <c:marker>
          <c:symbol val="none"/>
        </c:marker>
      </c:pivotFmt>
      <c:pivotFmt>
        <c:idx val="1816"/>
        <c:marker>
          <c:symbol val="none"/>
        </c:marker>
      </c:pivotFmt>
      <c:pivotFmt>
        <c:idx val="1817"/>
        <c:marker>
          <c:symbol val="none"/>
        </c:marker>
      </c:pivotFmt>
      <c:pivotFmt>
        <c:idx val="1818"/>
        <c:marker>
          <c:symbol val="none"/>
        </c:marker>
      </c:pivotFmt>
      <c:pivotFmt>
        <c:idx val="1819"/>
        <c:marker>
          <c:symbol val="none"/>
        </c:marker>
      </c:pivotFmt>
      <c:pivotFmt>
        <c:idx val="1820"/>
        <c:marker>
          <c:symbol val="none"/>
        </c:marker>
      </c:pivotFmt>
      <c:pivotFmt>
        <c:idx val="1821"/>
        <c:marker>
          <c:symbol val="none"/>
        </c:marker>
      </c:pivotFmt>
      <c:pivotFmt>
        <c:idx val="1822"/>
        <c:marker>
          <c:symbol val="none"/>
        </c:marker>
      </c:pivotFmt>
      <c:pivotFmt>
        <c:idx val="1823"/>
        <c:marker>
          <c:symbol val="none"/>
        </c:marker>
      </c:pivotFmt>
      <c:pivotFmt>
        <c:idx val="1824"/>
        <c:marker>
          <c:symbol val="none"/>
        </c:marker>
      </c:pivotFmt>
      <c:pivotFmt>
        <c:idx val="1825"/>
        <c:marker>
          <c:symbol val="none"/>
        </c:marker>
      </c:pivotFmt>
      <c:pivotFmt>
        <c:idx val="1826"/>
        <c:marker>
          <c:symbol val="none"/>
        </c:marker>
      </c:pivotFmt>
      <c:pivotFmt>
        <c:idx val="1827"/>
        <c:marker>
          <c:symbol val="none"/>
        </c:marker>
      </c:pivotFmt>
      <c:pivotFmt>
        <c:idx val="1828"/>
        <c:marker>
          <c:symbol val="none"/>
        </c:marker>
      </c:pivotFmt>
      <c:pivotFmt>
        <c:idx val="1829"/>
        <c:marker>
          <c:symbol val="none"/>
        </c:marker>
      </c:pivotFmt>
      <c:pivotFmt>
        <c:idx val="1830"/>
        <c:marker>
          <c:symbol val="none"/>
        </c:marker>
      </c:pivotFmt>
      <c:pivotFmt>
        <c:idx val="1831"/>
        <c:marker>
          <c:symbol val="none"/>
        </c:marker>
      </c:pivotFmt>
      <c:pivotFmt>
        <c:idx val="1832"/>
        <c:marker>
          <c:symbol val="none"/>
        </c:marker>
      </c:pivotFmt>
      <c:pivotFmt>
        <c:idx val="1833"/>
        <c:marker>
          <c:symbol val="none"/>
        </c:marker>
      </c:pivotFmt>
      <c:pivotFmt>
        <c:idx val="1834"/>
        <c:marker>
          <c:symbol val="none"/>
        </c:marker>
      </c:pivotFmt>
      <c:pivotFmt>
        <c:idx val="1835"/>
        <c:marker>
          <c:symbol val="none"/>
        </c:marker>
      </c:pivotFmt>
      <c:pivotFmt>
        <c:idx val="1836"/>
        <c:marker>
          <c:symbol val="none"/>
        </c:marker>
      </c:pivotFmt>
      <c:pivotFmt>
        <c:idx val="1837"/>
        <c:marker>
          <c:symbol val="none"/>
        </c:marker>
      </c:pivotFmt>
      <c:pivotFmt>
        <c:idx val="1838"/>
        <c:marker>
          <c:symbol val="none"/>
        </c:marker>
      </c:pivotFmt>
      <c:pivotFmt>
        <c:idx val="1839"/>
        <c:marker>
          <c:symbol val="none"/>
        </c:marker>
      </c:pivotFmt>
      <c:pivotFmt>
        <c:idx val="1840"/>
        <c:marker>
          <c:symbol val="none"/>
        </c:marker>
      </c:pivotFmt>
      <c:pivotFmt>
        <c:idx val="1841"/>
        <c:marker>
          <c:symbol val="none"/>
        </c:marker>
      </c:pivotFmt>
      <c:pivotFmt>
        <c:idx val="1842"/>
        <c:marker>
          <c:symbol val="none"/>
        </c:marker>
      </c:pivotFmt>
      <c:pivotFmt>
        <c:idx val="1843"/>
        <c:marker>
          <c:symbol val="none"/>
        </c:marker>
      </c:pivotFmt>
      <c:pivotFmt>
        <c:idx val="1844"/>
        <c:marker>
          <c:symbol val="none"/>
        </c:marker>
      </c:pivotFmt>
      <c:pivotFmt>
        <c:idx val="1845"/>
        <c:marker>
          <c:symbol val="none"/>
        </c:marker>
      </c:pivotFmt>
      <c:pivotFmt>
        <c:idx val="1846"/>
        <c:marker>
          <c:symbol val="none"/>
        </c:marker>
      </c:pivotFmt>
      <c:pivotFmt>
        <c:idx val="1847"/>
        <c:marker>
          <c:symbol val="none"/>
        </c:marker>
      </c:pivotFmt>
      <c:pivotFmt>
        <c:idx val="1848"/>
        <c:marker>
          <c:symbol val="none"/>
        </c:marker>
      </c:pivotFmt>
      <c:pivotFmt>
        <c:idx val="1849"/>
        <c:marker>
          <c:symbol val="none"/>
        </c:marker>
      </c:pivotFmt>
      <c:pivotFmt>
        <c:idx val="1850"/>
        <c:marker>
          <c:symbol val="none"/>
        </c:marker>
      </c:pivotFmt>
      <c:pivotFmt>
        <c:idx val="1851"/>
        <c:marker>
          <c:symbol val="none"/>
        </c:marker>
      </c:pivotFmt>
      <c:pivotFmt>
        <c:idx val="1852"/>
        <c:marker>
          <c:symbol val="none"/>
        </c:marker>
      </c:pivotFmt>
      <c:pivotFmt>
        <c:idx val="1853"/>
        <c:marker>
          <c:symbol val="none"/>
        </c:marker>
      </c:pivotFmt>
      <c:pivotFmt>
        <c:idx val="1854"/>
        <c:marker>
          <c:symbol val="none"/>
        </c:marker>
      </c:pivotFmt>
      <c:pivotFmt>
        <c:idx val="1855"/>
        <c:marker>
          <c:symbol val="none"/>
        </c:marker>
      </c:pivotFmt>
      <c:pivotFmt>
        <c:idx val="1856"/>
        <c:marker>
          <c:symbol val="none"/>
        </c:marker>
      </c:pivotFmt>
      <c:pivotFmt>
        <c:idx val="1857"/>
        <c:marker>
          <c:symbol val="none"/>
        </c:marker>
      </c:pivotFmt>
      <c:pivotFmt>
        <c:idx val="1858"/>
        <c:marker>
          <c:symbol val="none"/>
        </c:marker>
      </c:pivotFmt>
      <c:pivotFmt>
        <c:idx val="1859"/>
        <c:marker>
          <c:symbol val="none"/>
        </c:marker>
      </c:pivotFmt>
      <c:pivotFmt>
        <c:idx val="1860"/>
        <c:marker>
          <c:symbol val="none"/>
        </c:marker>
      </c:pivotFmt>
      <c:pivotFmt>
        <c:idx val="1861"/>
        <c:marker>
          <c:symbol val="none"/>
        </c:marker>
      </c:pivotFmt>
      <c:pivotFmt>
        <c:idx val="1862"/>
        <c:marker>
          <c:symbol val="none"/>
        </c:marker>
      </c:pivotFmt>
      <c:pivotFmt>
        <c:idx val="1863"/>
        <c:marker>
          <c:symbol val="none"/>
        </c:marker>
      </c:pivotFmt>
      <c:pivotFmt>
        <c:idx val="1864"/>
        <c:marker>
          <c:symbol val="none"/>
        </c:marker>
      </c:pivotFmt>
      <c:pivotFmt>
        <c:idx val="1865"/>
        <c:marker>
          <c:symbol val="none"/>
        </c:marker>
      </c:pivotFmt>
      <c:pivotFmt>
        <c:idx val="1866"/>
        <c:marker>
          <c:symbol val="none"/>
        </c:marker>
      </c:pivotFmt>
      <c:pivotFmt>
        <c:idx val="1867"/>
        <c:marker>
          <c:symbol val="none"/>
        </c:marker>
      </c:pivotFmt>
      <c:pivotFmt>
        <c:idx val="1868"/>
        <c:marker>
          <c:symbol val="none"/>
        </c:marker>
      </c:pivotFmt>
      <c:pivotFmt>
        <c:idx val="1869"/>
        <c:marker>
          <c:symbol val="none"/>
        </c:marker>
      </c:pivotFmt>
      <c:pivotFmt>
        <c:idx val="1870"/>
        <c:marker>
          <c:symbol val="none"/>
        </c:marker>
      </c:pivotFmt>
      <c:pivotFmt>
        <c:idx val="1871"/>
        <c:marker>
          <c:symbol val="none"/>
        </c:marker>
      </c:pivotFmt>
      <c:pivotFmt>
        <c:idx val="1872"/>
        <c:marker>
          <c:symbol val="none"/>
        </c:marker>
      </c:pivotFmt>
      <c:pivotFmt>
        <c:idx val="1873"/>
        <c:marker>
          <c:symbol val="none"/>
        </c:marker>
      </c:pivotFmt>
      <c:pivotFmt>
        <c:idx val="1874"/>
        <c:marker>
          <c:symbol val="none"/>
        </c:marker>
      </c:pivotFmt>
      <c:pivotFmt>
        <c:idx val="1875"/>
        <c:marker>
          <c:symbol val="none"/>
        </c:marker>
      </c:pivotFmt>
      <c:pivotFmt>
        <c:idx val="1876"/>
        <c:marker>
          <c:symbol val="none"/>
        </c:marker>
      </c:pivotFmt>
      <c:pivotFmt>
        <c:idx val="1877"/>
        <c:marker>
          <c:symbol val="none"/>
        </c:marker>
      </c:pivotFmt>
      <c:pivotFmt>
        <c:idx val="1878"/>
        <c:marker>
          <c:symbol val="none"/>
        </c:marker>
      </c:pivotFmt>
      <c:pivotFmt>
        <c:idx val="1879"/>
        <c:marker>
          <c:symbol val="none"/>
        </c:marker>
      </c:pivotFmt>
      <c:pivotFmt>
        <c:idx val="1880"/>
        <c:marker>
          <c:symbol val="none"/>
        </c:marker>
      </c:pivotFmt>
      <c:pivotFmt>
        <c:idx val="1881"/>
        <c:marker>
          <c:symbol val="none"/>
        </c:marker>
      </c:pivotFmt>
      <c:pivotFmt>
        <c:idx val="1882"/>
        <c:marker>
          <c:symbol val="none"/>
        </c:marker>
      </c:pivotFmt>
      <c:pivotFmt>
        <c:idx val="1883"/>
        <c:marker>
          <c:symbol val="none"/>
        </c:marker>
      </c:pivotFmt>
      <c:pivotFmt>
        <c:idx val="1884"/>
        <c:marker>
          <c:symbol val="none"/>
        </c:marker>
      </c:pivotFmt>
      <c:pivotFmt>
        <c:idx val="1885"/>
        <c:marker>
          <c:symbol val="none"/>
        </c:marker>
      </c:pivotFmt>
      <c:pivotFmt>
        <c:idx val="1886"/>
        <c:marker>
          <c:symbol val="none"/>
        </c:marker>
      </c:pivotFmt>
      <c:pivotFmt>
        <c:idx val="1887"/>
        <c:marker>
          <c:symbol val="none"/>
        </c:marker>
      </c:pivotFmt>
      <c:pivotFmt>
        <c:idx val="1888"/>
        <c:marker>
          <c:symbol val="none"/>
        </c:marker>
      </c:pivotFmt>
      <c:pivotFmt>
        <c:idx val="1889"/>
        <c:marker>
          <c:symbol val="none"/>
        </c:marker>
      </c:pivotFmt>
      <c:pivotFmt>
        <c:idx val="1890"/>
        <c:marker>
          <c:symbol val="none"/>
        </c:marker>
      </c:pivotFmt>
      <c:pivotFmt>
        <c:idx val="1891"/>
        <c:marker>
          <c:symbol val="none"/>
        </c:marker>
      </c:pivotFmt>
      <c:pivotFmt>
        <c:idx val="1892"/>
        <c:marker>
          <c:symbol val="none"/>
        </c:marker>
      </c:pivotFmt>
      <c:pivotFmt>
        <c:idx val="1893"/>
        <c:marker>
          <c:symbol val="none"/>
        </c:marker>
      </c:pivotFmt>
      <c:pivotFmt>
        <c:idx val="1894"/>
        <c:marker>
          <c:symbol val="none"/>
        </c:marker>
      </c:pivotFmt>
      <c:pivotFmt>
        <c:idx val="1895"/>
        <c:marker>
          <c:symbol val="none"/>
        </c:marker>
      </c:pivotFmt>
      <c:pivotFmt>
        <c:idx val="1896"/>
        <c:marker>
          <c:symbol val="none"/>
        </c:marker>
      </c:pivotFmt>
      <c:pivotFmt>
        <c:idx val="1897"/>
        <c:marker>
          <c:symbol val="none"/>
        </c:marker>
      </c:pivotFmt>
      <c:pivotFmt>
        <c:idx val="1898"/>
        <c:marker>
          <c:symbol val="none"/>
        </c:marker>
      </c:pivotFmt>
      <c:pivotFmt>
        <c:idx val="1899"/>
        <c:marker>
          <c:symbol val="none"/>
        </c:marker>
      </c:pivotFmt>
      <c:pivotFmt>
        <c:idx val="1900"/>
        <c:marker>
          <c:symbol val="none"/>
        </c:marker>
      </c:pivotFmt>
      <c:pivotFmt>
        <c:idx val="1901"/>
        <c:marker>
          <c:symbol val="none"/>
        </c:marker>
      </c:pivotFmt>
      <c:pivotFmt>
        <c:idx val="1902"/>
        <c:marker>
          <c:symbol val="none"/>
        </c:marker>
      </c:pivotFmt>
      <c:pivotFmt>
        <c:idx val="1903"/>
        <c:marker>
          <c:symbol val="none"/>
        </c:marker>
      </c:pivotFmt>
      <c:pivotFmt>
        <c:idx val="1904"/>
        <c:marker>
          <c:symbol val="none"/>
        </c:marker>
      </c:pivotFmt>
      <c:pivotFmt>
        <c:idx val="1905"/>
        <c:marker>
          <c:symbol val="none"/>
        </c:marker>
      </c:pivotFmt>
      <c:pivotFmt>
        <c:idx val="1906"/>
        <c:marker>
          <c:symbol val="none"/>
        </c:marker>
      </c:pivotFmt>
      <c:pivotFmt>
        <c:idx val="1907"/>
        <c:marker>
          <c:symbol val="none"/>
        </c:marker>
      </c:pivotFmt>
      <c:pivotFmt>
        <c:idx val="1908"/>
        <c:marker>
          <c:symbol val="none"/>
        </c:marker>
      </c:pivotFmt>
      <c:pivotFmt>
        <c:idx val="1909"/>
        <c:marker>
          <c:symbol val="none"/>
        </c:marker>
      </c:pivotFmt>
      <c:pivotFmt>
        <c:idx val="1910"/>
        <c:marker>
          <c:symbol val="none"/>
        </c:marker>
      </c:pivotFmt>
      <c:pivotFmt>
        <c:idx val="1911"/>
        <c:marker>
          <c:symbol val="none"/>
        </c:marker>
      </c:pivotFmt>
      <c:pivotFmt>
        <c:idx val="1912"/>
        <c:marker>
          <c:symbol val="none"/>
        </c:marker>
      </c:pivotFmt>
      <c:pivotFmt>
        <c:idx val="1913"/>
        <c:marker>
          <c:symbol val="none"/>
        </c:marker>
      </c:pivotFmt>
      <c:pivotFmt>
        <c:idx val="1914"/>
        <c:marker>
          <c:symbol val="none"/>
        </c:marker>
      </c:pivotFmt>
      <c:pivotFmt>
        <c:idx val="1915"/>
        <c:marker>
          <c:symbol val="none"/>
        </c:marker>
      </c:pivotFmt>
      <c:pivotFmt>
        <c:idx val="1916"/>
        <c:marker>
          <c:symbol val="none"/>
        </c:marker>
      </c:pivotFmt>
      <c:pivotFmt>
        <c:idx val="1917"/>
        <c:marker>
          <c:symbol val="none"/>
        </c:marker>
      </c:pivotFmt>
      <c:pivotFmt>
        <c:idx val="1918"/>
        <c:marker>
          <c:symbol val="none"/>
        </c:marker>
      </c:pivotFmt>
      <c:pivotFmt>
        <c:idx val="1919"/>
        <c:marker>
          <c:symbol val="none"/>
        </c:marker>
      </c:pivotFmt>
      <c:pivotFmt>
        <c:idx val="1920"/>
        <c:marker>
          <c:symbol val="none"/>
        </c:marker>
      </c:pivotFmt>
      <c:pivotFmt>
        <c:idx val="1921"/>
        <c:marker>
          <c:symbol val="none"/>
        </c:marker>
      </c:pivotFmt>
      <c:pivotFmt>
        <c:idx val="1922"/>
        <c:marker>
          <c:symbol val="none"/>
        </c:marker>
      </c:pivotFmt>
      <c:pivotFmt>
        <c:idx val="1923"/>
        <c:marker>
          <c:symbol val="none"/>
        </c:marker>
      </c:pivotFmt>
      <c:pivotFmt>
        <c:idx val="1924"/>
        <c:marker>
          <c:symbol val="none"/>
        </c:marker>
      </c:pivotFmt>
      <c:pivotFmt>
        <c:idx val="1925"/>
        <c:marker>
          <c:symbol val="none"/>
        </c:marker>
      </c:pivotFmt>
      <c:pivotFmt>
        <c:idx val="1926"/>
        <c:marker>
          <c:symbol val="none"/>
        </c:marker>
      </c:pivotFmt>
      <c:pivotFmt>
        <c:idx val="1927"/>
        <c:marker>
          <c:symbol val="none"/>
        </c:marker>
      </c:pivotFmt>
      <c:pivotFmt>
        <c:idx val="1928"/>
        <c:marker>
          <c:symbol val="none"/>
        </c:marker>
      </c:pivotFmt>
      <c:pivotFmt>
        <c:idx val="1929"/>
        <c:marker>
          <c:symbol val="none"/>
        </c:marker>
      </c:pivotFmt>
      <c:pivotFmt>
        <c:idx val="1930"/>
        <c:marker>
          <c:symbol val="none"/>
        </c:marker>
      </c:pivotFmt>
      <c:pivotFmt>
        <c:idx val="1931"/>
        <c:marker>
          <c:symbol val="none"/>
        </c:marker>
      </c:pivotFmt>
      <c:pivotFmt>
        <c:idx val="1932"/>
        <c:marker>
          <c:symbol val="none"/>
        </c:marker>
      </c:pivotFmt>
      <c:pivotFmt>
        <c:idx val="1933"/>
        <c:marker>
          <c:symbol val="none"/>
        </c:marker>
      </c:pivotFmt>
      <c:pivotFmt>
        <c:idx val="1934"/>
        <c:marker>
          <c:symbol val="none"/>
        </c:marker>
      </c:pivotFmt>
      <c:pivotFmt>
        <c:idx val="1935"/>
        <c:marker>
          <c:symbol val="none"/>
        </c:marker>
      </c:pivotFmt>
      <c:pivotFmt>
        <c:idx val="1936"/>
        <c:marker>
          <c:symbol val="none"/>
        </c:marker>
      </c:pivotFmt>
      <c:pivotFmt>
        <c:idx val="1937"/>
        <c:marker>
          <c:symbol val="none"/>
        </c:marker>
      </c:pivotFmt>
      <c:pivotFmt>
        <c:idx val="1938"/>
        <c:marker>
          <c:symbol val="none"/>
        </c:marker>
      </c:pivotFmt>
      <c:pivotFmt>
        <c:idx val="1939"/>
        <c:marker>
          <c:symbol val="none"/>
        </c:marker>
      </c:pivotFmt>
      <c:pivotFmt>
        <c:idx val="1940"/>
        <c:marker>
          <c:symbol val="none"/>
        </c:marker>
      </c:pivotFmt>
      <c:pivotFmt>
        <c:idx val="1941"/>
        <c:marker>
          <c:symbol val="none"/>
        </c:marker>
      </c:pivotFmt>
      <c:pivotFmt>
        <c:idx val="1942"/>
        <c:marker>
          <c:symbol val="none"/>
        </c:marker>
      </c:pivotFmt>
      <c:pivotFmt>
        <c:idx val="1943"/>
        <c:marker>
          <c:symbol val="none"/>
        </c:marker>
      </c:pivotFmt>
      <c:pivotFmt>
        <c:idx val="1944"/>
        <c:marker>
          <c:symbol val="none"/>
        </c:marker>
      </c:pivotFmt>
      <c:pivotFmt>
        <c:idx val="1945"/>
        <c:marker>
          <c:symbol val="none"/>
        </c:marker>
      </c:pivotFmt>
      <c:pivotFmt>
        <c:idx val="1946"/>
        <c:marker>
          <c:symbol val="none"/>
        </c:marker>
      </c:pivotFmt>
      <c:pivotFmt>
        <c:idx val="1947"/>
        <c:marker>
          <c:symbol val="none"/>
        </c:marker>
      </c:pivotFmt>
      <c:pivotFmt>
        <c:idx val="1948"/>
        <c:marker>
          <c:symbol val="none"/>
        </c:marker>
      </c:pivotFmt>
      <c:pivotFmt>
        <c:idx val="1949"/>
        <c:spPr>
          <a:ln w="25400">
            <a:noFill/>
          </a:ln>
        </c:spPr>
        <c:marker>
          <c:symbol val="none"/>
        </c:marker>
      </c:pivotFmt>
      <c:pivotFmt>
        <c:idx val="1950"/>
        <c:marker>
          <c:symbol val="none"/>
        </c:marker>
      </c:pivotFmt>
      <c:pivotFmt>
        <c:idx val="1951"/>
        <c:marker>
          <c:symbol val="none"/>
        </c:marker>
      </c:pivotFmt>
      <c:pivotFmt>
        <c:idx val="1952"/>
        <c:marker>
          <c:symbol val="none"/>
        </c:marker>
      </c:pivotFmt>
      <c:pivotFmt>
        <c:idx val="1953"/>
        <c:marker>
          <c:symbol val="none"/>
        </c:marker>
      </c:pivotFmt>
      <c:pivotFmt>
        <c:idx val="1954"/>
        <c:marker>
          <c:symbol val="none"/>
        </c:marker>
      </c:pivotFmt>
      <c:pivotFmt>
        <c:idx val="1955"/>
        <c:marker>
          <c:symbol val="none"/>
        </c:marker>
      </c:pivotFmt>
      <c:pivotFmt>
        <c:idx val="1956"/>
        <c:marker>
          <c:symbol val="none"/>
        </c:marker>
      </c:pivotFmt>
      <c:pivotFmt>
        <c:idx val="1957"/>
        <c:marker>
          <c:symbol val="none"/>
        </c:marker>
      </c:pivotFmt>
      <c:pivotFmt>
        <c:idx val="1958"/>
        <c:marker>
          <c:symbol val="none"/>
        </c:marker>
      </c:pivotFmt>
      <c:pivotFmt>
        <c:idx val="1959"/>
        <c:marker>
          <c:symbol val="none"/>
        </c:marker>
      </c:pivotFmt>
      <c:pivotFmt>
        <c:idx val="1960"/>
        <c:marker>
          <c:symbol val="none"/>
        </c:marker>
      </c:pivotFmt>
      <c:pivotFmt>
        <c:idx val="1961"/>
        <c:marker>
          <c:symbol val="none"/>
        </c:marker>
      </c:pivotFmt>
      <c:pivotFmt>
        <c:idx val="1962"/>
        <c:marker>
          <c:symbol val="none"/>
        </c:marker>
      </c:pivotFmt>
      <c:pivotFmt>
        <c:idx val="1963"/>
        <c:marker>
          <c:symbol val="none"/>
        </c:marker>
      </c:pivotFmt>
      <c:pivotFmt>
        <c:idx val="1964"/>
        <c:marker>
          <c:symbol val="none"/>
        </c:marker>
      </c:pivotFmt>
      <c:pivotFmt>
        <c:idx val="1965"/>
        <c:marker>
          <c:symbol val="none"/>
        </c:marker>
      </c:pivotFmt>
      <c:pivotFmt>
        <c:idx val="1966"/>
        <c:marker>
          <c:symbol val="none"/>
        </c:marker>
      </c:pivotFmt>
      <c:pivotFmt>
        <c:idx val="1967"/>
        <c:marker>
          <c:symbol val="none"/>
        </c:marker>
      </c:pivotFmt>
      <c:pivotFmt>
        <c:idx val="1968"/>
        <c:marker>
          <c:symbol val="none"/>
        </c:marker>
      </c:pivotFmt>
      <c:pivotFmt>
        <c:idx val="1969"/>
        <c:marker>
          <c:symbol val="none"/>
        </c:marker>
      </c:pivotFmt>
      <c:pivotFmt>
        <c:idx val="1970"/>
        <c:marker>
          <c:symbol val="none"/>
        </c:marker>
      </c:pivotFmt>
      <c:pivotFmt>
        <c:idx val="1971"/>
        <c:marker>
          <c:symbol val="none"/>
        </c:marker>
      </c:pivotFmt>
      <c:pivotFmt>
        <c:idx val="1972"/>
        <c:marker>
          <c:symbol val="none"/>
        </c:marker>
      </c:pivotFmt>
      <c:pivotFmt>
        <c:idx val="1973"/>
        <c:marker>
          <c:symbol val="none"/>
        </c:marker>
      </c:pivotFmt>
      <c:pivotFmt>
        <c:idx val="1974"/>
        <c:marker>
          <c:symbol val="none"/>
        </c:marker>
      </c:pivotFmt>
      <c:pivotFmt>
        <c:idx val="1975"/>
        <c:marker>
          <c:symbol val="none"/>
        </c:marker>
      </c:pivotFmt>
      <c:pivotFmt>
        <c:idx val="1976"/>
        <c:marker>
          <c:symbol val="none"/>
        </c:marker>
      </c:pivotFmt>
      <c:pivotFmt>
        <c:idx val="1977"/>
        <c:marker>
          <c:symbol val="none"/>
        </c:marker>
      </c:pivotFmt>
      <c:pivotFmt>
        <c:idx val="1978"/>
        <c:marker>
          <c:symbol val="none"/>
        </c:marker>
      </c:pivotFmt>
      <c:pivotFmt>
        <c:idx val="1979"/>
        <c:marker>
          <c:symbol val="none"/>
        </c:marker>
      </c:pivotFmt>
      <c:pivotFmt>
        <c:idx val="1980"/>
        <c:marker>
          <c:symbol val="none"/>
        </c:marker>
      </c:pivotFmt>
      <c:pivotFmt>
        <c:idx val="1981"/>
        <c:marker>
          <c:symbol val="none"/>
        </c:marker>
      </c:pivotFmt>
      <c:pivotFmt>
        <c:idx val="1982"/>
        <c:marker>
          <c:symbol val="none"/>
        </c:marker>
      </c:pivotFmt>
      <c:pivotFmt>
        <c:idx val="1983"/>
        <c:marker>
          <c:symbol val="none"/>
        </c:marker>
      </c:pivotFmt>
      <c:pivotFmt>
        <c:idx val="1984"/>
        <c:marker>
          <c:symbol val="none"/>
        </c:marker>
      </c:pivotFmt>
      <c:pivotFmt>
        <c:idx val="1985"/>
        <c:marker>
          <c:symbol val="none"/>
        </c:marker>
      </c:pivotFmt>
      <c:pivotFmt>
        <c:idx val="1986"/>
        <c:marker>
          <c:symbol val="none"/>
        </c:marker>
      </c:pivotFmt>
      <c:pivotFmt>
        <c:idx val="1987"/>
        <c:marker>
          <c:symbol val="none"/>
        </c:marker>
      </c:pivotFmt>
      <c:pivotFmt>
        <c:idx val="1988"/>
        <c:marker>
          <c:symbol val="none"/>
        </c:marker>
      </c:pivotFmt>
      <c:pivotFmt>
        <c:idx val="1989"/>
        <c:marker>
          <c:symbol val="none"/>
        </c:marker>
      </c:pivotFmt>
      <c:pivotFmt>
        <c:idx val="1990"/>
        <c:marker>
          <c:symbol val="none"/>
        </c:marker>
      </c:pivotFmt>
      <c:pivotFmt>
        <c:idx val="1991"/>
        <c:marker>
          <c:symbol val="none"/>
        </c:marker>
      </c:pivotFmt>
      <c:pivotFmt>
        <c:idx val="1992"/>
        <c:marker>
          <c:symbol val="none"/>
        </c:marker>
      </c:pivotFmt>
      <c:pivotFmt>
        <c:idx val="1993"/>
        <c:marker>
          <c:symbol val="none"/>
        </c:marker>
      </c:pivotFmt>
      <c:pivotFmt>
        <c:idx val="1994"/>
        <c:marker>
          <c:symbol val="none"/>
        </c:marker>
      </c:pivotFmt>
      <c:pivotFmt>
        <c:idx val="1995"/>
        <c:marker>
          <c:symbol val="none"/>
        </c:marker>
      </c:pivotFmt>
      <c:pivotFmt>
        <c:idx val="1996"/>
        <c:marker>
          <c:symbol val="none"/>
        </c:marker>
      </c:pivotFmt>
      <c:pivotFmt>
        <c:idx val="1997"/>
        <c:marker>
          <c:symbol val="none"/>
        </c:marker>
      </c:pivotFmt>
      <c:pivotFmt>
        <c:idx val="1998"/>
        <c:marker>
          <c:symbol val="none"/>
        </c:marker>
      </c:pivotFmt>
      <c:pivotFmt>
        <c:idx val="1999"/>
        <c:marker>
          <c:symbol val="none"/>
        </c:marker>
      </c:pivotFmt>
      <c:pivotFmt>
        <c:idx val="2000"/>
        <c:marker>
          <c:symbol val="none"/>
        </c:marker>
      </c:pivotFmt>
      <c:pivotFmt>
        <c:idx val="2001"/>
        <c:marker>
          <c:symbol val="none"/>
        </c:marker>
      </c:pivotFmt>
      <c:pivotFmt>
        <c:idx val="2002"/>
        <c:marker>
          <c:symbol val="none"/>
        </c:marker>
      </c:pivotFmt>
      <c:pivotFmt>
        <c:idx val="2003"/>
        <c:marker>
          <c:symbol val="none"/>
        </c:marker>
      </c:pivotFmt>
      <c:pivotFmt>
        <c:idx val="2004"/>
        <c:marker>
          <c:symbol val="none"/>
        </c:marker>
      </c:pivotFmt>
      <c:pivotFmt>
        <c:idx val="2005"/>
        <c:marker>
          <c:symbol val="none"/>
        </c:marker>
      </c:pivotFmt>
      <c:pivotFmt>
        <c:idx val="2006"/>
        <c:marker>
          <c:symbol val="none"/>
        </c:marker>
      </c:pivotFmt>
      <c:pivotFmt>
        <c:idx val="2007"/>
        <c:marker>
          <c:symbol val="none"/>
        </c:marker>
      </c:pivotFmt>
      <c:pivotFmt>
        <c:idx val="2008"/>
        <c:marker>
          <c:symbol val="none"/>
        </c:marker>
      </c:pivotFmt>
      <c:pivotFmt>
        <c:idx val="2009"/>
        <c:marker>
          <c:symbol val="none"/>
        </c:marker>
      </c:pivotFmt>
      <c:pivotFmt>
        <c:idx val="2010"/>
        <c:marker>
          <c:symbol val="none"/>
        </c:marker>
      </c:pivotFmt>
      <c:pivotFmt>
        <c:idx val="2011"/>
        <c:marker>
          <c:symbol val="none"/>
        </c:marker>
      </c:pivotFmt>
      <c:pivotFmt>
        <c:idx val="2012"/>
        <c:marker>
          <c:symbol val="none"/>
        </c:marker>
      </c:pivotFmt>
      <c:pivotFmt>
        <c:idx val="2013"/>
        <c:marker>
          <c:symbol val="none"/>
        </c:marker>
      </c:pivotFmt>
      <c:pivotFmt>
        <c:idx val="2014"/>
        <c:marker>
          <c:symbol val="none"/>
        </c:marker>
      </c:pivotFmt>
      <c:pivotFmt>
        <c:idx val="2015"/>
        <c:marker>
          <c:symbol val="none"/>
        </c:marker>
      </c:pivotFmt>
      <c:pivotFmt>
        <c:idx val="2016"/>
        <c:marker>
          <c:symbol val="none"/>
        </c:marker>
      </c:pivotFmt>
      <c:pivotFmt>
        <c:idx val="2017"/>
        <c:marker>
          <c:symbol val="none"/>
        </c:marker>
      </c:pivotFmt>
      <c:pivotFmt>
        <c:idx val="2018"/>
        <c:marker>
          <c:symbol val="none"/>
        </c:marker>
      </c:pivotFmt>
      <c:pivotFmt>
        <c:idx val="2019"/>
        <c:marker>
          <c:symbol val="none"/>
        </c:marker>
      </c:pivotFmt>
      <c:pivotFmt>
        <c:idx val="2020"/>
        <c:marker>
          <c:symbol val="none"/>
        </c:marker>
      </c:pivotFmt>
      <c:pivotFmt>
        <c:idx val="2021"/>
        <c:marker>
          <c:symbol val="none"/>
        </c:marker>
      </c:pivotFmt>
      <c:pivotFmt>
        <c:idx val="2022"/>
        <c:marker>
          <c:symbol val="none"/>
        </c:marker>
      </c:pivotFmt>
      <c:pivotFmt>
        <c:idx val="2023"/>
        <c:marker>
          <c:symbol val="none"/>
        </c:marker>
      </c:pivotFmt>
      <c:pivotFmt>
        <c:idx val="2024"/>
        <c:marker>
          <c:symbol val="none"/>
        </c:marker>
      </c:pivotFmt>
      <c:pivotFmt>
        <c:idx val="2025"/>
        <c:marker>
          <c:symbol val="none"/>
        </c:marker>
      </c:pivotFmt>
      <c:pivotFmt>
        <c:idx val="2026"/>
        <c:marker>
          <c:symbol val="none"/>
        </c:marker>
      </c:pivotFmt>
      <c:pivotFmt>
        <c:idx val="2027"/>
        <c:marker>
          <c:symbol val="none"/>
        </c:marker>
      </c:pivotFmt>
      <c:pivotFmt>
        <c:idx val="2028"/>
        <c:marker>
          <c:symbol val="none"/>
        </c:marker>
      </c:pivotFmt>
      <c:pivotFmt>
        <c:idx val="2029"/>
        <c:marker>
          <c:symbol val="none"/>
        </c:marker>
      </c:pivotFmt>
      <c:pivotFmt>
        <c:idx val="2030"/>
        <c:marker>
          <c:symbol val="none"/>
        </c:marker>
      </c:pivotFmt>
      <c:pivotFmt>
        <c:idx val="2031"/>
        <c:marker>
          <c:symbol val="none"/>
        </c:marker>
      </c:pivotFmt>
      <c:pivotFmt>
        <c:idx val="2032"/>
        <c:marker>
          <c:symbol val="none"/>
        </c:marker>
      </c:pivotFmt>
      <c:pivotFmt>
        <c:idx val="2033"/>
        <c:marker>
          <c:symbol val="none"/>
        </c:marker>
      </c:pivotFmt>
      <c:pivotFmt>
        <c:idx val="2034"/>
        <c:marker>
          <c:symbol val="none"/>
        </c:marker>
      </c:pivotFmt>
      <c:pivotFmt>
        <c:idx val="2035"/>
        <c:marker>
          <c:symbol val="none"/>
        </c:marker>
      </c:pivotFmt>
      <c:pivotFmt>
        <c:idx val="2036"/>
        <c:marker>
          <c:symbol val="none"/>
        </c:marker>
      </c:pivotFmt>
      <c:pivotFmt>
        <c:idx val="2037"/>
        <c:marker>
          <c:symbol val="none"/>
        </c:marker>
      </c:pivotFmt>
      <c:pivotFmt>
        <c:idx val="2038"/>
        <c:marker>
          <c:symbol val="none"/>
        </c:marker>
      </c:pivotFmt>
      <c:pivotFmt>
        <c:idx val="2039"/>
        <c:marker>
          <c:symbol val="none"/>
        </c:marker>
      </c:pivotFmt>
      <c:pivotFmt>
        <c:idx val="2040"/>
        <c:marker>
          <c:symbol val="none"/>
        </c:marker>
      </c:pivotFmt>
      <c:pivotFmt>
        <c:idx val="2041"/>
        <c:marker>
          <c:symbol val="none"/>
        </c:marker>
      </c:pivotFmt>
      <c:pivotFmt>
        <c:idx val="2042"/>
        <c:marker>
          <c:symbol val="none"/>
        </c:marker>
      </c:pivotFmt>
      <c:pivotFmt>
        <c:idx val="2043"/>
        <c:marker>
          <c:symbol val="none"/>
        </c:marker>
      </c:pivotFmt>
      <c:pivotFmt>
        <c:idx val="2044"/>
        <c:marker>
          <c:symbol val="none"/>
        </c:marker>
      </c:pivotFmt>
      <c:pivotFmt>
        <c:idx val="2045"/>
        <c:marker>
          <c:symbol val="none"/>
        </c:marker>
      </c:pivotFmt>
      <c:pivotFmt>
        <c:idx val="2046"/>
        <c:marker>
          <c:symbol val="none"/>
        </c:marker>
      </c:pivotFmt>
      <c:pivotFmt>
        <c:idx val="2047"/>
        <c:marker>
          <c:symbol val="none"/>
        </c:marker>
      </c:pivotFmt>
      <c:pivotFmt>
        <c:idx val="2048"/>
        <c:marker>
          <c:symbol val="none"/>
        </c:marker>
      </c:pivotFmt>
      <c:pivotFmt>
        <c:idx val="2049"/>
        <c:marker>
          <c:symbol val="none"/>
        </c:marker>
      </c:pivotFmt>
      <c:pivotFmt>
        <c:idx val="2050"/>
        <c:marker>
          <c:symbol val="none"/>
        </c:marker>
        <c:dLbl>
          <c:idx val="0"/>
          <c:delete val="1"/>
        </c:dLbl>
      </c:pivotFmt>
      <c:pivotFmt>
        <c:idx val="2051"/>
        <c:marker>
          <c:symbol val="none"/>
        </c:marker>
      </c:pivotFmt>
      <c:pivotFmt>
        <c:idx val="2052"/>
        <c:marker>
          <c:symbol val="none"/>
        </c:marker>
        <c:dLbl>
          <c:idx val="0"/>
          <c:delete val="1"/>
        </c:dLbl>
      </c:pivotFmt>
      <c:pivotFmt>
        <c:idx val="2053"/>
        <c:marker>
          <c:symbol val="none"/>
        </c:marker>
        <c:dLbl>
          <c:idx val="0"/>
          <c:delete val="1"/>
        </c:dLbl>
      </c:pivotFmt>
      <c:pivotFmt>
        <c:idx val="2054"/>
        <c:marker>
          <c:symbol val="none"/>
        </c:marker>
        <c:dLbl>
          <c:idx val="0"/>
          <c:delete val="1"/>
        </c:dLbl>
      </c:pivotFmt>
      <c:pivotFmt>
        <c:idx val="2055"/>
        <c:marker>
          <c:symbol val="none"/>
        </c:marker>
        <c:dLbl>
          <c:idx val="0"/>
          <c:delete val="1"/>
        </c:dLbl>
      </c:pivotFmt>
      <c:pivotFmt>
        <c:idx val="2056"/>
        <c:marker>
          <c:symbol val="none"/>
        </c:marker>
        <c:dLbl>
          <c:idx val="0"/>
          <c:delete val="1"/>
        </c:dLbl>
      </c:pivotFmt>
      <c:pivotFmt>
        <c:idx val="2057"/>
        <c:marker>
          <c:symbol val="none"/>
        </c:marker>
        <c:dLbl>
          <c:idx val="0"/>
          <c:delete val="1"/>
        </c:dLbl>
      </c:pivotFmt>
      <c:pivotFmt>
        <c:idx val="2058"/>
        <c:marker>
          <c:symbol val="none"/>
        </c:marker>
      </c:pivotFmt>
      <c:pivotFmt>
        <c:idx val="2059"/>
        <c:marker>
          <c:symbol val="none"/>
        </c:marker>
      </c:pivotFmt>
      <c:pivotFmt>
        <c:idx val="2060"/>
        <c:marker>
          <c:symbol val="none"/>
        </c:marker>
      </c:pivotFmt>
      <c:pivotFmt>
        <c:idx val="2061"/>
        <c:marker>
          <c:symbol val="none"/>
        </c:marker>
      </c:pivotFmt>
      <c:pivotFmt>
        <c:idx val="2062"/>
        <c:marker>
          <c:symbol val="none"/>
        </c:marker>
      </c:pivotFmt>
      <c:pivotFmt>
        <c:idx val="2063"/>
        <c:marker>
          <c:symbol val="none"/>
        </c:marker>
      </c:pivotFmt>
      <c:pivotFmt>
        <c:idx val="2064"/>
        <c:marker>
          <c:symbol val="none"/>
        </c:marker>
      </c:pivotFmt>
      <c:pivotFmt>
        <c:idx val="2065"/>
        <c:marker>
          <c:symbol val="none"/>
        </c:marker>
      </c:pivotFmt>
      <c:pivotFmt>
        <c:idx val="2066"/>
        <c:marker>
          <c:symbol val="none"/>
        </c:marker>
      </c:pivotFmt>
      <c:pivotFmt>
        <c:idx val="2067"/>
        <c:marker>
          <c:symbol val="none"/>
        </c:marker>
      </c:pivotFmt>
      <c:pivotFmt>
        <c:idx val="2068"/>
        <c:marker>
          <c:symbol val="none"/>
        </c:marker>
      </c:pivotFmt>
      <c:pivotFmt>
        <c:idx val="2069"/>
        <c:marker>
          <c:symbol val="none"/>
        </c:marker>
      </c:pivotFmt>
      <c:pivotFmt>
        <c:idx val="2070"/>
        <c:marker>
          <c:symbol val="none"/>
        </c:marker>
      </c:pivotFmt>
      <c:pivotFmt>
        <c:idx val="2071"/>
        <c:marker>
          <c:symbol val="none"/>
        </c:marker>
      </c:pivotFmt>
      <c:pivotFmt>
        <c:idx val="2072"/>
        <c:marker>
          <c:symbol val="none"/>
        </c:marker>
      </c:pivotFmt>
      <c:pivotFmt>
        <c:idx val="2073"/>
        <c:marker>
          <c:symbol val="none"/>
        </c:marker>
      </c:pivotFmt>
      <c:pivotFmt>
        <c:idx val="2074"/>
        <c:marker>
          <c:symbol val="none"/>
        </c:marker>
      </c:pivotFmt>
      <c:pivotFmt>
        <c:idx val="2075"/>
        <c:marker>
          <c:symbol val="none"/>
        </c:marker>
      </c:pivotFmt>
      <c:pivotFmt>
        <c:idx val="2076"/>
        <c:marker>
          <c:symbol val="none"/>
        </c:marker>
      </c:pivotFmt>
      <c:pivotFmt>
        <c:idx val="2077"/>
        <c:marker>
          <c:symbol val="none"/>
        </c:marker>
      </c:pivotFmt>
      <c:pivotFmt>
        <c:idx val="2078"/>
        <c:marker>
          <c:symbol val="none"/>
        </c:marker>
      </c:pivotFmt>
      <c:pivotFmt>
        <c:idx val="2079"/>
        <c:marker>
          <c:symbol val="none"/>
        </c:marker>
      </c:pivotFmt>
      <c:pivotFmt>
        <c:idx val="2080"/>
        <c:marker>
          <c:symbol val="none"/>
        </c:marker>
      </c:pivotFmt>
      <c:pivotFmt>
        <c:idx val="2081"/>
        <c:marker>
          <c:symbol val="none"/>
        </c:marker>
      </c:pivotFmt>
      <c:pivotFmt>
        <c:idx val="2082"/>
        <c:marker>
          <c:symbol val="none"/>
        </c:marker>
      </c:pivotFmt>
      <c:pivotFmt>
        <c:idx val="2083"/>
        <c:marker>
          <c:symbol val="none"/>
        </c:marker>
      </c:pivotFmt>
      <c:pivotFmt>
        <c:idx val="2084"/>
        <c:marker>
          <c:symbol val="none"/>
        </c:marker>
      </c:pivotFmt>
      <c:pivotFmt>
        <c:idx val="2085"/>
        <c:marker>
          <c:symbol val="none"/>
        </c:marker>
      </c:pivotFmt>
      <c:pivotFmt>
        <c:idx val="2086"/>
        <c:marker>
          <c:symbol val="none"/>
        </c:marker>
      </c:pivotFmt>
      <c:pivotFmt>
        <c:idx val="2087"/>
        <c:marker>
          <c:symbol val="none"/>
        </c:marker>
      </c:pivotFmt>
    </c:pivotFmts>
    <c:plotArea>
      <c:layout/>
      <c:lineChart>
        <c:grouping val="standard"/>
        <c:varyColors val="0"/>
        <c:ser>
          <c:idx val="0"/>
          <c:order val="0"/>
          <c:tx>
            <c:strRef>
              <c:f>'Sheet1 (13)'!$B$3:$B$4</c:f>
              <c:strCache>
                <c:ptCount val="1"/>
                <c:pt idx="0">
                  <c:v>Exenatide+Metformin+Sulfonylurea</c:v>
                </c:pt>
              </c:strCache>
            </c:strRef>
          </c:tx>
          <c:marker>
            <c:symbol val="none"/>
          </c:marker>
          <c:cat>
            <c:strRef>
              <c:f>'Sheet1 (13)'!$A$5:$A$80</c:f>
              <c:strCache>
                <c:ptCount val="75"/>
                <c:pt idx="0">
                  <c:v>8/08/2012</c:v>
                </c:pt>
                <c:pt idx="1">
                  <c:v>15/08/2012</c:v>
                </c:pt>
                <c:pt idx="2">
                  <c:v>22/08/2012</c:v>
                </c:pt>
                <c:pt idx="3">
                  <c:v>29/08/2012</c:v>
                </c:pt>
                <c:pt idx="4">
                  <c:v>5/09/2012</c:v>
                </c:pt>
                <c:pt idx="5">
                  <c:v>12/09/2012</c:v>
                </c:pt>
                <c:pt idx="6">
                  <c:v>19/09/2012</c:v>
                </c:pt>
                <c:pt idx="7">
                  <c:v>26/09/2012</c:v>
                </c:pt>
                <c:pt idx="8">
                  <c:v>3/10/2012</c:v>
                </c:pt>
                <c:pt idx="9">
                  <c:v>10/10/2012</c:v>
                </c:pt>
                <c:pt idx="10">
                  <c:v>17/10/2012</c:v>
                </c:pt>
                <c:pt idx="11">
                  <c:v>24/10/2012</c:v>
                </c:pt>
                <c:pt idx="12">
                  <c:v>31/10/2012</c:v>
                </c:pt>
                <c:pt idx="13">
                  <c:v>7/11/2012</c:v>
                </c:pt>
                <c:pt idx="14">
                  <c:v>14/11/2012</c:v>
                </c:pt>
                <c:pt idx="15">
                  <c:v>21/11/2012</c:v>
                </c:pt>
                <c:pt idx="16">
                  <c:v>28/11/2012</c:v>
                </c:pt>
                <c:pt idx="17">
                  <c:v>5/12/2012</c:v>
                </c:pt>
                <c:pt idx="18">
                  <c:v>12/12/2012</c:v>
                </c:pt>
                <c:pt idx="19">
                  <c:v>19/12/2012</c:v>
                </c:pt>
                <c:pt idx="20">
                  <c:v>26/12/2012</c:v>
                </c:pt>
                <c:pt idx="21">
                  <c:v>2/01/2013</c:v>
                </c:pt>
                <c:pt idx="22">
                  <c:v>9/01/2013</c:v>
                </c:pt>
                <c:pt idx="23">
                  <c:v>16/01/2013</c:v>
                </c:pt>
                <c:pt idx="24">
                  <c:v>23/01/2013</c:v>
                </c:pt>
                <c:pt idx="25">
                  <c:v>30/01/2013</c:v>
                </c:pt>
                <c:pt idx="26">
                  <c:v>6/02/2013</c:v>
                </c:pt>
                <c:pt idx="27">
                  <c:v>13/02/2013</c:v>
                </c:pt>
                <c:pt idx="28">
                  <c:v>20/02/2013</c:v>
                </c:pt>
                <c:pt idx="29">
                  <c:v>27/02/2013</c:v>
                </c:pt>
                <c:pt idx="30">
                  <c:v>6/03/2013</c:v>
                </c:pt>
                <c:pt idx="31">
                  <c:v>13/03/2013</c:v>
                </c:pt>
                <c:pt idx="32">
                  <c:v>20/03/2013</c:v>
                </c:pt>
                <c:pt idx="33">
                  <c:v>27/03/2013</c:v>
                </c:pt>
                <c:pt idx="34">
                  <c:v>3/04/2013</c:v>
                </c:pt>
                <c:pt idx="35">
                  <c:v>10/04/2013</c:v>
                </c:pt>
                <c:pt idx="36">
                  <c:v>17/04/2013</c:v>
                </c:pt>
                <c:pt idx="37">
                  <c:v>24/04/2013</c:v>
                </c:pt>
                <c:pt idx="38">
                  <c:v>1/05/2013</c:v>
                </c:pt>
                <c:pt idx="39">
                  <c:v>8/05/2013</c:v>
                </c:pt>
                <c:pt idx="40">
                  <c:v>15/05/2013</c:v>
                </c:pt>
                <c:pt idx="41">
                  <c:v>22/05/2013</c:v>
                </c:pt>
                <c:pt idx="42">
                  <c:v>29/05/2013</c:v>
                </c:pt>
                <c:pt idx="43">
                  <c:v>5/06/2013</c:v>
                </c:pt>
                <c:pt idx="44">
                  <c:v>12/06/2013</c:v>
                </c:pt>
                <c:pt idx="45">
                  <c:v>19/06/2013</c:v>
                </c:pt>
                <c:pt idx="46">
                  <c:v>26/06/2013</c:v>
                </c:pt>
                <c:pt idx="47">
                  <c:v>3/07/2013</c:v>
                </c:pt>
                <c:pt idx="48">
                  <c:v>10/07/2013</c:v>
                </c:pt>
                <c:pt idx="49">
                  <c:v>17/07/2013</c:v>
                </c:pt>
                <c:pt idx="50">
                  <c:v>24/07/2013</c:v>
                </c:pt>
                <c:pt idx="51">
                  <c:v>31/07/2013</c:v>
                </c:pt>
                <c:pt idx="52">
                  <c:v>7/08/2013</c:v>
                </c:pt>
                <c:pt idx="53">
                  <c:v>14/08/2013</c:v>
                </c:pt>
                <c:pt idx="54">
                  <c:v>21/08/2013</c:v>
                </c:pt>
                <c:pt idx="55">
                  <c:v>28/08/2013</c:v>
                </c:pt>
                <c:pt idx="56">
                  <c:v>4/09/2013</c:v>
                </c:pt>
                <c:pt idx="57">
                  <c:v>11/09/2013</c:v>
                </c:pt>
                <c:pt idx="58">
                  <c:v>18/09/2013</c:v>
                </c:pt>
                <c:pt idx="59">
                  <c:v>25/09/2013</c:v>
                </c:pt>
                <c:pt idx="60">
                  <c:v>2/10/2013</c:v>
                </c:pt>
                <c:pt idx="61">
                  <c:v>9/10/2013</c:v>
                </c:pt>
                <c:pt idx="62">
                  <c:v>16/10/2013</c:v>
                </c:pt>
                <c:pt idx="63">
                  <c:v>23/10/2013</c:v>
                </c:pt>
                <c:pt idx="64">
                  <c:v>30/10/2013</c:v>
                </c:pt>
                <c:pt idx="65">
                  <c:v>6/11/2013</c:v>
                </c:pt>
                <c:pt idx="66">
                  <c:v>13/11/2013</c:v>
                </c:pt>
                <c:pt idx="67">
                  <c:v>20/11/2013</c:v>
                </c:pt>
                <c:pt idx="68">
                  <c:v>27/11/2013</c:v>
                </c:pt>
                <c:pt idx="69">
                  <c:v>4/12/2013</c:v>
                </c:pt>
                <c:pt idx="70">
                  <c:v>11/12/2013</c:v>
                </c:pt>
                <c:pt idx="71">
                  <c:v>18/12/2013</c:v>
                </c:pt>
                <c:pt idx="72">
                  <c:v>25/12/2013</c:v>
                </c:pt>
                <c:pt idx="73">
                  <c:v>1/01/2014</c:v>
                </c:pt>
                <c:pt idx="74">
                  <c:v>8/01/2014</c:v>
                </c:pt>
              </c:strCache>
            </c:strRef>
          </c:cat>
          <c:val>
            <c:numRef>
              <c:f>'Sheet1 (13)'!$B$5:$B$80</c:f>
              <c:numCache>
                <c:formatCode>General</c:formatCode>
                <c:ptCount val="75"/>
                <c:pt idx="0">
                  <c:v>3612</c:v>
                </c:pt>
                <c:pt idx="1">
                  <c:v>3656</c:v>
                </c:pt>
                <c:pt idx="2">
                  <c:v>3707</c:v>
                </c:pt>
                <c:pt idx="3">
                  <c:v>3762</c:v>
                </c:pt>
                <c:pt idx="4">
                  <c:v>3807</c:v>
                </c:pt>
                <c:pt idx="5">
                  <c:v>3853</c:v>
                </c:pt>
                <c:pt idx="6">
                  <c:v>3894</c:v>
                </c:pt>
                <c:pt idx="7">
                  <c:v>3943</c:v>
                </c:pt>
                <c:pt idx="8">
                  <c:v>3991</c:v>
                </c:pt>
                <c:pt idx="9">
                  <c:v>4032</c:v>
                </c:pt>
                <c:pt idx="10">
                  <c:v>4051</c:v>
                </c:pt>
                <c:pt idx="11">
                  <c:v>4091</c:v>
                </c:pt>
                <c:pt idx="12">
                  <c:v>4136</c:v>
                </c:pt>
                <c:pt idx="13">
                  <c:v>4208</c:v>
                </c:pt>
                <c:pt idx="14">
                  <c:v>4244</c:v>
                </c:pt>
                <c:pt idx="15">
                  <c:v>4294</c:v>
                </c:pt>
                <c:pt idx="16">
                  <c:v>4376</c:v>
                </c:pt>
                <c:pt idx="17">
                  <c:v>4438</c:v>
                </c:pt>
                <c:pt idx="18">
                  <c:v>4517</c:v>
                </c:pt>
                <c:pt idx="19">
                  <c:v>4557</c:v>
                </c:pt>
                <c:pt idx="20">
                  <c:v>4551</c:v>
                </c:pt>
                <c:pt idx="21">
                  <c:v>4544</c:v>
                </c:pt>
                <c:pt idx="22">
                  <c:v>4523</c:v>
                </c:pt>
                <c:pt idx="23">
                  <c:v>4491</c:v>
                </c:pt>
                <c:pt idx="24">
                  <c:v>4422</c:v>
                </c:pt>
                <c:pt idx="25">
                  <c:v>4346</c:v>
                </c:pt>
                <c:pt idx="26">
                  <c:v>4323</c:v>
                </c:pt>
                <c:pt idx="27">
                  <c:v>4302</c:v>
                </c:pt>
                <c:pt idx="28">
                  <c:v>4284</c:v>
                </c:pt>
                <c:pt idx="29">
                  <c:v>4278</c:v>
                </c:pt>
                <c:pt idx="30">
                  <c:v>4292</c:v>
                </c:pt>
                <c:pt idx="31">
                  <c:v>4313</c:v>
                </c:pt>
                <c:pt idx="32">
                  <c:v>4348</c:v>
                </c:pt>
                <c:pt idx="33">
                  <c:v>4353</c:v>
                </c:pt>
                <c:pt idx="34">
                  <c:v>4392</c:v>
                </c:pt>
                <c:pt idx="35">
                  <c:v>4413</c:v>
                </c:pt>
                <c:pt idx="36">
                  <c:v>4439</c:v>
                </c:pt>
                <c:pt idx="37">
                  <c:v>4449</c:v>
                </c:pt>
                <c:pt idx="38">
                  <c:v>4455</c:v>
                </c:pt>
                <c:pt idx="39">
                  <c:v>4501</c:v>
                </c:pt>
                <c:pt idx="40">
                  <c:v>4564</c:v>
                </c:pt>
                <c:pt idx="41">
                  <c:v>4597</c:v>
                </c:pt>
                <c:pt idx="42">
                  <c:v>4659</c:v>
                </c:pt>
                <c:pt idx="43">
                  <c:v>4683</c:v>
                </c:pt>
                <c:pt idx="44">
                  <c:v>4742</c:v>
                </c:pt>
                <c:pt idx="45">
                  <c:v>4784</c:v>
                </c:pt>
                <c:pt idx="46">
                  <c:v>4848</c:v>
                </c:pt>
                <c:pt idx="47">
                  <c:v>4888</c:v>
                </c:pt>
                <c:pt idx="48">
                  <c:v>4943</c:v>
                </c:pt>
                <c:pt idx="49">
                  <c:v>4971</c:v>
                </c:pt>
                <c:pt idx="50">
                  <c:v>4998</c:v>
                </c:pt>
                <c:pt idx="51">
                  <c:v>5041</c:v>
                </c:pt>
                <c:pt idx="52">
                  <c:v>5108</c:v>
                </c:pt>
                <c:pt idx="53">
                  <c:v>5153</c:v>
                </c:pt>
                <c:pt idx="54">
                  <c:v>5197</c:v>
                </c:pt>
                <c:pt idx="55">
                  <c:v>5260</c:v>
                </c:pt>
                <c:pt idx="56">
                  <c:v>5324</c:v>
                </c:pt>
                <c:pt idx="57">
                  <c:v>5353</c:v>
                </c:pt>
                <c:pt idx="58">
                  <c:v>5372</c:v>
                </c:pt>
                <c:pt idx="59">
                  <c:v>5387</c:v>
                </c:pt>
                <c:pt idx="60">
                  <c:v>5430</c:v>
                </c:pt>
                <c:pt idx="61">
                  <c:v>5439</c:v>
                </c:pt>
                <c:pt idx="62">
                  <c:v>5464</c:v>
                </c:pt>
                <c:pt idx="63">
                  <c:v>5509</c:v>
                </c:pt>
                <c:pt idx="64">
                  <c:v>5574</c:v>
                </c:pt>
                <c:pt idx="65">
                  <c:v>5641</c:v>
                </c:pt>
                <c:pt idx="66">
                  <c:v>5701</c:v>
                </c:pt>
                <c:pt idx="67">
                  <c:v>5746</c:v>
                </c:pt>
                <c:pt idx="68">
                  <c:v>5782</c:v>
                </c:pt>
                <c:pt idx="69">
                  <c:v>5810</c:v>
                </c:pt>
                <c:pt idx="70">
                  <c:v>5874</c:v>
                </c:pt>
                <c:pt idx="71">
                  <c:v>5904</c:v>
                </c:pt>
                <c:pt idx="72">
                  <c:v>5891</c:v>
                </c:pt>
                <c:pt idx="73">
                  <c:v>5859</c:v>
                </c:pt>
                <c:pt idx="74">
                  <c:v>5832</c:v>
                </c:pt>
              </c:numCache>
            </c:numRef>
          </c:val>
          <c:smooth val="0"/>
        </c:ser>
        <c:ser>
          <c:idx val="1"/>
          <c:order val="1"/>
          <c:tx>
            <c:strRef>
              <c:f>'Sheet1 (13)'!$C$3:$C$4</c:f>
              <c:strCache>
                <c:ptCount val="1"/>
                <c:pt idx="0">
                  <c:v>Exenatide+Metformin</c:v>
                </c:pt>
              </c:strCache>
            </c:strRef>
          </c:tx>
          <c:marker>
            <c:symbol val="none"/>
          </c:marker>
          <c:cat>
            <c:strRef>
              <c:f>'Sheet1 (13)'!$A$5:$A$80</c:f>
              <c:strCache>
                <c:ptCount val="75"/>
                <c:pt idx="0">
                  <c:v>8/08/2012</c:v>
                </c:pt>
                <c:pt idx="1">
                  <c:v>15/08/2012</c:v>
                </c:pt>
                <c:pt idx="2">
                  <c:v>22/08/2012</c:v>
                </c:pt>
                <c:pt idx="3">
                  <c:v>29/08/2012</c:v>
                </c:pt>
                <c:pt idx="4">
                  <c:v>5/09/2012</c:v>
                </c:pt>
                <c:pt idx="5">
                  <c:v>12/09/2012</c:v>
                </c:pt>
                <c:pt idx="6">
                  <c:v>19/09/2012</c:v>
                </c:pt>
                <c:pt idx="7">
                  <c:v>26/09/2012</c:v>
                </c:pt>
                <c:pt idx="8">
                  <c:v>3/10/2012</c:v>
                </c:pt>
                <c:pt idx="9">
                  <c:v>10/10/2012</c:v>
                </c:pt>
                <c:pt idx="10">
                  <c:v>17/10/2012</c:v>
                </c:pt>
                <c:pt idx="11">
                  <c:v>24/10/2012</c:v>
                </c:pt>
                <c:pt idx="12">
                  <c:v>31/10/2012</c:v>
                </c:pt>
                <c:pt idx="13">
                  <c:v>7/11/2012</c:v>
                </c:pt>
                <c:pt idx="14">
                  <c:v>14/11/2012</c:v>
                </c:pt>
                <c:pt idx="15">
                  <c:v>21/11/2012</c:v>
                </c:pt>
                <c:pt idx="16">
                  <c:v>28/11/2012</c:v>
                </c:pt>
                <c:pt idx="17">
                  <c:v>5/12/2012</c:v>
                </c:pt>
                <c:pt idx="18">
                  <c:v>12/12/2012</c:v>
                </c:pt>
                <c:pt idx="19">
                  <c:v>19/12/2012</c:v>
                </c:pt>
                <c:pt idx="20">
                  <c:v>26/12/2012</c:v>
                </c:pt>
                <c:pt idx="21">
                  <c:v>2/01/2013</c:v>
                </c:pt>
                <c:pt idx="22">
                  <c:v>9/01/2013</c:v>
                </c:pt>
                <c:pt idx="23">
                  <c:v>16/01/2013</c:v>
                </c:pt>
                <c:pt idx="24">
                  <c:v>23/01/2013</c:v>
                </c:pt>
                <c:pt idx="25">
                  <c:v>30/01/2013</c:v>
                </c:pt>
                <c:pt idx="26">
                  <c:v>6/02/2013</c:v>
                </c:pt>
                <c:pt idx="27">
                  <c:v>13/02/2013</c:v>
                </c:pt>
                <c:pt idx="28">
                  <c:v>20/02/2013</c:v>
                </c:pt>
                <c:pt idx="29">
                  <c:v>27/02/2013</c:v>
                </c:pt>
                <c:pt idx="30">
                  <c:v>6/03/2013</c:v>
                </c:pt>
                <c:pt idx="31">
                  <c:v>13/03/2013</c:v>
                </c:pt>
                <c:pt idx="32">
                  <c:v>20/03/2013</c:v>
                </c:pt>
                <c:pt idx="33">
                  <c:v>27/03/2013</c:v>
                </c:pt>
                <c:pt idx="34">
                  <c:v>3/04/2013</c:v>
                </c:pt>
                <c:pt idx="35">
                  <c:v>10/04/2013</c:v>
                </c:pt>
                <c:pt idx="36">
                  <c:v>17/04/2013</c:v>
                </c:pt>
                <c:pt idx="37">
                  <c:v>24/04/2013</c:v>
                </c:pt>
                <c:pt idx="38">
                  <c:v>1/05/2013</c:v>
                </c:pt>
                <c:pt idx="39">
                  <c:v>8/05/2013</c:v>
                </c:pt>
                <c:pt idx="40">
                  <c:v>15/05/2013</c:v>
                </c:pt>
                <c:pt idx="41">
                  <c:v>22/05/2013</c:v>
                </c:pt>
                <c:pt idx="42">
                  <c:v>29/05/2013</c:v>
                </c:pt>
                <c:pt idx="43">
                  <c:v>5/06/2013</c:v>
                </c:pt>
                <c:pt idx="44">
                  <c:v>12/06/2013</c:v>
                </c:pt>
                <c:pt idx="45">
                  <c:v>19/06/2013</c:v>
                </c:pt>
                <c:pt idx="46">
                  <c:v>26/06/2013</c:v>
                </c:pt>
                <c:pt idx="47">
                  <c:v>3/07/2013</c:v>
                </c:pt>
                <c:pt idx="48">
                  <c:v>10/07/2013</c:v>
                </c:pt>
                <c:pt idx="49">
                  <c:v>17/07/2013</c:v>
                </c:pt>
                <c:pt idx="50">
                  <c:v>24/07/2013</c:v>
                </c:pt>
                <c:pt idx="51">
                  <c:v>31/07/2013</c:v>
                </c:pt>
                <c:pt idx="52">
                  <c:v>7/08/2013</c:v>
                </c:pt>
                <c:pt idx="53">
                  <c:v>14/08/2013</c:v>
                </c:pt>
                <c:pt idx="54">
                  <c:v>21/08/2013</c:v>
                </c:pt>
                <c:pt idx="55">
                  <c:v>28/08/2013</c:v>
                </c:pt>
                <c:pt idx="56">
                  <c:v>4/09/2013</c:v>
                </c:pt>
                <c:pt idx="57">
                  <c:v>11/09/2013</c:v>
                </c:pt>
                <c:pt idx="58">
                  <c:v>18/09/2013</c:v>
                </c:pt>
                <c:pt idx="59">
                  <c:v>25/09/2013</c:v>
                </c:pt>
                <c:pt idx="60">
                  <c:v>2/10/2013</c:v>
                </c:pt>
                <c:pt idx="61">
                  <c:v>9/10/2013</c:v>
                </c:pt>
                <c:pt idx="62">
                  <c:v>16/10/2013</c:v>
                </c:pt>
                <c:pt idx="63">
                  <c:v>23/10/2013</c:v>
                </c:pt>
                <c:pt idx="64">
                  <c:v>30/10/2013</c:v>
                </c:pt>
                <c:pt idx="65">
                  <c:v>6/11/2013</c:v>
                </c:pt>
                <c:pt idx="66">
                  <c:v>13/11/2013</c:v>
                </c:pt>
                <c:pt idx="67">
                  <c:v>20/11/2013</c:v>
                </c:pt>
                <c:pt idx="68">
                  <c:v>27/11/2013</c:v>
                </c:pt>
                <c:pt idx="69">
                  <c:v>4/12/2013</c:v>
                </c:pt>
                <c:pt idx="70">
                  <c:v>11/12/2013</c:v>
                </c:pt>
                <c:pt idx="71">
                  <c:v>18/12/2013</c:v>
                </c:pt>
                <c:pt idx="72">
                  <c:v>25/12/2013</c:v>
                </c:pt>
                <c:pt idx="73">
                  <c:v>1/01/2014</c:v>
                </c:pt>
                <c:pt idx="74">
                  <c:v>8/01/2014</c:v>
                </c:pt>
              </c:strCache>
            </c:strRef>
          </c:cat>
          <c:val>
            <c:numRef>
              <c:f>'Sheet1 (13)'!$C$5:$C$80</c:f>
              <c:numCache>
                <c:formatCode>General</c:formatCode>
                <c:ptCount val="75"/>
                <c:pt idx="0">
                  <c:v>2647</c:v>
                </c:pt>
                <c:pt idx="1">
                  <c:v>2678</c:v>
                </c:pt>
                <c:pt idx="2">
                  <c:v>2704</c:v>
                </c:pt>
                <c:pt idx="3">
                  <c:v>2712</c:v>
                </c:pt>
                <c:pt idx="4">
                  <c:v>2718</c:v>
                </c:pt>
                <c:pt idx="5">
                  <c:v>2718</c:v>
                </c:pt>
                <c:pt idx="6">
                  <c:v>2759</c:v>
                </c:pt>
                <c:pt idx="7">
                  <c:v>2767</c:v>
                </c:pt>
                <c:pt idx="8">
                  <c:v>2785</c:v>
                </c:pt>
                <c:pt idx="9">
                  <c:v>2792</c:v>
                </c:pt>
                <c:pt idx="10">
                  <c:v>2809</c:v>
                </c:pt>
                <c:pt idx="11">
                  <c:v>2832</c:v>
                </c:pt>
                <c:pt idx="12">
                  <c:v>2864</c:v>
                </c:pt>
                <c:pt idx="13">
                  <c:v>2880</c:v>
                </c:pt>
                <c:pt idx="14">
                  <c:v>2886</c:v>
                </c:pt>
                <c:pt idx="15">
                  <c:v>2902</c:v>
                </c:pt>
                <c:pt idx="16">
                  <c:v>2884</c:v>
                </c:pt>
                <c:pt idx="17">
                  <c:v>2916</c:v>
                </c:pt>
                <c:pt idx="18">
                  <c:v>2910</c:v>
                </c:pt>
                <c:pt idx="19">
                  <c:v>2900</c:v>
                </c:pt>
                <c:pt idx="20">
                  <c:v>2915</c:v>
                </c:pt>
                <c:pt idx="21">
                  <c:v>2924</c:v>
                </c:pt>
                <c:pt idx="22">
                  <c:v>2950</c:v>
                </c:pt>
                <c:pt idx="23">
                  <c:v>2989</c:v>
                </c:pt>
                <c:pt idx="24">
                  <c:v>3022</c:v>
                </c:pt>
                <c:pt idx="25">
                  <c:v>3068</c:v>
                </c:pt>
                <c:pt idx="26">
                  <c:v>3083</c:v>
                </c:pt>
                <c:pt idx="27">
                  <c:v>3103</c:v>
                </c:pt>
                <c:pt idx="28">
                  <c:v>3112</c:v>
                </c:pt>
                <c:pt idx="29">
                  <c:v>3165</c:v>
                </c:pt>
                <c:pt idx="30">
                  <c:v>3165</c:v>
                </c:pt>
                <c:pt idx="31">
                  <c:v>3189</c:v>
                </c:pt>
                <c:pt idx="32">
                  <c:v>3227</c:v>
                </c:pt>
                <c:pt idx="33">
                  <c:v>3233</c:v>
                </c:pt>
                <c:pt idx="34">
                  <c:v>3252</c:v>
                </c:pt>
                <c:pt idx="35">
                  <c:v>3265</c:v>
                </c:pt>
                <c:pt idx="36">
                  <c:v>3289</c:v>
                </c:pt>
                <c:pt idx="37">
                  <c:v>3317</c:v>
                </c:pt>
                <c:pt idx="38">
                  <c:v>3359</c:v>
                </c:pt>
                <c:pt idx="39">
                  <c:v>3381</c:v>
                </c:pt>
                <c:pt idx="40">
                  <c:v>3400</c:v>
                </c:pt>
                <c:pt idx="41">
                  <c:v>3432</c:v>
                </c:pt>
                <c:pt idx="42">
                  <c:v>3451</c:v>
                </c:pt>
                <c:pt idx="43">
                  <c:v>3470</c:v>
                </c:pt>
                <c:pt idx="44">
                  <c:v>3506</c:v>
                </c:pt>
                <c:pt idx="45">
                  <c:v>3517</c:v>
                </c:pt>
                <c:pt idx="46">
                  <c:v>3530</c:v>
                </c:pt>
                <c:pt idx="47">
                  <c:v>3535</c:v>
                </c:pt>
                <c:pt idx="48">
                  <c:v>3551</c:v>
                </c:pt>
                <c:pt idx="49">
                  <c:v>3590</c:v>
                </c:pt>
                <c:pt idx="50">
                  <c:v>3609</c:v>
                </c:pt>
                <c:pt idx="51">
                  <c:v>3647</c:v>
                </c:pt>
                <c:pt idx="52">
                  <c:v>3651</c:v>
                </c:pt>
                <c:pt idx="53">
                  <c:v>3654</c:v>
                </c:pt>
                <c:pt idx="54">
                  <c:v>3673</c:v>
                </c:pt>
                <c:pt idx="55">
                  <c:v>3685</c:v>
                </c:pt>
                <c:pt idx="56">
                  <c:v>3697</c:v>
                </c:pt>
                <c:pt idx="57">
                  <c:v>3728</c:v>
                </c:pt>
                <c:pt idx="58">
                  <c:v>3781</c:v>
                </c:pt>
                <c:pt idx="59">
                  <c:v>3823</c:v>
                </c:pt>
                <c:pt idx="60">
                  <c:v>3848</c:v>
                </c:pt>
                <c:pt idx="61">
                  <c:v>3894</c:v>
                </c:pt>
                <c:pt idx="62">
                  <c:v>3949</c:v>
                </c:pt>
                <c:pt idx="63">
                  <c:v>3960</c:v>
                </c:pt>
                <c:pt idx="64">
                  <c:v>4001</c:v>
                </c:pt>
                <c:pt idx="65">
                  <c:v>4019</c:v>
                </c:pt>
                <c:pt idx="66">
                  <c:v>4045</c:v>
                </c:pt>
                <c:pt idx="67">
                  <c:v>4062</c:v>
                </c:pt>
                <c:pt idx="68">
                  <c:v>4066</c:v>
                </c:pt>
                <c:pt idx="69">
                  <c:v>4074</c:v>
                </c:pt>
                <c:pt idx="70">
                  <c:v>4116</c:v>
                </c:pt>
                <c:pt idx="71">
                  <c:v>4137</c:v>
                </c:pt>
                <c:pt idx="72">
                  <c:v>4113</c:v>
                </c:pt>
                <c:pt idx="73">
                  <c:v>4113</c:v>
                </c:pt>
                <c:pt idx="74">
                  <c:v>4169</c:v>
                </c:pt>
              </c:numCache>
            </c:numRef>
          </c:val>
          <c:smooth val="0"/>
        </c:ser>
        <c:ser>
          <c:idx val="2"/>
          <c:order val="2"/>
          <c:tx>
            <c:strRef>
              <c:f>'Sheet1 (13)'!$D$3:$D$4</c:f>
              <c:strCache>
                <c:ptCount val="1"/>
                <c:pt idx="0">
                  <c:v>Exenatide+Insulin+Metformin</c:v>
                </c:pt>
              </c:strCache>
            </c:strRef>
          </c:tx>
          <c:marker>
            <c:symbol val="none"/>
          </c:marker>
          <c:cat>
            <c:strRef>
              <c:f>'Sheet1 (13)'!$A$5:$A$80</c:f>
              <c:strCache>
                <c:ptCount val="75"/>
                <c:pt idx="0">
                  <c:v>8/08/2012</c:v>
                </c:pt>
                <c:pt idx="1">
                  <c:v>15/08/2012</c:v>
                </c:pt>
                <c:pt idx="2">
                  <c:v>22/08/2012</c:v>
                </c:pt>
                <c:pt idx="3">
                  <c:v>29/08/2012</c:v>
                </c:pt>
                <c:pt idx="4">
                  <c:v>5/09/2012</c:v>
                </c:pt>
                <c:pt idx="5">
                  <c:v>12/09/2012</c:v>
                </c:pt>
                <c:pt idx="6">
                  <c:v>19/09/2012</c:v>
                </c:pt>
                <c:pt idx="7">
                  <c:v>26/09/2012</c:v>
                </c:pt>
                <c:pt idx="8">
                  <c:v>3/10/2012</c:v>
                </c:pt>
                <c:pt idx="9">
                  <c:v>10/10/2012</c:v>
                </c:pt>
                <c:pt idx="10">
                  <c:v>17/10/2012</c:v>
                </c:pt>
                <c:pt idx="11">
                  <c:v>24/10/2012</c:v>
                </c:pt>
                <c:pt idx="12">
                  <c:v>31/10/2012</c:v>
                </c:pt>
                <c:pt idx="13">
                  <c:v>7/11/2012</c:v>
                </c:pt>
                <c:pt idx="14">
                  <c:v>14/11/2012</c:v>
                </c:pt>
                <c:pt idx="15">
                  <c:v>21/11/2012</c:v>
                </c:pt>
                <c:pt idx="16">
                  <c:v>28/11/2012</c:v>
                </c:pt>
                <c:pt idx="17">
                  <c:v>5/12/2012</c:v>
                </c:pt>
                <c:pt idx="18">
                  <c:v>12/12/2012</c:v>
                </c:pt>
                <c:pt idx="19">
                  <c:v>19/12/2012</c:v>
                </c:pt>
                <c:pt idx="20">
                  <c:v>26/12/2012</c:v>
                </c:pt>
                <c:pt idx="21">
                  <c:v>2/01/2013</c:v>
                </c:pt>
                <c:pt idx="22">
                  <c:v>9/01/2013</c:v>
                </c:pt>
                <c:pt idx="23">
                  <c:v>16/01/2013</c:v>
                </c:pt>
                <c:pt idx="24">
                  <c:v>23/01/2013</c:v>
                </c:pt>
                <c:pt idx="25">
                  <c:v>30/01/2013</c:v>
                </c:pt>
                <c:pt idx="26">
                  <c:v>6/02/2013</c:v>
                </c:pt>
                <c:pt idx="27">
                  <c:v>13/02/2013</c:v>
                </c:pt>
                <c:pt idx="28">
                  <c:v>20/02/2013</c:v>
                </c:pt>
                <c:pt idx="29">
                  <c:v>27/02/2013</c:v>
                </c:pt>
                <c:pt idx="30">
                  <c:v>6/03/2013</c:v>
                </c:pt>
                <c:pt idx="31">
                  <c:v>13/03/2013</c:v>
                </c:pt>
                <c:pt idx="32">
                  <c:v>20/03/2013</c:v>
                </c:pt>
                <c:pt idx="33">
                  <c:v>27/03/2013</c:v>
                </c:pt>
                <c:pt idx="34">
                  <c:v>3/04/2013</c:v>
                </c:pt>
                <c:pt idx="35">
                  <c:v>10/04/2013</c:v>
                </c:pt>
                <c:pt idx="36">
                  <c:v>17/04/2013</c:v>
                </c:pt>
                <c:pt idx="37">
                  <c:v>24/04/2013</c:v>
                </c:pt>
                <c:pt idx="38">
                  <c:v>1/05/2013</c:v>
                </c:pt>
                <c:pt idx="39">
                  <c:v>8/05/2013</c:v>
                </c:pt>
                <c:pt idx="40">
                  <c:v>15/05/2013</c:v>
                </c:pt>
                <c:pt idx="41">
                  <c:v>22/05/2013</c:v>
                </c:pt>
                <c:pt idx="42">
                  <c:v>29/05/2013</c:v>
                </c:pt>
                <c:pt idx="43">
                  <c:v>5/06/2013</c:v>
                </c:pt>
                <c:pt idx="44">
                  <c:v>12/06/2013</c:v>
                </c:pt>
                <c:pt idx="45">
                  <c:v>19/06/2013</c:v>
                </c:pt>
                <c:pt idx="46">
                  <c:v>26/06/2013</c:v>
                </c:pt>
                <c:pt idx="47">
                  <c:v>3/07/2013</c:v>
                </c:pt>
                <c:pt idx="48">
                  <c:v>10/07/2013</c:v>
                </c:pt>
                <c:pt idx="49">
                  <c:v>17/07/2013</c:v>
                </c:pt>
                <c:pt idx="50">
                  <c:v>24/07/2013</c:v>
                </c:pt>
                <c:pt idx="51">
                  <c:v>31/07/2013</c:v>
                </c:pt>
                <c:pt idx="52">
                  <c:v>7/08/2013</c:v>
                </c:pt>
                <c:pt idx="53">
                  <c:v>14/08/2013</c:v>
                </c:pt>
                <c:pt idx="54">
                  <c:v>21/08/2013</c:v>
                </c:pt>
                <c:pt idx="55">
                  <c:v>28/08/2013</c:v>
                </c:pt>
                <c:pt idx="56">
                  <c:v>4/09/2013</c:v>
                </c:pt>
                <c:pt idx="57">
                  <c:v>11/09/2013</c:v>
                </c:pt>
                <c:pt idx="58">
                  <c:v>18/09/2013</c:v>
                </c:pt>
                <c:pt idx="59">
                  <c:v>25/09/2013</c:v>
                </c:pt>
                <c:pt idx="60">
                  <c:v>2/10/2013</c:v>
                </c:pt>
                <c:pt idx="61">
                  <c:v>9/10/2013</c:v>
                </c:pt>
                <c:pt idx="62">
                  <c:v>16/10/2013</c:v>
                </c:pt>
                <c:pt idx="63">
                  <c:v>23/10/2013</c:v>
                </c:pt>
                <c:pt idx="64">
                  <c:v>30/10/2013</c:v>
                </c:pt>
                <c:pt idx="65">
                  <c:v>6/11/2013</c:v>
                </c:pt>
                <c:pt idx="66">
                  <c:v>13/11/2013</c:v>
                </c:pt>
                <c:pt idx="67">
                  <c:v>20/11/2013</c:v>
                </c:pt>
                <c:pt idx="68">
                  <c:v>27/11/2013</c:v>
                </c:pt>
                <c:pt idx="69">
                  <c:v>4/12/2013</c:v>
                </c:pt>
                <c:pt idx="70">
                  <c:v>11/12/2013</c:v>
                </c:pt>
                <c:pt idx="71">
                  <c:v>18/12/2013</c:v>
                </c:pt>
                <c:pt idx="72">
                  <c:v>25/12/2013</c:v>
                </c:pt>
                <c:pt idx="73">
                  <c:v>1/01/2014</c:v>
                </c:pt>
                <c:pt idx="74">
                  <c:v>8/01/2014</c:v>
                </c:pt>
              </c:strCache>
            </c:strRef>
          </c:cat>
          <c:val>
            <c:numRef>
              <c:f>'Sheet1 (13)'!$D$5:$D$80</c:f>
              <c:numCache>
                <c:formatCode>General</c:formatCode>
                <c:ptCount val="75"/>
                <c:pt idx="0">
                  <c:v>567</c:v>
                </c:pt>
                <c:pt idx="1">
                  <c:v>579</c:v>
                </c:pt>
                <c:pt idx="2">
                  <c:v>592</c:v>
                </c:pt>
                <c:pt idx="3">
                  <c:v>604</c:v>
                </c:pt>
                <c:pt idx="4">
                  <c:v>614</c:v>
                </c:pt>
                <c:pt idx="5">
                  <c:v>617</c:v>
                </c:pt>
                <c:pt idx="6">
                  <c:v>617</c:v>
                </c:pt>
                <c:pt idx="7">
                  <c:v>613</c:v>
                </c:pt>
                <c:pt idx="8">
                  <c:v>629</c:v>
                </c:pt>
                <c:pt idx="9">
                  <c:v>645</c:v>
                </c:pt>
                <c:pt idx="10">
                  <c:v>659</c:v>
                </c:pt>
                <c:pt idx="11">
                  <c:v>685</c:v>
                </c:pt>
                <c:pt idx="12">
                  <c:v>698</c:v>
                </c:pt>
                <c:pt idx="13">
                  <c:v>720</c:v>
                </c:pt>
                <c:pt idx="14">
                  <c:v>720</c:v>
                </c:pt>
                <c:pt idx="15">
                  <c:v>742</c:v>
                </c:pt>
                <c:pt idx="16">
                  <c:v>749</c:v>
                </c:pt>
                <c:pt idx="17">
                  <c:v>779</c:v>
                </c:pt>
                <c:pt idx="18">
                  <c:v>806</c:v>
                </c:pt>
                <c:pt idx="19">
                  <c:v>809</c:v>
                </c:pt>
                <c:pt idx="20">
                  <c:v>812</c:v>
                </c:pt>
                <c:pt idx="21">
                  <c:v>807</c:v>
                </c:pt>
                <c:pt idx="22">
                  <c:v>801</c:v>
                </c:pt>
                <c:pt idx="23">
                  <c:v>796</c:v>
                </c:pt>
                <c:pt idx="24">
                  <c:v>793</c:v>
                </c:pt>
                <c:pt idx="25">
                  <c:v>797</c:v>
                </c:pt>
                <c:pt idx="26">
                  <c:v>792</c:v>
                </c:pt>
                <c:pt idx="27">
                  <c:v>800</c:v>
                </c:pt>
                <c:pt idx="28">
                  <c:v>796</c:v>
                </c:pt>
                <c:pt idx="29">
                  <c:v>787</c:v>
                </c:pt>
                <c:pt idx="30">
                  <c:v>791</c:v>
                </c:pt>
                <c:pt idx="31">
                  <c:v>802</c:v>
                </c:pt>
                <c:pt idx="32">
                  <c:v>795</c:v>
                </c:pt>
                <c:pt idx="33">
                  <c:v>781</c:v>
                </c:pt>
                <c:pt idx="34">
                  <c:v>794</c:v>
                </c:pt>
                <c:pt idx="35">
                  <c:v>814</c:v>
                </c:pt>
                <c:pt idx="36">
                  <c:v>815</c:v>
                </c:pt>
                <c:pt idx="37">
                  <c:v>823</c:v>
                </c:pt>
                <c:pt idx="38">
                  <c:v>822</c:v>
                </c:pt>
                <c:pt idx="39">
                  <c:v>834</c:v>
                </c:pt>
                <c:pt idx="40">
                  <c:v>830</c:v>
                </c:pt>
                <c:pt idx="41">
                  <c:v>854</c:v>
                </c:pt>
                <c:pt idx="42">
                  <c:v>853</c:v>
                </c:pt>
                <c:pt idx="43">
                  <c:v>868</c:v>
                </c:pt>
                <c:pt idx="44">
                  <c:v>886</c:v>
                </c:pt>
                <c:pt idx="45">
                  <c:v>898</c:v>
                </c:pt>
                <c:pt idx="46">
                  <c:v>895</c:v>
                </c:pt>
                <c:pt idx="47">
                  <c:v>903</c:v>
                </c:pt>
                <c:pt idx="48">
                  <c:v>904</c:v>
                </c:pt>
                <c:pt idx="49">
                  <c:v>895</c:v>
                </c:pt>
                <c:pt idx="50">
                  <c:v>911</c:v>
                </c:pt>
                <c:pt idx="51">
                  <c:v>924</c:v>
                </c:pt>
                <c:pt idx="52">
                  <c:v>934</c:v>
                </c:pt>
                <c:pt idx="53">
                  <c:v>948</c:v>
                </c:pt>
                <c:pt idx="54">
                  <c:v>977</c:v>
                </c:pt>
                <c:pt idx="55">
                  <c:v>985</c:v>
                </c:pt>
                <c:pt idx="56">
                  <c:v>1013</c:v>
                </c:pt>
                <c:pt idx="57">
                  <c:v>1047</c:v>
                </c:pt>
                <c:pt idx="58">
                  <c:v>1069</c:v>
                </c:pt>
                <c:pt idx="59">
                  <c:v>1093</c:v>
                </c:pt>
                <c:pt idx="60">
                  <c:v>1103</c:v>
                </c:pt>
                <c:pt idx="61">
                  <c:v>1125</c:v>
                </c:pt>
                <c:pt idx="62">
                  <c:v>1133</c:v>
                </c:pt>
                <c:pt idx="63">
                  <c:v>1143</c:v>
                </c:pt>
                <c:pt idx="64">
                  <c:v>1149</c:v>
                </c:pt>
                <c:pt idx="65">
                  <c:v>1151</c:v>
                </c:pt>
                <c:pt idx="66">
                  <c:v>1165</c:v>
                </c:pt>
                <c:pt idx="67">
                  <c:v>1197</c:v>
                </c:pt>
                <c:pt idx="68">
                  <c:v>1224</c:v>
                </c:pt>
                <c:pt idx="69">
                  <c:v>1233</c:v>
                </c:pt>
                <c:pt idx="70">
                  <c:v>1258</c:v>
                </c:pt>
                <c:pt idx="71">
                  <c:v>1264</c:v>
                </c:pt>
                <c:pt idx="72">
                  <c:v>1260</c:v>
                </c:pt>
                <c:pt idx="73">
                  <c:v>1242</c:v>
                </c:pt>
                <c:pt idx="74">
                  <c:v>1235</c:v>
                </c:pt>
              </c:numCache>
            </c:numRef>
          </c:val>
          <c:smooth val="0"/>
        </c:ser>
        <c:ser>
          <c:idx val="3"/>
          <c:order val="3"/>
          <c:tx>
            <c:strRef>
              <c:f>'Sheet1 (13)'!$E$3:$E$4</c:f>
              <c:strCache>
                <c:ptCount val="1"/>
                <c:pt idx="0">
                  <c:v>Exenatide</c:v>
                </c:pt>
              </c:strCache>
            </c:strRef>
          </c:tx>
          <c:marker>
            <c:symbol val="none"/>
          </c:marker>
          <c:cat>
            <c:strRef>
              <c:f>'Sheet1 (13)'!$A$5:$A$80</c:f>
              <c:strCache>
                <c:ptCount val="75"/>
                <c:pt idx="0">
                  <c:v>8/08/2012</c:v>
                </c:pt>
                <c:pt idx="1">
                  <c:v>15/08/2012</c:v>
                </c:pt>
                <c:pt idx="2">
                  <c:v>22/08/2012</c:v>
                </c:pt>
                <c:pt idx="3">
                  <c:v>29/08/2012</c:v>
                </c:pt>
                <c:pt idx="4">
                  <c:v>5/09/2012</c:v>
                </c:pt>
                <c:pt idx="5">
                  <c:v>12/09/2012</c:v>
                </c:pt>
                <c:pt idx="6">
                  <c:v>19/09/2012</c:v>
                </c:pt>
                <c:pt idx="7">
                  <c:v>26/09/2012</c:v>
                </c:pt>
                <c:pt idx="8">
                  <c:v>3/10/2012</c:v>
                </c:pt>
                <c:pt idx="9">
                  <c:v>10/10/2012</c:v>
                </c:pt>
                <c:pt idx="10">
                  <c:v>17/10/2012</c:v>
                </c:pt>
                <c:pt idx="11">
                  <c:v>24/10/2012</c:v>
                </c:pt>
                <c:pt idx="12">
                  <c:v>31/10/2012</c:v>
                </c:pt>
                <c:pt idx="13">
                  <c:v>7/11/2012</c:v>
                </c:pt>
                <c:pt idx="14">
                  <c:v>14/11/2012</c:v>
                </c:pt>
                <c:pt idx="15">
                  <c:v>21/11/2012</c:v>
                </c:pt>
                <c:pt idx="16">
                  <c:v>28/11/2012</c:v>
                </c:pt>
                <c:pt idx="17">
                  <c:v>5/12/2012</c:v>
                </c:pt>
                <c:pt idx="18">
                  <c:v>12/12/2012</c:v>
                </c:pt>
                <c:pt idx="19">
                  <c:v>19/12/2012</c:v>
                </c:pt>
                <c:pt idx="20">
                  <c:v>26/12/2012</c:v>
                </c:pt>
                <c:pt idx="21">
                  <c:v>2/01/2013</c:v>
                </c:pt>
                <c:pt idx="22">
                  <c:v>9/01/2013</c:v>
                </c:pt>
                <c:pt idx="23">
                  <c:v>16/01/2013</c:v>
                </c:pt>
                <c:pt idx="24">
                  <c:v>23/01/2013</c:v>
                </c:pt>
                <c:pt idx="25">
                  <c:v>30/01/2013</c:v>
                </c:pt>
                <c:pt idx="26">
                  <c:v>6/02/2013</c:v>
                </c:pt>
                <c:pt idx="27">
                  <c:v>13/02/2013</c:v>
                </c:pt>
                <c:pt idx="28">
                  <c:v>20/02/2013</c:v>
                </c:pt>
                <c:pt idx="29">
                  <c:v>27/02/2013</c:v>
                </c:pt>
                <c:pt idx="30">
                  <c:v>6/03/2013</c:v>
                </c:pt>
                <c:pt idx="31">
                  <c:v>13/03/2013</c:v>
                </c:pt>
                <c:pt idx="32">
                  <c:v>20/03/2013</c:v>
                </c:pt>
                <c:pt idx="33">
                  <c:v>27/03/2013</c:v>
                </c:pt>
                <c:pt idx="34">
                  <c:v>3/04/2013</c:v>
                </c:pt>
                <c:pt idx="35">
                  <c:v>10/04/2013</c:v>
                </c:pt>
                <c:pt idx="36">
                  <c:v>17/04/2013</c:v>
                </c:pt>
                <c:pt idx="37">
                  <c:v>24/04/2013</c:v>
                </c:pt>
                <c:pt idx="38">
                  <c:v>1/05/2013</c:v>
                </c:pt>
                <c:pt idx="39">
                  <c:v>8/05/2013</c:v>
                </c:pt>
                <c:pt idx="40">
                  <c:v>15/05/2013</c:v>
                </c:pt>
                <c:pt idx="41">
                  <c:v>22/05/2013</c:v>
                </c:pt>
                <c:pt idx="42">
                  <c:v>29/05/2013</c:v>
                </c:pt>
                <c:pt idx="43">
                  <c:v>5/06/2013</c:v>
                </c:pt>
                <c:pt idx="44">
                  <c:v>12/06/2013</c:v>
                </c:pt>
                <c:pt idx="45">
                  <c:v>19/06/2013</c:v>
                </c:pt>
                <c:pt idx="46">
                  <c:v>26/06/2013</c:v>
                </c:pt>
                <c:pt idx="47">
                  <c:v>3/07/2013</c:v>
                </c:pt>
                <c:pt idx="48">
                  <c:v>10/07/2013</c:v>
                </c:pt>
                <c:pt idx="49">
                  <c:v>17/07/2013</c:v>
                </c:pt>
                <c:pt idx="50">
                  <c:v>24/07/2013</c:v>
                </c:pt>
                <c:pt idx="51">
                  <c:v>31/07/2013</c:v>
                </c:pt>
                <c:pt idx="52">
                  <c:v>7/08/2013</c:v>
                </c:pt>
                <c:pt idx="53">
                  <c:v>14/08/2013</c:v>
                </c:pt>
                <c:pt idx="54">
                  <c:v>21/08/2013</c:v>
                </c:pt>
                <c:pt idx="55">
                  <c:v>28/08/2013</c:v>
                </c:pt>
                <c:pt idx="56">
                  <c:v>4/09/2013</c:v>
                </c:pt>
                <c:pt idx="57">
                  <c:v>11/09/2013</c:v>
                </c:pt>
                <c:pt idx="58">
                  <c:v>18/09/2013</c:v>
                </c:pt>
                <c:pt idx="59">
                  <c:v>25/09/2013</c:v>
                </c:pt>
                <c:pt idx="60">
                  <c:v>2/10/2013</c:v>
                </c:pt>
                <c:pt idx="61">
                  <c:v>9/10/2013</c:v>
                </c:pt>
                <c:pt idx="62">
                  <c:v>16/10/2013</c:v>
                </c:pt>
                <c:pt idx="63">
                  <c:v>23/10/2013</c:v>
                </c:pt>
                <c:pt idx="64">
                  <c:v>30/10/2013</c:v>
                </c:pt>
                <c:pt idx="65">
                  <c:v>6/11/2013</c:v>
                </c:pt>
                <c:pt idx="66">
                  <c:v>13/11/2013</c:v>
                </c:pt>
                <c:pt idx="67">
                  <c:v>20/11/2013</c:v>
                </c:pt>
                <c:pt idx="68">
                  <c:v>27/11/2013</c:v>
                </c:pt>
                <c:pt idx="69">
                  <c:v>4/12/2013</c:v>
                </c:pt>
                <c:pt idx="70">
                  <c:v>11/12/2013</c:v>
                </c:pt>
                <c:pt idx="71">
                  <c:v>18/12/2013</c:v>
                </c:pt>
                <c:pt idx="72">
                  <c:v>25/12/2013</c:v>
                </c:pt>
                <c:pt idx="73">
                  <c:v>1/01/2014</c:v>
                </c:pt>
                <c:pt idx="74">
                  <c:v>8/01/2014</c:v>
                </c:pt>
              </c:strCache>
            </c:strRef>
          </c:cat>
          <c:val>
            <c:numRef>
              <c:f>'Sheet1 (13)'!$E$5:$E$80</c:f>
              <c:numCache>
                <c:formatCode>General</c:formatCode>
                <c:ptCount val="75"/>
                <c:pt idx="0">
                  <c:v>679</c:v>
                </c:pt>
                <c:pt idx="1">
                  <c:v>678</c:v>
                </c:pt>
                <c:pt idx="2">
                  <c:v>666</c:v>
                </c:pt>
                <c:pt idx="3">
                  <c:v>656</c:v>
                </c:pt>
                <c:pt idx="4">
                  <c:v>686</c:v>
                </c:pt>
                <c:pt idx="5">
                  <c:v>698</c:v>
                </c:pt>
                <c:pt idx="6">
                  <c:v>708</c:v>
                </c:pt>
                <c:pt idx="7">
                  <c:v>721</c:v>
                </c:pt>
                <c:pt idx="8">
                  <c:v>720</c:v>
                </c:pt>
                <c:pt idx="9">
                  <c:v>708</c:v>
                </c:pt>
                <c:pt idx="10">
                  <c:v>706</c:v>
                </c:pt>
                <c:pt idx="11">
                  <c:v>700</c:v>
                </c:pt>
                <c:pt idx="12">
                  <c:v>678</c:v>
                </c:pt>
                <c:pt idx="13">
                  <c:v>676</c:v>
                </c:pt>
                <c:pt idx="14">
                  <c:v>692</c:v>
                </c:pt>
                <c:pt idx="15">
                  <c:v>689</c:v>
                </c:pt>
                <c:pt idx="16">
                  <c:v>685</c:v>
                </c:pt>
                <c:pt idx="17">
                  <c:v>675</c:v>
                </c:pt>
                <c:pt idx="18">
                  <c:v>668</c:v>
                </c:pt>
                <c:pt idx="19">
                  <c:v>676</c:v>
                </c:pt>
                <c:pt idx="20">
                  <c:v>677</c:v>
                </c:pt>
                <c:pt idx="21">
                  <c:v>697</c:v>
                </c:pt>
                <c:pt idx="22">
                  <c:v>720</c:v>
                </c:pt>
                <c:pt idx="23">
                  <c:v>734</c:v>
                </c:pt>
                <c:pt idx="24">
                  <c:v>780</c:v>
                </c:pt>
                <c:pt idx="25">
                  <c:v>821</c:v>
                </c:pt>
                <c:pt idx="26">
                  <c:v>851</c:v>
                </c:pt>
                <c:pt idx="27">
                  <c:v>873</c:v>
                </c:pt>
                <c:pt idx="28">
                  <c:v>914</c:v>
                </c:pt>
                <c:pt idx="29">
                  <c:v>914</c:v>
                </c:pt>
                <c:pt idx="30">
                  <c:v>931</c:v>
                </c:pt>
                <c:pt idx="31">
                  <c:v>948</c:v>
                </c:pt>
                <c:pt idx="32">
                  <c:v>941</c:v>
                </c:pt>
                <c:pt idx="33">
                  <c:v>926</c:v>
                </c:pt>
                <c:pt idx="34">
                  <c:v>933</c:v>
                </c:pt>
                <c:pt idx="35">
                  <c:v>924</c:v>
                </c:pt>
                <c:pt idx="36">
                  <c:v>921</c:v>
                </c:pt>
                <c:pt idx="37">
                  <c:v>921</c:v>
                </c:pt>
                <c:pt idx="38">
                  <c:v>929</c:v>
                </c:pt>
                <c:pt idx="39">
                  <c:v>928</c:v>
                </c:pt>
                <c:pt idx="40">
                  <c:v>920</c:v>
                </c:pt>
                <c:pt idx="41">
                  <c:v>923</c:v>
                </c:pt>
                <c:pt idx="42">
                  <c:v>915</c:v>
                </c:pt>
                <c:pt idx="43">
                  <c:v>917</c:v>
                </c:pt>
                <c:pt idx="44">
                  <c:v>903</c:v>
                </c:pt>
                <c:pt idx="45">
                  <c:v>892</c:v>
                </c:pt>
                <c:pt idx="46">
                  <c:v>890</c:v>
                </c:pt>
                <c:pt idx="47">
                  <c:v>883</c:v>
                </c:pt>
                <c:pt idx="48">
                  <c:v>877</c:v>
                </c:pt>
                <c:pt idx="49">
                  <c:v>872</c:v>
                </c:pt>
                <c:pt idx="50">
                  <c:v>872</c:v>
                </c:pt>
                <c:pt idx="51">
                  <c:v>885</c:v>
                </c:pt>
                <c:pt idx="52">
                  <c:v>877</c:v>
                </c:pt>
                <c:pt idx="53">
                  <c:v>877</c:v>
                </c:pt>
                <c:pt idx="54">
                  <c:v>900</c:v>
                </c:pt>
                <c:pt idx="55">
                  <c:v>893</c:v>
                </c:pt>
                <c:pt idx="56">
                  <c:v>887</c:v>
                </c:pt>
                <c:pt idx="57">
                  <c:v>884</c:v>
                </c:pt>
                <c:pt idx="58">
                  <c:v>893</c:v>
                </c:pt>
                <c:pt idx="59">
                  <c:v>877</c:v>
                </c:pt>
                <c:pt idx="60">
                  <c:v>907</c:v>
                </c:pt>
                <c:pt idx="61">
                  <c:v>881</c:v>
                </c:pt>
                <c:pt idx="62">
                  <c:v>883</c:v>
                </c:pt>
                <c:pt idx="63">
                  <c:v>882</c:v>
                </c:pt>
                <c:pt idx="64">
                  <c:v>868</c:v>
                </c:pt>
                <c:pt idx="65">
                  <c:v>850</c:v>
                </c:pt>
                <c:pt idx="66">
                  <c:v>843</c:v>
                </c:pt>
                <c:pt idx="67">
                  <c:v>848</c:v>
                </c:pt>
                <c:pt idx="68">
                  <c:v>860</c:v>
                </c:pt>
                <c:pt idx="69">
                  <c:v>862</c:v>
                </c:pt>
                <c:pt idx="70">
                  <c:v>842</c:v>
                </c:pt>
                <c:pt idx="71">
                  <c:v>846</c:v>
                </c:pt>
                <c:pt idx="72">
                  <c:v>857</c:v>
                </c:pt>
                <c:pt idx="73">
                  <c:v>876</c:v>
                </c:pt>
                <c:pt idx="74">
                  <c:v>886</c:v>
                </c:pt>
              </c:numCache>
            </c:numRef>
          </c:val>
          <c:smooth val="0"/>
        </c:ser>
        <c:ser>
          <c:idx val="4"/>
          <c:order val="4"/>
          <c:tx>
            <c:strRef>
              <c:f>'Sheet1 (13)'!$F$3:$F$4</c:f>
              <c:strCache>
                <c:ptCount val="1"/>
                <c:pt idx="0">
                  <c:v>Exenatide+Sulfonylurea</c:v>
                </c:pt>
              </c:strCache>
            </c:strRef>
          </c:tx>
          <c:marker>
            <c:symbol val="none"/>
          </c:marker>
          <c:cat>
            <c:strRef>
              <c:f>'Sheet1 (13)'!$A$5:$A$80</c:f>
              <c:strCache>
                <c:ptCount val="75"/>
                <c:pt idx="0">
                  <c:v>8/08/2012</c:v>
                </c:pt>
                <c:pt idx="1">
                  <c:v>15/08/2012</c:v>
                </c:pt>
                <c:pt idx="2">
                  <c:v>22/08/2012</c:v>
                </c:pt>
                <c:pt idx="3">
                  <c:v>29/08/2012</c:v>
                </c:pt>
                <c:pt idx="4">
                  <c:v>5/09/2012</c:v>
                </c:pt>
                <c:pt idx="5">
                  <c:v>12/09/2012</c:v>
                </c:pt>
                <c:pt idx="6">
                  <c:v>19/09/2012</c:v>
                </c:pt>
                <c:pt idx="7">
                  <c:v>26/09/2012</c:v>
                </c:pt>
                <c:pt idx="8">
                  <c:v>3/10/2012</c:v>
                </c:pt>
                <c:pt idx="9">
                  <c:v>10/10/2012</c:v>
                </c:pt>
                <c:pt idx="10">
                  <c:v>17/10/2012</c:v>
                </c:pt>
                <c:pt idx="11">
                  <c:v>24/10/2012</c:v>
                </c:pt>
                <c:pt idx="12">
                  <c:v>31/10/2012</c:v>
                </c:pt>
                <c:pt idx="13">
                  <c:v>7/11/2012</c:v>
                </c:pt>
                <c:pt idx="14">
                  <c:v>14/11/2012</c:v>
                </c:pt>
                <c:pt idx="15">
                  <c:v>21/11/2012</c:v>
                </c:pt>
                <c:pt idx="16">
                  <c:v>28/11/2012</c:v>
                </c:pt>
                <c:pt idx="17">
                  <c:v>5/12/2012</c:v>
                </c:pt>
                <c:pt idx="18">
                  <c:v>12/12/2012</c:v>
                </c:pt>
                <c:pt idx="19">
                  <c:v>19/12/2012</c:v>
                </c:pt>
                <c:pt idx="20">
                  <c:v>26/12/2012</c:v>
                </c:pt>
                <c:pt idx="21">
                  <c:v>2/01/2013</c:v>
                </c:pt>
                <c:pt idx="22">
                  <c:v>9/01/2013</c:v>
                </c:pt>
                <c:pt idx="23">
                  <c:v>16/01/2013</c:v>
                </c:pt>
                <c:pt idx="24">
                  <c:v>23/01/2013</c:v>
                </c:pt>
                <c:pt idx="25">
                  <c:v>30/01/2013</c:v>
                </c:pt>
                <c:pt idx="26">
                  <c:v>6/02/2013</c:v>
                </c:pt>
                <c:pt idx="27">
                  <c:v>13/02/2013</c:v>
                </c:pt>
                <c:pt idx="28">
                  <c:v>20/02/2013</c:v>
                </c:pt>
                <c:pt idx="29">
                  <c:v>27/02/2013</c:v>
                </c:pt>
                <c:pt idx="30">
                  <c:v>6/03/2013</c:v>
                </c:pt>
                <c:pt idx="31">
                  <c:v>13/03/2013</c:v>
                </c:pt>
                <c:pt idx="32">
                  <c:v>20/03/2013</c:v>
                </c:pt>
                <c:pt idx="33">
                  <c:v>27/03/2013</c:v>
                </c:pt>
                <c:pt idx="34">
                  <c:v>3/04/2013</c:v>
                </c:pt>
                <c:pt idx="35">
                  <c:v>10/04/2013</c:v>
                </c:pt>
                <c:pt idx="36">
                  <c:v>17/04/2013</c:v>
                </c:pt>
                <c:pt idx="37">
                  <c:v>24/04/2013</c:v>
                </c:pt>
                <c:pt idx="38">
                  <c:v>1/05/2013</c:v>
                </c:pt>
                <c:pt idx="39">
                  <c:v>8/05/2013</c:v>
                </c:pt>
                <c:pt idx="40">
                  <c:v>15/05/2013</c:v>
                </c:pt>
                <c:pt idx="41">
                  <c:v>22/05/2013</c:v>
                </c:pt>
                <c:pt idx="42">
                  <c:v>29/05/2013</c:v>
                </c:pt>
                <c:pt idx="43">
                  <c:v>5/06/2013</c:v>
                </c:pt>
                <c:pt idx="44">
                  <c:v>12/06/2013</c:v>
                </c:pt>
                <c:pt idx="45">
                  <c:v>19/06/2013</c:v>
                </c:pt>
                <c:pt idx="46">
                  <c:v>26/06/2013</c:v>
                </c:pt>
                <c:pt idx="47">
                  <c:v>3/07/2013</c:v>
                </c:pt>
                <c:pt idx="48">
                  <c:v>10/07/2013</c:v>
                </c:pt>
                <c:pt idx="49">
                  <c:v>17/07/2013</c:v>
                </c:pt>
                <c:pt idx="50">
                  <c:v>24/07/2013</c:v>
                </c:pt>
                <c:pt idx="51">
                  <c:v>31/07/2013</c:v>
                </c:pt>
                <c:pt idx="52">
                  <c:v>7/08/2013</c:v>
                </c:pt>
                <c:pt idx="53">
                  <c:v>14/08/2013</c:v>
                </c:pt>
                <c:pt idx="54">
                  <c:v>21/08/2013</c:v>
                </c:pt>
                <c:pt idx="55">
                  <c:v>28/08/2013</c:v>
                </c:pt>
                <c:pt idx="56">
                  <c:v>4/09/2013</c:v>
                </c:pt>
                <c:pt idx="57">
                  <c:v>11/09/2013</c:v>
                </c:pt>
                <c:pt idx="58">
                  <c:v>18/09/2013</c:v>
                </c:pt>
                <c:pt idx="59">
                  <c:v>25/09/2013</c:v>
                </c:pt>
                <c:pt idx="60">
                  <c:v>2/10/2013</c:v>
                </c:pt>
                <c:pt idx="61">
                  <c:v>9/10/2013</c:v>
                </c:pt>
                <c:pt idx="62">
                  <c:v>16/10/2013</c:v>
                </c:pt>
                <c:pt idx="63">
                  <c:v>23/10/2013</c:v>
                </c:pt>
                <c:pt idx="64">
                  <c:v>30/10/2013</c:v>
                </c:pt>
                <c:pt idx="65">
                  <c:v>6/11/2013</c:v>
                </c:pt>
                <c:pt idx="66">
                  <c:v>13/11/2013</c:v>
                </c:pt>
                <c:pt idx="67">
                  <c:v>20/11/2013</c:v>
                </c:pt>
                <c:pt idx="68">
                  <c:v>27/11/2013</c:v>
                </c:pt>
                <c:pt idx="69">
                  <c:v>4/12/2013</c:v>
                </c:pt>
                <c:pt idx="70">
                  <c:v>11/12/2013</c:v>
                </c:pt>
                <c:pt idx="71">
                  <c:v>18/12/2013</c:v>
                </c:pt>
                <c:pt idx="72">
                  <c:v>25/12/2013</c:v>
                </c:pt>
                <c:pt idx="73">
                  <c:v>1/01/2014</c:v>
                </c:pt>
                <c:pt idx="74">
                  <c:v>8/01/2014</c:v>
                </c:pt>
              </c:strCache>
            </c:strRef>
          </c:cat>
          <c:val>
            <c:numRef>
              <c:f>'Sheet1 (13)'!$F$5:$F$80</c:f>
              <c:numCache>
                <c:formatCode>General</c:formatCode>
                <c:ptCount val="75"/>
                <c:pt idx="0">
                  <c:v>570</c:v>
                </c:pt>
                <c:pt idx="1">
                  <c:v>566</c:v>
                </c:pt>
                <c:pt idx="2">
                  <c:v>576</c:v>
                </c:pt>
                <c:pt idx="3">
                  <c:v>576</c:v>
                </c:pt>
                <c:pt idx="4">
                  <c:v>584</c:v>
                </c:pt>
                <c:pt idx="5">
                  <c:v>586</c:v>
                </c:pt>
                <c:pt idx="6">
                  <c:v>576</c:v>
                </c:pt>
                <c:pt idx="7">
                  <c:v>572</c:v>
                </c:pt>
                <c:pt idx="8">
                  <c:v>569</c:v>
                </c:pt>
                <c:pt idx="9">
                  <c:v>581</c:v>
                </c:pt>
                <c:pt idx="10">
                  <c:v>595</c:v>
                </c:pt>
                <c:pt idx="11">
                  <c:v>597</c:v>
                </c:pt>
                <c:pt idx="12">
                  <c:v>604</c:v>
                </c:pt>
                <c:pt idx="13">
                  <c:v>587</c:v>
                </c:pt>
                <c:pt idx="14">
                  <c:v>579</c:v>
                </c:pt>
                <c:pt idx="15">
                  <c:v>587</c:v>
                </c:pt>
                <c:pt idx="16">
                  <c:v>597</c:v>
                </c:pt>
                <c:pt idx="17">
                  <c:v>598</c:v>
                </c:pt>
                <c:pt idx="18">
                  <c:v>605</c:v>
                </c:pt>
                <c:pt idx="19">
                  <c:v>594</c:v>
                </c:pt>
                <c:pt idx="20">
                  <c:v>588</c:v>
                </c:pt>
                <c:pt idx="21">
                  <c:v>604</c:v>
                </c:pt>
                <c:pt idx="22">
                  <c:v>613</c:v>
                </c:pt>
                <c:pt idx="23">
                  <c:v>615</c:v>
                </c:pt>
                <c:pt idx="24">
                  <c:v>615</c:v>
                </c:pt>
                <c:pt idx="25">
                  <c:v>642</c:v>
                </c:pt>
                <c:pt idx="26">
                  <c:v>653</c:v>
                </c:pt>
                <c:pt idx="27">
                  <c:v>664</c:v>
                </c:pt>
                <c:pt idx="28">
                  <c:v>689</c:v>
                </c:pt>
                <c:pt idx="29">
                  <c:v>701</c:v>
                </c:pt>
                <c:pt idx="30">
                  <c:v>710</c:v>
                </c:pt>
                <c:pt idx="31">
                  <c:v>732</c:v>
                </c:pt>
                <c:pt idx="32">
                  <c:v>755</c:v>
                </c:pt>
                <c:pt idx="33">
                  <c:v>766</c:v>
                </c:pt>
                <c:pt idx="34">
                  <c:v>768</c:v>
                </c:pt>
                <c:pt idx="35">
                  <c:v>774</c:v>
                </c:pt>
                <c:pt idx="36">
                  <c:v>789</c:v>
                </c:pt>
                <c:pt idx="37">
                  <c:v>784</c:v>
                </c:pt>
                <c:pt idx="38">
                  <c:v>787</c:v>
                </c:pt>
                <c:pt idx="39">
                  <c:v>776</c:v>
                </c:pt>
                <c:pt idx="40">
                  <c:v>774</c:v>
                </c:pt>
                <c:pt idx="41">
                  <c:v>760</c:v>
                </c:pt>
                <c:pt idx="42">
                  <c:v>755</c:v>
                </c:pt>
                <c:pt idx="43">
                  <c:v>745</c:v>
                </c:pt>
                <c:pt idx="44">
                  <c:v>760</c:v>
                </c:pt>
                <c:pt idx="45">
                  <c:v>764</c:v>
                </c:pt>
                <c:pt idx="46">
                  <c:v>754</c:v>
                </c:pt>
                <c:pt idx="47">
                  <c:v>757</c:v>
                </c:pt>
                <c:pt idx="48">
                  <c:v>762</c:v>
                </c:pt>
                <c:pt idx="49">
                  <c:v>760</c:v>
                </c:pt>
                <c:pt idx="50">
                  <c:v>758</c:v>
                </c:pt>
                <c:pt idx="51">
                  <c:v>769</c:v>
                </c:pt>
                <c:pt idx="52">
                  <c:v>765</c:v>
                </c:pt>
                <c:pt idx="53">
                  <c:v>775</c:v>
                </c:pt>
                <c:pt idx="54">
                  <c:v>771</c:v>
                </c:pt>
                <c:pt idx="55">
                  <c:v>769</c:v>
                </c:pt>
                <c:pt idx="56">
                  <c:v>777</c:v>
                </c:pt>
                <c:pt idx="57">
                  <c:v>778</c:v>
                </c:pt>
                <c:pt idx="58">
                  <c:v>786</c:v>
                </c:pt>
                <c:pt idx="59">
                  <c:v>803</c:v>
                </c:pt>
                <c:pt idx="60">
                  <c:v>788</c:v>
                </c:pt>
                <c:pt idx="61">
                  <c:v>776</c:v>
                </c:pt>
                <c:pt idx="62">
                  <c:v>769</c:v>
                </c:pt>
                <c:pt idx="63">
                  <c:v>790</c:v>
                </c:pt>
                <c:pt idx="64">
                  <c:v>792</c:v>
                </c:pt>
                <c:pt idx="65">
                  <c:v>781</c:v>
                </c:pt>
                <c:pt idx="66">
                  <c:v>788</c:v>
                </c:pt>
                <c:pt idx="67">
                  <c:v>781</c:v>
                </c:pt>
                <c:pt idx="68">
                  <c:v>796</c:v>
                </c:pt>
                <c:pt idx="69">
                  <c:v>784</c:v>
                </c:pt>
                <c:pt idx="70">
                  <c:v>794</c:v>
                </c:pt>
                <c:pt idx="71">
                  <c:v>810</c:v>
                </c:pt>
                <c:pt idx="72">
                  <c:v>806</c:v>
                </c:pt>
                <c:pt idx="73">
                  <c:v>811</c:v>
                </c:pt>
                <c:pt idx="74">
                  <c:v>818</c:v>
                </c:pt>
              </c:numCache>
            </c:numRef>
          </c:val>
          <c:smooth val="0"/>
        </c:ser>
        <c:ser>
          <c:idx val="5"/>
          <c:order val="5"/>
          <c:tx>
            <c:strRef>
              <c:f>'Sheet1 (13)'!$G$3:$G$4</c:f>
              <c:strCache>
                <c:ptCount val="1"/>
                <c:pt idx="0">
                  <c:v>Exenatide+Insulin+Metformin+Sulfonylurea</c:v>
                </c:pt>
              </c:strCache>
            </c:strRef>
          </c:tx>
          <c:marker>
            <c:symbol val="none"/>
          </c:marker>
          <c:cat>
            <c:strRef>
              <c:f>'Sheet1 (13)'!$A$5:$A$80</c:f>
              <c:strCache>
                <c:ptCount val="75"/>
                <c:pt idx="0">
                  <c:v>8/08/2012</c:v>
                </c:pt>
                <c:pt idx="1">
                  <c:v>15/08/2012</c:v>
                </c:pt>
                <c:pt idx="2">
                  <c:v>22/08/2012</c:v>
                </c:pt>
                <c:pt idx="3">
                  <c:v>29/08/2012</c:v>
                </c:pt>
                <c:pt idx="4">
                  <c:v>5/09/2012</c:v>
                </c:pt>
                <c:pt idx="5">
                  <c:v>12/09/2012</c:v>
                </c:pt>
                <c:pt idx="6">
                  <c:v>19/09/2012</c:v>
                </c:pt>
                <c:pt idx="7">
                  <c:v>26/09/2012</c:v>
                </c:pt>
                <c:pt idx="8">
                  <c:v>3/10/2012</c:v>
                </c:pt>
                <c:pt idx="9">
                  <c:v>10/10/2012</c:v>
                </c:pt>
                <c:pt idx="10">
                  <c:v>17/10/2012</c:v>
                </c:pt>
                <c:pt idx="11">
                  <c:v>24/10/2012</c:v>
                </c:pt>
                <c:pt idx="12">
                  <c:v>31/10/2012</c:v>
                </c:pt>
                <c:pt idx="13">
                  <c:v>7/11/2012</c:v>
                </c:pt>
                <c:pt idx="14">
                  <c:v>14/11/2012</c:v>
                </c:pt>
                <c:pt idx="15">
                  <c:v>21/11/2012</c:v>
                </c:pt>
                <c:pt idx="16">
                  <c:v>28/11/2012</c:v>
                </c:pt>
                <c:pt idx="17">
                  <c:v>5/12/2012</c:v>
                </c:pt>
                <c:pt idx="18">
                  <c:v>12/12/2012</c:v>
                </c:pt>
                <c:pt idx="19">
                  <c:v>19/12/2012</c:v>
                </c:pt>
                <c:pt idx="20">
                  <c:v>26/12/2012</c:v>
                </c:pt>
                <c:pt idx="21">
                  <c:v>2/01/2013</c:v>
                </c:pt>
                <c:pt idx="22">
                  <c:v>9/01/2013</c:v>
                </c:pt>
                <c:pt idx="23">
                  <c:v>16/01/2013</c:v>
                </c:pt>
                <c:pt idx="24">
                  <c:v>23/01/2013</c:v>
                </c:pt>
                <c:pt idx="25">
                  <c:v>30/01/2013</c:v>
                </c:pt>
                <c:pt idx="26">
                  <c:v>6/02/2013</c:v>
                </c:pt>
                <c:pt idx="27">
                  <c:v>13/02/2013</c:v>
                </c:pt>
                <c:pt idx="28">
                  <c:v>20/02/2013</c:v>
                </c:pt>
                <c:pt idx="29">
                  <c:v>27/02/2013</c:v>
                </c:pt>
                <c:pt idx="30">
                  <c:v>6/03/2013</c:v>
                </c:pt>
                <c:pt idx="31">
                  <c:v>13/03/2013</c:v>
                </c:pt>
                <c:pt idx="32">
                  <c:v>20/03/2013</c:v>
                </c:pt>
                <c:pt idx="33">
                  <c:v>27/03/2013</c:v>
                </c:pt>
                <c:pt idx="34">
                  <c:v>3/04/2013</c:v>
                </c:pt>
                <c:pt idx="35">
                  <c:v>10/04/2013</c:v>
                </c:pt>
                <c:pt idx="36">
                  <c:v>17/04/2013</c:v>
                </c:pt>
                <c:pt idx="37">
                  <c:v>24/04/2013</c:v>
                </c:pt>
                <c:pt idx="38">
                  <c:v>1/05/2013</c:v>
                </c:pt>
                <c:pt idx="39">
                  <c:v>8/05/2013</c:v>
                </c:pt>
                <c:pt idx="40">
                  <c:v>15/05/2013</c:v>
                </c:pt>
                <c:pt idx="41">
                  <c:v>22/05/2013</c:v>
                </c:pt>
                <c:pt idx="42">
                  <c:v>29/05/2013</c:v>
                </c:pt>
                <c:pt idx="43">
                  <c:v>5/06/2013</c:v>
                </c:pt>
                <c:pt idx="44">
                  <c:v>12/06/2013</c:v>
                </c:pt>
                <c:pt idx="45">
                  <c:v>19/06/2013</c:v>
                </c:pt>
                <c:pt idx="46">
                  <c:v>26/06/2013</c:v>
                </c:pt>
                <c:pt idx="47">
                  <c:v>3/07/2013</c:v>
                </c:pt>
                <c:pt idx="48">
                  <c:v>10/07/2013</c:v>
                </c:pt>
                <c:pt idx="49">
                  <c:v>17/07/2013</c:v>
                </c:pt>
                <c:pt idx="50">
                  <c:v>24/07/2013</c:v>
                </c:pt>
                <c:pt idx="51">
                  <c:v>31/07/2013</c:v>
                </c:pt>
                <c:pt idx="52">
                  <c:v>7/08/2013</c:v>
                </c:pt>
                <c:pt idx="53">
                  <c:v>14/08/2013</c:v>
                </c:pt>
                <c:pt idx="54">
                  <c:v>21/08/2013</c:v>
                </c:pt>
                <c:pt idx="55">
                  <c:v>28/08/2013</c:v>
                </c:pt>
                <c:pt idx="56">
                  <c:v>4/09/2013</c:v>
                </c:pt>
                <c:pt idx="57">
                  <c:v>11/09/2013</c:v>
                </c:pt>
                <c:pt idx="58">
                  <c:v>18/09/2013</c:v>
                </c:pt>
                <c:pt idx="59">
                  <c:v>25/09/2013</c:v>
                </c:pt>
                <c:pt idx="60">
                  <c:v>2/10/2013</c:v>
                </c:pt>
                <c:pt idx="61">
                  <c:v>9/10/2013</c:v>
                </c:pt>
                <c:pt idx="62">
                  <c:v>16/10/2013</c:v>
                </c:pt>
                <c:pt idx="63">
                  <c:v>23/10/2013</c:v>
                </c:pt>
                <c:pt idx="64">
                  <c:v>30/10/2013</c:v>
                </c:pt>
                <c:pt idx="65">
                  <c:v>6/11/2013</c:v>
                </c:pt>
                <c:pt idx="66">
                  <c:v>13/11/2013</c:v>
                </c:pt>
                <c:pt idx="67">
                  <c:v>20/11/2013</c:v>
                </c:pt>
                <c:pt idx="68">
                  <c:v>27/11/2013</c:v>
                </c:pt>
                <c:pt idx="69">
                  <c:v>4/12/2013</c:v>
                </c:pt>
                <c:pt idx="70">
                  <c:v>11/12/2013</c:v>
                </c:pt>
                <c:pt idx="71">
                  <c:v>18/12/2013</c:v>
                </c:pt>
                <c:pt idx="72">
                  <c:v>25/12/2013</c:v>
                </c:pt>
                <c:pt idx="73">
                  <c:v>1/01/2014</c:v>
                </c:pt>
                <c:pt idx="74">
                  <c:v>8/01/2014</c:v>
                </c:pt>
              </c:strCache>
            </c:strRef>
          </c:cat>
          <c:val>
            <c:numRef>
              <c:f>'Sheet1 (13)'!$G$5:$G$80</c:f>
              <c:numCache>
                <c:formatCode>General</c:formatCode>
                <c:ptCount val="75"/>
                <c:pt idx="0">
                  <c:v>484</c:v>
                </c:pt>
                <c:pt idx="1">
                  <c:v>503</c:v>
                </c:pt>
                <c:pt idx="2">
                  <c:v>515</c:v>
                </c:pt>
                <c:pt idx="3">
                  <c:v>510</c:v>
                </c:pt>
                <c:pt idx="4">
                  <c:v>508</c:v>
                </c:pt>
                <c:pt idx="5">
                  <c:v>508</c:v>
                </c:pt>
                <c:pt idx="6">
                  <c:v>508</c:v>
                </c:pt>
                <c:pt idx="7">
                  <c:v>504</c:v>
                </c:pt>
                <c:pt idx="8">
                  <c:v>509</c:v>
                </c:pt>
                <c:pt idx="9">
                  <c:v>526</c:v>
                </c:pt>
                <c:pt idx="10">
                  <c:v>539</c:v>
                </c:pt>
                <c:pt idx="11">
                  <c:v>564</c:v>
                </c:pt>
                <c:pt idx="12">
                  <c:v>572</c:v>
                </c:pt>
                <c:pt idx="13">
                  <c:v>580</c:v>
                </c:pt>
                <c:pt idx="14">
                  <c:v>603</c:v>
                </c:pt>
                <c:pt idx="15">
                  <c:v>623</c:v>
                </c:pt>
                <c:pt idx="16">
                  <c:v>648</c:v>
                </c:pt>
                <c:pt idx="17">
                  <c:v>658</c:v>
                </c:pt>
                <c:pt idx="18">
                  <c:v>657</c:v>
                </c:pt>
                <c:pt idx="19">
                  <c:v>657</c:v>
                </c:pt>
                <c:pt idx="20">
                  <c:v>627</c:v>
                </c:pt>
                <c:pt idx="21">
                  <c:v>621</c:v>
                </c:pt>
                <c:pt idx="22">
                  <c:v>617</c:v>
                </c:pt>
                <c:pt idx="23">
                  <c:v>620</c:v>
                </c:pt>
                <c:pt idx="24">
                  <c:v>604</c:v>
                </c:pt>
                <c:pt idx="25">
                  <c:v>590</c:v>
                </c:pt>
                <c:pt idx="26">
                  <c:v>571</c:v>
                </c:pt>
                <c:pt idx="27">
                  <c:v>563</c:v>
                </c:pt>
                <c:pt idx="28">
                  <c:v>577</c:v>
                </c:pt>
                <c:pt idx="29">
                  <c:v>574</c:v>
                </c:pt>
                <c:pt idx="30">
                  <c:v>579</c:v>
                </c:pt>
                <c:pt idx="31">
                  <c:v>578</c:v>
                </c:pt>
                <c:pt idx="32">
                  <c:v>579</c:v>
                </c:pt>
                <c:pt idx="33">
                  <c:v>576</c:v>
                </c:pt>
                <c:pt idx="34">
                  <c:v>585</c:v>
                </c:pt>
                <c:pt idx="35">
                  <c:v>594</c:v>
                </c:pt>
                <c:pt idx="36">
                  <c:v>596</c:v>
                </c:pt>
                <c:pt idx="37">
                  <c:v>600</c:v>
                </c:pt>
                <c:pt idx="38">
                  <c:v>625</c:v>
                </c:pt>
                <c:pt idx="39">
                  <c:v>626</c:v>
                </c:pt>
                <c:pt idx="40">
                  <c:v>625</c:v>
                </c:pt>
                <c:pt idx="41">
                  <c:v>649</c:v>
                </c:pt>
                <c:pt idx="42">
                  <c:v>641</c:v>
                </c:pt>
                <c:pt idx="43">
                  <c:v>628</c:v>
                </c:pt>
                <c:pt idx="44">
                  <c:v>631</c:v>
                </c:pt>
                <c:pt idx="45">
                  <c:v>640</c:v>
                </c:pt>
                <c:pt idx="46">
                  <c:v>631</c:v>
                </c:pt>
                <c:pt idx="47">
                  <c:v>633</c:v>
                </c:pt>
                <c:pt idx="48">
                  <c:v>649</c:v>
                </c:pt>
                <c:pt idx="49">
                  <c:v>652</c:v>
                </c:pt>
                <c:pt idx="50">
                  <c:v>655</c:v>
                </c:pt>
                <c:pt idx="51">
                  <c:v>664</c:v>
                </c:pt>
                <c:pt idx="52">
                  <c:v>686</c:v>
                </c:pt>
                <c:pt idx="53">
                  <c:v>704</c:v>
                </c:pt>
                <c:pt idx="54">
                  <c:v>702</c:v>
                </c:pt>
                <c:pt idx="55">
                  <c:v>707</c:v>
                </c:pt>
                <c:pt idx="56">
                  <c:v>716</c:v>
                </c:pt>
                <c:pt idx="57">
                  <c:v>714</c:v>
                </c:pt>
                <c:pt idx="58">
                  <c:v>722</c:v>
                </c:pt>
                <c:pt idx="59">
                  <c:v>738</c:v>
                </c:pt>
                <c:pt idx="60">
                  <c:v>742</c:v>
                </c:pt>
                <c:pt idx="61">
                  <c:v>765</c:v>
                </c:pt>
                <c:pt idx="62">
                  <c:v>776</c:v>
                </c:pt>
                <c:pt idx="63">
                  <c:v>767</c:v>
                </c:pt>
                <c:pt idx="64">
                  <c:v>782</c:v>
                </c:pt>
                <c:pt idx="65">
                  <c:v>784</c:v>
                </c:pt>
                <c:pt idx="66">
                  <c:v>799</c:v>
                </c:pt>
                <c:pt idx="67">
                  <c:v>806</c:v>
                </c:pt>
                <c:pt idx="68">
                  <c:v>819</c:v>
                </c:pt>
                <c:pt idx="69">
                  <c:v>848</c:v>
                </c:pt>
                <c:pt idx="70">
                  <c:v>872</c:v>
                </c:pt>
                <c:pt idx="71">
                  <c:v>872</c:v>
                </c:pt>
                <c:pt idx="72">
                  <c:v>857</c:v>
                </c:pt>
                <c:pt idx="73">
                  <c:v>838</c:v>
                </c:pt>
                <c:pt idx="74">
                  <c:v>840</c:v>
                </c:pt>
              </c:numCache>
            </c:numRef>
          </c:val>
          <c:smooth val="0"/>
        </c:ser>
        <c:ser>
          <c:idx val="6"/>
          <c:order val="6"/>
          <c:tx>
            <c:strRef>
              <c:f>'Sheet1 (13)'!$H$3:$H$4</c:f>
              <c:strCache>
                <c:ptCount val="1"/>
                <c:pt idx="0">
                  <c:v>Exenatide+Gliptin+Metformin</c:v>
                </c:pt>
              </c:strCache>
            </c:strRef>
          </c:tx>
          <c:marker>
            <c:symbol val="none"/>
          </c:marker>
          <c:cat>
            <c:strRef>
              <c:f>'Sheet1 (13)'!$A$5:$A$80</c:f>
              <c:strCache>
                <c:ptCount val="75"/>
                <c:pt idx="0">
                  <c:v>8/08/2012</c:v>
                </c:pt>
                <c:pt idx="1">
                  <c:v>15/08/2012</c:v>
                </c:pt>
                <c:pt idx="2">
                  <c:v>22/08/2012</c:v>
                </c:pt>
                <c:pt idx="3">
                  <c:v>29/08/2012</c:v>
                </c:pt>
                <c:pt idx="4">
                  <c:v>5/09/2012</c:v>
                </c:pt>
                <c:pt idx="5">
                  <c:v>12/09/2012</c:v>
                </c:pt>
                <c:pt idx="6">
                  <c:v>19/09/2012</c:v>
                </c:pt>
                <c:pt idx="7">
                  <c:v>26/09/2012</c:v>
                </c:pt>
                <c:pt idx="8">
                  <c:v>3/10/2012</c:v>
                </c:pt>
                <c:pt idx="9">
                  <c:v>10/10/2012</c:v>
                </c:pt>
                <c:pt idx="10">
                  <c:v>17/10/2012</c:v>
                </c:pt>
                <c:pt idx="11">
                  <c:v>24/10/2012</c:v>
                </c:pt>
                <c:pt idx="12">
                  <c:v>31/10/2012</c:v>
                </c:pt>
                <c:pt idx="13">
                  <c:v>7/11/2012</c:v>
                </c:pt>
                <c:pt idx="14">
                  <c:v>14/11/2012</c:v>
                </c:pt>
                <c:pt idx="15">
                  <c:v>21/11/2012</c:v>
                </c:pt>
                <c:pt idx="16">
                  <c:v>28/11/2012</c:v>
                </c:pt>
                <c:pt idx="17">
                  <c:v>5/12/2012</c:v>
                </c:pt>
                <c:pt idx="18">
                  <c:v>12/12/2012</c:v>
                </c:pt>
                <c:pt idx="19">
                  <c:v>19/12/2012</c:v>
                </c:pt>
                <c:pt idx="20">
                  <c:v>26/12/2012</c:v>
                </c:pt>
                <c:pt idx="21">
                  <c:v>2/01/2013</c:v>
                </c:pt>
                <c:pt idx="22">
                  <c:v>9/01/2013</c:v>
                </c:pt>
                <c:pt idx="23">
                  <c:v>16/01/2013</c:v>
                </c:pt>
                <c:pt idx="24">
                  <c:v>23/01/2013</c:v>
                </c:pt>
                <c:pt idx="25">
                  <c:v>30/01/2013</c:v>
                </c:pt>
                <c:pt idx="26">
                  <c:v>6/02/2013</c:v>
                </c:pt>
                <c:pt idx="27">
                  <c:v>13/02/2013</c:v>
                </c:pt>
                <c:pt idx="28">
                  <c:v>20/02/2013</c:v>
                </c:pt>
                <c:pt idx="29">
                  <c:v>27/02/2013</c:v>
                </c:pt>
                <c:pt idx="30">
                  <c:v>6/03/2013</c:v>
                </c:pt>
                <c:pt idx="31">
                  <c:v>13/03/2013</c:v>
                </c:pt>
                <c:pt idx="32">
                  <c:v>20/03/2013</c:v>
                </c:pt>
                <c:pt idx="33">
                  <c:v>27/03/2013</c:v>
                </c:pt>
                <c:pt idx="34">
                  <c:v>3/04/2013</c:v>
                </c:pt>
                <c:pt idx="35">
                  <c:v>10/04/2013</c:v>
                </c:pt>
                <c:pt idx="36">
                  <c:v>17/04/2013</c:v>
                </c:pt>
                <c:pt idx="37">
                  <c:v>24/04/2013</c:v>
                </c:pt>
                <c:pt idx="38">
                  <c:v>1/05/2013</c:v>
                </c:pt>
                <c:pt idx="39">
                  <c:v>8/05/2013</c:v>
                </c:pt>
                <c:pt idx="40">
                  <c:v>15/05/2013</c:v>
                </c:pt>
                <c:pt idx="41">
                  <c:v>22/05/2013</c:v>
                </c:pt>
                <c:pt idx="42">
                  <c:v>29/05/2013</c:v>
                </c:pt>
                <c:pt idx="43">
                  <c:v>5/06/2013</c:v>
                </c:pt>
                <c:pt idx="44">
                  <c:v>12/06/2013</c:v>
                </c:pt>
                <c:pt idx="45">
                  <c:v>19/06/2013</c:v>
                </c:pt>
                <c:pt idx="46">
                  <c:v>26/06/2013</c:v>
                </c:pt>
                <c:pt idx="47">
                  <c:v>3/07/2013</c:v>
                </c:pt>
                <c:pt idx="48">
                  <c:v>10/07/2013</c:v>
                </c:pt>
                <c:pt idx="49">
                  <c:v>17/07/2013</c:v>
                </c:pt>
                <c:pt idx="50">
                  <c:v>24/07/2013</c:v>
                </c:pt>
                <c:pt idx="51">
                  <c:v>31/07/2013</c:v>
                </c:pt>
                <c:pt idx="52">
                  <c:v>7/08/2013</c:v>
                </c:pt>
                <c:pt idx="53">
                  <c:v>14/08/2013</c:v>
                </c:pt>
                <c:pt idx="54">
                  <c:v>21/08/2013</c:v>
                </c:pt>
                <c:pt idx="55">
                  <c:v>28/08/2013</c:v>
                </c:pt>
                <c:pt idx="56">
                  <c:v>4/09/2013</c:v>
                </c:pt>
                <c:pt idx="57">
                  <c:v>11/09/2013</c:v>
                </c:pt>
                <c:pt idx="58">
                  <c:v>18/09/2013</c:v>
                </c:pt>
                <c:pt idx="59">
                  <c:v>25/09/2013</c:v>
                </c:pt>
                <c:pt idx="60">
                  <c:v>2/10/2013</c:v>
                </c:pt>
                <c:pt idx="61">
                  <c:v>9/10/2013</c:v>
                </c:pt>
                <c:pt idx="62">
                  <c:v>16/10/2013</c:v>
                </c:pt>
                <c:pt idx="63">
                  <c:v>23/10/2013</c:v>
                </c:pt>
                <c:pt idx="64">
                  <c:v>30/10/2013</c:v>
                </c:pt>
                <c:pt idx="65">
                  <c:v>6/11/2013</c:v>
                </c:pt>
                <c:pt idx="66">
                  <c:v>13/11/2013</c:v>
                </c:pt>
                <c:pt idx="67">
                  <c:v>20/11/2013</c:v>
                </c:pt>
                <c:pt idx="68">
                  <c:v>27/11/2013</c:v>
                </c:pt>
                <c:pt idx="69">
                  <c:v>4/12/2013</c:v>
                </c:pt>
                <c:pt idx="70">
                  <c:v>11/12/2013</c:v>
                </c:pt>
                <c:pt idx="71">
                  <c:v>18/12/2013</c:v>
                </c:pt>
                <c:pt idx="72">
                  <c:v>25/12/2013</c:v>
                </c:pt>
                <c:pt idx="73">
                  <c:v>1/01/2014</c:v>
                </c:pt>
                <c:pt idx="74">
                  <c:v>8/01/2014</c:v>
                </c:pt>
              </c:strCache>
            </c:strRef>
          </c:cat>
          <c:val>
            <c:numRef>
              <c:f>'Sheet1 (13)'!$H$5:$H$80</c:f>
              <c:numCache>
                <c:formatCode>General</c:formatCode>
                <c:ptCount val="75"/>
                <c:pt idx="0">
                  <c:v>179</c:v>
                </c:pt>
                <c:pt idx="1">
                  <c:v>182</c:v>
                </c:pt>
                <c:pt idx="2">
                  <c:v>188</c:v>
                </c:pt>
                <c:pt idx="3">
                  <c:v>199</c:v>
                </c:pt>
                <c:pt idx="4">
                  <c:v>202</c:v>
                </c:pt>
                <c:pt idx="5">
                  <c:v>205</c:v>
                </c:pt>
                <c:pt idx="6">
                  <c:v>207</c:v>
                </c:pt>
                <c:pt idx="7">
                  <c:v>205</c:v>
                </c:pt>
                <c:pt idx="8">
                  <c:v>203</c:v>
                </c:pt>
                <c:pt idx="9">
                  <c:v>205</c:v>
                </c:pt>
                <c:pt idx="10">
                  <c:v>219</c:v>
                </c:pt>
                <c:pt idx="11">
                  <c:v>215</c:v>
                </c:pt>
                <c:pt idx="12">
                  <c:v>214</c:v>
                </c:pt>
                <c:pt idx="13">
                  <c:v>209</c:v>
                </c:pt>
                <c:pt idx="14">
                  <c:v>221</c:v>
                </c:pt>
                <c:pt idx="15">
                  <c:v>235</c:v>
                </c:pt>
                <c:pt idx="16">
                  <c:v>245</c:v>
                </c:pt>
                <c:pt idx="17">
                  <c:v>252</c:v>
                </c:pt>
                <c:pt idx="18">
                  <c:v>260</c:v>
                </c:pt>
                <c:pt idx="19">
                  <c:v>259</c:v>
                </c:pt>
                <c:pt idx="20">
                  <c:v>266</c:v>
                </c:pt>
                <c:pt idx="21">
                  <c:v>269</c:v>
                </c:pt>
                <c:pt idx="22">
                  <c:v>273</c:v>
                </c:pt>
                <c:pt idx="23">
                  <c:v>277</c:v>
                </c:pt>
                <c:pt idx="24">
                  <c:v>272</c:v>
                </c:pt>
                <c:pt idx="25">
                  <c:v>264</c:v>
                </c:pt>
                <c:pt idx="26">
                  <c:v>275</c:v>
                </c:pt>
                <c:pt idx="27">
                  <c:v>270</c:v>
                </c:pt>
                <c:pt idx="28">
                  <c:v>261</c:v>
                </c:pt>
                <c:pt idx="29">
                  <c:v>264</c:v>
                </c:pt>
                <c:pt idx="30">
                  <c:v>267</c:v>
                </c:pt>
                <c:pt idx="31">
                  <c:v>275</c:v>
                </c:pt>
                <c:pt idx="32">
                  <c:v>279</c:v>
                </c:pt>
                <c:pt idx="33">
                  <c:v>287</c:v>
                </c:pt>
                <c:pt idx="34">
                  <c:v>278</c:v>
                </c:pt>
                <c:pt idx="35">
                  <c:v>268</c:v>
                </c:pt>
                <c:pt idx="36">
                  <c:v>265</c:v>
                </c:pt>
                <c:pt idx="37">
                  <c:v>258</c:v>
                </c:pt>
                <c:pt idx="38">
                  <c:v>266</c:v>
                </c:pt>
                <c:pt idx="39">
                  <c:v>266</c:v>
                </c:pt>
                <c:pt idx="40">
                  <c:v>278</c:v>
                </c:pt>
                <c:pt idx="41">
                  <c:v>278</c:v>
                </c:pt>
                <c:pt idx="42">
                  <c:v>291</c:v>
                </c:pt>
                <c:pt idx="43">
                  <c:v>302</c:v>
                </c:pt>
                <c:pt idx="44">
                  <c:v>305</c:v>
                </c:pt>
                <c:pt idx="45">
                  <c:v>312</c:v>
                </c:pt>
                <c:pt idx="46">
                  <c:v>323</c:v>
                </c:pt>
                <c:pt idx="47">
                  <c:v>340</c:v>
                </c:pt>
                <c:pt idx="48">
                  <c:v>349</c:v>
                </c:pt>
                <c:pt idx="49">
                  <c:v>355</c:v>
                </c:pt>
                <c:pt idx="50">
                  <c:v>365</c:v>
                </c:pt>
                <c:pt idx="51">
                  <c:v>369</c:v>
                </c:pt>
                <c:pt idx="52">
                  <c:v>385</c:v>
                </c:pt>
                <c:pt idx="53">
                  <c:v>389</c:v>
                </c:pt>
                <c:pt idx="54">
                  <c:v>383</c:v>
                </c:pt>
                <c:pt idx="55">
                  <c:v>390</c:v>
                </c:pt>
                <c:pt idx="56">
                  <c:v>400</c:v>
                </c:pt>
                <c:pt idx="57">
                  <c:v>412</c:v>
                </c:pt>
                <c:pt idx="58">
                  <c:v>412</c:v>
                </c:pt>
                <c:pt idx="59">
                  <c:v>420</c:v>
                </c:pt>
                <c:pt idx="60">
                  <c:v>424</c:v>
                </c:pt>
                <c:pt idx="61">
                  <c:v>422</c:v>
                </c:pt>
                <c:pt idx="62">
                  <c:v>426</c:v>
                </c:pt>
                <c:pt idx="63">
                  <c:v>438</c:v>
                </c:pt>
                <c:pt idx="64">
                  <c:v>441</c:v>
                </c:pt>
                <c:pt idx="65">
                  <c:v>451</c:v>
                </c:pt>
                <c:pt idx="66">
                  <c:v>455</c:v>
                </c:pt>
                <c:pt idx="67">
                  <c:v>473</c:v>
                </c:pt>
                <c:pt idx="68">
                  <c:v>483</c:v>
                </c:pt>
                <c:pt idx="69">
                  <c:v>489</c:v>
                </c:pt>
                <c:pt idx="70">
                  <c:v>500</c:v>
                </c:pt>
                <c:pt idx="71">
                  <c:v>488</c:v>
                </c:pt>
                <c:pt idx="72">
                  <c:v>481</c:v>
                </c:pt>
                <c:pt idx="73">
                  <c:v>466</c:v>
                </c:pt>
                <c:pt idx="74">
                  <c:v>471</c:v>
                </c:pt>
              </c:numCache>
            </c:numRef>
          </c:val>
          <c:smooth val="0"/>
        </c:ser>
        <c:ser>
          <c:idx val="7"/>
          <c:order val="7"/>
          <c:tx>
            <c:strRef>
              <c:f>'Sheet1 (13)'!$I$3:$I$4</c:f>
              <c:strCache>
                <c:ptCount val="1"/>
                <c:pt idx="0">
                  <c:v>Exenatide+Insulin</c:v>
                </c:pt>
              </c:strCache>
            </c:strRef>
          </c:tx>
          <c:marker>
            <c:symbol val="none"/>
          </c:marker>
          <c:cat>
            <c:strRef>
              <c:f>'Sheet1 (13)'!$A$5:$A$80</c:f>
              <c:strCache>
                <c:ptCount val="75"/>
                <c:pt idx="0">
                  <c:v>8/08/2012</c:v>
                </c:pt>
                <c:pt idx="1">
                  <c:v>15/08/2012</c:v>
                </c:pt>
                <c:pt idx="2">
                  <c:v>22/08/2012</c:v>
                </c:pt>
                <c:pt idx="3">
                  <c:v>29/08/2012</c:v>
                </c:pt>
                <c:pt idx="4">
                  <c:v>5/09/2012</c:v>
                </c:pt>
                <c:pt idx="5">
                  <c:v>12/09/2012</c:v>
                </c:pt>
                <c:pt idx="6">
                  <c:v>19/09/2012</c:v>
                </c:pt>
                <c:pt idx="7">
                  <c:v>26/09/2012</c:v>
                </c:pt>
                <c:pt idx="8">
                  <c:v>3/10/2012</c:v>
                </c:pt>
                <c:pt idx="9">
                  <c:v>10/10/2012</c:v>
                </c:pt>
                <c:pt idx="10">
                  <c:v>17/10/2012</c:v>
                </c:pt>
                <c:pt idx="11">
                  <c:v>24/10/2012</c:v>
                </c:pt>
                <c:pt idx="12">
                  <c:v>31/10/2012</c:v>
                </c:pt>
                <c:pt idx="13">
                  <c:v>7/11/2012</c:v>
                </c:pt>
                <c:pt idx="14">
                  <c:v>14/11/2012</c:v>
                </c:pt>
                <c:pt idx="15">
                  <c:v>21/11/2012</c:v>
                </c:pt>
                <c:pt idx="16">
                  <c:v>28/11/2012</c:v>
                </c:pt>
                <c:pt idx="17">
                  <c:v>5/12/2012</c:v>
                </c:pt>
                <c:pt idx="18">
                  <c:v>12/12/2012</c:v>
                </c:pt>
                <c:pt idx="19">
                  <c:v>19/12/2012</c:v>
                </c:pt>
                <c:pt idx="20">
                  <c:v>26/12/2012</c:v>
                </c:pt>
                <c:pt idx="21">
                  <c:v>2/01/2013</c:v>
                </c:pt>
                <c:pt idx="22">
                  <c:v>9/01/2013</c:v>
                </c:pt>
                <c:pt idx="23">
                  <c:v>16/01/2013</c:v>
                </c:pt>
                <c:pt idx="24">
                  <c:v>23/01/2013</c:v>
                </c:pt>
                <c:pt idx="25">
                  <c:v>30/01/2013</c:v>
                </c:pt>
                <c:pt idx="26">
                  <c:v>6/02/2013</c:v>
                </c:pt>
                <c:pt idx="27">
                  <c:v>13/02/2013</c:v>
                </c:pt>
                <c:pt idx="28">
                  <c:v>20/02/2013</c:v>
                </c:pt>
                <c:pt idx="29">
                  <c:v>27/02/2013</c:v>
                </c:pt>
                <c:pt idx="30">
                  <c:v>6/03/2013</c:v>
                </c:pt>
                <c:pt idx="31">
                  <c:v>13/03/2013</c:v>
                </c:pt>
                <c:pt idx="32">
                  <c:v>20/03/2013</c:v>
                </c:pt>
                <c:pt idx="33">
                  <c:v>27/03/2013</c:v>
                </c:pt>
                <c:pt idx="34">
                  <c:v>3/04/2013</c:v>
                </c:pt>
                <c:pt idx="35">
                  <c:v>10/04/2013</c:v>
                </c:pt>
                <c:pt idx="36">
                  <c:v>17/04/2013</c:v>
                </c:pt>
                <c:pt idx="37">
                  <c:v>24/04/2013</c:v>
                </c:pt>
                <c:pt idx="38">
                  <c:v>1/05/2013</c:v>
                </c:pt>
                <c:pt idx="39">
                  <c:v>8/05/2013</c:v>
                </c:pt>
                <c:pt idx="40">
                  <c:v>15/05/2013</c:v>
                </c:pt>
                <c:pt idx="41">
                  <c:v>22/05/2013</c:v>
                </c:pt>
                <c:pt idx="42">
                  <c:v>29/05/2013</c:v>
                </c:pt>
                <c:pt idx="43">
                  <c:v>5/06/2013</c:v>
                </c:pt>
                <c:pt idx="44">
                  <c:v>12/06/2013</c:v>
                </c:pt>
                <c:pt idx="45">
                  <c:v>19/06/2013</c:v>
                </c:pt>
                <c:pt idx="46">
                  <c:v>26/06/2013</c:v>
                </c:pt>
                <c:pt idx="47">
                  <c:v>3/07/2013</c:v>
                </c:pt>
                <c:pt idx="48">
                  <c:v>10/07/2013</c:v>
                </c:pt>
                <c:pt idx="49">
                  <c:v>17/07/2013</c:v>
                </c:pt>
                <c:pt idx="50">
                  <c:v>24/07/2013</c:v>
                </c:pt>
                <c:pt idx="51">
                  <c:v>31/07/2013</c:v>
                </c:pt>
                <c:pt idx="52">
                  <c:v>7/08/2013</c:v>
                </c:pt>
                <c:pt idx="53">
                  <c:v>14/08/2013</c:v>
                </c:pt>
                <c:pt idx="54">
                  <c:v>21/08/2013</c:v>
                </c:pt>
                <c:pt idx="55">
                  <c:v>28/08/2013</c:v>
                </c:pt>
                <c:pt idx="56">
                  <c:v>4/09/2013</c:v>
                </c:pt>
                <c:pt idx="57">
                  <c:v>11/09/2013</c:v>
                </c:pt>
                <c:pt idx="58">
                  <c:v>18/09/2013</c:v>
                </c:pt>
                <c:pt idx="59">
                  <c:v>25/09/2013</c:v>
                </c:pt>
                <c:pt idx="60">
                  <c:v>2/10/2013</c:v>
                </c:pt>
                <c:pt idx="61">
                  <c:v>9/10/2013</c:v>
                </c:pt>
                <c:pt idx="62">
                  <c:v>16/10/2013</c:v>
                </c:pt>
                <c:pt idx="63">
                  <c:v>23/10/2013</c:v>
                </c:pt>
                <c:pt idx="64">
                  <c:v>30/10/2013</c:v>
                </c:pt>
                <c:pt idx="65">
                  <c:v>6/11/2013</c:v>
                </c:pt>
                <c:pt idx="66">
                  <c:v>13/11/2013</c:v>
                </c:pt>
                <c:pt idx="67">
                  <c:v>20/11/2013</c:v>
                </c:pt>
                <c:pt idx="68">
                  <c:v>27/11/2013</c:v>
                </c:pt>
                <c:pt idx="69">
                  <c:v>4/12/2013</c:v>
                </c:pt>
                <c:pt idx="70">
                  <c:v>11/12/2013</c:v>
                </c:pt>
                <c:pt idx="71">
                  <c:v>18/12/2013</c:v>
                </c:pt>
                <c:pt idx="72">
                  <c:v>25/12/2013</c:v>
                </c:pt>
                <c:pt idx="73">
                  <c:v>1/01/2014</c:v>
                </c:pt>
                <c:pt idx="74">
                  <c:v>8/01/2014</c:v>
                </c:pt>
              </c:strCache>
            </c:strRef>
          </c:cat>
          <c:val>
            <c:numRef>
              <c:f>'Sheet1 (13)'!$I$5:$I$80</c:f>
              <c:numCache>
                <c:formatCode>General</c:formatCode>
                <c:ptCount val="75"/>
                <c:pt idx="0">
                  <c:v>195</c:v>
                </c:pt>
                <c:pt idx="1">
                  <c:v>204</c:v>
                </c:pt>
                <c:pt idx="2">
                  <c:v>198</c:v>
                </c:pt>
                <c:pt idx="3">
                  <c:v>198</c:v>
                </c:pt>
                <c:pt idx="4">
                  <c:v>192</c:v>
                </c:pt>
                <c:pt idx="5">
                  <c:v>183</c:v>
                </c:pt>
                <c:pt idx="6">
                  <c:v>186</c:v>
                </c:pt>
                <c:pt idx="7">
                  <c:v>194</c:v>
                </c:pt>
                <c:pt idx="8">
                  <c:v>192</c:v>
                </c:pt>
                <c:pt idx="9">
                  <c:v>196</c:v>
                </c:pt>
                <c:pt idx="10">
                  <c:v>194</c:v>
                </c:pt>
                <c:pt idx="11">
                  <c:v>185</c:v>
                </c:pt>
                <c:pt idx="12">
                  <c:v>178</c:v>
                </c:pt>
                <c:pt idx="13">
                  <c:v>180</c:v>
                </c:pt>
                <c:pt idx="14">
                  <c:v>179</c:v>
                </c:pt>
                <c:pt idx="15">
                  <c:v>191</c:v>
                </c:pt>
                <c:pt idx="16">
                  <c:v>193</c:v>
                </c:pt>
                <c:pt idx="17">
                  <c:v>192</c:v>
                </c:pt>
                <c:pt idx="18">
                  <c:v>199</c:v>
                </c:pt>
                <c:pt idx="19">
                  <c:v>201</c:v>
                </c:pt>
                <c:pt idx="20">
                  <c:v>195</c:v>
                </c:pt>
                <c:pt idx="21">
                  <c:v>200</c:v>
                </c:pt>
                <c:pt idx="22">
                  <c:v>215</c:v>
                </c:pt>
                <c:pt idx="23">
                  <c:v>229</c:v>
                </c:pt>
                <c:pt idx="24">
                  <c:v>225</c:v>
                </c:pt>
                <c:pt idx="25">
                  <c:v>244</c:v>
                </c:pt>
                <c:pt idx="26">
                  <c:v>260</c:v>
                </c:pt>
                <c:pt idx="27">
                  <c:v>277</c:v>
                </c:pt>
                <c:pt idx="28">
                  <c:v>286</c:v>
                </c:pt>
                <c:pt idx="29">
                  <c:v>285</c:v>
                </c:pt>
                <c:pt idx="30">
                  <c:v>289</c:v>
                </c:pt>
                <c:pt idx="31">
                  <c:v>298</c:v>
                </c:pt>
                <c:pt idx="32">
                  <c:v>288</c:v>
                </c:pt>
                <c:pt idx="33">
                  <c:v>289</c:v>
                </c:pt>
                <c:pt idx="34">
                  <c:v>284</c:v>
                </c:pt>
                <c:pt idx="35">
                  <c:v>284</c:v>
                </c:pt>
                <c:pt idx="36">
                  <c:v>289</c:v>
                </c:pt>
                <c:pt idx="37">
                  <c:v>298</c:v>
                </c:pt>
                <c:pt idx="38">
                  <c:v>289</c:v>
                </c:pt>
                <c:pt idx="39">
                  <c:v>287</c:v>
                </c:pt>
                <c:pt idx="40">
                  <c:v>297</c:v>
                </c:pt>
                <c:pt idx="41">
                  <c:v>296</c:v>
                </c:pt>
                <c:pt idx="42">
                  <c:v>295</c:v>
                </c:pt>
                <c:pt idx="43">
                  <c:v>283</c:v>
                </c:pt>
                <c:pt idx="44">
                  <c:v>286</c:v>
                </c:pt>
                <c:pt idx="45">
                  <c:v>279</c:v>
                </c:pt>
                <c:pt idx="46">
                  <c:v>286</c:v>
                </c:pt>
                <c:pt idx="47">
                  <c:v>301</c:v>
                </c:pt>
                <c:pt idx="48">
                  <c:v>295</c:v>
                </c:pt>
                <c:pt idx="49">
                  <c:v>306</c:v>
                </c:pt>
                <c:pt idx="50">
                  <c:v>308</c:v>
                </c:pt>
                <c:pt idx="51">
                  <c:v>305</c:v>
                </c:pt>
                <c:pt idx="52">
                  <c:v>305</c:v>
                </c:pt>
                <c:pt idx="53">
                  <c:v>304</c:v>
                </c:pt>
                <c:pt idx="54">
                  <c:v>307</c:v>
                </c:pt>
                <c:pt idx="55">
                  <c:v>300</c:v>
                </c:pt>
                <c:pt idx="56">
                  <c:v>304</c:v>
                </c:pt>
                <c:pt idx="57">
                  <c:v>298</c:v>
                </c:pt>
                <c:pt idx="58">
                  <c:v>306</c:v>
                </c:pt>
                <c:pt idx="59">
                  <c:v>305</c:v>
                </c:pt>
                <c:pt idx="60">
                  <c:v>306</c:v>
                </c:pt>
                <c:pt idx="61">
                  <c:v>299</c:v>
                </c:pt>
                <c:pt idx="62">
                  <c:v>289</c:v>
                </c:pt>
                <c:pt idx="63">
                  <c:v>282</c:v>
                </c:pt>
                <c:pt idx="64">
                  <c:v>288</c:v>
                </c:pt>
                <c:pt idx="65">
                  <c:v>295</c:v>
                </c:pt>
                <c:pt idx="66">
                  <c:v>296</c:v>
                </c:pt>
                <c:pt idx="67">
                  <c:v>296</c:v>
                </c:pt>
                <c:pt idx="68">
                  <c:v>304</c:v>
                </c:pt>
                <c:pt idx="69">
                  <c:v>303</c:v>
                </c:pt>
                <c:pt idx="70">
                  <c:v>302</c:v>
                </c:pt>
                <c:pt idx="71">
                  <c:v>313</c:v>
                </c:pt>
                <c:pt idx="72">
                  <c:v>312</c:v>
                </c:pt>
                <c:pt idx="73">
                  <c:v>310</c:v>
                </c:pt>
                <c:pt idx="74">
                  <c:v>320</c:v>
                </c:pt>
              </c:numCache>
            </c:numRef>
          </c:val>
          <c:smooth val="0"/>
        </c:ser>
        <c:ser>
          <c:idx val="8"/>
          <c:order val="8"/>
          <c:tx>
            <c:strRef>
              <c:f>'Sheet1 (13)'!$J$3:$J$4</c:f>
              <c:strCache>
                <c:ptCount val="1"/>
                <c:pt idx="0">
                  <c:v>Exenatide+Gliptin+Metformin+Sulfonylurea</c:v>
                </c:pt>
              </c:strCache>
            </c:strRef>
          </c:tx>
          <c:marker>
            <c:symbol val="none"/>
          </c:marker>
          <c:cat>
            <c:strRef>
              <c:f>'Sheet1 (13)'!$A$5:$A$80</c:f>
              <c:strCache>
                <c:ptCount val="75"/>
                <c:pt idx="0">
                  <c:v>8/08/2012</c:v>
                </c:pt>
                <c:pt idx="1">
                  <c:v>15/08/2012</c:v>
                </c:pt>
                <c:pt idx="2">
                  <c:v>22/08/2012</c:v>
                </c:pt>
                <c:pt idx="3">
                  <c:v>29/08/2012</c:v>
                </c:pt>
                <c:pt idx="4">
                  <c:v>5/09/2012</c:v>
                </c:pt>
                <c:pt idx="5">
                  <c:v>12/09/2012</c:v>
                </c:pt>
                <c:pt idx="6">
                  <c:v>19/09/2012</c:v>
                </c:pt>
                <c:pt idx="7">
                  <c:v>26/09/2012</c:v>
                </c:pt>
                <c:pt idx="8">
                  <c:v>3/10/2012</c:v>
                </c:pt>
                <c:pt idx="9">
                  <c:v>10/10/2012</c:v>
                </c:pt>
                <c:pt idx="10">
                  <c:v>17/10/2012</c:v>
                </c:pt>
                <c:pt idx="11">
                  <c:v>24/10/2012</c:v>
                </c:pt>
                <c:pt idx="12">
                  <c:v>31/10/2012</c:v>
                </c:pt>
                <c:pt idx="13">
                  <c:v>7/11/2012</c:v>
                </c:pt>
                <c:pt idx="14">
                  <c:v>14/11/2012</c:v>
                </c:pt>
                <c:pt idx="15">
                  <c:v>21/11/2012</c:v>
                </c:pt>
                <c:pt idx="16">
                  <c:v>28/11/2012</c:v>
                </c:pt>
                <c:pt idx="17">
                  <c:v>5/12/2012</c:v>
                </c:pt>
                <c:pt idx="18">
                  <c:v>12/12/2012</c:v>
                </c:pt>
                <c:pt idx="19">
                  <c:v>19/12/2012</c:v>
                </c:pt>
                <c:pt idx="20">
                  <c:v>26/12/2012</c:v>
                </c:pt>
                <c:pt idx="21">
                  <c:v>2/01/2013</c:v>
                </c:pt>
                <c:pt idx="22">
                  <c:v>9/01/2013</c:v>
                </c:pt>
                <c:pt idx="23">
                  <c:v>16/01/2013</c:v>
                </c:pt>
                <c:pt idx="24">
                  <c:v>23/01/2013</c:v>
                </c:pt>
                <c:pt idx="25">
                  <c:v>30/01/2013</c:v>
                </c:pt>
                <c:pt idx="26">
                  <c:v>6/02/2013</c:v>
                </c:pt>
                <c:pt idx="27">
                  <c:v>13/02/2013</c:v>
                </c:pt>
                <c:pt idx="28">
                  <c:v>20/02/2013</c:v>
                </c:pt>
                <c:pt idx="29">
                  <c:v>27/02/2013</c:v>
                </c:pt>
                <c:pt idx="30">
                  <c:v>6/03/2013</c:v>
                </c:pt>
                <c:pt idx="31">
                  <c:v>13/03/2013</c:v>
                </c:pt>
                <c:pt idx="32">
                  <c:v>20/03/2013</c:v>
                </c:pt>
                <c:pt idx="33">
                  <c:v>27/03/2013</c:v>
                </c:pt>
                <c:pt idx="34">
                  <c:v>3/04/2013</c:v>
                </c:pt>
                <c:pt idx="35">
                  <c:v>10/04/2013</c:v>
                </c:pt>
                <c:pt idx="36">
                  <c:v>17/04/2013</c:v>
                </c:pt>
                <c:pt idx="37">
                  <c:v>24/04/2013</c:v>
                </c:pt>
                <c:pt idx="38">
                  <c:v>1/05/2013</c:v>
                </c:pt>
                <c:pt idx="39">
                  <c:v>8/05/2013</c:v>
                </c:pt>
                <c:pt idx="40">
                  <c:v>15/05/2013</c:v>
                </c:pt>
                <c:pt idx="41">
                  <c:v>22/05/2013</c:v>
                </c:pt>
                <c:pt idx="42">
                  <c:v>29/05/2013</c:v>
                </c:pt>
                <c:pt idx="43">
                  <c:v>5/06/2013</c:v>
                </c:pt>
                <c:pt idx="44">
                  <c:v>12/06/2013</c:v>
                </c:pt>
                <c:pt idx="45">
                  <c:v>19/06/2013</c:v>
                </c:pt>
                <c:pt idx="46">
                  <c:v>26/06/2013</c:v>
                </c:pt>
                <c:pt idx="47">
                  <c:v>3/07/2013</c:v>
                </c:pt>
                <c:pt idx="48">
                  <c:v>10/07/2013</c:v>
                </c:pt>
                <c:pt idx="49">
                  <c:v>17/07/2013</c:v>
                </c:pt>
                <c:pt idx="50">
                  <c:v>24/07/2013</c:v>
                </c:pt>
                <c:pt idx="51">
                  <c:v>31/07/2013</c:v>
                </c:pt>
                <c:pt idx="52">
                  <c:v>7/08/2013</c:v>
                </c:pt>
                <c:pt idx="53">
                  <c:v>14/08/2013</c:v>
                </c:pt>
                <c:pt idx="54">
                  <c:v>21/08/2013</c:v>
                </c:pt>
                <c:pt idx="55">
                  <c:v>28/08/2013</c:v>
                </c:pt>
                <c:pt idx="56">
                  <c:v>4/09/2013</c:v>
                </c:pt>
                <c:pt idx="57">
                  <c:v>11/09/2013</c:v>
                </c:pt>
                <c:pt idx="58">
                  <c:v>18/09/2013</c:v>
                </c:pt>
                <c:pt idx="59">
                  <c:v>25/09/2013</c:v>
                </c:pt>
                <c:pt idx="60">
                  <c:v>2/10/2013</c:v>
                </c:pt>
                <c:pt idx="61">
                  <c:v>9/10/2013</c:v>
                </c:pt>
                <c:pt idx="62">
                  <c:v>16/10/2013</c:v>
                </c:pt>
                <c:pt idx="63">
                  <c:v>23/10/2013</c:v>
                </c:pt>
                <c:pt idx="64">
                  <c:v>30/10/2013</c:v>
                </c:pt>
                <c:pt idx="65">
                  <c:v>6/11/2013</c:v>
                </c:pt>
                <c:pt idx="66">
                  <c:v>13/11/2013</c:v>
                </c:pt>
                <c:pt idx="67">
                  <c:v>20/11/2013</c:v>
                </c:pt>
                <c:pt idx="68">
                  <c:v>27/11/2013</c:v>
                </c:pt>
                <c:pt idx="69">
                  <c:v>4/12/2013</c:v>
                </c:pt>
                <c:pt idx="70">
                  <c:v>11/12/2013</c:v>
                </c:pt>
                <c:pt idx="71">
                  <c:v>18/12/2013</c:v>
                </c:pt>
                <c:pt idx="72">
                  <c:v>25/12/2013</c:v>
                </c:pt>
                <c:pt idx="73">
                  <c:v>1/01/2014</c:v>
                </c:pt>
                <c:pt idx="74">
                  <c:v>8/01/2014</c:v>
                </c:pt>
              </c:strCache>
            </c:strRef>
          </c:cat>
          <c:val>
            <c:numRef>
              <c:f>'Sheet1 (13)'!$J$5:$J$80</c:f>
              <c:numCache>
                <c:formatCode>General</c:formatCode>
                <c:ptCount val="75"/>
                <c:pt idx="0">
                  <c:v>88</c:v>
                </c:pt>
                <c:pt idx="1">
                  <c:v>93</c:v>
                </c:pt>
                <c:pt idx="2">
                  <c:v>95</c:v>
                </c:pt>
                <c:pt idx="3">
                  <c:v>98</c:v>
                </c:pt>
                <c:pt idx="4">
                  <c:v>95</c:v>
                </c:pt>
                <c:pt idx="5">
                  <c:v>98</c:v>
                </c:pt>
                <c:pt idx="6">
                  <c:v>98</c:v>
                </c:pt>
                <c:pt idx="7">
                  <c:v>106</c:v>
                </c:pt>
                <c:pt idx="8">
                  <c:v>109</c:v>
                </c:pt>
                <c:pt idx="9">
                  <c:v>113</c:v>
                </c:pt>
                <c:pt idx="10">
                  <c:v>119</c:v>
                </c:pt>
                <c:pt idx="11">
                  <c:v>117</c:v>
                </c:pt>
                <c:pt idx="12">
                  <c:v>121</c:v>
                </c:pt>
                <c:pt idx="13">
                  <c:v>128</c:v>
                </c:pt>
                <c:pt idx="14">
                  <c:v>136</c:v>
                </c:pt>
                <c:pt idx="15">
                  <c:v>135</c:v>
                </c:pt>
                <c:pt idx="16">
                  <c:v>135</c:v>
                </c:pt>
                <c:pt idx="17">
                  <c:v>139</c:v>
                </c:pt>
                <c:pt idx="18">
                  <c:v>149</c:v>
                </c:pt>
                <c:pt idx="19">
                  <c:v>149</c:v>
                </c:pt>
                <c:pt idx="20">
                  <c:v>141</c:v>
                </c:pt>
                <c:pt idx="21">
                  <c:v>139</c:v>
                </c:pt>
                <c:pt idx="22">
                  <c:v>134</c:v>
                </c:pt>
                <c:pt idx="23">
                  <c:v>124</c:v>
                </c:pt>
                <c:pt idx="24">
                  <c:v>126</c:v>
                </c:pt>
                <c:pt idx="25">
                  <c:v>130</c:v>
                </c:pt>
                <c:pt idx="26">
                  <c:v>134</c:v>
                </c:pt>
                <c:pt idx="27">
                  <c:v>134</c:v>
                </c:pt>
                <c:pt idx="28">
                  <c:v>131</c:v>
                </c:pt>
                <c:pt idx="29">
                  <c:v>134</c:v>
                </c:pt>
                <c:pt idx="30">
                  <c:v>134</c:v>
                </c:pt>
                <c:pt idx="31">
                  <c:v>129</c:v>
                </c:pt>
                <c:pt idx="32">
                  <c:v>126</c:v>
                </c:pt>
                <c:pt idx="33">
                  <c:v>126</c:v>
                </c:pt>
                <c:pt idx="34">
                  <c:v>133</c:v>
                </c:pt>
                <c:pt idx="35">
                  <c:v>133</c:v>
                </c:pt>
                <c:pt idx="36">
                  <c:v>134</c:v>
                </c:pt>
                <c:pt idx="37">
                  <c:v>134</c:v>
                </c:pt>
                <c:pt idx="38">
                  <c:v>141</c:v>
                </c:pt>
                <c:pt idx="39">
                  <c:v>146</c:v>
                </c:pt>
                <c:pt idx="40">
                  <c:v>147</c:v>
                </c:pt>
                <c:pt idx="41">
                  <c:v>152</c:v>
                </c:pt>
                <c:pt idx="42">
                  <c:v>161</c:v>
                </c:pt>
                <c:pt idx="43">
                  <c:v>163</c:v>
                </c:pt>
                <c:pt idx="44">
                  <c:v>162</c:v>
                </c:pt>
                <c:pt idx="45">
                  <c:v>168</c:v>
                </c:pt>
                <c:pt idx="46">
                  <c:v>169</c:v>
                </c:pt>
                <c:pt idx="47">
                  <c:v>175</c:v>
                </c:pt>
                <c:pt idx="48">
                  <c:v>176</c:v>
                </c:pt>
                <c:pt idx="49">
                  <c:v>177</c:v>
                </c:pt>
                <c:pt idx="50">
                  <c:v>181</c:v>
                </c:pt>
                <c:pt idx="51">
                  <c:v>187</c:v>
                </c:pt>
                <c:pt idx="52">
                  <c:v>196</c:v>
                </c:pt>
                <c:pt idx="53">
                  <c:v>193</c:v>
                </c:pt>
                <c:pt idx="54">
                  <c:v>197</c:v>
                </c:pt>
                <c:pt idx="55">
                  <c:v>206</c:v>
                </c:pt>
                <c:pt idx="56">
                  <c:v>204</c:v>
                </c:pt>
                <c:pt idx="57">
                  <c:v>206</c:v>
                </c:pt>
                <c:pt idx="58">
                  <c:v>210</c:v>
                </c:pt>
                <c:pt idx="59">
                  <c:v>210</c:v>
                </c:pt>
                <c:pt idx="60">
                  <c:v>217</c:v>
                </c:pt>
                <c:pt idx="61">
                  <c:v>232</c:v>
                </c:pt>
                <c:pt idx="62">
                  <c:v>230</c:v>
                </c:pt>
                <c:pt idx="63">
                  <c:v>236</c:v>
                </c:pt>
                <c:pt idx="64">
                  <c:v>235</c:v>
                </c:pt>
                <c:pt idx="65">
                  <c:v>246</c:v>
                </c:pt>
                <c:pt idx="66">
                  <c:v>251</c:v>
                </c:pt>
                <c:pt idx="67">
                  <c:v>262</c:v>
                </c:pt>
                <c:pt idx="68">
                  <c:v>269</c:v>
                </c:pt>
                <c:pt idx="69">
                  <c:v>279</c:v>
                </c:pt>
                <c:pt idx="70">
                  <c:v>297</c:v>
                </c:pt>
                <c:pt idx="71">
                  <c:v>294</c:v>
                </c:pt>
                <c:pt idx="72">
                  <c:v>287</c:v>
                </c:pt>
                <c:pt idx="73">
                  <c:v>275</c:v>
                </c:pt>
                <c:pt idx="74">
                  <c:v>272</c:v>
                </c:pt>
              </c:numCache>
            </c:numRef>
          </c:val>
          <c:smooth val="0"/>
        </c:ser>
        <c:ser>
          <c:idx val="9"/>
          <c:order val="9"/>
          <c:tx>
            <c:strRef>
              <c:f>'Sheet1 (13)'!$K$3:$K$4</c:f>
              <c:strCache>
                <c:ptCount val="1"/>
                <c:pt idx="0">
                  <c:v>Exenatide+Insulin+Sulfonylurea</c:v>
                </c:pt>
              </c:strCache>
            </c:strRef>
          </c:tx>
          <c:marker>
            <c:symbol val="none"/>
          </c:marker>
          <c:cat>
            <c:strRef>
              <c:f>'Sheet1 (13)'!$A$5:$A$80</c:f>
              <c:strCache>
                <c:ptCount val="75"/>
                <c:pt idx="0">
                  <c:v>8/08/2012</c:v>
                </c:pt>
                <c:pt idx="1">
                  <c:v>15/08/2012</c:v>
                </c:pt>
                <c:pt idx="2">
                  <c:v>22/08/2012</c:v>
                </c:pt>
                <c:pt idx="3">
                  <c:v>29/08/2012</c:v>
                </c:pt>
                <c:pt idx="4">
                  <c:v>5/09/2012</c:v>
                </c:pt>
                <c:pt idx="5">
                  <c:v>12/09/2012</c:v>
                </c:pt>
                <c:pt idx="6">
                  <c:v>19/09/2012</c:v>
                </c:pt>
                <c:pt idx="7">
                  <c:v>26/09/2012</c:v>
                </c:pt>
                <c:pt idx="8">
                  <c:v>3/10/2012</c:v>
                </c:pt>
                <c:pt idx="9">
                  <c:v>10/10/2012</c:v>
                </c:pt>
                <c:pt idx="10">
                  <c:v>17/10/2012</c:v>
                </c:pt>
                <c:pt idx="11">
                  <c:v>24/10/2012</c:v>
                </c:pt>
                <c:pt idx="12">
                  <c:v>31/10/2012</c:v>
                </c:pt>
                <c:pt idx="13">
                  <c:v>7/11/2012</c:v>
                </c:pt>
                <c:pt idx="14">
                  <c:v>14/11/2012</c:v>
                </c:pt>
                <c:pt idx="15">
                  <c:v>21/11/2012</c:v>
                </c:pt>
                <c:pt idx="16">
                  <c:v>28/11/2012</c:v>
                </c:pt>
                <c:pt idx="17">
                  <c:v>5/12/2012</c:v>
                </c:pt>
                <c:pt idx="18">
                  <c:v>12/12/2012</c:v>
                </c:pt>
                <c:pt idx="19">
                  <c:v>19/12/2012</c:v>
                </c:pt>
                <c:pt idx="20">
                  <c:v>26/12/2012</c:v>
                </c:pt>
                <c:pt idx="21">
                  <c:v>2/01/2013</c:v>
                </c:pt>
                <c:pt idx="22">
                  <c:v>9/01/2013</c:v>
                </c:pt>
                <c:pt idx="23">
                  <c:v>16/01/2013</c:v>
                </c:pt>
                <c:pt idx="24">
                  <c:v>23/01/2013</c:v>
                </c:pt>
                <c:pt idx="25">
                  <c:v>30/01/2013</c:v>
                </c:pt>
                <c:pt idx="26">
                  <c:v>6/02/2013</c:v>
                </c:pt>
                <c:pt idx="27">
                  <c:v>13/02/2013</c:v>
                </c:pt>
                <c:pt idx="28">
                  <c:v>20/02/2013</c:v>
                </c:pt>
                <c:pt idx="29">
                  <c:v>27/02/2013</c:v>
                </c:pt>
                <c:pt idx="30">
                  <c:v>6/03/2013</c:v>
                </c:pt>
                <c:pt idx="31">
                  <c:v>13/03/2013</c:v>
                </c:pt>
                <c:pt idx="32">
                  <c:v>20/03/2013</c:v>
                </c:pt>
                <c:pt idx="33">
                  <c:v>27/03/2013</c:v>
                </c:pt>
                <c:pt idx="34">
                  <c:v>3/04/2013</c:v>
                </c:pt>
                <c:pt idx="35">
                  <c:v>10/04/2013</c:v>
                </c:pt>
                <c:pt idx="36">
                  <c:v>17/04/2013</c:v>
                </c:pt>
                <c:pt idx="37">
                  <c:v>24/04/2013</c:v>
                </c:pt>
                <c:pt idx="38">
                  <c:v>1/05/2013</c:v>
                </c:pt>
                <c:pt idx="39">
                  <c:v>8/05/2013</c:v>
                </c:pt>
                <c:pt idx="40">
                  <c:v>15/05/2013</c:v>
                </c:pt>
                <c:pt idx="41">
                  <c:v>22/05/2013</c:v>
                </c:pt>
                <c:pt idx="42">
                  <c:v>29/05/2013</c:v>
                </c:pt>
                <c:pt idx="43">
                  <c:v>5/06/2013</c:v>
                </c:pt>
                <c:pt idx="44">
                  <c:v>12/06/2013</c:v>
                </c:pt>
                <c:pt idx="45">
                  <c:v>19/06/2013</c:v>
                </c:pt>
                <c:pt idx="46">
                  <c:v>26/06/2013</c:v>
                </c:pt>
                <c:pt idx="47">
                  <c:v>3/07/2013</c:v>
                </c:pt>
                <c:pt idx="48">
                  <c:v>10/07/2013</c:v>
                </c:pt>
                <c:pt idx="49">
                  <c:v>17/07/2013</c:v>
                </c:pt>
                <c:pt idx="50">
                  <c:v>24/07/2013</c:v>
                </c:pt>
                <c:pt idx="51">
                  <c:v>31/07/2013</c:v>
                </c:pt>
                <c:pt idx="52">
                  <c:v>7/08/2013</c:v>
                </c:pt>
                <c:pt idx="53">
                  <c:v>14/08/2013</c:v>
                </c:pt>
                <c:pt idx="54">
                  <c:v>21/08/2013</c:v>
                </c:pt>
                <c:pt idx="55">
                  <c:v>28/08/2013</c:v>
                </c:pt>
                <c:pt idx="56">
                  <c:v>4/09/2013</c:v>
                </c:pt>
                <c:pt idx="57">
                  <c:v>11/09/2013</c:v>
                </c:pt>
                <c:pt idx="58">
                  <c:v>18/09/2013</c:v>
                </c:pt>
                <c:pt idx="59">
                  <c:v>25/09/2013</c:v>
                </c:pt>
                <c:pt idx="60">
                  <c:v>2/10/2013</c:v>
                </c:pt>
                <c:pt idx="61">
                  <c:v>9/10/2013</c:v>
                </c:pt>
                <c:pt idx="62">
                  <c:v>16/10/2013</c:v>
                </c:pt>
                <c:pt idx="63">
                  <c:v>23/10/2013</c:v>
                </c:pt>
                <c:pt idx="64">
                  <c:v>30/10/2013</c:v>
                </c:pt>
                <c:pt idx="65">
                  <c:v>6/11/2013</c:v>
                </c:pt>
                <c:pt idx="66">
                  <c:v>13/11/2013</c:v>
                </c:pt>
                <c:pt idx="67">
                  <c:v>20/11/2013</c:v>
                </c:pt>
                <c:pt idx="68">
                  <c:v>27/11/2013</c:v>
                </c:pt>
                <c:pt idx="69">
                  <c:v>4/12/2013</c:v>
                </c:pt>
                <c:pt idx="70">
                  <c:v>11/12/2013</c:v>
                </c:pt>
                <c:pt idx="71">
                  <c:v>18/12/2013</c:v>
                </c:pt>
                <c:pt idx="72">
                  <c:v>25/12/2013</c:v>
                </c:pt>
                <c:pt idx="73">
                  <c:v>1/01/2014</c:v>
                </c:pt>
                <c:pt idx="74">
                  <c:v>8/01/2014</c:v>
                </c:pt>
              </c:strCache>
            </c:strRef>
          </c:cat>
          <c:val>
            <c:numRef>
              <c:f>'Sheet1 (13)'!$K$5:$K$80</c:f>
              <c:numCache>
                <c:formatCode>General</c:formatCode>
                <c:ptCount val="75"/>
                <c:pt idx="0">
                  <c:v>101</c:v>
                </c:pt>
                <c:pt idx="1">
                  <c:v>101</c:v>
                </c:pt>
                <c:pt idx="2">
                  <c:v>102</c:v>
                </c:pt>
                <c:pt idx="3">
                  <c:v>108</c:v>
                </c:pt>
                <c:pt idx="4">
                  <c:v>111</c:v>
                </c:pt>
                <c:pt idx="5">
                  <c:v>114</c:v>
                </c:pt>
                <c:pt idx="6">
                  <c:v>115</c:v>
                </c:pt>
                <c:pt idx="7">
                  <c:v>112</c:v>
                </c:pt>
                <c:pt idx="8">
                  <c:v>115</c:v>
                </c:pt>
                <c:pt idx="9">
                  <c:v>110</c:v>
                </c:pt>
                <c:pt idx="10">
                  <c:v>110</c:v>
                </c:pt>
                <c:pt idx="11">
                  <c:v>110</c:v>
                </c:pt>
                <c:pt idx="12">
                  <c:v>115</c:v>
                </c:pt>
                <c:pt idx="13">
                  <c:v>125</c:v>
                </c:pt>
                <c:pt idx="14">
                  <c:v>133</c:v>
                </c:pt>
                <c:pt idx="15">
                  <c:v>139</c:v>
                </c:pt>
                <c:pt idx="16">
                  <c:v>132</c:v>
                </c:pt>
                <c:pt idx="17">
                  <c:v>134</c:v>
                </c:pt>
                <c:pt idx="18">
                  <c:v>134</c:v>
                </c:pt>
                <c:pt idx="19">
                  <c:v>130</c:v>
                </c:pt>
                <c:pt idx="20">
                  <c:v>122</c:v>
                </c:pt>
                <c:pt idx="21">
                  <c:v>113</c:v>
                </c:pt>
                <c:pt idx="22">
                  <c:v>109</c:v>
                </c:pt>
                <c:pt idx="23">
                  <c:v>111</c:v>
                </c:pt>
                <c:pt idx="24">
                  <c:v>110</c:v>
                </c:pt>
                <c:pt idx="25">
                  <c:v>110</c:v>
                </c:pt>
                <c:pt idx="26">
                  <c:v>116</c:v>
                </c:pt>
                <c:pt idx="27">
                  <c:v>121</c:v>
                </c:pt>
                <c:pt idx="28">
                  <c:v>126</c:v>
                </c:pt>
                <c:pt idx="29">
                  <c:v>137</c:v>
                </c:pt>
                <c:pt idx="30">
                  <c:v>139</c:v>
                </c:pt>
                <c:pt idx="31">
                  <c:v>138</c:v>
                </c:pt>
                <c:pt idx="32">
                  <c:v>131</c:v>
                </c:pt>
                <c:pt idx="33">
                  <c:v>139</c:v>
                </c:pt>
                <c:pt idx="34">
                  <c:v>145</c:v>
                </c:pt>
                <c:pt idx="35">
                  <c:v>142</c:v>
                </c:pt>
                <c:pt idx="36">
                  <c:v>141</c:v>
                </c:pt>
                <c:pt idx="37">
                  <c:v>141</c:v>
                </c:pt>
                <c:pt idx="38">
                  <c:v>137</c:v>
                </c:pt>
                <c:pt idx="39">
                  <c:v>134</c:v>
                </c:pt>
                <c:pt idx="40">
                  <c:v>136</c:v>
                </c:pt>
                <c:pt idx="41">
                  <c:v>136</c:v>
                </c:pt>
                <c:pt idx="42">
                  <c:v>135</c:v>
                </c:pt>
                <c:pt idx="43">
                  <c:v>133</c:v>
                </c:pt>
                <c:pt idx="44">
                  <c:v>127</c:v>
                </c:pt>
                <c:pt idx="45">
                  <c:v>121</c:v>
                </c:pt>
                <c:pt idx="46">
                  <c:v>114</c:v>
                </c:pt>
                <c:pt idx="47">
                  <c:v>115</c:v>
                </c:pt>
                <c:pt idx="48">
                  <c:v>115</c:v>
                </c:pt>
                <c:pt idx="49">
                  <c:v>121</c:v>
                </c:pt>
                <c:pt idx="50">
                  <c:v>119</c:v>
                </c:pt>
                <c:pt idx="51">
                  <c:v>123</c:v>
                </c:pt>
                <c:pt idx="52">
                  <c:v>121</c:v>
                </c:pt>
                <c:pt idx="53">
                  <c:v>123</c:v>
                </c:pt>
                <c:pt idx="54">
                  <c:v>118</c:v>
                </c:pt>
                <c:pt idx="55">
                  <c:v>132</c:v>
                </c:pt>
                <c:pt idx="56">
                  <c:v>136</c:v>
                </c:pt>
                <c:pt idx="57">
                  <c:v>145</c:v>
                </c:pt>
                <c:pt idx="58">
                  <c:v>142</c:v>
                </c:pt>
                <c:pt idx="59">
                  <c:v>146</c:v>
                </c:pt>
                <c:pt idx="60">
                  <c:v>148</c:v>
                </c:pt>
                <c:pt idx="61">
                  <c:v>156</c:v>
                </c:pt>
                <c:pt idx="62">
                  <c:v>151</c:v>
                </c:pt>
                <c:pt idx="63">
                  <c:v>151</c:v>
                </c:pt>
                <c:pt idx="64">
                  <c:v>153</c:v>
                </c:pt>
                <c:pt idx="65">
                  <c:v>150</c:v>
                </c:pt>
                <c:pt idx="66">
                  <c:v>149</c:v>
                </c:pt>
                <c:pt idx="67">
                  <c:v>166</c:v>
                </c:pt>
                <c:pt idx="68">
                  <c:v>169</c:v>
                </c:pt>
                <c:pt idx="69">
                  <c:v>170</c:v>
                </c:pt>
                <c:pt idx="70">
                  <c:v>161</c:v>
                </c:pt>
                <c:pt idx="71">
                  <c:v>161</c:v>
                </c:pt>
                <c:pt idx="72">
                  <c:v>152</c:v>
                </c:pt>
                <c:pt idx="73">
                  <c:v>150</c:v>
                </c:pt>
                <c:pt idx="74">
                  <c:v>153</c:v>
                </c:pt>
              </c:numCache>
            </c:numRef>
          </c:val>
          <c:smooth val="0"/>
        </c:ser>
        <c:dLbls>
          <c:showLegendKey val="0"/>
          <c:showVal val="0"/>
          <c:showCatName val="0"/>
          <c:showSerName val="0"/>
          <c:showPercent val="0"/>
          <c:showBubbleSize val="0"/>
        </c:dLbls>
        <c:marker val="1"/>
        <c:smooth val="0"/>
        <c:axId val="94172288"/>
        <c:axId val="94173824"/>
      </c:lineChart>
      <c:catAx>
        <c:axId val="94172288"/>
        <c:scaling>
          <c:orientation val="minMax"/>
        </c:scaling>
        <c:delete val="0"/>
        <c:axPos val="b"/>
        <c:majorTickMark val="none"/>
        <c:minorTickMark val="none"/>
        <c:tickLblPos val="nextTo"/>
        <c:txPr>
          <a:bodyPr/>
          <a:lstStyle/>
          <a:p>
            <a:pPr>
              <a:defRPr sz="900"/>
            </a:pPr>
            <a:endParaRPr lang="en-US"/>
          </a:p>
        </c:txPr>
        <c:crossAx val="94173824"/>
        <c:crosses val="autoZero"/>
        <c:auto val="1"/>
        <c:lblAlgn val="ctr"/>
        <c:lblOffset val="100"/>
        <c:noMultiLvlLbl val="0"/>
      </c:catAx>
      <c:valAx>
        <c:axId val="94173824"/>
        <c:scaling>
          <c:orientation val="minMax"/>
          <c:max val="6000"/>
        </c:scaling>
        <c:delete val="0"/>
        <c:axPos val="l"/>
        <c:majorGridlines/>
        <c:numFmt formatCode="#,##0" sourceLinked="0"/>
        <c:majorTickMark val="none"/>
        <c:minorTickMark val="none"/>
        <c:tickLblPos val="nextTo"/>
        <c:crossAx val="94172288"/>
        <c:crosses val="autoZero"/>
        <c:crossBetween val="between"/>
      </c:valAx>
    </c:plotArea>
    <c:legend>
      <c:legendPos val="r"/>
      <c:overlay val="0"/>
      <c:txPr>
        <a:bodyPr/>
        <a:lstStyle/>
        <a:p>
          <a:pPr>
            <a:defRPr sz="800"/>
          </a:pPr>
          <a:endParaRPr lang="en-US"/>
        </a:p>
      </c:txPr>
    </c:legend>
    <c:plotVisOnly val="1"/>
    <c:dispBlanksAs val="gap"/>
    <c:showDLblsOverMax val="0"/>
  </c:chart>
  <c:spPr>
    <a:ln>
      <a:noFill/>
    </a:ln>
  </c:spPr>
  <c:txPr>
    <a:bodyPr/>
    <a:lstStyle/>
    <a:p>
      <a:pPr>
        <a:defRPr sz="900"/>
      </a:pPr>
      <a:endParaRPr lang="en-US"/>
    </a:p>
  </c:tx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[D814_TRNS_ADJ_INIT, exenatide, jan to mar 13 init, fu to mar14 - no SP logic &amp; break=2SD if coverage past init - no combos or antiemetics - end date fix.xlsx]Sheet1 (13)!PivotTable1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marker>
          <c:symbol val="none"/>
        </c:marker>
      </c:pivotFmt>
      <c:pivotFmt>
        <c:idx val="1113"/>
        <c:marker>
          <c:symbol val="none"/>
        </c:marker>
      </c:pivotFmt>
      <c:pivotFmt>
        <c:idx val="1114"/>
        <c:marker>
          <c:symbol val="none"/>
        </c:marker>
      </c:pivotFmt>
      <c:pivotFmt>
        <c:idx val="1115"/>
        <c:marker>
          <c:symbol val="none"/>
        </c:marker>
      </c:pivotFmt>
      <c:pivotFmt>
        <c:idx val="1116"/>
        <c:marker>
          <c:symbol val="none"/>
        </c:marker>
      </c:pivotFmt>
      <c:pivotFmt>
        <c:idx val="1117"/>
        <c:marker>
          <c:symbol val="none"/>
        </c:marker>
      </c:pivotFmt>
      <c:pivotFmt>
        <c:idx val="1118"/>
        <c:marker>
          <c:symbol val="none"/>
        </c:marker>
      </c:pivotFmt>
      <c:pivotFmt>
        <c:idx val="1119"/>
        <c:marker>
          <c:symbol val="none"/>
        </c:marker>
      </c:pivotFmt>
      <c:pivotFmt>
        <c:idx val="1120"/>
        <c:marker>
          <c:symbol val="none"/>
        </c:marker>
      </c:pivotFmt>
      <c:pivotFmt>
        <c:idx val="1121"/>
        <c:marker>
          <c:symbol val="none"/>
        </c:marker>
      </c:pivotFmt>
      <c:pivotFmt>
        <c:idx val="1122"/>
        <c:marker>
          <c:symbol val="none"/>
        </c:marker>
      </c:pivotFmt>
      <c:pivotFmt>
        <c:idx val="1123"/>
        <c:marker>
          <c:symbol val="none"/>
        </c:marker>
      </c:pivotFmt>
      <c:pivotFmt>
        <c:idx val="1124"/>
        <c:marker>
          <c:symbol val="none"/>
        </c:marker>
      </c:pivotFmt>
      <c:pivotFmt>
        <c:idx val="1125"/>
        <c:marker>
          <c:symbol val="none"/>
        </c:marker>
      </c:pivotFmt>
      <c:pivotFmt>
        <c:idx val="1126"/>
        <c:marker>
          <c:symbol val="none"/>
        </c:marker>
      </c:pivotFmt>
      <c:pivotFmt>
        <c:idx val="1127"/>
        <c:marker>
          <c:symbol val="none"/>
        </c:marker>
      </c:pivotFmt>
      <c:pivotFmt>
        <c:idx val="1128"/>
        <c:marker>
          <c:symbol val="none"/>
        </c:marker>
      </c:pivotFmt>
      <c:pivotFmt>
        <c:idx val="1129"/>
        <c:marker>
          <c:symbol val="none"/>
        </c:marker>
      </c:pivotFmt>
      <c:pivotFmt>
        <c:idx val="1130"/>
        <c:marker>
          <c:symbol val="none"/>
        </c:marker>
      </c:pivotFmt>
      <c:pivotFmt>
        <c:idx val="1131"/>
        <c:marker>
          <c:symbol val="none"/>
        </c:marker>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marker>
          <c:symbol val="none"/>
        </c:marker>
      </c:pivotFmt>
      <c:pivotFmt>
        <c:idx val="1153"/>
        <c:marker>
          <c:symbol val="none"/>
        </c:marker>
      </c:pivotFmt>
      <c:pivotFmt>
        <c:idx val="1154"/>
        <c:marker>
          <c:symbol val="none"/>
        </c:marker>
      </c:pivotFmt>
      <c:pivotFmt>
        <c:idx val="1155"/>
        <c:marker>
          <c:symbol val="none"/>
        </c:marker>
      </c:pivotFmt>
      <c:pivotFmt>
        <c:idx val="1156"/>
        <c:marker>
          <c:symbol val="none"/>
        </c:marker>
      </c:pivotFmt>
      <c:pivotFmt>
        <c:idx val="1157"/>
        <c:marker>
          <c:symbol val="none"/>
        </c:marker>
      </c:pivotFmt>
      <c:pivotFmt>
        <c:idx val="1158"/>
        <c:marker>
          <c:symbol val="none"/>
        </c:marker>
      </c:pivotFmt>
      <c:pivotFmt>
        <c:idx val="1159"/>
        <c:marker>
          <c:symbol val="none"/>
        </c:marker>
      </c:pivotFmt>
      <c:pivotFmt>
        <c:idx val="1160"/>
        <c:marker>
          <c:symbol val="none"/>
        </c:marker>
      </c:pivotFmt>
      <c:pivotFmt>
        <c:idx val="1161"/>
        <c:marker>
          <c:symbol val="none"/>
        </c:marker>
      </c:pivotFmt>
      <c:pivotFmt>
        <c:idx val="1162"/>
        <c:marker>
          <c:symbol val="none"/>
        </c:marker>
      </c:pivotFmt>
      <c:pivotFmt>
        <c:idx val="1163"/>
        <c:marker>
          <c:symbol val="none"/>
        </c:marker>
      </c:pivotFmt>
      <c:pivotFmt>
        <c:idx val="1164"/>
        <c:marker>
          <c:symbol val="none"/>
        </c:marker>
      </c:pivotFmt>
      <c:pivotFmt>
        <c:idx val="1165"/>
        <c:marker>
          <c:symbol val="none"/>
        </c:marker>
      </c:pivotFmt>
      <c:pivotFmt>
        <c:idx val="1166"/>
        <c:marker>
          <c:symbol val="none"/>
        </c:marker>
      </c:pivotFmt>
      <c:pivotFmt>
        <c:idx val="1167"/>
        <c:marker>
          <c:symbol val="none"/>
        </c:marker>
      </c:pivotFmt>
      <c:pivotFmt>
        <c:idx val="1168"/>
        <c:marker>
          <c:symbol val="none"/>
        </c:marker>
      </c:pivotFmt>
      <c:pivotFmt>
        <c:idx val="1169"/>
        <c:marker>
          <c:symbol val="none"/>
        </c:marker>
      </c:pivotFmt>
      <c:pivotFmt>
        <c:idx val="1170"/>
        <c:marker>
          <c:symbol val="none"/>
        </c:marker>
      </c:pivotFmt>
      <c:pivotFmt>
        <c:idx val="1171"/>
        <c:marker>
          <c:symbol val="none"/>
        </c:marker>
      </c:pivotFmt>
      <c:pivotFmt>
        <c:idx val="1172"/>
        <c:marker>
          <c:symbol val="none"/>
        </c:marker>
      </c:pivotFmt>
      <c:pivotFmt>
        <c:idx val="1173"/>
        <c:marker>
          <c:symbol val="none"/>
        </c:marker>
      </c:pivotFmt>
      <c:pivotFmt>
        <c:idx val="1174"/>
        <c:marker>
          <c:symbol val="none"/>
        </c:marker>
      </c:pivotFmt>
      <c:pivotFmt>
        <c:idx val="1175"/>
        <c:marker>
          <c:symbol val="none"/>
        </c:marker>
      </c:pivotFmt>
      <c:pivotFmt>
        <c:idx val="1176"/>
        <c:marker>
          <c:symbol val="none"/>
        </c:marker>
      </c:pivotFmt>
      <c:pivotFmt>
        <c:idx val="1177"/>
        <c:marker>
          <c:symbol val="none"/>
        </c:marker>
      </c:pivotFmt>
      <c:pivotFmt>
        <c:idx val="1178"/>
        <c:marker>
          <c:symbol val="none"/>
        </c:marker>
      </c:pivotFmt>
      <c:pivotFmt>
        <c:idx val="1179"/>
        <c:marker>
          <c:symbol val="none"/>
        </c:marker>
      </c:pivotFmt>
      <c:pivotFmt>
        <c:idx val="1180"/>
        <c:marker>
          <c:symbol val="none"/>
        </c:marker>
      </c:pivotFmt>
      <c:pivotFmt>
        <c:idx val="1181"/>
        <c:marker>
          <c:symbol val="none"/>
        </c:marker>
      </c:pivotFmt>
      <c:pivotFmt>
        <c:idx val="1182"/>
        <c:marker>
          <c:symbol val="none"/>
        </c:marker>
      </c:pivotFmt>
      <c:pivotFmt>
        <c:idx val="1183"/>
        <c:marker>
          <c:symbol val="none"/>
        </c:marker>
      </c:pivotFmt>
      <c:pivotFmt>
        <c:idx val="1184"/>
        <c:marker>
          <c:symbol val="none"/>
        </c:marker>
      </c:pivotFmt>
      <c:pivotFmt>
        <c:idx val="1185"/>
        <c:marker>
          <c:symbol val="none"/>
        </c:marker>
      </c:pivotFmt>
      <c:pivotFmt>
        <c:idx val="1186"/>
        <c:marker>
          <c:symbol val="none"/>
        </c:marker>
      </c:pivotFmt>
      <c:pivotFmt>
        <c:idx val="1187"/>
        <c:marker>
          <c:symbol val="none"/>
        </c:marker>
      </c:pivotFmt>
      <c:pivotFmt>
        <c:idx val="1188"/>
        <c:marker>
          <c:symbol val="none"/>
        </c:marker>
      </c:pivotFmt>
      <c:pivotFmt>
        <c:idx val="1189"/>
        <c:marker>
          <c:symbol val="none"/>
        </c:marker>
      </c:pivotFmt>
      <c:pivotFmt>
        <c:idx val="1190"/>
        <c:marker>
          <c:symbol val="none"/>
        </c:marker>
      </c:pivotFmt>
      <c:pivotFmt>
        <c:idx val="1191"/>
        <c:marker>
          <c:symbol val="none"/>
        </c:marker>
      </c:pivotFmt>
      <c:pivotFmt>
        <c:idx val="1192"/>
        <c:marker>
          <c:symbol val="none"/>
        </c:marker>
      </c:pivotFmt>
      <c:pivotFmt>
        <c:idx val="1193"/>
        <c:marker>
          <c:symbol val="none"/>
        </c:marker>
      </c:pivotFmt>
      <c:pivotFmt>
        <c:idx val="1194"/>
        <c:marker>
          <c:symbol val="none"/>
        </c:marker>
      </c:pivotFmt>
      <c:pivotFmt>
        <c:idx val="1195"/>
        <c:marker>
          <c:symbol val="none"/>
        </c:marker>
      </c:pivotFmt>
      <c:pivotFmt>
        <c:idx val="1196"/>
        <c:marker>
          <c:symbol val="none"/>
        </c:marker>
      </c:pivotFmt>
      <c:pivotFmt>
        <c:idx val="1197"/>
        <c:marker>
          <c:symbol val="none"/>
        </c:marker>
      </c:pivotFmt>
      <c:pivotFmt>
        <c:idx val="1198"/>
        <c:marker>
          <c:symbol val="none"/>
        </c:marker>
      </c:pivotFmt>
      <c:pivotFmt>
        <c:idx val="1199"/>
        <c:marker>
          <c:symbol val="none"/>
        </c:marker>
      </c:pivotFmt>
      <c:pivotFmt>
        <c:idx val="1200"/>
        <c:marker>
          <c:symbol val="none"/>
        </c:marker>
      </c:pivotFmt>
      <c:pivotFmt>
        <c:idx val="1201"/>
        <c:marker>
          <c:symbol val="none"/>
        </c:marker>
      </c:pivotFmt>
      <c:pivotFmt>
        <c:idx val="1202"/>
        <c:marker>
          <c:symbol val="none"/>
        </c:marker>
      </c:pivotFmt>
      <c:pivotFmt>
        <c:idx val="1203"/>
        <c:marker>
          <c:symbol val="none"/>
        </c:marker>
      </c:pivotFmt>
      <c:pivotFmt>
        <c:idx val="1204"/>
        <c:marker>
          <c:symbol val="none"/>
        </c:marker>
      </c:pivotFmt>
      <c:pivotFmt>
        <c:idx val="1205"/>
        <c:marker>
          <c:symbol val="none"/>
        </c:marker>
      </c:pivotFmt>
      <c:pivotFmt>
        <c:idx val="1206"/>
        <c:marker>
          <c:symbol val="none"/>
        </c:marker>
      </c:pivotFmt>
      <c:pivotFmt>
        <c:idx val="1207"/>
        <c:marker>
          <c:symbol val="none"/>
        </c:marker>
      </c:pivotFmt>
      <c:pivotFmt>
        <c:idx val="1208"/>
        <c:marker>
          <c:symbol val="none"/>
        </c:marker>
      </c:pivotFmt>
      <c:pivotFmt>
        <c:idx val="1209"/>
        <c:marker>
          <c:symbol val="none"/>
        </c:marker>
      </c:pivotFmt>
      <c:pivotFmt>
        <c:idx val="1210"/>
        <c:marker>
          <c:symbol val="none"/>
        </c:marker>
      </c:pivotFmt>
      <c:pivotFmt>
        <c:idx val="1211"/>
        <c:marker>
          <c:symbol val="none"/>
        </c:marker>
      </c:pivotFmt>
      <c:pivotFmt>
        <c:idx val="1212"/>
        <c:marker>
          <c:symbol val="none"/>
        </c:marker>
      </c:pivotFmt>
      <c:pivotFmt>
        <c:idx val="1213"/>
        <c:marker>
          <c:symbol val="none"/>
        </c:marker>
      </c:pivotFmt>
      <c:pivotFmt>
        <c:idx val="1214"/>
        <c:marker>
          <c:symbol val="none"/>
        </c:marker>
      </c:pivotFmt>
      <c:pivotFmt>
        <c:idx val="1215"/>
        <c:marker>
          <c:symbol val="none"/>
        </c:marker>
      </c:pivotFmt>
      <c:pivotFmt>
        <c:idx val="1216"/>
        <c:marker>
          <c:symbol val="none"/>
        </c:marker>
      </c:pivotFmt>
      <c:pivotFmt>
        <c:idx val="1217"/>
        <c:marker>
          <c:symbol val="none"/>
        </c:marker>
      </c:pivotFmt>
      <c:pivotFmt>
        <c:idx val="1218"/>
        <c:marker>
          <c:symbol val="none"/>
        </c:marker>
      </c:pivotFmt>
      <c:pivotFmt>
        <c:idx val="1219"/>
        <c:marker>
          <c:symbol val="none"/>
        </c:marker>
      </c:pivotFmt>
      <c:pivotFmt>
        <c:idx val="1220"/>
        <c:marker>
          <c:symbol val="none"/>
        </c:marker>
      </c:pivotFmt>
      <c:pivotFmt>
        <c:idx val="1221"/>
        <c:marker>
          <c:symbol val="none"/>
        </c:marker>
      </c:pivotFmt>
      <c:pivotFmt>
        <c:idx val="1222"/>
        <c:marker>
          <c:symbol val="none"/>
        </c:marker>
      </c:pivotFmt>
      <c:pivotFmt>
        <c:idx val="1223"/>
        <c:marker>
          <c:symbol val="none"/>
        </c:marker>
      </c:pivotFmt>
      <c:pivotFmt>
        <c:idx val="1224"/>
        <c:marker>
          <c:symbol val="none"/>
        </c:marker>
      </c:pivotFmt>
      <c:pivotFmt>
        <c:idx val="1225"/>
        <c:marker>
          <c:symbol val="none"/>
        </c:marker>
      </c:pivotFmt>
      <c:pivotFmt>
        <c:idx val="1226"/>
        <c:marker>
          <c:symbol val="none"/>
        </c:marker>
      </c:pivotFmt>
      <c:pivotFmt>
        <c:idx val="1227"/>
        <c:marker>
          <c:symbol val="none"/>
        </c:marker>
      </c:pivotFmt>
      <c:pivotFmt>
        <c:idx val="1228"/>
        <c:marker>
          <c:symbol val="none"/>
        </c:marker>
      </c:pivotFmt>
      <c:pivotFmt>
        <c:idx val="1229"/>
        <c:marker>
          <c:symbol val="none"/>
        </c:marker>
      </c:pivotFmt>
      <c:pivotFmt>
        <c:idx val="1230"/>
        <c:marker>
          <c:symbol val="none"/>
        </c:marker>
      </c:pivotFmt>
      <c:pivotFmt>
        <c:idx val="1231"/>
        <c:marker>
          <c:symbol val="none"/>
        </c:marker>
      </c:pivotFmt>
      <c:pivotFmt>
        <c:idx val="1232"/>
        <c:marker>
          <c:symbol val="none"/>
        </c:marker>
      </c:pivotFmt>
      <c:pivotFmt>
        <c:idx val="1233"/>
        <c:marker>
          <c:symbol val="none"/>
        </c:marker>
      </c:pivotFmt>
      <c:pivotFmt>
        <c:idx val="1234"/>
        <c:marker>
          <c:symbol val="none"/>
        </c:marker>
      </c:pivotFmt>
      <c:pivotFmt>
        <c:idx val="1235"/>
        <c:marker>
          <c:symbol val="none"/>
        </c:marker>
      </c:pivotFmt>
      <c:pivotFmt>
        <c:idx val="1236"/>
        <c:marker>
          <c:symbol val="none"/>
        </c:marker>
      </c:pivotFmt>
      <c:pivotFmt>
        <c:idx val="1237"/>
        <c:marker>
          <c:symbol val="none"/>
        </c:marker>
      </c:pivotFmt>
      <c:pivotFmt>
        <c:idx val="1238"/>
        <c:marker>
          <c:symbol val="none"/>
        </c:marker>
      </c:pivotFmt>
      <c:pivotFmt>
        <c:idx val="1239"/>
        <c:marker>
          <c:symbol val="none"/>
        </c:marker>
      </c:pivotFmt>
      <c:pivotFmt>
        <c:idx val="1240"/>
        <c:marker>
          <c:symbol val="none"/>
        </c:marker>
      </c:pivotFmt>
      <c:pivotFmt>
        <c:idx val="1241"/>
        <c:marker>
          <c:symbol val="none"/>
        </c:marker>
      </c:pivotFmt>
      <c:pivotFmt>
        <c:idx val="1242"/>
        <c:marker>
          <c:symbol val="none"/>
        </c:marker>
      </c:pivotFmt>
      <c:pivotFmt>
        <c:idx val="1243"/>
        <c:marker>
          <c:symbol val="none"/>
        </c:marker>
      </c:pivotFmt>
      <c:pivotFmt>
        <c:idx val="1244"/>
        <c:marker>
          <c:symbol val="none"/>
        </c:marker>
      </c:pivotFmt>
      <c:pivotFmt>
        <c:idx val="1245"/>
        <c:marker>
          <c:symbol val="none"/>
        </c:marker>
      </c:pivotFmt>
      <c:pivotFmt>
        <c:idx val="1246"/>
        <c:marker>
          <c:symbol val="none"/>
        </c:marker>
      </c:pivotFmt>
      <c:pivotFmt>
        <c:idx val="1247"/>
        <c:marker>
          <c:symbol val="none"/>
        </c:marker>
      </c:pivotFmt>
      <c:pivotFmt>
        <c:idx val="1248"/>
        <c:marker>
          <c:symbol val="none"/>
        </c:marker>
      </c:pivotFmt>
      <c:pivotFmt>
        <c:idx val="1249"/>
        <c:marker>
          <c:symbol val="none"/>
        </c:marker>
      </c:pivotFmt>
      <c:pivotFmt>
        <c:idx val="1250"/>
        <c:marker>
          <c:symbol val="none"/>
        </c:marker>
      </c:pivotFmt>
      <c:pivotFmt>
        <c:idx val="1251"/>
        <c:marker>
          <c:symbol val="none"/>
        </c:marker>
      </c:pivotFmt>
      <c:pivotFmt>
        <c:idx val="1252"/>
        <c:marker>
          <c:symbol val="none"/>
        </c:marker>
      </c:pivotFmt>
      <c:pivotFmt>
        <c:idx val="1253"/>
        <c:marker>
          <c:symbol val="none"/>
        </c:marker>
      </c:pivotFmt>
      <c:pivotFmt>
        <c:idx val="1254"/>
        <c:marker>
          <c:symbol val="none"/>
        </c:marker>
      </c:pivotFmt>
      <c:pivotFmt>
        <c:idx val="1255"/>
        <c:marker>
          <c:symbol val="none"/>
        </c:marker>
      </c:pivotFmt>
      <c:pivotFmt>
        <c:idx val="1256"/>
        <c:marker>
          <c:symbol val="none"/>
        </c:marker>
      </c:pivotFmt>
      <c:pivotFmt>
        <c:idx val="1257"/>
        <c:marker>
          <c:symbol val="none"/>
        </c:marker>
      </c:pivotFmt>
      <c:pivotFmt>
        <c:idx val="1258"/>
        <c:marker>
          <c:symbol val="none"/>
        </c:marker>
      </c:pivotFmt>
      <c:pivotFmt>
        <c:idx val="1259"/>
        <c:marker>
          <c:symbol val="none"/>
        </c:marker>
      </c:pivotFmt>
      <c:pivotFmt>
        <c:idx val="1260"/>
        <c:marker>
          <c:symbol val="none"/>
        </c:marker>
      </c:pivotFmt>
      <c:pivotFmt>
        <c:idx val="1261"/>
        <c:marker>
          <c:symbol val="none"/>
        </c:marker>
      </c:pivotFmt>
      <c:pivotFmt>
        <c:idx val="1262"/>
        <c:spPr>
          <a:ln>
            <a:solidFill>
              <a:schemeClr val="tx1"/>
            </a:solidFill>
          </a:ln>
        </c:spPr>
        <c:marker>
          <c:symbol val="none"/>
        </c:marker>
      </c:pivotFmt>
      <c:pivotFmt>
        <c:idx val="1263"/>
        <c:marker>
          <c:symbol val="none"/>
        </c:marker>
      </c:pivotFmt>
      <c:pivotFmt>
        <c:idx val="1264"/>
        <c:marker>
          <c:symbol val="none"/>
        </c:marker>
      </c:pivotFmt>
      <c:pivotFmt>
        <c:idx val="1265"/>
        <c:marker>
          <c:symbol val="none"/>
        </c:marker>
      </c:pivotFmt>
      <c:pivotFmt>
        <c:idx val="1266"/>
        <c:spPr>
          <a:ln>
            <a:solidFill>
              <a:srgbClr val="FF0000"/>
            </a:solidFill>
          </a:ln>
        </c:spPr>
        <c:marker>
          <c:symbol val="none"/>
        </c:marker>
      </c:pivotFmt>
      <c:pivotFmt>
        <c:idx val="1267"/>
        <c:marker>
          <c:symbol val="none"/>
        </c:marker>
      </c:pivotFmt>
      <c:pivotFmt>
        <c:idx val="1268"/>
        <c:marker>
          <c:symbol val="none"/>
        </c:marker>
      </c:pivotFmt>
      <c:pivotFmt>
        <c:idx val="1269"/>
        <c:marker>
          <c:symbol val="none"/>
        </c:marker>
      </c:pivotFmt>
      <c:pivotFmt>
        <c:idx val="1270"/>
        <c:marker>
          <c:symbol val="none"/>
        </c:marker>
      </c:pivotFmt>
      <c:pivotFmt>
        <c:idx val="1271"/>
        <c:marker>
          <c:symbol val="none"/>
        </c:marker>
      </c:pivotFmt>
      <c:pivotFmt>
        <c:idx val="1272"/>
        <c:marker>
          <c:symbol val="none"/>
        </c:marker>
      </c:pivotFmt>
      <c:pivotFmt>
        <c:idx val="1273"/>
        <c:marker>
          <c:symbol val="none"/>
        </c:marker>
      </c:pivotFmt>
      <c:pivotFmt>
        <c:idx val="1274"/>
        <c:marker>
          <c:symbol val="none"/>
        </c:marker>
      </c:pivotFmt>
      <c:pivotFmt>
        <c:idx val="1275"/>
        <c:marker>
          <c:symbol val="none"/>
        </c:marker>
      </c:pivotFmt>
      <c:pivotFmt>
        <c:idx val="1276"/>
        <c:marker>
          <c:symbol val="none"/>
        </c:marker>
      </c:pivotFmt>
      <c:pivotFmt>
        <c:idx val="1277"/>
        <c:marker>
          <c:symbol val="none"/>
        </c:marker>
      </c:pivotFmt>
      <c:pivotFmt>
        <c:idx val="1278"/>
        <c:marker>
          <c:symbol val="none"/>
        </c:marker>
      </c:pivotFmt>
      <c:pivotFmt>
        <c:idx val="1279"/>
        <c:marker>
          <c:symbol val="none"/>
        </c:marker>
      </c:pivotFmt>
      <c:pivotFmt>
        <c:idx val="1280"/>
        <c:marker>
          <c:symbol val="none"/>
        </c:marker>
      </c:pivotFmt>
      <c:pivotFmt>
        <c:idx val="1281"/>
        <c:marker>
          <c:symbol val="none"/>
        </c:marker>
      </c:pivotFmt>
      <c:pivotFmt>
        <c:idx val="1282"/>
        <c:marker>
          <c:symbol val="none"/>
        </c:marker>
      </c:pivotFmt>
      <c:pivotFmt>
        <c:idx val="1283"/>
        <c:spPr>
          <a:ln>
            <a:solidFill>
              <a:srgbClr val="FF0000"/>
            </a:solidFill>
          </a:ln>
        </c:spPr>
        <c:marker>
          <c:symbol val="none"/>
        </c:marker>
      </c:pivotFmt>
      <c:pivotFmt>
        <c:idx val="1284"/>
        <c:marker>
          <c:symbol val="none"/>
        </c:marker>
      </c:pivotFmt>
      <c:pivotFmt>
        <c:idx val="1285"/>
        <c:spPr>
          <a:ln>
            <a:solidFill>
              <a:schemeClr val="tx1"/>
            </a:solidFill>
          </a:ln>
        </c:spPr>
        <c:marker>
          <c:symbol val="none"/>
        </c:marker>
      </c:pivotFmt>
      <c:pivotFmt>
        <c:idx val="1286"/>
        <c:marker>
          <c:symbol val="none"/>
        </c:marker>
      </c:pivotFmt>
      <c:pivotFmt>
        <c:idx val="1287"/>
        <c:marker>
          <c:symbol val="none"/>
        </c:marker>
      </c:pivotFmt>
      <c:pivotFmt>
        <c:idx val="1288"/>
        <c:marker>
          <c:symbol val="none"/>
        </c:marker>
      </c:pivotFmt>
      <c:pivotFmt>
        <c:idx val="1289"/>
        <c:marker>
          <c:symbol val="none"/>
        </c:marker>
      </c:pivotFmt>
      <c:pivotFmt>
        <c:idx val="1290"/>
        <c:marker>
          <c:symbol val="none"/>
        </c:marker>
      </c:pivotFmt>
      <c:pivotFmt>
        <c:idx val="1291"/>
        <c:marker>
          <c:symbol val="none"/>
        </c:marker>
      </c:pivotFmt>
      <c:pivotFmt>
        <c:idx val="1292"/>
        <c:marker>
          <c:symbol val="none"/>
        </c:marker>
      </c:pivotFmt>
      <c:pivotFmt>
        <c:idx val="1293"/>
        <c:marker>
          <c:symbol val="none"/>
        </c:marker>
      </c:pivotFmt>
      <c:pivotFmt>
        <c:idx val="1294"/>
        <c:marker>
          <c:symbol val="none"/>
        </c:marker>
      </c:pivotFmt>
      <c:pivotFmt>
        <c:idx val="1295"/>
        <c:marker>
          <c:symbol val="none"/>
        </c:marker>
      </c:pivotFmt>
      <c:pivotFmt>
        <c:idx val="1296"/>
        <c:marker>
          <c:symbol val="none"/>
        </c:marker>
      </c:pivotFmt>
      <c:pivotFmt>
        <c:idx val="1297"/>
        <c:marker>
          <c:symbol val="none"/>
        </c:marker>
      </c:pivotFmt>
      <c:pivotFmt>
        <c:idx val="1298"/>
        <c:marker>
          <c:symbol val="none"/>
        </c:marker>
      </c:pivotFmt>
      <c:pivotFmt>
        <c:idx val="1299"/>
        <c:marker>
          <c:symbol val="none"/>
        </c:marker>
      </c:pivotFmt>
      <c:pivotFmt>
        <c:idx val="1300"/>
        <c:marker>
          <c:symbol val="none"/>
        </c:marker>
      </c:pivotFmt>
      <c:pivotFmt>
        <c:idx val="1301"/>
        <c:spPr>
          <a:ln>
            <a:solidFill>
              <a:srgbClr val="FF0000"/>
            </a:solidFill>
          </a:ln>
        </c:spPr>
        <c:marker>
          <c:symbol val="none"/>
        </c:marker>
      </c:pivotFmt>
      <c:pivotFmt>
        <c:idx val="1302"/>
        <c:marker>
          <c:symbol val="none"/>
        </c:marker>
      </c:pivotFmt>
      <c:pivotFmt>
        <c:idx val="1303"/>
        <c:spPr>
          <a:ln>
            <a:solidFill>
              <a:schemeClr val="tx1"/>
            </a:solidFill>
          </a:ln>
        </c:spPr>
        <c:marker>
          <c:symbol val="none"/>
        </c:marker>
      </c:pivotFmt>
      <c:pivotFmt>
        <c:idx val="1304"/>
        <c:marker>
          <c:symbol val="none"/>
        </c:marker>
      </c:pivotFmt>
      <c:pivotFmt>
        <c:idx val="1305"/>
        <c:marker>
          <c:symbol val="none"/>
        </c:marker>
      </c:pivotFmt>
      <c:pivotFmt>
        <c:idx val="1306"/>
        <c:marker>
          <c:symbol val="none"/>
        </c:marker>
      </c:pivotFmt>
      <c:pivotFmt>
        <c:idx val="1307"/>
        <c:marker>
          <c:symbol val="none"/>
        </c:marker>
      </c:pivotFmt>
      <c:pivotFmt>
        <c:idx val="1308"/>
        <c:marker>
          <c:symbol val="none"/>
        </c:marker>
      </c:pivotFmt>
      <c:pivotFmt>
        <c:idx val="1309"/>
        <c:marker>
          <c:symbol val="none"/>
        </c:marker>
      </c:pivotFmt>
      <c:pivotFmt>
        <c:idx val="1310"/>
        <c:marker>
          <c:symbol val="none"/>
        </c:marker>
      </c:pivotFmt>
      <c:pivotFmt>
        <c:idx val="1311"/>
        <c:marker>
          <c:symbol val="none"/>
        </c:marker>
      </c:pivotFmt>
      <c:pivotFmt>
        <c:idx val="1312"/>
        <c:marker>
          <c:symbol val="none"/>
        </c:marker>
      </c:pivotFmt>
      <c:pivotFmt>
        <c:idx val="1313"/>
        <c:marker>
          <c:symbol val="none"/>
        </c:marker>
      </c:pivotFmt>
      <c:pivotFmt>
        <c:idx val="1314"/>
        <c:marker>
          <c:symbol val="none"/>
        </c:marker>
      </c:pivotFmt>
      <c:pivotFmt>
        <c:idx val="1315"/>
        <c:marker>
          <c:symbol val="none"/>
        </c:marker>
      </c:pivotFmt>
      <c:pivotFmt>
        <c:idx val="1316"/>
        <c:marker>
          <c:symbol val="none"/>
        </c:marker>
      </c:pivotFmt>
      <c:pivotFmt>
        <c:idx val="1317"/>
        <c:marker>
          <c:symbol val="none"/>
        </c:marker>
      </c:pivotFmt>
      <c:pivotFmt>
        <c:idx val="1318"/>
        <c:marker>
          <c:symbol val="none"/>
        </c:marker>
      </c:pivotFmt>
      <c:pivotFmt>
        <c:idx val="1319"/>
        <c:spPr>
          <a:ln>
            <a:solidFill>
              <a:srgbClr val="FF0000"/>
            </a:solidFill>
          </a:ln>
        </c:spPr>
        <c:marker>
          <c:symbol val="none"/>
        </c:marker>
      </c:pivotFmt>
      <c:pivotFmt>
        <c:idx val="1320"/>
        <c:marker>
          <c:symbol val="none"/>
        </c:marker>
      </c:pivotFmt>
      <c:pivotFmt>
        <c:idx val="1321"/>
        <c:spPr>
          <a:ln>
            <a:solidFill>
              <a:schemeClr val="tx1"/>
            </a:solidFill>
          </a:ln>
        </c:spPr>
        <c:marker>
          <c:symbol val="none"/>
        </c:marker>
      </c:pivotFmt>
      <c:pivotFmt>
        <c:idx val="1322"/>
        <c:marker>
          <c:symbol val="none"/>
        </c:marker>
      </c:pivotFmt>
      <c:pivotFmt>
        <c:idx val="1323"/>
        <c:marker>
          <c:symbol val="none"/>
        </c:marker>
      </c:pivotFmt>
      <c:pivotFmt>
        <c:idx val="1324"/>
        <c:marker>
          <c:symbol val="none"/>
        </c:marker>
      </c:pivotFmt>
      <c:pivotFmt>
        <c:idx val="1325"/>
        <c:marker>
          <c:symbol val="none"/>
        </c:marker>
      </c:pivotFmt>
      <c:pivotFmt>
        <c:idx val="1326"/>
        <c:marker>
          <c:symbol val="none"/>
        </c:marker>
      </c:pivotFmt>
      <c:pivotFmt>
        <c:idx val="1327"/>
        <c:marker>
          <c:symbol val="none"/>
        </c:marker>
      </c:pivotFmt>
      <c:pivotFmt>
        <c:idx val="1328"/>
        <c:marker>
          <c:symbol val="none"/>
        </c:marker>
      </c:pivotFmt>
      <c:pivotFmt>
        <c:idx val="1329"/>
        <c:marker>
          <c:symbol val="none"/>
        </c:marker>
      </c:pivotFmt>
      <c:pivotFmt>
        <c:idx val="1330"/>
        <c:marker>
          <c:symbol val="none"/>
        </c:marker>
      </c:pivotFmt>
      <c:pivotFmt>
        <c:idx val="1331"/>
        <c:marker>
          <c:symbol val="none"/>
        </c:marker>
      </c:pivotFmt>
      <c:pivotFmt>
        <c:idx val="1332"/>
        <c:marker>
          <c:symbol val="none"/>
        </c:marker>
      </c:pivotFmt>
      <c:pivotFmt>
        <c:idx val="1333"/>
        <c:marker>
          <c:symbol val="none"/>
        </c:marker>
      </c:pivotFmt>
      <c:pivotFmt>
        <c:idx val="1334"/>
        <c:marker>
          <c:symbol val="none"/>
        </c:marker>
      </c:pivotFmt>
      <c:pivotFmt>
        <c:idx val="1335"/>
        <c:marker>
          <c:symbol val="none"/>
        </c:marker>
      </c:pivotFmt>
      <c:pivotFmt>
        <c:idx val="1336"/>
        <c:marker>
          <c:symbol val="none"/>
        </c:marker>
      </c:pivotFmt>
      <c:pivotFmt>
        <c:idx val="1337"/>
        <c:marker>
          <c:symbol val="none"/>
        </c:marker>
      </c:pivotFmt>
      <c:pivotFmt>
        <c:idx val="1338"/>
        <c:marker>
          <c:symbol val="none"/>
        </c:marker>
      </c:pivotFmt>
      <c:pivotFmt>
        <c:idx val="1339"/>
        <c:spPr>
          <a:ln>
            <a:solidFill>
              <a:srgbClr val="FF0000"/>
            </a:solidFill>
          </a:ln>
        </c:spPr>
        <c:marker>
          <c:symbol val="none"/>
        </c:marker>
      </c:pivotFmt>
      <c:pivotFmt>
        <c:idx val="1340"/>
        <c:marker>
          <c:symbol val="none"/>
        </c:marker>
      </c:pivotFmt>
      <c:pivotFmt>
        <c:idx val="1341"/>
        <c:spPr>
          <a:ln>
            <a:solidFill>
              <a:schemeClr val="tx1"/>
            </a:solidFill>
          </a:ln>
        </c:spPr>
        <c:marker>
          <c:symbol val="none"/>
        </c:marker>
      </c:pivotFmt>
      <c:pivotFmt>
        <c:idx val="1342"/>
        <c:marker>
          <c:symbol val="none"/>
        </c:marker>
      </c:pivotFmt>
      <c:pivotFmt>
        <c:idx val="1343"/>
        <c:marker>
          <c:symbol val="none"/>
        </c:marker>
      </c:pivotFmt>
      <c:pivotFmt>
        <c:idx val="1344"/>
        <c:marker>
          <c:symbol val="none"/>
        </c:marker>
      </c:pivotFmt>
      <c:pivotFmt>
        <c:idx val="1345"/>
        <c:marker>
          <c:symbol val="none"/>
        </c:marker>
      </c:pivotFmt>
      <c:pivotFmt>
        <c:idx val="1346"/>
        <c:marker>
          <c:symbol val="none"/>
        </c:marker>
      </c:pivotFmt>
      <c:pivotFmt>
        <c:idx val="1347"/>
        <c:marker>
          <c:symbol val="none"/>
        </c:marker>
      </c:pivotFmt>
      <c:pivotFmt>
        <c:idx val="1348"/>
        <c:marker>
          <c:symbol val="none"/>
        </c:marker>
      </c:pivotFmt>
      <c:pivotFmt>
        <c:idx val="1349"/>
        <c:marker>
          <c:symbol val="none"/>
        </c:marker>
      </c:pivotFmt>
      <c:pivotFmt>
        <c:idx val="1350"/>
        <c:marker>
          <c:symbol val="none"/>
        </c:marker>
      </c:pivotFmt>
      <c:pivotFmt>
        <c:idx val="1351"/>
        <c:marker>
          <c:symbol val="none"/>
        </c:marker>
      </c:pivotFmt>
      <c:pivotFmt>
        <c:idx val="1352"/>
        <c:marker>
          <c:symbol val="none"/>
        </c:marker>
      </c:pivotFmt>
      <c:pivotFmt>
        <c:idx val="1353"/>
        <c:marker>
          <c:symbol val="none"/>
        </c:marker>
      </c:pivotFmt>
      <c:pivotFmt>
        <c:idx val="1354"/>
        <c:marker>
          <c:symbol val="none"/>
        </c:marker>
      </c:pivotFmt>
      <c:pivotFmt>
        <c:idx val="1355"/>
        <c:marker>
          <c:symbol val="none"/>
        </c:marker>
      </c:pivotFmt>
      <c:pivotFmt>
        <c:idx val="1356"/>
        <c:marker>
          <c:symbol val="none"/>
        </c:marker>
      </c:pivotFmt>
      <c:pivotFmt>
        <c:idx val="1357"/>
        <c:marker>
          <c:symbol val="none"/>
        </c:marker>
      </c:pivotFmt>
      <c:pivotFmt>
        <c:idx val="1358"/>
        <c:marker>
          <c:symbol val="none"/>
        </c:marker>
      </c:pivotFmt>
      <c:pivotFmt>
        <c:idx val="1359"/>
        <c:marker>
          <c:symbol val="none"/>
        </c:marker>
      </c:pivotFmt>
      <c:pivotFmt>
        <c:idx val="1360"/>
        <c:marker>
          <c:symbol val="none"/>
        </c:marker>
      </c:pivotFmt>
      <c:pivotFmt>
        <c:idx val="1361"/>
        <c:marker>
          <c:symbol val="none"/>
        </c:marker>
      </c:pivotFmt>
      <c:pivotFmt>
        <c:idx val="1362"/>
        <c:marker>
          <c:symbol val="none"/>
        </c:marker>
      </c:pivotFmt>
      <c:pivotFmt>
        <c:idx val="1363"/>
        <c:marker>
          <c:symbol val="none"/>
        </c:marker>
      </c:pivotFmt>
      <c:pivotFmt>
        <c:idx val="1364"/>
        <c:marker>
          <c:symbol val="none"/>
        </c:marker>
      </c:pivotFmt>
      <c:pivotFmt>
        <c:idx val="1365"/>
        <c:marker>
          <c:symbol val="none"/>
        </c:marker>
      </c:pivotFmt>
      <c:pivotFmt>
        <c:idx val="1366"/>
        <c:marker>
          <c:symbol val="none"/>
        </c:marker>
      </c:pivotFmt>
      <c:pivotFmt>
        <c:idx val="1367"/>
        <c:marker>
          <c:symbol val="none"/>
        </c:marker>
      </c:pivotFmt>
      <c:pivotFmt>
        <c:idx val="1368"/>
        <c:marker>
          <c:symbol val="none"/>
        </c:marker>
      </c:pivotFmt>
      <c:pivotFmt>
        <c:idx val="1369"/>
        <c:marker>
          <c:symbol val="none"/>
        </c:marker>
      </c:pivotFmt>
      <c:pivotFmt>
        <c:idx val="1370"/>
        <c:marker>
          <c:symbol val="none"/>
        </c:marker>
      </c:pivotFmt>
      <c:pivotFmt>
        <c:idx val="1371"/>
        <c:marker>
          <c:symbol val="none"/>
        </c:marker>
      </c:pivotFmt>
      <c:pivotFmt>
        <c:idx val="1372"/>
        <c:marker>
          <c:symbol val="none"/>
        </c:marker>
      </c:pivotFmt>
      <c:pivotFmt>
        <c:idx val="1373"/>
        <c:marker>
          <c:symbol val="none"/>
        </c:marker>
      </c:pivotFmt>
      <c:pivotFmt>
        <c:idx val="1374"/>
        <c:marker>
          <c:symbol val="none"/>
        </c:marker>
      </c:pivotFmt>
      <c:pivotFmt>
        <c:idx val="1375"/>
        <c:marker>
          <c:symbol val="none"/>
        </c:marker>
      </c:pivotFmt>
      <c:pivotFmt>
        <c:idx val="1376"/>
        <c:marker>
          <c:symbol val="none"/>
        </c:marker>
      </c:pivotFmt>
      <c:pivotFmt>
        <c:idx val="1377"/>
        <c:marker>
          <c:symbol val="none"/>
        </c:marker>
      </c:pivotFmt>
      <c:pivotFmt>
        <c:idx val="1378"/>
        <c:marker>
          <c:symbol val="none"/>
        </c:marker>
      </c:pivotFmt>
      <c:pivotFmt>
        <c:idx val="1379"/>
        <c:marker>
          <c:symbol val="none"/>
        </c:marker>
      </c:pivotFmt>
      <c:pivotFmt>
        <c:idx val="1380"/>
        <c:marker>
          <c:symbol val="none"/>
        </c:marker>
      </c:pivotFmt>
      <c:pivotFmt>
        <c:idx val="1381"/>
        <c:marker>
          <c:symbol val="none"/>
        </c:marker>
      </c:pivotFmt>
      <c:pivotFmt>
        <c:idx val="1382"/>
        <c:marker>
          <c:symbol val="none"/>
        </c:marker>
      </c:pivotFmt>
      <c:pivotFmt>
        <c:idx val="1383"/>
        <c:marker>
          <c:symbol val="none"/>
        </c:marker>
      </c:pivotFmt>
      <c:pivotFmt>
        <c:idx val="1384"/>
        <c:marker>
          <c:symbol val="none"/>
        </c:marker>
      </c:pivotFmt>
      <c:pivotFmt>
        <c:idx val="1385"/>
        <c:marker>
          <c:symbol val="none"/>
        </c:marker>
      </c:pivotFmt>
      <c:pivotFmt>
        <c:idx val="1386"/>
        <c:marker>
          <c:symbol val="none"/>
        </c:marker>
      </c:pivotFmt>
      <c:pivotFmt>
        <c:idx val="1387"/>
        <c:marker>
          <c:symbol val="none"/>
        </c:marker>
      </c:pivotFmt>
      <c:pivotFmt>
        <c:idx val="1388"/>
        <c:marker>
          <c:symbol val="none"/>
        </c:marker>
      </c:pivotFmt>
      <c:pivotFmt>
        <c:idx val="1389"/>
        <c:marker>
          <c:symbol val="none"/>
        </c:marker>
      </c:pivotFmt>
      <c:pivotFmt>
        <c:idx val="1390"/>
        <c:marker>
          <c:symbol val="none"/>
        </c:marker>
      </c:pivotFmt>
      <c:pivotFmt>
        <c:idx val="1391"/>
        <c:marker>
          <c:symbol val="none"/>
        </c:marker>
      </c:pivotFmt>
      <c:pivotFmt>
        <c:idx val="1392"/>
        <c:marker>
          <c:symbol val="none"/>
        </c:marker>
      </c:pivotFmt>
      <c:pivotFmt>
        <c:idx val="1393"/>
        <c:marker>
          <c:symbol val="none"/>
        </c:marker>
      </c:pivotFmt>
      <c:pivotFmt>
        <c:idx val="1394"/>
        <c:marker>
          <c:symbol val="none"/>
        </c:marker>
      </c:pivotFmt>
      <c:pivotFmt>
        <c:idx val="1395"/>
        <c:marker>
          <c:symbol val="none"/>
        </c:marker>
      </c:pivotFmt>
      <c:pivotFmt>
        <c:idx val="1396"/>
        <c:marker>
          <c:symbol val="none"/>
        </c:marker>
      </c:pivotFmt>
      <c:pivotFmt>
        <c:idx val="1397"/>
        <c:marker>
          <c:symbol val="none"/>
        </c:marker>
      </c:pivotFmt>
      <c:pivotFmt>
        <c:idx val="1398"/>
        <c:marker>
          <c:symbol val="none"/>
        </c:marker>
      </c:pivotFmt>
      <c:pivotFmt>
        <c:idx val="1399"/>
        <c:marker>
          <c:symbol val="none"/>
        </c:marker>
      </c:pivotFmt>
      <c:pivotFmt>
        <c:idx val="1400"/>
        <c:marker>
          <c:symbol val="none"/>
        </c:marker>
      </c:pivotFmt>
      <c:pivotFmt>
        <c:idx val="1401"/>
        <c:marker>
          <c:symbol val="none"/>
        </c:marker>
      </c:pivotFmt>
      <c:pivotFmt>
        <c:idx val="1402"/>
        <c:marker>
          <c:symbol val="none"/>
        </c:marker>
      </c:pivotFmt>
      <c:pivotFmt>
        <c:idx val="1403"/>
        <c:marker>
          <c:symbol val="none"/>
        </c:marker>
      </c:pivotFmt>
      <c:pivotFmt>
        <c:idx val="1404"/>
        <c:marker>
          <c:symbol val="none"/>
        </c:marker>
      </c:pivotFmt>
      <c:pivotFmt>
        <c:idx val="1405"/>
        <c:marker>
          <c:symbol val="none"/>
        </c:marker>
      </c:pivotFmt>
      <c:pivotFmt>
        <c:idx val="1406"/>
        <c:marker>
          <c:symbol val="none"/>
        </c:marker>
      </c:pivotFmt>
      <c:pivotFmt>
        <c:idx val="1407"/>
        <c:marker>
          <c:symbol val="none"/>
        </c:marker>
      </c:pivotFmt>
      <c:pivotFmt>
        <c:idx val="1408"/>
        <c:marker>
          <c:symbol val="none"/>
        </c:marker>
      </c:pivotFmt>
      <c:pivotFmt>
        <c:idx val="1409"/>
        <c:marker>
          <c:symbol val="none"/>
        </c:marker>
      </c:pivotFmt>
      <c:pivotFmt>
        <c:idx val="1410"/>
        <c:marker>
          <c:symbol val="none"/>
        </c:marker>
      </c:pivotFmt>
      <c:pivotFmt>
        <c:idx val="1411"/>
        <c:marker>
          <c:symbol val="none"/>
        </c:marker>
      </c:pivotFmt>
      <c:pivotFmt>
        <c:idx val="1412"/>
        <c:marker>
          <c:symbol val="none"/>
        </c:marker>
      </c:pivotFmt>
      <c:pivotFmt>
        <c:idx val="1413"/>
        <c:marker>
          <c:symbol val="none"/>
        </c:marker>
      </c:pivotFmt>
      <c:pivotFmt>
        <c:idx val="1414"/>
        <c:marker>
          <c:symbol val="none"/>
        </c:marker>
      </c:pivotFmt>
      <c:pivotFmt>
        <c:idx val="1415"/>
        <c:marker>
          <c:symbol val="none"/>
        </c:marker>
      </c:pivotFmt>
      <c:pivotFmt>
        <c:idx val="1416"/>
        <c:marker>
          <c:symbol val="none"/>
        </c:marker>
      </c:pivotFmt>
      <c:pivotFmt>
        <c:idx val="1417"/>
        <c:marker>
          <c:symbol val="none"/>
        </c:marker>
      </c:pivotFmt>
      <c:pivotFmt>
        <c:idx val="1418"/>
        <c:marker>
          <c:symbol val="none"/>
        </c:marker>
      </c:pivotFmt>
      <c:pivotFmt>
        <c:idx val="1419"/>
        <c:marker>
          <c:symbol val="none"/>
        </c:marker>
      </c:pivotFmt>
      <c:pivotFmt>
        <c:idx val="1420"/>
        <c:marker>
          <c:symbol val="none"/>
        </c:marker>
      </c:pivotFmt>
      <c:pivotFmt>
        <c:idx val="1421"/>
        <c:marker>
          <c:symbol val="none"/>
        </c:marker>
      </c:pivotFmt>
      <c:pivotFmt>
        <c:idx val="1422"/>
        <c:marker>
          <c:symbol val="none"/>
        </c:marker>
      </c:pivotFmt>
      <c:pivotFmt>
        <c:idx val="1423"/>
        <c:marker>
          <c:symbol val="none"/>
        </c:marker>
      </c:pivotFmt>
      <c:pivotFmt>
        <c:idx val="1424"/>
        <c:marker>
          <c:symbol val="none"/>
        </c:marker>
      </c:pivotFmt>
      <c:pivotFmt>
        <c:idx val="1425"/>
        <c:marker>
          <c:symbol val="none"/>
        </c:marker>
      </c:pivotFmt>
      <c:pivotFmt>
        <c:idx val="1426"/>
        <c:marker>
          <c:symbol val="none"/>
        </c:marker>
      </c:pivotFmt>
      <c:pivotFmt>
        <c:idx val="1427"/>
        <c:marker>
          <c:symbol val="none"/>
        </c:marker>
      </c:pivotFmt>
      <c:pivotFmt>
        <c:idx val="1428"/>
        <c:marker>
          <c:symbol val="none"/>
        </c:marker>
      </c:pivotFmt>
      <c:pivotFmt>
        <c:idx val="1429"/>
        <c:marker>
          <c:symbol val="none"/>
        </c:marker>
      </c:pivotFmt>
      <c:pivotFmt>
        <c:idx val="1430"/>
        <c:marker>
          <c:symbol val="none"/>
        </c:marker>
      </c:pivotFmt>
      <c:pivotFmt>
        <c:idx val="1431"/>
        <c:marker>
          <c:symbol val="none"/>
        </c:marker>
      </c:pivotFmt>
      <c:pivotFmt>
        <c:idx val="1432"/>
        <c:marker>
          <c:symbol val="none"/>
        </c:marker>
      </c:pivotFmt>
      <c:pivotFmt>
        <c:idx val="1433"/>
        <c:marker>
          <c:symbol val="none"/>
        </c:marker>
      </c:pivotFmt>
      <c:pivotFmt>
        <c:idx val="1434"/>
        <c:marker>
          <c:symbol val="none"/>
        </c:marker>
      </c:pivotFmt>
      <c:pivotFmt>
        <c:idx val="1435"/>
        <c:marker>
          <c:symbol val="none"/>
        </c:marker>
      </c:pivotFmt>
      <c:pivotFmt>
        <c:idx val="1436"/>
        <c:marker>
          <c:symbol val="none"/>
        </c:marker>
      </c:pivotFmt>
      <c:pivotFmt>
        <c:idx val="1437"/>
        <c:marker>
          <c:symbol val="none"/>
        </c:marker>
      </c:pivotFmt>
      <c:pivotFmt>
        <c:idx val="1438"/>
        <c:marker>
          <c:symbol val="none"/>
        </c:marker>
      </c:pivotFmt>
      <c:pivotFmt>
        <c:idx val="1439"/>
        <c:marker>
          <c:symbol val="none"/>
        </c:marker>
      </c:pivotFmt>
      <c:pivotFmt>
        <c:idx val="1440"/>
        <c:marker>
          <c:symbol val="none"/>
        </c:marker>
      </c:pivotFmt>
      <c:pivotFmt>
        <c:idx val="1441"/>
        <c:marker>
          <c:symbol val="none"/>
        </c:marker>
      </c:pivotFmt>
      <c:pivotFmt>
        <c:idx val="1442"/>
        <c:marker>
          <c:symbol val="none"/>
        </c:marker>
      </c:pivotFmt>
      <c:pivotFmt>
        <c:idx val="1443"/>
        <c:marker>
          <c:symbol val="none"/>
        </c:marker>
      </c:pivotFmt>
      <c:pivotFmt>
        <c:idx val="1444"/>
        <c:marker>
          <c:symbol val="none"/>
        </c:marker>
      </c:pivotFmt>
      <c:pivotFmt>
        <c:idx val="1445"/>
        <c:marker>
          <c:symbol val="none"/>
        </c:marker>
      </c:pivotFmt>
      <c:pivotFmt>
        <c:idx val="1446"/>
        <c:marker>
          <c:symbol val="none"/>
        </c:marker>
      </c:pivotFmt>
      <c:pivotFmt>
        <c:idx val="1447"/>
        <c:marker>
          <c:symbol val="none"/>
        </c:marker>
      </c:pivotFmt>
      <c:pivotFmt>
        <c:idx val="1448"/>
        <c:marker>
          <c:symbol val="none"/>
        </c:marker>
      </c:pivotFmt>
      <c:pivotFmt>
        <c:idx val="1449"/>
        <c:marker>
          <c:symbol val="none"/>
        </c:marker>
      </c:pivotFmt>
      <c:pivotFmt>
        <c:idx val="1450"/>
        <c:marker>
          <c:symbol val="none"/>
        </c:marker>
      </c:pivotFmt>
      <c:pivotFmt>
        <c:idx val="1451"/>
        <c:marker>
          <c:symbol val="none"/>
        </c:marker>
      </c:pivotFmt>
      <c:pivotFmt>
        <c:idx val="1452"/>
        <c:marker>
          <c:symbol val="none"/>
        </c:marker>
      </c:pivotFmt>
      <c:pivotFmt>
        <c:idx val="1453"/>
        <c:marker>
          <c:symbol val="none"/>
        </c:marker>
      </c:pivotFmt>
      <c:pivotFmt>
        <c:idx val="1454"/>
        <c:marker>
          <c:symbol val="none"/>
        </c:marker>
      </c:pivotFmt>
      <c:pivotFmt>
        <c:idx val="1455"/>
        <c:marker>
          <c:symbol val="none"/>
        </c:marker>
      </c:pivotFmt>
      <c:pivotFmt>
        <c:idx val="1456"/>
        <c:marker>
          <c:symbol val="none"/>
        </c:marker>
      </c:pivotFmt>
      <c:pivotFmt>
        <c:idx val="1457"/>
        <c:marker>
          <c:symbol val="none"/>
        </c:marker>
      </c:pivotFmt>
      <c:pivotFmt>
        <c:idx val="1458"/>
        <c:marker>
          <c:symbol val="none"/>
        </c:marker>
      </c:pivotFmt>
      <c:pivotFmt>
        <c:idx val="1459"/>
        <c:marker>
          <c:symbol val="none"/>
        </c:marker>
      </c:pivotFmt>
      <c:pivotFmt>
        <c:idx val="1460"/>
        <c:marker>
          <c:symbol val="none"/>
        </c:marker>
      </c:pivotFmt>
      <c:pivotFmt>
        <c:idx val="1461"/>
        <c:marker>
          <c:symbol val="none"/>
        </c:marker>
      </c:pivotFmt>
      <c:pivotFmt>
        <c:idx val="1462"/>
        <c:marker>
          <c:symbol val="none"/>
        </c:marker>
      </c:pivotFmt>
      <c:pivotFmt>
        <c:idx val="1463"/>
        <c:marker>
          <c:symbol val="none"/>
        </c:marker>
      </c:pivotFmt>
      <c:pivotFmt>
        <c:idx val="1464"/>
        <c:marker>
          <c:symbol val="none"/>
        </c:marker>
      </c:pivotFmt>
      <c:pivotFmt>
        <c:idx val="1465"/>
        <c:marker>
          <c:symbol val="none"/>
        </c:marker>
      </c:pivotFmt>
      <c:pivotFmt>
        <c:idx val="1466"/>
        <c:marker>
          <c:symbol val="none"/>
        </c:marker>
      </c:pivotFmt>
      <c:pivotFmt>
        <c:idx val="1467"/>
        <c:marker>
          <c:symbol val="none"/>
        </c:marker>
      </c:pivotFmt>
      <c:pivotFmt>
        <c:idx val="1468"/>
        <c:marker>
          <c:symbol val="none"/>
        </c:marker>
      </c:pivotFmt>
      <c:pivotFmt>
        <c:idx val="1469"/>
        <c:marker>
          <c:symbol val="none"/>
        </c:marker>
      </c:pivotFmt>
      <c:pivotFmt>
        <c:idx val="1470"/>
        <c:marker>
          <c:symbol val="none"/>
        </c:marker>
      </c:pivotFmt>
      <c:pivotFmt>
        <c:idx val="1471"/>
        <c:marker>
          <c:symbol val="none"/>
        </c:marker>
      </c:pivotFmt>
      <c:pivotFmt>
        <c:idx val="1472"/>
        <c:marker>
          <c:symbol val="none"/>
        </c:marker>
      </c:pivotFmt>
      <c:pivotFmt>
        <c:idx val="1473"/>
        <c:marker>
          <c:symbol val="none"/>
        </c:marker>
      </c:pivotFmt>
      <c:pivotFmt>
        <c:idx val="1474"/>
        <c:marker>
          <c:symbol val="none"/>
        </c:marker>
      </c:pivotFmt>
      <c:pivotFmt>
        <c:idx val="1475"/>
        <c:marker>
          <c:symbol val="none"/>
        </c:marker>
      </c:pivotFmt>
      <c:pivotFmt>
        <c:idx val="1476"/>
        <c:marker>
          <c:symbol val="none"/>
        </c:marker>
      </c:pivotFmt>
      <c:pivotFmt>
        <c:idx val="1477"/>
        <c:marker>
          <c:symbol val="none"/>
        </c:marker>
      </c:pivotFmt>
      <c:pivotFmt>
        <c:idx val="1478"/>
        <c:marker>
          <c:symbol val="none"/>
        </c:marker>
      </c:pivotFmt>
      <c:pivotFmt>
        <c:idx val="1479"/>
        <c:marker>
          <c:symbol val="none"/>
        </c:marker>
      </c:pivotFmt>
      <c:pivotFmt>
        <c:idx val="1480"/>
        <c:marker>
          <c:symbol val="none"/>
        </c:marker>
      </c:pivotFmt>
      <c:pivotFmt>
        <c:idx val="1481"/>
        <c:marker>
          <c:symbol val="none"/>
        </c:marker>
      </c:pivotFmt>
      <c:pivotFmt>
        <c:idx val="1482"/>
        <c:marker>
          <c:symbol val="none"/>
        </c:marker>
      </c:pivotFmt>
      <c:pivotFmt>
        <c:idx val="1483"/>
        <c:marker>
          <c:symbol val="none"/>
        </c:marker>
      </c:pivotFmt>
      <c:pivotFmt>
        <c:idx val="1484"/>
        <c:marker>
          <c:symbol val="none"/>
        </c:marker>
      </c:pivotFmt>
      <c:pivotFmt>
        <c:idx val="1485"/>
        <c:marker>
          <c:symbol val="none"/>
        </c:marker>
      </c:pivotFmt>
      <c:pivotFmt>
        <c:idx val="1486"/>
        <c:marker>
          <c:symbol val="none"/>
        </c:marker>
      </c:pivotFmt>
      <c:pivotFmt>
        <c:idx val="1487"/>
        <c:marker>
          <c:symbol val="none"/>
        </c:marker>
      </c:pivotFmt>
      <c:pivotFmt>
        <c:idx val="1488"/>
        <c:marker>
          <c:symbol val="none"/>
        </c:marker>
      </c:pivotFmt>
      <c:pivotFmt>
        <c:idx val="1489"/>
        <c:marker>
          <c:symbol val="none"/>
        </c:marker>
      </c:pivotFmt>
      <c:pivotFmt>
        <c:idx val="1490"/>
        <c:marker>
          <c:symbol val="none"/>
        </c:marker>
      </c:pivotFmt>
      <c:pivotFmt>
        <c:idx val="1491"/>
        <c:marker>
          <c:symbol val="none"/>
        </c:marker>
      </c:pivotFmt>
      <c:pivotFmt>
        <c:idx val="1492"/>
        <c:marker>
          <c:symbol val="none"/>
        </c:marker>
      </c:pivotFmt>
      <c:pivotFmt>
        <c:idx val="1493"/>
        <c:marker>
          <c:symbol val="none"/>
        </c:marker>
      </c:pivotFmt>
      <c:pivotFmt>
        <c:idx val="1494"/>
        <c:marker>
          <c:symbol val="none"/>
        </c:marker>
      </c:pivotFmt>
      <c:pivotFmt>
        <c:idx val="1495"/>
        <c:marker>
          <c:symbol val="none"/>
        </c:marker>
      </c:pivotFmt>
      <c:pivotFmt>
        <c:idx val="1496"/>
        <c:marker>
          <c:symbol val="none"/>
        </c:marker>
      </c:pivotFmt>
      <c:pivotFmt>
        <c:idx val="1497"/>
        <c:marker>
          <c:symbol val="none"/>
        </c:marker>
      </c:pivotFmt>
      <c:pivotFmt>
        <c:idx val="1498"/>
        <c:marker>
          <c:symbol val="none"/>
        </c:marker>
      </c:pivotFmt>
      <c:pivotFmt>
        <c:idx val="1499"/>
        <c:marker>
          <c:symbol val="none"/>
        </c:marker>
      </c:pivotFmt>
      <c:pivotFmt>
        <c:idx val="1500"/>
        <c:marker>
          <c:symbol val="none"/>
        </c:marker>
      </c:pivotFmt>
      <c:pivotFmt>
        <c:idx val="1501"/>
        <c:marker>
          <c:symbol val="none"/>
        </c:marker>
      </c:pivotFmt>
      <c:pivotFmt>
        <c:idx val="1502"/>
        <c:marker>
          <c:symbol val="none"/>
        </c:marker>
      </c:pivotFmt>
      <c:pivotFmt>
        <c:idx val="1503"/>
        <c:marker>
          <c:symbol val="none"/>
        </c:marker>
      </c:pivotFmt>
      <c:pivotFmt>
        <c:idx val="1504"/>
        <c:marker>
          <c:symbol val="none"/>
        </c:marker>
      </c:pivotFmt>
      <c:pivotFmt>
        <c:idx val="1505"/>
        <c:marker>
          <c:symbol val="none"/>
        </c:marker>
      </c:pivotFmt>
      <c:pivotFmt>
        <c:idx val="1506"/>
        <c:marker>
          <c:symbol val="none"/>
        </c:marker>
      </c:pivotFmt>
      <c:pivotFmt>
        <c:idx val="1507"/>
        <c:marker>
          <c:symbol val="none"/>
        </c:marker>
      </c:pivotFmt>
      <c:pivotFmt>
        <c:idx val="1508"/>
        <c:marker>
          <c:symbol val="none"/>
        </c:marker>
      </c:pivotFmt>
      <c:pivotFmt>
        <c:idx val="1509"/>
        <c:marker>
          <c:symbol val="none"/>
        </c:marker>
      </c:pivotFmt>
      <c:pivotFmt>
        <c:idx val="1510"/>
        <c:marker>
          <c:symbol val="none"/>
        </c:marker>
      </c:pivotFmt>
      <c:pivotFmt>
        <c:idx val="1511"/>
        <c:marker>
          <c:symbol val="none"/>
        </c:marker>
      </c:pivotFmt>
      <c:pivotFmt>
        <c:idx val="1512"/>
        <c:marker>
          <c:symbol val="none"/>
        </c:marker>
      </c:pivotFmt>
      <c:pivotFmt>
        <c:idx val="1513"/>
        <c:marker>
          <c:symbol val="none"/>
        </c:marker>
      </c:pivotFmt>
      <c:pivotFmt>
        <c:idx val="1514"/>
        <c:marker>
          <c:symbol val="none"/>
        </c:marker>
      </c:pivotFmt>
      <c:pivotFmt>
        <c:idx val="1515"/>
        <c:marker>
          <c:symbol val="none"/>
        </c:marker>
      </c:pivotFmt>
      <c:pivotFmt>
        <c:idx val="1516"/>
        <c:marker>
          <c:symbol val="none"/>
        </c:marker>
      </c:pivotFmt>
      <c:pivotFmt>
        <c:idx val="1517"/>
        <c:marker>
          <c:symbol val="none"/>
        </c:marker>
      </c:pivotFmt>
      <c:pivotFmt>
        <c:idx val="1518"/>
        <c:marker>
          <c:symbol val="none"/>
        </c:marker>
      </c:pivotFmt>
      <c:pivotFmt>
        <c:idx val="1519"/>
        <c:marker>
          <c:symbol val="none"/>
        </c:marker>
      </c:pivotFmt>
      <c:pivotFmt>
        <c:idx val="1520"/>
        <c:marker>
          <c:symbol val="none"/>
        </c:marker>
      </c:pivotFmt>
      <c:pivotFmt>
        <c:idx val="1521"/>
        <c:marker>
          <c:symbol val="none"/>
        </c:marker>
      </c:pivotFmt>
      <c:pivotFmt>
        <c:idx val="1522"/>
        <c:marker>
          <c:symbol val="none"/>
        </c:marker>
      </c:pivotFmt>
      <c:pivotFmt>
        <c:idx val="1523"/>
        <c:marker>
          <c:symbol val="none"/>
        </c:marker>
      </c:pivotFmt>
      <c:pivotFmt>
        <c:idx val="1524"/>
        <c:marker>
          <c:symbol val="none"/>
        </c:marker>
      </c:pivotFmt>
      <c:pivotFmt>
        <c:idx val="1525"/>
        <c:marker>
          <c:symbol val="none"/>
        </c:marker>
      </c:pivotFmt>
      <c:pivotFmt>
        <c:idx val="1526"/>
        <c:marker>
          <c:symbol val="none"/>
        </c:marker>
      </c:pivotFmt>
      <c:pivotFmt>
        <c:idx val="1527"/>
        <c:marker>
          <c:symbol val="none"/>
        </c:marker>
      </c:pivotFmt>
      <c:pivotFmt>
        <c:idx val="1528"/>
        <c:marker>
          <c:symbol val="none"/>
        </c:marker>
      </c:pivotFmt>
      <c:pivotFmt>
        <c:idx val="1529"/>
        <c:marker>
          <c:symbol val="none"/>
        </c:marker>
      </c:pivotFmt>
      <c:pivotFmt>
        <c:idx val="1530"/>
        <c:marker>
          <c:symbol val="none"/>
        </c:marker>
      </c:pivotFmt>
      <c:pivotFmt>
        <c:idx val="1531"/>
        <c:marker>
          <c:symbol val="none"/>
        </c:marker>
      </c:pivotFmt>
      <c:pivotFmt>
        <c:idx val="1532"/>
        <c:marker>
          <c:symbol val="none"/>
        </c:marker>
      </c:pivotFmt>
      <c:pivotFmt>
        <c:idx val="1533"/>
        <c:marker>
          <c:symbol val="none"/>
        </c:marker>
      </c:pivotFmt>
      <c:pivotFmt>
        <c:idx val="1534"/>
        <c:marker>
          <c:symbol val="none"/>
        </c:marker>
      </c:pivotFmt>
      <c:pivotFmt>
        <c:idx val="1535"/>
        <c:marker>
          <c:symbol val="none"/>
        </c:marker>
      </c:pivotFmt>
      <c:pivotFmt>
        <c:idx val="1536"/>
        <c:marker>
          <c:symbol val="none"/>
        </c:marker>
      </c:pivotFmt>
      <c:pivotFmt>
        <c:idx val="1537"/>
        <c:marker>
          <c:symbol val="none"/>
        </c:marker>
      </c:pivotFmt>
      <c:pivotFmt>
        <c:idx val="1538"/>
        <c:marker>
          <c:symbol val="none"/>
        </c:marker>
      </c:pivotFmt>
      <c:pivotFmt>
        <c:idx val="1539"/>
        <c:marker>
          <c:symbol val="none"/>
        </c:marker>
      </c:pivotFmt>
      <c:pivotFmt>
        <c:idx val="1540"/>
        <c:marker>
          <c:symbol val="none"/>
        </c:marker>
      </c:pivotFmt>
      <c:pivotFmt>
        <c:idx val="1541"/>
        <c:marker>
          <c:symbol val="none"/>
        </c:marker>
      </c:pivotFmt>
      <c:pivotFmt>
        <c:idx val="1542"/>
        <c:marker>
          <c:symbol val="none"/>
        </c:marker>
      </c:pivotFmt>
      <c:pivotFmt>
        <c:idx val="1543"/>
        <c:marker>
          <c:symbol val="none"/>
        </c:marker>
      </c:pivotFmt>
      <c:pivotFmt>
        <c:idx val="1544"/>
        <c:marker>
          <c:symbol val="none"/>
        </c:marker>
      </c:pivotFmt>
      <c:pivotFmt>
        <c:idx val="1545"/>
        <c:marker>
          <c:symbol val="none"/>
        </c:marker>
      </c:pivotFmt>
      <c:pivotFmt>
        <c:idx val="1546"/>
        <c:marker>
          <c:symbol val="none"/>
        </c:marker>
      </c:pivotFmt>
      <c:pivotFmt>
        <c:idx val="1547"/>
        <c:marker>
          <c:symbol val="none"/>
        </c:marker>
      </c:pivotFmt>
      <c:pivotFmt>
        <c:idx val="1548"/>
        <c:marker>
          <c:symbol val="none"/>
        </c:marker>
      </c:pivotFmt>
      <c:pivotFmt>
        <c:idx val="1549"/>
        <c:marker>
          <c:symbol val="none"/>
        </c:marker>
      </c:pivotFmt>
      <c:pivotFmt>
        <c:idx val="1550"/>
        <c:marker>
          <c:symbol val="none"/>
        </c:marker>
      </c:pivotFmt>
      <c:pivotFmt>
        <c:idx val="1551"/>
        <c:marker>
          <c:symbol val="none"/>
        </c:marker>
      </c:pivotFmt>
      <c:pivotFmt>
        <c:idx val="1552"/>
        <c:marker>
          <c:symbol val="none"/>
        </c:marker>
      </c:pivotFmt>
      <c:pivotFmt>
        <c:idx val="1553"/>
        <c:marker>
          <c:symbol val="none"/>
        </c:marker>
      </c:pivotFmt>
      <c:pivotFmt>
        <c:idx val="1554"/>
        <c:marker>
          <c:symbol val="none"/>
        </c:marker>
      </c:pivotFmt>
      <c:pivotFmt>
        <c:idx val="1555"/>
        <c:marker>
          <c:symbol val="none"/>
        </c:marker>
      </c:pivotFmt>
      <c:pivotFmt>
        <c:idx val="1556"/>
        <c:marker>
          <c:symbol val="none"/>
        </c:marker>
      </c:pivotFmt>
      <c:pivotFmt>
        <c:idx val="1557"/>
        <c:marker>
          <c:symbol val="none"/>
        </c:marker>
      </c:pivotFmt>
      <c:pivotFmt>
        <c:idx val="1558"/>
        <c:marker>
          <c:symbol val="none"/>
        </c:marker>
      </c:pivotFmt>
      <c:pivotFmt>
        <c:idx val="1559"/>
        <c:marker>
          <c:symbol val="none"/>
        </c:marker>
      </c:pivotFmt>
      <c:pivotFmt>
        <c:idx val="1560"/>
        <c:marker>
          <c:symbol val="none"/>
        </c:marker>
      </c:pivotFmt>
      <c:pivotFmt>
        <c:idx val="1561"/>
        <c:marker>
          <c:symbol val="none"/>
        </c:marker>
      </c:pivotFmt>
      <c:pivotFmt>
        <c:idx val="1562"/>
        <c:marker>
          <c:symbol val="none"/>
        </c:marker>
      </c:pivotFmt>
      <c:pivotFmt>
        <c:idx val="1563"/>
        <c:marker>
          <c:symbol val="none"/>
        </c:marker>
      </c:pivotFmt>
      <c:pivotFmt>
        <c:idx val="1564"/>
        <c:marker>
          <c:symbol val="none"/>
        </c:marker>
      </c:pivotFmt>
      <c:pivotFmt>
        <c:idx val="1565"/>
        <c:marker>
          <c:symbol val="none"/>
        </c:marker>
      </c:pivotFmt>
      <c:pivotFmt>
        <c:idx val="1566"/>
        <c:marker>
          <c:symbol val="none"/>
        </c:marker>
      </c:pivotFmt>
      <c:pivotFmt>
        <c:idx val="1567"/>
        <c:marker>
          <c:symbol val="none"/>
        </c:marker>
      </c:pivotFmt>
      <c:pivotFmt>
        <c:idx val="1568"/>
        <c:marker>
          <c:symbol val="none"/>
        </c:marker>
      </c:pivotFmt>
      <c:pivotFmt>
        <c:idx val="1569"/>
        <c:marker>
          <c:symbol val="none"/>
        </c:marker>
      </c:pivotFmt>
      <c:pivotFmt>
        <c:idx val="1570"/>
        <c:marker>
          <c:symbol val="none"/>
        </c:marker>
      </c:pivotFmt>
      <c:pivotFmt>
        <c:idx val="1571"/>
        <c:marker>
          <c:symbol val="none"/>
        </c:marker>
      </c:pivotFmt>
      <c:pivotFmt>
        <c:idx val="1572"/>
        <c:marker>
          <c:symbol val="none"/>
        </c:marker>
      </c:pivotFmt>
      <c:pivotFmt>
        <c:idx val="1573"/>
        <c:marker>
          <c:symbol val="none"/>
        </c:marker>
      </c:pivotFmt>
      <c:pivotFmt>
        <c:idx val="1574"/>
        <c:marker>
          <c:symbol val="none"/>
        </c:marker>
      </c:pivotFmt>
      <c:pivotFmt>
        <c:idx val="1575"/>
        <c:marker>
          <c:symbol val="none"/>
        </c:marker>
      </c:pivotFmt>
      <c:pivotFmt>
        <c:idx val="1576"/>
        <c:marker>
          <c:symbol val="none"/>
        </c:marker>
      </c:pivotFmt>
      <c:pivotFmt>
        <c:idx val="1577"/>
        <c:marker>
          <c:symbol val="none"/>
        </c:marker>
      </c:pivotFmt>
      <c:pivotFmt>
        <c:idx val="1578"/>
        <c:marker>
          <c:symbol val="none"/>
        </c:marker>
      </c:pivotFmt>
      <c:pivotFmt>
        <c:idx val="1579"/>
        <c:marker>
          <c:symbol val="none"/>
        </c:marker>
      </c:pivotFmt>
      <c:pivotFmt>
        <c:idx val="1580"/>
        <c:marker>
          <c:symbol val="none"/>
        </c:marker>
      </c:pivotFmt>
      <c:pivotFmt>
        <c:idx val="1581"/>
        <c:marker>
          <c:symbol val="none"/>
        </c:marker>
      </c:pivotFmt>
      <c:pivotFmt>
        <c:idx val="1582"/>
        <c:marker>
          <c:symbol val="none"/>
        </c:marker>
      </c:pivotFmt>
      <c:pivotFmt>
        <c:idx val="1583"/>
        <c:marker>
          <c:symbol val="none"/>
        </c:marker>
      </c:pivotFmt>
      <c:pivotFmt>
        <c:idx val="1584"/>
        <c:marker>
          <c:symbol val="none"/>
        </c:marker>
      </c:pivotFmt>
      <c:pivotFmt>
        <c:idx val="1585"/>
        <c:marker>
          <c:symbol val="none"/>
        </c:marker>
      </c:pivotFmt>
      <c:pivotFmt>
        <c:idx val="1586"/>
        <c:marker>
          <c:symbol val="none"/>
        </c:marker>
      </c:pivotFmt>
      <c:pivotFmt>
        <c:idx val="1587"/>
        <c:marker>
          <c:symbol val="none"/>
        </c:marker>
      </c:pivotFmt>
      <c:pivotFmt>
        <c:idx val="1588"/>
        <c:marker>
          <c:symbol val="none"/>
        </c:marker>
      </c:pivotFmt>
      <c:pivotFmt>
        <c:idx val="1589"/>
        <c:marker>
          <c:symbol val="none"/>
        </c:marker>
      </c:pivotFmt>
      <c:pivotFmt>
        <c:idx val="1590"/>
        <c:marker>
          <c:symbol val="none"/>
        </c:marker>
      </c:pivotFmt>
      <c:pivotFmt>
        <c:idx val="1591"/>
        <c:marker>
          <c:symbol val="none"/>
        </c:marker>
      </c:pivotFmt>
      <c:pivotFmt>
        <c:idx val="1592"/>
        <c:marker>
          <c:symbol val="none"/>
        </c:marker>
      </c:pivotFmt>
      <c:pivotFmt>
        <c:idx val="1593"/>
        <c:marker>
          <c:symbol val="none"/>
        </c:marker>
      </c:pivotFmt>
      <c:pivotFmt>
        <c:idx val="1594"/>
        <c:marker>
          <c:symbol val="none"/>
        </c:marker>
      </c:pivotFmt>
      <c:pivotFmt>
        <c:idx val="1595"/>
        <c:marker>
          <c:symbol val="none"/>
        </c:marker>
      </c:pivotFmt>
      <c:pivotFmt>
        <c:idx val="1596"/>
        <c:marker>
          <c:symbol val="none"/>
        </c:marker>
      </c:pivotFmt>
      <c:pivotFmt>
        <c:idx val="1597"/>
        <c:marker>
          <c:symbol val="none"/>
        </c:marker>
      </c:pivotFmt>
      <c:pivotFmt>
        <c:idx val="1598"/>
        <c:marker>
          <c:symbol val="none"/>
        </c:marker>
      </c:pivotFmt>
      <c:pivotFmt>
        <c:idx val="1599"/>
        <c:marker>
          <c:symbol val="none"/>
        </c:marker>
      </c:pivotFmt>
      <c:pivotFmt>
        <c:idx val="1600"/>
        <c:marker>
          <c:symbol val="none"/>
        </c:marker>
      </c:pivotFmt>
      <c:pivotFmt>
        <c:idx val="1601"/>
        <c:marker>
          <c:symbol val="none"/>
        </c:marker>
      </c:pivotFmt>
      <c:pivotFmt>
        <c:idx val="1602"/>
        <c:marker>
          <c:symbol val="none"/>
        </c:marker>
      </c:pivotFmt>
      <c:pivotFmt>
        <c:idx val="1603"/>
        <c:marker>
          <c:symbol val="none"/>
        </c:marker>
      </c:pivotFmt>
      <c:pivotFmt>
        <c:idx val="1604"/>
        <c:marker>
          <c:symbol val="none"/>
        </c:marker>
      </c:pivotFmt>
      <c:pivotFmt>
        <c:idx val="1605"/>
        <c:marker>
          <c:symbol val="none"/>
        </c:marker>
      </c:pivotFmt>
      <c:pivotFmt>
        <c:idx val="1606"/>
        <c:marker>
          <c:symbol val="none"/>
        </c:marker>
      </c:pivotFmt>
      <c:pivotFmt>
        <c:idx val="1607"/>
        <c:marker>
          <c:symbol val="none"/>
        </c:marker>
      </c:pivotFmt>
      <c:pivotFmt>
        <c:idx val="1608"/>
        <c:marker>
          <c:symbol val="none"/>
        </c:marker>
      </c:pivotFmt>
      <c:pivotFmt>
        <c:idx val="1609"/>
        <c:marker>
          <c:symbol val="none"/>
        </c:marker>
      </c:pivotFmt>
      <c:pivotFmt>
        <c:idx val="1610"/>
        <c:marker>
          <c:symbol val="none"/>
        </c:marker>
      </c:pivotFmt>
      <c:pivotFmt>
        <c:idx val="1611"/>
        <c:marker>
          <c:symbol val="none"/>
        </c:marker>
      </c:pivotFmt>
      <c:pivotFmt>
        <c:idx val="1612"/>
        <c:marker>
          <c:symbol val="none"/>
        </c:marker>
      </c:pivotFmt>
      <c:pivotFmt>
        <c:idx val="1613"/>
        <c:marker>
          <c:symbol val="none"/>
        </c:marker>
      </c:pivotFmt>
      <c:pivotFmt>
        <c:idx val="1614"/>
        <c:marker>
          <c:symbol val="none"/>
        </c:marker>
      </c:pivotFmt>
      <c:pivotFmt>
        <c:idx val="1615"/>
        <c:marker>
          <c:symbol val="none"/>
        </c:marker>
      </c:pivotFmt>
      <c:pivotFmt>
        <c:idx val="1616"/>
        <c:marker>
          <c:symbol val="none"/>
        </c:marker>
      </c:pivotFmt>
      <c:pivotFmt>
        <c:idx val="1617"/>
        <c:marker>
          <c:symbol val="none"/>
        </c:marker>
      </c:pivotFmt>
      <c:pivotFmt>
        <c:idx val="1618"/>
        <c:marker>
          <c:symbol val="none"/>
        </c:marker>
      </c:pivotFmt>
      <c:pivotFmt>
        <c:idx val="1619"/>
        <c:marker>
          <c:symbol val="none"/>
        </c:marker>
      </c:pivotFmt>
      <c:pivotFmt>
        <c:idx val="1620"/>
        <c:marker>
          <c:symbol val="none"/>
        </c:marker>
      </c:pivotFmt>
      <c:pivotFmt>
        <c:idx val="1621"/>
        <c:marker>
          <c:symbol val="none"/>
        </c:marker>
      </c:pivotFmt>
      <c:pivotFmt>
        <c:idx val="1622"/>
        <c:marker>
          <c:symbol val="none"/>
        </c:marker>
      </c:pivotFmt>
      <c:pivotFmt>
        <c:idx val="1623"/>
        <c:marker>
          <c:symbol val="none"/>
        </c:marker>
      </c:pivotFmt>
      <c:pivotFmt>
        <c:idx val="1624"/>
        <c:marker>
          <c:symbol val="none"/>
        </c:marker>
      </c:pivotFmt>
      <c:pivotFmt>
        <c:idx val="1625"/>
        <c:marker>
          <c:symbol val="none"/>
        </c:marker>
      </c:pivotFmt>
      <c:pivotFmt>
        <c:idx val="1626"/>
        <c:marker>
          <c:symbol val="none"/>
        </c:marker>
      </c:pivotFmt>
      <c:pivotFmt>
        <c:idx val="1627"/>
        <c:marker>
          <c:symbol val="none"/>
        </c:marker>
      </c:pivotFmt>
      <c:pivotFmt>
        <c:idx val="1628"/>
        <c:marker>
          <c:symbol val="none"/>
        </c:marker>
      </c:pivotFmt>
      <c:pivotFmt>
        <c:idx val="1629"/>
        <c:marker>
          <c:symbol val="none"/>
        </c:marker>
      </c:pivotFmt>
      <c:pivotFmt>
        <c:idx val="1630"/>
        <c:marker>
          <c:symbol val="none"/>
        </c:marker>
      </c:pivotFmt>
      <c:pivotFmt>
        <c:idx val="1631"/>
        <c:marker>
          <c:symbol val="none"/>
        </c:marker>
      </c:pivotFmt>
      <c:pivotFmt>
        <c:idx val="1632"/>
        <c:marker>
          <c:symbol val="none"/>
        </c:marker>
      </c:pivotFmt>
      <c:pivotFmt>
        <c:idx val="1633"/>
        <c:marker>
          <c:symbol val="none"/>
        </c:marker>
      </c:pivotFmt>
      <c:pivotFmt>
        <c:idx val="1634"/>
        <c:marker>
          <c:symbol val="none"/>
        </c:marker>
      </c:pivotFmt>
      <c:pivotFmt>
        <c:idx val="1635"/>
        <c:marker>
          <c:symbol val="none"/>
        </c:marker>
      </c:pivotFmt>
      <c:pivotFmt>
        <c:idx val="1636"/>
        <c:marker>
          <c:symbol val="none"/>
        </c:marker>
      </c:pivotFmt>
      <c:pivotFmt>
        <c:idx val="1637"/>
        <c:marker>
          <c:symbol val="none"/>
        </c:marker>
      </c:pivotFmt>
      <c:pivotFmt>
        <c:idx val="1638"/>
        <c:marker>
          <c:symbol val="none"/>
        </c:marker>
      </c:pivotFmt>
      <c:pivotFmt>
        <c:idx val="1639"/>
        <c:marker>
          <c:symbol val="none"/>
        </c:marker>
      </c:pivotFmt>
      <c:pivotFmt>
        <c:idx val="1640"/>
        <c:marker>
          <c:symbol val="none"/>
        </c:marker>
      </c:pivotFmt>
      <c:pivotFmt>
        <c:idx val="1641"/>
        <c:marker>
          <c:symbol val="none"/>
        </c:marker>
      </c:pivotFmt>
      <c:pivotFmt>
        <c:idx val="1642"/>
        <c:marker>
          <c:symbol val="none"/>
        </c:marker>
      </c:pivotFmt>
      <c:pivotFmt>
        <c:idx val="1643"/>
        <c:marker>
          <c:symbol val="none"/>
        </c:marker>
      </c:pivotFmt>
      <c:pivotFmt>
        <c:idx val="1644"/>
        <c:marker>
          <c:symbol val="none"/>
        </c:marker>
      </c:pivotFmt>
      <c:pivotFmt>
        <c:idx val="1645"/>
        <c:marker>
          <c:symbol val="none"/>
        </c:marker>
      </c:pivotFmt>
      <c:pivotFmt>
        <c:idx val="1646"/>
        <c:marker>
          <c:symbol val="none"/>
        </c:marker>
      </c:pivotFmt>
      <c:pivotFmt>
        <c:idx val="1647"/>
        <c:marker>
          <c:symbol val="none"/>
        </c:marker>
      </c:pivotFmt>
      <c:pivotFmt>
        <c:idx val="1648"/>
        <c:marker>
          <c:symbol val="none"/>
        </c:marker>
      </c:pivotFmt>
      <c:pivotFmt>
        <c:idx val="1649"/>
        <c:marker>
          <c:symbol val="none"/>
        </c:marker>
      </c:pivotFmt>
      <c:pivotFmt>
        <c:idx val="1650"/>
        <c:marker>
          <c:symbol val="none"/>
        </c:marker>
      </c:pivotFmt>
      <c:pivotFmt>
        <c:idx val="1651"/>
        <c:marker>
          <c:symbol val="none"/>
        </c:marker>
      </c:pivotFmt>
      <c:pivotFmt>
        <c:idx val="1652"/>
        <c:marker>
          <c:symbol val="none"/>
        </c:marker>
      </c:pivotFmt>
      <c:pivotFmt>
        <c:idx val="1653"/>
        <c:marker>
          <c:symbol val="none"/>
        </c:marker>
      </c:pivotFmt>
      <c:pivotFmt>
        <c:idx val="1654"/>
        <c:marker>
          <c:symbol val="none"/>
        </c:marker>
      </c:pivotFmt>
      <c:pivotFmt>
        <c:idx val="1655"/>
        <c:marker>
          <c:symbol val="none"/>
        </c:marker>
      </c:pivotFmt>
      <c:pivotFmt>
        <c:idx val="1656"/>
        <c:marker>
          <c:symbol val="none"/>
        </c:marker>
      </c:pivotFmt>
      <c:pivotFmt>
        <c:idx val="1657"/>
        <c:marker>
          <c:symbol val="none"/>
        </c:marker>
      </c:pivotFmt>
      <c:pivotFmt>
        <c:idx val="1658"/>
        <c:marker>
          <c:symbol val="none"/>
        </c:marker>
      </c:pivotFmt>
      <c:pivotFmt>
        <c:idx val="1659"/>
        <c:marker>
          <c:symbol val="none"/>
        </c:marker>
      </c:pivotFmt>
      <c:pivotFmt>
        <c:idx val="1660"/>
        <c:marker>
          <c:symbol val="none"/>
        </c:marker>
      </c:pivotFmt>
      <c:pivotFmt>
        <c:idx val="1661"/>
        <c:marker>
          <c:symbol val="none"/>
        </c:marker>
      </c:pivotFmt>
      <c:pivotFmt>
        <c:idx val="1662"/>
        <c:marker>
          <c:symbol val="none"/>
        </c:marker>
      </c:pivotFmt>
      <c:pivotFmt>
        <c:idx val="1663"/>
        <c:marker>
          <c:symbol val="none"/>
        </c:marker>
      </c:pivotFmt>
      <c:pivotFmt>
        <c:idx val="1664"/>
        <c:marker>
          <c:symbol val="none"/>
        </c:marker>
      </c:pivotFmt>
      <c:pivotFmt>
        <c:idx val="1665"/>
        <c:marker>
          <c:symbol val="none"/>
        </c:marker>
      </c:pivotFmt>
      <c:pivotFmt>
        <c:idx val="1666"/>
        <c:marker>
          <c:symbol val="none"/>
        </c:marker>
      </c:pivotFmt>
      <c:pivotFmt>
        <c:idx val="1667"/>
        <c:marker>
          <c:symbol val="none"/>
        </c:marker>
      </c:pivotFmt>
      <c:pivotFmt>
        <c:idx val="1668"/>
        <c:marker>
          <c:symbol val="none"/>
        </c:marker>
      </c:pivotFmt>
      <c:pivotFmt>
        <c:idx val="1669"/>
        <c:marker>
          <c:symbol val="none"/>
        </c:marker>
      </c:pivotFmt>
      <c:pivotFmt>
        <c:idx val="1670"/>
        <c:marker>
          <c:symbol val="none"/>
        </c:marker>
      </c:pivotFmt>
      <c:pivotFmt>
        <c:idx val="1671"/>
        <c:marker>
          <c:symbol val="none"/>
        </c:marker>
      </c:pivotFmt>
      <c:pivotFmt>
        <c:idx val="1672"/>
        <c:marker>
          <c:symbol val="none"/>
        </c:marker>
      </c:pivotFmt>
      <c:pivotFmt>
        <c:idx val="1673"/>
        <c:marker>
          <c:symbol val="none"/>
        </c:marker>
      </c:pivotFmt>
      <c:pivotFmt>
        <c:idx val="1674"/>
        <c:marker>
          <c:symbol val="none"/>
        </c:marker>
      </c:pivotFmt>
      <c:pivotFmt>
        <c:idx val="1675"/>
        <c:marker>
          <c:symbol val="none"/>
        </c:marker>
      </c:pivotFmt>
      <c:pivotFmt>
        <c:idx val="1676"/>
        <c:marker>
          <c:symbol val="none"/>
        </c:marker>
      </c:pivotFmt>
      <c:pivotFmt>
        <c:idx val="1677"/>
        <c:marker>
          <c:symbol val="none"/>
        </c:marker>
      </c:pivotFmt>
      <c:pivotFmt>
        <c:idx val="1678"/>
        <c:marker>
          <c:symbol val="none"/>
        </c:marker>
      </c:pivotFmt>
      <c:pivotFmt>
        <c:idx val="1679"/>
        <c:marker>
          <c:symbol val="none"/>
        </c:marker>
      </c:pivotFmt>
      <c:pivotFmt>
        <c:idx val="1680"/>
        <c:marker>
          <c:symbol val="none"/>
        </c:marker>
      </c:pivotFmt>
      <c:pivotFmt>
        <c:idx val="1681"/>
        <c:marker>
          <c:symbol val="none"/>
        </c:marker>
      </c:pivotFmt>
      <c:pivotFmt>
        <c:idx val="1682"/>
        <c:marker>
          <c:symbol val="none"/>
        </c:marker>
      </c:pivotFmt>
      <c:pivotFmt>
        <c:idx val="1683"/>
        <c:marker>
          <c:symbol val="none"/>
        </c:marker>
      </c:pivotFmt>
      <c:pivotFmt>
        <c:idx val="1684"/>
        <c:marker>
          <c:symbol val="none"/>
        </c:marker>
      </c:pivotFmt>
      <c:pivotFmt>
        <c:idx val="1685"/>
        <c:marker>
          <c:symbol val="none"/>
        </c:marker>
      </c:pivotFmt>
      <c:pivotFmt>
        <c:idx val="1686"/>
        <c:marker>
          <c:symbol val="none"/>
        </c:marker>
      </c:pivotFmt>
      <c:pivotFmt>
        <c:idx val="1687"/>
        <c:marker>
          <c:symbol val="none"/>
        </c:marker>
      </c:pivotFmt>
      <c:pivotFmt>
        <c:idx val="1688"/>
        <c:marker>
          <c:symbol val="none"/>
        </c:marker>
      </c:pivotFmt>
      <c:pivotFmt>
        <c:idx val="1689"/>
        <c:marker>
          <c:symbol val="none"/>
        </c:marker>
      </c:pivotFmt>
      <c:pivotFmt>
        <c:idx val="1690"/>
        <c:marker>
          <c:symbol val="none"/>
        </c:marker>
      </c:pivotFmt>
      <c:pivotFmt>
        <c:idx val="1691"/>
        <c:marker>
          <c:symbol val="none"/>
        </c:marker>
      </c:pivotFmt>
      <c:pivotFmt>
        <c:idx val="1692"/>
        <c:marker>
          <c:symbol val="none"/>
        </c:marker>
      </c:pivotFmt>
      <c:pivotFmt>
        <c:idx val="1693"/>
        <c:marker>
          <c:symbol val="none"/>
        </c:marker>
      </c:pivotFmt>
      <c:pivotFmt>
        <c:idx val="1694"/>
        <c:marker>
          <c:symbol val="none"/>
        </c:marker>
      </c:pivotFmt>
      <c:pivotFmt>
        <c:idx val="1695"/>
        <c:marker>
          <c:symbol val="none"/>
        </c:marker>
      </c:pivotFmt>
      <c:pivotFmt>
        <c:idx val="1696"/>
        <c:marker>
          <c:symbol val="none"/>
        </c:marker>
      </c:pivotFmt>
      <c:pivotFmt>
        <c:idx val="1697"/>
        <c:marker>
          <c:symbol val="none"/>
        </c:marker>
      </c:pivotFmt>
      <c:pivotFmt>
        <c:idx val="1698"/>
        <c:marker>
          <c:symbol val="none"/>
        </c:marker>
      </c:pivotFmt>
      <c:pivotFmt>
        <c:idx val="1699"/>
        <c:marker>
          <c:symbol val="none"/>
        </c:marker>
      </c:pivotFmt>
      <c:pivotFmt>
        <c:idx val="1700"/>
        <c:marker>
          <c:symbol val="none"/>
        </c:marker>
      </c:pivotFmt>
      <c:pivotFmt>
        <c:idx val="1701"/>
        <c:marker>
          <c:symbol val="none"/>
        </c:marker>
      </c:pivotFmt>
      <c:pivotFmt>
        <c:idx val="1702"/>
        <c:marker>
          <c:symbol val="none"/>
        </c:marker>
      </c:pivotFmt>
      <c:pivotFmt>
        <c:idx val="1703"/>
        <c:marker>
          <c:symbol val="none"/>
        </c:marker>
      </c:pivotFmt>
      <c:pivotFmt>
        <c:idx val="1704"/>
        <c:marker>
          <c:symbol val="none"/>
        </c:marker>
      </c:pivotFmt>
      <c:pivotFmt>
        <c:idx val="1705"/>
        <c:marker>
          <c:symbol val="none"/>
        </c:marker>
      </c:pivotFmt>
      <c:pivotFmt>
        <c:idx val="1706"/>
        <c:marker>
          <c:symbol val="none"/>
        </c:marker>
      </c:pivotFmt>
      <c:pivotFmt>
        <c:idx val="1707"/>
        <c:marker>
          <c:symbol val="none"/>
        </c:marker>
      </c:pivotFmt>
      <c:pivotFmt>
        <c:idx val="1708"/>
        <c:marker>
          <c:symbol val="none"/>
        </c:marker>
      </c:pivotFmt>
      <c:pivotFmt>
        <c:idx val="1709"/>
        <c:marker>
          <c:symbol val="none"/>
        </c:marker>
      </c:pivotFmt>
      <c:pivotFmt>
        <c:idx val="1710"/>
        <c:marker>
          <c:symbol val="none"/>
        </c:marker>
      </c:pivotFmt>
      <c:pivotFmt>
        <c:idx val="1711"/>
        <c:marker>
          <c:symbol val="none"/>
        </c:marker>
      </c:pivotFmt>
      <c:pivotFmt>
        <c:idx val="1712"/>
        <c:marker>
          <c:symbol val="none"/>
        </c:marker>
      </c:pivotFmt>
      <c:pivotFmt>
        <c:idx val="1713"/>
        <c:marker>
          <c:symbol val="none"/>
        </c:marker>
      </c:pivotFmt>
      <c:pivotFmt>
        <c:idx val="1714"/>
        <c:marker>
          <c:symbol val="none"/>
        </c:marker>
      </c:pivotFmt>
      <c:pivotFmt>
        <c:idx val="1715"/>
        <c:marker>
          <c:symbol val="none"/>
        </c:marker>
      </c:pivotFmt>
      <c:pivotFmt>
        <c:idx val="1716"/>
        <c:marker>
          <c:symbol val="none"/>
        </c:marker>
      </c:pivotFmt>
      <c:pivotFmt>
        <c:idx val="1717"/>
        <c:marker>
          <c:symbol val="none"/>
        </c:marker>
      </c:pivotFmt>
      <c:pivotFmt>
        <c:idx val="1718"/>
        <c:marker>
          <c:symbol val="none"/>
        </c:marker>
      </c:pivotFmt>
      <c:pivotFmt>
        <c:idx val="1719"/>
        <c:marker>
          <c:symbol val="none"/>
        </c:marker>
      </c:pivotFmt>
      <c:pivotFmt>
        <c:idx val="1720"/>
        <c:marker>
          <c:symbol val="none"/>
        </c:marker>
      </c:pivotFmt>
      <c:pivotFmt>
        <c:idx val="1721"/>
        <c:marker>
          <c:symbol val="none"/>
        </c:marker>
      </c:pivotFmt>
      <c:pivotFmt>
        <c:idx val="1722"/>
        <c:marker>
          <c:symbol val="none"/>
        </c:marker>
      </c:pivotFmt>
      <c:pivotFmt>
        <c:idx val="1723"/>
        <c:marker>
          <c:symbol val="none"/>
        </c:marker>
      </c:pivotFmt>
      <c:pivotFmt>
        <c:idx val="1724"/>
        <c:marker>
          <c:symbol val="none"/>
        </c:marker>
      </c:pivotFmt>
      <c:pivotFmt>
        <c:idx val="1725"/>
        <c:marker>
          <c:symbol val="none"/>
        </c:marker>
      </c:pivotFmt>
      <c:pivotFmt>
        <c:idx val="1726"/>
        <c:marker>
          <c:symbol val="none"/>
        </c:marker>
      </c:pivotFmt>
      <c:pivotFmt>
        <c:idx val="1727"/>
        <c:marker>
          <c:symbol val="none"/>
        </c:marker>
      </c:pivotFmt>
      <c:pivotFmt>
        <c:idx val="1728"/>
        <c:marker>
          <c:symbol val="none"/>
        </c:marker>
      </c:pivotFmt>
      <c:pivotFmt>
        <c:idx val="1729"/>
        <c:marker>
          <c:symbol val="none"/>
        </c:marker>
      </c:pivotFmt>
      <c:pivotFmt>
        <c:idx val="1730"/>
        <c:marker>
          <c:symbol val="none"/>
        </c:marker>
      </c:pivotFmt>
      <c:pivotFmt>
        <c:idx val="1731"/>
        <c:marker>
          <c:symbol val="none"/>
        </c:marker>
      </c:pivotFmt>
      <c:pivotFmt>
        <c:idx val="1732"/>
        <c:marker>
          <c:symbol val="none"/>
        </c:marker>
      </c:pivotFmt>
      <c:pivotFmt>
        <c:idx val="1733"/>
        <c:marker>
          <c:symbol val="none"/>
        </c:marker>
      </c:pivotFmt>
      <c:pivotFmt>
        <c:idx val="1734"/>
        <c:marker>
          <c:symbol val="none"/>
        </c:marker>
      </c:pivotFmt>
      <c:pivotFmt>
        <c:idx val="1735"/>
        <c:marker>
          <c:symbol val="none"/>
        </c:marker>
      </c:pivotFmt>
      <c:pivotFmt>
        <c:idx val="1736"/>
        <c:marker>
          <c:symbol val="none"/>
        </c:marker>
      </c:pivotFmt>
      <c:pivotFmt>
        <c:idx val="1737"/>
        <c:marker>
          <c:symbol val="none"/>
        </c:marker>
      </c:pivotFmt>
      <c:pivotFmt>
        <c:idx val="1738"/>
        <c:marker>
          <c:symbol val="none"/>
        </c:marker>
      </c:pivotFmt>
      <c:pivotFmt>
        <c:idx val="1739"/>
        <c:marker>
          <c:symbol val="none"/>
        </c:marker>
      </c:pivotFmt>
      <c:pivotFmt>
        <c:idx val="1740"/>
        <c:marker>
          <c:symbol val="none"/>
        </c:marker>
      </c:pivotFmt>
      <c:pivotFmt>
        <c:idx val="1741"/>
        <c:marker>
          <c:symbol val="none"/>
        </c:marker>
      </c:pivotFmt>
      <c:pivotFmt>
        <c:idx val="1742"/>
        <c:marker>
          <c:symbol val="none"/>
        </c:marker>
      </c:pivotFmt>
      <c:pivotFmt>
        <c:idx val="1743"/>
        <c:marker>
          <c:symbol val="none"/>
        </c:marker>
      </c:pivotFmt>
      <c:pivotFmt>
        <c:idx val="1744"/>
        <c:marker>
          <c:symbol val="none"/>
        </c:marker>
      </c:pivotFmt>
      <c:pivotFmt>
        <c:idx val="1745"/>
        <c:marker>
          <c:symbol val="none"/>
        </c:marker>
      </c:pivotFmt>
      <c:pivotFmt>
        <c:idx val="1746"/>
        <c:marker>
          <c:symbol val="none"/>
        </c:marker>
      </c:pivotFmt>
      <c:pivotFmt>
        <c:idx val="1747"/>
        <c:marker>
          <c:symbol val="none"/>
        </c:marker>
      </c:pivotFmt>
      <c:pivotFmt>
        <c:idx val="1748"/>
        <c:marker>
          <c:symbol val="none"/>
        </c:marker>
      </c:pivotFmt>
      <c:pivotFmt>
        <c:idx val="1749"/>
        <c:marker>
          <c:symbol val="none"/>
        </c:marker>
      </c:pivotFmt>
      <c:pivotFmt>
        <c:idx val="1750"/>
        <c:marker>
          <c:symbol val="none"/>
        </c:marker>
      </c:pivotFmt>
      <c:pivotFmt>
        <c:idx val="1751"/>
        <c:marker>
          <c:symbol val="none"/>
        </c:marker>
      </c:pivotFmt>
      <c:pivotFmt>
        <c:idx val="1752"/>
        <c:marker>
          <c:symbol val="none"/>
        </c:marker>
      </c:pivotFmt>
      <c:pivotFmt>
        <c:idx val="1753"/>
        <c:marker>
          <c:symbol val="none"/>
        </c:marker>
      </c:pivotFmt>
      <c:pivotFmt>
        <c:idx val="1754"/>
        <c:marker>
          <c:symbol val="none"/>
        </c:marker>
      </c:pivotFmt>
      <c:pivotFmt>
        <c:idx val="1755"/>
        <c:marker>
          <c:symbol val="none"/>
        </c:marker>
      </c:pivotFmt>
      <c:pivotFmt>
        <c:idx val="1756"/>
        <c:marker>
          <c:symbol val="none"/>
        </c:marker>
      </c:pivotFmt>
      <c:pivotFmt>
        <c:idx val="1757"/>
        <c:marker>
          <c:symbol val="none"/>
        </c:marker>
      </c:pivotFmt>
      <c:pivotFmt>
        <c:idx val="1758"/>
        <c:marker>
          <c:symbol val="none"/>
        </c:marker>
      </c:pivotFmt>
      <c:pivotFmt>
        <c:idx val="1759"/>
        <c:marker>
          <c:symbol val="none"/>
        </c:marker>
      </c:pivotFmt>
      <c:pivotFmt>
        <c:idx val="1760"/>
        <c:marker>
          <c:symbol val="none"/>
        </c:marker>
      </c:pivotFmt>
      <c:pivotFmt>
        <c:idx val="1761"/>
        <c:marker>
          <c:symbol val="none"/>
        </c:marker>
      </c:pivotFmt>
      <c:pivotFmt>
        <c:idx val="1762"/>
        <c:marker>
          <c:symbol val="none"/>
        </c:marker>
      </c:pivotFmt>
      <c:pivotFmt>
        <c:idx val="1763"/>
        <c:marker>
          <c:symbol val="none"/>
        </c:marker>
      </c:pivotFmt>
      <c:pivotFmt>
        <c:idx val="1764"/>
        <c:marker>
          <c:symbol val="none"/>
        </c:marker>
      </c:pivotFmt>
      <c:pivotFmt>
        <c:idx val="1765"/>
        <c:marker>
          <c:symbol val="none"/>
        </c:marker>
      </c:pivotFmt>
      <c:pivotFmt>
        <c:idx val="1766"/>
        <c:marker>
          <c:symbol val="none"/>
        </c:marker>
      </c:pivotFmt>
      <c:pivotFmt>
        <c:idx val="1767"/>
        <c:marker>
          <c:symbol val="none"/>
        </c:marker>
      </c:pivotFmt>
      <c:pivotFmt>
        <c:idx val="1768"/>
        <c:marker>
          <c:symbol val="none"/>
        </c:marker>
      </c:pivotFmt>
      <c:pivotFmt>
        <c:idx val="1769"/>
        <c:marker>
          <c:symbol val="none"/>
        </c:marker>
      </c:pivotFmt>
      <c:pivotFmt>
        <c:idx val="1770"/>
        <c:marker>
          <c:symbol val="none"/>
        </c:marker>
      </c:pivotFmt>
      <c:pivotFmt>
        <c:idx val="1771"/>
        <c:marker>
          <c:symbol val="none"/>
        </c:marker>
      </c:pivotFmt>
      <c:pivotFmt>
        <c:idx val="1772"/>
        <c:marker>
          <c:symbol val="none"/>
        </c:marker>
      </c:pivotFmt>
      <c:pivotFmt>
        <c:idx val="1773"/>
        <c:marker>
          <c:symbol val="none"/>
        </c:marker>
      </c:pivotFmt>
      <c:pivotFmt>
        <c:idx val="1774"/>
        <c:marker>
          <c:symbol val="none"/>
        </c:marker>
      </c:pivotFmt>
      <c:pivotFmt>
        <c:idx val="1775"/>
        <c:marker>
          <c:symbol val="none"/>
        </c:marker>
      </c:pivotFmt>
      <c:pivotFmt>
        <c:idx val="1776"/>
        <c:marker>
          <c:symbol val="none"/>
        </c:marker>
      </c:pivotFmt>
      <c:pivotFmt>
        <c:idx val="1777"/>
        <c:marker>
          <c:symbol val="none"/>
        </c:marker>
      </c:pivotFmt>
      <c:pivotFmt>
        <c:idx val="1778"/>
        <c:marker>
          <c:symbol val="none"/>
        </c:marker>
      </c:pivotFmt>
      <c:pivotFmt>
        <c:idx val="1779"/>
        <c:marker>
          <c:symbol val="none"/>
        </c:marker>
      </c:pivotFmt>
      <c:pivotFmt>
        <c:idx val="1780"/>
        <c:marker>
          <c:symbol val="none"/>
        </c:marker>
      </c:pivotFmt>
      <c:pivotFmt>
        <c:idx val="1781"/>
        <c:marker>
          <c:symbol val="none"/>
        </c:marker>
      </c:pivotFmt>
      <c:pivotFmt>
        <c:idx val="1782"/>
        <c:marker>
          <c:symbol val="none"/>
        </c:marker>
      </c:pivotFmt>
      <c:pivotFmt>
        <c:idx val="1783"/>
        <c:marker>
          <c:symbol val="none"/>
        </c:marker>
      </c:pivotFmt>
      <c:pivotFmt>
        <c:idx val="1784"/>
        <c:marker>
          <c:symbol val="none"/>
        </c:marker>
      </c:pivotFmt>
      <c:pivotFmt>
        <c:idx val="1785"/>
        <c:marker>
          <c:symbol val="none"/>
        </c:marker>
      </c:pivotFmt>
      <c:pivotFmt>
        <c:idx val="1786"/>
        <c:marker>
          <c:symbol val="none"/>
        </c:marker>
      </c:pivotFmt>
      <c:pivotFmt>
        <c:idx val="1787"/>
        <c:marker>
          <c:symbol val="none"/>
        </c:marker>
      </c:pivotFmt>
      <c:pivotFmt>
        <c:idx val="1788"/>
        <c:marker>
          <c:symbol val="none"/>
        </c:marker>
      </c:pivotFmt>
      <c:pivotFmt>
        <c:idx val="1789"/>
        <c:marker>
          <c:symbol val="none"/>
        </c:marker>
      </c:pivotFmt>
      <c:pivotFmt>
        <c:idx val="1790"/>
        <c:marker>
          <c:symbol val="none"/>
        </c:marker>
      </c:pivotFmt>
      <c:pivotFmt>
        <c:idx val="1791"/>
        <c:marker>
          <c:symbol val="none"/>
        </c:marker>
      </c:pivotFmt>
      <c:pivotFmt>
        <c:idx val="1792"/>
        <c:marker>
          <c:symbol val="none"/>
        </c:marker>
      </c:pivotFmt>
      <c:pivotFmt>
        <c:idx val="1793"/>
        <c:marker>
          <c:symbol val="none"/>
        </c:marker>
      </c:pivotFmt>
      <c:pivotFmt>
        <c:idx val="1794"/>
        <c:marker>
          <c:symbol val="none"/>
        </c:marker>
      </c:pivotFmt>
      <c:pivotFmt>
        <c:idx val="1795"/>
        <c:marker>
          <c:symbol val="none"/>
        </c:marker>
      </c:pivotFmt>
      <c:pivotFmt>
        <c:idx val="1796"/>
        <c:marker>
          <c:symbol val="none"/>
        </c:marker>
      </c:pivotFmt>
      <c:pivotFmt>
        <c:idx val="1797"/>
        <c:marker>
          <c:symbol val="none"/>
        </c:marker>
      </c:pivotFmt>
      <c:pivotFmt>
        <c:idx val="1798"/>
        <c:marker>
          <c:symbol val="none"/>
        </c:marker>
      </c:pivotFmt>
      <c:pivotFmt>
        <c:idx val="1799"/>
        <c:marker>
          <c:symbol val="none"/>
        </c:marker>
      </c:pivotFmt>
      <c:pivotFmt>
        <c:idx val="1800"/>
        <c:marker>
          <c:symbol val="none"/>
        </c:marker>
      </c:pivotFmt>
      <c:pivotFmt>
        <c:idx val="1801"/>
        <c:marker>
          <c:symbol val="none"/>
        </c:marker>
      </c:pivotFmt>
      <c:pivotFmt>
        <c:idx val="1802"/>
        <c:marker>
          <c:symbol val="none"/>
        </c:marker>
      </c:pivotFmt>
      <c:pivotFmt>
        <c:idx val="1803"/>
        <c:marker>
          <c:symbol val="none"/>
        </c:marker>
      </c:pivotFmt>
      <c:pivotFmt>
        <c:idx val="1804"/>
        <c:marker>
          <c:symbol val="none"/>
        </c:marker>
      </c:pivotFmt>
      <c:pivotFmt>
        <c:idx val="1805"/>
        <c:marker>
          <c:symbol val="none"/>
        </c:marker>
      </c:pivotFmt>
      <c:pivotFmt>
        <c:idx val="1806"/>
        <c:marker>
          <c:symbol val="none"/>
        </c:marker>
      </c:pivotFmt>
      <c:pivotFmt>
        <c:idx val="1807"/>
        <c:marker>
          <c:symbol val="none"/>
        </c:marker>
      </c:pivotFmt>
      <c:pivotFmt>
        <c:idx val="1808"/>
        <c:marker>
          <c:symbol val="none"/>
        </c:marker>
      </c:pivotFmt>
      <c:pivotFmt>
        <c:idx val="1809"/>
        <c:marker>
          <c:symbol val="none"/>
        </c:marker>
      </c:pivotFmt>
      <c:pivotFmt>
        <c:idx val="1810"/>
        <c:marker>
          <c:symbol val="none"/>
        </c:marker>
      </c:pivotFmt>
      <c:pivotFmt>
        <c:idx val="1811"/>
        <c:marker>
          <c:symbol val="none"/>
        </c:marker>
      </c:pivotFmt>
      <c:pivotFmt>
        <c:idx val="1812"/>
        <c:marker>
          <c:symbol val="none"/>
        </c:marker>
      </c:pivotFmt>
      <c:pivotFmt>
        <c:idx val="1813"/>
        <c:marker>
          <c:symbol val="none"/>
        </c:marker>
      </c:pivotFmt>
      <c:pivotFmt>
        <c:idx val="1814"/>
        <c:marker>
          <c:symbol val="none"/>
        </c:marker>
      </c:pivotFmt>
      <c:pivotFmt>
        <c:idx val="1815"/>
        <c:marker>
          <c:symbol val="none"/>
        </c:marker>
      </c:pivotFmt>
      <c:pivotFmt>
        <c:idx val="1816"/>
        <c:marker>
          <c:symbol val="none"/>
        </c:marker>
      </c:pivotFmt>
      <c:pivotFmt>
        <c:idx val="1817"/>
        <c:marker>
          <c:symbol val="none"/>
        </c:marker>
      </c:pivotFmt>
      <c:pivotFmt>
        <c:idx val="1818"/>
        <c:marker>
          <c:symbol val="none"/>
        </c:marker>
      </c:pivotFmt>
      <c:pivotFmt>
        <c:idx val="1819"/>
        <c:marker>
          <c:symbol val="none"/>
        </c:marker>
      </c:pivotFmt>
      <c:pivotFmt>
        <c:idx val="1820"/>
        <c:marker>
          <c:symbol val="none"/>
        </c:marker>
      </c:pivotFmt>
      <c:pivotFmt>
        <c:idx val="1821"/>
        <c:marker>
          <c:symbol val="none"/>
        </c:marker>
      </c:pivotFmt>
      <c:pivotFmt>
        <c:idx val="1822"/>
        <c:marker>
          <c:symbol val="none"/>
        </c:marker>
      </c:pivotFmt>
      <c:pivotFmt>
        <c:idx val="1823"/>
        <c:marker>
          <c:symbol val="none"/>
        </c:marker>
      </c:pivotFmt>
      <c:pivotFmt>
        <c:idx val="1824"/>
        <c:marker>
          <c:symbol val="none"/>
        </c:marker>
      </c:pivotFmt>
      <c:pivotFmt>
        <c:idx val="1825"/>
        <c:marker>
          <c:symbol val="none"/>
        </c:marker>
      </c:pivotFmt>
      <c:pivotFmt>
        <c:idx val="1826"/>
        <c:marker>
          <c:symbol val="none"/>
        </c:marker>
      </c:pivotFmt>
      <c:pivotFmt>
        <c:idx val="1827"/>
        <c:marker>
          <c:symbol val="none"/>
        </c:marker>
      </c:pivotFmt>
      <c:pivotFmt>
        <c:idx val="1828"/>
        <c:marker>
          <c:symbol val="none"/>
        </c:marker>
      </c:pivotFmt>
      <c:pivotFmt>
        <c:idx val="1829"/>
        <c:marker>
          <c:symbol val="none"/>
        </c:marker>
      </c:pivotFmt>
      <c:pivotFmt>
        <c:idx val="1830"/>
        <c:marker>
          <c:symbol val="none"/>
        </c:marker>
      </c:pivotFmt>
      <c:pivotFmt>
        <c:idx val="1831"/>
        <c:marker>
          <c:symbol val="none"/>
        </c:marker>
      </c:pivotFmt>
      <c:pivotFmt>
        <c:idx val="1832"/>
        <c:marker>
          <c:symbol val="none"/>
        </c:marker>
      </c:pivotFmt>
      <c:pivotFmt>
        <c:idx val="1833"/>
        <c:marker>
          <c:symbol val="none"/>
        </c:marker>
      </c:pivotFmt>
      <c:pivotFmt>
        <c:idx val="1834"/>
        <c:marker>
          <c:symbol val="none"/>
        </c:marker>
      </c:pivotFmt>
      <c:pivotFmt>
        <c:idx val="1835"/>
        <c:marker>
          <c:symbol val="none"/>
        </c:marker>
      </c:pivotFmt>
      <c:pivotFmt>
        <c:idx val="1836"/>
        <c:marker>
          <c:symbol val="none"/>
        </c:marker>
      </c:pivotFmt>
      <c:pivotFmt>
        <c:idx val="1837"/>
        <c:marker>
          <c:symbol val="none"/>
        </c:marker>
      </c:pivotFmt>
      <c:pivotFmt>
        <c:idx val="1838"/>
        <c:marker>
          <c:symbol val="none"/>
        </c:marker>
      </c:pivotFmt>
      <c:pivotFmt>
        <c:idx val="1839"/>
        <c:marker>
          <c:symbol val="none"/>
        </c:marker>
      </c:pivotFmt>
      <c:pivotFmt>
        <c:idx val="1840"/>
        <c:marker>
          <c:symbol val="none"/>
        </c:marker>
      </c:pivotFmt>
      <c:pivotFmt>
        <c:idx val="1841"/>
        <c:marker>
          <c:symbol val="none"/>
        </c:marker>
      </c:pivotFmt>
      <c:pivotFmt>
        <c:idx val="1842"/>
        <c:marker>
          <c:symbol val="none"/>
        </c:marker>
      </c:pivotFmt>
      <c:pivotFmt>
        <c:idx val="1843"/>
        <c:marker>
          <c:symbol val="none"/>
        </c:marker>
      </c:pivotFmt>
      <c:pivotFmt>
        <c:idx val="1844"/>
        <c:marker>
          <c:symbol val="none"/>
        </c:marker>
      </c:pivotFmt>
      <c:pivotFmt>
        <c:idx val="1845"/>
        <c:marker>
          <c:symbol val="none"/>
        </c:marker>
      </c:pivotFmt>
      <c:pivotFmt>
        <c:idx val="1846"/>
        <c:marker>
          <c:symbol val="none"/>
        </c:marker>
      </c:pivotFmt>
      <c:pivotFmt>
        <c:idx val="1847"/>
        <c:marker>
          <c:symbol val="none"/>
        </c:marker>
      </c:pivotFmt>
      <c:pivotFmt>
        <c:idx val="1848"/>
        <c:marker>
          <c:symbol val="none"/>
        </c:marker>
      </c:pivotFmt>
      <c:pivotFmt>
        <c:idx val="1849"/>
        <c:marker>
          <c:symbol val="none"/>
        </c:marker>
      </c:pivotFmt>
      <c:pivotFmt>
        <c:idx val="1850"/>
        <c:marker>
          <c:symbol val="none"/>
        </c:marker>
      </c:pivotFmt>
      <c:pivotFmt>
        <c:idx val="1851"/>
        <c:marker>
          <c:symbol val="none"/>
        </c:marker>
      </c:pivotFmt>
      <c:pivotFmt>
        <c:idx val="1852"/>
        <c:marker>
          <c:symbol val="none"/>
        </c:marker>
      </c:pivotFmt>
      <c:pivotFmt>
        <c:idx val="1853"/>
        <c:marker>
          <c:symbol val="none"/>
        </c:marker>
      </c:pivotFmt>
      <c:pivotFmt>
        <c:idx val="1854"/>
        <c:marker>
          <c:symbol val="none"/>
        </c:marker>
      </c:pivotFmt>
      <c:pivotFmt>
        <c:idx val="1855"/>
        <c:marker>
          <c:symbol val="none"/>
        </c:marker>
      </c:pivotFmt>
      <c:pivotFmt>
        <c:idx val="1856"/>
        <c:marker>
          <c:symbol val="none"/>
        </c:marker>
      </c:pivotFmt>
      <c:pivotFmt>
        <c:idx val="1857"/>
        <c:marker>
          <c:symbol val="none"/>
        </c:marker>
      </c:pivotFmt>
      <c:pivotFmt>
        <c:idx val="1858"/>
        <c:marker>
          <c:symbol val="none"/>
        </c:marker>
      </c:pivotFmt>
      <c:pivotFmt>
        <c:idx val="1859"/>
        <c:marker>
          <c:symbol val="none"/>
        </c:marker>
      </c:pivotFmt>
      <c:pivotFmt>
        <c:idx val="1860"/>
        <c:marker>
          <c:symbol val="none"/>
        </c:marker>
      </c:pivotFmt>
      <c:pivotFmt>
        <c:idx val="1861"/>
        <c:marker>
          <c:symbol val="none"/>
        </c:marker>
      </c:pivotFmt>
      <c:pivotFmt>
        <c:idx val="1862"/>
        <c:marker>
          <c:symbol val="none"/>
        </c:marker>
      </c:pivotFmt>
      <c:pivotFmt>
        <c:idx val="1863"/>
        <c:marker>
          <c:symbol val="none"/>
        </c:marker>
      </c:pivotFmt>
      <c:pivotFmt>
        <c:idx val="1864"/>
        <c:marker>
          <c:symbol val="none"/>
        </c:marker>
      </c:pivotFmt>
      <c:pivotFmt>
        <c:idx val="1865"/>
        <c:marker>
          <c:symbol val="none"/>
        </c:marker>
      </c:pivotFmt>
      <c:pivotFmt>
        <c:idx val="1866"/>
        <c:marker>
          <c:symbol val="none"/>
        </c:marker>
      </c:pivotFmt>
      <c:pivotFmt>
        <c:idx val="1867"/>
        <c:marker>
          <c:symbol val="none"/>
        </c:marker>
      </c:pivotFmt>
      <c:pivotFmt>
        <c:idx val="1868"/>
        <c:marker>
          <c:symbol val="none"/>
        </c:marker>
      </c:pivotFmt>
      <c:pivotFmt>
        <c:idx val="1869"/>
        <c:marker>
          <c:symbol val="none"/>
        </c:marker>
      </c:pivotFmt>
      <c:pivotFmt>
        <c:idx val="1870"/>
        <c:marker>
          <c:symbol val="none"/>
        </c:marker>
      </c:pivotFmt>
      <c:pivotFmt>
        <c:idx val="1871"/>
        <c:marker>
          <c:symbol val="none"/>
        </c:marker>
      </c:pivotFmt>
      <c:pivotFmt>
        <c:idx val="1872"/>
        <c:marker>
          <c:symbol val="none"/>
        </c:marker>
      </c:pivotFmt>
      <c:pivotFmt>
        <c:idx val="1873"/>
        <c:marker>
          <c:symbol val="none"/>
        </c:marker>
      </c:pivotFmt>
      <c:pivotFmt>
        <c:idx val="1874"/>
        <c:marker>
          <c:symbol val="none"/>
        </c:marker>
      </c:pivotFmt>
      <c:pivotFmt>
        <c:idx val="1875"/>
        <c:marker>
          <c:symbol val="none"/>
        </c:marker>
      </c:pivotFmt>
      <c:pivotFmt>
        <c:idx val="1876"/>
        <c:marker>
          <c:symbol val="none"/>
        </c:marker>
      </c:pivotFmt>
      <c:pivotFmt>
        <c:idx val="1877"/>
        <c:marker>
          <c:symbol val="none"/>
        </c:marker>
      </c:pivotFmt>
      <c:pivotFmt>
        <c:idx val="1878"/>
        <c:marker>
          <c:symbol val="none"/>
        </c:marker>
      </c:pivotFmt>
      <c:pivotFmt>
        <c:idx val="1879"/>
        <c:marker>
          <c:symbol val="none"/>
        </c:marker>
      </c:pivotFmt>
      <c:pivotFmt>
        <c:idx val="1880"/>
        <c:marker>
          <c:symbol val="none"/>
        </c:marker>
      </c:pivotFmt>
      <c:pivotFmt>
        <c:idx val="1881"/>
        <c:marker>
          <c:symbol val="none"/>
        </c:marker>
      </c:pivotFmt>
      <c:pivotFmt>
        <c:idx val="1882"/>
        <c:marker>
          <c:symbol val="none"/>
        </c:marker>
      </c:pivotFmt>
      <c:pivotFmt>
        <c:idx val="1883"/>
        <c:marker>
          <c:symbol val="none"/>
        </c:marker>
      </c:pivotFmt>
      <c:pivotFmt>
        <c:idx val="1884"/>
        <c:marker>
          <c:symbol val="none"/>
        </c:marker>
      </c:pivotFmt>
      <c:pivotFmt>
        <c:idx val="1885"/>
        <c:marker>
          <c:symbol val="none"/>
        </c:marker>
      </c:pivotFmt>
      <c:pivotFmt>
        <c:idx val="1886"/>
        <c:marker>
          <c:symbol val="none"/>
        </c:marker>
      </c:pivotFmt>
      <c:pivotFmt>
        <c:idx val="1887"/>
        <c:marker>
          <c:symbol val="none"/>
        </c:marker>
      </c:pivotFmt>
      <c:pivotFmt>
        <c:idx val="1888"/>
        <c:marker>
          <c:symbol val="none"/>
        </c:marker>
      </c:pivotFmt>
      <c:pivotFmt>
        <c:idx val="1889"/>
        <c:marker>
          <c:symbol val="none"/>
        </c:marker>
      </c:pivotFmt>
      <c:pivotFmt>
        <c:idx val="1890"/>
        <c:marker>
          <c:symbol val="none"/>
        </c:marker>
      </c:pivotFmt>
      <c:pivotFmt>
        <c:idx val="1891"/>
        <c:marker>
          <c:symbol val="none"/>
        </c:marker>
      </c:pivotFmt>
      <c:pivotFmt>
        <c:idx val="1892"/>
        <c:marker>
          <c:symbol val="none"/>
        </c:marker>
      </c:pivotFmt>
      <c:pivotFmt>
        <c:idx val="1893"/>
        <c:marker>
          <c:symbol val="none"/>
        </c:marker>
      </c:pivotFmt>
      <c:pivotFmt>
        <c:idx val="1894"/>
        <c:marker>
          <c:symbol val="none"/>
        </c:marker>
      </c:pivotFmt>
      <c:pivotFmt>
        <c:idx val="1895"/>
        <c:marker>
          <c:symbol val="none"/>
        </c:marker>
      </c:pivotFmt>
      <c:pivotFmt>
        <c:idx val="1896"/>
        <c:marker>
          <c:symbol val="none"/>
        </c:marker>
      </c:pivotFmt>
      <c:pivotFmt>
        <c:idx val="1897"/>
        <c:marker>
          <c:symbol val="none"/>
        </c:marker>
      </c:pivotFmt>
      <c:pivotFmt>
        <c:idx val="1898"/>
        <c:marker>
          <c:symbol val="none"/>
        </c:marker>
      </c:pivotFmt>
      <c:pivotFmt>
        <c:idx val="1899"/>
        <c:marker>
          <c:symbol val="none"/>
        </c:marker>
      </c:pivotFmt>
      <c:pivotFmt>
        <c:idx val="1900"/>
        <c:marker>
          <c:symbol val="none"/>
        </c:marker>
      </c:pivotFmt>
      <c:pivotFmt>
        <c:idx val="1901"/>
        <c:marker>
          <c:symbol val="none"/>
        </c:marker>
      </c:pivotFmt>
      <c:pivotFmt>
        <c:idx val="1902"/>
        <c:marker>
          <c:symbol val="none"/>
        </c:marker>
      </c:pivotFmt>
      <c:pivotFmt>
        <c:idx val="1903"/>
        <c:marker>
          <c:symbol val="none"/>
        </c:marker>
      </c:pivotFmt>
      <c:pivotFmt>
        <c:idx val="1904"/>
        <c:marker>
          <c:symbol val="none"/>
        </c:marker>
      </c:pivotFmt>
      <c:pivotFmt>
        <c:idx val="1905"/>
        <c:marker>
          <c:symbol val="none"/>
        </c:marker>
      </c:pivotFmt>
      <c:pivotFmt>
        <c:idx val="1906"/>
        <c:marker>
          <c:symbol val="none"/>
        </c:marker>
      </c:pivotFmt>
      <c:pivotFmt>
        <c:idx val="1907"/>
        <c:marker>
          <c:symbol val="none"/>
        </c:marker>
      </c:pivotFmt>
      <c:pivotFmt>
        <c:idx val="1908"/>
        <c:marker>
          <c:symbol val="none"/>
        </c:marker>
      </c:pivotFmt>
      <c:pivotFmt>
        <c:idx val="1909"/>
        <c:marker>
          <c:symbol val="none"/>
        </c:marker>
      </c:pivotFmt>
      <c:pivotFmt>
        <c:idx val="1910"/>
        <c:marker>
          <c:symbol val="none"/>
        </c:marker>
      </c:pivotFmt>
      <c:pivotFmt>
        <c:idx val="1911"/>
        <c:marker>
          <c:symbol val="none"/>
        </c:marker>
      </c:pivotFmt>
      <c:pivotFmt>
        <c:idx val="1912"/>
        <c:marker>
          <c:symbol val="none"/>
        </c:marker>
      </c:pivotFmt>
      <c:pivotFmt>
        <c:idx val="1913"/>
        <c:marker>
          <c:symbol val="none"/>
        </c:marker>
      </c:pivotFmt>
      <c:pivotFmt>
        <c:idx val="1914"/>
        <c:marker>
          <c:symbol val="none"/>
        </c:marker>
      </c:pivotFmt>
      <c:pivotFmt>
        <c:idx val="1915"/>
        <c:marker>
          <c:symbol val="none"/>
        </c:marker>
      </c:pivotFmt>
      <c:pivotFmt>
        <c:idx val="1916"/>
        <c:marker>
          <c:symbol val="none"/>
        </c:marker>
      </c:pivotFmt>
      <c:pivotFmt>
        <c:idx val="1917"/>
        <c:marker>
          <c:symbol val="none"/>
        </c:marker>
      </c:pivotFmt>
      <c:pivotFmt>
        <c:idx val="1918"/>
        <c:marker>
          <c:symbol val="none"/>
        </c:marker>
      </c:pivotFmt>
      <c:pivotFmt>
        <c:idx val="1919"/>
        <c:marker>
          <c:symbol val="none"/>
        </c:marker>
      </c:pivotFmt>
      <c:pivotFmt>
        <c:idx val="1920"/>
        <c:marker>
          <c:symbol val="none"/>
        </c:marker>
      </c:pivotFmt>
      <c:pivotFmt>
        <c:idx val="1921"/>
        <c:marker>
          <c:symbol val="none"/>
        </c:marker>
      </c:pivotFmt>
      <c:pivotFmt>
        <c:idx val="1922"/>
        <c:marker>
          <c:symbol val="none"/>
        </c:marker>
      </c:pivotFmt>
      <c:pivotFmt>
        <c:idx val="1923"/>
        <c:marker>
          <c:symbol val="none"/>
        </c:marker>
      </c:pivotFmt>
      <c:pivotFmt>
        <c:idx val="1924"/>
        <c:marker>
          <c:symbol val="none"/>
        </c:marker>
      </c:pivotFmt>
      <c:pivotFmt>
        <c:idx val="1925"/>
        <c:marker>
          <c:symbol val="none"/>
        </c:marker>
      </c:pivotFmt>
      <c:pivotFmt>
        <c:idx val="1926"/>
        <c:marker>
          <c:symbol val="none"/>
        </c:marker>
      </c:pivotFmt>
      <c:pivotFmt>
        <c:idx val="1927"/>
        <c:marker>
          <c:symbol val="none"/>
        </c:marker>
      </c:pivotFmt>
      <c:pivotFmt>
        <c:idx val="1928"/>
        <c:marker>
          <c:symbol val="none"/>
        </c:marker>
      </c:pivotFmt>
      <c:pivotFmt>
        <c:idx val="1929"/>
        <c:marker>
          <c:symbol val="none"/>
        </c:marker>
      </c:pivotFmt>
      <c:pivotFmt>
        <c:idx val="1930"/>
        <c:marker>
          <c:symbol val="none"/>
        </c:marker>
      </c:pivotFmt>
      <c:pivotFmt>
        <c:idx val="1931"/>
        <c:marker>
          <c:symbol val="none"/>
        </c:marker>
      </c:pivotFmt>
      <c:pivotFmt>
        <c:idx val="1932"/>
        <c:marker>
          <c:symbol val="none"/>
        </c:marker>
      </c:pivotFmt>
      <c:pivotFmt>
        <c:idx val="1933"/>
        <c:marker>
          <c:symbol val="none"/>
        </c:marker>
      </c:pivotFmt>
      <c:pivotFmt>
        <c:idx val="1934"/>
        <c:marker>
          <c:symbol val="none"/>
        </c:marker>
      </c:pivotFmt>
      <c:pivotFmt>
        <c:idx val="1935"/>
        <c:marker>
          <c:symbol val="none"/>
        </c:marker>
      </c:pivotFmt>
      <c:pivotFmt>
        <c:idx val="1936"/>
        <c:marker>
          <c:symbol val="none"/>
        </c:marker>
      </c:pivotFmt>
      <c:pivotFmt>
        <c:idx val="1937"/>
        <c:marker>
          <c:symbol val="none"/>
        </c:marker>
      </c:pivotFmt>
      <c:pivotFmt>
        <c:idx val="1938"/>
        <c:marker>
          <c:symbol val="none"/>
        </c:marker>
      </c:pivotFmt>
      <c:pivotFmt>
        <c:idx val="1939"/>
        <c:marker>
          <c:symbol val="none"/>
        </c:marker>
      </c:pivotFmt>
      <c:pivotFmt>
        <c:idx val="1940"/>
        <c:marker>
          <c:symbol val="none"/>
        </c:marker>
      </c:pivotFmt>
      <c:pivotFmt>
        <c:idx val="1941"/>
        <c:marker>
          <c:symbol val="none"/>
        </c:marker>
      </c:pivotFmt>
      <c:pivotFmt>
        <c:idx val="1942"/>
        <c:marker>
          <c:symbol val="none"/>
        </c:marker>
      </c:pivotFmt>
      <c:pivotFmt>
        <c:idx val="1943"/>
        <c:marker>
          <c:symbol val="none"/>
        </c:marker>
      </c:pivotFmt>
      <c:pivotFmt>
        <c:idx val="1944"/>
        <c:marker>
          <c:symbol val="none"/>
        </c:marker>
      </c:pivotFmt>
      <c:pivotFmt>
        <c:idx val="1945"/>
        <c:marker>
          <c:symbol val="none"/>
        </c:marker>
      </c:pivotFmt>
      <c:pivotFmt>
        <c:idx val="1946"/>
        <c:marker>
          <c:symbol val="none"/>
        </c:marker>
      </c:pivotFmt>
      <c:pivotFmt>
        <c:idx val="1947"/>
        <c:marker>
          <c:symbol val="none"/>
        </c:marker>
      </c:pivotFmt>
      <c:pivotFmt>
        <c:idx val="1948"/>
        <c:marker>
          <c:symbol val="none"/>
        </c:marker>
      </c:pivotFmt>
      <c:pivotFmt>
        <c:idx val="1949"/>
        <c:spPr>
          <a:ln w="25400">
            <a:noFill/>
          </a:ln>
        </c:spPr>
        <c:marker>
          <c:symbol val="none"/>
        </c:marker>
      </c:pivotFmt>
      <c:pivotFmt>
        <c:idx val="1950"/>
        <c:marker>
          <c:symbol val="none"/>
        </c:marker>
      </c:pivotFmt>
      <c:pivotFmt>
        <c:idx val="1951"/>
        <c:marker>
          <c:symbol val="none"/>
        </c:marker>
      </c:pivotFmt>
      <c:pivotFmt>
        <c:idx val="1952"/>
        <c:marker>
          <c:symbol val="none"/>
        </c:marker>
      </c:pivotFmt>
      <c:pivotFmt>
        <c:idx val="1953"/>
        <c:marker>
          <c:symbol val="none"/>
        </c:marker>
      </c:pivotFmt>
      <c:pivotFmt>
        <c:idx val="1954"/>
        <c:marker>
          <c:symbol val="none"/>
        </c:marker>
      </c:pivotFmt>
      <c:pivotFmt>
        <c:idx val="1955"/>
        <c:marker>
          <c:symbol val="none"/>
        </c:marker>
      </c:pivotFmt>
      <c:pivotFmt>
        <c:idx val="1956"/>
        <c:marker>
          <c:symbol val="none"/>
        </c:marker>
      </c:pivotFmt>
      <c:pivotFmt>
        <c:idx val="1957"/>
        <c:marker>
          <c:symbol val="none"/>
        </c:marker>
      </c:pivotFmt>
      <c:pivotFmt>
        <c:idx val="1958"/>
        <c:marker>
          <c:symbol val="none"/>
        </c:marker>
      </c:pivotFmt>
      <c:pivotFmt>
        <c:idx val="1959"/>
        <c:marker>
          <c:symbol val="none"/>
        </c:marker>
      </c:pivotFmt>
      <c:pivotFmt>
        <c:idx val="1960"/>
        <c:marker>
          <c:symbol val="none"/>
        </c:marker>
      </c:pivotFmt>
      <c:pivotFmt>
        <c:idx val="1961"/>
        <c:marker>
          <c:symbol val="none"/>
        </c:marker>
      </c:pivotFmt>
      <c:pivotFmt>
        <c:idx val="1962"/>
        <c:marker>
          <c:symbol val="none"/>
        </c:marker>
      </c:pivotFmt>
      <c:pivotFmt>
        <c:idx val="1963"/>
        <c:marker>
          <c:symbol val="none"/>
        </c:marker>
      </c:pivotFmt>
      <c:pivotFmt>
        <c:idx val="1964"/>
        <c:marker>
          <c:symbol val="none"/>
        </c:marker>
      </c:pivotFmt>
      <c:pivotFmt>
        <c:idx val="1965"/>
        <c:marker>
          <c:symbol val="none"/>
        </c:marker>
      </c:pivotFmt>
      <c:pivotFmt>
        <c:idx val="1966"/>
        <c:marker>
          <c:symbol val="none"/>
        </c:marker>
      </c:pivotFmt>
      <c:pivotFmt>
        <c:idx val="1967"/>
        <c:marker>
          <c:symbol val="none"/>
        </c:marker>
      </c:pivotFmt>
      <c:pivotFmt>
        <c:idx val="1968"/>
        <c:marker>
          <c:symbol val="none"/>
        </c:marker>
      </c:pivotFmt>
      <c:pivotFmt>
        <c:idx val="1969"/>
        <c:marker>
          <c:symbol val="none"/>
        </c:marker>
      </c:pivotFmt>
      <c:pivotFmt>
        <c:idx val="1970"/>
        <c:marker>
          <c:symbol val="none"/>
        </c:marker>
      </c:pivotFmt>
      <c:pivotFmt>
        <c:idx val="1971"/>
        <c:marker>
          <c:symbol val="none"/>
        </c:marker>
      </c:pivotFmt>
      <c:pivotFmt>
        <c:idx val="1972"/>
        <c:marker>
          <c:symbol val="none"/>
        </c:marker>
      </c:pivotFmt>
      <c:pivotFmt>
        <c:idx val="1973"/>
        <c:marker>
          <c:symbol val="none"/>
        </c:marker>
      </c:pivotFmt>
      <c:pivotFmt>
        <c:idx val="1974"/>
        <c:marker>
          <c:symbol val="none"/>
        </c:marker>
      </c:pivotFmt>
      <c:pivotFmt>
        <c:idx val="1975"/>
        <c:marker>
          <c:symbol val="none"/>
        </c:marker>
      </c:pivotFmt>
      <c:pivotFmt>
        <c:idx val="1976"/>
        <c:marker>
          <c:symbol val="none"/>
        </c:marker>
      </c:pivotFmt>
      <c:pivotFmt>
        <c:idx val="1977"/>
        <c:marker>
          <c:symbol val="none"/>
        </c:marker>
      </c:pivotFmt>
      <c:pivotFmt>
        <c:idx val="1978"/>
        <c:marker>
          <c:symbol val="none"/>
        </c:marker>
      </c:pivotFmt>
      <c:pivotFmt>
        <c:idx val="1979"/>
        <c:marker>
          <c:symbol val="none"/>
        </c:marker>
      </c:pivotFmt>
      <c:pivotFmt>
        <c:idx val="1980"/>
        <c:marker>
          <c:symbol val="none"/>
        </c:marker>
      </c:pivotFmt>
      <c:pivotFmt>
        <c:idx val="1981"/>
        <c:marker>
          <c:symbol val="none"/>
        </c:marker>
      </c:pivotFmt>
      <c:pivotFmt>
        <c:idx val="1982"/>
        <c:marker>
          <c:symbol val="none"/>
        </c:marker>
      </c:pivotFmt>
      <c:pivotFmt>
        <c:idx val="1983"/>
        <c:marker>
          <c:symbol val="none"/>
        </c:marker>
      </c:pivotFmt>
      <c:pivotFmt>
        <c:idx val="1984"/>
        <c:marker>
          <c:symbol val="none"/>
        </c:marker>
      </c:pivotFmt>
      <c:pivotFmt>
        <c:idx val="1985"/>
        <c:marker>
          <c:symbol val="none"/>
        </c:marker>
      </c:pivotFmt>
      <c:pivotFmt>
        <c:idx val="1986"/>
        <c:marker>
          <c:symbol val="none"/>
        </c:marker>
      </c:pivotFmt>
      <c:pivotFmt>
        <c:idx val="1987"/>
        <c:marker>
          <c:symbol val="none"/>
        </c:marker>
      </c:pivotFmt>
      <c:pivotFmt>
        <c:idx val="1988"/>
        <c:marker>
          <c:symbol val="none"/>
        </c:marker>
      </c:pivotFmt>
      <c:pivotFmt>
        <c:idx val="1989"/>
        <c:marker>
          <c:symbol val="none"/>
        </c:marker>
      </c:pivotFmt>
      <c:pivotFmt>
        <c:idx val="1990"/>
        <c:marker>
          <c:symbol val="none"/>
        </c:marker>
      </c:pivotFmt>
      <c:pivotFmt>
        <c:idx val="1991"/>
        <c:marker>
          <c:symbol val="none"/>
        </c:marker>
      </c:pivotFmt>
      <c:pivotFmt>
        <c:idx val="1992"/>
        <c:marker>
          <c:symbol val="none"/>
        </c:marker>
      </c:pivotFmt>
      <c:pivotFmt>
        <c:idx val="1993"/>
        <c:marker>
          <c:symbol val="none"/>
        </c:marker>
      </c:pivotFmt>
      <c:pivotFmt>
        <c:idx val="1994"/>
        <c:marker>
          <c:symbol val="none"/>
        </c:marker>
      </c:pivotFmt>
      <c:pivotFmt>
        <c:idx val="1995"/>
        <c:marker>
          <c:symbol val="none"/>
        </c:marker>
      </c:pivotFmt>
      <c:pivotFmt>
        <c:idx val="1996"/>
        <c:marker>
          <c:symbol val="none"/>
        </c:marker>
      </c:pivotFmt>
      <c:pivotFmt>
        <c:idx val="1997"/>
        <c:marker>
          <c:symbol val="none"/>
        </c:marker>
      </c:pivotFmt>
      <c:pivotFmt>
        <c:idx val="1998"/>
        <c:marker>
          <c:symbol val="none"/>
        </c:marker>
      </c:pivotFmt>
      <c:pivotFmt>
        <c:idx val="1999"/>
        <c:marker>
          <c:symbol val="none"/>
        </c:marker>
      </c:pivotFmt>
      <c:pivotFmt>
        <c:idx val="2000"/>
        <c:marker>
          <c:symbol val="none"/>
        </c:marker>
      </c:pivotFmt>
      <c:pivotFmt>
        <c:idx val="2001"/>
        <c:marker>
          <c:symbol val="none"/>
        </c:marker>
      </c:pivotFmt>
      <c:pivotFmt>
        <c:idx val="2002"/>
        <c:marker>
          <c:symbol val="none"/>
        </c:marker>
      </c:pivotFmt>
      <c:pivotFmt>
        <c:idx val="2003"/>
        <c:marker>
          <c:symbol val="none"/>
        </c:marker>
      </c:pivotFmt>
      <c:pivotFmt>
        <c:idx val="2004"/>
        <c:marker>
          <c:symbol val="none"/>
        </c:marker>
      </c:pivotFmt>
      <c:pivotFmt>
        <c:idx val="2005"/>
        <c:marker>
          <c:symbol val="none"/>
        </c:marker>
      </c:pivotFmt>
      <c:pivotFmt>
        <c:idx val="2006"/>
        <c:marker>
          <c:symbol val="none"/>
        </c:marker>
      </c:pivotFmt>
      <c:pivotFmt>
        <c:idx val="2007"/>
        <c:marker>
          <c:symbol val="none"/>
        </c:marker>
      </c:pivotFmt>
      <c:pivotFmt>
        <c:idx val="2008"/>
        <c:marker>
          <c:symbol val="none"/>
        </c:marker>
      </c:pivotFmt>
      <c:pivotFmt>
        <c:idx val="2009"/>
        <c:marker>
          <c:symbol val="none"/>
        </c:marker>
      </c:pivotFmt>
      <c:pivotFmt>
        <c:idx val="2010"/>
        <c:marker>
          <c:symbol val="none"/>
        </c:marker>
      </c:pivotFmt>
      <c:pivotFmt>
        <c:idx val="2011"/>
        <c:marker>
          <c:symbol val="none"/>
        </c:marker>
      </c:pivotFmt>
      <c:pivotFmt>
        <c:idx val="2012"/>
        <c:marker>
          <c:symbol val="none"/>
        </c:marker>
      </c:pivotFmt>
      <c:pivotFmt>
        <c:idx val="2013"/>
        <c:marker>
          <c:symbol val="none"/>
        </c:marker>
      </c:pivotFmt>
      <c:pivotFmt>
        <c:idx val="2014"/>
        <c:marker>
          <c:symbol val="none"/>
        </c:marker>
      </c:pivotFmt>
      <c:pivotFmt>
        <c:idx val="2015"/>
        <c:marker>
          <c:symbol val="none"/>
        </c:marker>
      </c:pivotFmt>
      <c:pivotFmt>
        <c:idx val="2016"/>
        <c:marker>
          <c:symbol val="none"/>
        </c:marker>
      </c:pivotFmt>
      <c:pivotFmt>
        <c:idx val="2017"/>
        <c:marker>
          <c:symbol val="none"/>
        </c:marker>
      </c:pivotFmt>
      <c:pivotFmt>
        <c:idx val="2018"/>
        <c:marker>
          <c:symbol val="none"/>
        </c:marker>
      </c:pivotFmt>
      <c:pivotFmt>
        <c:idx val="2019"/>
        <c:marker>
          <c:symbol val="none"/>
        </c:marker>
      </c:pivotFmt>
      <c:pivotFmt>
        <c:idx val="2020"/>
        <c:marker>
          <c:symbol val="none"/>
        </c:marker>
      </c:pivotFmt>
      <c:pivotFmt>
        <c:idx val="2021"/>
        <c:marker>
          <c:symbol val="none"/>
        </c:marker>
      </c:pivotFmt>
      <c:pivotFmt>
        <c:idx val="2022"/>
        <c:marker>
          <c:symbol val="none"/>
        </c:marker>
      </c:pivotFmt>
      <c:pivotFmt>
        <c:idx val="2023"/>
        <c:marker>
          <c:symbol val="none"/>
        </c:marker>
      </c:pivotFmt>
      <c:pivotFmt>
        <c:idx val="2024"/>
        <c:marker>
          <c:symbol val="none"/>
        </c:marker>
      </c:pivotFmt>
      <c:pivotFmt>
        <c:idx val="2025"/>
        <c:marker>
          <c:symbol val="none"/>
        </c:marker>
      </c:pivotFmt>
      <c:pivotFmt>
        <c:idx val="2026"/>
        <c:marker>
          <c:symbol val="none"/>
        </c:marker>
      </c:pivotFmt>
      <c:pivotFmt>
        <c:idx val="2027"/>
        <c:marker>
          <c:symbol val="none"/>
        </c:marker>
      </c:pivotFmt>
      <c:pivotFmt>
        <c:idx val="2028"/>
        <c:marker>
          <c:symbol val="none"/>
        </c:marker>
      </c:pivotFmt>
      <c:pivotFmt>
        <c:idx val="2029"/>
        <c:marker>
          <c:symbol val="none"/>
        </c:marker>
      </c:pivotFmt>
      <c:pivotFmt>
        <c:idx val="2030"/>
        <c:marker>
          <c:symbol val="none"/>
        </c:marker>
      </c:pivotFmt>
      <c:pivotFmt>
        <c:idx val="2031"/>
        <c:marker>
          <c:symbol val="none"/>
        </c:marker>
      </c:pivotFmt>
      <c:pivotFmt>
        <c:idx val="2032"/>
        <c:marker>
          <c:symbol val="none"/>
        </c:marker>
      </c:pivotFmt>
      <c:pivotFmt>
        <c:idx val="2033"/>
        <c:marker>
          <c:symbol val="none"/>
        </c:marker>
      </c:pivotFmt>
      <c:pivotFmt>
        <c:idx val="2034"/>
        <c:marker>
          <c:symbol val="none"/>
        </c:marker>
      </c:pivotFmt>
      <c:pivotFmt>
        <c:idx val="2035"/>
        <c:marker>
          <c:symbol val="none"/>
        </c:marker>
      </c:pivotFmt>
      <c:pivotFmt>
        <c:idx val="2036"/>
        <c:marker>
          <c:symbol val="none"/>
        </c:marker>
      </c:pivotFmt>
      <c:pivotFmt>
        <c:idx val="2037"/>
        <c:marker>
          <c:symbol val="none"/>
        </c:marker>
      </c:pivotFmt>
      <c:pivotFmt>
        <c:idx val="2038"/>
        <c:marker>
          <c:symbol val="none"/>
        </c:marker>
      </c:pivotFmt>
      <c:pivotFmt>
        <c:idx val="2039"/>
        <c:marker>
          <c:symbol val="none"/>
        </c:marker>
      </c:pivotFmt>
      <c:pivotFmt>
        <c:idx val="2040"/>
        <c:marker>
          <c:symbol val="none"/>
        </c:marker>
      </c:pivotFmt>
      <c:pivotFmt>
        <c:idx val="2041"/>
        <c:marker>
          <c:symbol val="none"/>
        </c:marker>
      </c:pivotFmt>
      <c:pivotFmt>
        <c:idx val="2042"/>
        <c:marker>
          <c:symbol val="none"/>
        </c:marker>
      </c:pivotFmt>
      <c:pivotFmt>
        <c:idx val="2043"/>
        <c:marker>
          <c:symbol val="none"/>
        </c:marker>
      </c:pivotFmt>
      <c:pivotFmt>
        <c:idx val="2044"/>
        <c:marker>
          <c:symbol val="none"/>
        </c:marker>
      </c:pivotFmt>
      <c:pivotFmt>
        <c:idx val="2045"/>
        <c:marker>
          <c:symbol val="none"/>
        </c:marker>
      </c:pivotFmt>
      <c:pivotFmt>
        <c:idx val="2046"/>
        <c:marker>
          <c:symbol val="none"/>
        </c:marker>
      </c:pivotFmt>
      <c:pivotFmt>
        <c:idx val="2047"/>
        <c:marker>
          <c:symbol val="none"/>
        </c:marker>
      </c:pivotFmt>
      <c:pivotFmt>
        <c:idx val="2048"/>
        <c:marker>
          <c:symbol val="none"/>
        </c:marker>
      </c:pivotFmt>
      <c:pivotFmt>
        <c:idx val="2049"/>
        <c:marker>
          <c:symbol val="none"/>
        </c:marker>
      </c:pivotFmt>
      <c:pivotFmt>
        <c:idx val="2050"/>
        <c:marker>
          <c:symbol val="none"/>
        </c:marker>
        <c:dLbl>
          <c:idx val="0"/>
          <c:delete val="1"/>
        </c:dLbl>
      </c:pivotFmt>
      <c:pivotFmt>
        <c:idx val="2051"/>
        <c:marker>
          <c:symbol val="none"/>
        </c:marker>
      </c:pivotFmt>
      <c:pivotFmt>
        <c:idx val="2052"/>
        <c:marker>
          <c:symbol val="none"/>
        </c:marker>
      </c:pivotFmt>
      <c:pivotFmt>
        <c:idx val="2053"/>
        <c:marker>
          <c:symbol val="none"/>
        </c:marker>
        <c:dLbl>
          <c:idx val="0"/>
          <c:delete val="1"/>
        </c:dLbl>
      </c:pivotFmt>
      <c:pivotFmt>
        <c:idx val="2054"/>
        <c:marker>
          <c:symbol val="none"/>
        </c:marker>
        <c:dLbl>
          <c:idx val="0"/>
          <c:delete val="1"/>
        </c:dLbl>
      </c:pivotFmt>
      <c:pivotFmt>
        <c:idx val="2055"/>
        <c:marker>
          <c:symbol val="none"/>
        </c:marker>
        <c:dLbl>
          <c:idx val="0"/>
          <c:delete val="1"/>
        </c:dLbl>
      </c:pivotFmt>
      <c:pivotFmt>
        <c:idx val="2056"/>
        <c:marker>
          <c:symbol val="none"/>
        </c:marker>
        <c:dLbl>
          <c:idx val="0"/>
          <c:delete val="1"/>
        </c:dLbl>
      </c:pivotFmt>
      <c:pivotFmt>
        <c:idx val="2057"/>
        <c:marker>
          <c:symbol val="none"/>
        </c:marker>
        <c:dLbl>
          <c:idx val="0"/>
          <c:delete val="1"/>
        </c:dLbl>
      </c:pivotFmt>
      <c:pivotFmt>
        <c:idx val="2058"/>
        <c:marker>
          <c:symbol val="none"/>
        </c:marker>
      </c:pivotFmt>
      <c:pivotFmt>
        <c:idx val="2059"/>
        <c:marker>
          <c:symbol val="none"/>
        </c:marker>
      </c:pivotFmt>
      <c:pivotFmt>
        <c:idx val="2060"/>
        <c:marker>
          <c:symbol val="none"/>
        </c:marker>
      </c:pivotFmt>
      <c:pivotFmt>
        <c:idx val="2061"/>
        <c:marker>
          <c:symbol val="none"/>
        </c:marker>
      </c:pivotFmt>
      <c:pivotFmt>
        <c:idx val="2062"/>
        <c:marker>
          <c:symbol val="none"/>
        </c:marker>
      </c:pivotFmt>
      <c:pivotFmt>
        <c:idx val="2063"/>
        <c:marker>
          <c:symbol val="none"/>
        </c:marker>
      </c:pivotFmt>
      <c:pivotFmt>
        <c:idx val="2064"/>
        <c:marker>
          <c:symbol val="none"/>
        </c:marker>
      </c:pivotFmt>
      <c:pivotFmt>
        <c:idx val="2065"/>
        <c:marker>
          <c:symbol val="none"/>
        </c:marker>
      </c:pivotFmt>
      <c:pivotFmt>
        <c:idx val="2066"/>
        <c:marker>
          <c:symbol val="none"/>
        </c:marker>
      </c:pivotFmt>
      <c:pivotFmt>
        <c:idx val="2067"/>
        <c:marker>
          <c:symbol val="none"/>
        </c:marker>
      </c:pivotFmt>
      <c:pivotFmt>
        <c:idx val="2068"/>
        <c:marker>
          <c:symbol val="none"/>
        </c:marker>
      </c:pivotFmt>
      <c:pivotFmt>
        <c:idx val="2069"/>
        <c:marker>
          <c:symbol val="none"/>
        </c:marker>
      </c:pivotFmt>
      <c:pivotFmt>
        <c:idx val="2070"/>
        <c:marker>
          <c:symbol val="none"/>
        </c:marker>
      </c:pivotFmt>
      <c:pivotFmt>
        <c:idx val="2071"/>
        <c:marker>
          <c:symbol val="none"/>
        </c:marker>
      </c:pivotFmt>
      <c:pivotFmt>
        <c:idx val="2072"/>
        <c:marker>
          <c:symbol val="none"/>
        </c:marker>
      </c:pivotFmt>
      <c:pivotFmt>
        <c:idx val="2073"/>
        <c:marker>
          <c:symbol val="none"/>
        </c:marker>
      </c:pivotFmt>
      <c:pivotFmt>
        <c:idx val="2074"/>
        <c:marker>
          <c:symbol val="none"/>
        </c:marker>
      </c:pivotFmt>
      <c:pivotFmt>
        <c:idx val="2075"/>
        <c:marker>
          <c:symbol val="none"/>
        </c:marker>
      </c:pivotFmt>
      <c:pivotFmt>
        <c:idx val="2076"/>
        <c:marker>
          <c:symbol val="none"/>
        </c:marker>
      </c:pivotFmt>
      <c:pivotFmt>
        <c:idx val="2077"/>
        <c:marker>
          <c:symbol val="none"/>
        </c:marker>
      </c:pivotFmt>
      <c:pivotFmt>
        <c:idx val="2078"/>
        <c:marker>
          <c:symbol val="none"/>
        </c:marker>
      </c:pivotFmt>
      <c:pivotFmt>
        <c:idx val="2079"/>
        <c:marker>
          <c:symbol val="none"/>
        </c:marker>
      </c:pivotFmt>
      <c:pivotFmt>
        <c:idx val="2080"/>
        <c:marker>
          <c:symbol val="none"/>
        </c:marker>
      </c:pivotFmt>
      <c:pivotFmt>
        <c:idx val="2081"/>
        <c:marker>
          <c:symbol val="none"/>
        </c:marker>
      </c:pivotFmt>
      <c:pivotFmt>
        <c:idx val="2082"/>
        <c:marker>
          <c:symbol val="none"/>
        </c:marker>
      </c:pivotFmt>
      <c:pivotFmt>
        <c:idx val="2083"/>
        <c:marker>
          <c:symbol val="none"/>
        </c:marker>
      </c:pivotFmt>
      <c:pivotFmt>
        <c:idx val="2084"/>
        <c:marker>
          <c:symbol val="none"/>
        </c:marker>
      </c:pivotFmt>
      <c:pivotFmt>
        <c:idx val="2085"/>
        <c:marker>
          <c:symbol val="none"/>
        </c:marker>
      </c:pivotFmt>
      <c:pivotFmt>
        <c:idx val="2086"/>
        <c:marker>
          <c:symbol val="none"/>
        </c:marker>
      </c:pivotFmt>
      <c:pivotFmt>
        <c:idx val="2087"/>
        <c:marker>
          <c:symbol val="none"/>
        </c:marker>
      </c:pivotFmt>
      <c:pivotFmt>
        <c:idx val="2088"/>
        <c:marker>
          <c:symbol val="none"/>
        </c:marker>
      </c:pivotFmt>
      <c:pivotFmt>
        <c:idx val="2089"/>
        <c:marker>
          <c:symbol val="none"/>
        </c:marker>
      </c:pivotFmt>
      <c:pivotFmt>
        <c:idx val="2090"/>
        <c:marker>
          <c:symbol val="none"/>
        </c:marker>
      </c:pivotFmt>
      <c:pivotFmt>
        <c:idx val="2091"/>
        <c:marker>
          <c:symbol val="none"/>
        </c:marker>
      </c:pivotFmt>
      <c:pivotFmt>
        <c:idx val="2092"/>
        <c:marker>
          <c:symbol val="none"/>
        </c:marker>
      </c:pivotFmt>
      <c:pivotFmt>
        <c:idx val="2093"/>
        <c:marker>
          <c:symbol val="none"/>
        </c:marker>
      </c:pivotFmt>
      <c:pivotFmt>
        <c:idx val="2094"/>
        <c:marker>
          <c:symbol val="none"/>
        </c:marker>
      </c:pivotFmt>
      <c:pivotFmt>
        <c:idx val="2095"/>
        <c:marker>
          <c:symbol val="none"/>
        </c:marker>
      </c:pivotFmt>
      <c:pivotFmt>
        <c:idx val="2096"/>
        <c:marker>
          <c:symbol val="none"/>
        </c:marker>
      </c:pivotFmt>
      <c:pivotFmt>
        <c:idx val="2097"/>
        <c:marker>
          <c:symbol val="none"/>
        </c:marker>
      </c:pivotFmt>
      <c:pivotFmt>
        <c:idx val="2098"/>
        <c:marker>
          <c:symbol val="none"/>
        </c:marker>
      </c:pivotFmt>
      <c:pivotFmt>
        <c:idx val="2099"/>
        <c:marker>
          <c:symbol val="none"/>
        </c:marker>
      </c:pivotFmt>
      <c:pivotFmt>
        <c:idx val="2100"/>
        <c:marker>
          <c:symbol val="none"/>
        </c:marker>
      </c:pivotFmt>
      <c:pivotFmt>
        <c:idx val="2101"/>
        <c:marker>
          <c:symbol val="none"/>
        </c:marker>
      </c:pivotFmt>
      <c:pivotFmt>
        <c:idx val="2102"/>
        <c:marker>
          <c:symbol val="none"/>
        </c:marker>
      </c:pivotFmt>
      <c:pivotFmt>
        <c:idx val="2103"/>
        <c:marker>
          <c:symbol val="none"/>
        </c:marker>
      </c:pivotFmt>
      <c:pivotFmt>
        <c:idx val="2104"/>
        <c:marker>
          <c:symbol val="none"/>
        </c:marker>
      </c:pivotFmt>
      <c:pivotFmt>
        <c:idx val="2105"/>
        <c:marker>
          <c:symbol val="none"/>
        </c:marker>
      </c:pivotFmt>
      <c:pivotFmt>
        <c:idx val="2106"/>
        <c:marker>
          <c:symbol val="none"/>
        </c:marker>
      </c:pivotFmt>
      <c:pivotFmt>
        <c:idx val="2107"/>
        <c:marker>
          <c:symbol val="none"/>
        </c:marker>
      </c:pivotFmt>
      <c:pivotFmt>
        <c:idx val="2108"/>
        <c:marker>
          <c:symbol val="none"/>
        </c:marker>
      </c:pivotFmt>
      <c:pivotFmt>
        <c:idx val="2109"/>
        <c:marker>
          <c:symbol val="none"/>
        </c:marker>
      </c:pivotFmt>
      <c:pivotFmt>
        <c:idx val="2110"/>
        <c:marker>
          <c:symbol val="none"/>
        </c:marker>
      </c:pivotFmt>
      <c:pivotFmt>
        <c:idx val="2111"/>
        <c:marker>
          <c:symbol val="none"/>
        </c:marker>
      </c:pivotFmt>
      <c:pivotFmt>
        <c:idx val="2112"/>
        <c:marker>
          <c:symbol val="none"/>
        </c:marker>
      </c:pivotFmt>
      <c:pivotFmt>
        <c:idx val="2113"/>
        <c:marker>
          <c:symbol val="none"/>
        </c:marker>
      </c:pivotFmt>
      <c:pivotFmt>
        <c:idx val="2114"/>
        <c:marker>
          <c:symbol val="none"/>
        </c:marker>
      </c:pivotFmt>
      <c:pivotFmt>
        <c:idx val="2115"/>
        <c:marker>
          <c:symbol val="none"/>
        </c:marker>
      </c:pivotFmt>
      <c:pivotFmt>
        <c:idx val="2116"/>
        <c:marker>
          <c:symbol val="none"/>
        </c:marker>
      </c:pivotFmt>
      <c:pivotFmt>
        <c:idx val="2117"/>
        <c:marker>
          <c:symbol val="none"/>
        </c:marker>
      </c:pivotFmt>
      <c:pivotFmt>
        <c:idx val="2118"/>
        <c:marker>
          <c:symbol val="none"/>
        </c:marker>
      </c:pivotFmt>
      <c:pivotFmt>
        <c:idx val="2119"/>
        <c:marker>
          <c:symbol val="none"/>
        </c:marker>
      </c:pivotFmt>
      <c:pivotFmt>
        <c:idx val="2120"/>
        <c:marker>
          <c:symbol val="none"/>
        </c:marker>
      </c:pivotFmt>
      <c:pivotFmt>
        <c:idx val="2121"/>
        <c:marker>
          <c:symbol val="none"/>
        </c:marker>
      </c:pivotFmt>
      <c:pivotFmt>
        <c:idx val="2122"/>
        <c:marker>
          <c:symbol val="none"/>
        </c:marker>
      </c:pivotFmt>
      <c:pivotFmt>
        <c:idx val="2123"/>
        <c:marker>
          <c:symbol val="none"/>
        </c:marker>
      </c:pivotFmt>
      <c:pivotFmt>
        <c:idx val="2124"/>
        <c:marker>
          <c:symbol val="none"/>
        </c:marker>
      </c:pivotFmt>
      <c:pivotFmt>
        <c:idx val="2125"/>
        <c:marker>
          <c:symbol val="none"/>
        </c:marker>
      </c:pivotFmt>
      <c:pivotFmt>
        <c:idx val="2126"/>
        <c:marker>
          <c:symbol val="none"/>
        </c:marker>
      </c:pivotFmt>
      <c:pivotFmt>
        <c:idx val="2127"/>
        <c:marker>
          <c:symbol val="none"/>
        </c:marker>
      </c:pivotFmt>
      <c:pivotFmt>
        <c:idx val="2128"/>
        <c:marker>
          <c:symbol val="none"/>
        </c:marker>
      </c:pivotFmt>
      <c:pivotFmt>
        <c:idx val="2129"/>
        <c:marker>
          <c:symbol val="none"/>
        </c:marker>
      </c:pivotFmt>
      <c:pivotFmt>
        <c:idx val="2130"/>
        <c:marker>
          <c:symbol val="none"/>
        </c:marker>
      </c:pivotFmt>
      <c:pivotFmt>
        <c:idx val="2131"/>
        <c:marker>
          <c:symbol val="none"/>
        </c:marker>
      </c:pivotFmt>
      <c:pivotFmt>
        <c:idx val="2132"/>
        <c:marker>
          <c:symbol val="none"/>
        </c:marker>
      </c:pivotFmt>
      <c:pivotFmt>
        <c:idx val="2133"/>
        <c:marker>
          <c:symbol val="none"/>
        </c:marker>
      </c:pivotFmt>
      <c:pivotFmt>
        <c:idx val="2134"/>
        <c:marker>
          <c:symbol val="none"/>
        </c:marker>
      </c:pivotFmt>
      <c:pivotFmt>
        <c:idx val="2135"/>
        <c:marker>
          <c:symbol val="none"/>
        </c:marker>
      </c:pivotFmt>
      <c:pivotFmt>
        <c:idx val="2136"/>
        <c:marker>
          <c:symbol val="none"/>
        </c:marker>
      </c:pivotFmt>
      <c:pivotFmt>
        <c:idx val="2137"/>
        <c:marker>
          <c:symbol val="none"/>
        </c:marker>
      </c:pivotFmt>
      <c:pivotFmt>
        <c:idx val="2138"/>
        <c:marker>
          <c:symbol val="none"/>
        </c:marker>
      </c:pivotFmt>
      <c:pivotFmt>
        <c:idx val="2139"/>
        <c:marker>
          <c:symbol val="none"/>
        </c:marker>
      </c:pivotFmt>
      <c:pivotFmt>
        <c:idx val="2140"/>
        <c:marker>
          <c:symbol val="none"/>
        </c:marker>
      </c:pivotFmt>
      <c:pivotFmt>
        <c:idx val="2141"/>
        <c:marker>
          <c:symbol val="none"/>
        </c:marker>
      </c:pivotFmt>
      <c:pivotFmt>
        <c:idx val="2142"/>
        <c:marker>
          <c:symbol val="none"/>
        </c:marker>
      </c:pivotFmt>
      <c:pivotFmt>
        <c:idx val="2143"/>
        <c:marker>
          <c:symbol val="none"/>
        </c:marker>
      </c:pivotFmt>
      <c:pivotFmt>
        <c:idx val="2144"/>
        <c:marker>
          <c:symbol val="none"/>
        </c:marker>
      </c:pivotFmt>
      <c:pivotFmt>
        <c:idx val="2145"/>
        <c:marker>
          <c:symbol val="none"/>
        </c:marker>
      </c:pivotFmt>
      <c:pivotFmt>
        <c:idx val="2146"/>
        <c:marker>
          <c:symbol val="none"/>
        </c:marker>
      </c:pivotFmt>
      <c:pivotFmt>
        <c:idx val="2147"/>
        <c:marker>
          <c:symbol val="none"/>
        </c:marker>
      </c:pivotFmt>
      <c:pivotFmt>
        <c:idx val="2148"/>
        <c:marker>
          <c:symbol val="none"/>
        </c:marker>
      </c:pivotFmt>
      <c:pivotFmt>
        <c:idx val="2149"/>
        <c:marker>
          <c:symbol val="none"/>
        </c:marker>
      </c:pivotFmt>
      <c:pivotFmt>
        <c:idx val="2150"/>
        <c:marker>
          <c:symbol val="none"/>
        </c:marker>
      </c:pivotFmt>
      <c:pivotFmt>
        <c:idx val="2151"/>
        <c:marker>
          <c:symbol val="none"/>
        </c:marker>
      </c:pivotFmt>
      <c:pivotFmt>
        <c:idx val="2152"/>
        <c:marker>
          <c:symbol val="none"/>
        </c:marker>
      </c:pivotFmt>
      <c:pivotFmt>
        <c:idx val="2153"/>
        <c:marker>
          <c:symbol val="none"/>
        </c:marker>
      </c:pivotFmt>
      <c:pivotFmt>
        <c:idx val="2154"/>
        <c:marker>
          <c:symbol val="none"/>
        </c:marker>
      </c:pivotFmt>
      <c:pivotFmt>
        <c:idx val="2155"/>
        <c:marker>
          <c:symbol val="none"/>
        </c:marker>
      </c:pivotFmt>
      <c:pivotFmt>
        <c:idx val="2156"/>
        <c:marker>
          <c:symbol val="none"/>
        </c:marker>
      </c:pivotFmt>
      <c:pivotFmt>
        <c:idx val="2157"/>
        <c:marker>
          <c:symbol val="none"/>
        </c:marker>
      </c:pivotFmt>
      <c:pivotFmt>
        <c:idx val="2158"/>
        <c:marker>
          <c:symbol val="none"/>
        </c:marker>
      </c:pivotFmt>
      <c:pivotFmt>
        <c:idx val="2159"/>
        <c:marker>
          <c:symbol val="none"/>
        </c:marker>
      </c:pivotFmt>
      <c:pivotFmt>
        <c:idx val="2160"/>
        <c:marker>
          <c:symbol val="none"/>
        </c:marker>
      </c:pivotFmt>
      <c:pivotFmt>
        <c:idx val="2161"/>
        <c:marker>
          <c:symbol val="none"/>
        </c:marker>
      </c:pivotFmt>
      <c:pivotFmt>
        <c:idx val="2162"/>
        <c:marker>
          <c:symbol val="none"/>
        </c:marker>
      </c:pivotFmt>
      <c:pivotFmt>
        <c:idx val="2163"/>
        <c:marker>
          <c:symbol val="none"/>
        </c:marker>
      </c:pivotFmt>
      <c:pivotFmt>
        <c:idx val="2164"/>
        <c:marker>
          <c:symbol val="none"/>
        </c:marker>
      </c:pivotFmt>
      <c:pivotFmt>
        <c:idx val="2165"/>
        <c:marker>
          <c:symbol val="none"/>
        </c:marker>
      </c:pivotFmt>
      <c:pivotFmt>
        <c:idx val="2166"/>
        <c:marker>
          <c:symbol val="none"/>
        </c:marker>
      </c:pivotFmt>
      <c:pivotFmt>
        <c:idx val="2167"/>
        <c:marker>
          <c:symbol val="none"/>
        </c:marker>
      </c:pivotFmt>
      <c:pivotFmt>
        <c:idx val="2168"/>
        <c:marker>
          <c:symbol val="none"/>
        </c:marker>
      </c:pivotFmt>
      <c:pivotFmt>
        <c:idx val="2169"/>
        <c:marker>
          <c:symbol val="none"/>
        </c:marker>
      </c:pivotFmt>
      <c:pivotFmt>
        <c:idx val="2170"/>
        <c:marker>
          <c:symbol val="none"/>
        </c:marker>
      </c:pivotFmt>
      <c:pivotFmt>
        <c:idx val="2171"/>
        <c:marker>
          <c:symbol val="none"/>
        </c:marker>
      </c:pivotFmt>
      <c:pivotFmt>
        <c:idx val="2172"/>
        <c:marker>
          <c:symbol val="none"/>
        </c:marker>
      </c:pivotFmt>
      <c:pivotFmt>
        <c:idx val="2173"/>
        <c:marker>
          <c:symbol val="none"/>
        </c:marker>
      </c:pivotFmt>
      <c:pivotFmt>
        <c:idx val="2174"/>
        <c:marker>
          <c:symbol val="none"/>
        </c:marker>
      </c:pivotFmt>
      <c:pivotFmt>
        <c:idx val="2175"/>
        <c:marker>
          <c:symbol val="none"/>
        </c:marker>
      </c:pivotFmt>
    </c:pivotFmts>
    <c:plotArea>
      <c:layout/>
      <c:lineChart>
        <c:grouping val="standard"/>
        <c:varyColors val="0"/>
        <c:ser>
          <c:idx val="0"/>
          <c:order val="0"/>
          <c:tx>
            <c:strRef>
              <c:f>'Sheet1 (13)'!$B$3:$B$5</c:f>
              <c:strCache>
                <c:ptCount val="1"/>
                <c:pt idx="0">
                  <c:v>Post-init - Exenatide+Metformin+Sulfonylurea</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(13)'!$B$6:$B$80</c:f>
              <c:numCache>
                <c:formatCode>General</c:formatCode>
                <c:ptCount val="7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622</c:v>
                </c:pt>
                <c:pt idx="27">
                  <c:v>627</c:v>
                </c:pt>
                <c:pt idx="28">
                  <c:v>627</c:v>
                </c:pt>
                <c:pt idx="29">
                  <c:v>630</c:v>
                </c:pt>
                <c:pt idx="30">
                  <c:v>632</c:v>
                </c:pt>
                <c:pt idx="31">
                  <c:v>572</c:v>
                </c:pt>
                <c:pt idx="32">
                  <c:v>564</c:v>
                </c:pt>
                <c:pt idx="33">
                  <c:v>561</c:v>
                </c:pt>
                <c:pt idx="34">
                  <c:v>556</c:v>
                </c:pt>
                <c:pt idx="35">
                  <c:v>555</c:v>
                </c:pt>
                <c:pt idx="36">
                  <c:v>539</c:v>
                </c:pt>
                <c:pt idx="37">
                  <c:v>536</c:v>
                </c:pt>
                <c:pt idx="38">
                  <c:v>545</c:v>
                </c:pt>
                <c:pt idx="39">
                  <c:v>554</c:v>
                </c:pt>
                <c:pt idx="40">
                  <c:v>546</c:v>
                </c:pt>
                <c:pt idx="41">
                  <c:v>540</c:v>
                </c:pt>
                <c:pt idx="42">
                  <c:v>538</c:v>
                </c:pt>
                <c:pt idx="43">
                  <c:v>539</c:v>
                </c:pt>
                <c:pt idx="44">
                  <c:v>533</c:v>
                </c:pt>
                <c:pt idx="45">
                  <c:v>538</c:v>
                </c:pt>
                <c:pt idx="46">
                  <c:v>545</c:v>
                </c:pt>
                <c:pt idx="47">
                  <c:v>548</c:v>
                </c:pt>
                <c:pt idx="48">
                  <c:v>546</c:v>
                </c:pt>
                <c:pt idx="49">
                  <c:v>543</c:v>
                </c:pt>
                <c:pt idx="50">
                  <c:v>537</c:v>
                </c:pt>
                <c:pt idx="51">
                  <c:v>531</c:v>
                </c:pt>
                <c:pt idx="52">
                  <c:v>521</c:v>
                </c:pt>
                <c:pt idx="53">
                  <c:v>519</c:v>
                </c:pt>
                <c:pt idx="54">
                  <c:v>509</c:v>
                </c:pt>
                <c:pt idx="55">
                  <c:v>502</c:v>
                </c:pt>
                <c:pt idx="56">
                  <c:v>498</c:v>
                </c:pt>
                <c:pt idx="57">
                  <c:v>494</c:v>
                </c:pt>
                <c:pt idx="58">
                  <c:v>490</c:v>
                </c:pt>
                <c:pt idx="59">
                  <c:v>484</c:v>
                </c:pt>
                <c:pt idx="60">
                  <c:v>484</c:v>
                </c:pt>
                <c:pt idx="61">
                  <c:v>483</c:v>
                </c:pt>
                <c:pt idx="62">
                  <c:v>479</c:v>
                </c:pt>
                <c:pt idx="63">
                  <c:v>478</c:v>
                </c:pt>
                <c:pt idx="64">
                  <c:v>474</c:v>
                </c:pt>
                <c:pt idx="65">
                  <c:v>465</c:v>
                </c:pt>
                <c:pt idx="66">
                  <c:v>462</c:v>
                </c:pt>
                <c:pt idx="67">
                  <c:v>455</c:v>
                </c:pt>
                <c:pt idx="68">
                  <c:v>454</c:v>
                </c:pt>
                <c:pt idx="69">
                  <c:v>451</c:v>
                </c:pt>
                <c:pt idx="70">
                  <c:v>448</c:v>
                </c:pt>
                <c:pt idx="71">
                  <c:v>442</c:v>
                </c:pt>
                <c:pt idx="72">
                  <c:v>440</c:v>
                </c:pt>
                <c:pt idx="73">
                  <c:v>435</c:v>
                </c:pt>
              </c:numCache>
            </c:numRef>
          </c:val>
          <c:smooth val="0"/>
        </c:ser>
        <c:ser>
          <c:idx val="1"/>
          <c:order val="1"/>
          <c:tx>
            <c:strRef>
              <c:f>'Sheet1 (13)'!$C$3:$C$5</c:f>
              <c:strCache>
                <c:ptCount val="1"/>
                <c:pt idx="0">
                  <c:v>Post-init - Exenatide+Metformin</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(13)'!$C$6:$C$80</c:f>
              <c:numCache>
                <c:formatCode>General</c:formatCode>
                <c:ptCount val="7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480</c:v>
                </c:pt>
                <c:pt idx="27">
                  <c:v>482</c:v>
                </c:pt>
                <c:pt idx="28">
                  <c:v>481</c:v>
                </c:pt>
                <c:pt idx="29">
                  <c:v>481</c:v>
                </c:pt>
                <c:pt idx="30">
                  <c:v>482</c:v>
                </c:pt>
                <c:pt idx="31">
                  <c:v>447</c:v>
                </c:pt>
                <c:pt idx="32">
                  <c:v>454</c:v>
                </c:pt>
                <c:pt idx="33">
                  <c:v>454</c:v>
                </c:pt>
                <c:pt idx="34">
                  <c:v>455</c:v>
                </c:pt>
                <c:pt idx="35">
                  <c:v>456</c:v>
                </c:pt>
                <c:pt idx="36">
                  <c:v>448</c:v>
                </c:pt>
                <c:pt idx="37">
                  <c:v>447</c:v>
                </c:pt>
                <c:pt idx="38">
                  <c:v>433</c:v>
                </c:pt>
                <c:pt idx="39">
                  <c:v>419</c:v>
                </c:pt>
                <c:pt idx="40">
                  <c:v>417</c:v>
                </c:pt>
                <c:pt idx="41">
                  <c:v>414</c:v>
                </c:pt>
                <c:pt idx="42">
                  <c:v>410</c:v>
                </c:pt>
                <c:pt idx="43">
                  <c:v>409</c:v>
                </c:pt>
                <c:pt idx="44">
                  <c:v>407</c:v>
                </c:pt>
                <c:pt idx="45">
                  <c:v>392</c:v>
                </c:pt>
                <c:pt idx="46">
                  <c:v>385</c:v>
                </c:pt>
                <c:pt idx="47">
                  <c:v>379</c:v>
                </c:pt>
                <c:pt idx="48">
                  <c:v>373</c:v>
                </c:pt>
                <c:pt idx="49">
                  <c:v>366</c:v>
                </c:pt>
                <c:pt idx="50">
                  <c:v>368</c:v>
                </c:pt>
                <c:pt idx="51">
                  <c:v>365</c:v>
                </c:pt>
                <c:pt idx="52">
                  <c:v>361</c:v>
                </c:pt>
                <c:pt idx="53">
                  <c:v>349</c:v>
                </c:pt>
                <c:pt idx="54">
                  <c:v>350</c:v>
                </c:pt>
                <c:pt idx="55">
                  <c:v>353</c:v>
                </c:pt>
                <c:pt idx="56">
                  <c:v>356</c:v>
                </c:pt>
                <c:pt idx="57">
                  <c:v>349</c:v>
                </c:pt>
                <c:pt idx="58">
                  <c:v>343</c:v>
                </c:pt>
                <c:pt idx="59">
                  <c:v>342</c:v>
                </c:pt>
                <c:pt idx="60">
                  <c:v>341</c:v>
                </c:pt>
                <c:pt idx="61">
                  <c:v>339</c:v>
                </c:pt>
                <c:pt idx="62">
                  <c:v>342</c:v>
                </c:pt>
                <c:pt idx="63">
                  <c:v>342</c:v>
                </c:pt>
                <c:pt idx="64">
                  <c:v>340</c:v>
                </c:pt>
                <c:pt idx="65">
                  <c:v>344</c:v>
                </c:pt>
                <c:pt idx="66">
                  <c:v>345</c:v>
                </c:pt>
                <c:pt idx="67">
                  <c:v>343</c:v>
                </c:pt>
                <c:pt idx="68">
                  <c:v>334</c:v>
                </c:pt>
                <c:pt idx="69">
                  <c:v>333</c:v>
                </c:pt>
                <c:pt idx="70">
                  <c:v>334</c:v>
                </c:pt>
                <c:pt idx="71">
                  <c:v>331</c:v>
                </c:pt>
                <c:pt idx="72">
                  <c:v>330</c:v>
                </c:pt>
                <c:pt idx="73">
                  <c:v>329</c:v>
                </c:pt>
              </c:numCache>
            </c:numRef>
          </c:val>
          <c:smooth val="0"/>
        </c:ser>
        <c:ser>
          <c:idx val="2"/>
          <c:order val="2"/>
          <c:tx>
            <c:strRef>
              <c:f>'Sheet1 (13)'!$D$3:$D$5</c:f>
              <c:strCache>
                <c:ptCount val="1"/>
                <c:pt idx="0">
                  <c:v>Post-init - Insulin+Metformin</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(13)'!$D$6:$D$80</c:f>
              <c:numCache>
                <c:formatCode>General</c:formatCode>
                <c:ptCount val="7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41</c:v>
                </c:pt>
                <c:pt idx="32">
                  <c:v>44</c:v>
                </c:pt>
                <c:pt idx="33">
                  <c:v>44</c:v>
                </c:pt>
                <c:pt idx="34">
                  <c:v>46</c:v>
                </c:pt>
                <c:pt idx="35">
                  <c:v>47</c:v>
                </c:pt>
                <c:pt idx="36">
                  <c:v>68</c:v>
                </c:pt>
                <c:pt idx="37">
                  <c:v>74</c:v>
                </c:pt>
                <c:pt idx="38">
                  <c:v>72</c:v>
                </c:pt>
                <c:pt idx="39">
                  <c:v>74</c:v>
                </c:pt>
                <c:pt idx="40">
                  <c:v>91</c:v>
                </c:pt>
                <c:pt idx="41">
                  <c:v>96</c:v>
                </c:pt>
                <c:pt idx="42">
                  <c:v>93</c:v>
                </c:pt>
                <c:pt idx="43">
                  <c:v>95</c:v>
                </c:pt>
                <c:pt idx="44">
                  <c:v>94</c:v>
                </c:pt>
                <c:pt idx="45">
                  <c:v>108</c:v>
                </c:pt>
                <c:pt idx="46">
                  <c:v>112</c:v>
                </c:pt>
                <c:pt idx="47">
                  <c:v>112</c:v>
                </c:pt>
                <c:pt idx="48">
                  <c:v>117</c:v>
                </c:pt>
                <c:pt idx="49">
                  <c:v>125</c:v>
                </c:pt>
                <c:pt idx="50">
                  <c:v>133</c:v>
                </c:pt>
                <c:pt idx="51">
                  <c:v>133</c:v>
                </c:pt>
                <c:pt idx="52">
                  <c:v>136</c:v>
                </c:pt>
                <c:pt idx="53">
                  <c:v>138</c:v>
                </c:pt>
                <c:pt idx="54">
                  <c:v>143</c:v>
                </c:pt>
                <c:pt idx="55">
                  <c:v>145</c:v>
                </c:pt>
                <c:pt idx="56">
                  <c:v>153</c:v>
                </c:pt>
                <c:pt idx="57">
                  <c:v>158</c:v>
                </c:pt>
                <c:pt idx="58">
                  <c:v>160</c:v>
                </c:pt>
                <c:pt idx="59">
                  <c:v>172</c:v>
                </c:pt>
                <c:pt idx="60">
                  <c:v>178</c:v>
                </c:pt>
                <c:pt idx="61">
                  <c:v>176</c:v>
                </c:pt>
                <c:pt idx="62">
                  <c:v>177</c:v>
                </c:pt>
                <c:pt idx="63">
                  <c:v>181</c:v>
                </c:pt>
                <c:pt idx="64">
                  <c:v>182</c:v>
                </c:pt>
                <c:pt idx="65">
                  <c:v>184</c:v>
                </c:pt>
                <c:pt idx="66">
                  <c:v>184</c:v>
                </c:pt>
                <c:pt idx="67">
                  <c:v>191</c:v>
                </c:pt>
                <c:pt idx="68">
                  <c:v>187</c:v>
                </c:pt>
                <c:pt idx="69">
                  <c:v>190</c:v>
                </c:pt>
                <c:pt idx="70">
                  <c:v>186</c:v>
                </c:pt>
                <c:pt idx="71">
                  <c:v>183</c:v>
                </c:pt>
                <c:pt idx="72">
                  <c:v>183</c:v>
                </c:pt>
                <c:pt idx="73">
                  <c:v>179</c:v>
                </c:pt>
              </c:numCache>
            </c:numRef>
          </c:val>
          <c:smooth val="0"/>
        </c:ser>
        <c:ser>
          <c:idx val="3"/>
          <c:order val="3"/>
          <c:tx>
            <c:strRef>
              <c:f>'Sheet1 (13)'!$E$3:$E$5</c:f>
              <c:strCache>
                <c:ptCount val="1"/>
                <c:pt idx="0">
                  <c:v>Post-init - Exenatide</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(13)'!$E$6:$E$80</c:f>
              <c:numCache>
                <c:formatCode>General</c:formatCode>
                <c:ptCount val="7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240</c:v>
                </c:pt>
                <c:pt idx="27">
                  <c:v>231</c:v>
                </c:pt>
                <c:pt idx="28">
                  <c:v>224</c:v>
                </c:pt>
                <c:pt idx="29">
                  <c:v>220</c:v>
                </c:pt>
                <c:pt idx="30">
                  <c:v>214</c:v>
                </c:pt>
                <c:pt idx="31">
                  <c:v>171</c:v>
                </c:pt>
                <c:pt idx="32">
                  <c:v>167</c:v>
                </c:pt>
                <c:pt idx="33">
                  <c:v>168</c:v>
                </c:pt>
                <c:pt idx="34">
                  <c:v>165</c:v>
                </c:pt>
                <c:pt idx="35">
                  <c:v>160</c:v>
                </c:pt>
                <c:pt idx="36">
                  <c:v>150</c:v>
                </c:pt>
                <c:pt idx="37">
                  <c:v>145</c:v>
                </c:pt>
                <c:pt idx="38">
                  <c:v>141</c:v>
                </c:pt>
                <c:pt idx="39">
                  <c:v>134</c:v>
                </c:pt>
                <c:pt idx="40">
                  <c:v>121</c:v>
                </c:pt>
                <c:pt idx="41">
                  <c:v>111</c:v>
                </c:pt>
                <c:pt idx="42">
                  <c:v>110</c:v>
                </c:pt>
                <c:pt idx="43">
                  <c:v>109</c:v>
                </c:pt>
                <c:pt idx="44">
                  <c:v>106</c:v>
                </c:pt>
                <c:pt idx="45">
                  <c:v>100</c:v>
                </c:pt>
                <c:pt idx="46">
                  <c:v>97</c:v>
                </c:pt>
                <c:pt idx="47">
                  <c:v>94</c:v>
                </c:pt>
                <c:pt idx="48">
                  <c:v>96</c:v>
                </c:pt>
                <c:pt idx="49">
                  <c:v>89</c:v>
                </c:pt>
                <c:pt idx="50">
                  <c:v>86</c:v>
                </c:pt>
                <c:pt idx="51">
                  <c:v>85</c:v>
                </c:pt>
                <c:pt idx="52">
                  <c:v>90</c:v>
                </c:pt>
                <c:pt idx="53">
                  <c:v>97</c:v>
                </c:pt>
                <c:pt idx="54">
                  <c:v>94</c:v>
                </c:pt>
                <c:pt idx="55">
                  <c:v>91</c:v>
                </c:pt>
                <c:pt idx="56">
                  <c:v>87</c:v>
                </c:pt>
                <c:pt idx="57">
                  <c:v>84</c:v>
                </c:pt>
                <c:pt idx="58">
                  <c:v>84</c:v>
                </c:pt>
                <c:pt idx="59">
                  <c:v>82</c:v>
                </c:pt>
                <c:pt idx="60">
                  <c:v>82</c:v>
                </c:pt>
                <c:pt idx="61">
                  <c:v>84</c:v>
                </c:pt>
                <c:pt idx="62">
                  <c:v>75</c:v>
                </c:pt>
                <c:pt idx="63">
                  <c:v>69</c:v>
                </c:pt>
                <c:pt idx="64">
                  <c:v>68</c:v>
                </c:pt>
                <c:pt idx="65">
                  <c:v>63</c:v>
                </c:pt>
                <c:pt idx="66">
                  <c:v>61</c:v>
                </c:pt>
                <c:pt idx="67">
                  <c:v>65</c:v>
                </c:pt>
                <c:pt idx="68">
                  <c:v>64</c:v>
                </c:pt>
                <c:pt idx="69">
                  <c:v>66</c:v>
                </c:pt>
                <c:pt idx="70">
                  <c:v>66</c:v>
                </c:pt>
                <c:pt idx="71">
                  <c:v>69</c:v>
                </c:pt>
                <c:pt idx="72">
                  <c:v>69</c:v>
                </c:pt>
                <c:pt idx="73">
                  <c:v>72</c:v>
                </c:pt>
              </c:numCache>
            </c:numRef>
          </c:val>
          <c:smooth val="0"/>
        </c:ser>
        <c:ser>
          <c:idx val="4"/>
          <c:order val="4"/>
          <c:tx>
            <c:strRef>
              <c:f>'Sheet1 (13)'!$F$3:$F$5</c:f>
              <c:strCache>
                <c:ptCount val="1"/>
                <c:pt idx="0">
                  <c:v>Post-init - Exenatide+Insulin+Metformin</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(13)'!$F$6:$F$80</c:f>
              <c:numCache>
                <c:formatCode>General</c:formatCode>
                <c:ptCount val="7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167</c:v>
                </c:pt>
                <c:pt idx="27">
                  <c:v>167</c:v>
                </c:pt>
                <c:pt idx="28">
                  <c:v>168</c:v>
                </c:pt>
                <c:pt idx="29">
                  <c:v>167</c:v>
                </c:pt>
                <c:pt idx="30">
                  <c:v>166</c:v>
                </c:pt>
                <c:pt idx="31">
                  <c:v>129</c:v>
                </c:pt>
                <c:pt idx="32">
                  <c:v>129</c:v>
                </c:pt>
                <c:pt idx="33">
                  <c:v>131</c:v>
                </c:pt>
                <c:pt idx="34">
                  <c:v>132</c:v>
                </c:pt>
                <c:pt idx="35">
                  <c:v>139</c:v>
                </c:pt>
                <c:pt idx="36">
                  <c:v>123</c:v>
                </c:pt>
                <c:pt idx="37">
                  <c:v>129</c:v>
                </c:pt>
                <c:pt idx="38">
                  <c:v>136</c:v>
                </c:pt>
                <c:pt idx="39">
                  <c:v>139</c:v>
                </c:pt>
                <c:pt idx="40">
                  <c:v>125</c:v>
                </c:pt>
                <c:pt idx="41">
                  <c:v>125</c:v>
                </c:pt>
                <c:pt idx="42">
                  <c:v>127</c:v>
                </c:pt>
                <c:pt idx="43">
                  <c:v>126</c:v>
                </c:pt>
                <c:pt idx="44">
                  <c:v>127</c:v>
                </c:pt>
                <c:pt idx="45">
                  <c:v>120</c:v>
                </c:pt>
                <c:pt idx="46">
                  <c:v>116</c:v>
                </c:pt>
                <c:pt idx="47">
                  <c:v>116</c:v>
                </c:pt>
                <c:pt idx="48">
                  <c:v>115</c:v>
                </c:pt>
                <c:pt idx="49">
                  <c:v>110</c:v>
                </c:pt>
                <c:pt idx="50">
                  <c:v>101</c:v>
                </c:pt>
                <c:pt idx="51">
                  <c:v>100</c:v>
                </c:pt>
                <c:pt idx="52">
                  <c:v>97</c:v>
                </c:pt>
                <c:pt idx="53">
                  <c:v>96</c:v>
                </c:pt>
                <c:pt idx="54">
                  <c:v>95</c:v>
                </c:pt>
                <c:pt idx="55">
                  <c:v>97</c:v>
                </c:pt>
                <c:pt idx="56">
                  <c:v>95</c:v>
                </c:pt>
                <c:pt idx="57">
                  <c:v>97</c:v>
                </c:pt>
                <c:pt idx="58">
                  <c:v>97</c:v>
                </c:pt>
                <c:pt idx="59">
                  <c:v>84</c:v>
                </c:pt>
                <c:pt idx="60">
                  <c:v>83</c:v>
                </c:pt>
                <c:pt idx="61">
                  <c:v>85</c:v>
                </c:pt>
                <c:pt idx="62">
                  <c:v>86</c:v>
                </c:pt>
                <c:pt idx="63">
                  <c:v>81</c:v>
                </c:pt>
                <c:pt idx="64">
                  <c:v>86</c:v>
                </c:pt>
                <c:pt idx="65">
                  <c:v>89</c:v>
                </c:pt>
                <c:pt idx="66">
                  <c:v>89</c:v>
                </c:pt>
                <c:pt idx="67">
                  <c:v>89</c:v>
                </c:pt>
                <c:pt idx="68">
                  <c:v>88</c:v>
                </c:pt>
                <c:pt idx="69">
                  <c:v>83</c:v>
                </c:pt>
                <c:pt idx="70">
                  <c:v>82</c:v>
                </c:pt>
                <c:pt idx="71">
                  <c:v>88</c:v>
                </c:pt>
                <c:pt idx="72">
                  <c:v>90</c:v>
                </c:pt>
                <c:pt idx="73">
                  <c:v>86</c:v>
                </c:pt>
              </c:numCache>
            </c:numRef>
          </c:val>
          <c:smooth val="0"/>
        </c:ser>
        <c:ser>
          <c:idx val="5"/>
          <c:order val="5"/>
          <c:tx>
            <c:strRef>
              <c:f>'Sheet1 (13)'!$G$3:$G$5</c:f>
              <c:strCache>
                <c:ptCount val="1"/>
                <c:pt idx="0">
                  <c:v>Post-init - Exenatide+Sulfonylurea</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(13)'!$G$6:$G$80</c:f>
              <c:numCache>
                <c:formatCode>General</c:formatCode>
                <c:ptCount val="7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115</c:v>
                </c:pt>
                <c:pt idx="27">
                  <c:v>112</c:v>
                </c:pt>
                <c:pt idx="28">
                  <c:v>111</c:v>
                </c:pt>
                <c:pt idx="29">
                  <c:v>108</c:v>
                </c:pt>
                <c:pt idx="30">
                  <c:v>104</c:v>
                </c:pt>
                <c:pt idx="31">
                  <c:v>97</c:v>
                </c:pt>
                <c:pt idx="32">
                  <c:v>97</c:v>
                </c:pt>
                <c:pt idx="33">
                  <c:v>97</c:v>
                </c:pt>
                <c:pt idx="34">
                  <c:v>101</c:v>
                </c:pt>
                <c:pt idx="35">
                  <c:v>99</c:v>
                </c:pt>
                <c:pt idx="36">
                  <c:v>95</c:v>
                </c:pt>
                <c:pt idx="37">
                  <c:v>91</c:v>
                </c:pt>
                <c:pt idx="38">
                  <c:v>92</c:v>
                </c:pt>
                <c:pt idx="39">
                  <c:v>88</c:v>
                </c:pt>
                <c:pt idx="40">
                  <c:v>87</c:v>
                </c:pt>
                <c:pt idx="41">
                  <c:v>89</c:v>
                </c:pt>
                <c:pt idx="42">
                  <c:v>83</c:v>
                </c:pt>
                <c:pt idx="43">
                  <c:v>77</c:v>
                </c:pt>
                <c:pt idx="44">
                  <c:v>79</c:v>
                </c:pt>
                <c:pt idx="45">
                  <c:v>80</c:v>
                </c:pt>
                <c:pt idx="46">
                  <c:v>80</c:v>
                </c:pt>
                <c:pt idx="47">
                  <c:v>81</c:v>
                </c:pt>
                <c:pt idx="48">
                  <c:v>79</c:v>
                </c:pt>
                <c:pt idx="49">
                  <c:v>79</c:v>
                </c:pt>
                <c:pt idx="50">
                  <c:v>77</c:v>
                </c:pt>
                <c:pt idx="51">
                  <c:v>75</c:v>
                </c:pt>
                <c:pt idx="52">
                  <c:v>74</c:v>
                </c:pt>
                <c:pt idx="53">
                  <c:v>74</c:v>
                </c:pt>
                <c:pt idx="54">
                  <c:v>73</c:v>
                </c:pt>
                <c:pt idx="55">
                  <c:v>72</c:v>
                </c:pt>
                <c:pt idx="56">
                  <c:v>66</c:v>
                </c:pt>
                <c:pt idx="57">
                  <c:v>68</c:v>
                </c:pt>
                <c:pt idx="58">
                  <c:v>66</c:v>
                </c:pt>
                <c:pt idx="59">
                  <c:v>64</c:v>
                </c:pt>
                <c:pt idx="60">
                  <c:v>63</c:v>
                </c:pt>
                <c:pt idx="61">
                  <c:v>62</c:v>
                </c:pt>
                <c:pt idx="62">
                  <c:v>65</c:v>
                </c:pt>
                <c:pt idx="63">
                  <c:v>64</c:v>
                </c:pt>
                <c:pt idx="64">
                  <c:v>64</c:v>
                </c:pt>
                <c:pt idx="65">
                  <c:v>65</c:v>
                </c:pt>
                <c:pt idx="66">
                  <c:v>63</c:v>
                </c:pt>
                <c:pt idx="67">
                  <c:v>62</c:v>
                </c:pt>
                <c:pt idx="68">
                  <c:v>62</c:v>
                </c:pt>
                <c:pt idx="69">
                  <c:v>60</c:v>
                </c:pt>
                <c:pt idx="70">
                  <c:v>60</c:v>
                </c:pt>
                <c:pt idx="71">
                  <c:v>59</c:v>
                </c:pt>
                <c:pt idx="72">
                  <c:v>60</c:v>
                </c:pt>
                <c:pt idx="73">
                  <c:v>63</c:v>
                </c:pt>
              </c:numCache>
            </c:numRef>
          </c:val>
          <c:smooth val="0"/>
        </c:ser>
        <c:ser>
          <c:idx val="6"/>
          <c:order val="6"/>
          <c:tx>
            <c:strRef>
              <c:f>'Sheet1 (13)'!$H$3:$H$5</c:f>
              <c:strCache>
                <c:ptCount val="1"/>
                <c:pt idx="0">
                  <c:v>Post-init - Metformin+Sulfonylurea</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(13)'!$H$6:$H$80</c:f>
              <c:numCache>
                <c:formatCode>General</c:formatCode>
                <c:ptCount val="7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44</c:v>
                </c:pt>
                <c:pt idx="32">
                  <c:v>44</c:v>
                </c:pt>
                <c:pt idx="33">
                  <c:v>44</c:v>
                </c:pt>
                <c:pt idx="34">
                  <c:v>42</c:v>
                </c:pt>
                <c:pt idx="35">
                  <c:v>39</c:v>
                </c:pt>
                <c:pt idx="36">
                  <c:v>53</c:v>
                </c:pt>
                <c:pt idx="37">
                  <c:v>54</c:v>
                </c:pt>
                <c:pt idx="38">
                  <c:v>55</c:v>
                </c:pt>
                <c:pt idx="39">
                  <c:v>56</c:v>
                </c:pt>
                <c:pt idx="40">
                  <c:v>63</c:v>
                </c:pt>
                <c:pt idx="41">
                  <c:v>65</c:v>
                </c:pt>
                <c:pt idx="42">
                  <c:v>67</c:v>
                </c:pt>
                <c:pt idx="43">
                  <c:v>68</c:v>
                </c:pt>
                <c:pt idx="44">
                  <c:v>68</c:v>
                </c:pt>
                <c:pt idx="45">
                  <c:v>73</c:v>
                </c:pt>
                <c:pt idx="46">
                  <c:v>78</c:v>
                </c:pt>
                <c:pt idx="47">
                  <c:v>80</c:v>
                </c:pt>
                <c:pt idx="48">
                  <c:v>80</c:v>
                </c:pt>
                <c:pt idx="49">
                  <c:v>80</c:v>
                </c:pt>
                <c:pt idx="50">
                  <c:v>86</c:v>
                </c:pt>
                <c:pt idx="51">
                  <c:v>89</c:v>
                </c:pt>
                <c:pt idx="52">
                  <c:v>91</c:v>
                </c:pt>
                <c:pt idx="53">
                  <c:v>90</c:v>
                </c:pt>
                <c:pt idx="54">
                  <c:v>91</c:v>
                </c:pt>
                <c:pt idx="55">
                  <c:v>93</c:v>
                </c:pt>
                <c:pt idx="56">
                  <c:v>91</c:v>
                </c:pt>
                <c:pt idx="57">
                  <c:v>94</c:v>
                </c:pt>
                <c:pt idx="58">
                  <c:v>99</c:v>
                </c:pt>
                <c:pt idx="59">
                  <c:v>105</c:v>
                </c:pt>
                <c:pt idx="60">
                  <c:v>105</c:v>
                </c:pt>
                <c:pt idx="61">
                  <c:v>101</c:v>
                </c:pt>
                <c:pt idx="62">
                  <c:v>98</c:v>
                </c:pt>
                <c:pt idx="63">
                  <c:v>102</c:v>
                </c:pt>
                <c:pt idx="64">
                  <c:v>102</c:v>
                </c:pt>
                <c:pt idx="65">
                  <c:v>100</c:v>
                </c:pt>
                <c:pt idx="66">
                  <c:v>102</c:v>
                </c:pt>
                <c:pt idx="67">
                  <c:v>101</c:v>
                </c:pt>
                <c:pt idx="68">
                  <c:v>105</c:v>
                </c:pt>
                <c:pt idx="69">
                  <c:v>110</c:v>
                </c:pt>
                <c:pt idx="70">
                  <c:v>114</c:v>
                </c:pt>
                <c:pt idx="71">
                  <c:v>113</c:v>
                </c:pt>
                <c:pt idx="72">
                  <c:v>111</c:v>
                </c:pt>
                <c:pt idx="73">
                  <c:v>112</c:v>
                </c:pt>
              </c:numCache>
            </c:numRef>
          </c:val>
          <c:smooth val="0"/>
        </c:ser>
        <c:ser>
          <c:idx val="7"/>
          <c:order val="7"/>
          <c:tx>
            <c:strRef>
              <c:f>'Sheet1 (13)'!$I$3:$I$5</c:f>
              <c:strCache>
                <c:ptCount val="1"/>
                <c:pt idx="0">
                  <c:v>Post-init - Exenatide+Insulin+Metformin+Sulfonylurea</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(13)'!$I$6:$I$80</c:f>
              <c:numCache>
                <c:formatCode>General</c:formatCode>
                <c:ptCount val="7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73</c:v>
                </c:pt>
                <c:pt idx="27">
                  <c:v>77</c:v>
                </c:pt>
                <c:pt idx="28">
                  <c:v>81</c:v>
                </c:pt>
                <c:pt idx="29">
                  <c:v>82</c:v>
                </c:pt>
                <c:pt idx="30">
                  <c:v>85</c:v>
                </c:pt>
                <c:pt idx="31">
                  <c:v>64</c:v>
                </c:pt>
                <c:pt idx="32">
                  <c:v>66</c:v>
                </c:pt>
                <c:pt idx="33">
                  <c:v>68</c:v>
                </c:pt>
                <c:pt idx="34">
                  <c:v>75</c:v>
                </c:pt>
                <c:pt idx="35">
                  <c:v>78</c:v>
                </c:pt>
                <c:pt idx="36">
                  <c:v>66</c:v>
                </c:pt>
                <c:pt idx="37">
                  <c:v>65</c:v>
                </c:pt>
                <c:pt idx="38">
                  <c:v>64</c:v>
                </c:pt>
                <c:pt idx="39">
                  <c:v>68</c:v>
                </c:pt>
                <c:pt idx="40">
                  <c:v>64</c:v>
                </c:pt>
                <c:pt idx="41">
                  <c:v>65</c:v>
                </c:pt>
                <c:pt idx="42">
                  <c:v>64</c:v>
                </c:pt>
                <c:pt idx="43">
                  <c:v>69</c:v>
                </c:pt>
                <c:pt idx="44">
                  <c:v>68</c:v>
                </c:pt>
                <c:pt idx="45">
                  <c:v>64</c:v>
                </c:pt>
                <c:pt idx="46">
                  <c:v>60</c:v>
                </c:pt>
                <c:pt idx="47">
                  <c:v>61</c:v>
                </c:pt>
                <c:pt idx="48">
                  <c:v>61</c:v>
                </c:pt>
                <c:pt idx="49">
                  <c:v>61</c:v>
                </c:pt>
                <c:pt idx="50">
                  <c:v>60</c:v>
                </c:pt>
                <c:pt idx="51">
                  <c:v>63</c:v>
                </c:pt>
                <c:pt idx="52">
                  <c:v>68</c:v>
                </c:pt>
                <c:pt idx="53">
                  <c:v>67</c:v>
                </c:pt>
                <c:pt idx="54">
                  <c:v>56</c:v>
                </c:pt>
                <c:pt idx="55">
                  <c:v>55</c:v>
                </c:pt>
                <c:pt idx="56">
                  <c:v>57</c:v>
                </c:pt>
                <c:pt idx="57">
                  <c:v>60</c:v>
                </c:pt>
                <c:pt idx="58">
                  <c:v>58</c:v>
                </c:pt>
                <c:pt idx="59">
                  <c:v>56</c:v>
                </c:pt>
                <c:pt idx="60">
                  <c:v>53</c:v>
                </c:pt>
                <c:pt idx="61">
                  <c:v>51</c:v>
                </c:pt>
                <c:pt idx="62">
                  <c:v>51</c:v>
                </c:pt>
                <c:pt idx="63">
                  <c:v>47</c:v>
                </c:pt>
                <c:pt idx="64">
                  <c:v>47</c:v>
                </c:pt>
                <c:pt idx="65">
                  <c:v>48</c:v>
                </c:pt>
                <c:pt idx="66">
                  <c:v>51</c:v>
                </c:pt>
                <c:pt idx="67">
                  <c:v>50</c:v>
                </c:pt>
                <c:pt idx="68">
                  <c:v>50</c:v>
                </c:pt>
                <c:pt idx="69">
                  <c:v>52</c:v>
                </c:pt>
                <c:pt idx="70">
                  <c:v>52</c:v>
                </c:pt>
                <c:pt idx="71">
                  <c:v>49</c:v>
                </c:pt>
                <c:pt idx="72">
                  <c:v>45</c:v>
                </c:pt>
                <c:pt idx="73">
                  <c:v>48</c:v>
                </c:pt>
              </c:numCache>
            </c:numRef>
          </c:val>
          <c:smooth val="0"/>
        </c:ser>
        <c:ser>
          <c:idx val="8"/>
          <c:order val="8"/>
          <c:tx>
            <c:strRef>
              <c:f>'Sheet1 (13)'!$J$3:$J$5</c:f>
              <c:strCache>
                <c:ptCount val="1"/>
                <c:pt idx="0">
                  <c:v>Post-init - Insulin+Metformin+Sulfonylurea</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(13)'!$J$6:$J$80</c:f>
              <c:numCache>
                <c:formatCode>General</c:formatCode>
                <c:ptCount val="7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18</c:v>
                </c:pt>
                <c:pt idx="32">
                  <c:v>19</c:v>
                </c:pt>
                <c:pt idx="33">
                  <c:v>20</c:v>
                </c:pt>
                <c:pt idx="34">
                  <c:v>25</c:v>
                </c:pt>
                <c:pt idx="35">
                  <c:v>27</c:v>
                </c:pt>
                <c:pt idx="36">
                  <c:v>41</c:v>
                </c:pt>
                <c:pt idx="37">
                  <c:v>41</c:v>
                </c:pt>
                <c:pt idx="38">
                  <c:v>41</c:v>
                </c:pt>
                <c:pt idx="39">
                  <c:v>40</c:v>
                </c:pt>
                <c:pt idx="40">
                  <c:v>45</c:v>
                </c:pt>
                <c:pt idx="41">
                  <c:v>48</c:v>
                </c:pt>
                <c:pt idx="42">
                  <c:v>47</c:v>
                </c:pt>
                <c:pt idx="43">
                  <c:v>49</c:v>
                </c:pt>
                <c:pt idx="44">
                  <c:v>47</c:v>
                </c:pt>
                <c:pt idx="45">
                  <c:v>53</c:v>
                </c:pt>
                <c:pt idx="46">
                  <c:v>54</c:v>
                </c:pt>
                <c:pt idx="47">
                  <c:v>55</c:v>
                </c:pt>
                <c:pt idx="48">
                  <c:v>58</c:v>
                </c:pt>
                <c:pt idx="49">
                  <c:v>69</c:v>
                </c:pt>
                <c:pt idx="50">
                  <c:v>70</c:v>
                </c:pt>
                <c:pt idx="51">
                  <c:v>72</c:v>
                </c:pt>
                <c:pt idx="52">
                  <c:v>72</c:v>
                </c:pt>
                <c:pt idx="53">
                  <c:v>72</c:v>
                </c:pt>
                <c:pt idx="54">
                  <c:v>83</c:v>
                </c:pt>
                <c:pt idx="55">
                  <c:v>80</c:v>
                </c:pt>
                <c:pt idx="56">
                  <c:v>82</c:v>
                </c:pt>
                <c:pt idx="57">
                  <c:v>87</c:v>
                </c:pt>
                <c:pt idx="58">
                  <c:v>92</c:v>
                </c:pt>
                <c:pt idx="59">
                  <c:v>93</c:v>
                </c:pt>
                <c:pt idx="60">
                  <c:v>95</c:v>
                </c:pt>
                <c:pt idx="61">
                  <c:v>97</c:v>
                </c:pt>
                <c:pt idx="62">
                  <c:v>100</c:v>
                </c:pt>
                <c:pt idx="63">
                  <c:v>98</c:v>
                </c:pt>
                <c:pt idx="64">
                  <c:v>95</c:v>
                </c:pt>
                <c:pt idx="65">
                  <c:v>96</c:v>
                </c:pt>
                <c:pt idx="66">
                  <c:v>94</c:v>
                </c:pt>
                <c:pt idx="67">
                  <c:v>91</c:v>
                </c:pt>
                <c:pt idx="68">
                  <c:v>92</c:v>
                </c:pt>
                <c:pt idx="69">
                  <c:v>94</c:v>
                </c:pt>
                <c:pt idx="70">
                  <c:v>96</c:v>
                </c:pt>
                <c:pt idx="71">
                  <c:v>93</c:v>
                </c:pt>
                <c:pt idx="72">
                  <c:v>99</c:v>
                </c:pt>
                <c:pt idx="73">
                  <c:v>99</c:v>
                </c:pt>
              </c:numCache>
            </c:numRef>
          </c:val>
          <c:smooth val="0"/>
        </c:ser>
        <c:ser>
          <c:idx val="9"/>
          <c:order val="9"/>
          <c:tx>
            <c:strRef>
              <c:f>'Sheet1 (13)'!$K$3:$K$5</c:f>
              <c:strCache>
                <c:ptCount val="1"/>
                <c:pt idx="0">
                  <c:v>Post-init - Metformin</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(13)'!$K$6:$K$80</c:f>
              <c:numCache>
                <c:formatCode>General</c:formatCode>
                <c:ptCount val="7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42</c:v>
                </c:pt>
                <c:pt idx="32">
                  <c:v>41</c:v>
                </c:pt>
                <c:pt idx="33">
                  <c:v>40</c:v>
                </c:pt>
                <c:pt idx="34">
                  <c:v>40</c:v>
                </c:pt>
                <c:pt idx="35">
                  <c:v>37</c:v>
                </c:pt>
                <c:pt idx="36">
                  <c:v>42</c:v>
                </c:pt>
                <c:pt idx="37">
                  <c:v>44</c:v>
                </c:pt>
                <c:pt idx="38">
                  <c:v>48</c:v>
                </c:pt>
                <c:pt idx="39">
                  <c:v>52</c:v>
                </c:pt>
                <c:pt idx="40">
                  <c:v>58</c:v>
                </c:pt>
                <c:pt idx="41">
                  <c:v>57</c:v>
                </c:pt>
                <c:pt idx="42">
                  <c:v>54</c:v>
                </c:pt>
                <c:pt idx="43">
                  <c:v>54</c:v>
                </c:pt>
                <c:pt idx="44">
                  <c:v>54</c:v>
                </c:pt>
                <c:pt idx="45">
                  <c:v>61</c:v>
                </c:pt>
                <c:pt idx="46">
                  <c:v>57</c:v>
                </c:pt>
                <c:pt idx="47">
                  <c:v>57</c:v>
                </c:pt>
                <c:pt idx="48">
                  <c:v>61</c:v>
                </c:pt>
                <c:pt idx="49">
                  <c:v>63</c:v>
                </c:pt>
                <c:pt idx="50">
                  <c:v>60</c:v>
                </c:pt>
                <c:pt idx="51">
                  <c:v>61</c:v>
                </c:pt>
                <c:pt idx="52">
                  <c:v>65</c:v>
                </c:pt>
                <c:pt idx="53">
                  <c:v>67</c:v>
                </c:pt>
                <c:pt idx="54">
                  <c:v>74</c:v>
                </c:pt>
                <c:pt idx="55">
                  <c:v>81</c:v>
                </c:pt>
                <c:pt idx="56">
                  <c:v>84</c:v>
                </c:pt>
                <c:pt idx="57">
                  <c:v>84</c:v>
                </c:pt>
                <c:pt idx="58">
                  <c:v>80</c:v>
                </c:pt>
                <c:pt idx="59">
                  <c:v>84</c:v>
                </c:pt>
                <c:pt idx="60">
                  <c:v>81</c:v>
                </c:pt>
                <c:pt idx="61">
                  <c:v>82</c:v>
                </c:pt>
                <c:pt idx="62">
                  <c:v>82</c:v>
                </c:pt>
                <c:pt idx="63">
                  <c:v>77</c:v>
                </c:pt>
                <c:pt idx="64">
                  <c:v>74</c:v>
                </c:pt>
                <c:pt idx="65">
                  <c:v>76</c:v>
                </c:pt>
                <c:pt idx="66">
                  <c:v>74</c:v>
                </c:pt>
                <c:pt idx="67">
                  <c:v>80</c:v>
                </c:pt>
                <c:pt idx="68">
                  <c:v>85</c:v>
                </c:pt>
                <c:pt idx="69">
                  <c:v>84</c:v>
                </c:pt>
                <c:pt idx="70">
                  <c:v>83</c:v>
                </c:pt>
                <c:pt idx="71">
                  <c:v>84</c:v>
                </c:pt>
                <c:pt idx="72">
                  <c:v>90</c:v>
                </c:pt>
                <c:pt idx="73">
                  <c:v>94</c:v>
                </c:pt>
              </c:numCache>
            </c:numRef>
          </c:val>
          <c:smooth val="0"/>
        </c:ser>
        <c:ser>
          <c:idx val="10"/>
          <c:order val="10"/>
          <c:tx>
            <c:strRef>
              <c:f>'Sheet1 (13)'!$L$3:$L$5</c:f>
              <c:strCache>
                <c:ptCount val="1"/>
                <c:pt idx="0">
                  <c:v>Pre-init - Metformin+Sulfonylurea</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(13)'!$L$6:$L$80</c:f>
              <c:numCache>
                <c:formatCode>General</c:formatCode>
                <c:ptCount val="74"/>
                <c:pt idx="0">
                  <c:v>421</c:v>
                </c:pt>
                <c:pt idx="1">
                  <c:v>427</c:v>
                </c:pt>
                <c:pt idx="2">
                  <c:v>426</c:v>
                </c:pt>
                <c:pt idx="3">
                  <c:v>433</c:v>
                </c:pt>
                <c:pt idx="4">
                  <c:v>427</c:v>
                </c:pt>
                <c:pt idx="5">
                  <c:v>425</c:v>
                </c:pt>
                <c:pt idx="6">
                  <c:v>417</c:v>
                </c:pt>
                <c:pt idx="7">
                  <c:v>421</c:v>
                </c:pt>
                <c:pt idx="8">
                  <c:v>419</c:v>
                </c:pt>
                <c:pt idx="9">
                  <c:v>425</c:v>
                </c:pt>
                <c:pt idx="10">
                  <c:v>425</c:v>
                </c:pt>
                <c:pt idx="11">
                  <c:v>421</c:v>
                </c:pt>
                <c:pt idx="12">
                  <c:v>424</c:v>
                </c:pt>
                <c:pt idx="13">
                  <c:v>419</c:v>
                </c:pt>
                <c:pt idx="14">
                  <c:v>421</c:v>
                </c:pt>
                <c:pt idx="15">
                  <c:v>418</c:v>
                </c:pt>
                <c:pt idx="16">
                  <c:v>425</c:v>
                </c:pt>
                <c:pt idx="17">
                  <c:v>421</c:v>
                </c:pt>
                <c:pt idx="18">
                  <c:v>419</c:v>
                </c:pt>
                <c:pt idx="19">
                  <c:v>424</c:v>
                </c:pt>
                <c:pt idx="20">
                  <c:v>431</c:v>
                </c:pt>
                <c:pt idx="21">
                  <c:v>431</c:v>
                </c:pt>
                <c:pt idx="22">
                  <c:v>436</c:v>
                </c:pt>
                <c:pt idx="23">
                  <c:v>441</c:v>
                </c:pt>
                <c:pt idx="24">
                  <c:v>445</c:v>
                </c:pt>
                <c:pt idx="25">
                  <c:v>449</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numCache>
            </c:numRef>
          </c:val>
          <c:smooth val="0"/>
        </c:ser>
        <c:ser>
          <c:idx val="11"/>
          <c:order val="11"/>
          <c:tx>
            <c:strRef>
              <c:f>'Sheet1 (13)'!$M$3:$M$5</c:f>
              <c:strCache>
                <c:ptCount val="1"/>
                <c:pt idx="0">
                  <c:v>Pre-init - Gliptin+Metformin</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(13)'!$M$6:$M$80</c:f>
              <c:numCache>
                <c:formatCode>General</c:formatCode>
                <c:ptCount val="74"/>
                <c:pt idx="0">
                  <c:v>251</c:v>
                </c:pt>
                <c:pt idx="1">
                  <c:v>246</c:v>
                </c:pt>
                <c:pt idx="2">
                  <c:v>252</c:v>
                </c:pt>
                <c:pt idx="3">
                  <c:v>248</c:v>
                </c:pt>
                <c:pt idx="4">
                  <c:v>251</c:v>
                </c:pt>
                <c:pt idx="5">
                  <c:v>255</c:v>
                </c:pt>
                <c:pt idx="6">
                  <c:v>257</c:v>
                </c:pt>
                <c:pt idx="7">
                  <c:v>267</c:v>
                </c:pt>
                <c:pt idx="8">
                  <c:v>269</c:v>
                </c:pt>
                <c:pt idx="9">
                  <c:v>268</c:v>
                </c:pt>
                <c:pt idx="10">
                  <c:v>270</c:v>
                </c:pt>
                <c:pt idx="11">
                  <c:v>269</c:v>
                </c:pt>
                <c:pt idx="12">
                  <c:v>267</c:v>
                </c:pt>
                <c:pt idx="13">
                  <c:v>270</c:v>
                </c:pt>
                <c:pt idx="14">
                  <c:v>272</c:v>
                </c:pt>
                <c:pt idx="15">
                  <c:v>279</c:v>
                </c:pt>
                <c:pt idx="16">
                  <c:v>284</c:v>
                </c:pt>
                <c:pt idx="17">
                  <c:v>279</c:v>
                </c:pt>
                <c:pt idx="18">
                  <c:v>280</c:v>
                </c:pt>
                <c:pt idx="19">
                  <c:v>281</c:v>
                </c:pt>
                <c:pt idx="20">
                  <c:v>290</c:v>
                </c:pt>
                <c:pt idx="21">
                  <c:v>273</c:v>
                </c:pt>
                <c:pt idx="22">
                  <c:v>265</c:v>
                </c:pt>
                <c:pt idx="23">
                  <c:v>259</c:v>
                </c:pt>
                <c:pt idx="24">
                  <c:v>251</c:v>
                </c:pt>
                <c:pt idx="25">
                  <c:v>242</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numCache>
            </c:numRef>
          </c:val>
          <c:smooth val="0"/>
        </c:ser>
        <c:ser>
          <c:idx val="12"/>
          <c:order val="12"/>
          <c:tx>
            <c:strRef>
              <c:f>'Sheet1 (13)'!$N$3:$N$5</c:f>
              <c:strCache>
                <c:ptCount val="1"/>
                <c:pt idx="0">
                  <c:v>Pre-init - Insulin+Metformin</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(13)'!$N$6:$N$80</c:f>
              <c:numCache>
                <c:formatCode>General</c:formatCode>
                <c:ptCount val="74"/>
                <c:pt idx="0">
                  <c:v>228</c:v>
                </c:pt>
                <c:pt idx="1">
                  <c:v>227</c:v>
                </c:pt>
                <c:pt idx="2">
                  <c:v>233</c:v>
                </c:pt>
                <c:pt idx="3">
                  <c:v>230</c:v>
                </c:pt>
                <c:pt idx="4">
                  <c:v>235</c:v>
                </c:pt>
                <c:pt idx="5">
                  <c:v>230</c:v>
                </c:pt>
                <c:pt idx="6">
                  <c:v>231</c:v>
                </c:pt>
                <c:pt idx="7">
                  <c:v>231</c:v>
                </c:pt>
                <c:pt idx="8">
                  <c:v>233</c:v>
                </c:pt>
                <c:pt idx="9">
                  <c:v>233</c:v>
                </c:pt>
                <c:pt idx="10">
                  <c:v>234</c:v>
                </c:pt>
                <c:pt idx="11">
                  <c:v>240</c:v>
                </c:pt>
                <c:pt idx="12">
                  <c:v>242</c:v>
                </c:pt>
                <c:pt idx="13">
                  <c:v>236</c:v>
                </c:pt>
                <c:pt idx="14">
                  <c:v>235</c:v>
                </c:pt>
                <c:pt idx="15">
                  <c:v>233</c:v>
                </c:pt>
                <c:pt idx="16">
                  <c:v>237</c:v>
                </c:pt>
                <c:pt idx="17">
                  <c:v>240</c:v>
                </c:pt>
                <c:pt idx="18">
                  <c:v>239</c:v>
                </c:pt>
                <c:pt idx="19">
                  <c:v>243</c:v>
                </c:pt>
                <c:pt idx="20">
                  <c:v>243</c:v>
                </c:pt>
                <c:pt idx="21">
                  <c:v>237</c:v>
                </c:pt>
                <c:pt idx="22">
                  <c:v>240</c:v>
                </c:pt>
                <c:pt idx="23">
                  <c:v>240</c:v>
                </c:pt>
                <c:pt idx="24">
                  <c:v>240</c:v>
                </c:pt>
                <c:pt idx="25">
                  <c:v>243</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numCache>
            </c:numRef>
          </c:val>
          <c:smooth val="0"/>
        </c:ser>
        <c:ser>
          <c:idx val="13"/>
          <c:order val="13"/>
          <c:tx>
            <c:strRef>
              <c:f>'Sheet1 (13)'!$O$3:$O$5</c:f>
              <c:strCache>
                <c:ptCount val="1"/>
                <c:pt idx="0">
                  <c:v>Pre-init - Metformin</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(13)'!$O$6:$O$80</c:f>
              <c:numCache>
                <c:formatCode>General</c:formatCode>
                <c:ptCount val="74"/>
                <c:pt idx="0">
                  <c:v>216</c:v>
                </c:pt>
                <c:pt idx="1">
                  <c:v>213</c:v>
                </c:pt>
                <c:pt idx="2">
                  <c:v>208</c:v>
                </c:pt>
                <c:pt idx="3">
                  <c:v>208</c:v>
                </c:pt>
                <c:pt idx="4">
                  <c:v>206</c:v>
                </c:pt>
                <c:pt idx="5">
                  <c:v>204</c:v>
                </c:pt>
                <c:pt idx="6">
                  <c:v>213</c:v>
                </c:pt>
                <c:pt idx="7">
                  <c:v>203</c:v>
                </c:pt>
                <c:pt idx="8">
                  <c:v>202</c:v>
                </c:pt>
                <c:pt idx="9">
                  <c:v>203</c:v>
                </c:pt>
                <c:pt idx="10">
                  <c:v>201</c:v>
                </c:pt>
                <c:pt idx="11">
                  <c:v>203</c:v>
                </c:pt>
                <c:pt idx="12">
                  <c:v>201</c:v>
                </c:pt>
                <c:pt idx="13">
                  <c:v>204</c:v>
                </c:pt>
                <c:pt idx="14">
                  <c:v>209</c:v>
                </c:pt>
                <c:pt idx="15">
                  <c:v>216</c:v>
                </c:pt>
                <c:pt idx="16">
                  <c:v>208</c:v>
                </c:pt>
                <c:pt idx="17">
                  <c:v>207</c:v>
                </c:pt>
                <c:pt idx="18">
                  <c:v>208</c:v>
                </c:pt>
                <c:pt idx="19">
                  <c:v>202</c:v>
                </c:pt>
                <c:pt idx="20">
                  <c:v>191</c:v>
                </c:pt>
                <c:pt idx="21">
                  <c:v>193</c:v>
                </c:pt>
                <c:pt idx="22">
                  <c:v>198</c:v>
                </c:pt>
                <c:pt idx="23">
                  <c:v>200</c:v>
                </c:pt>
                <c:pt idx="24">
                  <c:v>205</c:v>
                </c:pt>
                <c:pt idx="25">
                  <c:v>205</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numCache>
            </c:numRef>
          </c:val>
          <c:smooth val="0"/>
        </c:ser>
        <c:ser>
          <c:idx val="14"/>
          <c:order val="14"/>
          <c:tx>
            <c:strRef>
              <c:f>'Sheet1 (13)'!$P$3:$P$5</c:f>
              <c:strCache>
                <c:ptCount val="1"/>
                <c:pt idx="0">
                  <c:v>Pre-init - Gliptin+Metformin+Sulfonylurea</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(13)'!$P$6:$P$80</c:f>
              <c:numCache>
                <c:formatCode>General</c:formatCode>
                <c:ptCount val="74"/>
                <c:pt idx="0">
                  <c:v>115</c:v>
                </c:pt>
                <c:pt idx="1">
                  <c:v>121</c:v>
                </c:pt>
                <c:pt idx="2">
                  <c:v>126</c:v>
                </c:pt>
                <c:pt idx="3">
                  <c:v>126</c:v>
                </c:pt>
                <c:pt idx="4">
                  <c:v>125</c:v>
                </c:pt>
                <c:pt idx="5">
                  <c:v>121</c:v>
                </c:pt>
                <c:pt idx="6">
                  <c:v>120</c:v>
                </c:pt>
                <c:pt idx="7">
                  <c:v>116</c:v>
                </c:pt>
                <c:pt idx="8">
                  <c:v>118</c:v>
                </c:pt>
                <c:pt idx="9">
                  <c:v>121</c:v>
                </c:pt>
                <c:pt idx="10">
                  <c:v>126</c:v>
                </c:pt>
                <c:pt idx="11">
                  <c:v>127</c:v>
                </c:pt>
                <c:pt idx="12">
                  <c:v>126</c:v>
                </c:pt>
                <c:pt idx="13">
                  <c:v>130</c:v>
                </c:pt>
                <c:pt idx="14">
                  <c:v>128</c:v>
                </c:pt>
                <c:pt idx="15">
                  <c:v>125</c:v>
                </c:pt>
                <c:pt idx="16">
                  <c:v>120</c:v>
                </c:pt>
                <c:pt idx="17">
                  <c:v>125</c:v>
                </c:pt>
                <c:pt idx="18">
                  <c:v>126</c:v>
                </c:pt>
                <c:pt idx="19">
                  <c:v>126</c:v>
                </c:pt>
                <c:pt idx="20">
                  <c:v>122</c:v>
                </c:pt>
                <c:pt idx="21">
                  <c:v>118</c:v>
                </c:pt>
                <c:pt idx="22">
                  <c:v>118</c:v>
                </c:pt>
                <c:pt idx="23">
                  <c:v>118</c:v>
                </c:pt>
                <c:pt idx="24">
                  <c:v>119</c:v>
                </c:pt>
                <c:pt idx="25">
                  <c:v>118</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numCache>
            </c:numRef>
          </c:val>
          <c:smooth val="0"/>
        </c:ser>
        <c:ser>
          <c:idx val="15"/>
          <c:order val="15"/>
          <c:tx>
            <c:strRef>
              <c:f>'Sheet1 (13)'!$Q$3:$Q$5</c:f>
              <c:strCache>
                <c:ptCount val="1"/>
                <c:pt idx="0">
                  <c:v>Pre-init - Insulin</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(13)'!$Q$6:$Q$80</c:f>
              <c:numCache>
                <c:formatCode>General</c:formatCode>
                <c:ptCount val="74"/>
                <c:pt idx="0">
                  <c:v>118</c:v>
                </c:pt>
                <c:pt idx="1">
                  <c:v>119</c:v>
                </c:pt>
                <c:pt idx="2">
                  <c:v>117</c:v>
                </c:pt>
                <c:pt idx="3">
                  <c:v>122</c:v>
                </c:pt>
                <c:pt idx="4">
                  <c:v>117</c:v>
                </c:pt>
                <c:pt idx="5">
                  <c:v>119</c:v>
                </c:pt>
                <c:pt idx="6">
                  <c:v>117</c:v>
                </c:pt>
                <c:pt idx="7">
                  <c:v>120</c:v>
                </c:pt>
                <c:pt idx="8">
                  <c:v>121</c:v>
                </c:pt>
                <c:pt idx="9">
                  <c:v>122</c:v>
                </c:pt>
                <c:pt idx="10">
                  <c:v>119</c:v>
                </c:pt>
                <c:pt idx="11">
                  <c:v>116</c:v>
                </c:pt>
                <c:pt idx="12">
                  <c:v>114</c:v>
                </c:pt>
                <c:pt idx="13">
                  <c:v>114</c:v>
                </c:pt>
                <c:pt idx="14">
                  <c:v>113</c:v>
                </c:pt>
                <c:pt idx="15">
                  <c:v>111</c:v>
                </c:pt>
                <c:pt idx="16">
                  <c:v>114</c:v>
                </c:pt>
                <c:pt idx="17">
                  <c:v>107</c:v>
                </c:pt>
                <c:pt idx="18">
                  <c:v>110</c:v>
                </c:pt>
                <c:pt idx="19">
                  <c:v>106</c:v>
                </c:pt>
                <c:pt idx="20">
                  <c:v>111</c:v>
                </c:pt>
                <c:pt idx="21">
                  <c:v>110</c:v>
                </c:pt>
                <c:pt idx="22">
                  <c:v>106</c:v>
                </c:pt>
                <c:pt idx="23">
                  <c:v>104</c:v>
                </c:pt>
                <c:pt idx="24">
                  <c:v>98</c:v>
                </c:pt>
                <c:pt idx="25">
                  <c:v>93</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numCache>
            </c:numRef>
          </c:val>
          <c:smooth val="0"/>
        </c:ser>
        <c:ser>
          <c:idx val="16"/>
          <c:order val="16"/>
          <c:tx>
            <c:strRef>
              <c:f>'Sheet1 (13)'!$R$3:$R$5</c:f>
              <c:strCache>
                <c:ptCount val="1"/>
                <c:pt idx="0">
                  <c:v>Pre-init - Insulin+Metformin+Sulfonylurea</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(13)'!$R$6:$R$80</c:f>
              <c:numCache>
                <c:formatCode>General</c:formatCode>
                <c:ptCount val="74"/>
                <c:pt idx="0">
                  <c:v>81</c:v>
                </c:pt>
                <c:pt idx="1">
                  <c:v>86</c:v>
                </c:pt>
                <c:pt idx="2">
                  <c:v>87</c:v>
                </c:pt>
                <c:pt idx="3">
                  <c:v>87</c:v>
                </c:pt>
                <c:pt idx="4">
                  <c:v>89</c:v>
                </c:pt>
                <c:pt idx="5">
                  <c:v>97</c:v>
                </c:pt>
                <c:pt idx="6">
                  <c:v>100</c:v>
                </c:pt>
                <c:pt idx="7">
                  <c:v>101</c:v>
                </c:pt>
                <c:pt idx="8">
                  <c:v>101</c:v>
                </c:pt>
                <c:pt idx="9">
                  <c:v>97</c:v>
                </c:pt>
                <c:pt idx="10">
                  <c:v>99</c:v>
                </c:pt>
                <c:pt idx="11">
                  <c:v>100</c:v>
                </c:pt>
                <c:pt idx="12">
                  <c:v>99</c:v>
                </c:pt>
                <c:pt idx="13">
                  <c:v>97</c:v>
                </c:pt>
                <c:pt idx="14">
                  <c:v>97</c:v>
                </c:pt>
                <c:pt idx="15">
                  <c:v>97</c:v>
                </c:pt>
                <c:pt idx="16">
                  <c:v>96</c:v>
                </c:pt>
                <c:pt idx="17">
                  <c:v>105</c:v>
                </c:pt>
                <c:pt idx="18">
                  <c:v>104</c:v>
                </c:pt>
                <c:pt idx="19">
                  <c:v>105</c:v>
                </c:pt>
                <c:pt idx="20">
                  <c:v>107</c:v>
                </c:pt>
                <c:pt idx="21">
                  <c:v>113</c:v>
                </c:pt>
                <c:pt idx="22">
                  <c:v>117</c:v>
                </c:pt>
                <c:pt idx="23">
                  <c:v>119</c:v>
                </c:pt>
                <c:pt idx="24">
                  <c:v>124</c:v>
                </c:pt>
                <c:pt idx="25">
                  <c:v>127</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numCache>
            </c:numRef>
          </c:val>
          <c:smooth val="0"/>
        </c:ser>
        <c:ser>
          <c:idx val="17"/>
          <c:order val="17"/>
          <c:tx>
            <c:strRef>
              <c:f>'Sheet1 (13)'!$S$3:$S$5</c:f>
              <c:strCache>
                <c:ptCount val="1"/>
                <c:pt idx="0">
                  <c:v>Pre-init - Metformin+Pioglitazone+Sulfonylurea</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(13)'!$S$6:$S$80</c:f>
              <c:numCache>
                <c:formatCode>General</c:formatCode>
                <c:ptCount val="74"/>
                <c:pt idx="0">
                  <c:v>68</c:v>
                </c:pt>
                <c:pt idx="1">
                  <c:v>66</c:v>
                </c:pt>
                <c:pt idx="2">
                  <c:v>66</c:v>
                </c:pt>
                <c:pt idx="3">
                  <c:v>65</c:v>
                </c:pt>
                <c:pt idx="4">
                  <c:v>66</c:v>
                </c:pt>
                <c:pt idx="5">
                  <c:v>68</c:v>
                </c:pt>
                <c:pt idx="6">
                  <c:v>68</c:v>
                </c:pt>
                <c:pt idx="7">
                  <c:v>67</c:v>
                </c:pt>
                <c:pt idx="8">
                  <c:v>67</c:v>
                </c:pt>
                <c:pt idx="9">
                  <c:v>66</c:v>
                </c:pt>
                <c:pt idx="10">
                  <c:v>65</c:v>
                </c:pt>
                <c:pt idx="11">
                  <c:v>64</c:v>
                </c:pt>
                <c:pt idx="12">
                  <c:v>62</c:v>
                </c:pt>
                <c:pt idx="13">
                  <c:v>63</c:v>
                </c:pt>
                <c:pt idx="14">
                  <c:v>63</c:v>
                </c:pt>
                <c:pt idx="15">
                  <c:v>62</c:v>
                </c:pt>
                <c:pt idx="16">
                  <c:v>62</c:v>
                </c:pt>
                <c:pt idx="17">
                  <c:v>62</c:v>
                </c:pt>
                <c:pt idx="18">
                  <c:v>63</c:v>
                </c:pt>
                <c:pt idx="19">
                  <c:v>65</c:v>
                </c:pt>
                <c:pt idx="20">
                  <c:v>65</c:v>
                </c:pt>
                <c:pt idx="21">
                  <c:v>63</c:v>
                </c:pt>
                <c:pt idx="22">
                  <c:v>58</c:v>
                </c:pt>
                <c:pt idx="23">
                  <c:v>60</c:v>
                </c:pt>
                <c:pt idx="24">
                  <c:v>61</c:v>
                </c:pt>
                <c:pt idx="25">
                  <c:v>60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numCache>
            </c:numRef>
          </c:val>
          <c:smooth val="0"/>
        </c:ser>
        <c:ser>
          <c:idx val="18"/>
          <c:order val="18"/>
          <c:tx>
            <c:strRef>
              <c:f>'Sheet1 (13)'!$T$3:$T$5</c:f>
              <c:strCache>
                <c:ptCount val="1"/>
                <c:pt idx="0">
                  <c:v>Pre-init - Sulfonylurea</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(13)'!$T$6:$T$80</c:f>
              <c:numCache>
                <c:formatCode>General</c:formatCode>
                <c:ptCount val="74"/>
                <c:pt idx="0">
                  <c:v>67</c:v>
                </c:pt>
                <c:pt idx="1">
                  <c:v>66</c:v>
                </c:pt>
                <c:pt idx="2">
                  <c:v>63</c:v>
                </c:pt>
                <c:pt idx="3">
                  <c:v>54</c:v>
                </c:pt>
                <c:pt idx="4">
                  <c:v>56</c:v>
                </c:pt>
                <c:pt idx="5">
                  <c:v>51</c:v>
                </c:pt>
                <c:pt idx="6">
                  <c:v>52</c:v>
                </c:pt>
                <c:pt idx="7">
                  <c:v>51</c:v>
                </c:pt>
                <c:pt idx="8">
                  <c:v>49</c:v>
                </c:pt>
                <c:pt idx="9">
                  <c:v>47</c:v>
                </c:pt>
                <c:pt idx="10">
                  <c:v>52</c:v>
                </c:pt>
                <c:pt idx="11">
                  <c:v>54</c:v>
                </c:pt>
                <c:pt idx="12">
                  <c:v>57</c:v>
                </c:pt>
                <c:pt idx="13">
                  <c:v>59</c:v>
                </c:pt>
                <c:pt idx="14">
                  <c:v>60</c:v>
                </c:pt>
                <c:pt idx="15">
                  <c:v>58</c:v>
                </c:pt>
                <c:pt idx="16">
                  <c:v>61</c:v>
                </c:pt>
                <c:pt idx="17">
                  <c:v>63</c:v>
                </c:pt>
                <c:pt idx="18">
                  <c:v>64</c:v>
                </c:pt>
                <c:pt idx="19">
                  <c:v>64</c:v>
                </c:pt>
                <c:pt idx="20">
                  <c:v>60</c:v>
                </c:pt>
                <c:pt idx="21">
                  <c:v>59</c:v>
                </c:pt>
                <c:pt idx="22">
                  <c:v>65</c:v>
                </c:pt>
                <c:pt idx="23">
                  <c:v>64</c:v>
                </c:pt>
                <c:pt idx="24">
                  <c:v>63</c:v>
                </c:pt>
                <c:pt idx="25">
                  <c:v>62</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numCache>
            </c:numRef>
          </c:val>
          <c:smooth val="0"/>
        </c:ser>
        <c:ser>
          <c:idx val="19"/>
          <c:order val="19"/>
          <c:tx>
            <c:strRef>
              <c:f>'Sheet1 (13)'!$U$3:$U$5</c:f>
              <c:strCache>
                <c:ptCount val="1"/>
                <c:pt idx="0">
                  <c:v>Pre-init - Gliptin+Sulfonylurea</c:v>
                </c:pt>
              </c:strCache>
            </c:strRef>
          </c:tx>
          <c:marker>
            <c:symbol val="none"/>
          </c:marker>
          <c:cat>
            <c:strRef>
              <c:f>'Sheet1 (13)'!$A$6:$A$80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(13)'!$U$6:$U$80</c:f>
              <c:numCache>
                <c:formatCode>General</c:formatCode>
                <c:ptCount val="74"/>
                <c:pt idx="0">
                  <c:v>49</c:v>
                </c:pt>
                <c:pt idx="1">
                  <c:v>48</c:v>
                </c:pt>
                <c:pt idx="2">
                  <c:v>46</c:v>
                </c:pt>
                <c:pt idx="3">
                  <c:v>49</c:v>
                </c:pt>
                <c:pt idx="4">
                  <c:v>51</c:v>
                </c:pt>
                <c:pt idx="5">
                  <c:v>53</c:v>
                </c:pt>
                <c:pt idx="6">
                  <c:v>55</c:v>
                </c:pt>
                <c:pt idx="7">
                  <c:v>55</c:v>
                </c:pt>
                <c:pt idx="8">
                  <c:v>52</c:v>
                </c:pt>
                <c:pt idx="9">
                  <c:v>51</c:v>
                </c:pt>
                <c:pt idx="10">
                  <c:v>50</c:v>
                </c:pt>
                <c:pt idx="11">
                  <c:v>53</c:v>
                </c:pt>
                <c:pt idx="12">
                  <c:v>51</c:v>
                </c:pt>
                <c:pt idx="13">
                  <c:v>49</c:v>
                </c:pt>
                <c:pt idx="14">
                  <c:v>50</c:v>
                </c:pt>
                <c:pt idx="15">
                  <c:v>51</c:v>
                </c:pt>
                <c:pt idx="16">
                  <c:v>51</c:v>
                </c:pt>
                <c:pt idx="17">
                  <c:v>50</c:v>
                </c:pt>
                <c:pt idx="18">
                  <c:v>51</c:v>
                </c:pt>
                <c:pt idx="19">
                  <c:v>50</c:v>
                </c:pt>
                <c:pt idx="20">
                  <c:v>52</c:v>
                </c:pt>
                <c:pt idx="21">
                  <c:v>54</c:v>
                </c:pt>
                <c:pt idx="22">
                  <c:v>48</c:v>
                </c:pt>
                <c:pt idx="23">
                  <c:v>48</c:v>
                </c:pt>
                <c:pt idx="24">
                  <c:v>48</c:v>
                </c:pt>
                <c:pt idx="25">
                  <c:v>47</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numCache>
            </c:numRef>
          </c:val>
          <c:smooth val="0"/>
        </c:ser>
        <c:dLbls>
          <c:showLegendKey val="0"/>
          <c:showVal val="0"/>
          <c:showCatName val="0"/>
          <c:showSerName val="0"/>
          <c:showPercent val="0"/>
          <c:showBubbleSize val="0"/>
        </c:dLbls>
        <c:marker val="1"/>
        <c:smooth val="0"/>
        <c:axId val="99683712"/>
        <c:axId val="99697792"/>
      </c:lineChart>
      <c:catAx>
        <c:axId val="99683712"/>
        <c:scaling>
          <c:orientation val="minMax"/>
        </c:scaling>
        <c:delete val="0"/>
        <c:axPos val="b"/>
        <c:majorTickMark val="none"/>
        <c:minorTickMark val="none"/>
        <c:tickLblPos val="nextTo"/>
        <c:crossAx val="99697792"/>
        <c:crosses val="autoZero"/>
        <c:auto val="1"/>
        <c:lblAlgn val="ctr"/>
        <c:lblOffset val="100"/>
        <c:noMultiLvlLbl val="0"/>
      </c:catAx>
      <c:valAx>
        <c:axId val="99697792"/>
        <c:scaling>
          <c:orientation val="minMax"/>
        </c:scaling>
        <c:delete val="0"/>
        <c:axPos val="l"/>
        <c:majorGridlines/>
        <c:numFmt formatCode="#,##0" sourceLinked="0"/>
        <c:majorTickMark val="none"/>
        <c:minorTickMark val="none"/>
        <c:tickLblPos val="nextTo"/>
        <c:crossAx val="99683712"/>
        <c:crosses val="autoZero"/>
        <c:crossBetween val="between"/>
      </c:valAx>
    </c:plotArea>
    <c:legend>
      <c:legendPos val="r"/>
      <c:overlay val="0"/>
      <c:txPr>
        <a:bodyPr/>
        <a:lstStyle/>
        <a:p>
          <a:pPr>
            <a:defRPr sz="650"/>
          </a:pPr>
          <a:endParaRPr lang="en-US"/>
        </a:p>
      </c:txPr>
    </c:legend>
    <c:plotVisOnly val="1"/>
    <c:dispBlanksAs val="gap"/>
    <c:showDLblsOverMax val="0"/>
  </c:chart>
  <c:spPr>
    <a:ln>
      <a:noFill/>
    </a:ln>
  </c:sp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[D814_TRNS_ADJ_INIT, exenatide, jan to mar 13 init, fu to mar14 - incld antiemetics - end date fix - Fig8.xlsx]Sheet1 (14)!PivotTable1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marker>
          <c:symbol val="none"/>
        </c:marker>
      </c:pivotFmt>
      <c:pivotFmt>
        <c:idx val="1113"/>
        <c:marker>
          <c:symbol val="none"/>
        </c:marker>
      </c:pivotFmt>
      <c:pivotFmt>
        <c:idx val="1114"/>
        <c:marker>
          <c:symbol val="none"/>
        </c:marker>
      </c:pivotFmt>
      <c:pivotFmt>
        <c:idx val="1115"/>
        <c:marker>
          <c:symbol val="none"/>
        </c:marker>
      </c:pivotFmt>
      <c:pivotFmt>
        <c:idx val="1116"/>
        <c:marker>
          <c:symbol val="none"/>
        </c:marker>
      </c:pivotFmt>
      <c:pivotFmt>
        <c:idx val="1117"/>
        <c:marker>
          <c:symbol val="none"/>
        </c:marker>
      </c:pivotFmt>
      <c:pivotFmt>
        <c:idx val="1118"/>
        <c:marker>
          <c:symbol val="none"/>
        </c:marker>
      </c:pivotFmt>
      <c:pivotFmt>
        <c:idx val="1119"/>
        <c:marker>
          <c:symbol val="none"/>
        </c:marker>
      </c:pivotFmt>
      <c:pivotFmt>
        <c:idx val="1120"/>
        <c:marker>
          <c:symbol val="none"/>
        </c:marker>
      </c:pivotFmt>
      <c:pivotFmt>
        <c:idx val="1121"/>
        <c:marker>
          <c:symbol val="none"/>
        </c:marker>
      </c:pivotFmt>
      <c:pivotFmt>
        <c:idx val="1122"/>
        <c:marker>
          <c:symbol val="none"/>
        </c:marker>
      </c:pivotFmt>
      <c:pivotFmt>
        <c:idx val="1123"/>
        <c:marker>
          <c:symbol val="none"/>
        </c:marker>
      </c:pivotFmt>
      <c:pivotFmt>
        <c:idx val="1124"/>
        <c:marker>
          <c:symbol val="none"/>
        </c:marker>
      </c:pivotFmt>
      <c:pivotFmt>
        <c:idx val="1125"/>
        <c:marker>
          <c:symbol val="none"/>
        </c:marker>
      </c:pivotFmt>
      <c:pivotFmt>
        <c:idx val="1126"/>
        <c:marker>
          <c:symbol val="none"/>
        </c:marker>
      </c:pivotFmt>
      <c:pivotFmt>
        <c:idx val="1127"/>
        <c:marker>
          <c:symbol val="none"/>
        </c:marker>
      </c:pivotFmt>
      <c:pivotFmt>
        <c:idx val="1128"/>
        <c:marker>
          <c:symbol val="none"/>
        </c:marker>
      </c:pivotFmt>
      <c:pivotFmt>
        <c:idx val="1129"/>
        <c:marker>
          <c:symbol val="none"/>
        </c:marker>
      </c:pivotFmt>
      <c:pivotFmt>
        <c:idx val="1130"/>
        <c:marker>
          <c:symbol val="none"/>
        </c:marker>
      </c:pivotFmt>
      <c:pivotFmt>
        <c:idx val="1131"/>
        <c:marker>
          <c:symbol val="none"/>
        </c:marker>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marker>
          <c:symbol val="none"/>
        </c:marker>
      </c:pivotFmt>
      <c:pivotFmt>
        <c:idx val="1153"/>
        <c:marker>
          <c:symbol val="none"/>
        </c:marker>
      </c:pivotFmt>
      <c:pivotFmt>
        <c:idx val="1154"/>
        <c:marker>
          <c:symbol val="none"/>
        </c:marker>
      </c:pivotFmt>
      <c:pivotFmt>
        <c:idx val="1155"/>
        <c:marker>
          <c:symbol val="none"/>
        </c:marker>
      </c:pivotFmt>
      <c:pivotFmt>
        <c:idx val="1156"/>
        <c:marker>
          <c:symbol val="none"/>
        </c:marker>
      </c:pivotFmt>
      <c:pivotFmt>
        <c:idx val="1157"/>
        <c:marker>
          <c:symbol val="none"/>
        </c:marker>
      </c:pivotFmt>
      <c:pivotFmt>
        <c:idx val="1158"/>
        <c:marker>
          <c:symbol val="none"/>
        </c:marker>
      </c:pivotFmt>
      <c:pivotFmt>
        <c:idx val="1159"/>
        <c:marker>
          <c:symbol val="none"/>
        </c:marker>
      </c:pivotFmt>
      <c:pivotFmt>
        <c:idx val="1160"/>
        <c:marker>
          <c:symbol val="none"/>
        </c:marker>
      </c:pivotFmt>
      <c:pivotFmt>
        <c:idx val="1161"/>
        <c:marker>
          <c:symbol val="none"/>
        </c:marker>
      </c:pivotFmt>
      <c:pivotFmt>
        <c:idx val="1162"/>
        <c:marker>
          <c:symbol val="none"/>
        </c:marker>
      </c:pivotFmt>
      <c:pivotFmt>
        <c:idx val="1163"/>
        <c:marker>
          <c:symbol val="none"/>
        </c:marker>
      </c:pivotFmt>
      <c:pivotFmt>
        <c:idx val="1164"/>
        <c:marker>
          <c:symbol val="none"/>
        </c:marker>
      </c:pivotFmt>
      <c:pivotFmt>
        <c:idx val="1165"/>
        <c:marker>
          <c:symbol val="none"/>
        </c:marker>
      </c:pivotFmt>
      <c:pivotFmt>
        <c:idx val="1166"/>
        <c:marker>
          <c:symbol val="none"/>
        </c:marker>
      </c:pivotFmt>
      <c:pivotFmt>
        <c:idx val="1167"/>
        <c:marker>
          <c:symbol val="none"/>
        </c:marker>
      </c:pivotFmt>
      <c:pivotFmt>
        <c:idx val="1168"/>
        <c:marker>
          <c:symbol val="none"/>
        </c:marker>
      </c:pivotFmt>
      <c:pivotFmt>
        <c:idx val="1169"/>
        <c:marker>
          <c:symbol val="none"/>
        </c:marker>
      </c:pivotFmt>
      <c:pivotFmt>
        <c:idx val="1170"/>
        <c:marker>
          <c:symbol val="none"/>
        </c:marker>
      </c:pivotFmt>
      <c:pivotFmt>
        <c:idx val="1171"/>
        <c:marker>
          <c:symbol val="none"/>
        </c:marker>
      </c:pivotFmt>
      <c:pivotFmt>
        <c:idx val="1172"/>
        <c:marker>
          <c:symbol val="none"/>
        </c:marker>
      </c:pivotFmt>
      <c:pivotFmt>
        <c:idx val="1173"/>
        <c:marker>
          <c:symbol val="none"/>
        </c:marker>
      </c:pivotFmt>
      <c:pivotFmt>
        <c:idx val="1174"/>
        <c:marker>
          <c:symbol val="none"/>
        </c:marker>
      </c:pivotFmt>
      <c:pivotFmt>
        <c:idx val="1175"/>
        <c:marker>
          <c:symbol val="none"/>
        </c:marker>
      </c:pivotFmt>
      <c:pivotFmt>
        <c:idx val="1176"/>
        <c:marker>
          <c:symbol val="none"/>
        </c:marker>
      </c:pivotFmt>
      <c:pivotFmt>
        <c:idx val="1177"/>
        <c:marker>
          <c:symbol val="none"/>
        </c:marker>
      </c:pivotFmt>
      <c:pivotFmt>
        <c:idx val="1178"/>
        <c:marker>
          <c:symbol val="none"/>
        </c:marker>
      </c:pivotFmt>
      <c:pivotFmt>
        <c:idx val="1179"/>
        <c:marker>
          <c:symbol val="none"/>
        </c:marker>
      </c:pivotFmt>
      <c:pivotFmt>
        <c:idx val="1180"/>
        <c:marker>
          <c:symbol val="none"/>
        </c:marker>
      </c:pivotFmt>
      <c:pivotFmt>
        <c:idx val="1181"/>
        <c:marker>
          <c:symbol val="none"/>
        </c:marker>
      </c:pivotFmt>
      <c:pivotFmt>
        <c:idx val="1182"/>
        <c:marker>
          <c:symbol val="none"/>
        </c:marker>
      </c:pivotFmt>
      <c:pivotFmt>
        <c:idx val="1183"/>
        <c:marker>
          <c:symbol val="none"/>
        </c:marker>
      </c:pivotFmt>
      <c:pivotFmt>
        <c:idx val="1184"/>
        <c:marker>
          <c:symbol val="none"/>
        </c:marker>
      </c:pivotFmt>
      <c:pivotFmt>
        <c:idx val="1185"/>
        <c:marker>
          <c:symbol val="none"/>
        </c:marker>
      </c:pivotFmt>
      <c:pivotFmt>
        <c:idx val="1186"/>
        <c:marker>
          <c:symbol val="none"/>
        </c:marker>
      </c:pivotFmt>
      <c:pivotFmt>
        <c:idx val="1187"/>
        <c:marker>
          <c:symbol val="none"/>
        </c:marker>
      </c:pivotFmt>
      <c:pivotFmt>
        <c:idx val="1188"/>
        <c:marker>
          <c:symbol val="none"/>
        </c:marker>
      </c:pivotFmt>
      <c:pivotFmt>
        <c:idx val="1189"/>
        <c:marker>
          <c:symbol val="none"/>
        </c:marker>
      </c:pivotFmt>
      <c:pivotFmt>
        <c:idx val="1190"/>
        <c:marker>
          <c:symbol val="none"/>
        </c:marker>
      </c:pivotFmt>
      <c:pivotFmt>
        <c:idx val="1191"/>
        <c:marker>
          <c:symbol val="none"/>
        </c:marker>
      </c:pivotFmt>
      <c:pivotFmt>
        <c:idx val="1192"/>
        <c:marker>
          <c:symbol val="none"/>
        </c:marker>
      </c:pivotFmt>
      <c:pivotFmt>
        <c:idx val="1193"/>
        <c:marker>
          <c:symbol val="none"/>
        </c:marker>
      </c:pivotFmt>
      <c:pivotFmt>
        <c:idx val="1194"/>
        <c:marker>
          <c:symbol val="none"/>
        </c:marker>
      </c:pivotFmt>
      <c:pivotFmt>
        <c:idx val="1195"/>
        <c:marker>
          <c:symbol val="none"/>
        </c:marker>
      </c:pivotFmt>
      <c:pivotFmt>
        <c:idx val="1196"/>
        <c:marker>
          <c:symbol val="none"/>
        </c:marker>
      </c:pivotFmt>
      <c:pivotFmt>
        <c:idx val="1197"/>
        <c:marker>
          <c:symbol val="none"/>
        </c:marker>
      </c:pivotFmt>
      <c:pivotFmt>
        <c:idx val="1198"/>
        <c:marker>
          <c:symbol val="none"/>
        </c:marker>
      </c:pivotFmt>
      <c:pivotFmt>
        <c:idx val="1199"/>
        <c:marker>
          <c:symbol val="none"/>
        </c:marker>
      </c:pivotFmt>
      <c:pivotFmt>
        <c:idx val="1200"/>
        <c:marker>
          <c:symbol val="none"/>
        </c:marker>
      </c:pivotFmt>
      <c:pivotFmt>
        <c:idx val="1201"/>
        <c:marker>
          <c:symbol val="none"/>
        </c:marker>
      </c:pivotFmt>
      <c:pivotFmt>
        <c:idx val="1202"/>
        <c:marker>
          <c:symbol val="none"/>
        </c:marker>
      </c:pivotFmt>
      <c:pivotFmt>
        <c:idx val="1203"/>
        <c:marker>
          <c:symbol val="none"/>
        </c:marker>
      </c:pivotFmt>
      <c:pivotFmt>
        <c:idx val="1204"/>
        <c:marker>
          <c:symbol val="none"/>
        </c:marker>
      </c:pivotFmt>
      <c:pivotFmt>
        <c:idx val="1205"/>
        <c:marker>
          <c:symbol val="none"/>
        </c:marker>
      </c:pivotFmt>
      <c:pivotFmt>
        <c:idx val="1206"/>
        <c:marker>
          <c:symbol val="none"/>
        </c:marker>
      </c:pivotFmt>
      <c:pivotFmt>
        <c:idx val="1207"/>
        <c:marker>
          <c:symbol val="none"/>
        </c:marker>
      </c:pivotFmt>
      <c:pivotFmt>
        <c:idx val="1208"/>
        <c:marker>
          <c:symbol val="none"/>
        </c:marker>
      </c:pivotFmt>
      <c:pivotFmt>
        <c:idx val="1209"/>
        <c:marker>
          <c:symbol val="none"/>
        </c:marker>
      </c:pivotFmt>
      <c:pivotFmt>
        <c:idx val="1210"/>
        <c:marker>
          <c:symbol val="none"/>
        </c:marker>
      </c:pivotFmt>
      <c:pivotFmt>
        <c:idx val="1211"/>
        <c:marker>
          <c:symbol val="none"/>
        </c:marker>
      </c:pivotFmt>
      <c:pivotFmt>
        <c:idx val="1212"/>
        <c:marker>
          <c:symbol val="none"/>
        </c:marker>
      </c:pivotFmt>
      <c:pivotFmt>
        <c:idx val="1213"/>
        <c:marker>
          <c:symbol val="none"/>
        </c:marker>
      </c:pivotFmt>
      <c:pivotFmt>
        <c:idx val="1214"/>
        <c:marker>
          <c:symbol val="none"/>
        </c:marker>
      </c:pivotFmt>
      <c:pivotFmt>
        <c:idx val="1215"/>
        <c:marker>
          <c:symbol val="none"/>
        </c:marker>
      </c:pivotFmt>
      <c:pivotFmt>
        <c:idx val="1216"/>
        <c:marker>
          <c:symbol val="none"/>
        </c:marker>
      </c:pivotFmt>
      <c:pivotFmt>
        <c:idx val="1217"/>
        <c:marker>
          <c:symbol val="none"/>
        </c:marker>
      </c:pivotFmt>
      <c:pivotFmt>
        <c:idx val="1218"/>
        <c:marker>
          <c:symbol val="none"/>
        </c:marker>
      </c:pivotFmt>
      <c:pivotFmt>
        <c:idx val="1219"/>
        <c:marker>
          <c:symbol val="none"/>
        </c:marker>
      </c:pivotFmt>
      <c:pivotFmt>
        <c:idx val="1220"/>
        <c:marker>
          <c:symbol val="none"/>
        </c:marker>
      </c:pivotFmt>
      <c:pivotFmt>
        <c:idx val="1221"/>
        <c:marker>
          <c:symbol val="none"/>
        </c:marker>
      </c:pivotFmt>
      <c:pivotFmt>
        <c:idx val="1222"/>
        <c:marker>
          <c:symbol val="none"/>
        </c:marker>
      </c:pivotFmt>
      <c:pivotFmt>
        <c:idx val="1223"/>
        <c:marker>
          <c:symbol val="none"/>
        </c:marker>
      </c:pivotFmt>
      <c:pivotFmt>
        <c:idx val="1224"/>
        <c:marker>
          <c:symbol val="none"/>
        </c:marker>
      </c:pivotFmt>
      <c:pivotFmt>
        <c:idx val="1225"/>
        <c:marker>
          <c:symbol val="none"/>
        </c:marker>
      </c:pivotFmt>
      <c:pivotFmt>
        <c:idx val="1226"/>
        <c:marker>
          <c:symbol val="none"/>
        </c:marker>
      </c:pivotFmt>
      <c:pivotFmt>
        <c:idx val="1227"/>
        <c:marker>
          <c:symbol val="none"/>
        </c:marker>
      </c:pivotFmt>
      <c:pivotFmt>
        <c:idx val="1228"/>
        <c:marker>
          <c:symbol val="none"/>
        </c:marker>
      </c:pivotFmt>
      <c:pivotFmt>
        <c:idx val="1229"/>
        <c:marker>
          <c:symbol val="none"/>
        </c:marker>
      </c:pivotFmt>
      <c:pivotFmt>
        <c:idx val="1230"/>
        <c:marker>
          <c:symbol val="none"/>
        </c:marker>
      </c:pivotFmt>
      <c:pivotFmt>
        <c:idx val="1231"/>
        <c:marker>
          <c:symbol val="none"/>
        </c:marker>
      </c:pivotFmt>
      <c:pivotFmt>
        <c:idx val="1232"/>
        <c:marker>
          <c:symbol val="none"/>
        </c:marker>
      </c:pivotFmt>
      <c:pivotFmt>
        <c:idx val="1233"/>
        <c:marker>
          <c:symbol val="none"/>
        </c:marker>
      </c:pivotFmt>
      <c:pivotFmt>
        <c:idx val="1234"/>
        <c:marker>
          <c:symbol val="none"/>
        </c:marker>
      </c:pivotFmt>
      <c:pivotFmt>
        <c:idx val="1235"/>
        <c:marker>
          <c:symbol val="none"/>
        </c:marker>
      </c:pivotFmt>
      <c:pivotFmt>
        <c:idx val="1236"/>
        <c:marker>
          <c:symbol val="none"/>
        </c:marker>
      </c:pivotFmt>
      <c:pivotFmt>
        <c:idx val="1237"/>
        <c:marker>
          <c:symbol val="none"/>
        </c:marker>
      </c:pivotFmt>
      <c:pivotFmt>
        <c:idx val="1238"/>
        <c:marker>
          <c:symbol val="none"/>
        </c:marker>
      </c:pivotFmt>
      <c:pivotFmt>
        <c:idx val="1239"/>
        <c:marker>
          <c:symbol val="none"/>
        </c:marker>
      </c:pivotFmt>
      <c:pivotFmt>
        <c:idx val="1240"/>
        <c:marker>
          <c:symbol val="none"/>
        </c:marker>
      </c:pivotFmt>
      <c:pivotFmt>
        <c:idx val="1241"/>
        <c:marker>
          <c:symbol val="none"/>
        </c:marker>
      </c:pivotFmt>
      <c:pivotFmt>
        <c:idx val="1242"/>
        <c:marker>
          <c:symbol val="none"/>
        </c:marker>
      </c:pivotFmt>
      <c:pivotFmt>
        <c:idx val="1243"/>
        <c:marker>
          <c:symbol val="none"/>
        </c:marker>
      </c:pivotFmt>
      <c:pivotFmt>
        <c:idx val="1244"/>
        <c:marker>
          <c:symbol val="none"/>
        </c:marker>
      </c:pivotFmt>
      <c:pivotFmt>
        <c:idx val="1245"/>
        <c:marker>
          <c:symbol val="none"/>
        </c:marker>
      </c:pivotFmt>
      <c:pivotFmt>
        <c:idx val="1246"/>
        <c:marker>
          <c:symbol val="none"/>
        </c:marker>
      </c:pivotFmt>
      <c:pivotFmt>
        <c:idx val="1247"/>
        <c:marker>
          <c:symbol val="none"/>
        </c:marker>
      </c:pivotFmt>
      <c:pivotFmt>
        <c:idx val="1248"/>
        <c:marker>
          <c:symbol val="none"/>
        </c:marker>
      </c:pivotFmt>
      <c:pivotFmt>
        <c:idx val="1249"/>
        <c:marker>
          <c:symbol val="none"/>
        </c:marker>
      </c:pivotFmt>
      <c:pivotFmt>
        <c:idx val="1250"/>
        <c:marker>
          <c:symbol val="none"/>
        </c:marker>
      </c:pivotFmt>
      <c:pivotFmt>
        <c:idx val="1251"/>
        <c:marker>
          <c:symbol val="none"/>
        </c:marker>
      </c:pivotFmt>
      <c:pivotFmt>
        <c:idx val="1252"/>
        <c:marker>
          <c:symbol val="none"/>
        </c:marker>
      </c:pivotFmt>
      <c:pivotFmt>
        <c:idx val="1253"/>
        <c:marker>
          <c:symbol val="none"/>
        </c:marker>
      </c:pivotFmt>
      <c:pivotFmt>
        <c:idx val="1254"/>
        <c:marker>
          <c:symbol val="none"/>
        </c:marker>
      </c:pivotFmt>
      <c:pivotFmt>
        <c:idx val="1255"/>
        <c:marker>
          <c:symbol val="none"/>
        </c:marker>
      </c:pivotFmt>
      <c:pivotFmt>
        <c:idx val="1256"/>
        <c:marker>
          <c:symbol val="none"/>
        </c:marker>
      </c:pivotFmt>
      <c:pivotFmt>
        <c:idx val="1257"/>
        <c:marker>
          <c:symbol val="none"/>
        </c:marker>
      </c:pivotFmt>
      <c:pivotFmt>
        <c:idx val="1258"/>
        <c:marker>
          <c:symbol val="none"/>
        </c:marker>
      </c:pivotFmt>
      <c:pivotFmt>
        <c:idx val="1259"/>
        <c:marker>
          <c:symbol val="none"/>
        </c:marker>
      </c:pivotFmt>
      <c:pivotFmt>
        <c:idx val="1260"/>
        <c:marker>
          <c:symbol val="none"/>
        </c:marker>
      </c:pivotFmt>
      <c:pivotFmt>
        <c:idx val="1261"/>
        <c:marker>
          <c:symbol val="none"/>
        </c:marker>
      </c:pivotFmt>
      <c:pivotFmt>
        <c:idx val="1262"/>
        <c:spPr>
          <a:ln>
            <a:solidFill>
              <a:schemeClr val="tx1"/>
            </a:solidFill>
          </a:ln>
        </c:spPr>
        <c:marker>
          <c:symbol val="none"/>
        </c:marker>
      </c:pivotFmt>
      <c:pivotFmt>
        <c:idx val="1263"/>
        <c:marker>
          <c:symbol val="none"/>
        </c:marker>
      </c:pivotFmt>
      <c:pivotFmt>
        <c:idx val="1264"/>
        <c:marker>
          <c:symbol val="none"/>
        </c:marker>
      </c:pivotFmt>
      <c:pivotFmt>
        <c:idx val="1265"/>
        <c:marker>
          <c:symbol val="none"/>
        </c:marker>
      </c:pivotFmt>
      <c:pivotFmt>
        <c:idx val="1266"/>
        <c:spPr>
          <a:ln>
            <a:solidFill>
              <a:srgbClr val="FF0000"/>
            </a:solidFill>
          </a:ln>
        </c:spPr>
        <c:marker>
          <c:symbol val="none"/>
        </c:marker>
      </c:pivotFmt>
      <c:pivotFmt>
        <c:idx val="1267"/>
        <c:marker>
          <c:symbol val="none"/>
        </c:marker>
      </c:pivotFmt>
      <c:pivotFmt>
        <c:idx val="1268"/>
        <c:marker>
          <c:symbol val="none"/>
        </c:marker>
      </c:pivotFmt>
      <c:pivotFmt>
        <c:idx val="1269"/>
        <c:marker>
          <c:symbol val="none"/>
        </c:marker>
      </c:pivotFmt>
      <c:pivotFmt>
        <c:idx val="1270"/>
        <c:marker>
          <c:symbol val="none"/>
        </c:marker>
      </c:pivotFmt>
      <c:pivotFmt>
        <c:idx val="1271"/>
        <c:marker>
          <c:symbol val="none"/>
        </c:marker>
      </c:pivotFmt>
      <c:pivotFmt>
        <c:idx val="1272"/>
        <c:marker>
          <c:symbol val="none"/>
        </c:marker>
      </c:pivotFmt>
      <c:pivotFmt>
        <c:idx val="1273"/>
        <c:marker>
          <c:symbol val="none"/>
        </c:marker>
      </c:pivotFmt>
      <c:pivotFmt>
        <c:idx val="1274"/>
        <c:marker>
          <c:symbol val="none"/>
        </c:marker>
      </c:pivotFmt>
      <c:pivotFmt>
        <c:idx val="1275"/>
        <c:marker>
          <c:symbol val="none"/>
        </c:marker>
      </c:pivotFmt>
      <c:pivotFmt>
        <c:idx val="1276"/>
        <c:marker>
          <c:symbol val="none"/>
        </c:marker>
      </c:pivotFmt>
      <c:pivotFmt>
        <c:idx val="1277"/>
        <c:marker>
          <c:symbol val="none"/>
        </c:marker>
      </c:pivotFmt>
      <c:pivotFmt>
        <c:idx val="1278"/>
        <c:marker>
          <c:symbol val="none"/>
        </c:marker>
      </c:pivotFmt>
      <c:pivotFmt>
        <c:idx val="1279"/>
        <c:marker>
          <c:symbol val="none"/>
        </c:marker>
      </c:pivotFmt>
      <c:pivotFmt>
        <c:idx val="1280"/>
        <c:marker>
          <c:symbol val="none"/>
        </c:marker>
      </c:pivotFmt>
      <c:pivotFmt>
        <c:idx val="1281"/>
        <c:marker>
          <c:symbol val="none"/>
        </c:marker>
      </c:pivotFmt>
      <c:pivotFmt>
        <c:idx val="1282"/>
        <c:marker>
          <c:symbol val="none"/>
        </c:marker>
      </c:pivotFmt>
      <c:pivotFmt>
        <c:idx val="1283"/>
        <c:spPr>
          <a:ln>
            <a:solidFill>
              <a:srgbClr val="FF0000"/>
            </a:solidFill>
          </a:ln>
        </c:spPr>
        <c:marker>
          <c:symbol val="none"/>
        </c:marker>
      </c:pivotFmt>
      <c:pivotFmt>
        <c:idx val="1284"/>
        <c:marker>
          <c:symbol val="none"/>
        </c:marker>
      </c:pivotFmt>
      <c:pivotFmt>
        <c:idx val="1285"/>
        <c:spPr>
          <a:ln>
            <a:solidFill>
              <a:schemeClr val="tx1"/>
            </a:solidFill>
          </a:ln>
        </c:spPr>
        <c:marker>
          <c:symbol val="none"/>
        </c:marker>
      </c:pivotFmt>
      <c:pivotFmt>
        <c:idx val="1286"/>
        <c:marker>
          <c:symbol val="none"/>
        </c:marker>
      </c:pivotFmt>
      <c:pivotFmt>
        <c:idx val="1287"/>
        <c:marker>
          <c:symbol val="none"/>
        </c:marker>
      </c:pivotFmt>
      <c:pivotFmt>
        <c:idx val="1288"/>
        <c:marker>
          <c:symbol val="none"/>
        </c:marker>
      </c:pivotFmt>
      <c:pivotFmt>
        <c:idx val="1289"/>
        <c:marker>
          <c:symbol val="none"/>
        </c:marker>
      </c:pivotFmt>
      <c:pivotFmt>
        <c:idx val="1290"/>
        <c:marker>
          <c:symbol val="none"/>
        </c:marker>
      </c:pivotFmt>
      <c:pivotFmt>
        <c:idx val="1291"/>
        <c:marker>
          <c:symbol val="none"/>
        </c:marker>
      </c:pivotFmt>
      <c:pivotFmt>
        <c:idx val="1292"/>
        <c:marker>
          <c:symbol val="none"/>
        </c:marker>
      </c:pivotFmt>
      <c:pivotFmt>
        <c:idx val="1293"/>
        <c:marker>
          <c:symbol val="none"/>
        </c:marker>
      </c:pivotFmt>
      <c:pivotFmt>
        <c:idx val="1294"/>
        <c:marker>
          <c:symbol val="none"/>
        </c:marker>
      </c:pivotFmt>
      <c:pivotFmt>
        <c:idx val="1295"/>
        <c:marker>
          <c:symbol val="none"/>
        </c:marker>
      </c:pivotFmt>
      <c:pivotFmt>
        <c:idx val="1296"/>
        <c:marker>
          <c:symbol val="none"/>
        </c:marker>
      </c:pivotFmt>
      <c:pivotFmt>
        <c:idx val="1297"/>
        <c:marker>
          <c:symbol val="none"/>
        </c:marker>
      </c:pivotFmt>
      <c:pivotFmt>
        <c:idx val="1298"/>
        <c:marker>
          <c:symbol val="none"/>
        </c:marker>
      </c:pivotFmt>
      <c:pivotFmt>
        <c:idx val="1299"/>
        <c:marker>
          <c:symbol val="none"/>
        </c:marker>
      </c:pivotFmt>
      <c:pivotFmt>
        <c:idx val="1300"/>
        <c:marker>
          <c:symbol val="none"/>
        </c:marker>
      </c:pivotFmt>
      <c:pivotFmt>
        <c:idx val="1301"/>
        <c:spPr>
          <a:ln>
            <a:solidFill>
              <a:srgbClr val="FF0000"/>
            </a:solidFill>
          </a:ln>
        </c:spPr>
        <c:marker>
          <c:symbol val="none"/>
        </c:marker>
      </c:pivotFmt>
      <c:pivotFmt>
        <c:idx val="1302"/>
        <c:marker>
          <c:symbol val="none"/>
        </c:marker>
      </c:pivotFmt>
      <c:pivotFmt>
        <c:idx val="1303"/>
        <c:spPr>
          <a:ln>
            <a:solidFill>
              <a:schemeClr val="tx1"/>
            </a:solidFill>
          </a:ln>
        </c:spPr>
        <c:marker>
          <c:symbol val="none"/>
        </c:marker>
      </c:pivotFmt>
      <c:pivotFmt>
        <c:idx val="1304"/>
        <c:marker>
          <c:symbol val="none"/>
        </c:marker>
      </c:pivotFmt>
      <c:pivotFmt>
        <c:idx val="1305"/>
        <c:marker>
          <c:symbol val="none"/>
        </c:marker>
      </c:pivotFmt>
      <c:pivotFmt>
        <c:idx val="1306"/>
        <c:marker>
          <c:symbol val="none"/>
        </c:marker>
      </c:pivotFmt>
      <c:pivotFmt>
        <c:idx val="1307"/>
        <c:marker>
          <c:symbol val="none"/>
        </c:marker>
      </c:pivotFmt>
      <c:pivotFmt>
        <c:idx val="1308"/>
        <c:marker>
          <c:symbol val="none"/>
        </c:marker>
      </c:pivotFmt>
      <c:pivotFmt>
        <c:idx val="1309"/>
        <c:marker>
          <c:symbol val="none"/>
        </c:marker>
      </c:pivotFmt>
      <c:pivotFmt>
        <c:idx val="1310"/>
        <c:marker>
          <c:symbol val="none"/>
        </c:marker>
      </c:pivotFmt>
      <c:pivotFmt>
        <c:idx val="1311"/>
        <c:marker>
          <c:symbol val="none"/>
        </c:marker>
      </c:pivotFmt>
      <c:pivotFmt>
        <c:idx val="1312"/>
        <c:marker>
          <c:symbol val="none"/>
        </c:marker>
      </c:pivotFmt>
      <c:pivotFmt>
        <c:idx val="1313"/>
        <c:marker>
          <c:symbol val="none"/>
        </c:marker>
      </c:pivotFmt>
      <c:pivotFmt>
        <c:idx val="1314"/>
        <c:marker>
          <c:symbol val="none"/>
        </c:marker>
      </c:pivotFmt>
      <c:pivotFmt>
        <c:idx val="1315"/>
        <c:marker>
          <c:symbol val="none"/>
        </c:marker>
      </c:pivotFmt>
      <c:pivotFmt>
        <c:idx val="1316"/>
        <c:marker>
          <c:symbol val="none"/>
        </c:marker>
      </c:pivotFmt>
      <c:pivotFmt>
        <c:idx val="1317"/>
        <c:marker>
          <c:symbol val="none"/>
        </c:marker>
      </c:pivotFmt>
      <c:pivotFmt>
        <c:idx val="1318"/>
        <c:marker>
          <c:symbol val="none"/>
        </c:marker>
      </c:pivotFmt>
      <c:pivotFmt>
        <c:idx val="1319"/>
        <c:spPr>
          <a:ln>
            <a:solidFill>
              <a:srgbClr val="FF0000"/>
            </a:solidFill>
          </a:ln>
        </c:spPr>
        <c:marker>
          <c:symbol val="none"/>
        </c:marker>
      </c:pivotFmt>
      <c:pivotFmt>
        <c:idx val="1320"/>
        <c:marker>
          <c:symbol val="none"/>
        </c:marker>
      </c:pivotFmt>
      <c:pivotFmt>
        <c:idx val="1321"/>
        <c:spPr>
          <a:ln>
            <a:solidFill>
              <a:schemeClr val="tx1"/>
            </a:solidFill>
          </a:ln>
        </c:spPr>
        <c:marker>
          <c:symbol val="none"/>
        </c:marker>
      </c:pivotFmt>
      <c:pivotFmt>
        <c:idx val="1322"/>
        <c:marker>
          <c:symbol val="none"/>
        </c:marker>
      </c:pivotFmt>
      <c:pivotFmt>
        <c:idx val="1323"/>
        <c:marker>
          <c:symbol val="none"/>
        </c:marker>
      </c:pivotFmt>
      <c:pivotFmt>
        <c:idx val="1324"/>
        <c:marker>
          <c:symbol val="none"/>
        </c:marker>
      </c:pivotFmt>
      <c:pivotFmt>
        <c:idx val="1325"/>
        <c:marker>
          <c:symbol val="none"/>
        </c:marker>
      </c:pivotFmt>
      <c:pivotFmt>
        <c:idx val="1326"/>
        <c:marker>
          <c:symbol val="none"/>
        </c:marker>
      </c:pivotFmt>
      <c:pivotFmt>
        <c:idx val="1327"/>
        <c:marker>
          <c:symbol val="none"/>
        </c:marker>
      </c:pivotFmt>
      <c:pivotFmt>
        <c:idx val="1328"/>
        <c:marker>
          <c:symbol val="none"/>
        </c:marker>
      </c:pivotFmt>
      <c:pivotFmt>
        <c:idx val="1329"/>
        <c:marker>
          <c:symbol val="none"/>
        </c:marker>
      </c:pivotFmt>
      <c:pivotFmt>
        <c:idx val="1330"/>
        <c:marker>
          <c:symbol val="none"/>
        </c:marker>
      </c:pivotFmt>
      <c:pivotFmt>
        <c:idx val="1331"/>
        <c:marker>
          <c:symbol val="none"/>
        </c:marker>
      </c:pivotFmt>
      <c:pivotFmt>
        <c:idx val="1332"/>
        <c:marker>
          <c:symbol val="none"/>
        </c:marker>
      </c:pivotFmt>
      <c:pivotFmt>
        <c:idx val="1333"/>
        <c:marker>
          <c:symbol val="none"/>
        </c:marker>
      </c:pivotFmt>
      <c:pivotFmt>
        <c:idx val="1334"/>
        <c:marker>
          <c:symbol val="none"/>
        </c:marker>
      </c:pivotFmt>
      <c:pivotFmt>
        <c:idx val="1335"/>
        <c:marker>
          <c:symbol val="none"/>
        </c:marker>
      </c:pivotFmt>
      <c:pivotFmt>
        <c:idx val="1336"/>
        <c:marker>
          <c:symbol val="none"/>
        </c:marker>
      </c:pivotFmt>
      <c:pivotFmt>
        <c:idx val="1337"/>
        <c:marker>
          <c:symbol val="none"/>
        </c:marker>
      </c:pivotFmt>
      <c:pivotFmt>
        <c:idx val="1338"/>
        <c:marker>
          <c:symbol val="none"/>
        </c:marker>
      </c:pivotFmt>
      <c:pivotFmt>
        <c:idx val="1339"/>
        <c:spPr>
          <a:ln>
            <a:solidFill>
              <a:srgbClr val="FF0000"/>
            </a:solidFill>
          </a:ln>
        </c:spPr>
        <c:marker>
          <c:symbol val="none"/>
        </c:marker>
      </c:pivotFmt>
      <c:pivotFmt>
        <c:idx val="1340"/>
        <c:marker>
          <c:symbol val="none"/>
        </c:marker>
      </c:pivotFmt>
      <c:pivotFmt>
        <c:idx val="1341"/>
        <c:spPr>
          <a:ln>
            <a:solidFill>
              <a:schemeClr val="tx1"/>
            </a:solidFill>
          </a:ln>
        </c:spPr>
        <c:marker>
          <c:symbol val="none"/>
        </c:marker>
      </c:pivotFmt>
      <c:pivotFmt>
        <c:idx val="1342"/>
        <c:marker>
          <c:symbol val="none"/>
        </c:marker>
      </c:pivotFmt>
      <c:pivotFmt>
        <c:idx val="1343"/>
        <c:marker>
          <c:symbol val="none"/>
        </c:marker>
      </c:pivotFmt>
      <c:pivotFmt>
        <c:idx val="1344"/>
        <c:marker>
          <c:symbol val="none"/>
        </c:marker>
      </c:pivotFmt>
      <c:pivotFmt>
        <c:idx val="1345"/>
        <c:marker>
          <c:symbol val="none"/>
        </c:marker>
      </c:pivotFmt>
      <c:pivotFmt>
        <c:idx val="1346"/>
        <c:marker>
          <c:symbol val="none"/>
        </c:marker>
      </c:pivotFmt>
      <c:pivotFmt>
        <c:idx val="1347"/>
        <c:marker>
          <c:symbol val="none"/>
        </c:marker>
      </c:pivotFmt>
      <c:pivotFmt>
        <c:idx val="1348"/>
        <c:marker>
          <c:symbol val="none"/>
        </c:marker>
      </c:pivotFmt>
      <c:pivotFmt>
        <c:idx val="1349"/>
        <c:marker>
          <c:symbol val="none"/>
        </c:marker>
      </c:pivotFmt>
      <c:pivotFmt>
        <c:idx val="1350"/>
        <c:marker>
          <c:symbol val="none"/>
        </c:marker>
      </c:pivotFmt>
      <c:pivotFmt>
        <c:idx val="1351"/>
        <c:marker>
          <c:symbol val="none"/>
        </c:marker>
      </c:pivotFmt>
      <c:pivotFmt>
        <c:idx val="1352"/>
        <c:marker>
          <c:symbol val="none"/>
        </c:marker>
      </c:pivotFmt>
      <c:pivotFmt>
        <c:idx val="1353"/>
        <c:marker>
          <c:symbol val="none"/>
        </c:marker>
      </c:pivotFmt>
      <c:pivotFmt>
        <c:idx val="1354"/>
        <c:marker>
          <c:symbol val="none"/>
        </c:marker>
      </c:pivotFmt>
      <c:pivotFmt>
        <c:idx val="1355"/>
        <c:marker>
          <c:symbol val="none"/>
        </c:marker>
      </c:pivotFmt>
      <c:pivotFmt>
        <c:idx val="1356"/>
        <c:marker>
          <c:symbol val="none"/>
        </c:marker>
      </c:pivotFmt>
      <c:pivotFmt>
        <c:idx val="1357"/>
        <c:marker>
          <c:symbol val="none"/>
        </c:marker>
      </c:pivotFmt>
      <c:pivotFmt>
        <c:idx val="1358"/>
        <c:marker>
          <c:symbol val="none"/>
        </c:marker>
      </c:pivotFmt>
      <c:pivotFmt>
        <c:idx val="1359"/>
        <c:marker>
          <c:symbol val="none"/>
        </c:marker>
      </c:pivotFmt>
      <c:pivotFmt>
        <c:idx val="1360"/>
        <c:marker>
          <c:symbol val="none"/>
        </c:marker>
      </c:pivotFmt>
      <c:pivotFmt>
        <c:idx val="1361"/>
        <c:marker>
          <c:symbol val="none"/>
        </c:marker>
      </c:pivotFmt>
      <c:pivotFmt>
        <c:idx val="1362"/>
        <c:marker>
          <c:symbol val="none"/>
        </c:marker>
      </c:pivotFmt>
      <c:pivotFmt>
        <c:idx val="1363"/>
        <c:marker>
          <c:symbol val="none"/>
        </c:marker>
      </c:pivotFmt>
      <c:pivotFmt>
        <c:idx val="1364"/>
        <c:marker>
          <c:symbol val="none"/>
        </c:marker>
      </c:pivotFmt>
      <c:pivotFmt>
        <c:idx val="1365"/>
        <c:marker>
          <c:symbol val="none"/>
        </c:marker>
      </c:pivotFmt>
      <c:pivotFmt>
        <c:idx val="1366"/>
        <c:marker>
          <c:symbol val="none"/>
        </c:marker>
      </c:pivotFmt>
      <c:pivotFmt>
        <c:idx val="1367"/>
        <c:marker>
          <c:symbol val="none"/>
        </c:marker>
      </c:pivotFmt>
      <c:pivotFmt>
        <c:idx val="1368"/>
        <c:marker>
          <c:symbol val="none"/>
        </c:marker>
      </c:pivotFmt>
      <c:pivotFmt>
        <c:idx val="1369"/>
        <c:marker>
          <c:symbol val="none"/>
        </c:marker>
      </c:pivotFmt>
      <c:pivotFmt>
        <c:idx val="1370"/>
        <c:marker>
          <c:symbol val="none"/>
        </c:marker>
      </c:pivotFmt>
      <c:pivotFmt>
        <c:idx val="1371"/>
        <c:marker>
          <c:symbol val="none"/>
        </c:marker>
      </c:pivotFmt>
      <c:pivotFmt>
        <c:idx val="1372"/>
        <c:marker>
          <c:symbol val="none"/>
        </c:marker>
      </c:pivotFmt>
      <c:pivotFmt>
        <c:idx val="1373"/>
        <c:marker>
          <c:symbol val="none"/>
        </c:marker>
      </c:pivotFmt>
      <c:pivotFmt>
        <c:idx val="1374"/>
        <c:marker>
          <c:symbol val="none"/>
        </c:marker>
      </c:pivotFmt>
      <c:pivotFmt>
        <c:idx val="1375"/>
        <c:marker>
          <c:symbol val="none"/>
        </c:marker>
      </c:pivotFmt>
      <c:pivotFmt>
        <c:idx val="1376"/>
        <c:marker>
          <c:symbol val="none"/>
        </c:marker>
      </c:pivotFmt>
      <c:pivotFmt>
        <c:idx val="1377"/>
        <c:marker>
          <c:symbol val="none"/>
        </c:marker>
      </c:pivotFmt>
      <c:pivotFmt>
        <c:idx val="1378"/>
        <c:marker>
          <c:symbol val="none"/>
        </c:marker>
      </c:pivotFmt>
      <c:pivotFmt>
        <c:idx val="1379"/>
        <c:marker>
          <c:symbol val="none"/>
        </c:marker>
      </c:pivotFmt>
      <c:pivotFmt>
        <c:idx val="1380"/>
        <c:marker>
          <c:symbol val="none"/>
        </c:marker>
      </c:pivotFmt>
      <c:pivotFmt>
        <c:idx val="1381"/>
        <c:marker>
          <c:symbol val="none"/>
        </c:marker>
      </c:pivotFmt>
      <c:pivotFmt>
        <c:idx val="1382"/>
        <c:marker>
          <c:symbol val="none"/>
        </c:marker>
      </c:pivotFmt>
      <c:pivotFmt>
        <c:idx val="1383"/>
        <c:marker>
          <c:symbol val="none"/>
        </c:marker>
      </c:pivotFmt>
      <c:pivotFmt>
        <c:idx val="1384"/>
        <c:marker>
          <c:symbol val="none"/>
        </c:marker>
      </c:pivotFmt>
      <c:pivotFmt>
        <c:idx val="1385"/>
        <c:marker>
          <c:symbol val="none"/>
        </c:marker>
      </c:pivotFmt>
      <c:pivotFmt>
        <c:idx val="1386"/>
        <c:marker>
          <c:symbol val="none"/>
        </c:marker>
      </c:pivotFmt>
      <c:pivotFmt>
        <c:idx val="1387"/>
        <c:marker>
          <c:symbol val="none"/>
        </c:marker>
      </c:pivotFmt>
      <c:pivotFmt>
        <c:idx val="1388"/>
        <c:marker>
          <c:symbol val="none"/>
        </c:marker>
      </c:pivotFmt>
      <c:pivotFmt>
        <c:idx val="1389"/>
        <c:marker>
          <c:symbol val="none"/>
        </c:marker>
      </c:pivotFmt>
      <c:pivotFmt>
        <c:idx val="1390"/>
        <c:marker>
          <c:symbol val="none"/>
        </c:marker>
      </c:pivotFmt>
      <c:pivotFmt>
        <c:idx val="1391"/>
        <c:marker>
          <c:symbol val="none"/>
        </c:marker>
      </c:pivotFmt>
      <c:pivotFmt>
        <c:idx val="1392"/>
        <c:marker>
          <c:symbol val="none"/>
        </c:marker>
      </c:pivotFmt>
      <c:pivotFmt>
        <c:idx val="1393"/>
        <c:marker>
          <c:symbol val="none"/>
        </c:marker>
      </c:pivotFmt>
      <c:pivotFmt>
        <c:idx val="1394"/>
        <c:marker>
          <c:symbol val="none"/>
        </c:marker>
      </c:pivotFmt>
      <c:pivotFmt>
        <c:idx val="1395"/>
        <c:marker>
          <c:symbol val="none"/>
        </c:marker>
      </c:pivotFmt>
      <c:pivotFmt>
        <c:idx val="1396"/>
        <c:marker>
          <c:symbol val="none"/>
        </c:marker>
      </c:pivotFmt>
      <c:pivotFmt>
        <c:idx val="1397"/>
        <c:marker>
          <c:symbol val="none"/>
        </c:marker>
      </c:pivotFmt>
      <c:pivotFmt>
        <c:idx val="1398"/>
        <c:marker>
          <c:symbol val="none"/>
        </c:marker>
      </c:pivotFmt>
      <c:pivotFmt>
        <c:idx val="1399"/>
        <c:marker>
          <c:symbol val="none"/>
        </c:marker>
      </c:pivotFmt>
      <c:pivotFmt>
        <c:idx val="1400"/>
        <c:marker>
          <c:symbol val="none"/>
        </c:marker>
      </c:pivotFmt>
      <c:pivotFmt>
        <c:idx val="1401"/>
        <c:marker>
          <c:symbol val="none"/>
        </c:marker>
      </c:pivotFmt>
      <c:pivotFmt>
        <c:idx val="1402"/>
        <c:marker>
          <c:symbol val="none"/>
        </c:marker>
      </c:pivotFmt>
      <c:pivotFmt>
        <c:idx val="1403"/>
        <c:marker>
          <c:symbol val="none"/>
        </c:marker>
      </c:pivotFmt>
      <c:pivotFmt>
        <c:idx val="1404"/>
        <c:marker>
          <c:symbol val="none"/>
        </c:marker>
      </c:pivotFmt>
      <c:pivotFmt>
        <c:idx val="1405"/>
        <c:marker>
          <c:symbol val="none"/>
        </c:marker>
      </c:pivotFmt>
      <c:pivotFmt>
        <c:idx val="1406"/>
        <c:marker>
          <c:symbol val="none"/>
        </c:marker>
      </c:pivotFmt>
      <c:pivotFmt>
        <c:idx val="1407"/>
        <c:marker>
          <c:symbol val="none"/>
        </c:marker>
      </c:pivotFmt>
      <c:pivotFmt>
        <c:idx val="1408"/>
        <c:marker>
          <c:symbol val="none"/>
        </c:marker>
      </c:pivotFmt>
      <c:pivotFmt>
        <c:idx val="1409"/>
        <c:marker>
          <c:symbol val="none"/>
        </c:marker>
      </c:pivotFmt>
      <c:pivotFmt>
        <c:idx val="1410"/>
        <c:marker>
          <c:symbol val="none"/>
        </c:marker>
      </c:pivotFmt>
      <c:pivotFmt>
        <c:idx val="1411"/>
        <c:marker>
          <c:symbol val="none"/>
        </c:marker>
      </c:pivotFmt>
      <c:pivotFmt>
        <c:idx val="1412"/>
        <c:marker>
          <c:symbol val="none"/>
        </c:marker>
      </c:pivotFmt>
      <c:pivotFmt>
        <c:idx val="1413"/>
        <c:marker>
          <c:symbol val="none"/>
        </c:marker>
      </c:pivotFmt>
      <c:pivotFmt>
        <c:idx val="1414"/>
        <c:marker>
          <c:symbol val="none"/>
        </c:marker>
      </c:pivotFmt>
      <c:pivotFmt>
        <c:idx val="1415"/>
        <c:marker>
          <c:symbol val="none"/>
        </c:marker>
      </c:pivotFmt>
      <c:pivotFmt>
        <c:idx val="1416"/>
        <c:marker>
          <c:symbol val="none"/>
        </c:marker>
      </c:pivotFmt>
      <c:pivotFmt>
        <c:idx val="1417"/>
        <c:marker>
          <c:symbol val="none"/>
        </c:marker>
      </c:pivotFmt>
      <c:pivotFmt>
        <c:idx val="1418"/>
        <c:marker>
          <c:symbol val="none"/>
        </c:marker>
      </c:pivotFmt>
      <c:pivotFmt>
        <c:idx val="1419"/>
        <c:marker>
          <c:symbol val="none"/>
        </c:marker>
      </c:pivotFmt>
      <c:pivotFmt>
        <c:idx val="1420"/>
        <c:marker>
          <c:symbol val="none"/>
        </c:marker>
      </c:pivotFmt>
      <c:pivotFmt>
        <c:idx val="1421"/>
        <c:marker>
          <c:symbol val="none"/>
        </c:marker>
      </c:pivotFmt>
      <c:pivotFmt>
        <c:idx val="1422"/>
        <c:marker>
          <c:symbol val="none"/>
        </c:marker>
      </c:pivotFmt>
      <c:pivotFmt>
        <c:idx val="1423"/>
        <c:marker>
          <c:symbol val="none"/>
        </c:marker>
      </c:pivotFmt>
      <c:pivotFmt>
        <c:idx val="1424"/>
        <c:marker>
          <c:symbol val="none"/>
        </c:marker>
      </c:pivotFmt>
      <c:pivotFmt>
        <c:idx val="1425"/>
        <c:marker>
          <c:symbol val="none"/>
        </c:marker>
      </c:pivotFmt>
      <c:pivotFmt>
        <c:idx val="1426"/>
        <c:marker>
          <c:symbol val="none"/>
        </c:marker>
      </c:pivotFmt>
      <c:pivotFmt>
        <c:idx val="1427"/>
        <c:marker>
          <c:symbol val="none"/>
        </c:marker>
      </c:pivotFmt>
      <c:pivotFmt>
        <c:idx val="1428"/>
        <c:marker>
          <c:symbol val="none"/>
        </c:marker>
      </c:pivotFmt>
      <c:pivotFmt>
        <c:idx val="1429"/>
        <c:marker>
          <c:symbol val="none"/>
        </c:marker>
      </c:pivotFmt>
      <c:pivotFmt>
        <c:idx val="1430"/>
        <c:marker>
          <c:symbol val="none"/>
        </c:marker>
      </c:pivotFmt>
      <c:pivotFmt>
        <c:idx val="1431"/>
        <c:marker>
          <c:symbol val="none"/>
        </c:marker>
      </c:pivotFmt>
      <c:pivotFmt>
        <c:idx val="1432"/>
        <c:marker>
          <c:symbol val="none"/>
        </c:marker>
      </c:pivotFmt>
      <c:pivotFmt>
        <c:idx val="1433"/>
        <c:marker>
          <c:symbol val="none"/>
        </c:marker>
      </c:pivotFmt>
      <c:pivotFmt>
        <c:idx val="1434"/>
        <c:marker>
          <c:symbol val="none"/>
        </c:marker>
      </c:pivotFmt>
      <c:pivotFmt>
        <c:idx val="1435"/>
        <c:marker>
          <c:symbol val="none"/>
        </c:marker>
      </c:pivotFmt>
      <c:pivotFmt>
        <c:idx val="1436"/>
        <c:marker>
          <c:symbol val="none"/>
        </c:marker>
      </c:pivotFmt>
      <c:pivotFmt>
        <c:idx val="1437"/>
        <c:marker>
          <c:symbol val="none"/>
        </c:marker>
      </c:pivotFmt>
      <c:pivotFmt>
        <c:idx val="1438"/>
        <c:marker>
          <c:symbol val="none"/>
        </c:marker>
      </c:pivotFmt>
      <c:pivotFmt>
        <c:idx val="1439"/>
        <c:marker>
          <c:symbol val="none"/>
        </c:marker>
      </c:pivotFmt>
      <c:pivotFmt>
        <c:idx val="1440"/>
        <c:marker>
          <c:symbol val="none"/>
        </c:marker>
      </c:pivotFmt>
      <c:pivotFmt>
        <c:idx val="1441"/>
        <c:marker>
          <c:symbol val="none"/>
        </c:marker>
      </c:pivotFmt>
      <c:pivotFmt>
        <c:idx val="1442"/>
        <c:marker>
          <c:symbol val="none"/>
        </c:marker>
      </c:pivotFmt>
      <c:pivotFmt>
        <c:idx val="1443"/>
        <c:marker>
          <c:symbol val="none"/>
        </c:marker>
      </c:pivotFmt>
      <c:pivotFmt>
        <c:idx val="1444"/>
        <c:marker>
          <c:symbol val="none"/>
        </c:marker>
      </c:pivotFmt>
      <c:pivotFmt>
        <c:idx val="1445"/>
        <c:marker>
          <c:symbol val="none"/>
        </c:marker>
      </c:pivotFmt>
      <c:pivotFmt>
        <c:idx val="1446"/>
        <c:marker>
          <c:symbol val="none"/>
        </c:marker>
      </c:pivotFmt>
      <c:pivotFmt>
        <c:idx val="1447"/>
        <c:marker>
          <c:symbol val="none"/>
        </c:marker>
      </c:pivotFmt>
      <c:pivotFmt>
        <c:idx val="1448"/>
        <c:marker>
          <c:symbol val="none"/>
        </c:marker>
      </c:pivotFmt>
      <c:pivotFmt>
        <c:idx val="1449"/>
        <c:marker>
          <c:symbol val="none"/>
        </c:marker>
      </c:pivotFmt>
      <c:pivotFmt>
        <c:idx val="1450"/>
        <c:marker>
          <c:symbol val="none"/>
        </c:marker>
      </c:pivotFmt>
      <c:pivotFmt>
        <c:idx val="1451"/>
        <c:marker>
          <c:symbol val="none"/>
        </c:marker>
      </c:pivotFmt>
      <c:pivotFmt>
        <c:idx val="1452"/>
        <c:marker>
          <c:symbol val="none"/>
        </c:marker>
      </c:pivotFmt>
      <c:pivotFmt>
        <c:idx val="1453"/>
        <c:marker>
          <c:symbol val="none"/>
        </c:marker>
      </c:pivotFmt>
      <c:pivotFmt>
        <c:idx val="1454"/>
        <c:marker>
          <c:symbol val="none"/>
        </c:marker>
      </c:pivotFmt>
      <c:pivotFmt>
        <c:idx val="1455"/>
        <c:marker>
          <c:symbol val="none"/>
        </c:marker>
      </c:pivotFmt>
      <c:pivotFmt>
        <c:idx val="1456"/>
        <c:marker>
          <c:symbol val="none"/>
        </c:marker>
      </c:pivotFmt>
      <c:pivotFmt>
        <c:idx val="1457"/>
        <c:marker>
          <c:symbol val="none"/>
        </c:marker>
      </c:pivotFmt>
      <c:pivotFmt>
        <c:idx val="1458"/>
        <c:marker>
          <c:symbol val="none"/>
        </c:marker>
      </c:pivotFmt>
      <c:pivotFmt>
        <c:idx val="1459"/>
        <c:marker>
          <c:symbol val="none"/>
        </c:marker>
      </c:pivotFmt>
      <c:pivotFmt>
        <c:idx val="1460"/>
        <c:marker>
          <c:symbol val="none"/>
        </c:marker>
      </c:pivotFmt>
      <c:pivotFmt>
        <c:idx val="1461"/>
        <c:marker>
          <c:symbol val="none"/>
        </c:marker>
      </c:pivotFmt>
      <c:pivotFmt>
        <c:idx val="1462"/>
        <c:marker>
          <c:symbol val="none"/>
        </c:marker>
      </c:pivotFmt>
      <c:pivotFmt>
        <c:idx val="1463"/>
        <c:marker>
          <c:symbol val="none"/>
        </c:marker>
      </c:pivotFmt>
      <c:pivotFmt>
        <c:idx val="1464"/>
        <c:marker>
          <c:symbol val="none"/>
        </c:marker>
      </c:pivotFmt>
      <c:pivotFmt>
        <c:idx val="1465"/>
        <c:marker>
          <c:symbol val="none"/>
        </c:marker>
      </c:pivotFmt>
      <c:pivotFmt>
        <c:idx val="1466"/>
        <c:marker>
          <c:symbol val="none"/>
        </c:marker>
      </c:pivotFmt>
      <c:pivotFmt>
        <c:idx val="1467"/>
        <c:marker>
          <c:symbol val="none"/>
        </c:marker>
      </c:pivotFmt>
      <c:pivotFmt>
        <c:idx val="1468"/>
        <c:marker>
          <c:symbol val="none"/>
        </c:marker>
      </c:pivotFmt>
      <c:pivotFmt>
        <c:idx val="1469"/>
        <c:marker>
          <c:symbol val="none"/>
        </c:marker>
      </c:pivotFmt>
      <c:pivotFmt>
        <c:idx val="1470"/>
        <c:marker>
          <c:symbol val="none"/>
        </c:marker>
      </c:pivotFmt>
      <c:pivotFmt>
        <c:idx val="1471"/>
        <c:marker>
          <c:symbol val="none"/>
        </c:marker>
      </c:pivotFmt>
      <c:pivotFmt>
        <c:idx val="1472"/>
        <c:marker>
          <c:symbol val="none"/>
        </c:marker>
      </c:pivotFmt>
      <c:pivotFmt>
        <c:idx val="1473"/>
        <c:marker>
          <c:symbol val="none"/>
        </c:marker>
      </c:pivotFmt>
      <c:pivotFmt>
        <c:idx val="1474"/>
        <c:marker>
          <c:symbol val="none"/>
        </c:marker>
      </c:pivotFmt>
      <c:pivotFmt>
        <c:idx val="1475"/>
        <c:marker>
          <c:symbol val="none"/>
        </c:marker>
      </c:pivotFmt>
      <c:pivotFmt>
        <c:idx val="1476"/>
        <c:marker>
          <c:symbol val="none"/>
        </c:marker>
      </c:pivotFmt>
      <c:pivotFmt>
        <c:idx val="1477"/>
        <c:marker>
          <c:symbol val="none"/>
        </c:marker>
      </c:pivotFmt>
      <c:pivotFmt>
        <c:idx val="1478"/>
        <c:marker>
          <c:symbol val="none"/>
        </c:marker>
      </c:pivotFmt>
      <c:pivotFmt>
        <c:idx val="1479"/>
        <c:marker>
          <c:symbol val="none"/>
        </c:marker>
      </c:pivotFmt>
      <c:pivotFmt>
        <c:idx val="1480"/>
        <c:marker>
          <c:symbol val="none"/>
        </c:marker>
      </c:pivotFmt>
      <c:pivotFmt>
        <c:idx val="1481"/>
        <c:marker>
          <c:symbol val="none"/>
        </c:marker>
      </c:pivotFmt>
      <c:pivotFmt>
        <c:idx val="1482"/>
        <c:marker>
          <c:symbol val="none"/>
        </c:marker>
      </c:pivotFmt>
      <c:pivotFmt>
        <c:idx val="1483"/>
        <c:marker>
          <c:symbol val="none"/>
        </c:marker>
      </c:pivotFmt>
      <c:pivotFmt>
        <c:idx val="1484"/>
        <c:marker>
          <c:symbol val="none"/>
        </c:marker>
      </c:pivotFmt>
      <c:pivotFmt>
        <c:idx val="1485"/>
        <c:marker>
          <c:symbol val="none"/>
        </c:marker>
      </c:pivotFmt>
      <c:pivotFmt>
        <c:idx val="1486"/>
        <c:marker>
          <c:symbol val="none"/>
        </c:marker>
      </c:pivotFmt>
      <c:pivotFmt>
        <c:idx val="1487"/>
        <c:marker>
          <c:symbol val="none"/>
        </c:marker>
      </c:pivotFmt>
      <c:pivotFmt>
        <c:idx val="1488"/>
        <c:marker>
          <c:symbol val="none"/>
        </c:marker>
      </c:pivotFmt>
      <c:pivotFmt>
        <c:idx val="1489"/>
        <c:marker>
          <c:symbol val="none"/>
        </c:marker>
      </c:pivotFmt>
      <c:pivotFmt>
        <c:idx val="1490"/>
        <c:marker>
          <c:symbol val="none"/>
        </c:marker>
      </c:pivotFmt>
      <c:pivotFmt>
        <c:idx val="1491"/>
        <c:marker>
          <c:symbol val="none"/>
        </c:marker>
      </c:pivotFmt>
      <c:pivotFmt>
        <c:idx val="1492"/>
        <c:marker>
          <c:symbol val="none"/>
        </c:marker>
      </c:pivotFmt>
      <c:pivotFmt>
        <c:idx val="1493"/>
        <c:marker>
          <c:symbol val="none"/>
        </c:marker>
      </c:pivotFmt>
      <c:pivotFmt>
        <c:idx val="1494"/>
        <c:marker>
          <c:symbol val="none"/>
        </c:marker>
      </c:pivotFmt>
      <c:pivotFmt>
        <c:idx val="1495"/>
        <c:marker>
          <c:symbol val="none"/>
        </c:marker>
      </c:pivotFmt>
      <c:pivotFmt>
        <c:idx val="1496"/>
        <c:marker>
          <c:symbol val="none"/>
        </c:marker>
      </c:pivotFmt>
      <c:pivotFmt>
        <c:idx val="1497"/>
        <c:marker>
          <c:symbol val="none"/>
        </c:marker>
      </c:pivotFmt>
      <c:pivotFmt>
        <c:idx val="1498"/>
        <c:marker>
          <c:symbol val="none"/>
        </c:marker>
      </c:pivotFmt>
      <c:pivotFmt>
        <c:idx val="1499"/>
        <c:marker>
          <c:symbol val="none"/>
        </c:marker>
      </c:pivotFmt>
      <c:pivotFmt>
        <c:idx val="1500"/>
        <c:marker>
          <c:symbol val="none"/>
        </c:marker>
      </c:pivotFmt>
      <c:pivotFmt>
        <c:idx val="1501"/>
        <c:marker>
          <c:symbol val="none"/>
        </c:marker>
      </c:pivotFmt>
      <c:pivotFmt>
        <c:idx val="1502"/>
        <c:marker>
          <c:symbol val="none"/>
        </c:marker>
      </c:pivotFmt>
      <c:pivotFmt>
        <c:idx val="1503"/>
        <c:marker>
          <c:symbol val="none"/>
        </c:marker>
      </c:pivotFmt>
      <c:pivotFmt>
        <c:idx val="1504"/>
        <c:marker>
          <c:symbol val="none"/>
        </c:marker>
      </c:pivotFmt>
      <c:pivotFmt>
        <c:idx val="1505"/>
        <c:marker>
          <c:symbol val="none"/>
        </c:marker>
      </c:pivotFmt>
      <c:pivotFmt>
        <c:idx val="1506"/>
        <c:marker>
          <c:symbol val="none"/>
        </c:marker>
      </c:pivotFmt>
      <c:pivotFmt>
        <c:idx val="1507"/>
        <c:marker>
          <c:symbol val="none"/>
        </c:marker>
      </c:pivotFmt>
      <c:pivotFmt>
        <c:idx val="1508"/>
        <c:marker>
          <c:symbol val="none"/>
        </c:marker>
      </c:pivotFmt>
      <c:pivotFmt>
        <c:idx val="1509"/>
        <c:marker>
          <c:symbol val="none"/>
        </c:marker>
      </c:pivotFmt>
      <c:pivotFmt>
        <c:idx val="1510"/>
        <c:marker>
          <c:symbol val="none"/>
        </c:marker>
      </c:pivotFmt>
      <c:pivotFmt>
        <c:idx val="1511"/>
        <c:marker>
          <c:symbol val="none"/>
        </c:marker>
      </c:pivotFmt>
      <c:pivotFmt>
        <c:idx val="1512"/>
        <c:marker>
          <c:symbol val="none"/>
        </c:marker>
      </c:pivotFmt>
      <c:pivotFmt>
        <c:idx val="1513"/>
        <c:marker>
          <c:symbol val="none"/>
        </c:marker>
      </c:pivotFmt>
      <c:pivotFmt>
        <c:idx val="1514"/>
        <c:marker>
          <c:symbol val="none"/>
        </c:marker>
      </c:pivotFmt>
      <c:pivotFmt>
        <c:idx val="1515"/>
        <c:marker>
          <c:symbol val="none"/>
        </c:marker>
      </c:pivotFmt>
      <c:pivotFmt>
        <c:idx val="1516"/>
        <c:marker>
          <c:symbol val="none"/>
        </c:marker>
      </c:pivotFmt>
      <c:pivotFmt>
        <c:idx val="1517"/>
        <c:marker>
          <c:symbol val="none"/>
        </c:marker>
      </c:pivotFmt>
      <c:pivotFmt>
        <c:idx val="1518"/>
        <c:marker>
          <c:symbol val="none"/>
        </c:marker>
      </c:pivotFmt>
      <c:pivotFmt>
        <c:idx val="1519"/>
        <c:marker>
          <c:symbol val="none"/>
        </c:marker>
      </c:pivotFmt>
      <c:pivotFmt>
        <c:idx val="1520"/>
        <c:marker>
          <c:symbol val="none"/>
        </c:marker>
      </c:pivotFmt>
      <c:pivotFmt>
        <c:idx val="1521"/>
        <c:marker>
          <c:symbol val="none"/>
        </c:marker>
      </c:pivotFmt>
      <c:pivotFmt>
        <c:idx val="1522"/>
        <c:marker>
          <c:symbol val="none"/>
        </c:marker>
      </c:pivotFmt>
      <c:pivotFmt>
        <c:idx val="1523"/>
        <c:marker>
          <c:symbol val="none"/>
        </c:marker>
      </c:pivotFmt>
      <c:pivotFmt>
        <c:idx val="1524"/>
        <c:marker>
          <c:symbol val="none"/>
        </c:marker>
      </c:pivotFmt>
      <c:pivotFmt>
        <c:idx val="1525"/>
        <c:marker>
          <c:symbol val="none"/>
        </c:marker>
      </c:pivotFmt>
      <c:pivotFmt>
        <c:idx val="1526"/>
        <c:marker>
          <c:symbol val="none"/>
        </c:marker>
      </c:pivotFmt>
      <c:pivotFmt>
        <c:idx val="1527"/>
        <c:marker>
          <c:symbol val="none"/>
        </c:marker>
      </c:pivotFmt>
      <c:pivotFmt>
        <c:idx val="1528"/>
        <c:marker>
          <c:symbol val="none"/>
        </c:marker>
      </c:pivotFmt>
      <c:pivotFmt>
        <c:idx val="1529"/>
        <c:marker>
          <c:symbol val="none"/>
        </c:marker>
      </c:pivotFmt>
      <c:pivotFmt>
        <c:idx val="1530"/>
        <c:marker>
          <c:symbol val="none"/>
        </c:marker>
      </c:pivotFmt>
      <c:pivotFmt>
        <c:idx val="1531"/>
        <c:marker>
          <c:symbol val="none"/>
        </c:marker>
      </c:pivotFmt>
      <c:pivotFmt>
        <c:idx val="1532"/>
        <c:marker>
          <c:symbol val="none"/>
        </c:marker>
      </c:pivotFmt>
      <c:pivotFmt>
        <c:idx val="1533"/>
        <c:marker>
          <c:symbol val="none"/>
        </c:marker>
      </c:pivotFmt>
      <c:pivotFmt>
        <c:idx val="1534"/>
        <c:marker>
          <c:symbol val="none"/>
        </c:marker>
      </c:pivotFmt>
      <c:pivotFmt>
        <c:idx val="1535"/>
        <c:marker>
          <c:symbol val="none"/>
        </c:marker>
      </c:pivotFmt>
      <c:pivotFmt>
        <c:idx val="1536"/>
        <c:marker>
          <c:symbol val="none"/>
        </c:marker>
      </c:pivotFmt>
      <c:pivotFmt>
        <c:idx val="1537"/>
        <c:marker>
          <c:symbol val="none"/>
        </c:marker>
      </c:pivotFmt>
      <c:pivotFmt>
        <c:idx val="1538"/>
        <c:marker>
          <c:symbol val="none"/>
        </c:marker>
      </c:pivotFmt>
      <c:pivotFmt>
        <c:idx val="1539"/>
        <c:marker>
          <c:symbol val="none"/>
        </c:marker>
      </c:pivotFmt>
      <c:pivotFmt>
        <c:idx val="1540"/>
        <c:marker>
          <c:symbol val="none"/>
        </c:marker>
      </c:pivotFmt>
      <c:pivotFmt>
        <c:idx val="1541"/>
        <c:marker>
          <c:symbol val="none"/>
        </c:marker>
      </c:pivotFmt>
      <c:pivotFmt>
        <c:idx val="1542"/>
        <c:marker>
          <c:symbol val="none"/>
        </c:marker>
      </c:pivotFmt>
      <c:pivotFmt>
        <c:idx val="1543"/>
        <c:marker>
          <c:symbol val="none"/>
        </c:marker>
      </c:pivotFmt>
      <c:pivotFmt>
        <c:idx val="1544"/>
        <c:marker>
          <c:symbol val="none"/>
        </c:marker>
      </c:pivotFmt>
      <c:pivotFmt>
        <c:idx val="1545"/>
        <c:marker>
          <c:symbol val="none"/>
        </c:marker>
      </c:pivotFmt>
      <c:pivotFmt>
        <c:idx val="1546"/>
        <c:marker>
          <c:symbol val="none"/>
        </c:marker>
      </c:pivotFmt>
      <c:pivotFmt>
        <c:idx val="1547"/>
        <c:marker>
          <c:symbol val="none"/>
        </c:marker>
      </c:pivotFmt>
      <c:pivotFmt>
        <c:idx val="1548"/>
        <c:marker>
          <c:symbol val="none"/>
        </c:marker>
      </c:pivotFmt>
      <c:pivotFmt>
        <c:idx val="1549"/>
        <c:marker>
          <c:symbol val="none"/>
        </c:marker>
      </c:pivotFmt>
      <c:pivotFmt>
        <c:idx val="1550"/>
        <c:marker>
          <c:symbol val="none"/>
        </c:marker>
      </c:pivotFmt>
      <c:pivotFmt>
        <c:idx val="1551"/>
        <c:marker>
          <c:symbol val="none"/>
        </c:marker>
      </c:pivotFmt>
      <c:pivotFmt>
        <c:idx val="1552"/>
        <c:marker>
          <c:symbol val="none"/>
        </c:marker>
      </c:pivotFmt>
      <c:pivotFmt>
        <c:idx val="1553"/>
        <c:marker>
          <c:symbol val="none"/>
        </c:marker>
      </c:pivotFmt>
      <c:pivotFmt>
        <c:idx val="1554"/>
        <c:marker>
          <c:symbol val="none"/>
        </c:marker>
      </c:pivotFmt>
      <c:pivotFmt>
        <c:idx val="1555"/>
        <c:marker>
          <c:symbol val="none"/>
        </c:marker>
      </c:pivotFmt>
      <c:pivotFmt>
        <c:idx val="1556"/>
        <c:marker>
          <c:symbol val="none"/>
        </c:marker>
      </c:pivotFmt>
      <c:pivotFmt>
        <c:idx val="1557"/>
        <c:marker>
          <c:symbol val="none"/>
        </c:marker>
      </c:pivotFmt>
      <c:pivotFmt>
        <c:idx val="1558"/>
        <c:marker>
          <c:symbol val="none"/>
        </c:marker>
      </c:pivotFmt>
      <c:pivotFmt>
        <c:idx val="1559"/>
        <c:marker>
          <c:symbol val="none"/>
        </c:marker>
      </c:pivotFmt>
      <c:pivotFmt>
        <c:idx val="1560"/>
        <c:marker>
          <c:symbol val="none"/>
        </c:marker>
      </c:pivotFmt>
      <c:pivotFmt>
        <c:idx val="1561"/>
        <c:marker>
          <c:symbol val="none"/>
        </c:marker>
      </c:pivotFmt>
      <c:pivotFmt>
        <c:idx val="1562"/>
        <c:marker>
          <c:symbol val="none"/>
        </c:marker>
      </c:pivotFmt>
      <c:pivotFmt>
        <c:idx val="1563"/>
        <c:marker>
          <c:symbol val="none"/>
        </c:marker>
      </c:pivotFmt>
      <c:pivotFmt>
        <c:idx val="1564"/>
        <c:marker>
          <c:symbol val="none"/>
        </c:marker>
      </c:pivotFmt>
      <c:pivotFmt>
        <c:idx val="1565"/>
        <c:marker>
          <c:symbol val="none"/>
        </c:marker>
      </c:pivotFmt>
      <c:pivotFmt>
        <c:idx val="1566"/>
        <c:marker>
          <c:symbol val="none"/>
        </c:marker>
      </c:pivotFmt>
      <c:pivotFmt>
        <c:idx val="1567"/>
        <c:marker>
          <c:symbol val="none"/>
        </c:marker>
      </c:pivotFmt>
      <c:pivotFmt>
        <c:idx val="1568"/>
        <c:marker>
          <c:symbol val="none"/>
        </c:marker>
      </c:pivotFmt>
      <c:pivotFmt>
        <c:idx val="1569"/>
        <c:marker>
          <c:symbol val="none"/>
        </c:marker>
      </c:pivotFmt>
      <c:pivotFmt>
        <c:idx val="1570"/>
        <c:marker>
          <c:symbol val="none"/>
        </c:marker>
      </c:pivotFmt>
      <c:pivotFmt>
        <c:idx val="1571"/>
        <c:marker>
          <c:symbol val="none"/>
        </c:marker>
      </c:pivotFmt>
      <c:pivotFmt>
        <c:idx val="1572"/>
        <c:marker>
          <c:symbol val="none"/>
        </c:marker>
      </c:pivotFmt>
      <c:pivotFmt>
        <c:idx val="1573"/>
        <c:marker>
          <c:symbol val="none"/>
        </c:marker>
      </c:pivotFmt>
      <c:pivotFmt>
        <c:idx val="1574"/>
        <c:marker>
          <c:symbol val="none"/>
        </c:marker>
      </c:pivotFmt>
      <c:pivotFmt>
        <c:idx val="1575"/>
        <c:marker>
          <c:symbol val="none"/>
        </c:marker>
      </c:pivotFmt>
      <c:pivotFmt>
        <c:idx val="1576"/>
        <c:marker>
          <c:symbol val="none"/>
        </c:marker>
      </c:pivotFmt>
      <c:pivotFmt>
        <c:idx val="1577"/>
        <c:marker>
          <c:symbol val="none"/>
        </c:marker>
      </c:pivotFmt>
      <c:pivotFmt>
        <c:idx val="1578"/>
        <c:marker>
          <c:symbol val="none"/>
        </c:marker>
      </c:pivotFmt>
      <c:pivotFmt>
        <c:idx val="1579"/>
        <c:marker>
          <c:symbol val="none"/>
        </c:marker>
      </c:pivotFmt>
      <c:pivotFmt>
        <c:idx val="1580"/>
        <c:marker>
          <c:symbol val="none"/>
        </c:marker>
      </c:pivotFmt>
      <c:pivotFmt>
        <c:idx val="1581"/>
        <c:marker>
          <c:symbol val="none"/>
        </c:marker>
      </c:pivotFmt>
      <c:pivotFmt>
        <c:idx val="1582"/>
        <c:marker>
          <c:symbol val="none"/>
        </c:marker>
      </c:pivotFmt>
      <c:pivotFmt>
        <c:idx val="1583"/>
        <c:marker>
          <c:symbol val="none"/>
        </c:marker>
      </c:pivotFmt>
      <c:pivotFmt>
        <c:idx val="1584"/>
        <c:marker>
          <c:symbol val="none"/>
        </c:marker>
      </c:pivotFmt>
      <c:pivotFmt>
        <c:idx val="1585"/>
        <c:marker>
          <c:symbol val="none"/>
        </c:marker>
      </c:pivotFmt>
      <c:pivotFmt>
        <c:idx val="1586"/>
        <c:marker>
          <c:symbol val="none"/>
        </c:marker>
      </c:pivotFmt>
      <c:pivotFmt>
        <c:idx val="1587"/>
        <c:marker>
          <c:symbol val="none"/>
        </c:marker>
      </c:pivotFmt>
      <c:pivotFmt>
        <c:idx val="1588"/>
        <c:marker>
          <c:symbol val="none"/>
        </c:marker>
      </c:pivotFmt>
      <c:pivotFmt>
        <c:idx val="1589"/>
        <c:marker>
          <c:symbol val="none"/>
        </c:marker>
      </c:pivotFmt>
      <c:pivotFmt>
        <c:idx val="1590"/>
        <c:marker>
          <c:symbol val="none"/>
        </c:marker>
      </c:pivotFmt>
      <c:pivotFmt>
        <c:idx val="1591"/>
        <c:marker>
          <c:symbol val="none"/>
        </c:marker>
      </c:pivotFmt>
      <c:pivotFmt>
        <c:idx val="1592"/>
        <c:marker>
          <c:symbol val="none"/>
        </c:marker>
      </c:pivotFmt>
      <c:pivotFmt>
        <c:idx val="1593"/>
        <c:marker>
          <c:symbol val="none"/>
        </c:marker>
      </c:pivotFmt>
      <c:pivotFmt>
        <c:idx val="1594"/>
        <c:marker>
          <c:symbol val="none"/>
        </c:marker>
      </c:pivotFmt>
      <c:pivotFmt>
        <c:idx val="1595"/>
        <c:marker>
          <c:symbol val="none"/>
        </c:marker>
      </c:pivotFmt>
      <c:pivotFmt>
        <c:idx val="1596"/>
        <c:marker>
          <c:symbol val="none"/>
        </c:marker>
      </c:pivotFmt>
      <c:pivotFmt>
        <c:idx val="1597"/>
        <c:marker>
          <c:symbol val="none"/>
        </c:marker>
      </c:pivotFmt>
      <c:pivotFmt>
        <c:idx val="1598"/>
        <c:marker>
          <c:symbol val="none"/>
        </c:marker>
      </c:pivotFmt>
      <c:pivotFmt>
        <c:idx val="1599"/>
        <c:marker>
          <c:symbol val="none"/>
        </c:marker>
      </c:pivotFmt>
      <c:pivotFmt>
        <c:idx val="1600"/>
        <c:marker>
          <c:symbol val="none"/>
        </c:marker>
      </c:pivotFmt>
      <c:pivotFmt>
        <c:idx val="1601"/>
        <c:marker>
          <c:symbol val="none"/>
        </c:marker>
      </c:pivotFmt>
      <c:pivotFmt>
        <c:idx val="1602"/>
        <c:marker>
          <c:symbol val="none"/>
        </c:marker>
      </c:pivotFmt>
      <c:pivotFmt>
        <c:idx val="1603"/>
        <c:marker>
          <c:symbol val="none"/>
        </c:marker>
      </c:pivotFmt>
      <c:pivotFmt>
        <c:idx val="1604"/>
        <c:marker>
          <c:symbol val="none"/>
        </c:marker>
      </c:pivotFmt>
      <c:pivotFmt>
        <c:idx val="1605"/>
        <c:marker>
          <c:symbol val="none"/>
        </c:marker>
      </c:pivotFmt>
      <c:pivotFmt>
        <c:idx val="1606"/>
        <c:marker>
          <c:symbol val="none"/>
        </c:marker>
      </c:pivotFmt>
      <c:pivotFmt>
        <c:idx val="1607"/>
        <c:marker>
          <c:symbol val="none"/>
        </c:marker>
      </c:pivotFmt>
      <c:pivotFmt>
        <c:idx val="1608"/>
        <c:marker>
          <c:symbol val="none"/>
        </c:marker>
      </c:pivotFmt>
      <c:pivotFmt>
        <c:idx val="1609"/>
        <c:marker>
          <c:symbol val="none"/>
        </c:marker>
      </c:pivotFmt>
      <c:pivotFmt>
        <c:idx val="1610"/>
        <c:marker>
          <c:symbol val="none"/>
        </c:marker>
      </c:pivotFmt>
      <c:pivotFmt>
        <c:idx val="1611"/>
        <c:marker>
          <c:symbol val="none"/>
        </c:marker>
      </c:pivotFmt>
      <c:pivotFmt>
        <c:idx val="1612"/>
        <c:marker>
          <c:symbol val="none"/>
        </c:marker>
      </c:pivotFmt>
      <c:pivotFmt>
        <c:idx val="1613"/>
        <c:marker>
          <c:symbol val="none"/>
        </c:marker>
      </c:pivotFmt>
      <c:pivotFmt>
        <c:idx val="1614"/>
        <c:marker>
          <c:symbol val="none"/>
        </c:marker>
      </c:pivotFmt>
      <c:pivotFmt>
        <c:idx val="1615"/>
        <c:marker>
          <c:symbol val="none"/>
        </c:marker>
      </c:pivotFmt>
      <c:pivotFmt>
        <c:idx val="1616"/>
        <c:marker>
          <c:symbol val="none"/>
        </c:marker>
      </c:pivotFmt>
      <c:pivotFmt>
        <c:idx val="1617"/>
        <c:marker>
          <c:symbol val="none"/>
        </c:marker>
      </c:pivotFmt>
      <c:pivotFmt>
        <c:idx val="1618"/>
        <c:marker>
          <c:symbol val="none"/>
        </c:marker>
      </c:pivotFmt>
      <c:pivotFmt>
        <c:idx val="1619"/>
        <c:marker>
          <c:symbol val="none"/>
        </c:marker>
      </c:pivotFmt>
      <c:pivotFmt>
        <c:idx val="1620"/>
        <c:marker>
          <c:symbol val="none"/>
        </c:marker>
      </c:pivotFmt>
      <c:pivotFmt>
        <c:idx val="1621"/>
        <c:marker>
          <c:symbol val="none"/>
        </c:marker>
      </c:pivotFmt>
      <c:pivotFmt>
        <c:idx val="1622"/>
        <c:marker>
          <c:symbol val="none"/>
        </c:marker>
      </c:pivotFmt>
      <c:pivotFmt>
        <c:idx val="1623"/>
        <c:marker>
          <c:symbol val="none"/>
        </c:marker>
      </c:pivotFmt>
      <c:pivotFmt>
        <c:idx val="1624"/>
        <c:marker>
          <c:symbol val="none"/>
        </c:marker>
      </c:pivotFmt>
      <c:pivotFmt>
        <c:idx val="1625"/>
        <c:marker>
          <c:symbol val="none"/>
        </c:marker>
      </c:pivotFmt>
      <c:pivotFmt>
        <c:idx val="1626"/>
        <c:marker>
          <c:symbol val="none"/>
        </c:marker>
      </c:pivotFmt>
      <c:pivotFmt>
        <c:idx val="1627"/>
        <c:marker>
          <c:symbol val="none"/>
        </c:marker>
      </c:pivotFmt>
      <c:pivotFmt>
        <c:idx val="1628"/>
        <c:marker>
          <c:symbol val="none"/>
        </c:marker>
      </c:pivotFmt>
      <c:pivotFmt>
        <c:idx val="1629"/>
        <c:marker>
          <c:symbol val="none"/>
        </c:marker>
      </c:pivotFmt>
      <c:pivotFmt>
        <c:idx val="1630"/>
        <c:marker>
          <c:symbol val="none"/>
        </c:marker>
      </c:pivotFmt>
      <c:pivotFmt>
        <c:idx val="1631"/>
        <c:marker>
          <c:symbol val="none"/>
        </c:marker>
      </c:pivotFmt>
      <c:pivotFmt>
        <c:idx val="1632"/>
        <c:marker>
          <c:symbol val="none"/>
        </c:marker>
      </c:pivotFmt>
      <c:pivotFmt>
        <c:idx val="1633"/>
        <c:marker>
          <c:symbol val="none"/>
        </c:marker>
      </c:pivotFmt>
      <c:pivotFmt>
        <c:idx val="1634"/>
        <c:marker>
          <c:symbol val="none"/>
        </c:marker>
      </c:pivotFmt>
      <c:pivotFmt>
        <c:idx val="1635"/>
        <c:marker>
          <c:symbol val="none"/>
        </c:marker>
      </c:pivotFmt>
      <c:pivotFmt>
        <c:idx val="1636"/>
        <c:marker>
          <c:symbol val="none"/>
        </c:marker>
      </c:pivotFmt>
      <c:pivotFmt>
        <c:idx val="1637"/>
        <c:marker>
          <c:symbol val="none"/>
        </c:marker>
      </c:pivotFmt>
      <c:pivotFmt>
        <c:idx val="1638"/>
        <c:marker>
          <c:symbol val="none"/>
        </c:marker>
      </c:pivotFmt>
      <c:pivotFmt>
        <c:idx val="1639"/>
        <c:marker>
          <c:symbol val="none"/>
        </c:marker>
      </c:pivotFmt>
      <c:pivotFmt>
        <c:idx val="1640"/>
        <c:marker>
          <c:symbol val="none"/>
        </c:marker>
      </c:pivotFmt>
      <c:pivotFmt>
        <c:idx val="1641"/>
        <c:marker>
          <c:symbol val="none"/>
        </c:marker>
      </c:pivotFmt>
      <c:pivotFmt>
        <c:idx val="1642"/>
        <c:marker>
          <c:symbol val="none"/>
        </c:marker>
      </c:pivotFmt>
      <c:pivotFmt>
        <c:idx val="1643"/>
        <c:marker>
          <c:symbol val="none"/>
        </c:marker>
      </c:pivotFmt>
      <c:pivotFmt>
        <c:idx val="1644"/>
        <c:marker>
          <c:symbol val="none"/>
        </c:marker>
      </c:pivotFmt>
      <c:pivotFmt>
        <c:idx val="1645"/>
        <c:marker>
          <c:symbol val="none"/>
        </c:marker>
      </c:pivotFmt>
      <c:pivotFmt>
        <c:idx val="1646"/>
        <c:marker>
          <c:symbol val="none"/>
        </c:marker>
      </c:pivotFmt>
      <c:pivotFmt>
        <c:idx val="1647"/>
        <c:marker>
          <c:symbol val="none"/>
        </c:marker>
      </c:pivotFmt>
      <c:pivotFmt>
        <c:idx val="1648"/>
        <c:marker>
          <c:symbol val="none"/>
        </c:marker>
      </c:pivotFmt>
      <c:pivotFmt>
        <c:idx val="1649"/>
        <c:marker>
          <c:symbol val="none"/>
        </c:marker>
      </c:pivotFmt>
      <c:pivotFmt>
        <c:idx val="1650"/>
        <c:marker>
          <c:symbol val="none"/>
        </c:marker>
      </c:pivotFmt>
      <c:pivotFmt>
        <c:idx val="1651"/>
        <c:marker>
          <c:symbol val="none"/>
        </c:marker>
      </c:pivotFmt>
      <c:pivotFmt>
        <c:idx val="1652"/>
        <c:marker>
          <c:symbol val="none"/>
        </c:marker>
      </c:pivotFmt>
      <c:pivotFmt>
        <c:idx val="1653"/>
        <c:marker>
          <c:symbol val="none"/>
        </c:marker>
      </c:pivotFmt>
      <c:pivotFmt>
        <c:idx val="1654"/>
        <c:marker>
          <c:symbol val="none"/>
        </c:marker>
      </c:pivotFmt>
      <c:pivotFmt>
        <c:idx val="1655"/>
        <c:marker>
          <c:symbol val="none"/>
        </c:marker>
      </c:pivotFmt>
      <c:pivotFmt>
        <c:idx val="1656"/>
        <c:marker>
          <c:symbol val="none"/>
        </c:marker>
      </c:pivotFmt>
      <c:pivotFmt>
        <c:idx val="1657"/>
        <c:marker>
          <c:symbol val="none"/>
        </c:marker>
      </c:pivotFmt>
      <c:pivotFmt>
        <c:idx val="1658"/>
        <c:marker>
          <c:symbol val="none"/>
        </c:marker>
      </c:pivotFmt>
      <c:pivotFmt>
        <c:idx val="1659"/>
        <c:marker>
          <c:symbol val="none"/>
        </c:marker>
      </c:pivotFmt>
      <c:pivotFmt>
        <c:idx val="1660"/>
        <c:marker>
          <c:symbol val="none"/>
        </c:marker>
      </c:pivotFmt>
      <c:pivotFmt>
        <c:idx val="1661"/>
        <c:marker>
          <c:symbol val="none"/>
        </c:marker>
      </c:pivotFmt>
      <c:pivotFmt>
        <c:idx val="1662"/>
        <c:marker>
          <c:symbol val="none"/>
        </c:marker>
      </c:pivotFmt>
      <c:pivotFmt>
        <c:idx val="1663"/>
        <c:marker>
          <c:symbol val="none"/>
        </c:marker>
      </c:pivotFmt>
      <c:pivotFmt>
        <c:idx val="1664"/>
        <c:marker>
          <c:symbol val="none"/>
        </c:marker>
      </c:pivotFmt>
      <c:pivotFmt>
        <c:idx val="1665"/>
        <c:marker>
          <c:symbol val="none"/>
        </c:marker>
      </c:pivotFmt>
      <c:pivotFmt>
        <c:idx val="1666"/>
        <c:marker>
          <c:symbol val="none"/>
        </c:marker>
      </c:pivotFmt>
      <c:pivotFmt>
        <c:idx val="1667"/>
        <c:marker>
          <c:symbol val="none"/>
        </c:marker>
      </c:pivotFmt>
      <c:pivotFmt>
        <c:idx val="1668"/>
        <c:marker>
          <c:symbol val="none"/>
        </c:marker>
      </c:pivotFmt>
      <c:pivotFmt>
        <c:idx val="1669"/>
        <c:marker>
          <c:symbol val="none"/>
        </c:marker>
      </c:pivotFmt>
      <c:pivotFmt>
        <c:idx val="1670"/>
        <c:marker>
          <c:symbol val="none"/>
        </c:marker>
      </c:pivotFmt>
      <c:pivotFmt>
        <c:idx val="1671"/>
        <c:marker>
          <c:symbol val="none"/>
        </c:marker>
      </c:pivotFmt>
      <c:pivotFmt>
        <c:idx val="1672"/>
        <c:marker>
          <c:symbol val="none"/>
        </c:marker>
      </c:pivotFmt>
      <c:pivotFmt>
        <c:idx val="1673"/>
        <c:marker>
          <c:symbol val="none"/>
        </c:marker>
      </c:pivotFmt>
      <c:pivotFmt>
        <c:idx val="1674"/>
        <c:marker>
          <c:symbol val="none"/>
        </c:marker>
      </c:pivotFmt>
      <c:pivotFmt>
        <c:idx val="1675"/>
        <c:marker>
          <c:symbol val="none"/>
        </c:marker>
      </c:pivotFmt>
      <c:pivotFmt>
        <c:idx val="1676"/>
        <c:marker>
          <c:symbol val="none"/>
        </c:marker>
      </c:pivotFmt>
      <c:pivotFmt>
        <c:idx val="1677"/>
        <c:marker>
          <c:symbol val="none"/>
        </c:marker>
      </c:pivotFmt>
      <c:pivotFmt>
        <c:idx val="1678"/>
        <c:marker>
          <c:symbol val="none"/>
        </c:marker>
      </c:pivotFmt>
      <c:pivotFmt>
        <c:idx val="1679"/>
        <c:marker>
          <c:symbol val="none"/>
        </c:marker>
      </c:pivotFmt>
      <c:pivotFmt>
        <c:idx val="1680"/>
        <c:marker>
          <c:symbol val="none"/>
        </c:marker>
      </c:pivotFmt>
      <c:pivotFmt>
        <c:idx val="1681"/>
        <c:marker>
          <c:symbol val="none"/>
        </c:marker>
      </c:pivotFmt>
      <c:pivotFmt>
        <c:idx val="1682"/>
        <c:marker>
          <c:symbol val="none"/>
        </c:marker>
      </c:pivotFmt>
      <c:pivotFmt>
        <c:idx val="1683"/>
        <c:marker>
          <c:symbol val="none"/>
        </c:marker>
      </c:pivotFmt>
      <c:pivotFmt>
        <c:idx val="1684"/>
        <c:marker>
          <c:symbol val="none"/>
        </c:marker>
      </c:pivotFmt>
      <c:pivotFmt>
        <c:idx val="1685"/>
        <c:marker>
          <c:symbol val="none"/>
        </c:marker>
      </c:pivotFmt>
      <c:pivotFmt>
        <c:idx val="1686"/>
        <c:marker>
          <c:symbol val="none"/>
        </c:marker>
      </c:pivotFmt>
      <c:pivotFmt>
        <c:idx val="1687"/>
        <c:marker>
          <c:symbol val="none"/>
        </c:marker>
      </c:pivotFmt>
      <c:pivotFmt>
        <c:idx val="1688"/>
        <c:marker>
          <c:symbol val="none"/>
        </c:marker>
      </c:pivotFmt>
      <c:pivotFmt>
        <c:idx val="1689"/>
        <c:marker>
          <c:symbol val="none"/>
        </c:marker>
      </c:pivotFmt>
      <c:pivotFmt>
        <c:idx val="1690"/>
        <c:marker>
          <c:symbol val="none"/>
        </c:marker>
      </c:pivotFmt>
      <c:pivotFmt>
        <c:idx val="1691"/>
        <c:marker>
          <c:symbol val="none"/>
        </c:marker>
      </c:pivotFmt>
      <c:pivotFmt>
        <c:idx val="1692"/>
        <c:marker>
          <c:symbol val="none"/>
        </c:marker>
      </c:pivotFmt>
      <c:pivotFmt>
        <c:idx val="1693"/>
        <c:marker>
          <c:symbol val="none"/>
        </c:marker>
      </c:pivotFmt>
      <c:pivotFmt>
        <c:idx val="1694"/>
        <c:marker>
          <c:symbol val="none"/>
        </c:marker>
      </c:pivotFmt>
      <c:pivotFmt>
        <c:idx val="1695"/>
        <c:marker>
          <c:symbol val="none"/>
        </c:marker>
      </c:pivotFmt>
      <c:pivotFmt>
        <c:idx val="1696"/>
        <c:marker>
          <c:symbol val="none"/>
        </c:marker>
      </c:pivotFmt>
      <c:pivotFmt>
        <c:idx val="1697"/>
        <c:marker>
          <c:symbol val="none"/>
        </c:marker>
      </c:pivotFmt>
      <c:pivotFmt>
        <c:idx val="1698"/>
        <c:marker>
          <c:symbol val="none"/>
        </c:marker>
      </c:pivotFmt>
      <c:pivotFmt>
        <c:idx val="1699"/>
        <c:marker>
          <c:symbol val="none"/>
        </c:marker>
      </c:pivotFmt>
      <c:pivotFmt>
        <c:idx val="1700"/>
        <c:marker>
          <c:symbol val="none"/>
        </c:marker>
      </c:pivotFmt>
      <c:pivotFmt>
        <c:idx val="1701"/>
        <c:marker>
          <c:symbol val="none"/>
        </c:marker>
      </c:pivotFmt>
      <c:pivotFmt>
        <c:idx val="1702"/>
        <c:marker>
          <c:symbol val="none"/>
        </c:marker>
      </c:pivotFmt>
      <c:pivotFmt>
        <c:idx val="1703"/>
        <c:marker>
          <c:symbol val="none"/>
        </c:marker>
      </c:pivotFmt>
      <c:pivotFmt>
        <c:idx val="1704"/>
        <c:marker>
          <c:symbol val="none"/>
        </c:marker>
      </c:pivotFmt>
      <c:pivotFmt>
        <c:idx val="1705"/>
        <c:marker>
          <c:symbol val="none"/>
        </c:marker>
      </c:pivotFmt>
      <c:pivotFmt>
        <c:idx val="1706"/>
        <c:marker>
          <c:symbol val="none"/>
        </c:marker>
      </c:pivotFmt>
      <c:pivotFmt>
        <c:idx val="1707"/>
        <c:marker>
          <c:symbol val="none"/>
        </c:marker>
      </c:pivotFmt>
      <c:pivotFmt>
        <c:idx val="1708"/>
        <c:marker>
          <c:symbol val="none"/>
        </c:marker>
      </c:pivotFmt>
      <c:pivotFmt>
        <c:idx val="1709"/>
        <c:marker>
          <c:symbol val="none"/>
        </c:marker>
      </c:pivotFmt>
      <c:pivotFmt>
        <c:idx val="1710"/>
        <c:marker>
          <c:symbol val="none"/>
        </c:marker>
      </c:pivotFmt>
      <c:pivotFmt>
        <c:idx val="1711"/>
        <c:marker>
          <c:symbol val="none"/>
        </c:marker>
      </c:pivotFmt>
      <c:pivotFmt>
        <c:idx val="1712"/>
        <c:marker>
          <c:symbol val="none"/>
        </c:marker>
      </c:pivotFmt>
      <c:pivotFmt>
        <c:idx val="1713"/>
        <c:marker>
          <c:symbol val="none"/>
        </c:marker>
      </c:pivotFmt>
      <c:pivotFmt>
        <c:idx val="1714"/>
        <c:marker>
          <c:symbol val="none"/>
        </c:marker>
      </c:pivotFmt>
      <c:pivotFmt>
        <c:idx val="1715"/>
        <c:marker>
          <c:symbol val="none"/>
        </c:marker>
      </c:pivotFmt>
      <c:pivotFmt>
        <c:idx val="1716"/>
        <c:marker>
          <c:symbol val="none"/>
        </c:marker>
      </c:pivotFmt>
      <c:pivotFmt>
        <c:idx val="1717"/>
        <c:marker>
          <c:symbol val="none"/>
        </c:marker>
      </c:pivotFmt>
      <c:pivotFmt>
        <c:idx val="1718"/>
        <c:marker>
          <c:symbol val="none"/>
        </c:marker>
      </c:pivotFmt>
      <c:pivotFmt>
        <c:idx val="1719"/>
        <c:marker>
          <c:symbol val="none"/>
        </c:marker>
      </c:pivotFmt>
      <c:pivotFmt>
        <c:idx val="1720"/>
        <c:marker>
          <c:symbol val="none"/>
        </c:marker>
      </c:pivotFmt>
      <c:pivotFmt>
        <c:idx val="1721"/>
        <c:marker>
          <c:symbol val="none"/>
        </c:marker>
      </c:pivotFmt>
      <c:pivotFmt>
        <c:idx val="1722"/>
        <c:marker>
          <c:symbol val="none"/>
        </c:marker>
      </c:pivotFmt>
      <c:pivotFmt>
        <c:idx val="1723"/>
        <c:marker>
          <c:symbol val="none"/>
        </c:marker>
      </c:pivotFmt>
      <c:pivotFmt>
        <c:idx val="1724"/>
        <c:marker>
          <c:symbol val="none"/>
        </c:marker>
      </c:pivotFmt>
      <c:pivotFmt>
        <c:idx val="1725"/>
        <c:marker>
          <c:symbol val="none"/>
        </c:marker>
      </c:pivotFmt>
      <c:pivotFmt>
        <c:idx val="1726"/>
        <c:marker>
          <c:symbol val="none"/>
        </c:marker>
      </c:pivotFmt>
      <c:pivotFmt>
        <c:idx val="1727"/>
        <c:marker>
          <c:symbol val="none"/>
        </c:marker>
      </c:pivotFmt>
      <c:pivotFmt>
        <c:idx val="1728"/>
        <c:marker>
          <c:symbol val="none"/>
        </c:marker>
      </c:pivotFmt>
      <c:pivotFmt>
        <c:idx val="1729"/>
        <c:marker>
          <c:symbol val="none"/>
        </c:marker>
      </c:pivotFmt>
      <c:pivotFmt>
        <c:idx val="1730"/>
        <c:marker>
          <c:symbol val="none"/>
        </c:marker>
      </c:pivotFmt>
      <c:pivotFmt>
        <c:idx val="1731"/>
        <c:marker>
          <c:symbol val="none"/>
        </c:marker>
      </c:pivotFmt>
      <c:pivotFmt>
        <c:idx val="1732"/>
        <c:marker>
          <c:symbol val="none"/>
        </c:marker>
      </c:pivotFmt>
      <c:pivotFmt>
        <c:idx val="1733"/>
        <c:marker>
          <c:symbol val="none"/>
        </c:marker>
      </c:pivotFmt>
      <c:pivotFmt>
        <c:idx val="1734"/>
        <c:marker>
          <c:symbol val="none"/>
        </c:marker>
      </c:pivotFmt>
      <c:pivotFmt>
        <c:idx val="1735"/>
        <c:marker>
          <c:symbol val="none"/>
        </c:marker>
      </c:pivotFmt>
      <c:pivotFmt>
        <c:idx val="1736"/>
        <c:marker>
          <c:symbol val="none"/>
        </c:marker>
      </c:pivotFmt>
      <c:pivotFmt>
        <c:idx val="1737"/>
        <c:marker>
          <c:symbol val="none"/>
        </c:marker>
      </c:pivotFmt>
      <c:pivotFmt>
        <c:idx val="1738"/>
        <c:marker>
          <c:symbol val="none"/>
        </c:marker>
      </c:pivotFmt>
      <c:pivotFmt>
        <c:idx val="1739"/>
        <c:marker>
          <c:symbol val="none"/>
        </c:marker>
      </c:pivotFmt>
      <c:pivotFmt>
        <c:idx val="1740"/>
        <c:marker>
          <c:symbol val="none"/>
        </c:marker>
      </c:pivotFmt>
      <c:pivotFmt>
        <c:idx val="1741"/>
        <c:marker>
          <c:symbol val="none"/>
        </c:marker>
      </c:pivotFmt>
      <c:pivotFmt>
        <c:idx val="1742"/>
        <c:marker>
          <c:symbol val="none"/>
        </c:marker>
      </c:pivotFmt>
      <c:pivotFmt>
        <c:idx val="1743"/>
        <c:marker>
          <c:symbol val="none"/>
        </c:marker>
      </c:pivotFmt>
      <c:pivotFmt>
        <c:idx val="1744"/>
        <c:marker>
          <c:symbol val="none"/>
        </c:marker>
      </c:pivotFmt>
      <c:pivotFmt>
        <c:idx val="1745"/>
        <c:marker>
          <c:symbol val="none"/>
        </c:marker>
      </c:pivotFmt>
      <c:pivotFmt>
        <c:idx val="1746"/>
        <c:marker>
          <c:symbol val="none"/>
        </c:marker>
      </c:pivotFmt>
      <c:pivotFmt>
        <c:idx val="1747"/>
        <c:marker>
          <c:symbol val="none"/>
        </c:marker>
      </c:pivotFmt>
      <c:pivotFmt>
        <c:idx val="1748"/>
        <c:marker>
          <c:symbol val="none"/>
        </c:marker>
      </c:pivotFmt>
      <c:pivotFmt>
        <c:idx val="1749"/>
        <c:marker>
          <c:symbol val="none"/>
        </c:marker>
      </c:pivotFmt>
      <c:pivotFmt>
        <c:idx val="1750"/>
        <c:marker>
          <c:symbol val="none"/>
        </c:marker>
      </c:pivotFmt>
      <c:pivotFmt>
        <c:idx val="1751"/>
        <c:marker>
          <c:symbol val="none"/>
        </c:marker>
      </c:pivotFmt>
      <c:pivotFmt>
        <c:idx val="1752"/>
        <c:marker>
          <c:symbol val="none"/>
        </c:marker>
      </c:pivotFmt>
      <c:pivotFmt>
        <c:idx val="1753"/>
        <c:marker>
          <c:symbol val="none"/>
        </c:marker>
      </c:pivotFmt>
      <c:pivotFmt>
        <c:idx val="1754"/>
        <c:marker>
          <c:symbol val="none"/>
        </c:marker>
      </c:pivotFmt>
      <c:pivotFmt>
        <c:idx val="1755"/>
        <c:marker>
          <c:symbol val="none"/>
        </c:marker>
      </c:pivotFmt>
      <c:pivotFmt>
        <c:idx val="1756"/>
        <c:marker>
          <c:symbol val="none"/>
        </c:marker>
      </c:pivotFmt>
      <c:pivotFmt>
        <c:idx val="1757"/>
        <c:marker>
          <c:symbol val="none"/>
        </c:marker>
      </c:pivotFmt>
      <c:pivotFmt>
        <c:idx val="1758"/>
        <c:marker>
          <c:symbol val="none"/>
        </c:marker>
      </c:pivotFmt>
      <c:pivotFmt>
        <c:idx val="1759"/>
        <c:marker>
          <c:symbol val="none"/>
        </c:marker>
      </c:pivotFmt>
      <c:pivotFmt>
        <c:idx val="1760"/>
        <c:marker>
          <c:symbol val="none"/>
        </c:marker>
      </c:pivotFmt>
      <c:pivotFmt>
        <c:idx val="1761"/>
        <c:marker>
          <c:symbol val="none"/>
        </c:marker>
      </c:pivotFmt>
      <c:pivotFmt>
        <c:idx val="1762"/>
        <c:marker>
          <c:symbol val="none"/>
        </c:marker>
      </c:pivotFmt>
      <c:pivotFmt>
        <c:idx val="1763"/>
        <c:marker>
          <c:symbol val="none"/>
        </c:marker>
      </c:pivotFmt>
      <c:pivotFmt>
        <c:idx val="1764"/>
        <c:marker>
          <c:symbol val="none"/>
        </c:marker>
      </c:pivotFmt>
      <c:pivotFmt>
        <c:idx val="1765"/>
        <c:marker>
          <c:symbol val="none"/>
        </c:marker>
      </c:pivotFmt>
      <c:pivotFmt>
        <c:idx val="1766"/>
        <c:marker>
          <c:symbol val="none"/>
        </c:marker>
      </c:pivotFmt>
      <c:pivotFmt>
        <c:idx val="1767"/>
        <c:marker>
          <c:symbol val="none"/>
        </c:marker>
      </c:pivotFmt>
      <c:pivotFmt>
        <c:idx val="1768"/>
        <c:marker>
          <c:symbol val="none"/>
        </c:marker>
      </c:pivotFmt>
      <c:pivotFmt>
        <c:idx val="1769"/>
        <c:marker>
          <c:symbol val="none"/>
        </c:marker>
      </c:pivotFmt>
      <c:pivotFmt>
        <c:idx val="1770"/>
        <c:marker>
          <c:symbol val="none"/>
        </c:marker>
      </c:pivotFmt>
      <c:pivotFmt>
        <c:idx val="1771"/>
        <c:marker>
          <c:symbol val="none"/>
        </c:marker>
      </c:pivotFmt>
      <c:pivotFmt>
        <c:idx val="1772"/>
        <c:marker>
          <c:symbol val="none"/>
        </c:marker>
      </c:pivotFmt>
      <c:pivotFmt>
        <c:idx val="1773"/>
        <c:marker>
          <c:symbol val="none"/>
        </c:marker>
      </c:pivotFmt>
      <c:pivotFmt>
        <c:idx val="1774"/>
        <c:marker>
          <c:symbol val="none"/>
        </c:marker>
      </c:pivotFmt>
      <c:pivotFmt>
        <c:idx val="1775"/>
        <c:marker>
          <c:symbol val="none"/>
        </c:marker>
      </c:pivotFmt>
      <c:pivotFmt>
        <c:idx val="1776"/>
        <c:marker>
          <c:symbol val="none"/>
        </c:marker>
      </c:pivotFmt>
      <c:pivotFmt>
        <c:idx val="1777"/>
        <c:marker>
          <c:symbol val="none"/>
        </c:marker>
      </c:pivotFmt>
      <c:pivotFmt>
        <c:idx val="1778"/>
        <c:marker>
          <c:symbol val="none"/>
        </c:marker>
      </c:pivotFmt>
      <c:pivotFmt>
        <c:idx val="1779"/>
        <c:marker>
          <c:symbol val="none"/>
        </c:marker>
      </c:pivotFmt>
      <c:pivotFmt>
        <c:idx val="1780"/>
        <c:marker>
          <c:symbol val="none"/>
        </c:marker>
      </c:pivotFmt>
      <c:pivotFmt>
        <c:idx val="1781"/>
        <c:marker>
          <c:symbol val="none"/>
        </c:marker>
      </c:pivotFmt>
      <c:pivotFmt>
        <c:idx val="1782"/>
        <c:marker>
          <c:symbol val="none"/>
        </c:marker>
      </c:pivotFmt>
      <c:pivotFmt>
        <c:idx val="1783"/>
        <c:marker>
          <c:symbol val="none"/>
        </c:marker>
      </c:pivotFmt>
      <c:pivotFmt>
        <c:idx val="1784"/>
        <c:marker>
          <c:symbol val="none"/>
        </c:marker>
      </c:pivotFmt>
      <c:pivotFmt>
        <c:idx val="1785"/>
        <c:marker>
          <c:symbol val="none"/>
        </c:marker>
      </c:pivotFmt>
      <c:pivotFmt>
        <c:idx val="1786"/>
        <c:marker>
          <c:symbol val="none"/>
        </c:marker>
      </c:pivotFmt>
      <c:pivotFmt>
        <c:idx val="1787"/>
        <c:marker>
          <c:symbol val="none"/>
        </c:marker>
      </c:pivotFmt>
      <c:pivotFmt>
        <c:idx val="1788"/>
        <c:marker>
          <c:symbol val="none"/>
        </c:marker>
      </c:pivotFmt>
      <c:pivotFmt>
        <c:idx val="1789"/>
        <c:marker>
          <c:symbol val="none"/>
        </c:marker>
      </c:pivotFmt>
      <c:pivotFmt>
        <c:idx val="1790"/>
        <c:marker>
          <c:symbol val="none"/>
        </c:marker>
      </c:pivotFmt>
      <c:pivotFmt>
        <c:idx val="1791"/>
        <c:marker>
          <c:symbol val="none"/>
        </c:marker>
      </c:pivotFmt>
      <c:pivotFmt>
        <c:idx val="1792"/>
        <c:marker>
          <c:symbol val="none"/>
        </c:marker>
      </c:pivotFmt>
      <c:pivotFmt>
        <c:idx val="1793"/>
        <c:marker>
          <c:symbol val="none"/>
        </c:marker>
      </c:pivotFmt>
      <c:pivotFmt>
        <c:idx val="1794"/>
        <c:marker>
          <c:symbol val="none"/>
        </c:marker>
      </c:pivotFmt>
      <c:pivotFmt>
        <c:idx val="1795"/>
        <c:marker>
          <c:symbol val="none"/>
        </c:marker>
      </c:pivotFmt>
      <c:pivotFmt>
        <c:idx val="1796"/>
        <c:marker>
          <c:symbol val="none"/>
        </c:marker>
      </c:pivotFmt>
      <c:pivotFmt>
        <c:idx val="1797"/>
        <c:marker>
          <c:symbol val="none"/>
        </c:marker>
      </c:pivotFmt>
      <c:pivotFmt>
        <c:idx val="1798"/>
        <c:marker>
          <c:symbol val="none"/>
        </c:marker>
      </c:pivotFmt>
      <c:pivotFmt>
        <c:idx val="1799"/>
        <c:marker>
          <c:symbol val="none"/>
        </c:marker>
      </c:pivotFmt>
      <c:pivotFmt>
        <c:idx val="1800"/>
        <c:marker>
          <c:symbol val="none"/>
        </c:marker>
      </c:pivotFmt>
      <c:pivotFmt>
        <c:idx val="1801"/>
        <c:marker>
          <c:symbol val="none"/>
        </c:marker>
      </c:pivotFmt>
      <c:pivotFmt>
        <c:idx val="1802"/>
        <c:marker>
          <c:symbol val="none"/>
        </c:marker>
      </c:pivotFmt>
      <c:pivotFmt>
        <c:idx val="1803"/>
        <c:marker>
          <c:symbol val="none"/>
        </c:marker>
      </c:pivotFmt>
      <c:pivotFmt>
        <c:idx val="1804"/>
        <c:marker>
          <c:symbol val="none"/>
        </c:marker>
      </c:pivotFmt>
      <c:pivotFmt>
        <c:idx val="1805"/>
        <c:marker>
          <c:symbol val="none"/>
        </c:marker>
      </c:pivotFmt>
      <c:pivotFmt>
        <c:idx val="1806"/>
        <c:marker>
          <c:symbol val="none"/>
        </c:marker>
      </c:pivotFmt>
      <c:pivotFmt>
        <c:idx val="1807"/>
        <c:marker>
          <c:symbol val="none"/>
        </c:marker>
      </c:pivotFmt>
      <c:pivotFmt>
        <c:idx val="1808"/>
        <c:marker>
          <c:symbol val="none"/>
        </c:marker>
      </c:pivotFmt>
      <c:pivotFmt>
        <c:idx val="1809"/>
        <c:marker>
          <c:symbol val="none"/>
        </c:marker>
      </c:pivotFmt>
      <c:pivotFmt>
        <c:idx val="1810"/>
        <c:marker>
          <c:symbol val="none"/>
        </c:marker>
      </c:pivotFmt>
      <c:pivotFmt>
        <c:idx val="1811"/>
        <c:marker>
          <c:symbol val="none"/>
        </c:marker>
      </c:pivotFmt>
      <c:pivotFmt>
        <c:idx val="1812"/>
        <c:marker>
          <c:symbol val="none"/>
        </c:marker>
      </c:pivotFmt>
      <c:pivotFmt>
        <c:idx val="1813"/>
        <c:marker>
          <c:symbol val="none"/>
        </c:marker>
      </c:pivotFmt>
      <c:pivotFmt>
        <c:idx val="1814"/>
        <c:marker>
          <c:symbol val="none"/>
        </c:marker>
      </c:pivotFmt>
      <c:pivotFmt>
        <c:idx val="1815"/>
        <c:marker>
          <c:symbol val="none"/>
        </c:marker>
      </c:pivotFmt>
      <c:pivotFmt>
        <c:idx val="1816"/>
        <c:marker>
          <c:symbol val="none"/>
        </c:marker>
      </c:pivotFmt>
      <c:pivotFmt>
        <c:idx val="1817"/>
        <c:marker>
          <c:symbol val="none"/>
        </c:marker>
      </c:pivotFmt>
      <c:pivotFmt>
        <c:idx val="1818"/>
        <c:marker>
          <c:symbol val="none"/>
        </c:marker>
      </c:pivotFmt>
      <c:pivotFmt>
        <c:idx val="1819"/>
        <c:marker>
          <c:symbol val="none"/>
        </c:marker>
      </c:pivotFmt>
      <c:pivotFmt>
        <c:idx val="1820"/>
        <c:marker>
          <c:symbol val="none"/>
        </c:marker>
      </c:pivotFmt>
      <c:pivotFmt>
        <c:idx val="1821"/>
        <c:marker>
          <c:symbol val="none"/>
        </c:marker>
      </c:pivotFmt>
      <c:pivotFmt>
        <c:idx val="1822"/>
        <c:marker>
          <c:symbol val="none"/>
        </c:marker>
      </c:pivotFmt>
      <c:pivotFmt>
        <c:idx val="1823"/>
        <c:marker>
          <c:symbol val="none"/>
        </c:marker>
      </c:pivotFmt>
      <c:pivotFmt>
        <c:idx val="1824"/>
        <c:marker>
          <c:symbol val="none"/>
        </c:marker>
      </c:pivotFmt>
      <c:pivotFmt>
        <c:idx val="1825"/>
        <c:marker>
          <c:symbol val="none"/>
        </c:marker>
      </c:pivotFmt>
      <c:pivotFmt>
        <c:idx val="1826"/>
        <c:marker>
          <c:symbol val="none"/>
        </c:marker>
      </c:pivotFmt>
      <c:pivotFmt>
        <c:idx val="1827"/>
        <c:marker>
          <c:symbol val="none"/>
        </c:marker>
      </c:pivotFmt>
      <c:pivotFmt>
        <c:idx val="1828"/>
        <c:marker>
          <c:symbol val="none"/>
        </c:marker>
      </c:pivotFmt>
      <c:pivotFmt>
        <c:idx val="1829"/>
        <c:marker>
          <c:symbol val="none"/>
        </c:marker>
      </c:pivotFmt>
      <c:pivotFmt>
        <c:idx val="1830"/>
        <c:marker>
          <c:symbol val="none"/>
        </c:marker>
      </c:pivotFmt>
      <c:pivotFmt>
        <c:idx val="1831"/>
        <c:marker>
          <c:symbol val="none"/>
        </c:marker>
      </c:pivotFmt>
      <c:pivotFmt>
        <c:idx val="1832"/>
        <c:marker>
          <c:symbol val="none"/>
        </c:marker>
      </c:pivotFmt>
      <c:pivotFmt>
        <c:idx val="1833"/>
        <c:marker>
          <c:symbol val="none"/>
        </c:marker>
      </c:pivotFmt>
      <c:pivotFmt>
        <c:idx val="1834"/>
        <c:marker>
          <c:symbol val="none"/>
        </c:marker>
      </c:pivotFmt>
      <c:pivotFmt>
        <c:idx val="1835"/>
        <c:marker>
          <c:symbol val="none"/>
        </c:marker>
      </c:pivotFmt>
      <c:pivotFmt>
        <c:idx val="1836"/>
        <c:marker>
          <c:symbol val="none"/>
        </c:marker>
      </c:pivotFmt>
      <c:pivotFmt>
        <c:idx val="1837"/>
        <c:marker>
          <c:symbol val="none"/>
        </c:marker>
      </c:pivotFmt>
      <c:pivotFmt>
        <c:idx val="1838"/>
        <c:marker>
          <c:symbol val="none"/>
        </c:marker>
      </c:pivotFmt>
      <c:pivotFmt>
        <c:idx val="1839"/>
        <c:marker>
          <c:symbol val="none"/>
        </c:marker>
      </c:pivotFmt>
      <c:pivotFmt>
        <c:idx val="1840"/>
        <c:marker>
          <c:symbol val="none"/>
        </c:marker>
      </c:pivotFmt>
      <c:pivotFmt>
        <c:idx val="1841"/>
        <c:marker>
          <c:symbol val="none"/>
        </c:marker>
      </c:pivotFmt>
      <c:pivotFmt>
        <c:idx val="1842"/>
        <c:marker>
          <c:symbol val="none"/>
        </c:marker>
      </c:pivotFmt>
      <c:pivotFmt>
        <c:idx val="1843"/>
        <c:marker>
          <c:symbol val="none"/>
        </c:marker>
      </c:pivotFmt>
      <c:pivotFmt>
        <c:idx val="1844"/>
        <c:marker>
          <c:symbol val="none"/>
        </c:marker>
      </c:pivotFmt>
      <c:pivotFmt>
        <c:idx val="1845"/>
        <c:marker>
          <c:symbol val="none"/>
        </c:marker>
      </c:pivotFmt>
      <c:pivotFmt>
        <c:idx val="1846"/>
        <c:marker>
          <c:symbol val="none"/>
        </c:marker>
      </c:pivotFmt>
      <c:pivotFmt>
        <c:idx val="1847"/>
        <c:marker>
          <c:symbol val="none"/>
        </c:marker>
      </c:pivotFmt>
      <c:pivotFmt>
        <c:idx val="1848"/>
        <c:marker>
          <c:symbol val="none"/>
        </c:marker>
      </c:pivotFmt>
      <c:pivotFmt>
        <c:idx val="1849"/>
        <c:marker>
          <c:symbol val="none"/>
        </c:marker>
      </c:pivotFmt>
      <c:pivotFmt>
        <c:idx val="1850"/>
        <c:marker>
          <c:symbol val="none"/>
        </c:marker>
      </c:pivotFmt>
      <c:pivotFmt>
        <c:idx val="1851"/>
        <c:marker>
          <c:symbol val="none"/>
        </c:marker>
      </c:pivotFmt>
      <c:pivotFmt>
        <c:idx val="1852"/>
        <c:marker>
          <c:symbol val="none"/>
        </c:marker>
      </c:pivotFmt>
      <c:pivotFmt>
        <c:idx val="1853"/>
        <c:marker>
          <c:symbol val="none"/>
        </c:marker>
      </c:pivotFmt>
      <c:pivotFmt>
        <c:idx val="1854"/>
        <c:marker>
          <c:symbol val="none"/>
        </c:marker>
      </c:pivotFmt>
      <c:pivotFmt>
        <c:idx val="1855"/>
        <c:marker>
          <c:symbol val="none"/>
        </c:marker>
      </c:pivotFmt>
      <c:pivotFmt>
        <c:idx val="1856"/>
        <c:marker>
          <c:symbol val="none"/>
        </c:marker>
      </c:pivotFmt>
      <c:pivotFmt>
        <c:idx val="1857"/>
        <c:marker>
          <c:symbol val="none"/>
        </c:marker>
      </c:pivotFmt>
      <c:pivotFmt>
        <c:idx val="1858"/>
        <c:marker>
          <c:symbol val="none"/>
        </c:marker>
      </c:pivotFmt>
      <c:pivotFmt>
        <c:idx val="1859"/>
        <c:marker>
          <c:symbol val="none"/>
        </c:marker>
      </c:pivotFmt>
      <c:pivotFmt>
        <c:idx val="1860"/>
        <c:marker>
          <c:symbol val="none"/>
        </c:marker>
      </c:pivotFmt>
      <c:pivotFmt>
        <c:idx val="1861"/>
        <c:marker>
          <c:symbol val="none"/>
        </c:marker>
      </c:pivotFmt>
      <c:pivotFmt>
        <c:idx val="1862"/>
        <c:marker>
          <c:symbol val="none"/>
        </c:marker>
      </c:pivotFmt>
      <c:pivotFmt>
        <c:idx val="1863"/>
        <c:marker>
          <c:symbol val="none"/>
        </c:marker>
      </c:pivotFmt>
      <c:pivotFmt>
        <c:idx val="1864"/>
        <c:marker>
          <c:symbol val="none"/>
        </c:marker>
      </c:pivotFmt>
      <c:pivotFmt>
        <c:idx val="1865"/>
        <c:marker>
          <c:symbol val="none"/>
        </c:marker>
      </c:pivotFmt>
      <c:pivotFmt>
        <c:idx val="1866"/>
        <c:marker>
          <c:symbol val="none"/>
        </c:marker>
      </c:pivotFmt>
      <c:pivotFmt>
        <c:idx val="1867"/>
        <c:marker>
          <c:symbol val="none"/>
        </c:marker>
      </c:pivotFmt>
      <c:pivotFmt>
        <c:idx val="1868"/>
        <c:marker>
          <c:symbol val="none"/>
        </c:marker>
      </c:pivotFmt>
      <c:pivotFmt>
        <c:idx val="1869"/>
        <c:marker>
          <c:symbol val="none"/>
        </c:marker>
      </c:pivotFmt>
      <c:pivotFmt>
        <c:idx val="1870"/>
        <c:marker>
          <c:symbol val="none"/>
        </c:marker>
      </c:pivotFmt>
      <c:pivotFmt>
        <c:idx val="1871"/>
        <c:marker>
          <c:symbol val="none"/>
        </c:marker>
      </c:pivotFmt>
      <c:pivotFmt>
        <c:idx val="1872"/>
        <c:marker>
          <c:symbol val="none"/>
        </c:marker>
      </c:pivotFmt>
      <c:pivotFmt>
        <c:idx val="1873"/>
        <c:marker>
          <c:symbol val="none"/>
        </c:marker>
      </c:pivotFmt>
      <c:pivotFmt>
        <c:idx val="1874"/>
        <c:marker>
          <c:symbol val="none"/>
        </c:marker>
      </c:pivotFmt>
      <c:pivotFmt>
        <c:idx val="1875"/>
        <c:marker>
          <c:symbol val="none"/>
        </c:marker>
      </c:pivotFmt>
      <c:pivotFmt>
        <c:idx val="1876"/>
        <c:marker>
          <c:symbol val="none"/>
        </c:marker>
      </c:pivotFmt>
      <c:pivotFmt>
        <c:idx val="1877"/>
        <c:marker>
          <c:symbol val="none"/>
        </c:marker>
      </c:pivotFmt>
      <c:pivotFmt>
        <c:idx val="1878"/>
        <c:marker>
          <c:symbol val="none"/>
        </c:marker>
      </c:pivotFmt>
      <c:pivotFmt>
        <c:idx val="1879"/>
        <c:marker>
          <c:symbol val="none"/>
        </c:marker>
      </c:pivotFmt>
      <c:pivotFmt>
        <c:idx val="1880"/>
        <c:marker>
          <c:symbol val="none"/>
        </c:marker>
      </c:pivotFmt>
      <c:pivotFmt>
        <c:idx val="1881"/>
        <c:marker>
          <c:symbol val="none"/>
        </c:marker>
      </c:pivotFmt>
      <c:pivotFmt>
        <c:idx val="1882"/>
        <c:marker>
          <c:symbol val="none"/>
        </c:marker>
      </c:pivotFmt>
      <c:pivotFmt>
        <c:idx val="1883"/>
        <c:marker>
          <c:symbol val="none"/>
        </c:marker>
      </c:pivotFmt>
      <c:pivotFmt>
        <c:idx val="1884"/>
        <c:marker>
          <c:symbol val="none"/>
        </c:marker>
      </c:pivotFmt>
      <c:pivotFmt>
        <c:idx val="1885"/>
        <c:marker>
          <c:symbol val="none"/>
        </c:marker>
      </c:pivotFmt>
      <c:pivotFmt>
        <c:idx val="1886"/>
        <c:marker>
          <c:symbol val="none"/>
        </c:marker>
      </c:pivotFmt>
      <c:pivotFmt>
        <c:idx val="1887"/>
        <c:marker>
          <c:symbol val="none"/>
        </c:marker>
      </c:pivotFmt>
      <c:pivotFmt>
        <c:idx val="1888"/>
        <c:marker>
          <c:symbol val="none"/>
        </c:marker>
      </c:pivotFmt>
      <c:pivotFmt>
        <c:idx val="1889"/>
        <c:marker>
          <c:symbol val="none"/>
        </c:marker>
      </c:pivotFmt>
      <c:pivotFmt>
        <c:idx val="1890"/>
        <c:marker>
          <c:symbol val="none"/>
        </c:marker>
      </c:pivotFmt>
      <c:pivotFmt>
        <c:idx val="1891"/>
        <c:marker>
          <c:symbol val="none"/>
        </c:marker>
      </c:pivotFmt>
      <c:pivotFmt>
        <c:idx val="1892"/>
        <c:marker>
          <c:symbol val="none"/>
        </c:marker>
      </c:pivotFmt>
      <c:pivotFmt>
        <c:idx val="1893"/>
        <c:marker>
          <c:symbol val="none"/>
        </c:marker>
      </c:pivotFmt>
      <c:pivotFmt>
        <c:idx val="1894"/>
        <c:marker>
          <c:symbol val="none"/>
        </c:marker>
      </c:pivotFmt>
      <c:pivotFmt>
        <c:idx val="1895"/>
        <c:marker>
          <c:symbol val="none"/>
        </c:marker>
      </c:pivotFmt>
      <c:pivotFmt>
        <c:idx val="1896"/>
        <c:marker>
          <c:symbol val="none"/>
        </c:marker>
      </c:pivotFmt>
      <c:pivotFmt>
        <c:idx val="1897"/>
        <c:marker>
          <c:symbol val="none"/>
        </c:marker>
      </c:pivotFmt>
      <c:pivotFmt>
        <c:idx val="1898"/>
        <c:marker>
          <c:symbol val="none"/>
        </c:marker>
      </c:pivotFmt>
      <c:pivotFmt>
        <c:idx val="1899"/>
        <c:marker>
          <c:symbol val="none"/>
        </c:marker>
      </c:pivotFmt>
      <c:pivotFmt>
        <c:idx val="1900"/>
        <c:marker>
          <c:symbol val="none"/>
        </c:marker>
      </c:pivotFmt>
      <c:pivotFmt>
        <c:idx val="1901"/>
        <c:marker>
          <c:symbol val="none"/>
        </c:marker>
      </c:pivotFmt>
      <c:pivotFmt>
        <c:idx val="1902"/>
        <c:marker>
          <c:symbol val="none"/>
        </c:marker>
      </c:pivotFmt>
      <c:pivotFmt>
        <c:idx val="1903"/>
        <c:marker>
          <c:symbol val="none"/>
        </c:marker>
      </c:pivotFmt>
      <c:pivotFmt>
        <c:idx val="1904"/>
        <c:marker>
          <c:symbol val="none"/>
        </c:marker>
      </c:pivotFmt>
      <c:pivotFmt>
        <c:idx val="1905"/>
        <c:marker>
          <c:symbol val="none"/>
        </c:marker>
      </c:pivotFmt>
      <c:pivotFmt>
        <c:idx val="1906"/>
        <c:marker>
          <c:symbol val="none"/>
        </c:marker>
      </c:pivotFmt>
      <c:pivotFmt>
        <c:idx val="1907"/>
        <c:marker>
          <c:symbol val="none"/>
        </c:marker>
      </c:pivotFmt>
      <c:pivotFmt>
        <c:idx val="1908"/>
        <c:marker>
          <c:symbol val="none"/>
        </c:marker>
      </c:pivotFmt>
      <c:pivotFmt>
        <c:idx val="1909"/>
        <c:marker>
          <c:symbol val="none"/>
        </c:marker>
      </c:pivotFmt>
      <c:pivotFmt>
        <c:idx val="1910"/>
        <c:marker>
          <c:symbol val="none"/>
        </c:marker>
      </c:pivotFmt>
      <c:pivotFmt>
        <c:idx val="1911"/>
        <c:marker>
          <c:symbol val="none"/>
        </c:marker>
      </c:pivotFmt>
      <c:pivotFmt>
        <c:idx val="1912"/>
        <c:marker>
          <c:symbol val="none"/>
        </c:marker>
      </c:pivotFmt>
      <c:pivotFmt>
        <c:idx val="1913"/>
        <c:marker>
          <c:symbol val="none"/>
        </c:marker>
      </c:pivotFmt>
      <c:pivotFmt>
        <c:idx val="1914"/>
        <c:marker>
          <c:symbol val="none"/>
        </c:marker>
      </c:pivotFmt>
      <c:pivotFmt>
        <c:idx val="1915"/>
        <c:marker>
          <c:symbol val="none"/>
        </c:marker>
      </c:pivotFmt>
      <c:pivotFmt>
        <c:idx val="1916"/>
        <c:marker>
          <c:symbol val="none"/>
        </c:marker>
      </c:pivotFmt>
      <c:pivotFmt>
        <c:idx val="1917"/>
        <c:marker>
          <c:symbol val="none"/>
        </c:marker>
      </c:pivotFmt>
      <c:pivotFmt>
        <c:idx val="1918"/>
        <c:marker>
          <c:symbol val="none"/>
        </c:marker>
      </c:pivotFmt>
      <c:pivotFmt>
        <c:idx val="1919"/>
        <c:marker>
          <c:symbol val="none"/>
        </c:marker>
      </c:pivotFmt>
      <c:pivotFmt>
        <c:idx val="1920"/>
        <c:marker>
          <c:symbol val="none"/>
        </c:marker>
      </c:pivotFmt>
      <c:pivotFmt>
        <c:idx val="1921"/>
        <c:marker>
          <c:symbol val="none"/>
        </c:marker>
      </c:pivotFmt>
      <c:pivotFmt>
        <c:idx val="1922"/>
        <c:marker>
          <c:symbol val="none"/>
        </c:marker>
      </c:pivotFmt>
      <c:pivotFmt>
        <c:idx val="1923"/>
        <c:marker>
          <c:symbol val="none"/>
        </c:marker>
      </c:pivotFmt>
      <c:pivotFmt>
        <c:idx val="1924"/>
        <c:marker>
          <c:symbol val="none"/>
        </c:marker>
      </c:pivotFmt>
      <c:pivotFmt>
        <c:idx val="1925"/>
        <c:marker>
          <c:symbol val="none"/>
        </c:marker>
      </c:pivotFmt>
      <c:pivotFmt>
        <c:idx val="1926"/>
        <c:marker>
          <c:symbol val="none"/>
        </c:marker>
      </c:pivotFmt>
      <c:pivotFmt>
        <c:idx val="1927"/>
        <c:marker>
          <c:symbol val="none"/>
        </c:marker>
      </c:pivotFmt>
      <c:pivotFmt>
        <c:idx val="1928"/>
        <c:marker>
          <c:symbol val="none"/>
        </c:marker>
      </c:pivotFmt>
      <c:pivotFmt>
        <c:idx val="1929"/>
        <c:marker>
          <c:symbol val="none"/>
        </c:marker>
      </c:pivotFmt>
      <c:pivotFmt>
        <c:idx val="1930"/>
        <c:marker>
          <c:symbol val="none"/>
        </c:marker>
      </c:pivotFmt>
      <c:pivotFmt>
        <c:idx val="1931"/>
        <c:marker>
          <c:symbol val="none"/>
        </c:marker>
      </c:pivotFmt>
      <c:pivotFmt>
        <c:idx val="1932"/>
        <c:marker>
          <c:symbol val="none"/>
        </c:marker>
      </c:pivotFmt>
      <c:pivotFmt>
        <c:idx val="1933"/>
        <c:marker>
          <c:symbol val="none"/>
        </c:marker>
      </c:pivotFmt>
      <c:pivotFmt>
        <c:idx val="1934"/>
        <c:marker>
          <c:symbol val="none"/>
        </c:marker>
      </c:pivotFmt>
      <c:pivotFmt>
        <c:idx val="1935"/>
        <c:marker>
          <c:symbol val="none"/>
        </c:marker>
      </c:pivotFmt>
      <c:pivotFmt>
        <c:idx val="1936"/>
        <c:marker>
          <c:symbol val="none"/>
        </c:marker>
      </c:pivotFmt>
      <c:pivotFmt>
        <c:idx val="1937"/>
        <c:marker>
          <c:symbol val="none"/>
        </c:marker>
      </c:pivotFmt>
      <c:pivotFmt>
        <c:idx val="1938"/>
        <c:marker>
          <c:symbol val="none"/>
        </c:marker>
      </c:pivotFmt>
      <c:pivotFmt>
        <c:idx val="1939"/>
        <c:marker>
          <c:symbol val="none"/>
        </c:marker>
      </c:pivotFmt>
      <c:pivotFmt>
        <c:idx val="1940"/>
        <c:marker>
          <c:symbol val="none"/>
        </c:marker>
      </c:pivotFmt>
      <c:pivotFmt>
        <c:idx val="1941"/>
        <c:marker>
          <c:symbol val="none"/>
        </c:marker>
      </c:pivotFmt>
      <c:pivotFmt>
        <c:idx val="1942"/>
        <c:marker>
          <c:symbol val="none"/>
        </c:marker>
      </c:pivotFmt>
      <c:pivotFmt>
        <c:idx val="1943"/>
        <c:marker>
          <c:symbol val="none"/>
        </c:marker>
      </c:pivotFmt>
      <c:pivotFmt>
        <c:idx val="1944"/>
        <c:marker>
          <c:symbol val="none"/>
        </c:marker>
      </c:pivotFmt>
      <c:pivotFmt>
        <c:idx val="1945"/>
        <c:marker>
          <c:symbol val="none"/>
        </c:marker>
      </c:pivotFmt>
      <c:pivotFmt>
        <c:idx val="1946"/>
        <c:marker>
          <c:symbol val="none"/>
        </c:marker>
      </c:pivotFmt>
      <c:pivotFmt>
        <c:idx val="1947"/>
        <c:marker>
          <c:symbol val="none"/>
        </c:marker>
      </c:pivotFmt>
      <c:pivotFmt>
        <c:idx val="1948"/>
        <c:marker>
          <c:symbol val="none"/>
        </c:marker>
      </c:pivotFmt>
      <c:pivotFmt>
        <c:idx val="1949"/>
        <c:spPr>
          <a:ln w="25400">
            <a:noFill/>
          </a:ln>
        </c:spPr>
        <c:marker>
          <c:symbol val="none"/>
        </c:marker>
      </c:pivotFmt>
      <c:pivotFmt>
        <c:idx val="1950"/>
        <c:marker>
          <c:symbol val="none"/>
        </c:marker>
      </c:pivotFmt>
      <c:pivotFmt>
        <c:idx val="1951"/>
        <c:marker>
          <c:symbol val="none"/>
        </c:marker>
      </c:pivotFmt>
      <c:pivotFmt>
        <c:idx val="1952"/>
        <c:marker>
          <c:symbol val="none"/>
        </c:marker>
      </c:pivotFmt>
      <c:pivotFmt>
        <c:idx val="1953"/>
        <c:marker>
          <c:symbol val="none"/>
        </c:marker>
      </c:pivotFmt>
      <c:pivotFmt>
        <c:idx val="1954"/>
        <c:marker>
          <c:symbol val="none"/>
        </c:marker>
      </c:pivotFmt>
      <c:pivotFmt>
        <c:idx val="1955"/>
        <c:marker>
          <c:symbol val="none"/>
        </c:marker>
      </c:pivotFmt>
      <c:pivotFmt>
        <c:idx val="1956"/>
        <c:marker>
          <c:symbol val="none"/>
        </c:marker>
      </c:pivotFmt>
      <c:pivotFmt>
        <c:idx val="1957"/>
        <c:marker>
          <c:symbol val="none"/>
        </c:marker>
      </c:pivotFmt>
      <c:pivotFmt>
        <c:idx val="1958"/>
        <c:marker>
          <c:symbol val="none"/>
        </c:marker>
      </c:pivotFmt>
      <c:pivotFmt>
        <c:idx val="1959"/>
        <c:marker>
          <c:symbol val="none"/>
        </c:marker>
      </c:pivotFmt>
      <c:pivotFmt>
        <c:idx val="1960"/>
        <c:marker>
          <c:symbol val="none"/>
        </c:marker>
      </c:pivotFmt>
      <c:pivotFmt>
        <c:idx val="1961"/>
        <c:marker>
          <c:symbol val="none"/>
        </c:marker>
      </c:pivotFmt>
      <c:pivotFmt>
        <c:idx val="1962"/>
        <c:marker>
          <c:symbol val="none"/>
        </c:marker>
      </c:pivotFmt>
      <c:pivotFmt>
        <c:idx val="1963"/>
        <c:marker>
          <c:symbol val="none"/>
        </c:marker>
      </c:pivotFmt>
      <c:pivotFmt>
        <c:idx val="1964"/>
        <c:marker>
          <c:symbol val="none"/>
        </c:marker>
      </c:pivotFmt>
      <c:pivotFmt>
        <c:idx val="1965"/>
        <c:marker>
          <c:symbol val="none"/>
        </c:marker>
      </c:pivotFmt>
      <c:pivotFmt>
        <c:idx val="1966"/>
        <c:marker>
          <c:symbol val="none"/>
        </c:marker>
      </c:pivotFmt>
      <c:pivotFmt>
        <c:idx val="1967"/>
        <c:marker>
          <c:symbol val="none"/>
        </c:marker>
      </c:pivotFmt>
      <c:pivotFmt>
        <c:idx val="1968"/>
        <c:marker>
          <c:symbol val="none"/>
        </c:marker>
      </c:pivotFmt>
      <c:pivotFmt>
        <c:idx val="1969"/>
        <c:marker>
          <c:symbol val="none"/>
        </c:marker>
      </c:pivotFmt>
      <c:pivotFmt>
        <c:idx val="1970"/>
        <c:marker>
          <c:symbol val="none"/>
        </c:marker>
      </c:pivotFmt>
      <c:pivotFmt>
        <c:idx val="1971"/>
        <c:marker>
          <c:symbol val="none"/>
        </c:marker>
      </c:pivotFmt>
      <c:pivotFmt>
        <c:idx val="1972"/>
        <c:marker>
          <c:symbol val="none"/>
        </c:marker>
      </c:pivotFmt>
      <c:pivotFmt>
        <c:idx val="1973"/>
        <c:marker>
          <c:symbol val="none"/>
        </c:marker>
      </c:pivotFmt>
      <c:pivotFmt>
        <c:idx val="1974"/>
        <c:marker>
          <c:symbol val="none"/>
        </c:marker>
      </c:pivotFmt>
      <c:pivotFmt>
        <c:idx val="1975"/>
        <c:marker>
          <c:symbol val="none"/>
        </c:marker>
      </c:pivotFmt>
      <c:pivotFmt>
        <c:idx val="1976"/>
        <c:marker>
          <c:symbol val="none"/>
        </c:marker>
      </c:pivotFmt>
      <c:pivotFmt>
        <c:idx val="1977"/>
        <c:marker>
          <c:symbol val="none"/>
        </c:marker>
      </c:pivotFmt>
      <c:pivotFmt>
        <c:idx val="1978"/>
        <c:marker>
          <c:symbol val="none"/>
        </c:marker>
      </c:pivotFmt>
      <c:pivotFmt>
        <c:idx val="1979"/>
        <c:marker>
          <c:symbol val="none"/>
        </c:marker>
      </c:pivotFmt>
      <c:pivotFmt>
        <c:idx val="1980"/>
        <c:marker>
          <c:symbol val="none"/>
        </c:marker>
      </c:pivotFmt>
      <c:pivotFmt>
        <c:idx val="1981"/>
        <c:marker>
          <c:symbol val="none"/>
        </c:marker>
      </c:pivotFmt>
      <c:pivotFmt>
        <c:idx val="1982"/>
        <c:marker>
          <c:symbol val="none"/>
        </c:marker>
      </c:pivotFmt>
      <c:pivotFmt>
        <c:idx val="1983"/>
        <c:marker>
          <c:symbol val="none"/>
        </c:marker>
      </c:pivotFmt>
      <c:pivotFmt>
        <c:idx val="1984"/>
        <c:marker>
          <c:symbol val="none"/>
        </c:marker>
      </c:pivotFmt>
      <c:pivotFmt>
        <c:idx val="1985"/>
        <c:marker>
          <c:symbol val="none"/>
        </c:marker>
      </c:pivotFmt>
      <c:pivotFmt>
        <c:idx val="1986"/>
        <c:marker>
          <c:symbol val="none"/>
        </c:marker>
      </c:pivotFmt>
      <c:pivotFmt>
        <c:idx val="1987"/>
        <c:marker>
          <c:symbol val="none"/>
        </c:marker>
      </c:pivotFmt>
      <c:pivotFmt>
        <c:idx val="1988"/>
        <c:marker>
          <c:symbol val="none"/>
        </c:marker>
      </c:pivotFmt>
      <c:pivotFmt>
        <c:idx val="1989"/>
        <c:marker>
          <c:symbol val="none"/>
        </c:marker>
      </c:pivotFmt>
      <c:pivotFmt>
        <c:idx val="1990"/>
        <c:marker>
          <c:symbol val="none"/>
        </c:marker>
      </c:pivotFmt>
      <c:pivotFmt>
        <c:idx val="1991"/>
        <c:marker>
          <c:symbol val="none"/>
        </c:marker>
      </c:pivotFmt>
      <c:pivotFmt>
        <c:idx val="1992"/>
        <c:marker>
          <c:symbol val="none"/>
        </c:marker>
      </c:pivotFmt>
      <c:pivotFmt>
        <c:idx val="1993"/>
        <c:marker>
          <c:symbol val="none"/>
        </c:marker>
      </c:pivotFmt>
      <c:pivotFmt>
        <c:idx val="1994"/>
        <c:marker>
          <c:symbol val="none"/>
        </c:marker>
      </c:pivotFmt>
      <c:pivotFmt>
        <c:idx val="1995"/>
        <c:marker>
          <c:symbol val="none"/>
        </c:marker>
      </c:pivotFmt>
      <c:pivotFmt>
        <c:idx val="1996"/>
        <c:marker>
          <c:symbol val="none"/>
        </c:marker>
      </c:pivotFmt>
      <c:pivotFmt>
        <c:idx val="1997"/>
        <c:marker>
          <c:symbol val="none"/>
        </c:marker>
      </c:pivotFmt>
      <c:pivotFmt>
        <c:idx val="1998"/>
        <c:marker>
          <c:symbol val="none"/>
        </c:marker>
      </c:pivotFmt>
      <c:pivotFmt>
        <c:idx val="1999"/>
        <c:marker>
          <c:symbol val="none"/>
        </c:marker>
      </c:pivotFmt>
      <c:pivotFmt>
        <c:idx val="2000"/>
        <c:marker>
          <c:symbol val="none"/>
        </c:marker>
      </c:pivotFmt>
      <c:pivotFmt>
        <c:idx val="2001"/>
        <c:marker>
          <c:symbol val="none"/>
        </c:marker>
      </c:pivotFmt>
      <c:pivotFmt>
        <c:idx val="2002"/>
        <c:marker>
          <c:symbol val="none"/>
        </c:marker>
      </c:pivotFmt>
      <c:pivotFmt>
        <c:idx val="2003"/>
        <c:marker>
          <c:symbol val="none"/>
        </c:marker>
      </c:pivotFmt>
      <c:pivotFmt>
        <c:idx val="2004"/>
        <c:marker>
          <c:symbol val="none"/>
        </c:marker>
      </c:pivotFmt>
      <c:pivotFmt>
        <c:idx val="2005"/>
        <c:marker>
          <c:symbol val="none"/>
        </c:marker>
      </c:pivotFmt>
      <c:pivotFmt>
        <c:idx val="2006"/>
        <c:marker>
          <c:symbol val="none"/>
        </c:marker>
      </c:pivotFmt>
      <c:pivotFmt>
        <c:idx val="2007"/>
        <c:marker>
          <c:symbol val="none"/>
        </c:marker>
      </c:pivotFmt>
      <c:pivotFmt>
        <c:idx val="2008"/>
        <c:marker>
          <c:symbol val="none"/>
        </c:marker>
      </c:pivotFmt>
      <c:pivotFmt>
        <c:idx val="2009"/>
        <c:marker>
          <c:symbol val="none"/>
        </c:marker>
      </c:pivotFmt>
      <c:pivotFmt>
        <c:idx val="2010"/>
        <c:marker>
          <c:symbol val="none"/>
        </c:marker>
      </c:pivotFmt>
      <c:pivotFmt>
        <c:idx val="2011"/>
        <c:marker>
          <c:symbol val="none"/>
        </c:marker>
      </c:pivotFmt>
      <c:pivotFmt>
        <c:idx val="2012"/>
        <c:marker>
          <c:symbol val="none"/>
        </c:marker>
      </c:pivotFmt>
      <c:pivotFmt>
        <c:idx val="2013"/>
        <c:marker>
          <c:symbol val="none"/>
        </c:marker>
      </c:pivotFmt>
      <c:pivotFmt>
        <c:idx val="2014"/>
        <c:marker>
          <c:symbol val="none"/>
        </c:marker>
      </c:pivotFmt>
      <c:pivotFmt>
        <c:idx val="2015"/>
        <c:marker>
          <c:symbol val="none"/>
        </c:marker>
      </c:pivotFmt>
      <c:pivotFmt>
        <c:idx val="2016"/>
        <c:marker>
          <c:symbol val="none"/>
        </c:marker>
      </c:pivotFmt>
      <c:pivotFmt>
        <c:idx val="2017"/>
        <c:marker>
          <c:symbol val="none"/>
        </c:marker>
      </c:pivotFmt>
      <c:pivotFmt>
        <c:idx val="2018"/>
        <c:marker>
          <c:symbol val="none"/>
        </c:marker>
      </c:pivotFmt>
      <c:pivotFmt>
        <c:idx val="2019"/>
        <c:marker>
          <c:symbol val="none"/>
        </c:marker>
      </c:pivotFmt>
      <c:pivotFmt>
        <c:idx val="2020"/>
        <c:marker>
          <c:symbol val="none"/>
        </c:marker>
      </c:pivotFmt>
      <c:pivotFmt>
        <c:idx val="2021"/>
        <c:marker>
          <c:symbol val="none"/>
        </c:marker>
      </c:pivotFmt>
      <c:pivotFmt>
        <c:idx val="2022"/>
        <c:marker>
          <c:symbol val="none"/>
        </c:marker>
      </c:pivotFmt>
      <c:pivotFmt>
        <c:idx val="2023"/>
        <c:marker>
          <c:symbol val="none"/>
        </c:marker>
      </c:pivotFmt>
      <c:pivotFmt>
        <c:idx val="2024"/>
        <c:marker>
          <c:symbol val="none"/>
        </c:marker>
      </c:pivotFmt>
      <c:pivotFmt>
        <c:idx val="2025"/>
        <c:marker>
          <c:symbol val="none"/>
        </c:marker>
      </c:pivotFmt>
      <c:pivotFmt>
        <c:idx val="2026"/>
        <c:marker>
          <c:symbol val="none"/>
        </c:marker>
      </c:pivotFmt>
      <c:pivotFmt>
        <c:idx val="2027"/>
        <c:marker>
          <c:symbol val="none"/>
        </c:marker>
      </c:pivotFmt>
      <c:pivotFmt>
        <c:idx val="2028"/>
        <c:marker>
          <c:symbol val="none"/>
        </c:marker>
      </c:pivotFmt>
      <c:pivotFmt>
        <c:idx val="2029"/>
        <c:marker>
          <c:symbol val="none"/>
        </c:marker>
      </c:pivotFmt>
      <c:pivotFmt>
        <c:idx val="2030"/>
        <c:marker>
          <c:symbol val="none"/>
        </c:marker>
      </c:pivotFmt>
      <c:pivotFmt>
        <c:idx val="2031"/>
        <c:marker>
          <c:symbol val="none"/>
        </c:marker>
      </c:pivotFmt>
      <c:pivotFmt>
        <c:idx val="2032"/>
        <c:marker>
          <c:symbol val="none"/>
        </c:marker>
      </c:pivotFmt>
      <c:pivotFmt>
        <c:idx val="2033"/>
        <c:marker>
          <c:symbol val="none"/>
        </c:marker>
      </c:pivotFmt>
      <c:pivotFmt>
        <c:idx val="2034"/>
        <c:marker>
          <c:symbol val="none"/>
        </c:marker>
      </c:pivotFmt>
      <c:pivotFmt>
        <c:idx val="2035"/>
        <c:marker>
          <c:symbol val="none"/>
        </c:marker>
      </c:pivotFmt>
      <c:pivotFmt>
        <c:idx val="2036"/>
        <c:marker>
          <c:symbol val="none"/>
        </c:marker>
      </c:pivotFmt>
      <c:pivotFmt>
        <c:idx val="2037"/>
        <c:marker>
          <c:symbol val="none"/>
        </c:marker>
      </c:pivotFmt>
      <c:pivotFmt>
        <c:idx val="2038"/>
        <c:marker>
          <c:symbol val="none"/>
        </c:marker>
      </c:pivotFmt>
      <c:pivotFmt>
        <c:idx val="2039"/>
        <c:marker>
          <c:symbol val="none"/>
        </c:marker>
      </c:pivotFmt>
      <c:pivotFmt>
        <c:idx val="2040"/>
        <c:marker>
          <c:symbol val="none"/>
        </c:marker>
      </c:pivotFmt>
      <c:pivotFmt>
        <c:idx val="2041"/>
        <c:marker>
          <c:symbol val="none"/>
        </c:marker>
      </c:pivotFmt>
      <c:pivotFmt>
        <c:idx val="2042"/>
        <c:marker>
          <c:symbol val="none"/>
        </c:marker>
      </c:pivotFmt>
      <c:pivotFmt>
        <c:idx val="2043"/>
        <c:marker>
          <c:symbol val="none"/>
        </c:marker>
      </c:pivotFmt>
      <c:pivotFmt>
        <c:idx val="2044"/>
        <c:marker>
          <c:symbol val="none"/>
        </c:marker>
      </c:pivotFmt>
      <c:pivotFmt>
        <c:idx val="2045"/>
        <c:marker>
          <c:symbol val="none"/>
        </c:marker>
      </c:pivotFmt>
      <c:pivotFmt>
        <c:idx val="2046"/>
        <c:marker>
          <c:symbol val="none"/>
        </c:marker>
      </c:pivotFmt>
      <c:pivotFmt>
        <c:idx val="2047"/>
        <c:marker>
          <c:symbol val="none"/>
        </c:marker>
      </c:pivotFmt>
      <c:pivotFmt>
        <c:idx val="2048"/>
        <c:marker>
          <c:symbol val="none"/>
        </c:marker>
      </c:pivotFmt>
      <c:pivotFmt>
        <c:idx val="2049"/>
        <c:marker>
          <c:symbol val="none"/>
        </c:marker>
      </c:pivotFmt>
      <c:pivotFmt>
        <c:idx val="2050"/>
        <c:marker>
          <c:symbol val="none"/>
        </c:marker>
        <c:dLbl>
          <c:idx val="0"/>
          <c:delete val="1"/>
        </c:dLbl>
      </c:pivotFmt>
      <c:pivotFmt>
        <c:idx val="2051"/>
        <c:marker>
          <c:symbol val="none"/>
        </c:marker>
      </c:pivotFmt>
      <c:pivotFmt>
        <c:idx val="2052"/>
        <c:marker>
          <c:symbol val="none"/>
        </c:marker>
      </c:pivotFmt>
      <c:pivotFmt>
        <c:idx val="2053"/>
        <c:marker>
          <c:symbol val="none"/>
        </c:marker>
        <c:dLbl>
          <c:idx val="0"/>
          <c:delete val="1"/>
        </c:dLbl>
      </c:pivotFmt>
      <c:pivotFmt>
        <c:idx val="2054"/>
        <c:marker>
          <c:symbol val="none"/>
        </c:marker>
        <c:dLbl>
          <c:idx val="0"/>
          <c:delete val="1"/>
        </c:dLbl>
      </c:pivotFmt>
      <c:pivotFmt>
        <c:idx val="2055"/>
        <c:marker>
          <c:symbol val="none"/>
        </c:marker>
        <c:dLbl>
          <c:idx val="0"/>
          <c:delete val="1"/>
        </c:dLbl>
      </c:pivotFmt>
      <c:pivotFmt>
        <c:idx val="2056"/>
        <c:marker>
          <c:symbol val="none"/>
        </c:marker>
        <c:dLbl>
          <c:idx val="0"/>
          <c:delete val="1"/>
        </c:dLbl>
      </c:pivotFmt>
      <c:pivotFmt>
        <c:idx val="2057"/>
        <c:marker>
          <c:symbol val="none"/>
        </c:marker>
        <c:dLbl>
          <c:idx val="0"/>
          <c:delete val="1"/>
        </c:dLbl>
      </c:pivotFmt>
      <c:pivotFmt>
        <c:idx val="2058"/>
        <c:marker>
          <c:symbol val="none"/>
        </c:marker>
      </c:pivotFmt>
      <c:pivotFmt>
        <c:idx val="2059"/>
        <c:marker>
          <c:symbol val="none"/>
        </c:marker>
      </c:pivotFmt>
      <c:pivotFmt>
        <c:idx val="2060"/>
        <c:marker>
          <c:symbol val="none"/>
        </c:marker>
      </c:pivotFmt>
      <c:pivotFmt>
        <c:idx val="2061"/>
        <c:marker>
          <c:symbol val="none"/>
        </c:marker>
      </c:pivotFmt>
      <c:pivotFmt>
        <c:idx val="2062"/>
        <c:marker>
          <c:symbol val="none"/>
        </c:marker>
      </c:pivotFmt>
      <c:pivotFmt>
        <c:idx val="2063"/>
        <c:marker>
          <c:symbol val="none"/>
        </c:marker>
      </c:pivotFmt>
      <c:pivotFmt>
        <c:idx val="2064"/>
        <c:marker>
          <c:symbol val="none"/>
        </c:marker>
      </c:pivotFmt>
      <c:pivotFmt>
        <c:idx val="2065"/>
        <c:marker>
          <c:symbol val="none"/>
        </c:marker>
      </c:pivotFmt>
      <c:pivotFmt>
        <c:idx val="2066"/>
        <c:marker>
          <c:symbol val="none"/>
        </c:marker>
      </c:pivotFmt>
      <c:pivotFmt>
        <c:idx val="2067"/>
        <c:marker>
          <c:symbol val="none"/>
        </c:marker>
      </c:pivotFmt>
      <c:pivotFmt>
        <c:idx val="2068"/>
        <c:marker>
          <c:symbol val="none"/>
        </c:marker>
      </c:pivotFmt>
      <c:pivotFmt>
        <c:idx val="2069"/>
        <c:marker>
          <c:symbol val="none"/>
        </c:marker>
      </c:pivotFmt>
      <c:pivotFmt>
        <c:idx val="2070"/>
        <c:marker>
          <c:symbol val="none"/>
        </c:marker>
      </c:pivotFmt>
      <c:pivotFmt>
        <c:idx val="2071"/>
        <c:marker>
          <c:symbol val="none"/>
        </c:marker>
      </c:pivotFmt>
      <c:pivotFmt>
        <c:idx val="2072"/>
        <c:marker>
          <c:symbol val="none"/>
        </c:marker>
      </c:pivotFmt>
      <c:pivotFmt>
        <c:idx val="2073"/>
        <c:marker>
          <c:symbol val="none"/>
        </c:marker>
      </c:pivotFmt>
      <c:pivotFmt>
        <c:idx val="2074"/>
        <c:marker>
          <c:symbol val="none"/>
        </c:marker>
      </c:pivotFmt>
      <c:pivotFmt>
        <c:idx val="2075"/>
        <c:marker>
          <c:symbol val="none"/>
        </c:marker>
      </c:pivotFmt>
      <c:pivotFmt>
        <c:idx val="2076"/>
        <c:marker>
          <c:symbol val="none"/>
        </c:marker>
      </c:pivotFmt>
      <c:pivotFmt>
        <c:idx val="2077"/>
        <c:marker>
          <c:symbol val="none"/>
        </c:marker>
      </c:pivotFmt>
      <c:pivotFmt>
        <c:idx val="2078"/>
        <c:marker>
          <c:symbol val="none"/>
        </c:marker>
      </c:pivotFmt>
      <c:pivotFmt>
        <c:idx val="2079"/>
        <c:marker>
          <c:symbol val="none"/>
        </c:marker>
      </c:pivotFmt>
      <c:pivotFmt>
        <c:idx val="2080"/>
        <c:marker>
          <c:symbol val="none"/>
        </c:marker>
      </c:pivotFmt>
      <c:pivotFmt>
        <c:idx val="2081"/>
        <c:marker>
          <c:symbol val="none"/>
        </c:marker>
      </c:pivotFmt>
      <c:pivotFmt>
        <c:idx val="2082"/>
        <c:marker>
          <c:symbol val="none"/>
        </c:marker>
      </c:pivotFmt>
      <c:pivotFmt>
        <c:idx val="2083"/>
        <c:marker>
          <c:symbol val="none"/>
        </c:marker>
      </c:pivotFmt>
      <c:pivotFmt>
        <c:idx val="2084"/>
        <c:marker>
          <c:symbol val="none"/>
        </c:marker>
      </c:pivotFmt>
      <c:pivotFmt>
        <c:idx val="2085"/>
        <c:marker>
          <c:symbol val="none"/>
        </c:marker>
      </c:pivotFmt>
      <c:pivotFmt>
        <c:idx val="2086"/>
        <c:marker>
          <c:symbol val="none"/>
        </c:marker>
      </c:pivotFmt>
      <c:pivotFmt>
        <c:idx val="2087"/>
        <c:marker>
          <c:symbol val="none"/>
        </c:marker>
      </c:pivotFmt>
      <c:pivotFmt>
        <c:idx val="2088"/>
        <c:marker>
          <c:symbol val="none"/>
        </c:marker>
      </c:pivotFmt>
      <c:pivotFmt>
        <c:idx val="2089"/>
        <c:marker>
          <c:symbol val="none"/>
        </c:marker>
      </c:pivotFmt>
      <c:pivotFmt>
        <c:idx val="2090"/>
        <c:marker>
          <c:symbol val="none"/>
        </c:marker>
      </c:pivotFmt>
      <c:pivotFmt>
        <c:idx val="2091"/>
        <c:marker>
          <c:symbol val="none"/>
        </c:marker>
      </c:pivotFmt>
      <c:pivotFmt>
        <c:idx val="2092"/>
        <c:marker>
          <c:symbol val="none"/>
        </c:marker>
      </c:pivotFmt>
      <c:pivotFmt>
        <c:idx val="2093"/>
        <c:marker>
          <c:symbol val="none"/>
        </c:marker>
      </c:pivotFmt>
      <c:pivotFmt>
        <c:idx val="2094"/>
        <c:marker>
          <c:symbol val="none"/>
        </c:marker>
      </c:pivotFmt>
      <c:pivotFmt>
        <c:idx val="2095"/>
        <c:marker>
          <c:symbol val="none"/>
        </c:marker>
      </c:pivotFmt>
      <c:pivotFmt>
        <c:idx val="2096"/>
        <c:marker>
          <c:symbol val="none"/>
        </c:marker>
      </c:pivotFmt>
      <c:pivotFmt>
        <c:idx val="2097"/>
        <c:marker>
          <c:symbol val="none"/>
        </c:marker>
      </c:pivotFmt>
      <c:pivotFmt>
        <c:idx val="2098"/>
        <c:marker>
          <c:symbol val="none"/>
        </c:marker>
      </c:pivotFmt>
      <c:pivotFmt>
        <c:idx val="2099"/>
        <c:marker>
          <c:symbol val="none"/>
        </c:marker>
      </c:pivotFmt>
      <c:pivotFmt>
        <c:idx val="2100"/>
        <c:marker>
          <c:symbol val="none"/>
        </c:marker>
      </c:pivotFmt>
      <c:pivotFmt>
        <c:idx val="2101"/>
        <c:marker>
          <c:symbol val="none"/>
        </c:marker>
      </c:pivotFmt>
      <c:pivotFmt>
        <c:idx val="2102"/>
        <c:marker>
          <c:symbol val="none"/>
        </c:marker>
      </c:pivotFmt>
      <c:pivotFmt>
        <c:idx val="2103"/>
        <c:marker>
          <c:symbol val="none"/>
        </c:marker>
      </c:pivotFmt>
      <c:pivotFmt>
        <c:idx val="2104"/>
        <c:marker>
          <c:symbol val="none"/>
        </c:marker>
      </c:pivotFmt>
      <c:pivotFmt>
        <c:idx val="2105"/>
        <c:marker>
          <c:symbol val="none"/>
        </c:marker>
      </c:pivotFmt>
      <c:pivotFmt>
        <c:idx val="2106"/>
        <c:marker>
          <c:symbol val="none"/>
        </c:marker>
      </c:pivotFmt>
      <c:pivotFmt>
        <c:idx val="2107"/>
        <c:marker>
          <c:symbol val="none"/>
        </c:marker>
      </c:pivotFmt>
      <c:pivotFmt>
        <c:idx val="2108"/>
        <c:marker>
          <c:symbol val="none"/>
        </c:marker>
      </c:pivotFmt>
      <c:pivotFmt>
        <c:idx val="2109"/>
        <c:marker>
          <c:symbol val="none"/>
        </c:marker>
      </c:pivotFmt>
      <c:pivotFmt>
        <c:idx val="2110"/>
        <c:marker>
          <c:symbol val="none"/>
        </c:marker>
      </c:pivotFmt>
      <c:pivotFmt>
        <c:idx val="2111"/>
        <c:marker>
          <c:symbol val="none"/>
        </c:marker>
      </c:pivotFmt>
      <c:pivotFmt>
        <c:idx val="2112"/>
        <c:marker>
          <c:symbol val="none"/>
        </c:marker>
      </c:pivotFmt>
      <c:pivotFmt>
        <c:idx val="2113"/>
        <c:marker>
          <c:symbol val="none"/>
        </c:marker>
      </c:pivotFmt>
      <c:pivotFmt>
        <c:idx val="2114"/>
        <c:marker>
          <c:symbol val="none"/>
        </c:marker>
      </c:pivotFmt>
      <c:pivotFmt>
        <c:idx val="2115"/>
        <c:marker>
          <c:symbol val="none"/>
        </c:marker>
      </c:pivotFmt>
      <c:pivotFmt>
        <c:idx val="2116"/>
        <c:marker>
          <c:symbol val="none"/>
        </c:marker>
      </c:pivotFmt>
      <c:pivotFmt>
        <c:idx val="2117"/>
        <c:marker>
          <c:symbol val="none"/>
        </c:marker>
      </c:pivotFmt>
      <c:pivotFmt>
        <c:idx val="2118"/>
        <c:marker>
          <c:symbol val="none"/>
        </c:marker>
      </c:pivotFmt>
      <c:pivotFmt>
        <c:idx val="2119"/>
        <c:marker>
          <c:symbol val="none"/>
        </c:marker>
      </c:pivotFmt>
      <c:pivotFmt>
        <c:idx val="2120"/>
        <c:marker>
          <c:symbol val="none"/>
        </c:marker>
      </c:pivotFmt>
      <c:pivotFmt>
        <c:idx val="2121"/>
        <c:marker>
          <c:symbol val="none"/>
        </c:marker>
      </c:pivotFmt>
      <c:pivotFmt>
        <c:idx val="2122"/>
        <c:marker>
          <c:symbol val="none"/>
        </c:marker>
      </c:pivotFmt>
      <c:pivotFmt>
        <c:idx val="2123"/>
        <c:marker>
          <c:symbol val="none"/>
        </c:marker>
      </c:pivotFmt>
      <c:pivotFmt>
        <c:idx val="2124"/>
        <c:marker>
          <c:symbol val="none"/>
        </c:marker>
      </c:pivotFmt>
      <c:pivotFmt>
        <c:idx val="2125"/>
        <c:marker>
          <c:symbol val="none"/>
        </c:marker>
      </c:pivotFmt>
      <c:pivotFmt>
        <c:idx val="2126"/>
        <c:marker>
          <c:symbol val="none"/>
        </c:marker>
      </c:pivotFmt>
      <c:pivotFmt>
        <c:idx val="2127"/>
        <c:marker>
          <c:symbol val="none"/>
        </c:marker>
      </c:pivotFmt>
      <c:pivotFmt>
        <c:idx val="2128"/>
        <c:marker>
          <c:symbol val="none"/>
        </c:marker>
      </c:pivotFmt>
      <c:pivotFmt>
        <c:idx val="2129"/>
        <c:marker>
          <c:symbol val="none"/>
        </c:marker>
      </c:pivotFmt>
      <c:pivotFmt>
        <c:idx val="2130"/>
        <c:marker>
          <c:symbol val="none"/>
        </c:marker>
      </c:pivotFmt>
      <c:pivotFmt>
        <c:idx val="2131"/>
        <c:marker>
          <c:symbol val="none"/>
        </c:marker>
      </c:pivotFmt>
      <c:pivotFmt>
        <c:idx val="2132"/>
        <c:marker>
          <c:symbol val="none"/>
        </c:marker>
      </c:pivotFmt>
      <c:pivotFmt>
        <c:idx val="2133"/>
        <c:marker>
          <c:symbol val="none"/>
        </c:marker>
      </c:pivotFmt>
      <c:pivotFmt>
        <c:idx val="2134"/>
        <c:marker>
          <c:symbol val="none"/>
        </c:marker>
      </c:pivotFmt>
      <c:pivotFmt>
        <c:idx val="2135"/>
        <c:marker>
          <c:symbol val="none"/>
        </c:marker>
      </c:pivotFmt>
      <c:pivotFmt>
        <c:idx val="2136"/>
        <c:marker>
          <c:symbol val="none"/>
        </c:marker>
      </c:pivotFmt>
      <c:pivotFmt>
        <c:idx val="2137"/>
        <c:marker>
          <c:symbol val="none"/>
        </c:marker>
      </c:pivotFmt>
      <c:pivotFmt>
        <c:idx val="2138"/>
        <c:marker>
          <c:symbol val="none"/>
        </c:marker>
      </c:pivotFmt>
      <c:pivotFmt>
        <c:idx val="2139"/>
        <c:marker>
          <c:symbol val="none"/>
        </c:marker>
      </c:pivotFmt>
      <c:pivotFmt>
        <c:idx val="2140"/>
        <c:marker>
          <c:symbol val="none"/>
        </c:marker>
      </c:pivotFmt>
      <c:pivotFmt>
        <c:idx val="2141"/>
        <c:marker>
          <c:symbol val="none"/>
        </c:marker>
      </c:pivotFmt>
      <c:pivotFmt>
        <c:idx val="2142"/>
        <c:marker>
          <c:symbol val="none"/>
        </c:marker>
      </c:pivotFmt>
      <c:pivotFmt>
        <c:idx val="2143"/>
        <c:marker>
          <c:symbol val="none"/>
        </c:marker>
      </c:pivotFmt>
      <c:pivotFmt>
        <c:idx val="2144"/>
        <c:marker>
          <c:symbol val="none"/>
        </c:marker>
      </c:pivotFmt>
      <c:pivotFmt>
        <c:idx val="2145"/>
        <c:marker>
          <c:symbol val="none"/>
        </c:marker>
      </c:pivotFmt>
      <c:pivotFmt>
        <c:idx val="2146"/>
        <c:marker>
          <c:symbol val="none"/>
        </c:marker>
      </c:pivotFmt>
      <c:pivotFmt>
        <c:idx val="2147"/>
        <c:marker>
          <c:symbol val="none"/>
        </c:marker>
      </c:pivotFmt>
      <c:pivotFmt>
        <c:idx val="2148"/>
        <c:marker>
          <c:symbol val="none"/>
        </c:marker>
      </c:pivotFmt>
      <c:pivotFmt>
        <c:idx val="2149"/>
        <c:marker>
          <c:symbol val="none"/>
        </c:marker>
      </c:pivotFmt>
      <c:pivotFmt>
        <c:idx val="2150"/>
        <c:marker>
          <c:symbol val="none"/>
        </c:marker>
      </c:pivotFmt>
      <c:pivotFmt>
        <c:idx val="2151"/>
        <c:marker>
          <c:symbol val="none"/>
        </c:marker>
      </c:pivotFmt>
      <c:pivotFmt>
        <c:idx val="2152"/>
        <c:marker>
          <c:symbol val="none"/>
        </c:marker>
      </c:pivotFmt>
      <c:pivotFmt>
        <c:idx val="2153"/>
        <c:marker>
          <c:symbol val="none"/>
        </c:marker>
      </c:pivotFmt>
      <c:pivotFmt>
        <c:idx val="2154"/>
        <c:marker>
          <c:symbol val="none"/>
        </c:marker>
      </c:pivotFmt>
      <c:pivotFmt>
        <c:idx val="2155"/>
        <c:marker>
          <c:symbol val="none"/>
        </c:marker>
      </c:pivotFmt>
      <c:pivotFmt>
        <c:idx val="2156"/>
        <c:marker>
          <c:symbol val="none"/>
        </c:marker>
      </c:pivotFmt>
      <c:pivotFmt>
        <c:idx val="2157"/>
        <c:marker>
          <c:symbol val="none"/>
        </c:marker>
      </c:pivotFmt>
      <c:pivotFmt>
        <c:idx val="2158"/>
        <c:marker>
          <c:symbol val="none"/>
        </c:marker>
      </c:pivotFmt>
      <c:pivotFmt>
        <c:idx val="2159"/>
        <c:marker>
          <c:symbol val="none"/>
        </c:marker>
      </c:pivotFmt>
      <c:pivotFmt>
        <c:idx val="2160"/>
        <c:marker>
          <c:symbol val="none"/>
        </c:marker>
      </c:pivotFmt>
      <c:pivotFmt>
        <c:idx val="2161"/>
        <c:marker>
          <c:symbol val="none"/>
        </c:marker>
      </c:pivotFmt>
    </c:pivotFmts>
    <c:plotArea>
      <c:layout/>
      <c:lineChart>
        <c:grouping val="standard"/>
        <c:varyColors val="0"/>
        <c:ser>
          <c:idx val="0"/>
          <c:order val="0"/>
          <c:tx>
            <c:strRef>
              <c:f>'Sheet1 (14)'!$B$4:$B$5</c:f>
              <c:strCache>
                <c:ptCount val="1"/>
                <c:pt idx="0">
                  <c:v>Post-init</c:v>
                </c:pt>
              </c:strCache>
            </c:strRef>
          </c:tx>
          <c:marker>
            <c:symbol val="none"/>
          </c:marker>
          <c:cat>
            <c:strRef>
              <c:f>'Sheet1 (14)'!$A$6:$A$80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(14)'!$B$6:$B$80</c:f>
              <c:numCache>
                <c:formatCode>General</c:formatCode>
                <c:ptCount val="7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66</c:v>
                </c:pt>
                <c:pt idx="27">
                  <c:v>70</c:v>
                </c:pt>
                <c:pt idx="28">
                  <c:v>71</c:v>
                </c:pt>
                <c:pt idx="29">
                  <c:v>73</c:v>
                </c:pt>
                <c:pt idx="30">
                  <c:v>75</c:v>
                </c:pt>
                <c:pt idx="31">
                  <c:v>79</c:v>
                </c:pt>
                <c:pt idx="32">
                  <c:v>73</c:v>
                </c:pt>
                <c:pt idx="33">
                  <c:v>66</c:v>
                </c:pt>
                <c:pt idx="34">
                  <c:v>68</c:v>
                </c:pt>
                <c:pt idx="35">
                  <c:v>68</c:v>
                </c:pt>
                <c:pt idx="36">
                  <c:v>66</c:v>
                </c:pt>
                <c:pt idx="37">
                  <c:v>64</c:v>
                </c:pt>
                <c:pt idx="38">
                  <c:v>67</c:v>
                </c:pt>
                <c:pt idx="39">
                  <c:v>67</c:v>
                </c:pt>
                <c:pt idx="40">
                  <c:v>64</c:v>
                </c:pt>
                <c:pt idx="41">
                  <c:v>69</c:v>
                </c:pt>
                <c:pt idx="42">
                  <c:v>70</c:v>
                </c:pt>
                <c:pt idx="43">
                  <c:v>73</c:v>
                </c:pt>
                <c:pt idx="44">
                  <c:v>73</c:v>
                </c:pt>
                <c:pt idx="45">
                  <c:v>76</c:v>
                </c:pt>
                <c:pt idx="46">
                  <c:v>75</c:v>
                </c:pt>
                <c:pt idx="47">
                  <c:v>74</c:v>
                </c:pt>
                <c:pt idx="48">
                  <c:v>67</c:v>
                </c:pt>
                <c:pt idx="49">
                  <c:v>67</c:v>
                </c:pt>
                <c:pt idx="50">
                  <c:v>66</c:v>
                </c:pt>
                <c:pt idx="51">
                  <c:v>69</c:v>
                </c:pt>
                <c:pt idx="52">
                  <c:v>68</c:v>
                </c:pt>
                <c:pt idx="53">
                  <c:v>71</c:v>
                </c:pt>
                <c:pt idx="54">
                  <c:v>77</c:v>
                </c:pt>
                <c:pt idx="55">
                  <c:v>80</c:v>
                </c:pt>
                <c:pt idx="56">
                  <c:v>82</c:v>
                </c:pt>
                <c:pt idx="57">
                  <c:v>82</c:v>
                </c:pt>
                <c:pt idx="58">
                  <c:v>84</c:v>
                </c:pt>
                <c:pt idx="59">
                  <c:v>85</c:v>
                </c:pt>
                <c:pt idx="60">
                  <c:v>89</c:v>
                </c:pt>
                <c:pt idx="61">
                  <c:v>89</c:v>
                </c:pt>
                <c:pt idx="62">
                  <c:v>88</c:v>
                </c:pt>
                <c:pt idx="63">
                  <c:v>88</c:v>
                </c:pt>
                <c:pt idx="64">
                  <c:v>84</c:v>
                </c:pt>
                <c:pt idx="65">
                  <c:v>85</c:v>
                </c:pt>
                <c:pt idx="66">
                  <c:v>83</c:v>
                </c:pt>
                <c:pt idx="67">
                  <c:v>81</c:v>
                </c:pt>
                <c:pt idx="68">
                  <c:v>82</c:v>
                </c:pt>
                <c:pt idx="69">
                  <c:v>80</c:v>
                </c:pt>
                <c:pt idx="70">
                  <c:v>86</c:v>
                </c:pt>
                <c:pt idx="71">
                  <c:v>86</c:v>
                </c:pt>
                <c:pt idx="72">
                  <c:v>86</c:v>
                </c:pt>
                <c:pt idx="73">
                  <c:v>79</c:v>
                </c:pt>
              </c:numCache>
            </c:numRef>
          </c:val>
          <c:smooth val="0"/>
        </c:ser>
        <c:ser>
          <c:idx val="1"/>
          <c:order val="1"/>
          <c:tx>
            <c:strRef>
              <c:f>'Sheet1 (14)'!$C$4:$C$5</c:f>
              <c:strCache>
                <c:ptCount val="1"/>
                <c:pt idx="0">
                  <c:v>Pre-init</c:v>
                </c:pt>
              </c:strCache>
            </c:strRef>
          </c:tx>
          <c:marker>
            <c:symbol val="none"/>
          </c:marker>
          <c:cat>
            <c:strRef>
              <c:f>'Sheet1 (14)'!$A$6:$A$80</c:f>
              <c:strCache>
                <c:ptCount val="74"/>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pt idx="53">
                  <c:v>27</c:v>
                </c:pt>
                <c:pt idx="54">
                  <c:v>28</c:v>
                </c:pt>
                <c:pt idx="55">
                  <c:v>29</c:v>
                </c:pt>
                <c:pt idx="56">
                  <c:v>30</c:v>
                </c:pt>
                <c:pt idx="57">
                  <c:v>31</c:v>
                </c:pt>
                <c:pt idx="58">
                  <c:v>32</c:v>
                </c:pt>
                <c:pt idx="59">
                  <c:v>33</c:v>
                </c:pt>
                <c:pt idx="60">
                  <c:v>34</c:v>
                </c:pt>
                <c:pt idx="61">
                  <c:v>35</c:v>
                </c:pt>
                <c:pt idx="62">
                  <c:v>36</c:v>
                </c:pt>
                <c:pt idx="63">
                  <c:v>37</c:v>
                </c:pt>
                <c:pt idx="64">
                  <c:v>38</c:v>
                </c:pt>
                <c:pt idx="65">
                  <c:v>39</c:v>
                </c:pt>
                <c:pt idx="66">
                  <c:v>40</c:v>
                </c:pt>
                <c:pt idx="67">
                  <c:v>41</c:v>
                </c:pt>
                <c:pt idx="68">
                  <c:v>42</c:v>
                </c:pt>
                <c:pt idx="69">
                  <c:v>43</c:v>
                </c:pt>
                <c:pt idx="70">
                  <c:v>44</c:v>
                </c:pt>
                <c:pt idx="71">
                  <c:v>45</c:v>
                </c:pt>
                <c:pt idx="72">
                  <c:v>46</c:v>
                </c:pt>
                <c:pt idx="73">
                  <c:v>47</c:v>
                </c:pt>
              </c:strCache>
            </c:strRef>
          </c:cat>
          <c:val>
            <c:numRef>
              <c:f>'Sheet1 (14)'!$C$6:$C$80</c:f>
              <c:numCache>
                <c:formatCode>General</c:formatCode>
                <c:ptCount val="74"/>
                <c:pt idx="0">
                  <c:v>59</c:v>
                </c:pt>
                <c:pt idx="1">
                  <c:v>63</c:v>
                </c:pt>
                <c:pt idx="2">
                  <c:v>59</c:v>
                </c:pt>
                <c:pt idx="3">
                  <c:v>61</c:v>
                </c:pt>
                <c:pt idx="4">
                  <c:v>63</c:v>
                </c:pt>
                <c:pt idx="5">
                  <c:v>63</c:v>
                </c:pt>
                <c:pt idx="6">
                  <c:v>62</c:v>
                </c:pt>
                <c:pt idx="7">
                  <c:v>60</c:v>
                </c:pt>
                <c:pt idx="8">
                  <c:v>53</c:v>
                </c:pt>
                <c:pt idx="9">
                  <c:v>54</c:v>
                </c:pt>
                <c:pt idx="10">
                  <c:v>52</c:v>
                </c:pt>
                <c:pt idx="11">
                  <c:v>52</c:v>
                </c:pt>
                <c:pt idx="12">
                  <c:v>55</c:v>
                </c:pt>
                <c:pt idx="13">
                  <c:v>56</c:v>
                </c:pt>
                <c:pt idx="14">
                  <c:v>58</c:v>
                </c:pt>
                <c:pt idx="15">
                  <c:v>61</c:v>
                </c:pt>
                <c:pt idx="16">
                  <c:v>66</c:v>
                </c:pt>
                <c:pt idx="17">
                  <c:v>65</c:v>
                </c:pt>
                <c:pt idx="18">
                  <c:v>62</c:v>
                </c:pt>
                <c:pt idx="19">
                  <c:v>65</c:v>
                </c:pt>
                <c:pt idx="20">
                  <c:v>68</c:v>
                </c:pt>
                <c:pt idx="21">
                  <c:v>65</c:v>
                </c:pt>
                <c:pt idx="22">
                  <c:v>70</c:v>
                </c:pt>
                <c:pt idx="23">
                  <c:v>73</c:v>
                </c:pt>
                <c:pt idx="24">
                  <c:v>75</c:v>
                </c:pt>
                <c:pt idx="25">
                  <c:v>79</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numCache>
            </c:numRef>
          </c:val>
          <c:smooth val="0"/>
        </c:ser>
        <c:dLbls>
          <c:showLegendKey val="0"/>
          <c:showVal val="0"/>
          <c:showCatName val="0"/>
          <c:showSerName val="0"/>
          <c:showPercent val="0"/>
          <c:showBubbleSize val="0"/>
        </c:dLbls>
        <c:marker val="1"/>
        <c:smooth val="0"/>
        <c:axId val="100142464"/>
        <c:axId val="101622912"/>
      </c:lineChart>
      <c:catAx>
        <c:axId val="100142464"/>
        <c:scaling>
          <c:orientation val="minMax"/>
        </c:scaling>
        <c:delete val="0"/>
        <c:axPos val="b"/>
        <c:majorTickMark val="none"/>
        <c:minorTickMark val="none"/>
        <c:tickLblPos val="nextTo"/>
        <c:crossAx val="101622912"/>
        <c:crosses val="autoZero"/>
        <c:auto val="1"/>
        <c:lblAlgn val="ctr"/>
        <c:lblOffset val="100"/>
        <c:noMultiLvlLbl val="0"/>
      </c:catAx>
      <c:valAx>
        <c:axId val="101622912"/>
        <c:scaling>
          <c:orientation val="minMax"/>
        </c:scaling>
        <c:delete val="0"/>
        <c:axPos val="l"/>
        <c:majorGridlines/>
        <c:title>
          <c:tx>
            <c:rich>
              <a:bodyPr/>
              <a:lstStyle/>
              <a:p>
                <a:pPr>
                  <a:defRPr/>
                </a:pPr>
                <a:r>
                  <a:rPr lang="en-AU"/>
                  <a:t>Patients</a:t>
                </a:r>
              </a:p>
            </c:rich>
          </c:tx>
          <c:overlay val="0"/>
        </c:title>
        <c:numFmt formatCode="#,##0" sourceLinked="0"/>
        <c:majorTickMark val="none"/>
        <c:minorTickMark val="none"/>
        <c:tickLblPos val="nextTo"/>
        <c:crossAx val="100142464"/>
        <c:crosses val="autoZero"/>
        <c:crossBetween val="between"/>
      </c:valAx>
    </c:plotArea>
    <c:legend>
      <c:legendPos val="r"/>
      <c:overlay val="0"/>
      <c:txPr>
        <a:bodyPr/>
        <a:lstStyle/>
        <a:p>
          <a:pPr>
            <a:defRPr sz="800"/>
          </a:pPr>
          <a:endParaRPr lang="en-US"/>
        </a:p>
      </c:txPr>
    </c:legend>
    <c:plotVisOnly val="1"/>
    <c:dispBlanksAs val="gap"/>
    <c:showDLblsOverMax val="0"/>
  </c:chart>
  <c:spPr>
    <a:ln>
      <a:noFill/>
    </a:ln>
  </c:sp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[D814, exenatide, prev regimens,  aug10tomar14 init, fu to mar14 - no SP logic &amp; break=2SD if coverage past init, remove combos &amp; antiemetics, fixed end_date, v10.xlsx]Sheet1 (14)!PivotTable1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marker>
          <c:symbol val="none"/>
        </c:marker>
      </c:pivotFmt>
      <c:pivotFmt>
        <c:idx val="1113"/>
        <c:marker>
          <c:symbol val="none"/>
        </c:marker>
      </c:pivotFmt>
      <c:pivotFmt>
        <c:idx val="1114"/>
        <c:marker>
          <c:symbol val="none"/>
        </c:marker>
      </c:pivotFmt>
      <c:pivotFmt>
        <c:idx val="1115"/>
        <c:marker>
          <c:symbol val="none"/>
        </c:marker>
      </c:pivotFmt>
      <c:pivotFmt>
        <c:idx val="1116"/>
        <c:marker>
          <c:symbol val="none"/>
        </c:marker>
      </c:pivotFmt>
      <c:pivotFmt>
        <c:idx val="1117"/>
        <c:marker>
          <c:symbol val="none"/>
        </c:marker>
      </c:pivotFmt>
      <c:pivotFmt>
        <c:idx val="1118"/>
        <c:marker>
          <c:symbol val="none"/>
        </c:marker>
      </c:pivotFmt>
      <c:pivotFmt>
        <c:idx val="1119"/>
        <c:marker>
          <c:symbol val="none"/>
        </c:marker>
      </c:pivotFmt>
      <c:pivotFmt>
        <c:idx val="1120"/>
        <c:marker>
          <c:symbol val="none"/>
        </c:marker>
      </c:pivotFmt>
      <c:pivotFmt>
        <c:idx val="1121"/>
        <c:marker>
          <c:symbol val="none"/>
        </c:marker>
      </c:pivotFmt>
      <c:pivotFmt>
        <c:idx val="1122"/>
        <c:marker>
          <c:symbol val="none"/>
        </c:marker>
      </c:pivotFmt>
      <c:pivotFmt>
        <c:idx val="1123"/>
        <c:marker>
          <c:symbol val="none"/>
        </c:marker>
      </c:pivotFmt>
      <c:pivotFmt>
        <c:idx val="1124"/>
        <c:marker>
          <c:symbol val="none"/>
        </c:marker>
      </c:pivotFmt>
      <c:pivotFmt>
        <c:idx val="1125"/>
        <c:marker>
          <c:symbol val="none"/>
        </c:marker>
      </c:pivotFmt>
      <c:pivotFmt>
        <c:idx val="1126"/>
        <c:marker>
          <c:symbol val="none"/>
        </c:marker>
      </c:pivotFmt>
      <c:pivotFmt>
        <c:idx val="1127"/>
        <c:marker>
          <c:symbol val="none"/>
        </c:marker>
      </c:pivotFmt>
      <c:pivotFmt>
        <c:idx val="1128"/>
        <c:marker>
          <c:symbol val="none"/>
        </c:marker>
      </c:pivotFmt>
      <c:pivotFmt>
        <c:idx val="1129"/>
        <c:marker>
          <c:symbol val="none"/>
        </c:marker>
      </c:pivotFmt>
      <c:pivotFmt>
        <c:idx val="1130"/>
        <c:marker>
          <c:symbol val="none"/>
        </c:marker>
      </c:pivotFmt>
      <c:pivotFmt>
        <c:idx val="1131"/>
        <c:marker>
          <c:symbol val="none"/>
        </c:marker>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marker>
          <c:symbol val="none"/>
        </c:marker>
      </c:pivotFmt>
      <c:pivotFmt>
        <c:idx val="1153"/>
        <c:marker>
          <c:symbol val="none"/>
        </c:marker>
      </c:pivotFmt>
      <c:pivotFmt>
        <c:idx val="1154"/>
        <c:marker>
          <c:symbol val="none"/>
        </c:marker>
      </c:pivotFmt>
      <c:pivotFmt>
        <c:idx val="1155"/>
        <c:marker>
          <c:symbol val="none"/>
        </c:marker>
      </c:pivotFmt>
      <c:pivotFmt>
        <c:idx val="1156"/>
        <c:marker>
          <c:symbol val="none"/>
        </c:marker>
      </c:pivotFmt>
      <c:pivotFmt>
        <c:idx val="1157"/>
        <c:marker>
          <c:symbol val="none"/>
        </c:marker>
      </c:pivotFmt>
      <c:pivotFmt>
        <c:idx val="1158"/>
        <c:marker>
          <c:symbol val="none"/>
        </c:marker>
      </c:pivotFmt>
      <c:pivotFmt>
        <c:idx val="1159"/>
        <c:marker>
          <c:symbol val="none"/>
        </c:marker>
      </c:pivotFmt>
      <c:pivotFmt>
        <c:idx val="1160"/>
        <c:marker>
          <c:symbol val="none"/>
        </c:marker>
      </c:pivotFmt>
      <c:pivotFmt>
        <c:idx val="1161"/>
        <c:marker>
          <c:symbol val="none"/>
        </c:marker>
      </c:pivotFmt>
      <c:pivotFmt>
        <c:idx val="1162"/>
        <c:marker>
          <c:symbol val="none"/>
        </c:marker>
      </c:pivotFmt>
      <c:pivotFmt>
        <c:idx val="1163"/>
        <c:marker>
          <c:symbol val="none"/>
        </c:marker>
      </c:pivotFmt>
      <c:pivotFmt>
        <c:idx val="1164"/>
        <c:marker>
          <c:symbol val="none"/>
        </c:marker>
      </c:pivotFmt>
      <c:pivotFmt>
        <c:idx val="1165"/>
        <c:marker>
          <c:symbol val="none"/>
        </c:marker>
      </c:pivotFmt>
      <c:pivotFmt>
        <c:idx val="1166"/>
        <c:marker>
          <c:symbol val="none"/>
        </c:marker>
      </c:pivotFmt>
      <c:pivotFmt>
        <c:idx val="1167"/>
        <c:marker>
          <c:symbol val="none"/>
        </c:marker>
      </c:pivotFmt>
      <c:pivotFmt>
        <c:idx val="1168"/>
        <c:marker>
          <c:symbol val="none"/>
        </c:marker>
      </c:pivotFmt>
      <c:pivotFmt>
        <c:idx val="1169"/>
        <c:marker>
          <c:symbol val="none"/>
        </c:marker>
      </c:pivotFmt>
      <c:pivotFmt>
        <c:idx val="1170"/>
        <c:marker>
          <c:symbol val="none"/>
        </c:marker>
      </c:pivotFmt>
      <c:pivotFmt>
        <c:idx val="1171"/>
        <c:marker>
          <c:symbol val="none"/>
        </c:marker>
      </c:pivotFmt>
      <c:pivotFmt>
        <c:idx val="1172"/>
        <c:marker>
          <c:symbol val="none"/>
        </c:marker>
      </c:pivotFmt>
      <c:pivotFmt>
        <c:idx val="1173"/>
        <c:marker>
          <c:symbol val="none"/>
        </c:marker>
      </c:pivotFmt>
      <c:pivotFmt>
        <c:idx val="1174"/>
        <c:marker>
          <c:symbol val="none"/>
        </c:marker>
      </c:pivotFmt>
      <c:pivotFmt>
        <c:idx val="1175"/>
        <c:marker>
          <c:symbol val="none"/>
        </c:marker>
      </c:pivotFmt>
      <c:pivotFmt>
        <c:idx val="1176"/>
        <c:marker>
          <c:symbol val="none"/>
        </c:marker>
      </c:pivotFmt>
      <c:pivotFmt>
        <c:idx val="1177"/>
        <c:marker>
          <c:symbol val="none"/>
        </c:marker>
      </c:pivotFmt>
      <c:pivotFmt>
        <c:idx val="1178"/>
        <c:marker>
          <c:symbol val="none"/>
        </c:marker>
      </c:pivotFmt>
      <c:pivotFmt>
        <c:idx val="1179"/>
        <c:marker>
          <c:symbol val="none"/>
        </c:marker>
      </c:pivotFmt>
      <c:pivotFmt>
        <c:idx val="1180"/>
        <c:marker>
          <c:symbol val="none"/>
        </c:marker>
      </c:pivotFmt>
      <c:pivotFmt>
        <c:idx val="1181"/>
        <c:marker>
          <c:symbol val="none"/>
        </c:marker>
      </c:pivotFmt>
      <c:pivotFmt>
        <c:idx val="1182"/>
        <c:marker>
          <c:symbol val="none"/>
        </c:marker>
      </c:pivotFmt>
      <c:pivotFmt>
        <c:idx val="1183"/>
        <c:marker>
          <c:symbol val="none"/>
        </c:marker>
      </c:pivotFmt>
      <c:pivotFmt>
        <c:idx val="1184"/>
        <c:marker>
          <c:symbol val="none"/>
        </c:marker>
      </c:pivotFmt>
      <c:pivotFmt>
        <c:idx val="1185"/>
        <c:marker>
          <c:symbol val="none"/>
        </c:marker>
      </c:pivotFmt>
      <c:pivotFmt>
        <c:idx val="1186"/>
        <c:marker>
          <c:symbol val="none"/>
        </c:marker>
      </c:pivotFmt>
      <c:pivotFmt>
        <c:idx val="1187"/>
        <c:marker>
          <c:symbol val="none"/>
        </c:marker>
      </c:pivotFmt>
      <c:pivotFmt>
        <c:idx val="1188"/>
        <c:marker>
          <c:symbol val="none"/>
        </c:marker>
      </c:pivotFmt>
      <c:pivotFmt>
        <c:idx val="1189"/>
        <c:marker>
          <c:symbol val="none"/>
        </c:marker>
      </c:pivotFmt>
      <c:pivotFmt>
        <c:idx val="1190"/>
        <c:marker>
          <c:symbol val="none"/>
        </c:marker>
      </c:pivotFmt>
      <c:pivotFmt>
        <c:idx val="1191"/>
        <c:marker>
          <c:symbol val="none"/>
        </c:marker>
      </c:pivotFmt>
      <c:pivotFmt>
        <c:idx val="1192"/>
        <c:marker>
          <c:symbol val="none"/>
        </c:marker>
      </c:pivotFmt>
      <c:pivotFmt>
        <c:idx val="1193"/>
        <c:marker>
          <c:symbol val="none"/>
        </c:marker>
      </c:pivotFmt>
      <c:pivotFmt>
        <c:idx val="1194"/>
        <c:marker>
          <c:symbol val="none"/>
        </c:marker>
      </c:pivotFmt>
      <c:pivotFmt>
        <c:idx val="1195"/>
        <c:marker>
          <c:symbol val="none"/>
        </c:marker>
      </c:pivotFmt>
      <c:pivotFmt>
        <c:idx val="1196"/>
        <c:marker>
          <c:symbol val="none"/>
        </c:marker>
      </c:pivotFmt>
      <c:pivotFmt>
        <c:idx val="1197"/>
        <c:marker>
          <c:symbol val="none"/>
        </c:marker>
      </c:pivotFmt>
      <c:pivotFmt>
        <c:idx val="1198"/>
        <c:marker>
          <c:symbol val="none"/>
        </c:marker>
      </c:pivotFmt>
      <c:pivotFmt>
        <c:idx val="1199"/>
        <c:marker>
          <c:symbol val="none"/>
        </c:marker>
      </c:pivotFmt>
      <c:pivotFmt>
        <c:idx val="1200"/>
        <c:marker>
          <c:symbol val="none"/>
        </c:marker>
      </c:pivotFmt>
      <c:pivotFmt>
        <c:idx val="1201"/>
        <c:marker>
          <c:symbol val="none"/>
        </c:marker>
      </c:pivotFmt>
      <c:pivotFmt>
        <c:idx val="1202"/>
        <c:marker>
          <c:symbol val="none"/>
        </c:marker>
      </c:pivotFmt>
      <c:pivotFmt>
        <c:idx val="1203"/>
        <c:marker>
          <c:symbol val="none"/>
        </c:marker>
      </c:pivotFmt>
      <c:pivotFmt>
        <c:idx val="1204"/>
        <c:marker>
          <c:symbol val="none"/>
        </c:marker>
      </c:pivotFmt>
      <c:pivotFmt>
        <c:idx val="1205"/>
        <c:marker>
          <c:symbol val="none"/>
        </c:marker>
      </c:pivotFmt>
      <c:pivotFmt>
        <c:idx val="1206"/>
        <c:marker>
          <c:symbol val="none"/>
        </c:marker>
      </c:pivotFmt>
      <c:pivotFmt>
        <c:idx val="1207"/>
        <c:marker>
          <c:symbol val="none"/>
        </c:marker>
      </c:pivotFmt>
      <c:pivotFmt>
        <c:idx val="1208"/>
        <c:marker>
          <c:symbol val="none"/>
        </c:marker>
      </c:pivotFmt>
      <c:pivotFmt>
        <c:idx val="1209"/>
        <c:marker>
          <c:symbol val="none"/>
        </c:marker>
      </c:pivotFmt>
      <c:pivotFmt>
        <c:idx val="1210"/>
        <c:marker>
          <c:symbol val="none"/>
        </c:marker>
      </c:pivotFmt>
      <c:pivotFmt>
        <c:idx val="1211"/>
        <c:marker>
          <c:symbol val="none"/>
        </c:marker>
      </c:pivotFmt>
      <c:pivotFmt>
        <c:idx val="1212"/>
        <c:marker>
          <c:symbol val="none"/>
        </c:marker>
      </c:pivotFmt>
      <c:pivotFmt>
        <c:idx val="1213"/>
        <c:marker>
          <c:symbol val="none"/>
        </c:marker>
      </c:pivotFmt>
      <c:pivotFmt>
        <c:idx val="1214"/>
        <c:marker>
          <c:symbol val="none"/>
        </c:marker>
      </c:pivotFmt>
      <c:pivotFmt>
        <c:idx val="1215"/>
        <c:marker>
          <c:symbol val="none"/>
        </c:marker>
      </c:pivotFmt>
      <c:pivotFmt>
        <c:idx val="1216"/>
        <c:marker>
          <c:symbol val="none"/>
        </c:marker>
      </c:pivotFmt>
      <c:pivotFmt>
        <c:idx val="1217"/>
        <c:marker>
          <c:symbol val="none"/>
        </c:marker>
      </c:pivotFmt>
      <c:pivotFmt>
        <c:idx val="1218"/>
        <c:marker>
          <c:symbol val="none"/>
        </c:marker>
      </c:pivotFmt>
      <c:pivotFmt>
        <c:idx val="1219"/>
        <c:marker>
          <c:symbol val="none"/>
        </c:marker>
      </c:pivotFmt>
      <c:pivotFmt>
        <c:idx val="1220"/>
        <c:marker>
          <c:symbol val="none"/>
        </c:marker>
      </c:pivotFmt>
      <c:pivotFmt>
        <c:idx val="1221"/>
        <c:marker>
          <c:symbol val="none"/>
        </c:marker>
      </c:pivotFmt>
      <c:pivotFmt>
        <c:idx val="1222"/>
        <c:marker>
          <c:symbol val="none"/>
        </c:marker>
      </c:pivotFmt>
      <c:pivotFmt>
        <c:idx val="1223"/>
        <c:marker>
          <c:symbol val="none"/>
        </c:marker>
      </c:pivotFmt>
      <c:pivotFmt>
        <c:idx val="1224"/>
        <c:marker>
          <c:symbol val="none"/>
        </c:marker>
      </c:pivotFmt>
      <c:pivotFmt>
        <c:idx val="1225"/>
        <c:marker>
          <c:symbol val="none"/>
        </c:marker>
      </c:pivotFmt>
      <c:pivotFmt>
        <c:idx val="1226"/>
        <c:marker>
          <c:symbol val="none"/>
        </c:marker>
      </c:pivotFmt>
      <c:pivotFmt>
        <c:idx val="1227"/>
        <c:marker>
          <c:symbol val="none"/>
        </c:marker>
      </c:pivotFmt>
      <c:pivotFmt>
        <c:idx val="1228"/>
        <c:marker>
          <c:symbol val="none"/>
        </c:marker>
      </c:pivotFmt>
      <c:pivotFmt>
        <c:idx val="1229"/>
        <c:marker>
          <c:symbol val="none"/>
        </c:marker>
      </c:pivotFmt>
      <c:pivotFmt>
        <c:idx val="1230"/>
        <c:marker>
          <c:symbol val="none"/>
        </c:marker>
      </c:pivotFmt>
      <c:pivotFmt>
        <c:idx val="1231"/>
        <c:marker>
          <c:symbol val="none"/>
        </c:marker>
      </c:pivotFmt>
      <c:pivotFmt>
        <c:idx val="1232"/>
        <c:marker>
          <c:symbol val="none"/>
        </c:marker>
      </c:pivotFmt>
      <c:pivotFmt>
        <c:idx val="1233"/>
        <c:marker>
          <c:symbol val="none"/>
        </c:marker>
      </c:pivotFmt>
      <c:pivotFmt>
        <c:idx val="1234"/>
        <c:marker>
          <c:symbol val="none"/>
        </c:marker>
      </c:pivotFmt>
      <c:pivotFmt>
        <c:idx val="1235"/>
        <c:marker>
          <c:symbol val="none"/>
        </c:marker>
      </c:pivotFmt>
      <c:pivotFmt>
        <c:idx val="1236"/>
        <c:marker>
          <c:symbol val="none"/>
        </c:marker>
      </c:pivotFmt>
      <c:pivotFmt>
        <c:idx val="1237"/>
        <c:marker>
          <c:symbol val="none"/>
        </c:marker>
      </c:pivotFmt>
      <c:pivotFmt>
        <c:idx val="1238"/>
        <c:marker>
          <c:symbol val="none"/>
        </c:marker>
      </c:pivotFmt>
      <c:pivotFmt>
        <c:idx val="1239"/>
        <c:marker>
          <c:symbol val="none"/>
        </c:marker>
      </c:pivotFmt>
      <c:pivotFmt>
        <c:idx val="1240"/>
        <c:marker>
          <c:symbol val="none"/>
        </c:marker>
      </c:pivotFmt>
      <c:pivotFmt>
        <c:idx val="1241"/>
        <c:marker>
          <c:symbol val="none"/>
        </c:marker>
      </c:pivotFmt>
      <c:pivotFmt>
        <c:idx val="1242"/>
        <c:marker>
          <c:symbol val="none"/>
        </c:marker>
      </c:pivotFmt>
      <c:pivotFmt>
        <c:idx val="1243"/>
        <c:marker>
          <c:symbol val="none"/>
        </c:marker>
      </c:pivotFmt>
      <c:pivotFmt>
        <c:idx val="1244"/>
        <c:marker>
          <c:symbol val="none"/>
        </c:marker>
      </c:pivotFmt>
      <c:pivotFmt>
        <c:idx val="1245"/>
        <c:marker>
          <c:symbol val="none"/>
        </c:marker>
      </c:pivotFmt>
      <c:pivotFmt>
        <c:idx val="1246"/>
        <c:marker>
          <c:symbol val="none"/>
        </c:marker>
      </c:pivotFmt>
      <c:pivotFmt>
        <c:idx val="1247"/>
        <c:marker>
          <c:symbol val="none"/>
        </c:marker>
      </c:pivotFmt>
      <c:pivotFmt>
        <c:idx val="1248"/>
        <c:marker>
          <c:symbol val="none"/>
        </c:marker>
      </c:pivotFmt>
      <c:pivotFmt>
        <c:idx val="1249"/>
        <c:marker>
          <c:symbol val="none"/>
        </c:marker>
      </c:pivotFmt>
      <c:pivotFmt>
        <c:idx val="1250"/>
        <c:marker>
          <c:symbol val="none"/>
        </c:marker>
      </c:pivotFmt>
      <c:pivotFmt>
        <c:idx val="1251"/>
        <c:marker>
          <c:symbol val="none"/>
        </c:marker>
      </c:pivotFmt>
      <c:pivotFmt>
        <c:idx val="1252"/>
        <c:marker>
          <c:symbol val="none"/>
        </c:marker>
      </c:pivotFmt>
      <c:pivotFmt>
        <c:idx val="1253"/>
        <c:marker>
          <c:symbol val="none"/>
        </c:marker>
      </c:pivotFmt>
      <c:pivotFmt>
        <c:idx val="1254"/>
        <c:marker>
          <c:symbol val="none"/>
        </c:marker>
      </c:pivotFmt>
      <c:pivotFmt>
        <c:idx val="1255"/>
        <c:marker>
          <c:symbol val="none"/>
        </c:marker>
      </c:pivotFmt>
      <c:pivotFmt>
        <c:idx val="1256"/>
        <c:marker>
          <c:symbol val="none"/>
        </c:marker>
      </c:pivotFmt>
      <c:pivotFmt>
        <c:idx val="1257"/>
        <c:marker>
          <c:symbol val="none"/>
        </c:marker>
      </c:pivotFmt>
      <c:pivotFmt>
        <c:idx val="1258"/>
        <c:marker>
          <c:symbol val="none"/>
        </c:marker>
      </c:pivotFmt>
      <c:pivotFmt>
        <c:idx val="1259"/>
        <c:marker>
          <c:symbol val="none"/>
        </c:marker>
      </c:pivotFmt>
      <c:pivotFmt>
        <c:idx val="1260"/>
        <c:marker>
          <c:symbol val="none"/>
        </c:marker>
      </c:pivotFmt>
      <c:pivotFmt>
        <c:idx val="1261"/>
        <c:marker>
          <c:symbol val="none"/>
        </c:marker>
      </c:pivotFmt>
      <c:pivotFmt>
        <c:idx val="1262"/>
        <c:spPr>
          <a:ln>
            <a:solidFill>
              <a:schemeClr val="tx1"/>
            </a:solidFill>
          </a:ln>
        </c:spPr>
        <c:marker>
          <c:symbol val="none"/>
        </c:marker>
      </c:pivotFmt>
      <c:pivotFmt>
        <c:idx val="1263"/>
        <c:marker>
          <c:symbol val="none"/>
        </c:marker>
      </c:pivotFmt>
      <c:pivotFmt>
        <c:idx val="1264"/>
        <c:marker>
          <c:symbol val="none"/>
        </c:marker>
      </c:pivotFmt>
      <c:pivotFmt>
        <c:idx val="1265"/>
        <c:marker>
          <c:symbol val="none"/>
        </c:marker>
      </c:pivotFmt>
      <c:pivotFmt>
        <c:idx val="1266"/>
        <c:spPr>
          <a:ln>
            <a:solidFill>
              <a:srgbClr val="FF0000"/>
            </a:solidFill>
          </a:ln>
        </c:spPr>
        <c:marker>
          <c:symbol val="none"/>
        </c:marker>
      </c:pivotFmt>
      <c:pivotFmt>
        <c:idx val="1267"/>
        <c:marker>
          <c:symbol val="none"/>
        </c:marker>
      </c:pivotFmt>
      <c:pivotFmt>
        <c:idx val="1268"/>
        <c:marker>
          <c:symbol val="none"/>
        </c:marker>
      </c:pivotFmt>
      <c:pivotFmt>
        <c:idx val="1269"/>
        <c:marker>
          <c:symbol val="none"/>
        </c:marker>
      </c:pivotFmt>
      <c:pivotFmt>
        <c:idx val="1270"/>
        <c:marker>
          <c:symbol val="none"/>
        </c:marker>
      </c:pivotFmt>
      <c:pivotFmt>
        <c:idx val="1271"/>
        <c:marker>
          <c:symbol val="none"/>
        </c:marker>
      </c:pivotFmt>
      <c:pivotFmt>
        <c:idx val="1272"/>
        <c:marker>
          <c:symbol val="none"/>
        </c:marker>
      </c:pivotFmt>
      <c:pivotFmt>
        <c:idx val="1273"/>
        <c:marker>
          <c:symbol val="none"/>
        </c:marker>
      </c:pivotFmt>
      <c:pivotFmt>
        <c:idx val="1274"/>
        <c:marker>
          <c:symbol val="none"/>
        </c:marker>
      </c:pivotFmt>
      <c:pivotFmt>
        <c:idx val="1275"/>
        <c:marker>
          <c:symbol val="none"/>
        </c:marker>
      </c:pivotFmt>
      <c:pivotFmt>
        <c:idx val="1276"/>
        <c:marker>
          <c:symbol val="none"/>
        </c:marker>
      </c:pivotFmt>
      <c:pivotFmt>
        <c:idx val="1277"/>
        <c:marker>
          <c:symbol val="none"/>
        </c:marker>
      </c:pivotFmt>
      <c:pivotFmt>
        <c:idx val="1278"/>
        <c:marker>
          <c:symbol val="none"/>
        </c:marker>
      </c:pivotFmt>
      <c:pivotFmt>
        <c:idx val="1279"/>
        <c:marker>
          <c:symbol val="none"/>
        </c:marker>
      </c:pivotFmt>
      <c:pivotFmt>
        <c:idx val="1280"/>
        <c:marker>
          <c:symbol val="none"/>
        </c:marker>
      </c:pivotFmt>
      <c:pivotFmt>
        <c:idx val="1281"/>
        <c:marker>
          <c:symbol val="none"/>
        </c:marker>
      </c:pivotFmt>
      <c:pivotFmt>
        <c:idx val="1282"/>
        <c:marker>
          <c:symbol val="none"/>
        </c:marker>
      </c:pivotFmt>
      <c:pivotFmt>
        <c:idx val="1283"/>
        <c:spPr>
          <a:ln>
            <a:solidFill>
              <a:srgbClr val="FF0000"/>
            </a:solidFill>
          </a:ln>
        </c:spPr>
        <c:marker>
          <c:symbol val="none"/>
        </c:marker>
      </c:pivotFmt>
      <c:pivotFmt>
        <c:idx val="1284"/>
        <c:marker>
          <c:symbol val="none"/>
        </c:marker>
      </c:pivotFmt>
      <c:pivotFmt>
        <c:idx val="1285"/>
        <c:spPr>
          <a:ln>
            <a:solidFill>
              <a:schemeClr val="tx1"/>
            </a:solidFill>
          </a:ln>
        </c:spPr>
        <c:marker>
          <c:symbol val="none"/>
        </c:marker>
      </c:pivotFmt>
      <c:pivotFmt>
        <c:idx val="1286"/>
        <c:marker>
          <c:symbol val="none"/>
        </c:marker>
      </c:pivotFmt>
      <c:pivotFmt>
        <c:idx val="1287"/>
        <c:marker>
          <c:symbol val="none"/>
        </c:marker>
      </c:pivotFmt>
      <c:pivotFmt>
        <c:idx val="1288"/>
        <c:marker>
          <c:symbol val="none"/>
        </c:marker>
      </c:pivotFmt>
      <c:pivotFmt>
        <c:idx val="1289"/>
        <c:marker>
          <c:symbol val="none"/>
        </c:marker>
      </c:pivotFmt>
      <c:pivotFmt>
        <c:idx val="1290"/>
        <c:marker>
          <c:symbol val="none"/>
        </c:marker>
      </c:pivotFmt>
      <c:pivotFmt>
        <c:idx val="1291"/>
        <c:marker>
          <c:symbol val="none"/>
        </c:marker>
      </c:pivotFmt>
      <c:pivotFmt>
        <c:idx val="1292"/>
        <c:marker>
          <c:symbol val="none"/>
        </c:marker>
      </c:pivotFmt>
      <c:pivotFmt>
        <c:idx val="1293"/>
        <c:marker>
          <c:symbol val="none"/>
        </c:marker>
      </c:pivotFmt>
      <c:pivotFmt>
        <c:idx val="1294"/>
        <c:marker>
          <c:symbol val="none"/>
        </c:marker>
      </c:pivotFmt>
      <c:pivotFmt>
        <c:idx val="1295"/>
        <c:marker>
          <c:symbol val="none"/>
        </c:marker>
      </c:pivotFmt>
      <c:pivotFmt>
        <c:idx val="1296"/>
        <c:marker>
          <c:symbol val="none"/>
        </c:marker>
      </c:pivotFmt>
      <c:pivotFmt>
        <c:idx val="1297"/>
        <c:marker>
          <c:symbol val="none"/>
        </c:marker>
      </c:pivotFmt>
      <c:pivotFmt>
        <c:idx val="1298"/>
        <c:marker>
          <c:symbol val="none"/>
        </c:marker>
      </c:pivotFmt>
      <c:pivotFmt>
        <c:idx val="1299"/>
        <c:marker>
          <c:symbol val="none"/>
        </c:marker>
      </c:pivotFmt>
      <c:pivotFmt>
        <c:idx val="1300"/>
        <c:marker>
          <c:symbol val="none"/>
        </c:marker>
      </c:pivotFmt>
      <c:pivotFmt>
        <c:idx val="1301"/>
        <c:spPr>
          <a:ln>
            <a:solidFill>
              <a:srgbClr val="FF0000"/>
            </a:solidFill>
          </a:ln>
        </c:spPr>
        <c:marker>
          <c:symbol val="none"/>
        </c:marker>
      </c:pivotFmt>
      <c:pivotFmt>
        <c:idx val="1302"/>
        <c:marker>
          <c:symbol val="none"/>
        </c:marker>
      </c:pivotFmt>
      <c:pivotFmt>
        <c:idx val="1303"/>
        <c:spPr>
          <a:ln>
            <a:solidFill>
              <a:schemeClr val="tx1"/>
            </a:solidFill>
          </a:ln>
        </c:spPr>
        <c:marker>
          <c:symbol val="none"/>
        </c:marker>
      </c:pivotFmt>
      <c:pivotFmt>
        <c:idx val="1304"/>
        <c:marker>
          <c:symbol val="none"/>
        </c:marker>
      </c:pivotFmt>
      <c:pivotFmt>
        <c:idx val="1305"/>
        <c:marker>
          <c:symbol val="none"/>
        </c:marker>
      </c:pivotFmt>
      <c:pivotFmt>
        <c:idx val="1306"/>
        <c:marker>
          <c:symbol val="none"/>
        </c:marker>
      </c:pivotFmt>
      <c:pivotFmt>
        <c:idx val="1307"/>
        <c:marker>
          <c:symbol val="none"/>
        </c:marker>
      </c:pivotFmt>
      <c:pivotFmt>
        <c:idx val="1308"/>
        <c:marker>
          <c:symbol val="none"/>
        </c:marker>
      </c:pivotFmt>
      <c:pivotFmt>
        <c:idx val="1309"/>
        <c:marker>
          <c:symbol val="none"/>
        </c:marker>
      </c:pivotFmt>
      <c:pivotFmt>
        <c:idx val="1310"/>
        <c:marker>
          <c:symbol val="none"/>
        </c:marker>
      </c:pivotFmt>
      <c:pivotFmt>
        <c:idx val="1311"/>
        <c:marker>
          <c:symbol val="none"/>
        </c:marker>
      </c:pivotFmt>
      <c:pivotFmt>
        <c:idx val="1312"/>
        <c:marker>
          <c:symbol val="none"/>
        </c:marker>
      </c:pivotFmt>
      <c:pivotFmt>
        <c:idx val="1313"/>
        <c:marker>
          <c:symbol val="none"/>
        </c:marker>
      </c:pivotFmt>
      <c:pivotFmt>
        <c:idx val="1314"/>
        <c:marker>
          <c:symbol val="none"/>
        </c:marker>
      </c:pivotFmt>
      <c:pivotFmt>
        <c:idx val="1315"/>
        <c:marker>
          <c:symbol val="none"/>
        </c:marker>
      </c:pivotFmt>
      <c:pivotFmt>
        <c:idx val="1316"/>
        <c:marker>
          <c:symbol val="none"/>
        </c:marker>
      </c:pivotFmt>
      <c:pivotFmt>
        <c:idx val="1317"/>
        <c:marker>
          <c:symbol val="none"/>
        </c:marker>
      </c:pivotFmt>
      <c:pivotFmt>
        <c:idx val="1318"/>
        <c:marker>
          <c:symbol val="none"/>
        </c:marker>
      </c:pivotFmt>
      <c:pivotFmt>
        <c:idx val="1319"/>
        <c:spPr>
          <a:ln>
            <a:solidFill>
              <a:srgbClr val="FF0000"/>
            </a:solidFill>
          </a:ln>
        </c:spPr>
        <c:marker>
          <c:symbol val="none"/>
        </c:marker>
      </c:pivotFmt>
      <c:pivotFmt>
        <c:idx val="1320"/>
        <c:marker>
          <c:symbol val="none"/>
        </c:marker>
      </c:pivotFmt>
      <c:pivotFmt>
        <c:idx val="1321"/>
        <c:spPr>
          <a:ln>
            <a:solidFill>
              <a:schemeClr val="tx1"/>
            </a:solidFill>
          </a:ln>
        </c:spPr>
        <c:marker>
          <c:symbol val="none"/>
        </c:marker>
      </c:pivotFmt>
      <c:pivotFmt>
        <c:idx val="1322"/>
        <c:marker>
          <c:symbol val="none"/>
        </c:marker>
      </c:pivotFmt>
      <c:pivotFmt>
        <c:idx val="1323"/>
        <c:marker>
          <c:symbol val="none"/>
        </c:marker>
      </c:pivotFmt>
      <c:pivotFmt>
        <c:idx val="1324"/>
        <c:marker>
          <c:symbol val="none"/>
        </c:marker>
      </c:pivotFmt>
      <c:pivotFmt>
        <c:idx val="1325"/>
        <c:marker>
          <c:symbol val="none"/>
        </c:marker>
      </c:pivotFmt>
      <c:pivotFmt>
        <c:idx val="1326"/>
        <c:marker>
          <c:symbol val="none"/>
        </c:marker>
      </c:pivotFmt>
      <c:pivotFmt>
        <c:idx val="1327"/>
        <c:marker>
          <c:symbol val="none"/>
        </c:marker>
      </c:pivotFmt>
      <c:pivotFmt>
        <c:idx val="1328"/>
        <c:marker>
          <c:symbol val="none"/>
        </c:marker>
      </c:pivotFmt>
      <c:pivotFmt>
        <c:idx val="1329"/>
        <c:marker>
          <c:symbol val="none"/>
        </c:marker>
      </c:pivotFmt>
      <c:pivotFmt>
        <c:idx val="1330"/>
        <c:marker>
          <c:symbol val="none"/>
        </c:marker>
      </c:pivotFmt>
      <c:pivotFmt>
        <c:idx val="1331"/>
        <c:marker>
          <c:symbol val="none"/>
        </c:marker>
      </c:pivotFmt>
      <c:pivotFmt>
        <c:idx val="1332"/>
        <c:marker>
          <c:symbol val="none"/>
        </c:marker>
      </c:pivotFmt>
      <c:pivotFmt>
        <c:idx val="1333"/>
        <c:marker>
          <c:symbol val="none"/>
        </c:marker>
      </c:pivotFmt>
      <c:pivotFmt>
        <c:idx val="1334"/>
        <c:marker>
          <c:symbol val="none"/>
        </c:marker>
      </c:pivotFmt>
      <c:pivotFmt>
        <c:idx val="1335"/>
        <c:marker>
          <c:symbol val="none"/>
        </c:marker>
      </c:pivotFmt>
      <c:pivotFmt>
        <c:idx val="1336"/>
        <c:marker>
          <c:symbol val="none"/>
        </c:marker>
      </c:pivotFmt>
      <c:pivotFmt>
        <c:idx val="1337"/>
        <c:marker>
          <c:symbol val="none"/>
        </c:marker>
      </c:pivotFmt>
      <c:pivotFmt>
        <c:idx val="1338"/>
        <c:marker>
          <c:symbol val="none"/>
        </c:marker>
      </c:pivotFmt>
      <c:pivotFmt>
        <c:idx val="1339"/>
        <c:spPr>
          <a:ln>
            <a:solidFill>
              <a:srgbClr val="FF0000"/>
            </a:solidFill>
          </a:ln>
        </c:spPr>
        <c:marker>
          <c:symbol val="none"/>
        </c:marker>
      </c:pivotFmt>
      <c:pivotFmt>
        <c:idx val="1340"/>
        <c:marker>
          <c:symbol val="none"/>
        </c:marker>
      </c:pivotFmt>
      <c:pivotFmt>
        <c:idx val="1341"/>
        <c:spPr>
          <a:ln>
            <a:solidFill>
              <a:schemeClr val="tx1"/>
            </a:solidFill>
          </a:ln>
        </c:spPr>
        <c:marker>
          <c:symbol val="none"/>
        </c:marker>
      </c:pivotFmt>
      <c:pivotFmt>
        <c:idx val="1342"/>
        <c:marker>
          <c:symbol val="none"/>
        </c:marker>
      </c:pivotFmt>
      <c:pivotFmt>
        <c:idx val="1343"/>
        <c:marker>
          <c:symbol val="none"/>
        </c:marker>
      </c:pivotFmt>
      <c:pivotFmt>
        <c:idx val="1344"/>
        <c:marker>
          <c:symbol val="none"/>
        </c:marker>
      </c:pivotFmt>
      <c:pivotFmt>
        <c:idx val="1345"/>
        <c:marker>
          <c:symbol val="none"/>
        </c:marker>
      </c:pivotFmt>
      <c:pivotFmt>
        <c:idx val="1346"/>
        <c:marker>
          <c:symbol val="none"/>
        </c:marker>
      </c:pivotFmt>
      <c:pivotFmt>
        <c:idx val="1347"/>
        <c:marker>
          <c:symbol val="none"/>
        </c:marker>
      </c:pivotFmt>
      <c:pivotFmt>
        <c:idx val="1348"/>
        <c:marker>
          <c:symbol val="none"/>
        </c:marker>
      </c:pivotFmt>
      <c:pivotFmt>
        <c:idx val="1349"/>
        <c:marker>
          <c:symbol val="none"/>
        </c:marker>
      </c:pivotFmt>
      <c:pivotFmt>
        <c:idx val="1350"/>
        <c:marker>
          <c:symbol val="none"/>
        </c:marker>
      </c:pivotFmt>
      <c:pivotFmt>
        <c:idx val="1351"/>
        <c:marker>
          <c:symbol val="none"/>
        </c:marker>
      </c:pivotFmt>
      <c:pivotFmt>
        <c:idx val="1352"/>
        <c:marker>
          <c:symbol val="none"/>
        </c:marker>
      </c:pivotFmt>
      <c:pivotFmt>
        <c:idx val="1353"/>
        <c:marker>
          <c:symbol val="none"/>
        </c:marker>
      </c:pivotFmt>
      <c:pivotFmt>
        <c:idx val="1354"/>
        <c:marker>
          <c:symbol val="none"/>
        </c:marker>
      </c:pivotFmt>
      <c:pivotFmt>
        <c:idx val="1355"/>
        <c:marker>
          <c:symbol val="none"/>
        </c:marker>
      </c:pivotFmt>
      <c:pivotFmt>
        <c:idx val="1356"/>
        <c:marker>
          <c:symbol val="none"/>
        </c:marker>
      </c:pivotFmt>
      <c:pivotFmt>
        <c:idx val="1357"/>
        <c:marker>
          <c:symbol val="none"/>
        </c:marker>
      </c:pivotFmt>
      <c:pivotFmt>
        <c:idx val="1358"/>
        <c:marker>
          <c:symbol val="none"/>
        </c:marker>
      </c:pivotFmt>
      <c:pivotFmt>
        <c:idx val="1359"/>
        <c:marker>
          <c:symbol val="none"/>
        </c:marker>
      </c:pivotFmt>
      <c:pivotFmt>
        <c:idx val="1360"/>
        <c:marker>
          <c:symbol val="none"/>
        </c:marker>
      </c:pivotFmt>
      <c:pivotFmt>
        <c:idx val="1361"/>
        <c:marker>
          <c:symbol val="none"/>
        </c:marker>
      </c:pivotFmt>
      <c:pivotFmt>
        <c:idx val="1362"/>
        <c:marker>
          <c:symbol val="none"/>
        </c:marker>
      </c:pivotFmt>
      <c:pivotFmt>
        <c:idx val="1363"/>
        <c:marker>
          <c:symbol val="none"/>
        </c:marker>
      </c:pivotFmt>
      <c:pivotFmt>
        <c:idx val="1364"/>
        <c:marker>
          <c:symbol val="none"/>
        </c:marker>
      </c:pivotFmt>
      <c:pivotFmt>
        <c:idx val="1365"/>
        <c:marker>
          <c:symbol val="none"/>
        </c:marker>
      </c:pivotFmt>
      <c:pivotFmt>
        <c:idx val="1366"/>
        <c:marker>
          <c:symbol val="none"/>
        </c:marker>
      </c:pivotFmt>
      <c:pivotFmt>
        <c:idx val="1367"/>
        <c:marker>
          <c:symbol val="none"/>
        </c:marker>
      </c:pivotFmt>
      <c:pivotFmt>
        <c:idx val="1368"/>
        <c:marker>
          <c:symbol val="none"/>
        </c:marker>
      </c:pivotFmt>
      <c:pivotFmt>
        <c:idx val="1369"/>
        <c:marker>
          <c:symbol val="none"/>
        </c:marker>
      </c:pivotFmt>
      <c:pivotFmt>
        <c:idx val="1370"/>
        <c:marker>
          <c:symbol val="none"/>
        </c:marker>
      </c:pivotFmt>
      <c:pivotFmt>
        <c:idx val="1371"/>
        <c:marker>
          <c:symbol val="none"/>
        </c:marker>
      </c:pivotFmt>
      <c:pivotFmt>
        <c:idx val="1372"/>
        <c:marker>
          <c:symbol val="none"/>
        </c:marker>
      </c:pivotFmt>
      <c:pivotFmt>
        <c:idx val="1373"/>
        <c:marker>
          <c:symbol val="none"/>
        </c:marker>
      </c:pivotFmt>
      <c:pivotFmt>
        <c:idx val="1374"/>
        <c:marker>
          <c:symbol val="none"/>
        </c:marker>
      </c:pivotFmt>
      <c:pivotFmt>
        <c:idx val="1375"/>
        <c:marker>
          <c:symbol val="none"/>
        </c:marker>
      </c:pivotFmt>
      <c:pivotFmt>
        <c:idx val="1376"/>
        <c:marker>
          <c:symbol val="none"/>
        </c:marker>
      </c:pivotFmt>
      <c:pivotFmt>
        <c:idx val="1377"/>
        <c:marker>
          <c:symbol val="none"/>
        </c:marker>
      </c:pivotFmt>
      <c:pivotFmt>
        <c:idx val="1378"/>
        <c:marker>
          <c:symbol val="none"/>
        </c:marker>
      </c:pivotFmt>
      <c:pivotFmt>
        <c:idx val="1379"/>
        <c:marker>
          <c:symbol val="none"/>
        </c:marker>
      </c:pivotFmt>
      <c:pivotFmt>
        <c:idx val="1380"/>
        <c:marker>
          <c:symbol val="none"/>
        </c:marker>
      </c:pivotFmt>
      <c:pivotFmt>
        <c:idx val="1381"/>
        <c:marker>
          <c:symbol val="none"/>
        </c:marker>
      </c:pivotFmt>
      <c:pivotFmt>
        <c:idx val="1382"/>
        <c:marker>
          <c:symbol val="none"/>
        </c:marker>
      </c:pivotFmt>
      <c:pivotFmt>
        <c:idx val="1383"/>
        <c:marker>
          <c:symbol val="none"/>
        </c:marker>
      </c:pivotFmt>
      <c:pivotFmt>
        <c:idx val="1384"/>
        <c:marker>
          <c:symbol val="none"/>
        </c:marker>
      </c:pivotFmt>
      <c:pivotFmt>
        <c:idx val="1385"/>
        <c:marker>
          <c:symbol val="none"/>
        </c:marker>
      </c:pivotFmt>
      <c:pivotFmt>
        <c:idx val="1386"/>
        <c:marker>
          <c:symbol val="none"/>
        </c:marker>
      </c:pivotFmt>
      <c:pivotFmt>
        <c:idx val="1387"/>
        <c:marker>
          <c:symbol val="none"/>
        </c:marker>
      </c:pivotFmt>
      <c:pivotFmt>
        <c:idx val="1388"/>
        <c:marker>
          <c:symbol val="none"/>
        </c:marker>
      </c:pivotFmt>
      <c:pivotFmt>
        <c:idx val="1389"/>
        <c:marker>
          <c:symbol val="none"/>
        </c:marker>
      </c:pivotFmt>
      <c:pivotFmt>
        <c:idx val="1390"/>
        <c:marker>
          <c:symbol val="none"/>
        </c:marker>
      </c:pivotFmt>
      <c:pivotFmt>
        <c:idx val="1391"/>
        <c:marker>
          <c:symbol val="none"/>
        </c:marker>
      </c:pivotFmt>
      <c:pivotFmt>
        <c:idx val="1392"/>
        <c:marker>
          <c:symbol val="none"/>
        </c:marker>
      </c:pivotFmt>
      <c:pivotFmt>
        <c:idx val="1393"/>
        <c:marker>
          <c:symbol val="none"/>
        </c:marker>
      </c:pivotFmt>
      <c:pivotFmt>
        <c:idx val="1394"/>
        <c:marker>
          <c:symbol val="none"/>
        </c:marker>
      </c:pivotFmt>
      <c:pivotFmt>
        <c:idx val="1395"/>
        <c:marker>
          <c:symbol val="none"/>
        </c:marker>
      </c:pivotFmt>
      <c:pivotFmt>
        <c:idx val="1396"/>
        <c:marker>
          <c:symbol val="none"/>
        </c:marker>
      </c:pivotFmt>
      <c:pivotFmt>
        <c:idx val="1397"/>
        <c:marker>
          <c:symbol val="none"/>
        </c:marker>
      </c:pivotFmt>
      <c:pivotFmt>
        <c:idx val="1398"/>
        <c:marker>
          <c:symbol val="none"/>
        </c:marker>
      </c:pivotFmt>
      <c:pivotFmt>
        <c:idx val="1399"/>
        <c:marker>
          <c:symbol val="none"/>
        </c:marker>
      </c:pivotFmt>
      <c:pivotFmt>
        <c:idx val="1400"/>
        <c:marker>
          <c:symbol val="none"/>
        </c:marker>
      </c:pivotFmt>
      <c:pivotFmt>
        <c:idx val="1401"/>
        <c:marker>
          <c:symbol val="none"/>
        </c:marker>
      </c:pivotFmt>
      <c:pivotFmt>
        <c:idx val="1402"/>
        <c:marker>
          <c:symbol val="none"/>
        </c:marker>
      </c:pivotFmt>
      <c:pivotFmt>
        <c:idx val="1403"/>
        <c:marker>
          <c:symbol val="none"/>
        </c:marker>
      </c:pivotFmt>
      <c:pivotFmt>
        <c:idx val="1404"/>
        <c:marker>
          <c:symbol val="none"/>
        </c:marker>
      </c:pivotFmt>
      <c:pivotFmt>
        <c:idx val="1405"/>
        <c:marker>
          <c:symbol val="none"/>
        </c:marker>
      </c:pivotFmt>
      <c:pivotFmt>
        <c:idx val="1406"/>
        <c:marker>
          <c:symbol val="none"/>
        </c:marker>
      </c:pivotFmt>
      <c:pivotFmt>
        <c:idx val="1407"/>
        <c:marker>
          <c:symbol val="none"/>
        </c:marker>
      </c:pivotFmt>
      <c:pivotFmt>
        <c:idx val="1408"/>
        <c:marker>
          <c:symbol val="none"/>
        </c:marker>
      </c:pivotFmt>
      <c:pivotFmt>
        <c:idx val="1409"/>
        <c:marker>
          <c:symbol val="none"/>
        </c:marker>
      </c:pivotFmt>
      <c:pivotFmt>
        <c:idx val="1410"/>
        <c:marker>
          <c:symbol val="none"/>
        </c:marker>
      </c:pivotFmt>
      <c:pivotFmt>
        <c:idx val="1411"/>
        <c:marker>
          <c:symbol val="none"/>
        </c:marker>
      </c:pivotFmt>
      <c:pivotFmt>
        <c:idx val="1412"/>
        <c:marker>
          <c:symbol val="none"/>
        </c:marker>
      </c:pivotFmt>
      <c:pivotFmt>
        <c:idx val="1413"/>
        <c:marker>
          <c:symbol val="none"/>
        </c:marker>
      </c:pivotFmt>
      <c:pivotFmt>
        <c:idx val="1414"/>
        <c:marker>
          <c:symbol val="none"/>
        </c:marker>
      </c:pivotFmt>
      <c:pivotFmt>
        <c:idx val="1415"/>
        <c:marker>
          <c:symbol val="none"/>
        </c:marker>
      </c:pivotFmt>
      <c:pivotFmt>
        <c:idx val="1416"/>
        <c:marker>
          <c:symbol val="none"/>
        </c:marker>
      </c:pivotFmt>
      <c:pivotFmt>
        <c:idx val="1417"/>
        <c:marker>
          <c:symbol val="none"/>
        </c:marker>
      </c:pivotFmt>
      <c:pivotFmt>
        <c:idx val="1418"/>
        <c:marker>
          <c:symbol val="none"/>
        </c:marker>
      </c:pivotFmt>
      <c:pivotFmt>
        <c:idx val="1419"/>
        <c:marker>
          <c:symbol val="none"/>
        </c:marker>
      </c:pivotFmt>
      <c:pivotFmt>
        <c:idx val="1420"/>
        <c:marker>
          <c:symbol val="none"/>
        </c:marker>
      </c:pivotFmt>
      <c:pivotFmt>
        <c:idx val="1421"/>
        <c:marker>
          <c:symbol val="none"/>
        </c:marker>
      </c:pivotFmt>
      <c:pivotFmt>
        <c:idx val="1422"/>
        <c:marker>
          <c:symbol val="none"/>
        </c:marker>
      </c:pivotFmt>
      <c:pivotFmt>
        <c:idx val="1423"/>
        <c:marker>
          <c:symbol val="none"/>
        </c:marker>
      </c:pivotFmt>
      <c:pivotFmt>
        <c:idx val="1424"/>
        <c:marker>
          <c:symbol val="none"/>
        </c:marker>
      </c:pivotFmt>
      <c:pivotFmt>
        <c:idx val="1425"/>
        <c:marker>
          <c:symbol val="none"/>
        </c:marker>
      </c:pivotFmt>
      <c:pivotFmt>
        <c:idx val="1426"/>
        <c:marker>
          <c:symbol val="none"/>
        </c:marker>
      </c:pivotFmt>
      <c:pivotFmt>
        <c:idx val="1427"/>
        <c:marker>
          <c:symbol val="none"/>
        </c:marker>
      </c:pivotFmt>
      <c:pivotFmt>
        <c:idx val="1428"/>
        <c:marker>
          <c:symbol val="none"/>
        </c:marker>
      </c:pivotFmt>
      <c:pivotFmt>
        <c:idx val="1429"/>
        <c:marker>
          <c:symbol val="none"/>
        </c:marker>
      </c:pivotFmt>
      <c:pivotFmt>
        <c:idx val="1430"/>
        <c:marker>
          <c:symbol val="none"/>
        </c:marker>
      </c:pivotFmt>
      <c:pivotFmt>
        <c:idx val="1431"/>
        <c:marker>
          <c:symbol val="none"/>
        </c:marker>
      </c:pivotFmt>
      <c:pivotFmt>
        <c:idx val="1432"/>
        <c:marker>
          <c:symbol val="none"/>
        </c:marker>
      </c:pivotFmt>
      <c:pivotFmt>
        <c:idx val="1433"/>
        <c:marker>
          <c:symbol val="none"/>
        </c:marker>
      </c:pivotFmt>
      <c:pivotFmt>
        <c:idx val="1434"/>
        <c:marker>
          <c:symbol val="none"/>
        </c:marker>
      </c:pivotFmt>
      <c:pivotFmt>
        <c:idx val="1435"/>
        <c:marker>
          <c:symbol val="none"/>
        </c:marker>
      </c:pivotFmt>
      <c:pivotFmt>
        <c:idx val="1436"/>
        <c:marker>
          <c:symbol val="none"/>
        </c:marker>
      </c:pivotFmt>
      <c:pivotFmt>
        <c:idx val="1437"/>
        <c:marker>
          <c:symbol val="none"/>
        </c:marker>
      </c:pivotFmt>
      <c:pivotFmt>
        <c:idx val="1438"/>
        <c:marker>
          <c:symbol val="none"/>
        </c:marker>
      </c:pivotFmt>
      <c:pivotFmt>
        <c:idx val="1439"/>
        <c:marker>
          <c:symbol val="none"/>
        </c:marker>
      </c:pivotFmt>
      <c:pivotFmt>
        <c:idx val="1440"/>
        <c:marker>
          <c:symbol val="none"/>
        </c:marker>
      </c:pivotFmt>
      <c:pivotFmt>
        <c:idx val="1441"/>
        <c:marker>
          <c:symbol val="none"/>
        </c:marker>
      </c:pivotFmt>
      <c:pivotFmt>
        <c:idx val="1442"/>
        <c:marker>
          <c:symbol val="none"/>
        </c:marker>
      </c:pivotFmt>
      <c:pivotFmt>
        <c:idx val="1443"/>
        <c:marker>
          <c:symbol val="none"/>
        </c:marker>
      </c:pivotFmt>
      <c:pivotFmt>
        <c:idx val="1444"/>
        <c:marker>
          <c:symbol val="none"/>
        </c:marker>
      </c:pivotFmt>
      <c:pivotFmt>
        <c:idx val="1445"/>
        <c:marker>
          <c:symbol val="none"/>
        </c:marker>
      </c:pivotFmt>
      <c:pivotFmt>
        <c:idx val="1446"/>
        <c:marker>
          <c:symbol val="none"/>
        </c:marker>
      </c:pivotFmt>
      <c:pivotFmt>
        <c:idx val="1447"/>
        <c:marker>
          <c:symbol val="none"/>
        </c:marker>
      </c:pivotFmt>
      <c:pivotFmt>
        <c:idx val="1448"/>
        <c:marker>
          <c:symbol val="none"/>
        </c:marker>
      </c:pivotFmt>
      <c:pivotFmt>
        <c:idx val="1449"/>
        <c:marker>
          <c:symbol val="none"/>
        </c:marker>
      </c:pivotFmt>
      <c:pivotFmt>
        <c:idx val="1450"/>
        <c:marker>
          <c:symbol val="none"/>
        </c:marker>
      </c:pivotFmt>
      <c:pivotFmt>
        <c:idx val="1451"/>
        <c:marker>
          <c:symbol val="none"/>
        </c:marker>
      </c:pivotFmt>
      <c:pivotFmt>
        <c:idx val="1452"/>
        <c:marker>
          <c:symbol val="none"/>
        </c:marker>
      </c:pivotFmt>
      <c:pivotFmt>
        <c:idx val="1453"/>
        <c:marker>
          <c:symbol val="none"/>
        </c:marker>
      </c:pivotFmt>
      <c:pivotFmt>
        <c:idx val="1454"/>
        <c:marker>
          <c:symbol val="none"/>
        </c:marker>
      </c:pivotFmt>
      <c:pivotFmt>
        <c:idx val="1455"/>
        <c:marker>
          <c:symbol val="none"/>
        </c:marker>
      </c:pivotFmt>
      <c:pivotFmt>
        <c:idx val="1456"/>
        <c:marker>
          <c:symbol val="none"/>
        </c:marker>
      </c:pivotFmt>
      <c:pivotFmt>
        <c:idx val="1457"/>
        <c:marker>
          <c:symbol val="none"/>
        </c:marker>
      </c:pivotFmt>
      <c:pivotFmt>
        <c:idx val="1458"/>
        <c:marker>
          <c:symbol val="none"/>
        </c:marker>
      </c:pivotFmt>
      <c:pivotFmt>
        <c:idx val="1459"/>
        <c:marker>
          <c:symbol val="none"/>
        </c:marker>
      </c:pivotFmt>
      <c:pivotFmt>
        <c:idx val="1460"/>
        <c:marker>
          <c:symbol val="none"/>
        </c:marker>
      </c:pivotFmt>
      <c:pivotFmt>
        <c:idx val="1461"/>
        <c:marker>
          <c:symbol val="none"/>
        </c:marker>
      </c:pivotFmt>
      <c:pivotFmt>
        <c:idx val="1462"/>
        <c:marker>
          <c:symbol val="none"/>
        </c:marker>
      </c:pivotFmt>
      <c:pivotFmt>
        <c:idx val="1463"/>
        <c:marker>
          <c:symbol val="none"/>
        </c:marker>
      </c:pivotFmt>
      <c:pivotFmt>
        <c:idx val="1464"/>
        <c:marker>
          <c:symbol val="none"/>
        </c:marker>
      </c:pivotFmt>
      <c:pivotFmt>
        <c:idx val="1465"/>
        <c:marker>
          <c:symbol val="none"/>
        </c:marker>
      </c:pivotFmt>
      <c:pivotFmt>
        <c:idx val="1466"/>
        <c:marker>
          <c:symbol val="none"/>
        </c:marker>
      </c:pivotFmt>
      <c:pivotFmt>
        <c:idx val="1467"/>
        <c:marker>
          <c:symbol val="none"/>
        </c:marker>
      </c:pivotFmt>
      <c:pivotFmt>
        <c:idx val="1468"/>
        <c:marker>
          <c:symbol val="none"/>
        </c:marker>
      </c:pivotFmt>
      <c:pivotFmt>
        <c:idx val="1469"/>
        <c:marker>
          <c:symbol val="none"/>
        </c:marker>
      </c:pivotFmt>
      <c:pivotFmt>
        <c:idx val="1470"/>
        <c:marker>
          <c:symbol val="none"/>
        </c:marker>
      </c:pivotFmt>
      <c:pivotFmt>
        <c:idx val="1471"/>
        <c:marker>
          <c:symbol val="none"/>
        </c:marker>
      </c:pivotFmt>
      <c:pivotFmt>
        <c:idx val="1472"/>
        <c:marker>
          <c:symbol val="none"/>
        </c:marker>
      </c:pivotFmt>
      <c:pivotFmt>
        <c:idx val="1473"/>
        <c:marker>
          <c:symbol val="none"/>
        </c:marker>
      </c:pivotFmt>
      <c:pivotFmt>
        <c:idx val="1474"/>
        <c:marker>
          <c:symbol val="none"/>
        </c:marker>
      </c:pivotFmt>
      <c:pivotFmt>
        <c:idx val="1475"/>
        <c:marker>
          <c:symbol val="none"/>
        </c:marker>
      </c:pivotFmt>
      <c:pivotFmt>
        <c:idx val="1476"/>
        <c:marker>
          <c:symbol val="none"/>
        </c:marker>
      </c:pivotFmt>
      <c:pivotFmt>
        <c:idx val="1477"/>
        <c:marker>
          <c:symbol val="none"/>
        </c:marker>
      </c:pivotFmt>
      <c:pivotFmt>
        <c:idx val="1478"/>
        <c:marker>
          <c:symbol val="none"/>
        </c:marker>
      </c:pivotFmt>
      <c:pivotFmt>
        <c:idx val="1479"/>
        <c:marker>
          <c:symbol val="none"/>
        </c:marker>
      </c:pivotFmt>
      <c:pivotFmt>
        <c:idx val="1480"/>
        <c:marker>
          <c:symbol val="none"/>
        </c:marker>
      </c:pivotFmt>
      <c:pivotFmt>
        <c:idx val="1481"/>
        <c:marker>
          <c:symbol val="none"/>
        </c:marker>
      </c:pivotFmt>
      <c:pivotFmt>
        <c:idx val="1482"/>
        <c:marker>
          <c:symbol val="none"/>
        </c:marker>
      </c:pivotFmt>
      <c:pivotFmt>
        <c:idx val="1483"/>
        <c:marker>
          <c:symbol val="none"/>
        </c:marker>
      </c:pivotFmt>
      <c:pivotFmt>
        <c:idx val="1484"/>
        <c:marker>
          <c:symbol val="none"/>
        </c:marker>
      </c:pivotFmt>
      <c:pivotFmt>
        <c:idx val="1485"/>
        <c:marker>
          <c:symbol val="none"/>
        </c:marker>
      </c:pivotFmt>
      <c:pivotFmt>
        <c:idx val="1486"/>
        <c:marker>
          <c:symbol val="none"/>
        </c:marker>
      </c:pivotFmt>
      <c:pivotFmt>
        <c:idx val="1487"/>
        <c:marker>
          <c:symbol val="none"/>
        </c:marker>
      </c:pivotFmt>
      <c:pivotFmt>
        <c:idx val="1488"/>
        <c:marker>
          <c:symbol val="none"/>
        </c:marker>
      </c:pivotFmt>
      <c:pivotFmt>
        <c:idx val="1489"/>
        <c:marker>
          <c:symbol val="none"/>
        </c:marker>
      </c:pivotFmt>
      <c:pivotFmt>
        <c:idx val="1490"/>
        <c:marker>
          <c:symbol val="none"/>
        </c:marker>
      </c:pivotFmt>
      <c:pivotFmt>
        <c:idx val="1491"/>
        <c:marker>
          <c:symbol val="none"/>
        </c:marker>
      </c:pivotFmt>
      <c:pivotFmt>
        <c:idx val="1492"/>
        <c:marker>
          <c:symbol val="none"/>
        </c:marker>
      </c:pivotFmt>
      <c:pivotFmt>
        <c:idx val="1493"/>
        <c:marker>
          <c:symbol val="none"/>
        </c:marker>
      </c:pivotFmt>
      <c:pivotFmt>
        <c:idx val="1494"/>
        <c:marker>
          <c:symbol val="none"/>
        </c:marker>
      </c:pivotFmt>
      <c:pivotFmt>
        <c:idx val="1495"/>
        <c:marker>
          <c:symbol val="none"/>
        </c:marker>
      </c:pivotFmt>
      <c:pivotFmt>
        <c:idx val="1496"/>
        <c:marker>
          <c:symbol val="none"/>
        </c:marker>
      </c:pivotFmt>
      <c:pivotFmt>
        <c:idx val="1497"/>
        <c:marker>
          <c:symbol val="none"/>
        </c:marker>
      </c:pivotFmt>
      <c:pivotFmt>
        <c:idx val="1498"/>
        <c:marker>
          <c:symbol val="none"/>
        </c:marker>
      </c:pivotFmt>
      <c:pivotFmt>
        <c:idx val="1499"/>
        <c:marker>
          <c:symbol val="none"/>
        </c:marker>
      </c:pivotFmt>
      <c:pivotFmt>
        <c:idx val="1500"/>
        <c:marker>
          <c:symbol val="none"/>
        </c:marker>
      </c:pivotFmt>
      <c:pivotFmt>
        <c:idx val="1501"/>
        <c:marker>
          <c:symbol val="none"/>
        </c:marker>
      </c:pivotFmt>
      <c:pivotFmt>
        <c:idx val="1502"/>
        <c:marker>
          <c:symbol val="none"/>
        </c:marker>
      </c:pivotFmt>
      <c:pivotFmt>
        <c:idx val="1503"/>
        <c:marker>
          <c:symbol val="none"/>
        </c:marker>
      </c:pivotFmt>
      <c:pivotFmt>
        <c:idx val="1504"/>
        <c:marker>
          <c:symbol val="none"/>
        </c:marker>
      </c:pivotFmt>
      <c:pivotFmt>
        <c:idx val="1505"/>
        <c:marker>
          <c:symbol val="none"/>
        </c:marker>
      </c:pivotFmt>
      <c:pivotFmt>
        <c:idx val="1506"/>
        <c:marker>
          <c:symbol val="none"/>
        </c:marker>
      </c:pivotFmt>
      <c:pivotFmt>
        <c:idx val="1507"/>
        <c:marker>
          <c:symbol val="none"/>
        </c:marker>
      </c:pivotFmt>
      <c:pivotFmt>
        <c:idx val="1508"/>
        <c:marker>
          <c:symbol val="none"/>
        </c:marker>
      </c:pivotFmt>
      <c:pivotFmt>
        <c:idx val="1509"/>
        <c:marker>
          <c:symbol val="none"/>
        </c:marker>
      </c:pivotFmt>
      <c:pivotFmt>
        <c:idx val="1510"/>
        <c:marker>
          <c:symbol val="none"/>
        </c:marker>
      </c:pivotFmt>
      <c:pivotFmt>
        <c:idx val="1511"/>
        <c:marker>
          <c:symbol val="none"/>
        </c:marker>
      </c:pivotFmt>
      <c:pivotFmt>
        <c:idx val="1512"/>
        <c:marker>
          <c:symbol val="none"/>
        </c:marker>
      </c:pivotFmt>
      <c:pivotFmt>
        <c:idx val="1513"/>
        <c:marker>
          <c:symbol val="none"/>
        </c:marker>
      </c:pivotFmt>
      <c:pivotFmt>
        <c:idx val="1514"/>
        <c:marker>
          <c:symbol val="none"/>
        </c:marker>
      </c:pivotFmt>
      <c:pivotFmt>
        <c:idx val="1515"/>
        <c:marker>
          <c:symbol val="none"/>
        </c:marker>
      </c:pivotFmt>
      <c:pivotFmt>
        <c:idx val="1516"/>
        <c:marker>
          <c:symbol val="none"/>
        </c:marker>
      </c:pivotFmt>
      <c:pivotFmt>
        <c:idx val="1517"/>
        <c:marker>
          <c:symbol val="none"/>
        </c:marker>
      </c:pivotFmt>
      <c:pivotFmt>
        <c:idx val="1518"/>
        <c:marker>
          <c:symbol val="none"/>
        </c:marker>
      </c:pivotFmt>
      <c:pivotFmt>
        <c:idx val="1519"/>
        <c:marker>
          <c:symbol val="none"/>
        </c:marker>
      </c:pivotFmt>
      <c:pivotFmt>
        <c:idx val="1520"/>
        <c:marker>
          <c:symbol val="none"/>
        </c:marker>
      </c:pivotFmt>
      <c:pivotFmt>
        <c:idx val="1521"/>
        <c:marker>
          <c:symbol val="none"/>
        </c:marker>
      </c:pivotFmt>
      <c:pivotFmt>
        <c:idx val="1522"/>
        <c:marker>
          <c:symbol val="none"/>
        </c:marker>
      </c:pivotFmt>
      <c:pivotFmt>
        <c:idx val="1523"/>
        <c:marker>
          <c:symbol val="none"/>
        </c:marker>
      </c:pivotFmt>
      <c:pivotFmt>
        <c:idx val="1524"/>
        <c:marker>
          <c:symbol val="none"/>
        </c:marker>
      </c:pivotFmt>
      <c:pivotFmt>
        <c:idx val="1525"/>
        <c:marker>
          <c:symbol val="none"/>
        </c:marker>
      </c:pivotFmt>
      <c:pivotFmt>
        <c:idx val="1526"/>
        <c:marker>
          <c:symbol val="none"/>
        </c:marker>
      </c:pivotFmt>
      <c:pivotFmt>
        <c:idx val="1527"/>
        <c:marker>
          <c:symbol val="none"/>
        </c:marker>
      </c:pivotFmt>
      <c:pivotFmt>
        <c:idx val="1528"/>
        <c:marker>
          <c:symbol val="none"/>
        </c:marker>
      </c:pivotFmt>
      <c:pivotFmt>
        <c:idx val="1529"/>
        <c:marker>
          <c:symbol val="none"/>
        </c:marker>
      </c:pivotFmt>
      <c:pivotFmt>
        <c:idx val="1530"/>
        <c:marker>
          <c:symbol val="none"/>
        </c:marker>
      </c:pivotFmt>
      <c:pivotFmt>
        <c:idx val="1531"/>
        <c:marker>
          <c:symbol val="none"/>
        </c:marker>
      </c:pivotFmt>
      <c:pivotFmt>
        <c:idx val="1532"/>
        <c:marker>
          <c:symbol val="none"/>
        </c:marker>
      </c:pivotFmt>
      <c:pivotFmt>
        <c:idx val="1533"/>
        <c:marker>
          <c:symbol val="none"/>
        </c:marker>
      </c:pivotFmt>
      <c:pivotFmt>
        <c:idx val="1534"/>
        <c:marker>
          <c:symbol val="none"/>
        </c:marker>
      </c:pivotFmt>
      <c:pivotFmt>
        <c:idx val="1535"/>
        <c:marker>
          <c:symbol val="none"/>
        </c:marker>
      </c:pivotFmt>
      <c:pivotFmt>
        <c:idx val="1536"/>
        <c:marker>
          <c:symbol val="none"/>
        </c:marker>
      </c:pivotFmt>
      <c:pivotFmt>
        <c:idx val="1537"/>
        <c:marker>
          <c:symbol val="none"/>
        </c:marker>
      </c:pivotFmt>
      <c:pivotFmt>
        <c:idx val="1538"/>
        <c:marker>
          <c:symbol val="none"/>
        </c:marker>
      </c:pivotFmt>
      <c:pivotFmt>
        <c:idx val="1539"/>
        <c:marker>
          <c:symbol val="none"/>
        </c:marker>
      </c:pivotFmt>
      <c:pivotFmt>
        <c:idx val="1540"/>
        <c:marker>
          <c:symbol val="none"/>
        </c:marker>
      </c:pivotFmt>
      <c:pivotFmt>
        <c:idx val="1541"/>
        <c:marker>
          <c:symbol val="none"/>
        </c:marker>
      </c:pivotFmt>
      <c:pivotFmt>
        <c:idx val="1542"/>
        <c:marker>
          <c:symbol val="none"/>
        </c:marker>
      </c:pivotFmt>
      <c:pivotFmt>
        <c:idx val="1543"/>
        <c:marker>
          <c:symbol val="none"/>
        </c:marker>
      </c:pivotFmt>
      <c:pivotFmt>
        <c:idx val="1544"/>
        <c:marker>
          <c:symbol val="none"/>
        </c:marker>
      </c:pivotFmt>
      <c:pivotFmt>
        <c:idx val="1545"/>
        <c:marker>
          <c:symbol val="none"/>
        </c:marker>
      </c:pivotFmt>
      <c:pivotFmt>
        <c:idx val="1546"/>
        <c:marker>
          <c:symbol val="none"/>
        </c:marker>
      </c:pivotFmt>
      <c:pivotFmt>
        <c:idx val="1547"/>
        <c:marker>
          <c:symbol val="none"/>
        </c:marker>
      </c:pivotFmt>
      <c:pivotFmt>
        <c:idx val="1548"/>
        <c:marker>
          <c:symbol val="none"/>
        </c:marker>
      </c:pivotFmt>
      <c:pivotFmt>
        <c:idx val="1549"/>
        <c:marker>
          <c:symbol val="none"/>
        </c:marker>
      </c:pivotFmt>
      <c:pivotFmt>
        <c:idx val="1550"/>
        <c:marker>
          <c:symbol val="none"/>
        </c:marker>
      </c:pivotFmt>
      <c:pivotFmt>
        <c:idx val="1551"/>
        <c:marker>
          <c:symbol val="none"/>
        </c:marker>
      </c:pivotFmt>
      <c:pivotFmt>
        <c:idx val="1552"/>
        <c:marker>
          <c:symbol val="none"/>
        </c:marker>
      </c:pivotFmt>
      <c:pivotFmt>
        <c:idx val="1553"/>
        <c:marker>
          <c:symbol val="none"/>
        </c:marker>
      </c:pivotFmt>
      <c:pivotFmt>
        <c:idx val="1554"/>
        <c:marker>
          <c:symbol val="none"/>
        </c:marker>
      </c:pivotFmt>
      <c:pivotFmt>
        <c:idx val="1555"/>
        <c:marker>
          <c:symbol val="none"/>
        </c:marker>
      </c:pivotFmt>
      <c:pivotFmt>
        <c:idx val="1556"/>
        <c:marker>
          <c:symbol val="none"/>
        </c:marker>
      </c:pivotFmt>
      <c:pivotFmt>
        <c:idx val="1557"/>
        <c:marker>
          <c:symbol val="none"/>
        </c:marker>
      </c:pivotFmt>
      <c:pivotFmt>
        <c:idx val="1558"/>
        <c:marker>
          <c:symbol val="none"/>
        </c:marker>
      </c:pivotFmt>
      <c:pivotFmt>
        <c:idx val="1559"/>
        <c:marker>
          <c:symbol val="none"/>
        </c:marker>
      </c:pivotFmt>
      <c:pivotFmt>
        <c:idx val="1560"/>
        <c:marker>
          <c:symbol val="none"/>
        </c:marker>
      </c:pivotFmt>
      <c:pivotFmt>
        <c:idx val="1561"/>
        <c:marker>
          <c:symbol val="none"/>
        </c:marker>
      </c:pivotFmt>
      <c:pivotFmt>
        <c:idx val="1562"/>
        <c:marker>
          <c:symbol val="none"/>
        </c:marker>
      </c:pivotFmt>
      <c:pivotFmt>
        <c:idx val="1563"/>
        <c:marker>
          <c:symbol val="none"/>
        </c:marker>
      </c:pivotFmt>
      <c:pivotFmt>
        <c:idx val="1564"/>
        <c:marker>
          <c:symbol val="none"/>
        </c:marker>
      </c:pivotFmt>
      <c:pivotFmt>
        <c:idx val="1565"/>
        <c:marker>
          <c:symbol val="none"/>
        </c:marker>
      </c:pivotFmt>
      <c:pivotFmt>
        <c:idx val="1566"/>
        <c:marker>
          <c:symbol val="none"/>
        </c:marker>
      </c:pivotFmt>
      <c:pivotFmt>
        <c:idx val="1567"/>
        <c:marker>
          <c:symbol val="none"/>
        </c:marker>
      </c:pivotFmt>
      <c:pivotFmt>
        <c:idx val="1568"/>
        <c:marker>
          <c:symbol val="none"/>
        </c:marker>
      </c:pivotFmt>
      <c:pivotFmt>
        <c:idx val="1569"/>
        <c:marker>
          <c:symbol val="none"/>
        </c:marker>
      </c:pivotFmt>
      <c:pivotFmt>
        <c:idx val="1570"/>
        <c:marker>
          <c:symbol val="none"/>
        </c:marker>
      </c:pivotFmt>
      <c:pivotFmt>
        <c:idx val="1571"/>
        <c:marker>
          <c:symbol val="none"/>
        </c:marker>
      </c:pivotFmt>
      <c:pivotFmt>
        <c:idx val="1572"/>
        <c:marker>
          <c:symbol val="none"/>
        </c:marker>
      </c:pivotFmt>
      <c:pivotFmt>
        <c:idx val="1573"/>
        <c:marker>
          <c:symbol val="none"/>
        </c:marker>
      </c:pivotFmt>
      <c:pivotFmt>
        <c:idx val="1574"/>
        <c:marker>
          <c:symbol val="none"/>
        </c:marker>
      </c:pivotFmt>
      <c:pivotFmt>
        <c:idx val="1575"/>
        <c:marker>
          <c:symbol val="none"/>
        </c:marker>
      </c:pivotFmt>
      <c:pivotFmt>
        <c:idx val="1576"/>
        <c:marker>
          <c:symbol val="none"/>
        </c:marker>
      </c:pivotFmt>
      <c:pivotFmt>
        <c:idx val="1577"/>
        <c:marker>
          <c:symbol val="none"/>
        </c:marker>
      </c:pivotFmt>
      <c:pivotFmt>
        <c:idx val="1578"/>
        <c:marker>
          <c:symbol val="none"/>
        </c:marker>
      </c:pivotFmt>
      <c:pivotFmt>
        <c:idx val="1579"/>
        <c:marker>
          <c:symbol val="none"/>
        </c:marker>
      </c:pivotFmt>
      <c:pivotFmt>
        <c:idx val="1580"/>
        <c:marker>
          <c:symbol val="none"/>
        </c:marker>
      </c:pivotFmt>
      <c:pivotFmt>
        <c:idx val="1581"/>
        <c:marker>
          <c:symbol val="none"/>
        </c:marker>
      </c:pivotFmt>
      <c:pivotFmt>
        <c:idx val="1582"/>
        <c:marker>
          <c:symbol val="none"/>
        </c:marker>
      </c:pivotFmt>
      <c:pivotFmt>
        <c:idx val="1583"/>
        <c:marker>
          <c:symbol val="none"/>
        </c:marker>
      </c:pivotFmt>
      <c:pivotFmt>
        <c:idx val="1584"/>
        <c:marker>
          <c:symbol val="none"/>
        </c:marker>
      </c:pivotFmt>
      <c:pivotFmt>
        <c:idx val="1585"/>
        <c:marker>
          <c:symbol val="none"/>
        </c:marker>
      </c:pivotFmt>
      <c:pivotFmt>
        <c:idx val="1586"/>
        <c:marker>
          <c:symbol val="none"/>
        </c:marker>
      </c:pivotFmt>
      <c:pivotFmt>
        <c:idx val="1587"/>
        <c:marker>
          <c:symbol val="none"/>
        </c:marker>
      </c:pivotFmt>
      <c:pivotFmt>
        <c:idx val="1588"/>
        <c:marker>
          <c:symbol val="none"/>
        </c:marker>
      </c:pivotFmt>
      <c:pivotFmt>
        <c:idx val="1589"/>
        <c:marker>
          <c:symbol val="none"/>
        </c:marker>
      </c:pivotFmt>
      <c:pivotFmt>
        <c:idx val="1590"/>
        <c:marker>
          <c:symbol val="none"/>
        </c:marker>
      </c:pivotFmt>
      <c:pivotFmt>
        <c:idx val="1591"/>
        <c:marker>
          <c:symbol val="none"/>
        </c:marker>
      </c:pivotFmt>
      <c:pivotFmt>
        <c:idx val="1592"/>
        <c:marker>
          <c:symbol val="none"/>
        </c:marker>
      </c:pivotFmt>
      <c:pivotFmt>
        <c:idx val="1593"/>
        <c:marker>
          <c:symbol val="none"/>
        </c:marker>
      </c:pivotFmt>
      <c:pivotFmt>
        <c:idx val="1594"/>
        <c:marker>
          <c:symbol val="none"/>
        </c:marker>
      </c:pivotFmt>
      <c:pivotFmt>
        <c:idx val="1595"/>
        <c:marker>
          <c:symbol val="none"/>
        </c:marker>
      </c:pivotFmt>
      <c:pivotFmt>
        <c:idx val="1596"/>
        <c:marker>
          <c:symbol val="none"/>
        </c:marker>
      </c:pivotFmt>
      <c:pivotFmt>
        <c:idx val="1597"/>
        <c:marker>
          <c:symbol val="none"/>
        </c:marker>
      </c:pivotFmt>
      <c:pivotFmt>
        <c:idx val="1598"/>
        <c:marker>
          <c:symbol val="none"/>
        </c:marker>
      </c:pivotFmt>
      <c:pivotFmt>
        <c:idx val="1599"/>
        <c:marker>
          <c:symbol val="none"/>
        </c:marker>
      </c:pivotFmt>
      <c:pivotFmt>
        <c:idx val="1600"/>
        <c:marker>
          <c:symbol val="none"/>
        </c:marker>
      </c:pivotFmt>
      <c:pivotFmt>
        <c:idx val="1601"/>
        <c:marker>
          <c:symbol val="none"/>
        </c:marker>
      </c:pivotFmt>
      <c:pivotFmt>
        <c:idx val="1602"/>
        <c:marker>
          <c:symbol val="none"/>
        </c:marker>
      </c:pivotFmt>
      <c:pivotFmt>
        <c:idx val="1603"/>
        <c:marker>
          <c:symbol val="none"/>
        </c:marker>
      </c:pivotFmt>
      <c:pivotFmt>
        <c:idx val="1604"/>
        <c:marker>
          <c:symbol val="none"/>
        </c:marker>
      </c:pivotFmt>
      <c:pivotFmt>
        <c:idx val="1605"/>
        <c:marker>
          <c:symbol val="none"/>
        </c:marker>
      </c:pivotFmt>
      <c:pivotFmt>
        <c:idx val="1606"/>
        <c:marker>
          <c:symbol val="none"/>
        </c:marker>
      </c:pivotFmt>
      <c:pivotFmt>
        <c:idx val="1607"/>
        <c:marker>
          <c:symbol val="none"/>
        </c:marker>
      </c:pivotFmt>
      <c:pivotFmt>
        <c:idx val="1608"/>
        <c:marker>
          <c:symbol val="none"/>
        </c:marker>
      </c:pivotFmt>
      <c:pivotFmt>
        <c:idx val="1609"/>
        <c:marker>
          <c:symbol val="none"/>
        </c:marker>
      </c:pivotFmt>
      <c:pivotFmt>
        <c:idx val="1610"/>
        <c:marker>
          <c:symbol val="none"/>
        </c:marker>
      </c:pivotFmt>
      <c:pivotFmt>
        <c:idx val="1611"/>
        <c:marker>
          <c:symbol val="none"/>
        </c:marker>
      </c:pivotFmt>
      <c:pivotFmt>
        <c:idx val="1612"/>
        <c:marker>
          <c:symbol val="none"/>
        </c:marker>
      </c:pivotFmt>
      <c:pivotFmt>
        <c:idx val="1613"/>
        <c:marker>
          <c:symbol val="none"/>
        </c:marker>
      </c:pivotFmt>
      <c:pivotFmt>
        <c:idx val="1614"/>
        <c:marker>
          <c:symbol val="none"/>
        </c:marker>
      </c:pivotFmt>
      <c:pivotFmt>
        <c:idx val="1615"/>
        <c:marker>
          <c:symbol val="none"/>
        </c:marker>
      </c:pivotFmt>
      <c:pivotFmt>
        <c:idx val="1616"/>
        <c:marker>
          <c:symbol val="none"/>
        </c:marker>
      </c:pivotFmt>
      <c:pivotFmt>
        <c:idx val="1617"/>
        <c:marker>
          <c:symbol val="none"/>
        </c:marker>
      </c:pivotFmt>
      <c:pivotFmt>
        <c:idx val="1618"/>
        <c:marker>
          <c:symbol val="none"/>
        </c:marker>
      </c:pivotFmt>
      <c:pivotFmt>
        <c:idx val="1619"/>
        <c:marker>
          <c:symbol val="none"/>
        </c:marker>
      </c:pivotFmt>
      <c:pivotFmt>
        <c:idx val="1620"/>
        <c:marker>
          <c:symbol val="none"/>
        </c:marker>
      </c:pivotFmt>
      <c:pivotFmt>
        <c:idx val="1621"/>
        <c:marker>
          <c:symbol val="none"/>
        </c:marker>
      </c:pivotFmt>
      <c:pivotFmt>
        <c:idx val="1622"/>
        <c:marker>
          <c:symbol val="none"/>
        </c:marker>
      </c:pivotFmt>
      <c:pivotFmt>
        <c:idx val="1623"/>
        <c:marker>
          <c:symbol val="none"/>
        </c:marker>
      </c:pivotFmt>
      <c:pivotFmt>
        <c:idx val="1624"/>
        <c:marker>
          <c:symbol val="none"/>
        </c:marker>
      </c:pivotFmt>
      <c:pivotFmt>
        <c:idx val="1625"/>
        <c:marker>
          <c:symbol val="none"/>
        </c:marker>
      </c:pivotFmt>
      <c:pivotFmt>
        <c:idx val="1626"/>
        <c:marker>
          <c:symbol val="none"/>
        </c:marker>
      </c:pivotFmt>
      <c:pivotFmt>
        <c:idx val="1627"/>
        <c:marker>
          <c:symbol val="none"/>
        </c:marker>
      </c:pivotFmt>
      <c:pivotFmt>
        <c:idx val="1628"/>
        <c:marker>
          <c:symbol val="none"/>
        </c:marker>
      </c:pivotFmt>
      <c:pivotFmt>
        <c:idx val="1629"/>
        <c:marker>
          <c:symbol val="none"/>
        </c:marker>
      </c:pivotFmt>
      <c:pivotFmt>
        <c:idx val="1630"/>
        <c:marker>
          <c:symbol val="none"/>
        </c:marker>
      </c:pivotFmt>
      <c:pivotFmt>
        <c:idx val="1631"/>
        <c:marker>
          <c:symbol val="none"/>
        </c:marker>
      </c:pivotFmt>
      <c:pivotFmt>
        <c:idx val="1632"/>
        <c:marker>
          <c:symbol val="none"/>
        </c:marker>
      </c:pivotFmt>
      <c:pivotFmt>
        <c:idx val="1633"/>
        <c:marker>
          <c:symbol val="none"/>
        </c:marker>
      </c:pivotFmt>
      <c:pivotFmt>
        <c:idx val="1634"/>
        <c:marker>
          <c:symbol val="none"/>
        </c:marker>
      </c:pivotFmt>
      <c:pivotFmt>
        <c:idx val="1635"/>
        <c:marker>
          <c:symbol val="none"/>
        </c:marker>
      </c:pivotFmt>
      <c:pivotFmt>
        <c:idx val="1636"/>
        <c:marker>
          <c:symbol val="none"/>
        </c:marker>
      </c:pivotFmt>
      <c:pivotFmt>
        <c:idx val="1637"/>
        <c:marker>
          <c:symbol val="none"/>
        </c:marker>
      </c:pivotFmt>
      <c:pivotFmt>
        <c:idx val="1638"/>
        <c:marker>
          <c:symbol val="none"/>
        </c:marker>
      </c:pivotFmt>
      <c:pivotFmt>
        <c:idx val="1639"/>
        <c:marker>
          <c:symbol val="none"/>
        </c:marker>
      </c:pivotFmt>
      <c:pivotFmt>
        <c:idx val="1640"/>
        <c:marker>
          <c:symbol val="none"/>
        </c:marker>
      </c:pivotFmt>
      <c:pivotFmt>
        <c:idx val="1641"/>
        <c:marker>
          <c:symbol val="none"/>
        </c:marker>
      </c:pivotFmt>
      <c:pivotFmt>
        <c:idx val="1642"/>
        <c:marker>
          <c:symbol val="none"/>
        </c:marker>
      </c:pivotFmt>
      <c:pivotFmt>
        <c:idx val="1643"/>
        <c:marker>
          <c:symbol val="none"/>
        </c:marker>
      </c:pivotFmt>
      <c:pivotFmt>
        <c:idx val="1644"/>
        <c:marker>
          <c:symbol val="none"/>
        </c:marker>
      </c:pivotFmt>
      <c:pivotFmt>
        <c:idx val="1645"/>
        <c:marker>
          <c:symbol val="none"/>
        </c:marker>
      </c:pivotFmt>
      <c:pivotFmt>
        <c:idx val="1646"/>
        <c:marker>
          <c:symbol val="none"/>
        </c:marker>
      </c:pivotFmt>
      <c:pivotFmt>
        <c:idx val="1647"/>
        <c:marker>
          <c:symbol val="none"/>
        </c:marker>
      </c:pivotFmt>
      <c:pivotFmt>
        <c:idx val="1648"/>
        <c:marker>
          <c:symbol val="none"/>
        </c:marker>
      </c:pivotFmt>
      <c:pivotFmt>
        <c:idx val="1649"/>
        <c:marker>
          <c:symbol val="none"/>
        </c:marker>
      </c:pivotFmt>
      <c:pivotFmt>
        <c:idx val="1650"/>
        <c:marker>
          <c:symbol val="none"/>
        </c:marker>
      </c:pivotFmt>
      <c:pivotFmt>
        <c:idx val="1651"/>
        <c:marker>
          <c:symbol val="none"/>
        </c:marker>
      </c:pivotFmt>
      <c:pivotFmt>
        <c:idx val="1652"/>
        <c:marker>
          <c:symbol val="none"/>
        </c:marker>
      </c:pivotFmt>
      <c:pivotFmt>
        <c:idx val="1653"/>
        <c:marker>
          <c:symbol val="none"/>
        </c:marker>
      </c:pivotFmt>
      <c:pivotFmt>
        <c:idx val="1654"/>
        <c:marker>
          <c:symbol val="none"/>
        </c:marker>
      </c:pivotFmt>
      <c:pivotFmt>
        <c:idx val="1655"/>
        <c:marker>
          <c:symbol val="none"/>
        </c:marker>
      </c:pivotFmt>
      <c:pivotFmt>
        <c:idx val="1656"/>
        <c:marker>
          <c:symbol val="none"/>
        </c:marker>
      </c:pivotFmt>
      <c:pivotFmt>
        <c:idx val="1657"/>
        <c:marker>
          <c:symbol val="none"/>
        </c:marker>
      </c:pivotFmt>
      <c:pivotFmt>
        <c:idx val="1658"/>
        <c:marker>
          <c:symbol val="none"/>
        </c:marker>
      </c:pivotFmt>
      <c:pivotFmt>
        <c:idx val="1659"/>
        <c:marker>
          <c:symbol val="none"/>
        </c:marker>
      </c:pivotFmt>
      <c:pivotFmt>
        <c:idx val="1660"/>
        <c:marker>
          <c:symbol val="none"/>
        </c:marker>
      </c:pivotFmt>
      <c:pivotFmt>
        <c:idx val="1661"/>
        <c:marker>
          <c:symbol val="none"/>
        </c:marker>
      </c:pivotFmt>
      <c:pivotFmt>
        <c:idx val="1662"/>
        <c:marker>
          <c:symbol val="none"/>
        </c:marker>
      </c:pivotFmt>
      <c:pivotFmt>
        <c:idx val="1663"/>
        <c:marker>
          <c:symbol val="none"/>
        </c:marker>
      </c:pivotFmt>
      <c:pivotFmt>
        <c:idx val="1664"/>
        <c:marker>
          <c:symbol val="none"/>
        </c:marker>
      </c:pivotFmt>
      <c:pivotFmt>
        <c:idx val="1665"/>
        <c:marker>
          <c:symbol val="none"/>
        </c:marker>
      </c:pivotFmt>
      <c:pivotFmt>
        <c:idx val="1666"/>
        <c:marker>
          <c:symbol val="none"/>
        </c:marker>
      </c:pivotFmt>
      <c:pivotFmt>
        <c:idx val="1667"/>
        <c:marker>
          <c:symbol val="none"/>
        </c:marker>
      </c:pivotFmt>
      <c:pivotFmt>
        <c:idx val="1668"/>
        <c:marker>
          <c:symbol val="none"/>
        </c:marker>
      </c:pivotFmt>
      <c:pivotFmt>
        <c:idx val="1669"/>
        <c:marker>
          <c:symbol val="none"/>
        </c:marker>
      </c:pivotFmt>
      <c:pivotFmt>
        <c:idx val="1670"/>
        <c:marker>
          <c:symbol val="none"/>
        </c:marker>
      </c:pivotFmt>
      <c:pivotFmt>
        <c:idx val="1671"/>
        <c:marker>
          <c:symbol val="none"/>
        </c:marker>
      </c:pivotFmt>
      <c:pivotFmt>
        <c:idx val="1672"/>
        <c:marker>
          <c:symbol val="none"/>
        </c:marker>
      </c:pivotFmt>
      <c:pivotFmt>
        <c:idx val="1673"/>
        <c:marker>
          <c:symbol val="none"/>
        </c:marker>
      </c:pivotFmt>
      <c:pivotFmt>
        <c:idx val="1674"/>
        <c:marker>
          <c:symbol val="none"/>
        </c:marker>
      </c:pivotFmt>
      <c:pivotFmt>
        <c:idx val="1675"/>
        <c:marker>
          <c:symbol val="none"/>
        </c:marker>
      </c:pivotFmt>
      <c:pivotFmt>
        <c:idx val="1676"/>
        <c:marker>
          <c:symbol val="none"/>
        </c:marker>
      </c:pivotFmt>
      <c:pivotFmt>
        <c:idx val="1677"/>
        <c:marker>
          <c:symbol val="none"/>
        </c:marker>
      </c:pivotFmt>
      <c:pivotFmt>
        <c:idx val="1678"/>
        <c:marker>
          <c:symbol val="none"/>
        </c:marker>
      </c:pivotFmt>
      <c:pivotFmt>
        <c:idx val="1679"/>
        <c:marker>
          <c:symbol val="none"/>
        </c:marker>
      </c:pivotFmt>
      <c:pivotFmt>
        <c:idx val="1680"/>
        <c:marker>
          <c:symbol val="none"/>
        </c:marker>
      </c:pivotFmt>
      <c:pivotFmt>
        <c:idx val="1681"/>
        <c:marker>
          <c:symbol val="none"/>
        </c:marker>
      </c:pivotFmt>
      <c:pivotFmt>
        <c:idx val="1682"/>
        <c:marker>
          <c:symbol val="none"/>
        </c:marker>
      </c:pivotFmt>
      <c:pivotFmt>
        <c:idx val="1683"/>
        <c:marker>
          <c:symbol val="none"/>
        </c:marker>
      </c:pivotFmt>
      <c:pivotFmt>
        <c:idx val="1684"/>
        <c:marker>
          <c:symbol val="none"/>
        </c:marker>
      </c:pivotFmt>
      <c:pivotFmt>
        <c:idx val="1685"/>
        <c:marker>
          <c:symbol val="none"/>
        </c:marker>
      </c:pivotFmt>
      <c:pivotFmt>
        <c:idx val="1686"/>
        <c:marker>
          <c:symbol val="none"/>
        </c:marker>
      </c:pivotFmt>
      <c:pivotFmt>
        <c:idx val="1687"/>
        <c:marker>
          <c:symbol val="none"/>
        </c:marker>
      </c:pivotFmt>
      <c:pivotFmt>
        <c:idx val="1688"/>
        <c:marker>
          <c:symbol val="none"/>
        </c:marker>
      </c:pivotFmt>
      <c:pivotFmt>
        <c:idx val="1689"/>
        <c:marker>
          <c:symbol val="none"/>
        </c:marker>
      </c:pivotFmt>
      <c:pivotFmt>
        <c:idx val="1690"/>
        <c:marker>
          <c:symbol val="none"/>
        </c:marker>
      </c:pivotFmt>
      <c:pivotFmt>
        <c:idx val="1691"/>
        <c:marker>
          <c:symbol val="none"/>
        </c:marker>
      </c:pivotFmt>
      <c:pivotFmt>
        <c:idx val="1692"/>
        <c:marker>
          <c:symbol val="none"/>
        </c:marker>
      </c:pivotFmt>
      <c:pivotFmt>
        <c:idx val="1693"/>
        <c:marker>
          <c:symbol val="none"/>
        </c:marker>
      </c:pivotFmt>
      <c:pivotFmt>
        <c:idx val="1694"/>
        <c:marker>
          <c:symbol val="none"/>
        </c:marker>
      </c:pivotFmt>
      <c:pivotFmt>
        <c:idx val="1695"/>
        <c:marker>
          <c:symbol val="none"/>
        </c:marker>
      </c:pivotFmt>
      <c:pivotFmt>
        <c:idx val="1696"/>
        <c:marker>
          <c:symbol val="none"/>
        </c:marker>
      </c:pivotFmt>
      <c:pivotFmt>
        <c:idx val="1697"/>
        <c:marker>
          <c:symbol val="none"/>
        </c:marker>
      </c:pivotFmt>
      <c:pivotFmt>
        <c:idx val="1698"/>
        <c:marker>
          <c:symbol val="none"/>
        </c:marker>
      </c:pivotFmt>
      <c:pivotFmt>
        <c:idx val="1699"/>
        <c:marker>
          <c:symbol val="none"/>
        </c:marker>
      </c:pivotFmt>
      <c:pivotFmt>
        <c:idx val="1700"/>
        <c:marker>
          <c:symbol val="none"/>
        </c:marker>
      </c:pivotFmt>
      <c:pivotFmt>
        <c:idx val="1701"/>
        <c:marker>
          <c:symbol val="none"/>
        </c:marker>
      </c:pivotFmt>
      <c:pivotFmt>
        <c:idx val="1702"/>
        <c:marker>
          <c:symbol val="none"/>
        </c:marker>
      </c:pivotFmt>
      <c:pivotFmt>
        <c:idx val="1703"/>
        <c:marker>
          <c:symbol val="none"/>
        </c:marker>
      </c:pivotFmt>
      <c:pivotFmt>
        <c:idx val="1704"/>
        <c:marker>
          <c:symbol val="none"/>
        </c:marker>
      </c:pivotFmt>
      <c:pivotFmt>
        <c:idx val="1705"/>
        <c:marker>
          <c:symbol val="none"/>
        </c:marker>
      </c:pivotFmt>
      <c:pivotFmt>
        <c:idx val="1706"/>
        <c:marker>
          <c:symbol val="none"/>
        </c:marker>
      </c:pivotFmt>
      <c:pivotFmt>
        <c:idx val="1707"/>
        <c:marker>
          <c:symbol val="none"/>
        </c:marker>
      </c:pivotFmt>
      <c:pivotFmt>
        <c:idx val="1708"/>
        <c:marker>
          <c:symbol val="none"/>
        </c:marker>
      </c:pivotFmt>
      <c:pivotFmt>
        <c:idx val="1709"/>
        <c:marker>
          <c:symbol val="none"/>
        </c:marker>
      </c:pivotFmt>
      <c:pivotFmt>
        <c:idx val="1710"/>
        <c:marker>
          <c:symbol val="none"/>
        </c:marker>
      </c:pivotFmt>
      <c:pivotFmt>
        <c:idx val="1711"/>
        <c:marker>
          <c:symbol val="none"/>
        </c:marker>
      </c:pivotFmt>
      <c:pivotFmt>
        <c:idx val="1712"/>
        <c:marker>
          <c:symbol val="none"/>
        </c:marker>
      </c:pivotFmt>
      <c:pivotFmt>
        <c:idx val="1713"/>
        <c:marker>
          <c:symbol val="none"/>
        </c:marker>
      </c:pivotFmt>
      <c:pivotFmt>
        <c:idx val="1714"/>
        <c:marker>
          <c:symbol val="none"/>
        </c:marker>
      </c:pivotFmt>
      <c:pivotFmt>
        <c:idx val="1715"/>
        <c:marker>
          <c:symbol val="none"/>
        </c:marker>
      </c:pivotFmt>
      <c:pivotFmt>
        <c:idx val="1716"/>
        <c:marker>
          <c:symbol val="none"/>
        </c:marker>
      </c:pivotFmt>
      <c:pivotFmt>
        <c:idx val="1717"/>
        <c:marker>
          <c:symbol val="none"/>
        </c:marker>
      </c:pivotFmt>
      <c:pivotFmt>
        <c:idx val="1718"/>
        <c:marker>
          <c:symbol val="none"/>
        </c:marker>
      </c:pivotFmt>
      <c:pivotFmt>
        <c:idx val="1719"/>
        <c:marker>
          <c:symbol val="none"/>
        </c:marker>
      </c:pivotFmt>
      <c:pivotFmt>
        <c:idx val="1720"/>
        <c:marker>
          <c:symbol val="none"/>
        </c:marker>
      </c:pivotFmt>
      <c:pivotFmt>
        <c:idx val="1721"/>
        <c:marker>
          <c:symbol val="none"/>
        </c:marker>
      </c:pivotFmt>
      <c:pivotFmt>
        <c:idx val="1722"/>
        <c:marker>
          <c:symbol val="none"/>
        </c:marker>
      </c:pivotFmt>
      <c:pivotFmt>
        <c:idx val="1723"/>
        <c:marker>
          <c:symbol val="none"/>
        </c:marker>
      </c:pivotFmt>
      <c:pivotFmt>
        <c:idx val="1724"/>
        <c:marker>
          <c:symbol val="none"/>
        </c:marker>
      </c:pivotFmt>
      <c:pivotFmt>
        <c:idx val="1725"/>
        <c:marker>
          <c:symbol val="none"/>
        </c:marker>
      </c:pivotFmt>
      <c:pivotFmt>
        <c:idx val="1726"/>
        <c:marker>
          <c:symbol val="none"/>
        </c:marker>
      </c:pivotFmt>
      <c:pivotFmt>
        <c:idx val="1727"/>
        <c:marker>
          <c:symbol val="none"/>
        </c:marker>
      </c:pivotFmt>
      <c:pivotFmt>
        <c:idx val="1728"/>
        <c:marker>
          <c:symbol val="none"/>
        </c:marker>
      </c:pivotFmt>
      <c:pivotFmt>
        <c:idx val="1729"/>
        <c:marker>
          <c:symbol val="none"/>
        </c:marker>
      </c:pivotFmt>
      <c:pivotFmt>
        <c:idx val="1730"/>
        <c:marker>
          <c:symbol val="none"/>
        </c:marker>
      </c:pivotFmt>
      <c:pivotFmt>
        <c:idx val="1731"/>
        <c:marker>
          <c:symbol val="none"/>
        </c:marker>
      </c:pivotFmt>
      <c:pivotFmt>
        <c:idx val="1732"/>
        <c:marker>
          <c:symbol val="none"/>
        </c:marker>
      </c:pivotFmt>
      <c:pivotFmt>
        <c:idx val="1733"/>
        <c:marker>
          <c:symbol val="none"/>
        </c:marker>
      </c:pivotFmt>
      <c:pivotFmt>
        <c:idx val="1734"/>
        <c:marker>
          <c:symbol val="none"/>
        </c:marker>
      </c:pivotFmt>
      <c:pivotFmt>
        <c:idx val="1735"/>
        <c:marker>
          <c:symbol val="none"/>
        </c:marker>
      </c:pivotFmt>
      <c:pivotFmt>
        <c:idx val="1736"/>
        <c:marker>
          <c:symbol val="none"/>
        </c:marker>
      </c:pivotFmt>
      <c:pivotFmt>
        <c:idx val="1737"/>
        <c:marker>
          <c:symbol val="none"/>
        </c:marker>
      </c:pivotFmt>
      <c:pivotFmt>
        <c:idx val="1738"/>
        <c:marker>
          <c:symbol val="none"/>
        </c:marker>
      </c:pivotFmt>
      <c:pivotFmt>
        <c:idx val="1739"/>
        <c:marker>
          <c:symbol val="none"/>
        </c:marker>
      </c:pivotFmt>
      <c:pivotFmt>
        <c:idx val="1740"/>
        <c:marker>
          <c:symbol val="none"/>
        </c:marker>
      </c:pivotFmt>
      <c:pivotFmt>
        <c:idx val="1741"/>
        <c:marker>
          <c:symbol val="none"/>
        </c:marker>
      </c:pivotFmt>
      <c:pivotFmt>
        <c:idx val="1742"/>
        <c:marker>
          <c:symbol val="none"/>
        </c:marker>
      </c:pivotFmt>
      <c:pivotFmt>
        <c:idx val="1743"/>
        <c:marker>
          <c:symbol val="none"/>
        </c:marker>
      </c:pivotFmt>
      <c:pivotFmt>
        <c:idx val="1744"/>
        <c:marker>
          <c:symbol val="none"/>
        </c:marker>
      </c:pivotFmt>
      <c:pivotFmt>
        <c:idx val="1745"/>
        <c:marker>
          <c:symbol val="none"/>
        </c:marker>
      </c:pivotFmt>
      <c:pivotFmt>
        <c:idx val="1746"/>
        <c:marker>
          <c:symbol val="none"/>
        </c:marker>
      </c:pivotFmt>
      <c:pivotFmt>
        <c:idx val="1747"/>
        <c:marker>
          <c:symbol val="none"/>
        </c:marker>
      </c:pivotFmt>
      <c:pivotFmt>
        <c:idx val="1748"/>
        <c:marker>
          <c:symbol val="none"/>
        </c:marker>
      </c:pivotFmt>
      <c:pivotFmt>
        <c:idx val="1749"/>
        <c:marker>
          <c:symbol val="none"/>
        </c:marker>
      </c:pivotFmt>
      <c:pivotFmt>
        <c:idx val="1750"/>
        <c:marker>
          <c:symbol val="none"/>
        </c:marker>
      </c:pivotFmt>
      <c:pivotFmt>
        <c:idx val="1751"/>
        <c:marker>
          <c:symbol val="none"/>
        </c:marker>
      </c:pivotFmt>
      <c:pivotFmt>
        <c:idx val="1752"/>
        <c:marker>
          <c:symbol val="none"/>
        </c:marker>
      </c:pivotFmt>
      <c:pivotFmt>
        <c:idx val="1753"/>
        <c:marker>
          <c:symbol val="none"/>
        </c:marker>
      </c:pivotFmt>
      <c:pivotFmt>
        <c:idx val="1754"/>
        <c:marker>
          <c:symbol val="none"/>
        </c:marker>
      </c:pivotFmt>
      <c:pivotFmt>
        <c:idx val="1755"/>
        <c:marker>
          <c:symbol val="none"/>
        </c:marker>
      </c:pivotFmt>
      <c:pivotFmt>
        <c:idx val="1756"/>
        <c:marker>
          <c:symbol val="none"/>
        </c:marker>
      </c:pivotFmt>
      <c:pivotFmt>
        <c:idx val="1757"/>
        <c:marker>
          <c:symbol val="none"/>
        </c:marker>
      </c:pivotFmt>
      <c:pivotFmt>
        <c:idx val="1758"/>
        <c:marker>
          <c:symbol val="none"/>
        </c:marker>
      </c:pivotFmt>
      <c:pivotFmt>
        <c:idx val="1759"/>
        <c:marker>
          <c:symbol val="none"/>
        </c:marker>
      </c:pivotFmt>
      <c:pivotFmt>
        <c:idx val="1760"/>
        <c:marker>
          <c:symbol val="none"/>
        </c:marker>
      </c:pivotFmt>
      <c:pivotFmt>
        <c:idx val="1761"/>
        <c:marker>
          <c:symbol val="none"/>
        </c:marker>
      </c:pivotFmt>
      <c:pivotFmt>
        <c:idx val="1762"/>
        <c:marker>
          <c:symbol val="none"/>
        </c:marker>
      </c:pivotFmt>
      <c:pivotFmt>
        <c:idx val="1763"/>
        <c:marker>
          <c:symbol val="none"/>
        </c:marker>
      </c:pivotFmt>
      <c:pivotFmt>
        <c:idx val="1764"/>
        <c:marker>
          <c:symbol val="none"/>
        </c:marker>
      </c:pivotFmt>
      <c:pivotFmt>
        <c:idx val="1765"/>
        <c:marker>
          <c:symbol val="none"/>
        </c:marker>
      </c:pivotFmt>
      <c:pivotFmt>
        <c:idx val="1766"/>
        <c:marker>
          <c:symbol val="none"/>
        </c:marker>
      </c:pivotFmt>
      <c:pivotFmt>
        <c:idx val="1767"/>
        <c:marker>
          <c:symbol val="none"/>
        </c:marker>
      </c:pivotFmt>
      <c:pivotFmt>
        <c:idx val="1768"/>
        <c:marker>
          <c:symbol val="none"/>
        </c:marker>
      </c:pivotFmt>
      <c:pivotFmt>
        <c:idx val="1769"/>
        <c:marker>
          <c:symbol val="none"/>
        </c:marker>
      </c:pivotFmt>
      <c:pivotFmt>
        <c:idx val="1770"/>
        <c:marker>
          <c:symbol val="none"/>
        </c:marker>
      </c:pivotFmt>
      <c:pivotFmt>
        <c:idx val="1771"/>
        <c:marker>
          <c:symbol val="none"/>
        </c:marker>
      </c:pivotFmt>
      <c:pivotFmt>
        <c:idx val="1772"/>
        <c:marker>
          <c:symbol val="none"/>
        </c:marker>
      </c:pivotFmt>
      <c:pivotFmt>
        <c:idx val="1773"/>
        <c:marker>
          <c:symbol val="none"/>
        </c:marker>
      </c:pivotFmt>
      <c:pivotFmt>
        <c:idx val="1774"/>
        <c:marker>
          <c:symbol val="none"/>
        </c:marker>
      </c:pivotFmt>
      <c:pivotFmt>
        <c:idx val="1775"/>
        <c:marker>
          <c:symbol val="none"/>
        </c:marker>
      </c:pivotFmt>
      <c:pivotFmt>
        <c:idx val="1776"/>
        <c:marker>
          <c:symbol val="none"/>
        </c:marker>
      </c:pivotFmt>
      <c:pivotFmt>
        <c:idx val="1777"/>
        <c:marker>
          <c:symbol val="none"/>
        </c:marker>
      </c:pivotFmt>
      <c:pivotFmt>
        <c:idx val="1778"/>
        <c:marker>
          <c:symbol val="none"/>
        </c:marker>
      </c:pivotFmt>
      <c:pivotFmt>
        <c:idx val="1779"/>
        <c:marker>
          <c:symbol val="none"/>
        </c:marker>
      </c:pivotFmt>
      <c:pivotFmt>
        <c:idx val="1780"/>
        <c:marker>
          <c:symbol val="none"/>
        </c:marker>
      </c:pivotFmt>
      <c:pivotFmt>
        <c:idx val="1781"/>
        <c:marker>
          <c:symbol val="none"/>
        </c:marker>
      </c:pivotFmt>
      <c:pivotFmt>
        <c:idx val="1782"/>
        <c:marker>
          <c:symbol val="none"/>
        </c:marker>
      </c:pivotFmt>
      <c:pivotFmt>
        <c:idx val="1783"/>
        <c:marker>
          <c:symbol val="none"/>
        </c:marker>
      </c:pivotFmt>
      <c:pivotFmt>
        <c:idx val="1784"/>
        <c:marker>
          <c:symbol val="none"/>
        </c:marker>
      </c:pivotFmt>
      <c:pivotFmt>
        <c:idx val="1785"/>
        <c:marker>
          <c:symbol val="none"/>
        </c:marker>
      </c:pivotFmt>
      <c:pivotFmt>
        <c:idx val="1786"/>
        <c:marker>
          <c:symbol val="none"/>
        </c:marker>
      </c:pivotFmt>
      <c:pivotFmt>
        <c:idx val="1787"/>
        <c:marker>
          <c:symbol val="none"/>
        </c:marker>
      </c:pivotFmt>
      <c:pivotFmt>
        <c:idx val="1788"/>
        <c:marker>
          <c:symbol val="none"/>
        </c:marker>
      </c:pivotFmt>
      <c:pivotFmt>
        <c:idx val="1789"/>
        <c:marker>
          <c:symbol val="none"/>
        </c:marker>
      </c:pivotFmt>
      <c:pivotFmt>
        <c:idx val="1790"/>
        <c:marker>
          <c:symbol val="none"/>
        </c:marker>
      </c:pivotFmt>
      <c:pivotFmt>
        <c:idx val="1791"/>
        <c:marker>
          <c:symbol val="none"/>
        </c:marker>
      </c:pivotFmt>
      <c:pivotFmt>
        <c:idx val="1792"/>
        <c:marker>
          <c:symbol val="none"/>
        </c:marker>
      </c:pivotFmt>
      <c:pivotFmt>
        <c:idx val="1793"/>
        <c:marker>
          <c:symbol val="none"/>
        </c:marker>
      </c:pivotFmt>
      <c:pivotFmt>
        <c:idx val="1794"/>
        <c:marker>
          <c:symbol val="none"/>
        </c:marker>
      </c:pivotFmt>
      <c:pivotFmt>
        <c:idx val="1795"/>
        <c:marker>
          <c:symbol val="none"/>
        </c:marker>
      </c:pivotFmt>
      <c:pivotFmt>
        <c:idx val="1796"/>
        <c:marker>
          <c:symbol val="none"/>
        </c:marker>
      </c:pivotFmt>
      <c:pivotFmt>
        <c:idx val="1797"/>
        <c:marker>
          <c:symbol val="none"/>
        </c:marker>
      </c:pivotFmt>
      <c:pivotFmt>
        <c:idx val="1798"/>
        <c:marker>
          <c:symbol val="none"/>
        </c:marker>
      </c:pivotFmt>
      <c:pivotFmt>
        <c:idx val="1799"/>
        <c:marker>
          <c:symbol val="none"/>
        </c:marker>
      </c:pivotFmt>
      <c:pivotFmt>
        <c:idx val="1800"/>
        <c:marker>
          <c:symbol val="none"/>
        </c:marker>
      </c:pivotFmt>
      <c:pivotFmt>
        <c:idx val="1801"/>
        <c:marker>
          <c:symbol val="none"/>
        </c:marker>
      </c:pivotFmt>
      <c:pivotFmt>
        <c:idx val="1802"/>
        <c:marker>
          <c:symbol val="none"/>
        </c:marker>
      </c:pivotFmt>
      <c:pivotFmt>
        <c:idx val="1803"/>
        <c:marker>
          <c:symbol val="none"/>
        </c:marker>
      </c:pivotFmt>
      <c:pivotFmt>
        <c:idx val="1804"/>
        <c:marker>
          <c:symbol val="none"/>
        </c:marker>
      </c:pivotFmt>
      <c:pivotFmt>
        <c:idx val="1805"/>
        <c:marker>
          <c:symbol val="none"/>
        </c:marker>
      </c:pivotFmt>
      <c:pivotFmt>
        <c:idx val="1806"/>
        <c:marker>
          <c:symbol val="none"/>
        </c:marker>
      </c:pivotFmt>
      <c:pivotFmt>
        <c:idx val="1807"/>
        <c:marker>
          <c:symbol val="none"/>
        </c:marker>
      </c:pivotFmt>
      <c:pivotFmt>
        <c:idx val="1808"/>
        <c:marker>
          <c:symbol val="none"/>
        </c:marker>
      </c:pivotFmt>
      <c:pivotFmt>
        <c:idx val="1809"/>
        <c:marker>
          <c:symbol val="none"/>
        </c:marker>
      </c:pivotFmt>
      <c:pivotFmt>
        <c:idx val="1810"/>
        <c:marker>
          <c:symbol val="none"/>
        </c:marker>
      </c:pivotFmt>
      <c:pivotFmt>
        <c:idx val="1811"/>
        <c:marker>
          <c:symbol val="none"/>
        </c:marker>
      </c:pivotFmt>
      <c:pivotFmt>
        <c:idx val="1812"/>
        <c:marker>
          <c:symbol val="none"/>
        </c:marker>
      </c:pivotFmt>
      <c:pivotFmt>
        <c:idx val="1813"/>
        <c:marker>
          <c:symbol val="none"/>
        </c:marker>
      </c:pivotFmt>
      <c:pivotFmt>
        <c:idx val="1814"/>
        <c:marker>
          <c:symbol val="none"/>
        </c:marker>
      </c:pivotFmt>
      <c:pivotFmt>
        <c:idx val="1815"/>
        <c:marker>
          <c:symbol val="none"/>
        </c:marker>
      </c:pivotFmt>
      <c:pivotFmt>
        <c:idx val="1816"/>
        <c:marker>
          <c:symbol val="none"/>
        </c:marker>
      </c:pivotFmt>
      <c:pivotFmt>
        <c:idx val="1817"/>
        <c:marker>
          <c:symbol val="none"/>
        </c:marker>
      </c:pivotFmt>
      <c:pivotFmt>
        <c:idx val="1818"/>
        <c:marker>
          <c:symbol val="none"/>
        </c:marker>
      </c:pivotFmt>
      <c:pivotFmt>
        <c:idx val="1819"/>
        <c:marker>
          <c:symbol val="none"/>
        </c:marker>
      </c:pivotFmt>
      <c:pivotFmt>
        <c:idx val="1820"/>
        <c:marker>
          <c:symbol val="none"/>
        </c:marker>
      </c:pivotFmt>
      <c:pivotFmt>
        <c:idx val="1821"/>
        <c:marker>
          <c:symbol val="none"/>
        </c:marker>
      </c:pivotFmt>
      <c:pivotFmt>
        <c:idx val="1822"/>
        <c:marker>
          <c:symbol val="none"/>
        </c:marker>
      </c:pivotFmt>
      <c:pivotFmt>
        <c:idx val="1823"/>
        <c:marker>
          <c:symbol val="none"/>
        </c:marker>
      </c:pivotFmt>
      <c:pivotFmt>
        <c:idx val="1824"/>
        <c:marker>
          <c:symbol val="none"/>
        </c:marker>
      </c:pivotFmt>
      <c:pivotFmt>
        <c:idx val="1825"/>
        <c:marker>
          <c:symbol val="none"/>
        </c:marker>
      </c:pivotFmt>
      <c:pivotFmt>
        <c:idx val="1826"/>
        <c:marker>
          <c:symbol val="none"/>
        </c:marker>
      </c:pivotFmt>
      <c:pivotFmt>
        <c:idx val="1827"/>
        <c:marker>
          <c:symbol val="none"/>
        </c:marker>
      </c:pivotFmt>
      <c:pivotFmt>
        <c:idx val="1828"/>
        <c:marker>
          <c:symbol val="none"/>
        </c:marker>
      </c:pivotFmt>
      <c:pivotFmt>
        <c:idx val="1829"/>
        <c:marker>
          <c:symbol val="none"/>
        </c:marker>
      </c:pivotFmt>
      <c:pivotFmt>
        <c:idx val="1830"/>
        <c:marker>
          <c:symbol val="none"/>
        </c:marker>
      </c:pivotFmt>
      <c:pivotFmt>
        <c:idx val="1831"/>
        <c:marker>
          <c:symbol val="none"/>
        </c:marker>
      </c:pivotFmt>
      <c:pivotFmt>
        <c:idx val="1832"/>
        <c:marker>
          <c:symbol val="none"/>
        </c:marker>
      </c:pivotFmt>
      <c:pivotFmt>
        <c:idx val="1833"/>
        <c:marker>
          <c:symbol val="none"/>
        </c:marker>
      </c:pivotFmt>
      <c:pivotFmt>
        <c:idx val="1834"/>
        <c:marker>
          <c:symbol val="none"/>
        </c:marker>
      </c:pivotFmt>
      <c:pivotFmt>
        <c:idx val="1835"/>
        <c:marker>
          <c:symbol val="none"/>
        </c:marker>
      </c:pivotFmt>
      <c:pivotFmt>
        <c:idx val="1836"/>
        <c:marker>
          <c:symbol val="none"/>
        </c:marker>
      </c:pivotFmt>
      <c:pivotFmt>
        <c:idx val="1837"/>
        <c:marker>
          <c:symbol val="none"/>
        </c:marker>
      </c:pivotFmt>
      <c:pivotFmt>
        <c:idx val="1838"/>
        <c:marker>
          <c:symbol val="none"/>
        </c:marker>
      </c:pivotFmt>
      <c:pivotFmt>
        <c:idx val="1839"/>
        <c:marker>
          <c:symbol val="none"/>
        </c:marker>
      </c:pivotFmt>
      <c:pivotFmt>
        <c:idx val="1840"/>
        <c:marker>
          <c:symbol val="none"/>
        </c:marker>
      </c:pivotFmt>
      <c:pivotFmt>
        <c:idx val="1841"/>
        <c:marker>
          <c:symbol val="none"/>
        </c:marker>
      </c:pivotFmt>
      <c:pivotFmt>
        <c:idx val="1842"/>
        <c:marker>
          <c:symbol val="none"/>
        </c:marker>
      </c:pivotFmt>
      <c:pivotFmt>
        <c:idx val="1843"/>
        <c:marker>
          <c:symbol val="none"/>
        </c:marker>
      </c:pivotFmt>
      <c:pivotFmt>
        <c:idx val="1844"/>
        <c:marker>
          <c:symbol val="none"/>
        </c:marker>
      </c:pivotFmt>
      <c:pivotFmt>
        <c:idx val="1845"/>
        <c:marker>
          <c:symbol val="none"/>
        </c:marker>
      </c:pivotFmt>
      <c:pivotFmt>
        <c:idx val="1846"/>
        <c:marker>
          <c:symbol val="none"/>
        </c:marker>
      </c:pivotFmt>
      <c:pivotFmt>
        <c:idx val="1847"/>
        <c:marker>
          <c:symbol val="none"/>
        </c:marker>
      </c:pivotFmt>
      <c:pivotFmt>
        <c:idx val="1848"/>
        <c:marker>
          <c:symbol val="none"/>
        </c:marker>
      </c:pivotFmt>
      <c:pivotFmt>
        <c:idx val="1849"/>
        <c:marker>
          <c:symbol val="none"/>
        </c:marker>
      </c:pivotFmt>
      <c:pivotFmt>
        <c:idx val="1850"/>
        <c:marker>
          <c:symbol val="none"/>
        </c:marker>
      </c:pivotFmt>
      <c:pivotFmt>
        <c:idx val="1851"/>
        <c:marker>
          <c:symbol val="none"/>
        </c:marker>
      </c:pivotFmt>
      <c:pivotFmt>
        <c:idx val="1852"/>
        <c:marker>
          <c:symbol val="none"/>
        </c:marker>
      </c:pivotFmt>
      <c:pivotFmt>
        <c:idx val="1853"/>
        <c:marker>
          <c:symbol val="none"/>
        </c:marker>
      </c:pivotFmt>
      <c:pivotFmt>
        <c:idx val="1854"/>
        <c:marker>
          <c:symbol val="none"/>
        </c:marker>
      </c:pivotFmt>
      <c:pivotFmt>
        <c:idx val="1855"/>
        <c:marker>
          <c:symbol val="none"/>
        </c:marker>
      </c:pivotFmt>
      <c:pivotFmt>
        <c:idx val="1856"/>
        <c:marker>
          <c:symbol val="none"/>
        </c:marker>
      </c:pivotFmt>
      <c:pivotFmt>
        <c:idx val="1857"/>
        <c:marker>
          <c:symbol val="none"/>
        </c:marker>
      </c:pivotFmt>
      <c:pivotFmt>
        <c:idx val="1858"/>
        <c:marker>
          <c:symbol val="none"/>
        </c:marker>
      </c:pivotFmt>
      <c:pivotFmt>
        <c:idx val="1859"/>
        <c:marker>
          <c:symbol val="none"/>
        </c:marker>
      </c:pivotFmt>
      <c:pivotFmt>
        <c:idx val="1860"/>
        <c:marker>
          <c:symbol val="none"/>
        </c:marker>
      </c:pivotFmt>
      <c:pivotFmt>
        <c:idx val="1861"/>
        <c:marker>
          <c:symbol val="none"/>
        </c:marker>
      </c:pivotFmt>
      <c:pivotFmt>
        <c:idx val="1862"/>
        <c:marker>
          <c:symbol val="none"/>
        </c:marker>
      </c:pivotFmt>
      <c:pivotFmt>
        <c:idx val="1863"/>
        <c:marker>
          <c:symbol val="none"/>
        </c:marker>
      </c:pivotFmt>
      <c:pivotFmt>
        <c:idx val="1864"/>
        <c:marker>
          <c:symbol val="none"/>
        </c:marker>
      </c:pivotFmt>
      <c:pivotFmt>
        <c:idx val="1865"/>
        <c:marker>
          <c:symbol val="none"/>
        </c:marker>
      </c:pivotFmt>
      <c:pivotFmt>
        <c:idx val="1866"/>
        <c:marker>
          <c:symbol val="none"/>
        </c:marker>
      </c:pivotFmt>
      <c:pivotFmt>
        <c:idx val="1867"/>
        <c:marker>
          <c:symbol val="none"/>
        </c:marker>
      </c:pivotFmt>
      <c:pivotFmt>
        <c:idx val="1868"/>
        <c:marker>
          <c:symbol val="none"/>
        </c:marker>
      </c:pivotFmt>
      <c:pivotFmt>
        <c:idx val="1869"/>
        <c:marker>
          <c:symbol val="none"/>
        </c:marker>
      </c:pivotFmt>
      <c:pivotFmt>
        <c:idx val="1870"/>
        <c:marker>
          <c:symbol val="none"/>
        </c:marker>
      </c:pivotFmt>
      <c:pivotFmt>
        <c:idx val="1871"/>
        <c:marker>
          <c:symbol val="none"/>
        </c:marker>
      </c:pivotFmt>
      <c:pivotFmt>
        <c:idx val="1872"/>
        <c:marker>
          <c:symbol val="none"/>
        </c:marker>
      </c:pivotFmt>
      <c:pivotFmt>
        <c:idx val="1873"/>
        <c:marker>
          <c:symbol val="none"/>
        </c:marker>
      </c:pivotFmt>
      <c:pivotFmt>
        <c:idx val="1874"/>
        <c:marker>
          <c:symbol val="none"/>
        </c:marker>
      </c:pivotFmt>
      <c:pivotFmt>
        <c:idx val="1875"/>
        <c:marker>
          <c:symbol val="none"/>
        </c:marker>
      </c:pivotFmt>
      <c:pivotFmt>
        <c:idx val="1876"/>
        <c:marker>
          <c:symbol val="none"/>
        </c:marker>
      </c:pivotFmt>
      <c:pivotFmt>
        <c:idx val="1877"/>
        <c:marker>
          <c:symbol val="none"/>
        </c:marker>
      </c:pivotFmt>
      <c:pivotFmt>
        <c:idx val="1878"/>
        <c:marker>
          <c:symbol val="none"/>
        </c:marker>
      </c:pivotFmt>
      <c:pivotFmt>
        <c:idx val="1879"/>
        <c:marker>
          <c:symbol val="none"/>
        </c:marker>
      </c:pivotFmt>
      <c:pivotFmt>
        <c:idx val="1880"/>
        <c:marker>
          <c:symbol val="none"/>
        </c:marker>
      </c:pivotFmt>
      <c:pivotFmt>
        <c:idx val="1881"/>
        <c:marker>
          <c:symbol val="none"/>
        </c:marker>
      </c:pivotFmt>
      <c:pivotFmt>
        <c:idx val="1882"/>
        <c:marker>
          <c:symbol val="none"/>
        </c:marker>
      </c:pivotFmt>
      <c:pivotFmt>
        <c:idx val="1883"/>
        <c:marker>
          <c:symbol val="none"/>
        </c:marker>
      </c:pivotFmt>
      <c:pivotFmt>
        <c:idx val="1884"/>
        <c:marker>
          <c:symbol val="none"/>
        </c:marker>
      </c:pivotFmt>
      <c:pivotFmt>
        <c:idx val="1885"/>
        <c:marker>
          <c:symbol val="none"/>
        </c:marker>
      </c:pivotFmt>
      <c:pivotFmt>
        <c:idx val="1886"/>
        <c:marker>
          <c:symbol val="none"/>
        </c:marker>
      </c:pivotFmt>
      <c:pivotFmt>
        <c:idx val="1887"/>
        <c:marker>
          <c:symbol val="none"/>
        </c:marker>
      </c:pivotFmt>
      <c:pivotFmt>
        <c:idx val="1888"/>
        <c:marker>
          <c:symbol val="none"/>
        </c:marker>
      </c:pivotFmt>
      <c:pivotFmt>
        <c:idx val="1889"/>
        <c:marker>
          <c:symbol val="none"/>
        </c:marker>
      </c:pivotFmt>
      <c:pivotFmt>
        <c:idx val="1890"/>
        <c:marker>
          <c:symbol val="none"/>
        </c:marker>
      </c:pivotFmt>
      <c:pivotFmt>
        <c:idx val="1891"/>
        <c:marker>
          <c:symbol val="none"/>
        </c:marker>
      </c:pivotFmt>
      <c:pivotFmt>
        <c:idx val="1892"/>
        <c:marker>
          <c:symbol val="none"/>
        </c:marker>
      </c:pivotFmt>
      <c:pivotFmt>
        <c:idx val="1893"/>
        <c:marker>
          <c:symbol val="none"/>
        </c:marker>
      </c:pivotFmt>
      <c:pivotFmt>
        <c:idx val="1894"/>
        <c:marker>
          <c:symbol val="none"/>
        </c:marker>
      </c:pivotFmt>
      <c:pivotFmt>
        <c:idx val="1895"/>
        <c:marker>
          <c:symbol val="none"/>
        </c:marker>
      </c:pivotFmt>
      <c:pivotFmt>
        <c:idx val="1896"/>
        <c:marker>
          <c:symbol val="none"/>
        </c:marker>
      </c:pivotFmt>
      <c:pivotFmt>
        <c:idx val="1897"/>
        <c:marker>
          <c:symbol val="none"/>
        </c:marker>
      </c:pivotFmt>
      <c:pivotFmt>
        <c:idx val="1898"/>
        <c:marker>
          <c:symbol val="none"/>
        </c:marker>
      </c:pivotFmt>
      <c:pivotFmt>
        <c:idx val="1899"/>
        <c:marker>
          <c:symbol val="none"/>
        </c:marker>
      </c:pivotFmt>
      <c:pivotFmt>
        <c:idx val="1900"/>
        <c:marker>
          <c:symbol val="none"/>
        </c:marker>
      </c:pivotFmt>
      <c:pivotFmt>
        <c:idx val="1901"/>
        <c:marker>
          <c:symbol val="none"/>
        </c:marker>
      </c:pivotFmt>
      <c:pivotFmt>
        <c:idx val="1902"/>
        <c:marker>
          <c:symbol val="none"/>
        </c:marker>
      </c:pivotFmt>
      <c:pivotFmt>
        <c:idx val="1903"/>
        <c:marker>
          <c:symbol val="none"/>
        </c:marker>
      </c:pivotFmt>
      <c:pivotFmt>
        <c:idx val="1904"/>
        <c:marker>
          <c:symbol val="none"/>
        </c:marker>
      </c:pivotFmt>
      <c:pivotFmt>
        <c:idx val="1905"/>
        <c:marker>
          <c:symbol val="none"/>
        </c:marker>
      </c:pivotFmt>
      <c:pivotFmt>
        <c:idx val="1906"/>
        <c:marker>
          <c:symbol val="none"/>
        </c:marker>
      </c:pivotFmt>
      <c:pivotFmt>
        <c:idx val="1907"/>
        <c:marker>
          <c:symbol val="none"/>
        </c:marker>
      </c:pivotFmt>
      <c:pivotFmt>
        <c:idx val="1908"/>
        <c:marker>
          <c:symbol val="none"/>
        </c:marker>
      </c:pivotFmt>
      <c:pivotFmt>
        <c:idx val="1909"/>
        <c:marker>
          <c:symbol val="none"/>
        </c:marker>
      </c:pivotFmt>
      <c:pivotFmt>
        <c:idx val="1910"/>
        <c:marker>
          <c:symbol val="none"/>
        </c:marker>
      </c:pivotFmt>
      <c:pivotFmt>
        <c:idx val="1911"/>
        <c:marker>
          <c:symbol val="none"/>
        </c:marker>
      </c:pivotFmt>
      <c:pivotFmt>
        <c:idx val="1912"/>
        <c:marker>
          <c:symbol val="none"/>
        </c:marker>
      </c:pivotFmt>
      <c:pivotFmt>
        <c:idx val="1913"/>
        <c:marker>
          <c:symbol val="none"/>
        </c:marker>
      </c:pivotFmt>
      <c:pivotFmt>
        <c:idx val="1914"/>
        <c:marker>
          <c:symbol val="none"/>
        </c:marker>
      </c:pivotFmt>
      <c:pivotFmt>
        <c:idx val="1915"/>
        <c:marker>
          <c:symbol val="none"/>
        </c:marker>
      </c:pivotFmt>
      <c:pivotFmt>
        <c:idx val="1916"/>
        <c:marker>
          <c:symbol val="none"/>
        </c:marker>
      </c:pivotFmt>
      <c:pivotFmt>
        <c:idx val="1917"/>
        <c:marker>
          <c:symbol val="none"/>
        </c:marker>
      </c:pivotFmt>
      <c:pivotFmt>
        <c:idx val="1918"/>
        <c:marker>
          <c:symbol val="none"/>
        </c:marker>
      </c:pivotFmt>
      <c:pivotFmt>
        <c:idx val="1919"/>
        <c:marker>
          <c:symbol val="none"/>
        </c:marker>
      </c:pivotFmt>
      <c:pivotFmt>
        <c:idx val="1920"/>
        <c:marker>
          <c:symbol val="none"/>
        </c:marker>
      </c:pivotFmt>
      <c:pivotFmt>
        <c:idx val="1921"/>
        <c:marker>
          <c:symbol val="none"/>
        </c:marker>
      </c:pivotFmt>
      <c:pivotFmt>
        <c:idx val="1922"/>
        <c:marker>
          <c:symbol val="none"/>
        </c:marker>
      </c:pivotFmt>
      <c:pivotFmt>
        <c:idx val="1923"/>
        <c:marker>
          <c:symbol val="none"/>
        </c:marker>
      </c:pivotFmt>
      <c:pivotFmt>
        <c:idx val="1924"/>
        <c:marker>
          <c:symbol val="none"/>
        </c:marker>
      </c:pivotFmt>
      <c:pivotFmt>
        <c:idx val="1925"/>
        <c:marker>
          <c:symbol val="none"/>
        </c:marker>
      </c:pivotFmt>
      <c:pivotFmt>
        <c:idx val="1926"/>
        <c:marker>
          <c:symbol val="none"/>
        </c:marker>
      </c:pivotFmt>
      <c:pivotFmt>
        <c:idx val="1927"/>
        <c:marker>
          <c:symbol val="none"/>
        </c:marker>
      </c:pivotFmt>
      <c:pivotFmt>
        <c:idx val="1928"/>
        <c:marker>
          <c:symbol val="none"/>
        </c:marker>
      </c:pivotFmt>
      <c:pivotFmt>
        <c:idx val="1929"/>
        <c:marker>
          <c:symbol val="none"/>
        </c:marker>
      </c:pivotFmt>
      <c:pivotFmt>
        <c:idx val="1930"/>
        <c:marker>
          <c:symbol val="none"/>
        </c:marker>
      </c:pivotFmt>
      <c:pivotFmt>
        <c:idx val="1931"/>
        <c:marker>
          <c:symbol val="none"/>
        </c:marker>
      </c:pivotFmt>
      <c:pivotFmt>
        <c:idx val="1932"/>
        <c:marker>
          <c:symbol val="none"/>
        </c:marker>
      </c:pivotFmt>
      <c:pivotFmt>
        <c:idx val="1933"/>
        <c:marker>
          <c:symbol val="none"/>
        </c:marker>
      </c:pivotFmt>
      <c:pivotFmt>
        <c:idx val="1934"/>
        <c:marker>
          <c:symbol val="none"/>
        </c:marker>
      </c:pivotFmt>
      <c:pivotFmt>
        <c:idx val="1935"/>
        <c:marker>
          <c:symbol val="none"/>
        </c:marker>
      </c:pivotFmt>
      <c:pivotFmt>
        <c:idx val="1936"/>
        <c:marker>
          <c:symbol val="none"/>
        </c:marker>
      </c:pivotFmt>
      <c:pivotFmt>
        <c:idx val="1937"/>
        <c:marker>
          <c:symbol val="none"/>
        </c:marker>
      </c:pivotFmt>
      <c:pivotFmt>
        <c:idx val="1938"/>
        <c:marker>
          <c:symbol val="none"/>
        </c:marker>
      </c:pivotFmt>
      <c:pivotFmt>
        <c:idx val="1939"/>
        <c:marker>
          <c:symbol val="none"/>
        </c:marker>
      </c:pivotFmt>
      <c:pivotFmt>
        <c:idx val="1940"/>
        <c:marker>
          <c:symbol val="none"/>
        </c:marker>
      </c:pivotFmt>
      <c:pivotFmt>
        <c:idx val="1941"/>
        <c:marker>
          <c:symbol val="none"/>
        </c:marker>
      </c:pivotFmt>
      <c:pivotFmt>
        <c:idx val="1942"/>
        <c:marker>
          <c:symbol val="none"/>
        </c:marker>
      </c:pivotFmt>
      <c:pivotFmt>
        <c:idx val="1943"/>
        <c:marker>
          <c:symbol val="none"/>
        </c:marker>
      </c:pivotFmt>
      <c:pivotFmt>
        <c:idx val="1944"/>
        <c:marker>
          <c:symbol val="none"/>
        </c:marker>
      </c:pivotFmt>
      <c:pivotFmt>
        <c:idx val="1945"/>
        <c:marker>
          <c:symbol val="none"/>
        </c:marker>
      </c:pivotFmt>
      <c:pivotFmt>
        <c:idx val="1946"/>
        <c:marker>
          <c:symbol val="none"/>
        </c:marker>
      </c:pivotFmt>
      <c:pivotFmt>
        <c:idx val="1947"/>
        <c:marker>
          <c:symbol val="none"/>
        </c:marker>
      </c:pivotFmt>
      <c:pivotFmt>
        <c:idx val="1948"/>
        <c:marker>
          <c:symbol val="none"/>
        </c:marker>
      </c:pivotFmt>
      <c:pivotFmt>
        <c:idx val="1949"/>
        <c:spPr>
          <a:ln w="25400">
            <a:noFill/>
          </a:ln>
        </c:spPr>
        <c:marker>
          <c:symbol val="none"/>
        </c:marker>
      </c:pivotFmt>
      <c:pivotFmt>
        <c:idx val="1950"/>
        <c:marker>
          <c:symbol val="none"/>
        </c:marker>
      </c:pivotFmt>
      <c:pivotFmt>
        <c:idx val="1951"/>
        <c:marker>
          <c:symbol val="none"/>
        </c:marker>
      </c:pivotFmt>
      <c:pivotFmt>
        <c:idx val="1952"/>
        <c:marker>
          <c:symbol val="none"/>
        </c:marker>
      </c:pivotFmt>
      <c:pivotFmt>
        <c:idx val="1953"/>
        <c:marker>
          <c:symbol val="none"/>
        </c:marker>
      </c:pivotFmt>
      <c:pivotFmt>
        <c:idx val="1954"/>
        <c:marker>
          <c:symbol val="none"/>
        </c:marker>
      </c:pivotFmt>
      <c:pivotFmt>
        <c:idx val="1955"/>
        <c:marker>
          <c:symbol val="none"/>
        </c:marker>
      </c:pivotFmt>
      <c:pivotFmt>
        <c:idx val="1956"/>
        <c:marker>
          <c:symbol val="none"/>
        </c:marker>
      </c:pivotFmt>
      <c:pivotFmt>
        <c:idx val="1957"/>
        <c:marker>
          <c:symbol val="none"/>
        </c:marker>
      </c:pivotFmt>
      <c:pivotFmt>
        <c:idx val="1958"/>
        <c:marker>
          <c:symbol val="none"/>
        </c:marker>
      </c:pivotFmt>
      <c:pivotFmt>
        <c:idx val="1959"/>
        <c:marker>
          <c:symbol val="none"/>
        </c:marker>
      </c:pivotFmt>
      <c:pivotFmt>
        <c:idx val="1960"/>
        <c:marker>
          <c:symbol val="none"/>
        </c:marker>
      </c:pivotFmt>
      <c:pivotFmt>
        <c:idx val="1961"/>
        <c:marker>
          <c:symbol val="none"/>
        </c:marker>
      </c:pivotFmt>
      <c:pivotFmt>
        <c:idx val="1962"/>
        <c:marker>
          <c:symbol val="none"/>
        </c:marker>
      </c:pivotFmt>
      <c:pivotFmt>
        <c:idx val="1963"/>
        <c:marker>
          <c:symbol val="none"/>
        </c:marker>
      </c:pivotFmt>
      <c:pivotFmt>
        <c:idx val="1964"/>
        <c:marker>
          <c:symbol val="none"/>
        </c:marker>
      </c:pivotFmt>
      <c:pivotFmt>
        <c:idx val="1965"/>
        <c:marker>
          <c:symbol val="none"/>
        </c:marker>
      </c:pivotFmt>
      <c:pivotFmt>
        <c:idx val="1966"/>
        <c:marker>
          <c:symbol val="none"/>
        </c:marker>
      </c:pivotFmt>
      <c:pivotFmt>
        <c:idx val="1967"/>
        <c:marker>
          <c:symbol val="none"/>
        </c:marker>
      </c:pivotFmt>
      <c:pivotFmt>
        <c:idx val="1968"/>
        <c:marker>
          <c:symbol val="none"/>
        </c:marker>
      </c:pivotFmt>
      <c:pivotFmt>
        <c:idx val="1969"/>
        <c:marker>
          <c:symbol val="none"/>
        </c:marker>
      </c:pivotFmt>
      <c:pivotFmt>
        <c:idx val="1970"/>
        <c:marker>
          <c:symbol val="none"/>
        </c:marker>
      </c:pivotFmt>
      <c:pivotFmt>
        <c:idx val="1971"/>
        <c:marker>
          <c:symbol val="none"/>
        </c:marker>
      </c:pivotFmt>
      <c:pivotFmt>
        <c:idx val="1972"/>
        <c:marker>
          <c:symbol val="none"/>
        </c:marker>
      </c:pivotFmt>
      <c:pivotFmt>
        <c:idx val="1973"/>
        <c:marker>
          <c:symbol val="none"/>
        </c:marker>
      </c:pivotFmt>
      <c:pivotFmt>
        <c:idx val="1974"/>
        <c:marker>
          <c:symbol val="none"/>
        </c:marker>
      </c:pivotFmt>
      <c:pivotFmt>
        <c:idx val="1975"/>
        <c:marker>
          <c:symbol val="none"/>
        </c:marker>
      </c:pivotFmt>
      <c:pivotFmt>
        <c:idx val="1976"/>
        <c:marker>
          <c:symbol val="none"/>
        </c:marker>
      </c:pivotFmt>
      <c:pivotFmt>
        <c:idx val="1977"/>
        <c:marker>
          <c:symbol val="none"/>
        </c:marker>
      </c:pivotFmt>
      <c:pivotFmt>
        <c:idx val="1978"/>
        <c:marker>
          <c:symbol val="none"/>
        </c:marker>
      </c:pivotFmt>
      <c:pivotFmt>
        <c:idx val="1979"/>
        <c:marker>
          <c:symbol val="none"/>
        </c:marker>
      </c:pivotFmt>
      <c:pivotFmt>
        <c:idx val="1980"/>
        <c:marker>
          <c:symbol val="none"/>
        </c:marker>
      </c:pivotFmt>
      <c:pivotFmt>
        <c:idx val="1981"/>
        <c:marker>
          <c:symbol val="none"/>
        </c:marker>
      </c:pivotFmt>
      <c:pivotFmt>
        <c:idx val="1982"/>
        <c:marker>
          <c:symbol val="none"/>
        </c:marker>
      </c:pivotFmt>
      <c:pivotFmt>
        <c:idx val="1983"/>
        <c:marker>
          <c:symbol val="none"/>
        </c:marker>
      </c:pivotFmt>
      <c:pivotFmt>
        <c:idx val="1984"/>
        <c:marker>
          <c:symbol val="none"/>
        </c:marker>
      </c:pivotFmt>
      <c:pivotFmt>
        <c:idx val="1985"/>
        <c:marker>
          <c:symbol val="none"/>
        </c:marker>
      </c:pivotFmt>
      <c:pivotFmt>
        <c:idx val="1986"/>
        <c:marker>
          <c:symbol val="none"/>
        </c:marker>
      </c:pivotFmt>
      <c:pivotFmt>
        <c:idx val="1987"/>
        <c:marker>
          <c:symbol val="none"/>
        </c:marker>
      </c:pivotFmt>
      <c:pivotFmt>
        <c:idx val="1988"/>
        <c:marker>
          <c:symbol val="none"/>
        </c:marker>
      </c:pivotFmt>
      <c:pivotFmt>
        <c:idx val="1989"/>
        <c:marker>
          <c:symbol val="none"/>
        </c:marker>
      </c:pivotFmt>
      <c:pivotFmt>
        <c:idx val="1990"/>
        <c:marker>
          <c:symbol val="none"/>
        </c:marker>
      </c:pivotFmt>
      <c:pivotFmt>
        <c:idx val="1991"/>
        <c:marker>
          <c:symbol val="none"/>
        </c:marker>
      </c:pivotFmt>
      <c:pivotFmt>
        <c:idx val="1992"/>
        <c:marker>
          <c:symbol val="none"/>
        </c:marker>
      </c:pivotFmt>
      <c:pivotFmt>
        <c:idx val="1993"/>
        <c:marker>
          <c:symbol val="none"/>
        </c:marker>
      </c:pivotFmt>
      <c:pivotFmt>
        <c:idx val="1994"/>
        <c:marker>
          <c:symbol val="none"/>
        </c:marker>
      </c:pivotFmt>
      <c:pivotFmt>
        <c:idx val="1995"/>
        <c:marker>
          <c:symbol val="none"/>
        </c:marker>
      </c:pivotFmt>
      <c:pivotFmt>
        <c:idx val="1996"/>
        <c:marker>
          <c:symbol val="none"/>
        </c:marker>
      </c:pivotFmt>
      <c:pivotFmt>
        <c:idx val="1997"/>
        <c:marker>
          <c:symbol val="none"/>
        </c:marker>
      </c:pivotFmt>
      <c:pivotFmt>
        <c:idx val="1998"/>
        <c:marker>
          <c:symbol val="none"/>
        </c:marker>
      </c:pivotFmt>
      <c:pivotFmt>
        <c:idx val="1999"/>
        <c:marker>
          <c:symbol val="none"/>
        </c:marker>
      </c:pivotFmt>
      <c:pivotFmt>
        <c:idx val="2000"/>
        <c:marker>
          <c:symbol val="none"/>
        </c:marker>
      </c:pivotFmt>
      <c:pivotFmt>
        <c:idx val="2001"/>
        <c:marker>
          <c:symbol val="none"/>
        </c:marker>
      </c:pivotFmt>
      <c:pivotFmt>
        <c:idx val="2002"/>
        <c:marker>
          <c:symbol val="none"/>
        </c:marker>
      </c:pivotFmt>
      <c:pivotFmt>
        <c:idx val="2003"/>
        <c:marker>
          <c:symbol val="none"/>
        </c:marker>
      </c:pivotFmt>
      <c:pivotFmt>
        <c:idx val="2004"/>
        <c:marker>
          <c:symbol val="none"/>
        </c:marker>
      </c:pivotFmt>
      <c:pivotFmt>
        <c:idx val="2005"/>
        <c:marker>
          <c:symbol val="none"/>
        </c:marker>
      </c:pivotFmt>
      <c:pivotFmt>
        <c:idx val="2006"/>
        <c:marker>
          <c:symbol val="none"/>
        </c:marker>
      </c:pivotFmt>
      <c:pivotFmt>
        <c:idx val="2007"/>
        <c:marker>
          <c:symbol val="none"/>
        </c:marker>
      </c:pivotFmt>
      <c:pivotFmt>
        <c:idx val="2008"/>
        <c:marker>
          <c:symbol val="none"/>
        </c:marker>
      </c:pivotFmt>
      <c:pivotFmt>
        <c:idx val="2009"/>
        <c:marker>
          <c:symbol val="none"/>
        </c:marker>
      </c:pivotFmt>
      <c:pivotFmt>
        <c:idx val="2010"/>
        <c:marker>
          <c:symbol val="none"/>
        </c:marker>
      </c:pivotFmt>
      <c:pivotFmt>
        <c:idx val="2011"/>
        <c:marker>
          <c:symbol val="none"/>
        </c:marker>
      </c:pivotFmt>
      <c:pivotFmt>
        <c:idx val="2012"/>
        <c:marker>
          <c:symbol val="none"/>
        </c:marker>
      </c:pivotFmt>
      <c:pivotFmt>
        <c:idx val="2013"/>
        <c:marker>
          <c:symbol val="none"/>
        </c:marker>
      </c:pivotFmt>
      <c:pivotFmt>
        <c:idx val="2014"/>
        <c:marker>
          <c:symbol val="none"/>
        </c:marker>
      </c:pivotFmt>
      <c:pivotFmt>
        <c:idx val="2015"/>
        <c:marker>
          <c:symbol val="none"/>
        </c:marker>
      </c:pivotFmt>
      <c:pivotFmt>
        <c:idx val="2016"/>
        <c:marker>
          <c:symbol val="none"/>
        </c:marker>
      </c:pivotFmt>
      <c:pivotFmt>
        <c:idx val="2017"/>
        <c:marker>
          <c:symbol val="none"/>
        </c:marker>
      </c:pivotFmt>
      <c:pivotFmt>
        <c:idx val="2018"/>
        <c:marker>
          <c:symbol val="none"/>
        </c:marker>
      </c:pivotFmt>
      <c:pivotFmt>
        <c:idx val="2019"/>
        <c:marker>
          <c:symbol val="none"/>
        </c:marker>
      </c:pivotFmt>
      <c:pivotFmt>
        <c:idx val="2020"/>
        <c:marker>
          <c:symbol val="none"/>
        </c:marker>
      </c:pivotFmt>
      <c:pivotFmt>
        <c:idx val="2021"/>
        <c:marker>
          <c:symbol val="none"/>
        </c:marker>
      </c:pivotFmt>
      <c:pivotFmt>
        <c:idx val="2022"/>
        <c:marker>
          <c:symbol val="none"/>
        </c:marker>
      </c:pivotFmt>
      <c:pivotFmt>
        <c:idx val="2023"/>
        <c:marker>
          <c:symbol val="none"/>
        </c:marker>
      </c:pivotFmt>
      <c:pivotFmt>
        <c:idx val="2024"/>
        <c:marker>
          <c:symbol val="none"/>
        </c:marker>
      </c:pivotFmt>
      <c:pivotFmt>
        <c:idx val="2025"/>
        <c:marker>
          <c:symbol val="none"/>
        </c:marker>
      </c:pivotFmt>
      <c:pivotFmt>
        <c:idx val="2026"/>
        <c:marker>
          <c:symbol val="none"/>
        </c:marker>
      </c:pivotFmt>
      <c:pivotFmt>
        <c:idx val="2027"/>
        <c:marker>
          <c:symbol val="none"/>
        </c:marker>
      </c:pivotFmt>
      <c:pivotFmt>
        <c:idx val="2028"/>
        <c:marker>
          <c:symbol val="none"/>
        </c:marker>
      </c:pivotFmt>
      <c:pivotFmt>
        <c:idx val="2029"/>
        <c:marker>
          <c:symbol val="none"/>
        </c:marker>
      </c:pivotFmt>
      <c:pivotFmt>
        <c:idx val="2030"/>
        <c:marker>
          <c:symbol val="none"/>
        </c:marker>
      </c:pivotFmt>
      <c:pivotFmt>
        <c:idx val="2031"/>
        <c:marker>
          <c:symbol val="none"/>
        </c:marker>
      </c:pivotFmt>
      <c:pivotFmt>
        <c:idx val="2032"/>
        <c:marker>
          <c:symbol val="none"/>
        </c:marker>
      </c:pivotFmt>
      <c:pivotFmt>
        <c:idx val="2033"/>
        <c:marker>
          <c:symbol val="none"/>
        </c:marker>
      </c:pivotFmt>
      <c:pivotFmt>
        <c:idx val="2034"/>
        <c:marker>
          <c:symbol val="none"/>
        </c:marker>
      </c:pivotFmt>
      <c:pivotFmt>
        <c:idx val="2035"/>
        <c:marker>
          <c:symbol val="none"/>
        </c:marker>
      </c:pivotFmt>
      <c:pivotFmt>
        <c:idx val="2036"/>
        <c:marker>
          <c:symbol val="none"/>
        </c:marker>
      </c:pivotFmt>
      <c:pivotFmt>
        <c:idx val="2037"/>
        <c:marker>
          <c:symbol val="none"/>
        </c:marker>
      </c:pivotFmt>
      <c:pivotFmt>
        <c:idx val="2038"/>
        <c:marker>
          <c:symbol val="none"/>
        </c:marker>
      </c:pivotFmt>
      <c:pivotFmt>
        <c:idx val="2039"/>
        <c:marker>
          <c:symbol val="none"/>
        </c:marker>
      </c:pivotFmt>
      <c:pivotFmt>
        <c:idx val="2040"/>
        <c:marker>
          <c:symbol val="none"/>
        </c:marker>
      </c:pivotFmt>
      <c:pivotFmt>
        <c:idx val="2041"/>
        <c:marker>
          <c:symbol val="none"/>
        </c:marker>
      </c:pivotFmt>
      <c:pivotFmt>
        <c:idx val="2042"/>
        <c:marker>
          <c:symbol val="none"/>
        </c:marker>
      </c:pivotFmt>
      <c:pivotFmt>
        <c:idx val="2043"/>
        <c:marker>
          <c:symbol val="none"/>
        </c:marker>
      </c:pivotFmt>
      <c:pivotFmt>
        <c:idx val="2044"/>
        <c:marker>
          <c:symbol val="none"/>
        </c:marker>
      </c:pivotFmt>
      <c:pivotFmt>
        <c:idx val="2045"/>
        <c:marker>
          <c:symbol val="none"/>
        </c:marker>
      </c:pivotFmt>
      <c:pivotFmt>
        <c:idx val="2046"/>
        <c:marker>
          <c:symbol val="none"/>
        </c:marker>
      </c:pivotFmt>
      <c:pivotFmt>
        <c:idx val="2047"/>
        <c:marker>
          <c:symbol val="none"/>
        </c:marker>
      </c:pivotFmt>
      <c:pivotFmt>
        <c:idx val="2048"/>
        <c:marker>
          <c:symbol val="none"/>
        </c:marker>
      </c:pivotFmt>
      <c:pivotFmt>
        <c:idx val="2049"/>
        <c:marker>
          <c:symbol val="none"/>
        </c:marker>
      </c:pivotFmt>
      <c:pivotFmt>
        <c:idx val="2050"/>
        <c:marker>
          <c:symbol val="none"/>
        </c:marker>
        <c:dLbl>
          <c:idx val="0"/>
          <c:delete val="1"/>
        </c:dLbl>
      </c:pivotFmt>
      <c:pivotFmt>
        <c:idx val="2051"/>
        <c:marker>
          <c:symbol val="none"/>
        </c:marker>
      </c:pivotFmt>
      <c:pivotFmt>
        <c:idx val="2052"/>
        <c:marker>
          <c:symbol val="none"/>
        </c:marker>
        <c:dLbl>
          <c:idx val="0"/>
          <c:delete val="1"/>
        </c:dLbl>
      </c:pivotFmt>
      <c:pivotFmt>
        <c:idx val="2053"/>
        <c:marker>
          <c:symbol val="none"/>
        </c:marker>
        <c:dLbl>
          <c:idx val="0"/>
          <c:delete val="1"/>
        </c:dLbl>
      </c:pivotFmt>
      <c:pivotFmt>
        <c:idx val="2054"/>
        <c:marker>
          <c:symbol val="none"/>
        </c:marker>
        <c:dLbl>
          <c:idx val="0"/>
          <c:delete val="1"/>
        </c:dLbl>
      </c:pivotFmt>
      <c:pivotFmt>
        <c:idx val="2055"/>
        <c:marker>
          <c:symbol val="none"/>
        </c:marker>
        <c:dLbl>
          <c:idx val="0"/>
          <c:delete val="1"/>
        </c:dLbl>
      </c:pivotFmt>
      <c:pivotFmt>
        <c:idx val="2056"/>
        <c:marker>
          <c:symbol val="none"/>
        </c:marker>
        <c:dLbl>
          <c:idx val="0"/>
          <c:delete val="1"/>
        </c:dLbl>
      </c:pivotFmt>
      <c:pivotFmt>
        <c:idx val="2057"/>
        <c:marker>
          <c:symbol val="none"/>
        </c:marker>
        <c:dLbl>
          <c:idx val="0"/>
          <c:delete val="1"/>
        </c:dLbl>
      </c:pivotFmt>
      <c:pivotFmt>
        <c:idx val="2058"/>
        <c:marker>
          <c:symbol val="none"/>
        </c:marker>
      </c:pivotFmt>
      <c:pivotFmt>
        <c:idx val="2059"/>
        <c:marker>
          <c:symbol val="none"/>
        </c:marker>
      </c:pivotFmt>
      <c:pivotFmt>
        <c:idx val="2060"/>
        <c:marker>
          <c:symbol val="none"/>
        </c:marker>
      </c:pivotFmt>
      <c:pivotFmt>
        <c:idx val="2061"/>
        <c:marker>
          <c:symbol val="none"/>
        </c:marker>
      </c:pivotFmt>
      <c:pivotFmt>
        <c:idx val="2062"/>
        <c:marker>
          <c:symbol val="none"/>
        </c:marker>
      </c:pivotFmt>
      <c:pivotFmt>
        <c:idx val="2063"/>
        <c:marker>
          <c:symbol val="none"/>
        </c:marker>
      </c:pivotFmt>
      <c:pivotFmt>
        <c:idx val="2064"/>
        <c:marker>
          <c:symbol val="none"/>
        </c:marker>
      </c:pivotFmt>
      <c:pivotFmt>
        <c:idx val="2065"/>
        <c:marker>
          <c:symbol val="none"/>
        </c:marker>
      </c:pivotFmt>
      <c:pivotFmt>
        <c:idx val="2066"/>
        <c:marker>
          <c:symbol val="none"/>
        </c:marker>
      </c:pivotFmt>
      <c:pivotFmt>
        <c:idx val="2067"/>
        <c:marker>
          <c:symbol val="none"/>
        </c:marker>
      </c:pivotFmt>
      <c:pivotFmt>
        <c:idx val="2068"/>
        <c:marker>
          <c:symbol val="none"/>
        </c:marker>
      </c:pivotFmt>
      <c:pivotFmt>
        <c:idx val="2069"/>
        <c:marker>
          <c:symbol val="none"/>
        </c:marker>
      </c:pivotFmt>
      <c:pivotFmt>
        <c:idx val="2070"/>
        <c:marker>
          <c:symbol val="none"/>
        </c:marker>
      </c:pivotFmt>
      <c:pivotFmt>
        <c:idx val="2071"/>
        <c:marker>
          <c:symbol val="none"/>
        </c:marker>
      </c:pivotFmt>
      <c:pivotFmt>
        <c:idx val="2072"/>
        <c:marker>
          <c:symbol val="none"/>
        </c:marker>
      </c:pivotFmt>
      <c:pivotFmt>
        <c:idx val="2073"/>
        <c:marker>
          <c:symbol val="none"/>
        </c:marker>
      </c:pivotFmt>
      <c:pivotFmt>
        <c:idx val="2074"/>
        <c:marker>
          <c:symbol val="none"/>
        </c:marker>
      </c:pivotFmt>
      <c:pivotFmt>
        <c:idx val="2075"/>
        <c:marker>
          <c:symbol val="none"/>
        </c:marker>
      </c:pivotFmt>
      <c:pivotFmt>
        <c:idx val="2076"/>
        <c:marker>
          <c:symbol val="none"/>
        </c:marker>
      </c:pivotFmt>
      <c:pivotFmt>
        <c:idx val="2077"/>
        <c:marker>
          <c:symbol val="none"/>
        </c:marker>
      </c:pivotFmt>
      <c:pivotFmt>
        <c:idx val="2078"/>
        <c:marker>
          <c:symbol val="none"/>
        </c:marker>
      </c:pivotFmt>
      <c:pivotFmt>
        <c:idx val="2079"/>
        <c:marker>
          <c:symbol val="none"/>
        </c:marker>
      </c:pivotFmt>
      <c:pivotFmt>
        <c:idx val="2080"/>
        <c:marker>
          <c:symbol val="none"/>
        </c:marker>
      </c:pivotFmt>
      <c:pivotFmt>
        <c:idx val="2081"/>
        <c:marker>
          <c:symbol val="none"/>
        </c:marker>
      </c:pivotFmt>
      <c:pivotFmt>
        <c:idx val="2082"/>
        <c:marker>
          <c:symbol val="none"/>
        </c:marker>
      </c:pivotFmt>
      <c:pivotFmt>
        <c:idx val="2083"/>
        <c:marker>
          <c:symbol val="none"/>
        </c:marker>
      </c:pivotFmt>
      <c:pivotFmt>
        <c:idx val="2084"/>
        <c:marker>
          <c:symbol val="none"/>
        </c:marker>
      </c:pivotFmt>
      <c:pivotFmt>
        <c:idx val="2085"/>
        <c:marker>
          <c:symbol val="none"/>
        </c:marker>
      </c:pivotFmt>
      <c:pivotFmt>
        <c:idx val="2086"/>
        <c:marker>
          <c:symbol val="none"/>
        </c:marker>
      </c:pivotFmt>
      <c:pivotFmt>
        <c:idx val="2087"/>
        <c:marker>
          <c:symbol val="none"/>
        </c:marker>
      </c:pivotFmt>
      <c:pivotFmt>
        <c:idx val="2088"/>
        <c:marker>
          <c:symbol val="none"/>
        </c:marker>
      </c:pivotFmt>
      <c:pivotFmt>
        <c:idx val="2089"/>
        <c:marker>
          <c:symbol val="none"/>
        </c:marker>
      </c:pivotFmt>
      <c:pivotFmt>
        <c:idx val="2090"/>
        <c:marker>
          <c:symbol val="none"/>
        </c:marker>
      </c:pivotFmt>
      <c:pivotFmt>
        <c:idx val="2091"/>
        <c:marker>
          <c:symbol val="none"/>
        </c:marker>
      </c:pivotFmt>
      <c:pivotFmt>
        <c:idx val="2092"/>
        <c:marker>
          <c:symbol val="none"/>
        </c:marker>
      </c:pivotFmt>
      <c:pivotFmt>
        <c:idx val="2093"/>
        <c:marker>
          <c:symbol val="none"/>
        </c:marker>
      </c:pivotFmt>
      <c:pivotFmt>
        <c:idx val="2094"/>
        <c:marker>
          <c:symbol val="none"/>
        </c:marker>
      </c:pivotFmt>
      <c:pivotFmt>
        <c:idx val="2095"/>
        <c:marker>
          <c:symbol val="none"/>
        </c:marker>
      </c:pivotFmt>
      <c:pivotFmt>
        <c:idx val="2096"/>
        <c:marker>
          <c:symbol val="none"/>
        </c:marker>
      </c:pivotFmt>
      <c:pivotFmt>
        <c:idx val="2097"/>
        <c:marker>
          <c:symbol val="none"/>
        </c:marker>
      </c:pivotFmt>
      <c:pivotFmt>
        <c:idx val="2098"/>
        <c:marker>
          <c:symbol val="none"/>
        </c:marker>
      </c:pivotFmt>
      <c:pivotFmt>
        <c:idx val="2099"/>
        <c:marker>
          <c:symbol val="none"/>
        </c:marker>
      </c:pivotFmt>
      <c:pivotFmt>
        <c:idx val="2100"/>
        <c:marker>
          <c:symbol val="none"/>
        </c:marker>
      </c:pivotFmt>
      <c:pivotFmt>
        <c:idx val="2101"/>
        <c:marker>
          <c:symbol val="none"/>
        </c:marker>
      </c:pivotFmt>
      <c:pivotFmt>
        <c:idx val="2102"/>
        <c:marker>
          <c:symbol val="none"/>
        </c:marker>
      </c:pivotFmt>
      <c:pivotFmt>
        <c:idx val="2103"/>
        <c:marker>
          <c:symbol val="none"/>
        </c:marker>
      </c:pivotFmt>
      <c:pivotFmt>
        <c:idx val="2104"/>
        <c:marker>
          <c:symbol val="none"/>
        </c:marker>
      </c:pivotFmt>
      <c:pivotFmt>
        <c:idx val="2105"/>
        <c:marker>
          <c:symbol val="none"/>
        </c:marker>
      </c:pivotFmt>
      <c:pivotFmt>
        <c:idx val="2106"/>
        <c:marker>
          <c:symbol val="none"/>
        </c:marker>
      </c:pivotFmt>
      <c:pivotFmt>
        <c:idx val="2107"/>
        <c:marker>
          <c:symbol val="none"/>
        </c:marker>
      </c:pivotFmt>
      <c:pivotFmt>
        <c:idx val="2108"/>
        <c:marker>
          <c:symbol val="none"/>
        </c:marker>
      </c:pivotFmt>
      <c:pivotFmt>
        <c:idx val="2109"/>
        <c:marker>
          <c:symbol val="none"/>
        </c:marker>
      </c:pivotFmt>
      <c:pivotFmt>
        <c:idx val="2110"/>
        <c:marker>
          <c:symbol val="none"/>
        </c:marker>
      </c:pivotFmt>
      <c:pivotFmt>
        <c:idx val="2111"/>
        <c:marker>
          <c:symbol val="none"/>
        </c:marker>
      </c:pivotFmt>
      <c:pivotFmt>
        <c:idx val="2112"/>
        <c:marker>
          <c:symbol val="none"/>
        </c:marker>
      </c:pivotFmt>
      <c:pivotFmt>
        <c:idx val="2113"/>
        <c:marker>
          <c:symbol val="none"/>
        </c:marker>
      </c:pivotFmt>
      <c:pivotFmt>
        <c:idx val="2114"/>
        <c:marker>
          <c:symbol val="none"/>
        </c:marker>
      </c:pivotFmt>
      <c:pivotFmt>
        <c:idx val="2115"/>
        <c:marker>
          <c:symbol val="none"/>
        </c:marker>
      </c:pivotFmt>
      <c:pivotFmt>
        <c:idx val="2116"/>
        <c:marker>
          <c:symbol val="none"/>
        </c:marker>
      </c:pivotFmt>
      <c:pivotFmt>
        <c:idx val="2117"/>
        <c:marker>
          <c:symbol val="none"/>
        </c:marker>
      </c:pivotFmt>
      <c:pivotFmt>
        <c:idx val="2118"/>
        <c:marker>
          <c:symbol val="none"/>
        </c:marker>
      </c:pivotFmt>
      <c:pivotFmt>
        <c:idx val="2119"/>
        <c:marker>
          <c:symbol val="none"/>
        </c:marker>
      </c:pivotFmt>
      <c:pivotFmt>
        <c:idx val="2120"/>
        <c:marker>
          <c:symbol val="none"/>
        </c:marker>
      </c:pivotFmt>
      <c:pivotFmt>
        <c:idx val="2121"/>
        <c:marker>
          <c:symbol val="none"/>
        </c:marker>
      </c:pivotFmt>
      <c:pivotFmt>
        <c:idx val="2122"/>
        <c:marker>
          <c:symbol val="none"/>
        </c:marker>
      </c:pivotFmt>
      <c:pivotFmt>
        <c:idx val="2123"/>
        <c:marker>
          <c:symbol val="none"/>
        </c:marker>
      </c:pivotFmt>
      <c:pivotFmt>
        <c:idx val="2124"/>
        <c:marker>
          <c:symbol val="none"/>
        </c:marker>
      </c:pivotFmt>
      <c:pivotFmt>
        <c:idx val="2125"/>
        <c:marker>
          <c:symbol val="none"/>
        </c:marker>
      </c:pivotFmt>
      <c:pivotFmt>
        <c:idx val="2126"/>
        <c:marker>
          <c:symbol val="none"/>
        </c:marker>
      </c:pivotFmt>
      <c:pivotFmt>
        <c:idx val="2127"/>
        <c:marker>
          <c:symbol val="none"/>
        </c:marker>
      </c:pivotFmt>
      <c:pivotFmt>
        <c:idx val="2128"/>
        <c:marker>
          <c:symbol val="none"/>
        </c:marker>
      </c:pivotFmt>
      <c:pivotFmt>
        <c:idx val="2129"/>
        <c:marker>
          <c:symbol val="none"/>
        </c:marker>
      </c:pivotFmt>
      <c:pivotFmt>
        <c:idx val="2130"/>
        <c:marker>
          <c:symbol val="none"/>
        </c:marker>
      </c:pivotFmt>
      <c:pivotFmt>
        <c:idx val="2131"/>
        <c:marker>
          <c:symbol val="none"/>
        </c:marker>
      </c:pivotFmt>
      <c:pivotFmt>
        <c:idx val="2132"/>
        <c:marker>
          <c:symbol val="none"/>
        </c:marker>
      </c:pivotFmt>
      <c:pivotFmt>
        <c:idx val="2133"/>
        <c:marker>
          <c:symbol val="none"/>
        </c:marker>
      </c:pivotFmt>
      <c:pivotFmt>
        <c:idx val="2134"/>
        <c:marker>
          <c:symbol val="none"/>
        </c:marker>
      </c:pivotFmt>
      <c:pivotFmt>
        <c:idx val="2135"/>
        <c:marker>
          <c:symbol val="none"/>
        </c:marker>
      </c:pivotFmt>
      <c:pivotFmt>
        <c:idx val="2136"/>
        <c:marker>
          <c:symbol val="none"/>
        </c:marker>
      </c:pivotFmt>
      <c:pivotFmt>
        <c:idx val="2137"/>
        <c:marker>
          <c:symbol val="none"/>
        </c:marker>
      </c:pivotFmt>
      <c:pivotFmt>
        <c:idx val="2138"/>
        <c:marker>
          <c:symbol val="none"/>
        </c:marker>
      </c:pivotFmt>
      <c:pivotFmt>
        <c:idx val="2139"/>
        <c:marker>
          <c:symbol val="none"/>
        </c:marker>
      </c:pivotFmt>
      <c:pivotFmt>
        <c:idx val="2140"/>
        <c:marker>
          <c:symbol val="none"/>
        </c:marker>
      </c:pivotFmt>
      <c:pivotFmt>
        <c:idx val="2141"/>
        <c:marker>
          <c:symbol val="none"/>
        </c:marker>
      </c:pivotFmt>
      <c:pivotFmt>
        <c:idx val="2142"/>
        <c:marker>
          <c:symbol val="none"/>
        </c:marker>
      </c:pivotFmt>
      <c:pivotFmt>
        <c:idx val="2143"/>
        <c:marker>
          <c:symbol val="none"/>
        </c:marker>
      </c:pivotFmt>
      <c:pivotFmt>
        <c:idx val="2144"/>
        <c:marker>
          <c:symbol val="none"/>
        </c:marker>
      </c:pivotFmt>
      <c:pivotFmt>
        <c:idx val="2145"/>
        <c:marker>
          <c:symbol val="none"/>
        </c:marker>
      </c:pivotFmt>
      <c:pivotFmt>
        <c:idx val="2146"/>
        <c:marker>
          <c:symbol val="none"/>
        </c:marker>
      </c:pivotFmt>
      <c:pivotFmt>
        <c:idx val="2147"/>
        <c:marker>
          <c:symbol val="none"/>
        </c:marker>
      </c:pivotFmt>
      <c:pivotFmt>
        <c:idx val="2148"/>
        <c:marker>
          <c:symbol val="none"/>
        </c:marker>
      </c:pivotFmt>
      <c:pivotFmt>
        <c:idx val="2149"/>
        <c:marker>
          <c:symbol val="none"/>
        </c:marker>
      </c:pivotFmt>
      <c:pivotFmt>
        <c:idx val="2150"/>
        <c:marker>
          <c:symbol val="none"/>
        </c:marker>
      </c:pivotFmt>
      <c:pivotFmt>
        <c:idx val="2151"/>
        <c:marker>
          <c:symbol val="none"/>
        </c:marker>
      </c:pivotFmt>
      <c:pivotFmt>
        <c:idx val="2152"/>
        <c:marker>
          <c:symbol val="none"/>
        </c:marker>
      </c:pivotFmt>
      <c:pivotFmt>
        <c:idx val="2153"/>
        <c:marker>
          <c:symbol val="none"/>
        </c:marker>
      </c:pivotFmt>
      <c:pivotFmt>
        <c:idx val="2154"/>
        <c:marker>
          <c:symbol val="none"/>
        </c:marker>
      </c:pivotFmt>
      <c:pivotFmt>
        <c:idx val="2155"/>
        <c:marker>
          <c:symbol val="none"/>
        </c:marker>
      </c:pivotFmt>
      <c:pivotFmt>
        <c:idx val="2156"/>
        <c:marker>
          <c:symbol val="none"/>
        </c:marker>
      </c:pivotFmt>
      <c:pivotFmt>
        <c:idx val="2157"/>
        <c:marker>
          <c:symbol val="none"/>
        </c:marker>
      </c:pivotFmt>
      <c:pivotFmt>
        <c:idx val="2158"/>
        <c:marker>
          <c:symbol val="none"/>
        </c:marker>
      </c:pivotFmt>
      <c:pivotFmt>
        <c:idx val="2159"/>
        <c:marker>
          <c:symbol val="none"/>
        </c:marker>
      </c:pivotFmt>
      <c:pivotFmt>
        <c:idx val="2160"/>
        <c:marker>
          <c:symbol val="none"/>
        </c:marker>
      </c:pivotFmt>
      <c:pivotFmt>
        <c:idx val="2161"/>
        <c:marker>
          <c:symbol val="none"/>
        </c:marker>
      </c:pivotFmt>
      <c:pivotFmt>
        <c:idx val="2162"/>
        <c:marker>
          <c:symbol val="none"/>
        </c:marker>
      </c:pivotFmt>
      <c:pivotFmt>
        <c:idx val="2163"/>
        <c:marker>
          <c:symbol val="none"/>
        </c:marker>
      </c:pivotFmt>
      <c:pivotFmt>
        <c:idx val="2164"/>
        <c:marker>
          <c:symbol val="none"/>
        </c:marker>
      </c:pivotFmt>
      <c:pivotFmt>
        <c:idx val="2165"/>
        <c:marker>
          <c:symbol val="none"/>
        </c:marker>
      </c:pivotFmt>
      <c:pivotFmt>
        <c:idx val="2166"/>
        <c:marker>
          <c:symbol val="none"/>
        </c:marker>
      </c:pivotFmt>
      <c:pivotFmt>
        <c:idx val="2167"/>
        <c:marker>
          <c:symbol val="none"/>
        </c:marker>
      </c:pivotFmt>
      <c:pivotFmt>
        <c:idx val="2168"/>
        <c:marker>
          <c:symbol val="none"/>
        </c:marker>
      </c:pivotFmt>
      <c:pivotFmt>
        <c:idx val="2169"/>
        <c:marker>
          <c:symbol val="none"/>
        </c:marker>
      </c:pivotFmt>
      <c:pivotFmt>
        <c:idx val="2170"/>
        <c:marker>
          <c:symbol val="none"/>
        </c:marker>
      </c:pivotFmt>
      <c:pivotFmt>
        <c:idx val="2171"/>
        <c:marker>
          <c:symbol val="none"/>
        </c:marker>
      </c:pivotFmt>
      <c:pivotFmt>
        <c:idx val="2172"/>
        <c:marker>
          <c:symbol val="none"/>
        </c:marker>
      </c:pivotFmt>
      <c:pivotFmt>
        <c:idx val="2173"/>
        <c:marker>
          <c:symbol val="none"/>
        </c:marker>
      </c:pivotFmt>
      <c:pivotFmt>
        <c:idx val="2174"/>
        <c:marker>
          <c:symbol val="none"/>
        </c:marker>
      </c:pivotFmt>
      <c:pivotFmt>
        <c:idx val="2175"/>
        <c:marker>
          <c:symbol val="none"/>
        </c:marker>
      </c:pivotFmt>
      <c:pivotFmt>
        <c:idx val="2176"/>
        <c:marker>
          <c:symbol val="none"/>
        </c:marker>
      </c:pivotFmt>
      <c:pivotFmt>
        <c:idx val="2177"/>
        <c:marker>
          <c:symbol val="none"/>
        </c:marker>
      </c:pivotFmt>
      <c:pivotFmt>
        <c:idx val="2178"/>
        <c:marker>
          <c:symbol val="none"/>
        </c:marker>
      </c:pivotFmt>
      <c:pivotFmt>
        <c:idx val="2179"/>
        <c:marker>
          <c:symbol val="none"/>
        </c:marker>
      </c:pivotFmt>
      <c:pivotFmt>
        <c:idx val="2180"/>
        <c:marker>
          <c:symbol val="none"/>
        </c:marker>
      </c:pivotFmt>
      <c:pivotFmt>
        <c:idx val="2181"/>
        <c:marker>
          <c:symbol val="none"/>
        </c:marker>
      </c:pivotFmt>
      <c:pivotFmt>
        <c:idx val="2182"/>
        <c:marker>
          <c:symbol val="none"/>
        </c:marker>
      </c:pivotFmt>
      <c:pivotFmt>
        <c:idx val="2183"/>
        <c:marker>
          <c:symbol val="none"/>
        </c:marker>
      </c:pivotFmt>
      <c:pivotFmt>
        <c:idx val="2184"/>
        <c:marker>
          <c:symbol val="none"/>
        </c:marker>
      </c:pivotFmt>
      <c:pivotFmt>
        <c:idx val="2185"/>
        <c:marker>
          <c:symbol val="none"/>
        </c:marker>
      </c:pivotFmt>
      <c:pivotFmt>
        <c:idx val="2186"/>
        <c:marker>
          <c:symbol val="none"/>
        </c:marker>
      </c:pivotFmt>
      <c:pivotFmt>
        <c:idx val="2187"/>
        <c:marker>
          <c:symbol val="none"/>
        </c:marker>
      </c:pivotFmt>
      <c:pivotFmt>
        <c:idx val="2188"/>
        <c:marker>
          <c:symbol val="none"/>
        </c:marker>
      </c:pivotFmt>
      <c:pivotFmt>
        <c:idx val="2189"/>
        <c:marker>
          <c:symbol val="none"/>
        </c:marker>
      </c:pivotFmt>
      <c:pivotFmt>
        <c:idx val="2190"/>
        <c:marker>
          <c:symbol val="none"/>
        </c:marker>
      </c:pivotFmt>
      <c:pivotFmt>
        <c:idx val="2191"/>
        <c:marker>
          <c:symbol val="none"/>
        </c:marker>
      </c:pivotFmt>
      <c:pivotFmt>
        <c:idx val="2192"/>
        <c:marker>
          <c:symbol val="none"/>
        </c:marker>
      </c:pivotFmt>
    </c:pivotFmts>
    <c:plotArea>
      <c:layout/>
      <c:lineChart>
        <c:grouping val="standard"/>
        <c:varyColors val="0"/>
        <c:ser>
          <c:idx val="0"/>
          <c:order val="0"/>
          <c:tx>
            <c:strRef>
              <c:f>'Sheet1 (14)'!$B$3:$B$4</c:f>
              <c:strCache>
                <c:ptCount val="1"/>
                <c:pt idx="0">
                  <c:v>Exenatide+Metformin+Sulfonylurea</c:v>
                </c:pt>
              </c:strCache>
            </c:strRef>
          </c:tx>
          <c:marker>
            <c:symbol val="none"/>
          </c:marker>
          <c:cat>
            <c:strRef>
              <c:f>'Sheet1 (14)'!$A$5:$A$186</c:f>
              <c:strCache>
                <c:ptCount val="181"/>
                <c:pt idx="0">
                  <c:v>28/07/2010</c:v>
                </c:pt>
                <c:pt idx="1">
                  <c:v>4/08/2010</c:v>
                </c:pt>
                <c:pt idx="2">
                  <c:v>11/08/2010</c:v>
                </c:pt>
                <c:pt idx="3">
                  <c:v>18/08/2010</c:v>
                </c:pt>
                <c:pt idx="4">
                  <c:v>25/08/2010</c:v>
                </c:pt>
                <c:pt idx="5">
                  <c:v>1/09/2010</c:v>
                </c:pt>
                <c:pt idx="6">
                  <c:v>8/09/2010</c:v>
                </c:pt>
                <c:pt idx="7">
                  <c:v>15/09/2010</c:v>
                </c:pt>
                <c:pt idx="8">
                  <c:v>22/09/2010</c:v>
                </c:pt>
                <c:pt idx="9">
                  <c:v>29/09/2010</c:v>
                </c:pt>
                <c:pt idx="10">
                  <c:v>6/10/2010</c:v>
                </c:pt>
                <c:pt idx="11">
                  <c:v>13/10/2010</c:v>
                </c:pt>
                <c:pt idx="12">
                  <c:v>20/10/2010</c:v>
                </c:pt>
                <c:pt idx="13">
                  <c:v>27/10/2010</c:v>
                </c:pt>
                <c:pt idx="14">
                  <c:v>3/11/2010</c:v>
                </c:pt>
                <c:pt idx="15">
                  <c:v>10/11/2010</c:v>
                </c:pt>
                <c:pt idx="16">
                  <c:v>17/11/2010</c:v>
                </c:pt>
                <c:pt idx="17">
                  <c:v>24/11/2010</c:v>
                </c:pt>
                <c:pt idx="18">
                  <c:v>1/12/2010</c:v>
                </c:pt>
                <c:pt idx="19">
                  <c:v>8/12/2010</c:v>
                </c:pt>
                <c:pt idx="20">
                  <c:v>15/12/2010</c:v>
                </c:pt>
                <c:pt idx="21">
                  <c:v>22/12/2010</c:v>
                </c:pt>
                <c:pt idx="22">
                  <c:v>29/12/2010</c:v>
                </c:pt>
                <c:pt idx="23">
                  <c:v>5/01/2011</c:v>
                </c:pt>
                <c:pt idx="24">
                  <c:v>12/01/2011</c:v>
                </c:pt>
                <c:pt idx="25">
                  <c:v>19/01/2011</c:v>
                </c:pt>
                <c:pt idx="26">
                  <c:v>26/01/2011</c:v>
                </c:pt>
                <c:pt idx="27">
                  <c:v>2/02/2011</c:v>
                </c:pt>
                <c:pt idx="28">
                  <c:v>9/02/2011</c:v>
                </c:pt>
                <c:pt idx="29">
                  <c:v>16/02/2011</c:v>
                </c:pt>
                <c:pt idx="30">
                  <c:v>23/02/2011</c:v>
                </c:pt>
                <c:pt idx="31">
                  <c:v>2/03/2011</c:v>
                </c:pt>
                <c:pt idx="32">
                  <c:v>9/03/2011</c:v>
                </c:pt>
                <c:pt idx="33">
                  <c:v>16/03/2011</c:v>
                </c:pt>
                <c:pt idx="34">
                  <c:v>23/03/2011</c:v>
                </c:pt>
                <c:pt idx="35">
                  <c:v>30/03/2011</c:v>
                </c:pt>
                <c:pt idx="36">
                  <c:v>6/04/2011</c:v>
                </c:pt>
                <c:pt idx="37">
                  <c:v>13/04/2011</c:v>
                </c:pt>
                <c:pt idx="38">
                  <c:v>20/04/2011</c:v>
                </c:pt>
                <c:pt idx="39">
                  <c:v>27/04/2011</c:v>
                </c:pt>
                <c:pt idx="40">
                  <c:v>4/05/2011</c:v>
                </c:pt>
                <c:pt idx="41">
                  <c:v>11/05/2011</c:v>
                </c:pt>
                <c:pt idx="42">
                  <c:v>18/05/2011</c:v>
                </c:pt>
                <c:pt idx="43">
                  <c:v>25/05/2011</c:v>
                </c:pt>
                <c:pt idx="44">
                  <c:v>1/06/2011</c:v>
                </c:pt>
                <c:pt idx="45">
                  <c:v>8/06/2011</c:v>
                </c:pt>
                <c:pt idx="46">
                  <c:v>15/06/2011</c:v>
                </c:pt>
                <c:pt idx="47">
                  <c:v>22/06/2011</c:v>
                </c:pt>
                <c:pt idx="48">
                  <c:v>29/06/2011</c:v>
                </c:pt>
                <c:pt idx="49">
                  <c:v>6/07/2011</c:v>
                </c:pt>
                <c:pt idx="50">
                  <c:v>13/07/2011</c:v>
                </c:pt>
                <c:pt idx="51">
                  <c:v>20/07/2011</c:v>
                </c:pt>
                <c:pt idx="52">
                  <c:v>27/07/2011</c:v>
                </c:pt>
                <c:pt idx="53">
                  <c:v>3/08/2011</c:v>
                </c:pt>
                <c:pt idx="54">
                  <c:v>10/08/2011</c:v>
                </c:pt>
                <c:pt idx="55">
                  <c:v>17/08/2011</c:v>
                </c:pt>
                <c:pt idx="56">
                  <c:v>24/08/2011</c:v>
                </c:pt>
                <c:pt idx="57">
                  <c:v>31/08/2011</c:v>
                </c:pt>
                <c:pt idx="58">
                  <c:v>7/09/2011</c:v>
                </c:pt>
                <c:pt idx="59">
                  <c:v>14/09/2011</c:v>
                </c:pt>
                <c:pt idx="60">
                  <c:v>21/09/2011</c:v>
                </c:pt>
                <c:pt idx="61">
                  <c:v>28/09/2011</c:v>
                </c:pt>
                <c:pt idx="62">
                  <c:v>5/10/2011</c:v>
                </c:pt>
                <c:pt idx="63">
                  <c:v>12/10/2011</c:v>
                </c:pt>
                <c:pt idx="64">
                  <c:v>19/10/2011</c:v>
                </c:pt>
                <c:pt idx="65">
                  <c:v>26/10/2011</c:v>
                </c:pt>
                <c:pt idx="66">
                  <c:v>2/11/2011</c:v>
                </c:pt>
                <c:pt idx="67">
                  <c:v>9/11/2011</c:v>
                </c:pt>
                <c:pt idx="68">
                  <c:v>16/11/2011</c:v>
                </c:pt>
                <c:pt idx="69">
                  <c:v>23/11/2011</c:v>
                </c:pt>
                <c:pt idx="70">
                  <c:v>30/11/2011</c:v>
                </c:pt>
                <c:pt idx="71">
                  <c:v>7/12/2011</c:v>
                </c:pt>
                <c:pt idx="72">
                  <c:v>14/12/2011</c:v>
                </c:pt>
                <c:pt idx="73">
                  <c:v>21/12/2011</c:v>
                </c:pt>
                <c:pt idx="74">
                  <c:v>28/12/2011</c:v>
                </c:pt>
                <c:pt idx="75">
                  <c:v>4/01/2012</c:v>
                </c:pt>
                <c:pt idx="76">
                  <c:v>11/01/2012</c:v>
                </c:pt>
                <c:pt idx="77">
                  <c:v>18/01/2012</c:v>
                </c:pt>
                <c:pt idx="78">
                  <c:v>25/01/2012</c:v>
                </c:pt>
                <c:pt idx="79">
                  <c:v>1/02/2012</c:v>
                </c:pt>
                <c:pt idx="80">
                  <c:v>8/02/2012</c:v>
                </c:pt>
                <c:pt idx="81">
                  <c:v>15/02/2012</c:v>
                </c:pt>
                <c:pt idx="82">
                  <c:v>22/02/2012</c:v>
                </c:pt>
                <c:pt idx="83">
                  <c:v>29/02/2012</c:v>
                </c:pt>
                <c:pt idx="84">
                  <c:v>7/03/2012</c:v>
                </c:pt>
                <c:pt idx="85">
                  <c:v>14/03/2012</c:v>
                </c:pt>
                <c:pt idx="86">
                  <c:v>21/03/2012</c:v>
                </c:pt>
                <c:pt idx="87">
                  <c:v>28/03/2012</c:v>
                </c:pt>
                <c:pt idx="88">
                  <c:v>4/04/2012</c:v>
                </c:pt>
                <c:pt idx="89">
                  <c:v>11/04/2012</c:v>
                </c:pt>
                <c:pt idx="90">
                  <c:v>18/04/2012</c:v>
                </c:pt>
                <c:pt idx="91">
                  <c:v>25/04/2012</c:v>
                </c:pt>
                <c:pt idx="92">
                  <c:v>2/05/2012</c:v>
                </c:pt>
                <c:pt idx="93">
                  <c:v>9/05/2012</c:v>
                </c:pt>
                <c:pt idx="94">
                  <c:v>16/05/2012</c:v>
                </c:pt>
                <c:pt idx="95">
                  <c:v>23/05/2012</c:v>
                </c:pt>
                <c:pt idx="96">
                  <c:v>30/05/2012</c:v>
                </c:pt>
                <c:pt idx="97">
                  <c:v>6/06/2012</c:v>
                </c:pt>
                <c:pt idx="98">
                  <c:v>13/06/2012</c:v>
                </c:pt>
                <c:pt idx="99">
                  <c:v>20/06/2012</c:v>
                </c:pt>
                <c:pt idx="100">
                  <c:v>27/06/2012</c:v>
                </c:pt>
                <c:pt idx="101">
                  <c:v>4/07/2012</c:v>
                </c:pt>
                <c:pt idx="102">
                  <c:v>11/07/2012</c:v>
                </c:pt>
                <c:pt idx="103">
                  <c:v>18/07/2012</c:v>
                </c:pt>
                <c:pt idx="104">
                  <c:v>25/07/2012</c:v>
                </c:pt>
                <c:pt idx="105">
                  <c:v>1/08/2012</c:v>
                </c:pt>
                <c:pt idx="106">
                  <c:v>8/08/2012</c:v>
                </c:pt>
                <c:pt idx="107">
                  <c:v>15/08/2012</c:v>
                </c:pt>
                <c:pt idx="108">
                  <c:v>22/08/2012</c:v>
                </c:pt>
                <c:pt idx="109">
                  <c:v>29/08/2012</c:v>
                </c:pt>
                <c:pt idx="110">
                  <c:v>5/09/2012</c:v>
                </c:pt>
                <c:pt idx="111">
                  <c:v>12/09/2012</c:v>
                </c:pt>
                <c:pt idx="112">
                  <c:v>19/09/2012</c:v>
                </c:pt>
                <c:pt idx="113">
                  <c:v>26/09/2012</c:v>
                </c:pt>
                <c:pt idx="114">
                  <c:v>3/10/2012</c:v>
                </c:pt>
                <c:pt idx="115">
                  <c:v>10/10/2012</c:v>
                </c:pt>
                <c:pt idx="116">
                  <c:v>17/10/2012</c:v>
                </c:pt>
                <c:pt idx="117">
                  <c:v>24/10/2012</c:v>
                </c:pt>
                <c:pt idx="118">
                  <c:v>31/10/2012</c:v>
                </c:pt>
                <c:pt idx="119">
                  <c:v>7/11/2012</c:v>
                </c:pt>
                <c:pt idx="120">
                  <c:v>14/11/2012</c:v>
                </c:pt>
                <c:pt idx="121">
                  <c:v>21/11/2012</c:v>
                </c:pt>
                <c:pt idx="122">
                  <c:v>28/11/2012</c:v>
                </c:pt>
                <c:pt idx="123">
                  <c:v>5/12/2012</c:v>
                </c:pt>
                <c:pt idx="124">
                  <c:v>12/12/2012</c:v>
                </c:pt>
                <c:pt idx="125">
                  <c:v>19/12/2012</c:v>
                </c:pt>
                <c:pt idx="126">
                  <c:v>26/12/2012</c:v>
                </c:pt>
                <c:pt idx="127">
                  <c:v>2/01/2013</c:v>
                </c:pt>
                <c:pt idx="128">
                  <c:v>9/01/2013</c:v>
                </c:pt>
                <c:pt idx="129">
                  <c:v>16/01/2013</c:v>
                </c:pt>
                <c:pt idx="130">
                  <c:v>23/01/2013</c:v>
                </c:pt>
                <c:pt idx="131">
                  <c:v>30/01/2013</c:v>
                </c:pt>
                <c:pt idx="132">
                  <c:v>6/02/2013</c:v>
                </c:pt>
                <c:pt idx="133">
                  <c:v>13/02/2013</c:v>
                </c:pt>
                <c:pt idx="134">
                  <c:v>20/02/2013</c:v>
                </c:pt>
                <c:pt idx="135">
                  <c:v>27/02/2013</c:v>
                </c:pt>
                <c:pt idx="136">
                  <c:v>6/03/2013</c:v>
                </c:pt>
                <c:pt idx="137">
                  <c:v>13/03/2013</c:v>
                </c:pt>
                <c:pt idx="138">
                  <c:v>20/03/2013</c:v>
                </c:pt>
                <c:pt idx="139">
                  <c:v>27/03/2013</c:v>
                </c:pt>
                <c:pt idx="140">
                  <c:v>3/04/2013</c:v>
                </c:pt>
                <c:pt idx="141">
                  <c:v>10/04/2013</c:v>
                </c:pt>
                <c:pt idx="142">
                  <c:v>17/04/2013</c:v>
                </c:pt>
                <c:pt idx="143">
                  <c:v>24/04/2013</c:v>
                </c:pt>
                <c:pt idx="144">
                  <c:v>1/05/2013</c:v>
                </c:pt>
                <c:pt idx="145">
                  <c:v>8/05/2013</c:v>
                </c:pt>
                <c:pt idx="146">
                  <c:v>15/05/2013</c:v>
                </c:pt>
                <c:pt idx="147">
                  <c:v>22/05/2013</c:v>
                </c:pt>
                <c:pt idx="148">
                  <c:v>29/05/2013</c:v>
                </c:pt>
                <c:pt idx="149">
                  <c:v>5/06/2013</c:v>
                </c:pt>
                <c:pt idx="150">
                  <c:v>12/06/2013</c:v>
                </c:pt>
                <c:pt idx="151">
                  <c:v>19/06/2013</c:v>
                </c:pt>
                <c:pt idx="152">
                  <c:v>26/06/2013</c:v>
                </c:pt>
                <c:pt idx="153">
                  <c:v>3/07/2013</c:v>
                </c:pt>
                <c:pt idx="154">
                  <c:v>10/07/2013</c:v>
                </c:pt>
                <c:pt idx="155">
                  <c:v>17/07/2013</c:v>
                </c:pt>
                <c:pt idx="156">
                  <c:v>24/07/2013</c:v>
                </c:pt>
                <c:pt idx="157">
                  <c:v>31/07/2013</c:v>
                </c:pt>
                <c:pt idx="158">
                  <c:v>7/08/2013</c:v>
                </c:pt>
                <c:pt idx="159">
                  <c:v>14/08/2013</c:v>
                </c:pt>
                <c:pt idx="160">
                  <c:v>21/08/2013</c:v>
                </c:pt>
                <c:pt idx="161">
                  <c:v>28/08/2013</c:v>
                </c:pt>
                <c:pt idx="162">
                  <c:v>4/09/2013</c:v>
                </c:pt>
                <c:pt idx="163">
                  <c:v>11/09/2013</c:v>
                </c:pt>
                <c:pt idx="164">
                  <c:v>18/09/2013</c:v>
                </c:pt>
                <c:pt idx="165">
                  <c:v>25/09/2013</c:v>
                </c:pt>
                <c:pt idx="166">
                  <c:v>2/10/2013</c:v>
                </c:pt>
                <c:pt idx="167">
                  <c:v>9/10/2013</c:v>
                </c:pt>
                <c:pt idx="168">
                  <c:v>16/10/2013</c:v>
                </c:pt>
                <c:pt idx="169">
                  <c:v>23/10/2013</c:v>
                </c:pt>
                <c:pt idx="170">
                  <c:v>30/10/2013</c:v>
                </c:pt>
                <c:pt idx="171">
                  <c:v>6/11/2013</c:v>
                </c:pt>
                <c:pt idx="172">
                  <c:v>13/11/2013</c:v>
                </c:pt>
                <c:pt idx="173">
                  <c:v>20/11/2013</c:v>
                </c:pt>
                <c:pt idx="174">
                  <c:v>27/11/2013</c:v>
                </c:pt>
                <c:pt idx="175">
                  <c:v>4/12/2013</c:v>
                </c:pt>
                <c:pt idx="176">
                  <c:v>11/12/2013</c:v>
                </c:pt>
                <c:pt idx="177">
                  <c:v>18/12/2013</c:v>
                </c:pt>
                <c:pt idx="178">
                  <c:v>25/12/2013</c:v>
                </c:pt>
                <c:pt idx="179">
                  <c:v>1/01/2014</c:v>
                </c:pt>
                <c:pt idx="180">
                  <c:v>8/01/2014</c:v>
                </c:pt>
              </c:strCache>
            </c:strRef>
          </c:cat>
          <c:val>
            <c:numRef>
              <c:f>'Sheet1 (14)'!$B$5:$B$186</c:f>
              <c:numCache>
                <c:formatCode>General</c:formatCode>
                <c:ptCount val="181"/>
                <c:pt idx="0">
                  <c:v>7</c:v>
                </c:pt>
                <c:pt idx="1">
                  <c:v>25</c:v>
                </c:pt>
                <c:pt idx="2">
                  <c:v>37</c:v>
                </c:pt>
                <c:pt idx="3">
                  <c:v>56</c:v>
                </c:pt>
                <c:pt idx="4">
                  <c:v>70</c:v>
                </c:pt>
                <c:pt idx="5">
                  <c:v>90</c:v>
                </c:pt>
                <c:pt idx="6">
                  <c:v>118</c:v>
                </c:pt>
                <c:pt idx="7">
                  <c:v>133</c:v>
                </c:pt>
                <c:pt idx="8">
                  <c:v>144</c:v>
                </c:pt>
                <c:pt idx="9">
                  <c:v>161</c:v>
                </c:pt>
                <c:pt idx="10">
                  <c:v>174</c:v>
                </c:pt>
                <c:pt idx="11">
                  <c:v>194</c:v>
                </c:pt>
                <c:pt idx="12">
                  <c:v>211</c:v>
                </c:pt>
                <c:pt idx="13">
                  <c:v>233</c:v>
                </c:pt>
                <c:pt idx="14">
                  <c:v>245</c:v>
                </c:pt>
                <c:pt idx="15">
                  <c:v>282</c:v>
                </c:pt>
                <c:pt idx="16">
                  <c:v>310</c:v>
                </c:pt>
                <c:pt idx="17">
                  <c:v>339</c:v>
                </c:pt>
                <c:pt idx="18">
                  <c:v>357</c:v>
                </c:pt>
                <c:pt idx="19">
                  <c:v>385</c:v>
                </c:pt>
                <c:pt idx="20">
                  <c:v>410</c:v>
                </c:pt>
                <c:pt idx="21">
                  <c:v>412</c:v>
                </c:pt>
                <c:pt idx="22">
                  <c:v>423</c:v>
                </c:pt>
                <c:pt idx="23">
                  <c:v>418</c:v>
                </c:pt>
                <c:pt idx="24">
                  <c:v>429</c:v>
                </c:pt>
                <c:pt idx="25">
                  <c:v>437</c:v>
                </c:pt>
                <c:pt idx="26">
                  <c:v>447</c:v>
                </c:pt>
                <c:pt idx="27">
                  <c:v>449</c:v>
                </c:pt>
                <c:pt idx="28">
                  <c:v>459</c:v>
                </c:pt>
                <c:pt idx="29">
                  <c:v>485</c:v>
                </c:pt>
                <c:pt idx="30">
                  <c:v>484</c:v>
                </c:pt>
                <c:pt idx="31">
                  <c:v>507</c:v>
                </c:pt>
                <c:pt idx="32">
                  <c:v>533</c:v>
                </c:pt>
                <c:pt idx="33">
                  <c:v>561</c:v>
                </c:pt>
                <c:pt idx="34">
                  <c:v>582</c:v>
                </c:pt>
                <c:pt idx="35">
                  <c:v>602</c:v>
                </c:pt>
                <c:pt idx="36">
                  <c:v>615</c:v>
                </c:pt>
                <c:pt idx="37">
                  <c:v>619</c:v>
                </c:pt>
                <c:pt idx="38">
                  <c:v>625</c:v>
                </c:pt>
                <c:pt idx="39">
                  <c:v>647</c:v>
                </c:pt>
                <c:pt idx="40">
                  <c:v>670</c:v>
                </c:pt>
                <c:pt idx="41">
                  <c:v>683</c:v>
                </c:pt>
                <c:pt idx="42">
                  <c:v>691</c:v>
                </c:pt>
                <c:pt idx="43">
                  <c:v>707</c:v>
                </c:pt>
                <c:pt idx="44">
                  <c:v>717</c:v>
                </c:pt>
                <c:pt idx="45">
                  <c:v>734</c:v>
                </c:pt>
                <c:pt idx="46">
                  <c:v>745</c:v>
                </c:pt>
                <c:pt idx="47">
                  <c:v>768</c:v>
                </c:pt>
                <c:pt idx="48">
                  <c:v>788</c:v>
                </c:pt>
                <c:pt idx="49">
                  <c:v>798</c:v>
                </c:pt>
                <c:pt idx="50">
                  <c:v>811</c:v>
                </c:pt>
                <c:pt idx="51">
                  <c:v>834</c:v>
                </c:pt>
                <c:pt idx="52">
                  <c:v>848</c:v>
                </c:pt>
                <c:pt idx="53">
                  <c:v>862</c:v>
                </c:pt>
                <c:pt idx="54">
                  <c:v>885</c:v>
                </c:pt>
                <c:pt idx="55">
                  <c:v>898</c:v>
                </c:pt>
                <c:pt idx="56">
                  <c:v>906</c:v>
                </c:pt>
                <c:pt idx="57">
                  <c:v>903</c:v>
                </c:pt>
                <c:pt idx="58">
                  <c:v>925</c:v>
                </c:pt>
                <c:pt idx="59">
                  <c:v>941</c:v>
                </c:pt>
                <c:pt idx="60">
                  <c:v>977</c:v>
                </c:pt>
                <c:pt idx="61">
                  <c:v>993</c:v>
                </c:pt>
                <c:pt idx="62">
                  <c:v>1019</c:v>
                </c:pt>
                <c:pt idx="63">
                  <c:v>1030</c:v>
                </c:pt>
                <c:pt idx="64">
                  <c:v>1055</c:v>
                </c:pt>
                <c:pt idx="65">
                  <c:v>1060</c:v>
                </c:pt>
                <c:pt idx="66">
                  <c:v>1078</c:v>
                </c:pt>
                <c:pt idx="67">
                  <c:v>1106</c:v>
                </c:pt>
                <c:pt idx="68">
                  <c:v>1146</c:v>
                </c:pt>
                <c:pt idx="69">
                  <c:v>1175</c:v>
                </c:pt>
                <c:pt idx="70">
                  <c:v>1208</c:v>
                </c:pt>
                <c:pt idx="71">
                  <c:v>1250</c:v>
                </c:pt>
                <c:pt idx="72">
                  <c:v>1264</c:v>
                </c:pt>
                <c:pt idx="73">
                  <c:v>1260</c:v>
                </c:pt>
                <c:pt idx="74">
                  <c:v>1268</c:v>
                </c:pt>
                <c:pt idx="75">
                  <c:v>1265</c:v>
                </c:pt>
                <c:pt idx="76">
                  <c:v>1260</c:v>
                </c:pt>
                <c:pt idx="77">
                  <c:v>1257</c:v>
                </c:pt>
                <c:pt idx="78">
                  <c:v>1245</c:v>
                </c:pt>
                <c:pt idx="79">
                  <c:v>1232</c:v>
                </c:pt>
                <c:pt idx="80">
                  <c:v>1223</c:v>
                </c:pt>
                <c:pt idx="81">
                  <c:v>1228</c:v>
                </c:pt>
                <c:pt idx="82">
                  <c:v>1232</c:v>
                </c:pt>
                <c:pt idx="83">
                  <c:v>1240</c:v>
                </c:pt>
                <c:pt idx="84">
                  <c:v>1254</c:v>
                </c:pt>
                <c:pt idx="85">
                  <c:v>1263</c:v>
                </c:pt>
                <c:pt idx="86">
                  <c:v>1290</c:v>
                </c:pt>
                <c:pt idx="87">
                  <c:v>1313</c:v>
                </c:pt>
                <c:pt idx="88">
                  <c:v>1327</c:v>
                </c:pt>
                <c:pt idx="89">
                  <c:v>1341</c:v>
                </c:pt>
                <c:pt idx="90">
                  <c:v>1359</c:v>
                </c:pt>
                <c:pt idx="91">
                  <c:v>1376</c:v>
                </c:pt>
                <c:pt idx="92">
                  <c:v>1385</c:v>
                </c:pt>
                <c:pt idx="93">
                  <c:v>1405</c:v>
                </c:pt>
                <c:pt idx="94">
                  <c:v>1422</c:v>
                </c:pt>
                <c:pt idx="95">
                  <c:v>1442</c:v>
                </c:pt>
                <c:pt idx="96">
                  <c:v>1456</c:v>
                </c:pt>
                <c:pt idx="97">
                  <c:v>1468</c:v>
                </c:pt>
                <c:pt idx="98">
                  <c:v>1495</c:v>
                </c:pt>
                <c:pt idx="99">
                  <c:v>1502</c:v>
                </c:pt>
                <c:pt idx="100">
                  <c:v>1524</c:v>
                </c:pt>
                <c:pt idx="101">
                  <c:v>1526</c:v>
                </c:pt>
                <c:pt idx="102">
                  <c:v>1545</c:v>
                </c:pt>
                <c:pt idx="103">
                  <c:v>1557</c:v>
                </c:pt>
                <c:pt idx="104">
                  <c:v>1583</c:v>
                </c:pt>
                <c:pt idx="105">
                  <c:v>1587</c:v>
                </c:pt>
                <c:pt idx="106">
                  <c:v>1605</c:v>
                </c:pt>
                <c:pt idx="107">
                  <c:v>1620</c:v>
                </c:pt>
                <c:pt idx="108">
                  <c:v>1630</c:v>
                </c:pt>
                <c:pt idx="109">
                  <c:v>1663</c:v>
                </c:pt>
                <c:pt idx="110">
                  <c:v>1677</c:v>
                </c:pt>
                <c:pt idx="111">
                  <c:v>1692</c:v>
                </c:pt>
                <c:pt idx="112">
                  <c:v>1718</c:v>
                </c:pt>
                <c:pt idx="113">
                  <c:v>1744</c:v>
                </c:pt>
                <c:pt idx="114">
                  <c:v>1770</c:v>
                </c:pt>
                <c:pt idx="115">
                  <c:v>1778</c:v>
                </c:pt>
                <c:pt idx="116">
                  <c:v>1778</c:v>
                </c:pt>
                <c:pt idx="117">
                  <c:v>1794</c:v>
                </c:pt>
                <c:pt idx="118">
                  <c:v>1807</c:v>
                </c:pt>
                <c:pt idx="119">
                  <c:v>1844</c:v>
                </c:pt>
                <c:pt idx="120">
                  <c:v>1856</c:v>
                </c:pt>
                <c:pt idx="121">
                  <c:v>1871</c:v>
                </c:pt>
                <c:pt idx="122">
                  <c:v>1900</c:v>
                </c:pt>
                <c:pt idx="123">
                  <c:v>1938</c:v>
                </c:pt>
                <c:pt idx="124">
                  <c:v>1959</c:v>
                </c:pt>
                <c:pt idx="125">
                  <c:v>1975</c:v>
                </c:pt>
                <c:pt idx="126">
                  <c:v>1967</c:v>
                </c:pt>
                <c:pt idx="127">
                  <c:v>1963</c:v>
                </c:pt>
                <c:pt idx="128">
                  <c:v>1948</c:v>
                </c:pt>
                <c:pt idx="129">
                  <c:v>1923</c:v>
                </c:pt>
                <c:pt idx="130">
                  <c:v>1886</c:v>
                </c:pt>
                <c:pt idx="131">
                  <c:v>1846</c:v>
                </c:pt>
                <c:pt idx="132">
                  <c:v>1844</c:v>
                </c:pt>
                <c:pt idx="133">
                  <c:v>1822</c:v>
                </c:pt>
                <c:pt idx="134">
                  <c:v>1825</c:v>
                </c:pt>
                <c:pt idx="135">
                  <c:v>1834</c:v>
                </c:pt>
                <c:pt idx="136">
                  <c:v>1843</c:v>
                </c:pt>
                <c:pt idx="137">
                  <c:v>1846</c:v>
                </c:pt>
                <c:pt idx="138">
                  <c:v>1854</c:v>
                </c:pt>
                <c:pt idx="139">
                  <c:v>1856</c:v>
                </c:pt>
                <c:pt idx="140">
                  <c:v>1873</c:v>
                </c:pt>
                <c:pt idx="141">
                  <c:v>1887</c:v>
                </c:pt>
                <c:pt idx="142">
                  <c:v>1886</c:v>
                </c:pt>
                <c:pt idx="143">
                  <c:v>1887</c:v>
                </c:pt>
                <c:pt idx="144">
                  <c:v>1895</c:v>
                </c:pt>
                <c:pt idx="145">
                  <c:v>1927</c:v>
                </c:pt>
                <c:pt idx="146">
                  <c:v>1950</c:v>
                </c:pt>
                <c:pt idx="147">
                  <c:v>1950</c:v>
                </c:pt>
                <c:pt idx="148">
                  <c:v>1976</c:v>
                </c:pt>
                <c:pt idx="149">
                  <c:v>1981</c:v>
                </c:pt>
                <c:pt idx="150">
                  <c:v>1993</c:v>
                </c:pt>
                <c:pt idx="151">
                  <c:v>2010</c:v>
                </c:pt>
                <c:pt idx="152">
                  <c:v>2039</c:v>
                </c:pt>
                <c:pt idx="153">
                  <c:v>2050</c:v>
                </c:pt>
                <c:pt idx="154">
                  <c:v>2074</c:v>
                </c:pt>
                <c:pt idx="155">
                  <c:v>2100</c:v>
                </c:pt>
                <c:pt idx="156">
                  <c:v>2120</c:v>
                </c:pt>
                <c:pt idx="157">
                  <c:v>2135</c:v>
                </c:pt>
                <c:pt idx="158">
                  <c:v>2169</c:v>
                </c:pt>
                <c:pt idx="159">
                  <c:v>2182</c:v>
                </c:pt>
                <c:pt idx="160">
                  <c:v>2196</c:v>
                </c:pt>
                <c:pt idx="161">
                  <c:v>2226</c:v>
                </c:pt>
                <c:pt idx="162">
                  <c:v>2260</c:v>
                </c:pt>
                <c:pt idx="163">
                  <c:v>2265</c:v>
                </c:pt>
                <c:pt idx="164">
                  <c:v>2269</c:v>
                </c:pt>
                <c:pt idx="165">
                  <c:v>2277</c:v>
                </c:pt>
                <c:pt idx="166">
                  <c:v>2311</c:v>
                </c:pt>
                <c:pt idx="167">
                  <c:v>2319</c:v>
                </c:pt>
                <c:pt idx="168">
                  <c:v>2333</c:v>
                </c:pt>
                <c:pt idx="169">
                  <c:v>2355</c:v>
                </c:pt>
                <c:pt idx="170">
                  <c:v>2385</c:v>
                </c:pt>
                <c:pt idx="171">
                  <c:v>2417</c:v>
                </c:pt>
                <c:pt idx="172">
                  <c:v>2448</c:v>
                </c:pt>
                <c:pt idx="173">
                  <c:v>2451</c:v>
                </c:pt>
                <c:pt idx="174">
                  <c:v>2470</c:v>
                </c:pt>
                <c:pt idx="175">
                  <c:v>2476</c:v>
                </c:pt>
                <c:pt idx="176">
                  <c:v>2497</c:v>
                </c:pt>
                <c:pt idx="177">
                  <c:v>2507</c:v>
                </c:pt>
                <c:pt idx="178">
                  <c:v>2511</c:v>
                </c:pt>
                <c:pt idx="179">
                  <c:v>2493</c:v>
                </c:pt>
                <c:pt idx="180">
                  <c:v>2496</c:v>
                </c:pt>
              </c:numCache>
            </c:numRef>
          </c:val>
          <c:smooth val="0"/>
        </c:ser>
        <c:ser>
          <c:idx val="1"/>
          <c:order val="1"/>
          <c:tx>
            <c:strRef>
              <c:f>'Sheet1 (14)'!$C$3:$C$4</c:f>
              <c:strCache>
                <c:ptCount val="1"/>
                <c:pt idx="0">
                  <c:v>Exenatide+Metformin</c:v>
                </c:pt>
              </c:strCache>
            </c:strRef>
          </c:tx>
          <c:marker>
            <c:symbol val="none"/>
          </c:marker>
          <c:cat>
            <c:strRef>
              <c:f>'Sheet1 (14)'!$A$5:$A$186</c:f>
              <c:strCache>
                <c:ptCount val="181"/>
                <c:pt idx="0">
                  <c:v>28/07/2010</c:v>
                </c:pt>
                <c:pt idx="1">
                  <c:v>4/08/2010</c:v>
                </c:pt>
                <c:pt idx="2">
                  <c:v>11/08/2010</c:v>
                </c:pt>
                <c:pt idx="3">
                  <c:v>18/08/2010</c:v>
                </c:pt>
                <c:pt idx="4">
                  <c:v>25/08/2010</c:v>
                </c:pt>
                <c:pt idx="5">
                  <c:v>1/09/2010</c:v>
                </c:pt>
                <c:pt idx="6">
                  <c:v>8/09/2010</c:v>
                </c:pt>
                <c:pt idx="7">
                  <c:v>15/09/2010</c:v>
                </c:pt>
                <c:pt idx="8">
                  <c:v>22/09/2010</c:v>
                </c:pt>
                <c:pt idx="9">
                  <c:v>29/09/2010</c:v>
                </c:pt>
                <c:pt idx="10">
                  <c:v>6/10/2010</c:v>
                </c:pt>
                <c:pt idx="11">
                  <c:v>13/10/2010</c:v>
                </c:pt>
                <c:pt idx="12">
                  <c:v>20/10/2010</c:v>
                </c:pt>
                <c:pt idx="13">
                  <c:v>27/10/2010</c:v>
                </c:pt>
                <c:pt idx="14">
                  <c:v>3/11/2010</c:v>
                </c:pt>
                <c:pt idx="15">
                  <c:v>10/11/2010</c:v>
                </c:pt>
                <c:pt idx="16">
                  <c:v>17/11/2010</c:v>
                </c:pt>
                <c:pt idx="17">
                  <c:v>24/11/2010</c:v>
                </c:pt>
                <c:pt idx="18">
                  <c:v>1/12/2010</c:v>
                </c:pt>
                <c:pt idx="19">
                  <c:v>8/12/2010</c:v>
                </c:pt>
                <c:pt idx="20">
                  <c:v>15/12/2010</c:v>
                </c:pt>
                <c:pt idx="21">
                  <c:v>22/12/2010</c:v>
                </c:pt>
                <c:pt idx="22">
                  <c:v>29/12/2010</c:v>
                </c:pt>
                <c:pt idx="23">
                  <c:v>5/01/2011</c:v>
                </c:pt>
                <c:pt idx="24">
                  <c:v>12/01/2011</c:v>
                </c:pt>
                <c:pt idx="25">
                  <c:v>19/01/2011</c:v>
                </c:pt>
                <c:pt idx="26">
                  <c:v>26/01/2011</c:v>
                </c:pt>
                <c:pt idx="27">
                  <c:v>2/02/2011</c:v>
                </c:pt>
                <c:pt idx="28">
                  <c:v>9/02/2011</c:v>
                </c:pt>
                <c:pt idx="29">
                  <c:v>16/02/2011</c:v>
                </c:pt>
                <c:pt idx="30">
                  <c:v>23/02/2011</c:v>
                </c:pt>
                <c:pt idx="31">
                  <c:v>2/03/2011</c:v>
                </c:pt>
                <c:pt idx="32">
                  <c:v>9/03/2011</c:v>
                </c:pt>
                <c:pt idx="33">
                  <c:v>16/03/2011</c:v>
                </c:pt>
                <c:pt idx="34">
                  <c:v>23/03/2011</c:v>
                </c:pt>
                <c:pt idx="35">
                  <c:v>30/03/2011</c:v>
                </c:pt>
                <c:pt idx="36">
                  <c:v>6/04/2011</c:v>
                </c:pt>
                <c:pt idx="37">
                  <c:v>13/04/2011</c:v>
                </c:pt>
                <c:pt idx="38">
                  <c:v>20/04/2011</c:v>
                </c:pt>
                <c:pt idx="39">
                  <c:v>27/04/2011</c:v>
                </c:pt>
                <c:pt idx="40">
                  <c:v>4/05/2011</c:v>
                </c:pt>
                <c:pt idx="41">
                  <c:v>11/05/2011</c:v>
                </c:pt>
                <c:pt idx="42">
                  <c:v>18/05/2011</c:v>
                </c:pt>
                <c:pt idx="43">
                  <c:v>25/05/2011</c:v>
                </c:pt>
                <c:pt idx="44">
                  <c:v>1/06/2011</c:v>
                </c:pt>
                <c:pt idx="45">
                  <c:v>8/06/2011</c:v>
                </c:pt>
                <c:pt idx="46">
                  <c:v>15/06/2011</c:v>
                </c:pt>
                <c:pt idx="47">
                  <c:v>22/06/2011</c:v>
                </c:pt>
                <c:pt idx="48">
                  <c:v>29/06/2011</c:v>
                </c:pt>
                <c:pt idx="49">
                  <c:v>6/07/2011</c:v>
                </c:pt>
                <c:pt idx="50">
                  <c:v>13/07/2011</c:v>
                </c:pt>
                <c:pt idx="51">
                  <c:v>20/07/2011</c:v>
                </c:pt>
                <c:pt idx="52">
                  <c:v>27/07/2011</c:v>
                </c:pt>
                <c:pt idx="53">
                  <c:v>3/08/2011</c:v>
                </c:pt>
                <c:pt idx="54">
                  <c:v>10/08/2011</c:v>
                </c:pt>
                <c:pt idx="55">
                  <c:v>17/08/2011</c:v>
                </c:pt>
                <c:pt idx="56">
                  <c:v>24/08/2011</c:v>
                </c:pt>
                <c:pt idx="57">
                  <c:v>31/08/2011</c:v>
                </c:pt>
                <c:pt idx="58">
                  <c:v>7/09/2011</c:v>
                </c:pt>
                <c:pt idx="59">
                  <c:v>14/09/2011</c:v>
                </c:pt>
                <c:pt idx="60">
                  <c:v>21/09/2011</c:v>
                </c:pt>
                <c:pt idx="61">
                  <c:v>28/09/2011</c:v>
                </c:pt>
                <c:pt idx="62">
                  <c:v>5/10/2011</c:v>
                </c:pt>
                <c:pt idx="63">
                  <c:v>12/10/2011</c:v>
                </c:pt>
                <c:pt idx="64">
                  <c:v>19/10/2011</c:v>
                </c:pt>
                <c:pt idx="65">
                  <c:v>26/10/2011</c:v>
                </c:pt>
                <c:pt idx="66">
                  <c:v>2/11/2011</c:v>
                </c:pt>
                <c:pt idx="67">
                  <c:v>9/11/2011</c:v>
                </c:pt>
                <c:pt idx="68">
                  <c:v>16/11/2011</c:v>
                </c:pt>
                <c:pt idx="69">
                  <c:v>23/11/2011</c:v>
                </c:pt>
                <c:pt idx="70">
                  <c:v>30/11/2011</c:v>
                </c:pt>
                <c:pt idx="71">
                  <c:v>7/12/2011</c:v>
                </c:pt>
                <c:pt idx="72">
                  <c:v>14/12/2011</c:v>
                </c:pt>
                <c:pt idx="73">
                  <c:v>21/12/2011</c:v>
                </c:pt>
                <c:pt idx="74">
                  <c:v>28/12/2011</c:v>
                </c:pt>
                <c:pt idx="75">
                  <c:v>4/01/2012</c:v>
                </c:pt>
                <c:pt idx="76">
                  <c:v>11/01/2012</c:v>
                </c:pt>
                <c:pt idx="77">
                  <c:v>18/01/2012</c:v>
                </c:pt>
                <c:pt idx="78">
                  <c:v>25/01/2012</c:v>
                </c:pt>
                <c:pt idx="79">
                  <c:v>1/02/2012</c:v>
                </c:pt>
                <c:pt idx="80">
                  <c:v>8/02/2012</c:v>
                </c:pt>
                <c:pt idx="81">
                  <c:v>15/02/2012</c:v>
                </c:pt>
                <c:pt idx="82">
                  <c:v>22/02/2012</c:v>
                </c:pt>
                <c:pt idx="83">
                  <c:v>29/02/2012</c:v>
                </c:pt>
                <c:pt idx="84">
                  <c:v>7/03/2012</c:v>
                </c:pt>
                <c:pt idx="85">
                  <c:v>14/03/2012</c:v>
                </c:pt>
                <c:pt idx="86">
                  <c:v>21/03/2012</c:v>
                </c:pt>
                <c:pt idx="87">
                  <c:v>28/03/2012</c:v>
                </c:pt>
                <c:pt idx="88">
                  <c:v>4/04/2012</c:v>
                </c:pt>
                <c:pt idx="89">
                  <c:v>11/04/2012</c:v>
                </c:pt>
                <c:pt idx="90">
                  <c:v>18/04/2012</c:v>
                </c:pt>
                <c:pt idx="91">
                  <c:v>25/04/2012</c:v>
                </c:pt>
                <c:pt idx="92">
                  <c:v>2/05/2012</c:v>
                </c:pt>
                <c:pt idx="93">
                  <c:v>9/05/2012</c:v>
                </c:pt>
                <c:pt idx="94">
                  <c:v>16/05/2012</c:v>
                </c:pt>
                <c:pt idx="95">
                  <c:v>23/05/2012</c:v>
                </c:pt>
                <c:pt idx="96">
                  <c:v>30/05/2012</c:v>
                </c:pt>
                <c:pt idx="97">
                  <c:v>6/06/2012</c:v>
                </c:pt>
                <c:pt idx="98">
                  <c:v>13/06/2012</c:v>
                </c:pt>
                <c:pt idx="99">
                  <c:v>20/06/2012</c:v>
                </c:pt>
                <c:pt idx="100">
                  <c:v>27/06/2012</c:v>
                </c:pt>
                <c:pt idx="101">
                  <c:v>4/07/2012</c:v>
                </c:pt>
                <c:pt idx="102">
                  <c:v>11/07/2012</c:v>
                </c:pt>
                <c:pt idx="103">
                  <c:v>18/07/2012</c:v>
                </c:pt>
                <c:pt idx="104">
                  <c:v>25/07/2012</c:v>
                </c:pt>
                <c:pt idx="105">
                  <c:v>1/08/2012</c:v>
                </c:pt>
                <c:pt idx="106">
                  <c:v>8/08/2012</c:v>
                </c:pt>
                <c:pt idx="107">
                  <c:v>15/08/2012</c:v>
                </c:pt>
                <c:pt idx="108">
                  <c:v>22/08/2012</c:v>
                </c:pt>
                <c:pt idx="109">
                  <c:v>29/08/2012</c:v>
                </c:pt>
                <c:pt idx="110">
                  <c:v>5/09/2012</c:v>
                </c:pt>
                <c:pt idx="111">
                  <c:v>12/09/2012</c:v>
                </c:pt>
                <c:pt idx="112">
                  <c:v>19/09/2012</c:v>
                </c:pt>
                <c:pt idx="113">
                  <c:v>26/09/2012</c:v>
                </c:pt>
                <c:pt idx="114">
                  <c:v>3/10/2012</c:v>
                </c:pt>
                <c:pt idx="115">
                  <c:v>10/10/2012</c:v>
                </c:pt>
                <c:pt idx="116">
                  <c:v>17/10/2012</c:v>
                </c:pt>
                <c:pt idx="117">
                  <c:v>24/10/2012</c:v>
                </c:pt>
                <c:pt idx="118">
                  <c:v>31/10/2012</c:v>
                </c:pt>
                <c:pt idx="119">
                  <c:v>7/11/2012</c:v>
                </c:pt>
                <c:pt idx="120">
                  <c:v>14/11/2012</c:v>
                </c:pt>
                <c:pt idx="121">
                  <c:v>21/11/2012</c:v>
                </c:pt>
                <c:pt idx="122">
                  <c:v>28/11/2012</c:v>
                </c:pt>
                <c:pt idx="123">
                  <c:v>5/12/2012</c:v>
                </c:pt>
                <c:pt idx="124">
                  <c:v>12/12/2012</c:v>
                </c:pt>
                <c:pt idx="125">
                  <c:v>19/12/2012</c:v>
                </c:pt>
                <c:pt idx="126">
                  <c:v>26/12/2012</c:v>
                </c:pt>
                <c:pt idx="127">
                  <c:v>2/01/2013</c:v>
                </c:pt>
                <c:pt idx="128">
                  <c:v>9/01/2013</c:v>
                </c:pt>
                <c:pt idx="129">
                  <c:v>16/01/2013</c:v>
                </c:pt>
                <c:pt idx="130">
                  <c:v>23/01/2013</c:v>
                </c:pt>
                <c:pt idx="131">
                  <c:v>30/01/2013</c:v>
                </c:pt>
                <c:pt idx="132">
                  <c:v>6/02/2013</c:v>
                </c:pt>
                <c:pt idx="133">
                  <c:v>13/02/2013</c:v>
                </c:pt>
                <c:pt idx="134">
                  <c:v>20/02/2013</c:v>
                </c:pt>
                <c:pt idx="135">
                  <c:v>27/02/2013</c:v>
                </c:pt>
                <c:pt idx="136">
                  <c:v>6/03/2013</c:v>
                </c:pt>
                <c:pt idx="137">
                  <c:v>13/03/2013</c:v>
                </c:pt>
                <c:pt idx="138">
                  <c:v>20/03/2013</c:v>
                </c:pt>
                <c:pt idx="139">
                  <c:v>27/03/2013</c:v>
                </c:pt>
                <c:pt idx="140">
                  <c:v>3/04/2013</c:v>
                </c:pt>
                <c:pt idx="141">
                  <c:v>10/04/2013</c:v>
                </c:pt>
                <c:pt idx="142">
                  <c:v>17/04/2013</c:v>
                </c:pt>
                <c:pt idx="143">
                  <c:v>24/04/2013</c:v>
                </c:pt>
                <c:pt idx="144">
                  <c:v>1/05/2013</c:v>
                </c:pt>
                <c:pt idx="145">
                  <c:v>8/05/2013</c:v>
                </c:pt>
                <c:pt idx="146">
                  <c:v>15/05/2013</c:v>
                </c:pt>
                <c:pt idx="147">
                  <c:v>22/05/2013</c:v>
                </c:pt>
                <c:pt idx="148">
                  <c:v>29/05/2013</c:v>
                </c:pt>
                <c:pt idx="149">
                  <c:v>5/06/2013</c:v>
                </c:pt>
                <c:pt idx="150">
                  <c:v>12/06/2013</c:v>
                </c:pt>
                <c:pt idx="151">
                  <c:v>19/06/2013</c:v>
                </c:pt>
                <c:pt idx="152">
                  <c:v>26/06/2013</c:v>
                </c:pt>
                <c:pt idx="153">
                  <c:v>3/07/2013</c:v>
                </c:pt>
                <c:pt idx="154">
                  <c:v>10/07/2013</c:v>
                </c:pt>
                <c:pt idx="155">
                  <c:v>17/07/2013</c:v>
                </c:pt>
                <c:pt idx="156">
                  <c:v>24/07/2013</c:v>
                </c:pt>
                <c:pt idx="157">
                  <c:v>31/07/2013</c:v>
                </c:pt>
                <c:pt idx="158">
                  <c:v>7/08/2013</c:v>
                </c:pt>
                <c:pt idx="159">
                  <c:v>14/08/2013</c:v>
                </c:pt>
                <c:pt idx="160">
                  <c:v>21/08/2013</c:v>
                </c:pt>
                <c:pt idx="161">
                  <c:v>28/08/2013</c:v>
                </c:pt>
                <c:pt idx="162">
                  <c:v>4/09/2013</c:v>
                </c:pt>
                <c:pt idx="163">
                  <c:v>11/09/2013</c:v>
                </c:pt>
                <c:pt idx="164">
                  <c:v>18/09/2013</c:v>
                </c:pt>
                <c:pt idx="165">
                  <c:v>25/09/2013</c:v>
                </c:pt>
                <c:pt idx="166">
                  <c:v>2/10/2013</c:v>
                </c:pt>
                <c:pt idx="167">
                  <c:v>9/10/2013</c:v>
                </c:pt>
                <c:pt idx="168">
                  <c:v>16/10/2013</c:v>
                </c:pt>
                <c:pt idx="169">
                  <c:v>23/10/2013</c:v>
                </c:pt>
                <c:pt idx="170">
                  <c:v>30/10/2013</c:v>
                </c:pt>
                <c:pt idx="171">
                  <c:v>6/11/2013</c:v>
                </c:pt>
                <c:pt idx="172">
                  <c:v>13/11/2013</c:v>
                </c:pt>
                <c:pt idx="173">
                  <c:v>20/11/2013</c:v>
                </c:pt>
                <c:pt idx="174">
                  <c:v>27/11/2013</c:v>
                </c:pt>
                <c:pt idx="175">
                  <c:v>4/12/2013</c:v>
                </c:pt>
                <c:pt idx="176">
                  <c:v>11/12/2013</c:v>
                </c:pt>
                <c:pt idx="177">
                  <c:v>18/12/2013</c:v>
                </c:pt>
                <c:pt idx="178">
                  <c:v>25/12/2013</c:v>
                </c:pt>
                <c:pt idx="179">
                  <c:v>1/01/2014</c:v>
                </c:pt>
                <c:pt idx="180">
                  <c:v>8/01/2014</c:v>
                </c:pt>
              </c:strCache>
            </c:strRef>
          </c:cat>
          <c:val>
            <c:numRef>
              <c:f>'Sheet1 (14)'!$C$5:$C$186</c:f>
              <c:numCache>
                <c:formatCode>General</c:formatCode>
                <c:ptCount val="181"/>
                <c:pt idx="0">
                  <c:v>1</c:v>
                </c:pt>
                <c:pt idx="1">
                  <c:v>8</c:v>
                </c:pt>
                <c:pt idx="2">
                  <c:v>20</c:v>
                </c:pt>
                <c:pt idx="3">
                  <c:v>38</c:v>
                </c:pt>
                <c:pt idx="4">
                  <c:v>53</c:v>
                </c:pt>
                <c:pt idx="5">
                  <c:v>66</c:v>
                </c:pt>
                <c:pt idx="6">
                  <c:v>77</c:v>
                </c:pt>
                <c:pt idx="7">
                  <c:v>88</c:v>
                </c:pt>
                <c:pt idx="8">
                  <c:v>102</c:v>
                </c:pt>
                <c:pt idx="9">
                  <c:v>108</c:v>
                </c:pt>
                <c:pt idx="10">
                  <c:v>122</c:v>
                </c:pt>
                <c:pt idx="11">
                  <c:v>134</c:v>
                </c:pt>
                <c:pt idx="12">
                  <c:v>149</c:v>
                </c:pt>
                <c:pt idx="13">
                  <c:v>170</c:v>
                </c:pt>
                <c:pt idx="14">
                  <c:v>177</c:v>
                </c:pt>
                <c:pt idx="15">
                  <c:v>180</c:v>
                </c:pt>
                <c:pt idx="16">
                  <c:v>190</c:v>
                </c:pt>
                <c:pt idx="17">
                  <c:v>202</c:v>
                </c:pt>
                <c:pt idx="18">
                  <c:v>207</c:v>
                </c:pt>
                <c:pt idx="19">
                  <c:v>213</c:v>
                </c:pt>
                <c:pt idx="20">
                  <c:v>218</c:v>
                </c:pt>
                <c:pt idx="21">
                  <c:v>217</c:v>
                </c:pt>
                <c:pt idx="22">
                  <c:v>218</c:v>
                </c:pt>
                <c:pt idx="23">
                  <c:v>229</c:v>
                </c:pt>
                <c:pt idx="24">
                  <c:v>239</c:v>
                </c:pt>
                <c:pt idx="25">
                  <c:v>244</c:v>
                </c:pt>
                <c:pt idx="26">
                  <c:v>255</c:v>
                </c:pt>
                <c:pt idx="27">
                  <c:v>273</c:v>
                </c:pt>
                <c:pt idx="28">
                  <c:v>269</c:v>
                </c:pt>
                <c:pt idx="29">
                  <c:v>283</c:v>
                </c:pt>
                <c:pt idx="30">
                  <c:v>287</c:v>
                </c:pt>
                <c:pt idx="31">
                  <c:v>287</c:v>
                </c:pt>
                <c:pt idx="32">
                  <c:v>298</c:v>
                </c:pt>
                <c:pt idx="33">
                  <c:v>309</c:v>
                </c:pt>
                <c:pt idx="34">
                  <c:v>318</c:v>
                </c:pt>
                <c:pt idx="35">
                  <c:v>324</c:v>
                </c:pt>
                <c:pt idx="36">
                  <c:v>340</c:v>
                </c:pt>
                <c:pt idx="37">
                  <c:v>348</c:v>
                </c:pt>
                <c:pt idx="38">
                  <c:v>359</c:v>
                </c:pt>
                <c:pt idx="39">
                  <c:v>369</c:v>
                </c:pt>
                <c:pt idx="40">
                  <c:v>372</c:v>
                </c:pt>
                <c:pt idx="41">
                  <c:v>388</c:v>
                </c:pt>
                <c:pt idx="42">
                  <c:v>395</c:v>
                </c:pt>
                <c:pt idx="43">
                  <c:v>416</c:v>
                </c:pt>
                <c:pt idx="44">
                  <c:v>426</c:v>
                </c:pt>
                <c:pt idx="45">
                  <c:v>437</c:v>
                </c:pt>
                <c:pt idx="46">
                  <c:v>443</c:v>
                </c:pt>
                <c:pt idx="47">
                  <c:v>453</c:v>
                </c:pt>
                <c:pt idx="48">
                  <c:v>455</c:v>
                </c:pt>
                <c:pt idx="49">
                  <c:v>457</c:v>
                </c:pt>
                <c:pt idx="50">
                  <c:v>464</c:v>
                </c:pt>
                <c:pt idx="51">
                  <c:v>475</c:v>
                </c:pt>
                <c:pt idx="52">
                  <c:v>501</c:v>
                </c:pt>
                <c:pt idx="53">
                  <c:v>516</c:v>
                </c:pt>
                <c:pt idx="54">
                  <c:v>527</c:v>
                </c:pt>
                <c:pt idx="55">
                  <c:v>543</c:v>
                </c:pt>
                <c:pt idx="56">
                  <c:v>562</c:v>
                </c:pt>
                <c:pt idx="57">
                  <c:v>570</c:v>
                </c:pt>
                <c:pt idx="58">
                  <c:v>578</c:v>
                </c:pt>
                <c:pt idx="59">
                  <c:v>596</c:v>
                </c:pt>
                <c:pt idx="60">
                  <c:v>595</c:v>
                </c:pt>
                <c:pt idx="61">
                  <c:v>602</c:v>
                </c:pt>
                <c:pt idx="62">
                  <c:v>615</c:v>
                </c:pt>
                <c:pt idx="63">
                  <c:v>641</c:v>
                </c:pt>
                <c:pt idx="64">
                  <c:v>644</c:v>
                </c:pt>
                <c:pt idx="65">
                  <c:v>658</c:v>
                </c:pt>
                <c:pt idx="66">
                  <c:v>671</c:v>
                </c:pt>
                <c:pt idx="67">
                  <c:v>686</c:v>
                </c:pt>
                <c:pt idx="68">
                  <c:v>696</c:v>
                </c:pt>
                <c:pt idx="69">
                  <c:v>693</c:v>
                </c:pt>
                <c:pt idx="70">
                  <c:v>696</c:v>
                </c:pt>
                <c:pt idx="71">
                  <c:v>698</c:v>
                </c:pt>
                <c:pt idx="72">
                  <c:v>725</c:v>
                </c:pt>
                <c:pt idx="73">
                  <c:v>724</c:v>
                </c:pt>
                <c:pt idx="74">
                  <c:v>729</c:v>
                </c:pt>
                <c:pt idx="75">
                  <c:v>759</c:v>
                </c:pt>
                <c:pt idx="76">
                  <c:v>785</c:v>
                </c:pt>
                <c:pt idx="77">
                  <c:v>798</c:v>
                </c:pt>
                <c:pt idx="78">
                  <c:v>807</c:v>
                </c:pt>
                <c:pt idx="79">
                  <c:v>839</c:v>
                </c:pt>
                <c:pt idx="80">
                  <c:v>854</c:v>
                </c:pt>
                <c:pt idx="81">
                  <c:v>865</c:v>
                </c:pt>
                <c:pt idx="82">
                  <c:v>869</c:v>
                </c:pt>
                <c:pt idx="83">
                  <c:v>874</c:v>
                </c:pt>
                <c:pt idx="84">
                  <c:v>888</c:v>
                </c:pt>
                <c:pt idx="85">
                  <c:v>907</c:v>
                </c:pt>
                <c:pt idx="86">
                  <c:v>900</c:v>
                </c:pt>
                <c:pt idx="87">
                  <c:v>900</c:v>
                </c:pt>
                <c:pt idx="88">
                  <c:v>898</c:v>
                </c:pt>
                <c:pt idx="89">
                  <c:v>897</c:v>
                </c:pt>
                <c:pt idx="90">
                  <c:v>905</c:v>
                </c:pt>
                <c:pt idx="91">
                  <c:v>930</c:v>
                </c:pt>
                <c:pt idx="92">
                  <c:v>938</c:v>
                </c:pt>
                <c:pt idx="93">
                  <c:v>956</c:v>
                </c:pt>
                <c:pt idx="94">
                  <c:v>957</c:v>
                </c:pt>
                <c:pt idx="95">
                  <c:v>963</c:v>
                </c:pt>
                <c:pt idx="96">
                  <c:v>981</c:v>
                </c:pt>
                <c:pt idx="97">
                  <c:v>995</c:v>
                </c:pt>
                <c:pt idx="98">
                  <c:v>986</c:v>
                </c:pt>
                <c:pt idx="99">
                  <c:v>1007</c:v>
                </c:pt>
                <c:pt idx="100">
                  <c:v>1010</c:v>
                </c:pt>
                <c:pt idx="101">
                  <c:v>1027</c:v>
                </c:pt>
                <c:pt idx="102">
                  <c:v>1027</c:v>
                </c:pt>
                <c:pt idx="103">
                  <c:v>1044</c:v>
                </c:pt>
                <c:pt idx="104">
                  <c:v>1063</c:v>
                </c:pt>
                <c:pt idx="105">
                  <c:v>1077</c:v>
                </c:pt>
                <c:pt idx="106">
                  <c:v>1094</c:v>
                </c:pt>
                <c:pt idx="107">
                  <c:v>1110</c:v>
                </c:pt>
                <c:pt idx="108">
                  <c:v>1123</c:v>
                </c:pt>
                <c:pt idx="109">
                  <c:v>1129</c:v>
                </c:pt>
                <c:pt idx="110">
                  <c:v>1135</c:v>
                </c:pt>
                <c:pt idx="111">
                  <c:v>1142</c:v>
                </c:pt>
                <c:pt idx="112">
                  <c:v>1151</c:v>
                </c:pt>
                <c:pt idx="113">
                  <c:v>1157</c:v>
                </c:pt>
                <c:pt idx="114">
                  <c:v>1159</c:v>
                </c:pt>
                <c:pt idx="115">
                  <c:v>1174</c:v>
                </c:pt>
                <c:pt idx="116">
                  <c:v>1171</c:v>
                </c:pt>
                <c:pt idx="117">
                  <c:v>1175</c:v>
                </c:pt>
                <c:pt idx="118">
                  <c:v>1188</c:v>
                </c:pt>
                <c:pt idx="119">
                  <c:v>1186</c:v>
                </c:pt>
                <c:pt idx="120">
                  <c:v>1199</c:v>
                </c:pt>
                <c:pt idx="121">
                  <c:v>1197</c:v>
                </c:pt>
                <c:pt idx="122">
                  <c:v>1197</c:v>
                </c:pt>
                <c:pt idx="123">
                  <c:v>1207</c:v>
                </c:pt>
                <c:pt idx="124">
                  <c:v>1216</c:v>
                </c:pt>
                <c:pt idx="125">
                  <c:v>1210</c:v>
                </c:pt>
                <c:pt idx="126">
                  <c:v>1219</c:v>
                </c:pt>
                <c:pt idx="127">
                  <c:v>1212</c:v>
                </c:pt>
                <c:pt idx="128">
                  <c:v>1225</c:v>
                </c:pt>
                <c:pt idx="129">
                  <c:v>1227</c:v>
                </c:pt>
                <c:pt idx="130">
                  <c:v>1228</c:v>
                </c:pt>
                <c:pt idx="131">
                  <c:v>1255</c:v>
                </c:pt>
                <c:pt idx="132">
                  <c:v>1274</c:v>
                </c:pt>
                <c:pt idx="133">
                  <c:v>1277</c:v>
                </c:pt>
                <c:pt idx="134">
                  <c:v>1286</c:v>
                </c:pt>
                <c:pt idx="135">
                  <c:v>1309</c:v>
                </c:pt>
                <c:pt idx="136">
                  <c:v>1298</c:v>
                </c:pt>
                <c:pt idx="137">
                  <c:v>1314</c:v>
                </c:pt>
                <c:pt idx="138">
                  <c:v>1330</c:v>
                </c:pt>
                <c:pt idx="139">
                  <c:v>1337</c:v>
                </c:pt>
                <c:pt idx="140">
                  <c:v>1344</c:v>
                </c:pt>
                <c:pt idx="141">
                  <c:v>1345</c:v>
                </c:pt>
                <c:pt idx="142">
                  <c:v>1372</c:v>
                </c:pt>
                <c:pt idx="143">
                  <c:v>1380</c:v>
                </c:pt>
                <c:pt idx="144">
                  <c:v>1388</c:v>
                </c:pt>
                <c:pt idx="145">
                  <c:v>1394</c:v>
                </c:pt>
                <c:pt idx="146">
                  <c:v>1399</c:v>
                </c:pt>
                <c:pt idx="147">
                  <c:v>1417</c:v>
                </c:pt>
                <c:pt idx="148">
                  <c:v>1408</c:v>
                </c:pt>
                <c:pt idx="149">
                  <c:v>1426</c:v>
                </c:pt>
                <c:pt idx="150">
                  <c:v>1455</c:v>
                </c:pt>
                <c:pt idx="151">
                  <c:v>1459</c:v>
                </c:pt>
                <c:pt idx="152">
                  <c:v>1479</c:v>
                </c:pt>
                <c:pt idx="153">
                  <c:v>1484</c:v>
                </c:pt>
                <c:pt idx="154">
                  <c:v>1482</c:v>
                </c:pt>
                <c:pt idx="155">
                  <c:v>1510</c:v>
                </c:pt>
                <c:pt idx="156">
                  <c:v>1512</c:v>
                </c:pt>
                <c:pt idx="157">
                  <c:v>1526</c:v>
                </c:pt>
                <c:pt idx="158">
                  <c:v>1519</c:v>
                </c:pt>
                <c:pt idx="159">
                  <c:v>1515</c:v>
                </c:pt>
                <c:pt idx="160">
                  <c:v>1514</c:v>
                </c:pt>
                <c:pt idx="161">
                  <c:v>1514</c:v>
                </c:pt>
                <c:pt idx="162">
                  <c:v>1519</c:v>
                </c:pt>
                <c:pt idx="163">
                  <c:v>1526</c:v>
                </c:pt>
                <c:pt idx="164">
                  <c:v>1551</c:v>
                </c:pt>
                <c:pt idx="165">
                  <c:v>1573</c:v>
                </c:pt>
                <c:pt idx="166">
                  <c:v>1590</c:v>
                </c:pt>
                <c:pt idx="167">
                  <c:v>1615</c:v>
                </c:pt>
                <c:pt idx="168">
                  <c:v>1648</c:v>
                </c:pt>
                <c:pt idx="169">
                  <c:v>1662</c:v>
                </c:pt>
                <c:pt idx="170">
                  <c:v>1664</c:v>
                </c:pt>
                <c:pt idx="171">
                  <c:v>1669</c:v>
                </c:pt>
                <c:pt idx="172">
                  <c:v>1673</c:v>
                </c:pt>
                <c:pt idx="173">
                  <c:v>1682</c:v>
                </c:pt>
                <c:pt idx="174">
                  <c:v>1683</c:v>
                </c:pt>
                <c:pt idx="175">
                  <c:v>1685</c:v>
                </c:pt>
                <c:pt idx="176">
                  <c:v>1705</c:v>
                </c:pt>
                <c:pt idx="177">
                  <c:v>1713</c:v>
                </c:pt>
                <c:pt idx="178">
                  <c:v>1702</c:v>
                </c:pt>
                <c:pt idx="179">
                  <c:v>1713</c:v>
                </c:pt>
                <c:pt idx="180">
                  <c:v>1738</c:v>
                </c:pt>
              </c:numCache>
            </c:numRef>
          </c:val>
          <c:smooth val="0"/>
        </c:ser>
        <c:ser>
          <c:idx val="2"/>
          <c:order val="2"/>
          <c:tx>
            <c:strRef>
              <c:f>'Sheet1 (14)'!$D$3:$D$4</c:f>
              <c:strCache>
                <c:ptCount val="1"/>
                <c:pt idx="0">
                  <c:v>Exenatide+Insulin+Metformin</c:v>
                </c:pt>
              </c:strCache>
            </c:strRef>
          </c:tx>
          <c:marker>
            <c:symbol val="none"/>
          </c:marker>
          <c:cat>
            <c:strRef>
              <c:f>'Sheet1 (14)'!$A$5:$A$186</c:f>
              <c:strCache>
                <c:ptCount val="181"/>
                <c:pt idx="0">
                  <c:v>28/07/2010</c:v>
                </c:pt>
                <c:pt idx="1">
                  <c:v>4/08/2010</c:v>
                </c:pt>
                <c:pt idx="2">
                  <c:v>11/08/2010</c:v>
                </c:pt>
                <c:pt idx="3">
                  <c:v>18/08/2010</c:v>
                </c:pt>
                <c:pt idx="4">
                  <c:v>25/08/2010</c:v>
                </c:pt>
                <c:pt idx="5">
                  <c:v>1/09/2010</c:v>
                </c:pt>
                <c:pt idx="6">
                  <c:v>8/09/2010</c:v>
                </c:pt>
                <c:pt idx="7">
                  <c:v>15/09/2010</c:v>
                </c:pt>
                <c:pt idx="8">
                  <c:v>22/09/2010</c:v>
                </c:pt>
                <c:pt idx="9">
                  <c:v>29/09/2010</c:v>
                </c:pt>
                <c:pt idx="10">
                  <c:v>6/10/2010</c:v>
                </c:pt>
                <c:pt idx="11">
                  <c:v>13/10/2010</c:v>
                </c:pt>
                <c:pt idx="12">
                  <c:v>20/10/2010</c:v>
                </c:pt>
                <c:pt idx="13">
                  <c:v>27/10/2010</c:v>
                </c:pt>
                <c:pt idx="14">
                  <c:v>3/11/2010</c:v>
                </c:pt>
                <c:pt idx="15">
                  <c:v>10/11/2010</c:v>
                </c:pt>
                <c:pt idx="16">
                  <c:v>17/11/2010</c:v>
                </c:pt>
                <c:pt idx="17">
                  <c:v>24/11/2010</c:v>
                </c:pt>
                <c:pt idx="18">
                  <c:v>1/12/2010</c:v>
                </c:pt>
                <c:pt idx="19">
                  <c:v>8/12/2010</c:v>
                </c:pt>
                <c:pt idx="20">
                  <c:v>15/12/2010</c:v>
                </c:pt>
                <c:pt idx="21">
                  <c:v>22/12/2010</c:v>
                </c:pt>
                <c:pt idx="22">
                  <c:v>29/12/2010</c:v>
                </c:pt>
                <c:pt idx="23">
                  <c:v>5/01/2011</c:v>
                </c:pt>
                <c:pt idx="24">
                  <c:v>12/01/2011</c:v>
                </c:pt>
                <c:pt idx="25">
                  <c:v>19/01/2011</c:v>
                </c:pt>
                <c:pt idx="26">
                  <c:v>26/01/2011</c:v>
                </c:pt>
                <c:pt idx="27">
                  <c:v>2/02/2011</c:v>
                </c:pt>
                <c:pt idx="28">
                  <c:v>9/02/2011</c:v>
                </c:pt>
                <c:pt idx="29">
                  <c:v>16/02/2011</c:v>
                </c:pt>
                <c:pt idx="30">
                  <c:v>23/02/2011</c:v>
                </c:pt>
                <c:pt idx="31">
                  <c:v>2/03/2011</c:v>
                </c:pt>
                <c:pt idx="32">
                  <c:v>9/03/2011</c:v>
                </c:pt>
                <c:pt idx="33">
                  <c:v>16/03/2011</c:v>
                </c:pt>
                <c:pt idx="34">
                  <c:v>23/03/2011</c:v>
                </c:pt>
                <c:pt idx="35">
                  <c:v>30/03/2011</c:v>
                </c:pt>
                <c:pt idx="36">
                  <c:v>6/04/2011</c:v>
                </c:pt>
                <c:pt idx="37">
                  <c:v>13/04/2011</c:v>
                </c:pt>
                <c:pt idx="38">
                  <c:v>20/04/2011</c:v>
                </c:pt>
                <c:pt idx="39">
                  <c:v>27/04/2011</c:v>
                </c:pt>
                <c:pt idx="40">
                  <c:v>4/05/2011</c:v>
                </c:pt>
                <c:pt idx="41">
                  <c:v>11/05/2011</c:v>
                </c:pt>
                <c:pt idx="42">
                  <c:v>18/05/2011</c:v>
                </c:pt>
                <c:pt idx="43">
                  <c:v>25/05/2011</c:v>
                </c:pt>
                <c:pt idx="44">
                  <c:v>1/06/2011</c:v>
                </c:pt>
                <c:pt idx="45">
                  <c:v>8/06/2011</c:v>
                </c:pt>
                <c:pt idx="46">
                  <c:v>15/06/2011</c:v>
                </c:pt>
                <c:pt idx="47">
                  <c:v>22/06/2011</c:v>
                </c:pt>
                <c:pt idx="48">
                  <c:v>29/06/2011</c:v>
                </c:pt>
                <c:pt idx="49">
                  <c:v>6/07/2011</c:v>
                </c:pt>
                <c:pt idx="50">
                  <c:v>13/07/2011</c:v>
                </c:pt>
                <c:pt idx="51">
                  <c:v>20/07/2011</c:v>
                </c:pt>
                <c:pt idx="52">
                  <c:v>27/07/2011</c:v>
                </c:pt>
                <c:pt idx="53">
                  <c:v>3/08/2011</c:v>
                </c:pt>
                <c:pt idx="54">
                  <c:v>10/08/2011</c:v>
                </c:pt>
                <c:pt idx="55">
                  <c:v>17/08/2011</c:v>
                </c:pt>
                <c:pt idx="56">
                  <c:v>24/08/2011</c:v>
                </c:pt>
                <c:pt idx="57">
                  <c:v>31/08/2011</c:v>
                </c:pt>
                <c:pt idx="58">
                  <c:v>7/09/2011</c:v>
                </c:pt>
                <c:pt idx="59">
                  <c:v>14/09/2011</c:v>
                </c:pt>
                <c:pt idx="60">
                  <c:v>21/09/2011</c:v>
                </c:pt>
                <c:pt idx="61">
                  <c:v>28/09/2011</c:v>
                </c:pt>
                <c:pt idx="62">
                  <c:v>5/10/2011</c:v>
                </c:pt>
                <c:pt idx="63">
                  <c:v>12/10/2011</c:v>
                </c:pt>
                <c:pt idx="64">
                  <c:v>19/10/2011</c:v>
                </c:pt>
                <c:pt idx="65">
                  <c:v>26/10/2011</c:v>
                </c:pt>
                <c:pt idx="66">
                  <c:v>2/11/2011</c:v>
                </c:pt>
                <c:pt idx="67">
                  <c:v>9/11/2011</c:v>
                </c:pt>
                <c:pt idx="68">
                  <c:v>16/11/2011</c:v>
                </c:pt>
                <c:pt idx="69">
                  <c:v>23/11/2011</c:v>
                </c:pt>
                <c:pt idx="70">
                  <c:v>30/11/2011</c:v>
                </c:pt>
                <c:pt idx="71">
                  <c:v>7/12/2011</c:v>
                </c:pt>
                <c:pt idx="72">
                  <c:v>14/12/2011</c:v>
                </c:pt>
                <c:pt idx="73">
                  <c:v>21/12/2011</c:v>
                </c:pt>
                <c:pt idx="74">
                  <c:v>28/12/2011</c:v>
                </c:pt>
                <c:pt idx="75">
                  <c:v>4/01/2012</c:v>
                </c:pt>
                <c:pt idx="76">
                  <c:v>11/01/2012</c:v>
                </c:pt>
                <c:pt idx="77">
                  <c:v>18/01/2012</c:v>
                </c:pt>
                <c:pt idx="78">
                  <c:v>25/01/2012</c:v>
                </c:pt>
                <c:pt idx="79">
                  <c:v>1/02/2012</c:v>
                </c:pt>
                <c:pt idx="80">
                  <c:v>8/02/2012</c:v>
                </c:pt>
                <c:pt idx="81">
                  <c:v>15/02/2012</c:v>
                </c:pt>
                <c:pt idx="82">
                  <c:v>22/02/2012</c:v>
                </c:pt>
                <c:pt idx="83">
                  <c:v>29/02/2012</c:v>
                </c:pt>
                <c:pt idx="84">
                  <c:v>7/03/2012</c:v>
                </c:pt>
                <c:pt idx="85">
                  <c:v>14/03/2012</c:v>
                </c:pt>
                <c:pt idx="86">
                  <c:v>21/03/2012</c:v>
                </c:pt>
                <c:pt idx="87">
                  <c:v>28/03/2012</c:v>
                </c:pt>
                <c:pt idx="88">
                  <c:v>4/04/2012</c:v>
                </c:pt>
                <c:pt idx="89">
                  <c:v>11/04/2012</c:v>
                </c:pt>
                <c:pt idx="90">
                  <c:v>18/04/2012</c:v>
                </c:pt>
                <c:pt idx="91">
                  <c:v>25/04/2012</c:v>
                </c:pt>
                <c:pt idx="92">
                  <c:v>2/05/2012</c:v>
                </c:pt>
                <c:pt idx="93">
                  <c:v>9/05/2012</c:v>
                </c:pt>
                <c:pt idx="94">
                  <c:v>16/05/2012</c:v>
                </c:pt>
                <c:pt idx="95">
                  <c:v>23/05/2012</c:v>
                </c:pt>
                <c:pt idx="96">
                  <c:v>30/05/2012</c:v>
                </c:pt>
                <c:pt idx="97">
                  <c:v>6/06/2012</c:v>
                </c:pt>
                <c:pt idx="98">
                  <c:v>13/06/2012</c:v>
                </c:pt>
                <c:pt idx="99">
                  <c:v>20/06/2012</c:v>
                </c:pt>
                <c:pt idx="100">
                  <c:v>27/06/2012</c:v>
                </c:pt>
                <c:pt idx="101">
                  <c:v>4/07/2012</c:v>
                </c:pt>
                <c:pt idx="102">
                  <c:v>11/07/2012</c:v>
                </c:pt>
                <c:pt idx="103">
                  <c:v>18/07/2012</c:v>
                </c:pt>
                <c:pt idx="104">
                  <c:v>25/07/2012</c:v>
                </c:pt>
                <c:pt idx="105">
                  <c:v>1/08/2012</c:v>
                </c:pt>
                <c:pt idx="106">
                  <c:v>8/08/2012</c:v>
                </c:pt>
                <c:pt idx="107">
                  <c:v>15/08/2012</c:v>
                </c:pt>
                <c:pt idx="108">
                  <c:v>22/08/2012</c:v>
                </c:pt>
                <c:pt idx="109">
                  <c:v>29/08/2012</c:v>
                </c:pt>
                <c:pt idx="110">
                  <c:v>5/09/2012</c:v>
                </c:pt>
                <c:pt idx="111">
                  <c:v>12/09/2012</c:v>
                </c:pt>
                <c:pt idx="112">
                  <c:v>19/09/2012</c:v>
                </c:pt>
                <c:pt idx="113">
                  <c:v>26/09/2012</c:v>
                </c:pt>
                <c:pt idx="114">
                  <c:v>3/10/2012</c:v>
                </c:pt>
                <c:pt idx="115">
                  <c:v>10/10/2012</c:v>
                </c:pt>
                <c:pt idx="116">
                  <c:v>17/10/2012</c:v>
                </c:pt>
                <c:pt idx="117">
                  <c:v>24/10/2012</c:v>
                </c:pt>
                <c:pt idx="118">
                  <c:v>31/10/2012</c:v>
                </c:pt>
                <c:pt idx="119">
                  <c:v>7/11/2012</c:v>
                </c:pt>
                <c:pt idx="120">
                  <c:v>14/11/2012</c:v>
                </c:pt>
                <c:pt idx="121">
                  <c:v>21/11/2012</c:v>
                </c:pt>
                <c:pt idx="122">
                  <c:v>28/11/2012</c:v>
                </c:pt>
                <c:pt idx="123">
                  <c:v>5/12/2012</c:v>
                </c:pt>
                <c:pt idx="124">
                  <c:v>12/12/2012</c:v>
                </c:pt>
                <c:pt idx="125">
                  <c:v>19/12/2012</c:v>
                </c:pt>
                <c:pt idx="126">
                  <c:v>26/12/2012</c:v>
                </c:pt>
                <c:pt idx="127">
                  <c:v>2/01/2013</c:v>
                </c:pt>
                <c:pt idx="128">
                  <c:v>9/01/2013</c:v>
                </c:pt>
                <c:pt idx="129">
                  <c:v>16/01/2013</c:v>
                </c:pt>
                <c:pt idx="130">
                  <c:v>23/01/2013</c:v>
                </c:pt>
                <c:pt idx="131">
                  <c:v>30/01/2013</c:v>
                </c:pt>
                <c:pt idx="132">
                  <c:v>6/02/2013</c:v>
                </c:pt>
                <c:pt idx="133">
                  <c:v>13/02/2013</c:v>
                </c:pt>
                <c:pt idx="134">
                  <c:v>20/02/2013</c:v>
                </c:pt>
                <c:pt idx="135">
                  <c:v>27/02/2013</c:v>
                </c:pt>
                <c:pt idx="136">
                  <c:v>6/03/2013</c:v>
                </c:pt>
                <c:pt idx="137">
                  <c:v>13/03/2013</c:v>
                </c:pt>
                <c:pt idx="138">
                  <c:v>20/03/2013</c:v>
                </c:pt>
                <c:pt idx="139">
                  <c:v>27/03/2013</c:v>
                </c:pt>
                <c:pt idx="140">
                  <c:v>3/04/2013</c:v>
                </c:pt>
                <c:pt idx="141">
                  <c:v>10/04/2013</c:v>
                </c:pt>
                <c:pt idx="142">
                  <c:v>17/04/2013</c:v>
                </c:pt>
                <c:pt idx="143">
                  <c:v>24/04/2013</c:v>
                </c:pt>
                <c:pt idx="144">
                  <c:v>1/05/2013</c:v>
                </c:pt>
                <c:pt idx="145">
                  <c:v>8/05/2013</c:v>
                </c:pt>
                <c:pt idx="146">
                  <c:v>15/05/2013</c:v>
                </c:pt>
                <c:pt idx="147">
                  <c:v>22/05/2013</c:v>
                </c:pt>
                <c:pt idx="148">
                  <c:v>29/05/2013</c:v>
                </c:pt>
                <c:pt idx="149">
                  <c:v>5/06/2013</c:v>
                </c:pt>
                <c:pt idx="150">
                  <c:v>12/06/2013</c:v>
                </c:pt>
                <c:pt idx="151">
                  <c:v>19/06/2013</c:v>
                </c:pt>
                <c:pt idx="152">
                  <c:v>26/06/2013</c:v>
                </c:pt>
                <c:pt idx="153">
                  <c:v>3/07/2013</c:v>
                </c:pt>
                <c:pt idx="154">
                  <c:v>10/07/2013</c:v>
                </c:pt>
                <c:pt idx="155">
                  <c:v>17/07/2013</c:v>
                </c:pt>
                <c:pt idx="156">
                  <c:v>24/07/2013</c:v>
                </c:pt>
                <c:pt idx="157">
                  <c:v>31/07/2013</c:v>
                </c:pt>
                <c:pt idx="158">
                  <c:v>7/08/2013</c:v>
                </c:pt>
                <c:pt idx="159">
                  <c:v>14/08/2013</c:v>
                </c:pt>
                <c:pt idx="160">
                  <c:v>21/08/2013</c:v>
                </c:pt>
                <c:pt idx="161">
                  <c:v>28/08/2013</c:v>
                </c:pt>
                <c:pt idx="162">
                  <c:v>4/09/2013</c:v>
                </c:pt>
                <c:pt idx="163">
                  <c:v>11/09/2013</c:v>
                </c:pt>
                <c:pt idx="164">
                  <c:v>18/09/2013</c:v>
                </c:pt>
                <c:pt idx="165">
                  <c:v>25/09/2013</c:v>
                </c:pt>
                <c:pt idx="166">
                  <c:v>2/10/2013</c:v>
                </c:pt>
                <c:pt idx="167">
                  <c:v>9/10/2013</c:v>
                </c:pt>
                <c:pt idx="168">
                  <c:v>16/10/2013</c:v>
                </c:pt>
                <c:pt idx="169">
                  <c:v>23/10/2013</c:v>
                </c:pt>
                <c:pt idx="170">
                  <c:v>30/10/2013</c:v>
                </c:pt>
                <c:pt idx="171">
                  <c:v>6/11/2013</c:v>
                </c:pt>
                <c:pt idx="172">
                  <c:v>13/11/2013</c:v>
                </c:pt>
                <c:pt idx="173">
                  <c:v>20/11/2013</c:v>
                </c:pt>
                <c:pt idx="174">
                  <c:v>27/11/2013</c:v>
                </c:pt>
                <c:pt idx="175">
                  <c:v>4/12/2013</c:v>
                </c:pt>
                <c:pt idx="176">
                  <c:v>11/12/2013</c:v>
                </c:pt>
                <c:pt idx="177">
                  <c:v>18/12/2013</c:v>
                </c:pt>
                <c:pt idx="178">
                  <c:v>25/12/2013</c:v>
                </c:pt>
                <c:pt idx="179">
                  <c:v>1/01/2014</c:v>
                </c:pt>
                <c:pt idx="180">
                  <c:v>8/01/2014</c:v>
                </c:pt>
              </c:strCache>
            </c:strRef>
          </c:cat>
          <c:val>
            <c:numRef>
              <c:f>'Sheet1 (14)'!$D$5:$D$186</c:f>
              <c:numCache>
                <c:formatCode>General</c:formatCode>
                <c:ptCount val="181"/>
                <c:pt idx="0">
                  <c:v>2</c:v>
                </c:pt>
                <c:pt idx="1">
                  <c:v>8</c:v>
                </c:pt>
                <c:pt idx="2">
                  <c:v>9</c:v>
                </c:pt>
                <c:pt idx="3">
                  <c:v>17</c:v>
                </c:pt>
                <c:pt idx="4">
                  <c:v>22</c:v>
                </c:pt>
                <c:pt idx="5">
                  <c:v>31</c:v>
                </c:pt>
                <c:pt idx="6">
                  <c:v>37</c:v>
                </c:pt>
                <c:pt idx="7">
                  <c:v>44</c:v>
                </c:pt>
                <c:pt idx="8">
                  <c:v>43</c:v>
                </c:pt>
                <c:pt idx="9">
                  <c:v>47</c:v>
                </c:pt>
                <c:pt idx="10">
                  <c:v>52</c:v>
                </c:pt>
                <c:pt idx="11">
                  <c:v>52</c:v>
                </c:pt>
                <c:pt idx="12">
                  <c:v>57</c:v>
                </c:pt>
                <c:pt idx="13">
                  <c:v>61</c:v>
                </c:pt>
                <c:pt idx="14">
                  <c:v>65</c:v>
                </c:pt>
                <c:pt idx="15">
                  <c:v>69</c:v>
                </c:pt>
                <c:pt idx="16">
                  <c:v>72</c:v>
                </c:pt>
                <c:pt idx="17">
                  <c:v>75</c:v>
                </c:pt>
                <c:pt idx="18">
                  <c:v>77</c:v>
                </c:pt>
                <c:pt idx="19">
                  <c:v>84</c:v>
                </c:pt>
                <c:pt idx="20">
                  <c:v>83</c:v>
                </c:pt>
                <c:pt idx="21">
                  <c:v>83</c:v>
                </c:pt>
                <c:pt idx="22">
                  <c:v>87</c:v>
                </c:pt>
                <c:pt idx="23">
                  <c:v>81</c:v>
                </c:pt>
                <c:pt idx="24">
                  <c:v>80</c:v>
                </c:pt>
                <c:pt idx="25">
                  <c:v>83</c:v>
                </c:pt>
                <c:pt idx="26">
                  <c:v>82</c:v>
                </c:pt>
                <c:pt idx="27">
                  <c:v>80</c:v>
                </c:pt>
                <c:pt idx="28">
                  <c:v>83</c:v>
                </c:pt>
                <c:pt idx="29">
                  <c:v>84</c:v>
                </c:pt>
                <c:pt idx="30">
                  <c:v>90</c:v>
                </c:pt>
                <c:pt idx="31">
                  <c:v>97</c:v>
                </c:pt>
                <c:pt idx="32">
                  <c:v>96</c:v>
                </c:pt>
                <c:pt idx="33">
                  <c:v>94</c:v>
                </c:pt>
                <c:pt idx="34">
                  <c:v>95</c:v>
                </c:pt>
                <c:pt idx="35">
                  <c:v>106</c:v>
                </c:pt>
                <c:pt idx="36">
                  <c:v>106</c:v>
                </c:pt>
                <c:pt idx="37">
                  <c:v>108</c:v>
                </c:pt>
                <c:pt idx="38">
                  <c:v>100</c:v>
                </c:pt>
                <c:pt idx="39">
                  <c:v>99</c:v>
                </c:pt>
                <c:pt idx="40">
                  <c:v>104</c:v>
                </c:pt>
                <c:pt idx="41">
                  <c:v>107</c:v>
                </c:pt>
                <c:pt idx="42">
                  <c:v>107</c:v>
                </c:pt>
                <c:pt idx="43">
                  <c:v>115</c:v>
                </c:pt>
                <c:pt idx="44">
                  <c:v>122</c:v>
                </c:pt>
                <c:pt idx="45">
                  <c:v>127</c:v>
                </c:pt>
                <c:pt idx="46">
                  <c:v>136</c:v>
                </c:pt>
                <c:pt idx="47">
                  <c:v>141</c:v>
                </c:pt>
                <c:pt idx="48">
                  <c:v>142</c:v>
                </c:pt>
                <c:pt idx="49">
                  <c:v>145</c:v>
                </c:pt>
                <c:pt idx="50">
                  <c:v>148</c:v>
                </c:pt>
                <c:pt idx="51">
                  <c:v>150</c:v>
                </c:pt>
                <c:pt idx="52">
                  <c:v>145</c:v>
                </c:pt>
                <c:pt idx="53">
                  <c:v>146</c:v>
                </c:pt>
                <c:pt idx="54">
                  <c:v>148</c:v>
                </c:pt>
                <c:pt idx="55">
                  <c:v>150</c:v>
                </c:pt>
                <c:pt idx="56">
                  <c:v>157</c:v>
                </c:pt>
                <c:pt idx="57">
                  <c:v>163</c:v>
                </c:pt>
                <c:pt idx="58">
                  <c:v>162</c:v>
                </c:pt>
                <c:pt idx="59">
                  <c:v>167</c:v>
                </c:pt>
                <c:pt idx="60">
                  <c:v>165</c:v>
                </c:pt>
                <c:pt idx="61">
                  <c:v>171</c:v>
                </c:pt>
                <c:pt idx="62">
                  <c:v>174</c:v>
                </c:pt>
                <c:pt idx="63">
                  <c:v>186</c:v>
                </c:pt>
                <c:pt idx="64">
                  <c:v>196</c:v>
                </c:pt>
                <c:pt idx="65">
                  <c:v>208</c:v>
                </c:pt>
                <c:pt idx="66">
                  <c:v>209</c:v>
                </c:pt>
                <c:pt idx="67">
                  <c:v>213</c:v>
                </c:pt>
                <c:pt idx="68">
                  <c:v>211</c:v>
                </c:pt>
                <c:pt idx="69">
                  <c:v>218</c:v>
                </c:pt>
                <c:pt idx="70">
                  <c:v>221</c:v>
                </c:pt>
                <c:pt idx="71">
                  <c:v>225</c:v>
                </c:pt>
                <c:pt idx="72">
                  <c:v>228</c:v>
                </c:pt>
                <c:pt idx="73">
                  <c:v>228</c:v>
                </c:pt>
                <c:pt idx="74">
                  <c:v>221</c:v>
                </c:pt>
                <c:pt idx="75">
                  <c:v>214</c:v>
                </c:pt>
                <c:pt idx="76">
                  <c:v>212</c:v>
                </c:pt>
                <c:pt idx="77">
                  <c:v>209</c:v>
                </c:pt>
                <c:pt idx="78">
                  <c:v>211</c:v>
                </c:pt>
                <c:pt idx="79">
                  <c:v>199</c:v>
                </c:pt>
                <c:pt idx="80">
                  <c:v>197</c:v>
                </c:pt>
                <c:pt idx="81">
                  <c:v>192</c:v>
                </c:pt>
                <c:pt idx="82">
                  <c:v>188</c:v>
                </c:pt>
                <c:pt idx="83">
                  <c:v>191</c:v>
                </c:pt>
                <c:pt idx="84">
                  <c:v>196</c:v>
                </c:pt>
                <c:pt idx="85">
                  <c:v>191</c:v>
                </c:pt>
                <c:pt idx="86">
                  <c:v>205</c:v>
                </c:pt>
                <c:pt idx="87">
                  <c:v>215</c:v>
                </c:pt>
                <c:pt idx="88">
                  <c:v>213</c:v>
                </c:pt>
                <c:pt idx="89">
                  <c:v>218</c:v>
                </c:pt>
                <c:pt idx="90">
                  <c:v>218</c:v>
                </c:pt>
                <c:pt idx="91">
                  <c:v>214</c:v>
                </c:pt>
                <c:pt idx="92">
                  <c:v>211</c:v>
                </c:pt>
                <c:pt idx="93">
                  <c:v>213</c:v>
                </c:pt>
                <c:pt idx="94">
                  <c:v>229</c:v>
                </c:pt>
                <c:pt idx="95">
                  <c:v>230</c:v>
                </c:pt>
                <c:pt idx="96">
                  <c:v>246</c:v>
                </c:pt>
                <c:pt idx="97">
                  <c:v>249</c:v>
                </c:pt>
                <c:pt idx="98">
                  <c:v>251</c:v>
                </c:pt>
                <c:pt idx="99">
                  <c:v>245</c:v>
                </c:pt>
                <c:pt idx="100">
                  <c:v>253</c:v>
                </c:pt>
                <c:pt idx="101">
                  <c:v>248</c:v>
                </c:pt>
                <c:pt idx="102">
                  <c:v>255</c:v>
                </c:pt>
                <c:pt idx="103">
                  <c:v>250</c:v>
                </c:pt>
                <c:pt idx="104">
                  <c:v>246</c:v>
                </c:pt>
                <c:pt idx="105">
                  <c:v>244</c:v>
                </c:pt>
                <c:pt idx="106">
                  <c:v>257</c:v>
                </c:pt>
                <c:pt idx="107">
                  <c:v>260</c:v>
                </c:pt>
                <c:pt idx="108">
                  <c:v>273</c:v>
                </c:pt>
                <c:pt idx="109">
                  <c:v>279</c:v>
                </c:pt>
                <c:pt idx="110">
                  <c:v>286</c:v>
                </c:pt>
                <c:pt idx="111">
                  <c:v>294</c:v>
                </c:pt>
                <c:pt idx="112">
                  <c:v>293</c:v>
                </c:pt>
                <c:pt idx="113">
                  <c:v>290</c:v>
                </c:pt>
                <c:pt idx="114">
                  <c:v>295</c:v>
                </c:pt>
                <c:pt idx="115">
                  <c:v>298</c:v>
                </c:pt>
                <c:pt idx="116">
                  <c:v>308</c:v>
                </c:pt>
                <c:pt idx="117">
                  <c:v>318</c:v>
                </c:pt>
                <c:pt idx="118">
                  <c:v>323</c:v>
                </c:pt>
                <c:pt idx="119">
                  <c:v>333</c:v>
                </c:pt>
                <c:pt idx="120">
                  <c:v>333</c:v>
                </c:pt>
                <c:pt idx="121">
                  <c:v>345</c:v>
                </c:pt>
                <c:pt idx="122">
                  <c:v>338</c:v>
                </c:pt>
                <c:pt idx="123">
                  <c:v>357</c:v>
                </c:pt>
                <c:pt idx="124">
                  <c:v>365</c:v>
                </c:pt>
                <c:pt idx="125">
                  <c:v>371</c:v>
                </c:pt>
                <c:pt idx="126">
                  <c:v>371</c:v>
                </c:pt>
                <c:pt idx="127">
                  <c:v>366</c:v>
                </c:pt>
                <c:pt idx="128">
                  <c:v>361</c:v>
                </c:pt>
                <c:pt idx="129">
                  <c:v>359</c:v>
                </c:pt>
                <c:pt idx="130">
                  <c:v>362</c:v>
                </c:pt>
                <c:pt idx="131">
                  <c:v>366</c:v>
                </c:pt>
                <c:pt idx="132">
                  <c:v>367</c:v>
                </c:pt>
                <c:pt idx="133">
                  <c:v>369</c:v>
                </c:pt>
                <c:pt idx="134">
                  <c:v>370</c:v>
                </c:pt>
                <c:pt idx="135">
                  <c:v>362</c:v>
                </c:pt>
                <c:pt idx="136">
                  <c:v>360</c:v>
                </c:pt>
                <c:pt idx="137">
                  <c:v>359</c:v>
                </c:pt>
                <c:pt idx="138">
                  <c:v>351</c:v>
                </c:pt>
                <c:pt idx="139">
                  <c:v>346</c:v>
                </c:pt>
                <c:pt idx="140">
                  <c:v>353</c:v>
                </c:pt>
                <c:pt idx="141">
                  <c:v>376</c:v>
                </c:pt>
                <c:pt idx="142">
                  <c:v>371</c:v>
                </c:pt>
                <c:pt idx="143">
                  <c:v>377</c:v>
                </c:pt>
                <c:pt idx="144">
                  <c:v>382</c:v>
                </c:pt>
                <c:pt idx="145">
                  <c:v>393</c:v>
                </c:pt>
                <c:pt idx="146">
                  <c:v>384</c:v>
                </c:pt>
                <c:pt idx="147">
                  <c:v>394</c:v>
                </c:pt>
                <c:pt idx="148">
                  <c:v>391</c:v>
                </c:pt>
                <c:pt idx="149">
                  <c:v>401</c:v>
                </c:pt>
                <c:pt idx="150">
                  <c:v>416</c:v>
                </c:pt>
                <c:pt idx="151">
                  <c:v>428</c:v>
                </c:pt>
                <c:pt idx="152">
                  <c:v>429</c:v>
                </c:pt>
                <c:pt idx="153">
                  <c:v>438</c:v>
                </c:pt>
                <c:pt idx="154">
                  <c:v>439</c:v>
                </c:pt>
                <c:pt idx="155">
                  <c:v>436</c:v>
                </c:pt>
                <c:pt idx="156">
                  <c:v>441</c:v>
                </c:pt>
                <c:pt idx="157">
                  <c:v>443</c:v>
                </c:pt>
                <c:pt idx="158">
                  <c:v>451</c:v>
                </c:pt>
                <c:pt idx="159">
                  <c:v>456</c:v>
                </c:pt>
                <c:pt idx="160">
                  <c:v>469</c:v>
                </c:pt>
                <c:pt idx="161">
                  <c:v>481</c:v>
                </c:pt>
                <c:pt idx="162">
                  <c:v>494</c:v>
                </c:pt>
                <c:pt idx="163">
                  <c:v>508</c:v>
                </c:pt>
                <c:pt idx="164">
                  <c:v>517</c:v>
                </c:pt>
                <c:pt idx="165">
                  <c:v>530</c:v>
                </c:pt>
                <c:pt idx="166">
                  <c:v>529</c:v>
                </c:pt>
                <c:pt idx="167">
                  <c:v>538</c:v>
                </c:pt>
                <c:pt idx="168">
                  <c:v>540</c:v>
                </c:pt>
                <c:pt idx="169">
                  <c:v>543</c:v>
                </c:pt>
                <c:pt idx="170">
                  <c:v>541</c:v>
                </c:pt>
                <c:pt idx="171">
                  <c:v>548</c:v>
                </c:pt>
                <c:pt idx="172">
                  <c:v>557</c:v>
                </c:pt>
                <c:pt idx="173">
                  <c:v>572</c:v>
                </c:pt>
                <c:pt idx="174">
                  <c:v>584</c:v>
                </c:pt>
                <c:pt idx="175">
                  <c:v>590</c:v>
                </c:pt>
                <c:pt idx="176">
                  <c:v>605</c:v>
                </c:pt>
                <c:pt idx="177">
                  <c:v>607</c:v>
                </c:pt>
                <c:pt idx="178">
                  <c:v>609</c:v>
                </c:pt>
                <c:pt idx="179">
                  <c:v>596</c:v>
                </c:pt>
                <c:pt idx="180">
                  <c:v>593</c:v>
                </c:pt>
              </c:numCache>
            </c:numRef>
          </c:val>
          <c:smooth val="0"/>
        </c:ser>
        <c:ser>
          <c:idx val="3"/>
          <c:order val="3"/>
          <c:tx>
            <c:strRef>
              <c:f>'Sheet1 (14)'!$E$3:$E$4</c:f>
              <c:strCache>
                <c:ptCount val="1"/>
                <c:pt idx="0">
                  <c:v>Exenatide+Sulfonylurea</c:v>
                </c:pt>
              </c:strCache>
            </c:strRef>
          </c:tx>
          <c:marker>
            <c:symbol val="none"/>
          </c:marker>
          <c:cat>
            <c:strRef>
              <c:f>'Sheet1 (14)'!$A$5:$A$186</c:f>
              <c:strCache>
                <c:ptCount val="181"/>
                <c:pt idx="0">
                  <c:v>28/07/2010</c:v>
                </c:pt>
                <c:pt idx="1">
                  <c:v>4/08/2010</c:v>
                </c:pt>
                <c:pt idx="2">
                  <c:v>11/08/2010</c:v>
                </c:pt>
                <c:pt idx="3">
                  <c:v>18/08/2010</c:v>
                </c:pt>
                <c:pt idx="4">
                  <c:v>25/08/2010</c:v>
                </c:pt>
                <c:pt idx="5">
                  <c:v>1/09/2010</c:v>
                </c:pt>
                <c:pt idx="6">
                  <c:v>8/09/2010</c:v>
                </c:pt>
                <c:pt idx="7">
                  <c:v>15/09/2010</c:v>
                </c:pt>
                <c:pt idx="8">
                  <c:v>22/09/2010</c:v>
                </c:pt>
                <c:pt idx="9">
                  <c:v>29/09/2010</c:v>
                </c:pt>
                <c:pt idx="10">
                  <c:v>6/10/2010</c:v>
                </c:pt>
                <c:pt idx="11">
                  <c:v>13/10/2010</c:v>
                </c:pt>
                <c:pt idx="12">
                  <c:v>20/10/2010</c:v>
                </c:pt>
                <c:pt idx="13">
                  <c:v>27/10/2010</c:v>
                </c:pt>
                <c:pt idx="14">
                  <c:v>3/11/2010</c:v>
                </c:pt>
                <c:pt idx="15">
                  <c:v>10/11/2010</c:v>
                </c:pt>
                <c:pt idx="16">
                  <c:v>17/11/2010</c:v>
                </c:pt>
                <c:pt idx="17">
                  <c:v>24/11/2010</c:v>
                </c:pt>
                <c:pt idx="18">
                  <c:v>1/12/2010</c:v>
                </c:pt>
                <c:pt idx="19">
                  <c:v>8/12/2010</c:v>
                </c:pt>
                <c:pt idx="20">
                  <c:v>15/12/2010</c:v>
                </c:pt>
                <c:pt idx="21">
                  <c:v>22/12/2010</c:v>
                </c:pt>
                <c:pt idx="22">
                  <c:v>29/12/2010</c:v>
                </c:pt>
                <c:pt idx="23">
                  <c:v>5/01/2011</c:v>
                </c:pt>
                <c:pt idx="24">
                  <c:v>12/01/2011</c:v>
                </c:pt>
                <c:pt idx="25">
                  <c:v>19/01/2011</c:v>
                </c:pt>
                <c:pt idx="26">
                  <c:v>26/01/2011</c:v>
                </c:pt>
                <c:pt idx="27">
                  <c:v>2/02/2011</c:v>
                </c:pt>
                <c:pt idx="28">
                  <c:v>9/02/2011</c:v>
                </c:pt>
                <c:pt idx="29">
                  <c:v>16/02/2011</c:v>
                </c:pt>
                <c:pt idx="30">
                  <c:v>23/02/2011</c:v>
                </c:pt>
                <c:pt idx="31">
                  <c:v>2/03/2011</c:v>
                </c:pt>
                <c:pt idx="32">
                  <c:v>9/03/2011</c:v>
                </c:pt>
                <c:pt idx="33">
                  <c:v>16/03/2011</c:v>
                </c:pt>
                <c:pt idx="34">
                  <c:v>23/03/2011</c:v>
                </c:pt>
                <c:pt idx="35">
                  <c:v>30/03/2011</c:v>
                </c:pt>
                <c:pt idx="36">
                  <c:v>6/04/2011</c:v>
                </c:pt>
                <c:pt idx="37">
                  <c:v>13/04/2011</c:v>
                </c:pt>
                <c:pt idx="38">
                  <c:v>20/04/2011</c:v>
                </c:pt>
                <c:pt idx="39">
                  <c:v>27/04/2011</c:v>
                </c:pt>
                <c:pt idx="40">
                  <c:v>4/05/2011</c:v>
                </c:pt>
                <c:pt idx="41">
                  <c:v>11/05/2011</c:v>
                </c:pt>
                <c:pt idx="42">
                  <c:v>18/05/2011</c:v>
                </c:pt>
                <c:pt idx="43">
                  <c:v>25/05/2011</c:v>
                </c:pt>
                <c:pt idx="44">
                  <c:v>1/06/2011</c:v>
                </c:pt>
                <c:pt idx="45">
                  <c:v>8/06/2011</c:v>
                </c:pt>
                <c:pt idx="46">
                  <c:v>15/06/2011</c:v>
                </c:pt>
                <c:pt idx="47">
                  <c:v>22/06/2011</c:v>
                </c:pt>
                <c:pt idx="48">
                  <c:v>29/06/2011</c:v>
                </c:pt>
                <c:pt idx="49">
                  <c:v>6/07/2011</c:v>
                </c:pt>
                <c:pt idx="50">
                  <c:v>13/07/2011</c:v>
                </c:pt>
                <c:pt idx="51">
                  <c:v>20/07/2011</c:v>
                </c:pt>
                <c:pt idx="52">
                  <c:v>27/07/2011</c:v>
                </c:pt>
                <c:pt idx="53">
                  <c:v>3/08/2011</c:v>
                </c:pt>
                <c:pt idx="54">
                  <c:v>10/08/2011</c:v>
                </c:pt>
                <c:pt idx="55">
                  <c:v>17/08/2011</c:v>
                </c:pt>
                <c:pt idx="56">
                  <c:v>24/08/2011</c:v>
                </c:pt>
                <c:pt idx="57">
                  <c:v>31/08/2011</c:v>
                </c:pt>
                <c:pt idx="58">
                  <c:v>7/09/2011</c:v>
                </c:pt>
                <c:pt idx="59">
                  <c:v>14/09/2011</c:v>
                </c:pt>
                <c:pt idx="60">
                  <c:v>21/09/2011</c:v>
                </c:pt>
                <c:pt idx="61">
                  <c:v>28/09/2011</c:v>
                </c:pt>
                <c:pt idx="62">
                  <c:v>5/10/2011</c:v>
                </c:pt>
                <c:pt idx="63">
                  <c:v>12/10/2011</c:v>
                </c:pt>
                <c:pt idx="64">
                  <c:v>19/10/2011</c:v>
                </c:pt>
                <c:pt idx="65">
                  <c:v>26/10/2011</c:v>
                </c:pt>
                <c:pt idx="66">
                  <c:v>2/11/2011</c:v>
                </c:pt>
                <c:pt idx="67">
                  <c:v>9/11/2011</c:v>
                </c:pt>
                <c:pt idx="68">
                  <c:v>16/11/2011</c:v>
                </c:pt>
                <c:pt idx="69">
                  <c:v>23/11/2011</c:v>
                </c:pt>
                <c:pt idx="70">
                  <c:v>30/11/2011</c:v>
                </c:pt>
                <c:pt idx="71">
                  <c:v>7/12/2011</c:v>
                </c:pt>
                <c:pt idx="72">
                  <c:v>14/12/2011</c:v>
                </c:pt>
                <c:pt idx="73">
                  <c:v>21/12/2011</c:v>
                </c:pt>
                <c:pt idx="74">
                  <c:v>28/12/2011</c:v>
                </c:pt>
                <c:pt idx="75">
                  <c:v>4/01/2012</c:v>
                </c:pt>
                <c:pt idx="76">
                  <c:v>11/01/2012</c:v>
                </c:pt>
                <c:pt idx="77">
                  <c:v>18/01/2012</c:v>
                </c:pt>
                <c:pt idx="78">
                  <c:v>25/01/2012</c:v>
                </c:pt>
                <c:pt idx="79">
                  <c:v>1/02/2012</c:v>
                </c:pt>
                <c:pt idx="80">
                  <c:v>8/02/2012</c:v>
                </c:pt>
                <c:pt idx="81">
                  <c:v>15/02/2012</c:v>
                </c:pt>
                <c:pt idx="82">
                  <c:v>22/02/2012</c:v>
                </c:pt>
                <c:pt idx="83">
                  <c:v>29/02/2012</c:v>
                </c:pt>
                <c:pt idx="84">
                  <c:v>7/03/2012</c:v>
                </c:pt>
                <c:pt idx="85">
                  <c:v>14/03/2012</c:v>
                </c:pt>
                <c:pt idx="86">
                  <c:v>21/03/2012</c:v>
                </c:pt>
                <c:pt idx="87">
                  <c:v>28/03/2012</c:v>
                </c:pt>
                <c:pt idx="88">
                  <c:v>4/04/2012</c:v>
                </c:pt>
                <c:pt idx="89">
                  <c:v>11/04/2012</c:v>
                </c:pt>
                <c:pt idx="90">
                  <c:v>18/04/2012</c:v>
                </c:pt>
                <c:pt idx="91">
                  <c:v>25/04/2012</c:v>
                </c:pt>
                <c:pt idx="92">
                  <c:v>2/05/2012</c:v>
                </c:pt>
                <c:pt idx="93">
                  <c:v>9/05/2012</c:v>
                </c:pt>
                <c:pt idx="94">
                  <c:v>16/05/2012</c:v>
                </c:pt>
                <c:pt idx="95">
                  <c:v>23/05/2012</c:v>
                </c:pt>
                <c:pt idx="96">
                  <c:v>30/05/2012</c:v>
                </c:pt>
                <c:pt idx="97">
                  <c:v>6/06/2012</c:v>
                </c:pt>
                <c:pt idx="98">
                  <c:v>13/06/2012</c:v>
                </c:pt>
                <c:pt idx="99">
                  <c:v>20/06/2012</c:v>
                </c:pt>
                <c:pt idx="100">
                  <c:v>27/06/2012</c:v>
                </c:pt>
                <c:pt idx="101">
                  <c:v>4/07/2012</c:v>
                </c:pt>
                <c:pt idx="102">
                  <c:v>11/07/2012</c:v>
                </c:pt>
                <c:pt idx="103">
                  <c:v>18/07/2012</c:v>
                </c:pt>
                <c:pt idx="104">
                  <c:v>25/07/2012</c:v>
                </c:pt>
                <c:pt idx="105">
                  <c:v>1/08/2012</c:v>
                </c:pt>
                <c:pt idx="106">
                  <c:v>8/08/2012</c:v>
                </c:pt>
                <c:pt idx="107">
                  <c:v>15/08/2012</c:v>
                </c:pt>
                <c:pt idx="108">
                  <c:v>22/08/2012</c:v>
                </c:pt>
                <c:pt idx="109">
                  <c:v>29/08/2012</c:v>
                </c:pt>
                <c:pt idx="110">
                  <c:v>5/09/2012</c:v>
                </c:pt>
                <c:pt idx="111">
                  <c:v>12/09/2012</c:v>
                </c:pt>
                <c:pt idx="112">
                  <c:v>19/09/2012</c:v>
                </c:pt>
                <c:pt idx="113">
                  <c:v>26/09/2012</c:v>
                </c:pt>
                <c:pt idx="114">
                  <c:v>3/10/2012</c:v>
                </c:pt>
                <c:pt idx="115">
                  <c:v>10/10/2012</c:v>
                </c:pt>
                <c:pt idx="116">
                  <c:v>17/10/2012</c:v>
                </c:pt>
                <c:pt idx="117">
                  <c:v>24/10/2012</c:v>
                </c:pt>
                <c:pt idx="118">
                  <c:v>31/10/2012</c:v>
                </c:pt>
                <c:pt idx="119">
                  <c:v>7/11/2012</c:v>
                </c:pt>
                <c:pt idx="120">
                  <c:v>14/11/2012</c:v>
                </c:pt>
                <c:pt idx="121">
                  <c:v>21/11/2012</c:v>
                </c:pt>
                <c:pt idx="122">
                  <c:v>28/11/2012</c:v>
                </c:pt>
                <c:pt idx="123">
                  <c:v>5/12/2012</c:v>
                </c:pt>
                <c:pt idx="124">
                  <c:v>12/12/2012</c:v>
                </c:pt>
                <c:pt idx="125">
                  <c:v>19/12/2012</c:v>
                </c:pt>
                <c:pt idx="126">
                  <c:v>26/12/2012</c:v>
                </c:pt>
                <c:pt idx="127">
                  <c:v>2/01/2013</c:v>
                </c:pt>
                <c:pt idx="128">
                  <c:v>9/01/2013</c:v>
                </c:pt>
                <c:pt idx="129">
                  <c:v>16/01/2013</c:v>
                </c:pt>
                <c:pt idx="130">
                  <c:v>23/01/2013</c:v>
                </c:pt>
                <c:pt idx="131">
                  <c:v>30/01/2013</c:v>
                </c:pt>
                <c:pt idx="132">
                  <c:v>6/02/2013</c:v>
                </c:pt>
                <c:pt idx="133">
                  <c:v>13/02/2013</c:v>
                </c:pt>
                <c:pt idx="134">
                  <c:v>20/02/2013</c:v>
                </c:pt>
                <c:pt idx="135">
                  <c:v>27/02/2013</c:v>
                </c:pt>
                <c:pt idx="136">
                  <c:v>6/03/2013</c:v>
                </c:pt>
                <c:pt idx="137">
                  <c:v>13/03/2013</c:v>
                </c:pt>
                <c:pt idx="138">
                  <c:v>20/03/2013</c:v>
                </c:pt>
                <c:pt idx="139">
                  <c:v>27/03/2013</c:v>
                </c:pt>
                <c:pt idx="140">
                  <c:v>3/04/2013</c:v>
                </c:pt>
                <c:pt idx="141">
                  <c:v>10/04/2013</c:v>
                </c:pt>
                <c:pt idx="142">
                  <c:v>17/04/2013</c:v>
                </c:pt>
                <c:pt idx="143">
                  <c:v>24/04/2013</c:v>
                </c:pt>
                <c:pt idx="144">
                  <c:v>1/05/2013</c:v>
                </c:pt>
                <c:pt idx="145">
                  <c:v>8/05/2013</c:v>
                </c:pt>
                <c:pt idx="146">
                  <c:v>15/05/2013</c:v>
                </c:pt>
                <c:pt idx="147">
                  <c:v>22/05/2013</c:v>
                </c:pt>
                <c:pt idx="148">
                  <c:v>29/05/2013</c:v>
                </c:pt>
                <c:pt idx="149">
                  <c:v>5/06/2013</c:v>
                </c:pt>
                <c:pt idx="150">
                  <c:v>12/06/2013</c:v>
                </c:pt>
                <c:pt idx="151">
                  <c:v>19/06/2013</c:v>
                </c:pt>
                <c:pt idx="152">
                  <c:v>26/06/2013</c:v>
                </c:pt>
                <c:pt idx="153">
                  <c:v>3/07/2013</c:v>
                </c:pt>
                <c:pt idx="154">
                  <c:v>10/07/2013</c:v>
                </c:pt>
                <c:pt idx="155">
                  <c:v>17/07/2013</c:v>
                </c:pt>
                <c:pt idx="156">
                  <c:v>24/07/2013</c:v>
                </c:pt>
                <c:pt idx="157">
                  <c:v>31/07/2013</c:v>
                </c:pt>
                <c:pt idx="158">
                  <c:v>7/08/2013</c:v>
                </c:pt>
                <c:pt idx="159">
                  <c:v>14/08/2013</c:v>
                </c:pt>
                <c:pt idx="160">
                  <c:v>21/08/2013</c:v>
                </c:pt>
                <c:pt idx="161">
                  <c:v>28/08/2013</c:v>
                </c:pt>
                <c:pt idx="162">
                  <c:v>4/09/2013</c:v>
                </c:pt>
                <c:pt idx="163">
                  <c:v>11/09/2013</c:v>
                </c:pt>
                <c:pt idx="164">
                  <c:v>18/09/2013</c:v>
                </c:pt>
                <c:pt idx="165">
                  <c:v>25/09/2013</c:v>
                </c:pt>
                <c:pt idx="166">
                  <c:v>2/10/2013</c:v>
                </c:pt>
                <c:pt idx="167">
                  <c:v>9/10/2013</c:v>
                </c:pt>
                <c:pt idx="168">
                  <c:v>16/10/2013</c:v>
                </c:pt>
                <c:pt idx="169">
                  <c:v>23/10/2013</c:v>
                </c:pt>
                <c:pt idx="170">
                  <c:v>30/10/2013</c:v>
                </c:pt>
                <c:pt idx="171">
                  <c:v>6/11/2013</c:v>
                </c:pt>
                <c:pt idx="172">
                  <c:v>13/11/2013</c:v>
                </c:pt>
                <c:pt idx="173">
                  <c:v>20/11/2013</c:v>
                </c:pt>
                <c:pt idx="174">
                  <c:v>27/11/2013</c:v>
                </c:pt>
                <c:pt idx="175">
                  <c:v>4/12/2013</c:v>
                </c:pt>
                <c:pt idx="176">
                  <c:v>11/12/2013</c:v>
                </c:pt>
                <c:pt idx="177">
                  <c:v>18/12/2013</c:v>
                </c:pt>
                <c:pt idx="178">
                  <c:v>25/12/2013</c:v>
                </c:pt>
                <c:pt idx="179">
                  <c:v>1/01/2014</c:v>
                </c:pt>
                <c:pt idx="180">
                  <c:v>8/01/2014</c:v>
                </c:pt>
              </c:strCache>
            </c:strRef>
          </c:cat>
          <c:val>
            <c:numRef>
              <c:f>'Sheet1 (14)'!$E$5:$E$186</c:f>
              <c:numCache>
                <c:formatCode>General</c:formatCode>
                <c:ptCount val="181"/>
                <c:pt idx="0">
                  <c:v>5</c:v>
                </c:pt>
                <c:pt idx="1">
                  <c:v>10</c:v>
                </c:pt>
                <c:pt idx="2">
                  <c:v>14</c:v>
                </c:pt>
                <c:pt idx="3">
                  <c:v>20</c:v>
                </c:pt>
                <c:pt idx="4">
                  <c:v>23</c:v>
                </c:pt>
                <c:pt idx="5">
                  <c:v>26</c:v>
                </c:pt>
                <c:pt idx="6">
                  <c:v>33</c:v>
                </c:pt>
                <c:pt idx="7">
                  <c:v>37</c:v>
                </c:pt>
                <c:pt idx="8">
                  <c:v>39</c:v>
                </c:pt>
                <c:pt idx="9">
                  <c:v>43</c:v>
                </c:pt>
                <c:pt idx="10">
                  <c:v>44</c:v>
                </c:pt>
                <c:pt idx="11">
                  <c:v>44</c:v>
                </c:pt>
                <c:pt idx="12">
                  <c:v>47</c:v>
                </c:pt>
                <c:pt idx="13">
                  <c:v>52</c:v>
                </c:pt>
                <c:pt idx="14">
                  <c:v>56</c:v>
                </c:pt>
                <c:pt idx="15">
                  <c:v>55</c:v>
                </c:pt>
                <c:pt idx="16">
                  <c:v>64</c:v>
                </c:pt>
                <c:pt idx="17">
                  <c:v>67</c:v>
                </c:pt>
                <c:pt idx="18">
                  <c:v>73</c:v>
                </c:pt>
                <c:pt idx="19">
                  <c:v>78</c:v>
                </c:pt>
                <c:pt idx="20">
                  <c:v>79</c:v>
                </c:pt>
                <c:pt idx="21">
                  <c:v>83</c:v>
                </c:pt>
                <c:pt idx="22">
                  <c:v>86</c:v>
                </c:pt>
                <c:pt idx="23">
                  <c:v>86</c:v>
                </c:pt>
                <c:pt idx="24">
                  <c:v>89</c:v>
                </c:pt>
                <c:pt idx="25">
                  <c:v>92</c:v>
                </c:pt>
                <c:pt idx="26">
                  <c:v>99</c:v>
                </c:pt>
                <c:pt idx="27">
                  <c:v>104</c:v>
                </c:pt>
                <c:pt idx="28">
                  <c:v>108</c:v>
                </c:pt>
                <c:pt idx="29">
                  <c:v>112</c:v>
                </c:pt>
                <c:pt idx="30">
                  <c:v>120</c:v>
                </c:pt>
                <c:pt idx="31">
                  <c:v>124</c:v>
                </c:pt>
                <c:pt idx="32">
                  <c:v>126</c:v>
                </c:pt>
                <c:pt idx="33">
                  <c:v>133</c:v>
                </c:pt>
                <c:pt idx="34">
                  <c:v>139</c:v>
                </c:pt>
                <c:pt idx="35">
                  <c:v>139</c:v>
                </c:pt>
                <c:pt idx="36">
                  <c:v>136</c:v>
                </c:pt>
                <c:pt idx="37">
                  <c:v>143</c:v>
                </c:pt>
                <c:pt idx="38">
                  <c:v>137</c:v>
                </c:pt>
                <c:pt idx="39">
                  <c:v>134</c:v>
                </c:pt>
                <c:pt idx="40">
                  <c:v>126</c:v>
                </c:pt>
                <c:pt idx="41">
                  <c:v>134</c:v>
                </c:pt>
                <c:pt idx="42">
                  <c:v>139</c:v>
                </c:pt>
                <c:pt idx="43">
                  <c:v>140</c:v>
                </c:pt>
                <c:pt idx="44">
                  <c:v>141</c:v>
                </c:pt>
                <c:pt idx="45">
                  <c:v>136</c:v>
                </c:pt>
                <c:pt idx="46">
                  <c:v>139</c:v>
                </c:pt>
                <c:pt idx="47">
                  <c:v>143</c:v>
                </c:pt>
                <c:pt idx="48">
                  <c:v>140</c:v>
                </c:pt>
                <c:pt idx="49">
                  <c:v>147</c:v>
                </c:pt>
                <c:pt idx="50">
                  <c:v>155</c:v>
                </c:pt>
                <c:pt idx="51">
                  <c:v>154</c:v>
                </c:pt>
                <c:pt idx="52">
                  <c:v>158</c:v>
                </c:pt>
                <c:pt idx="53">
                  <c:v>162</c:v>
                </c:pt>
                <c:pt idx="54">
                  <c:v>160</c:v>
                </c:pt>
                <c:pt idx="55">
                  <c:v>158</c:v>
                </c:pt>
                <c:pt idx="56">
                  <c:v>150</c:v>
                </c:pt>
                <c:pt idx="57">
                  <c:v>154</c:v>
                </c:pt>
                <c:pt idx="58">
                  <c:v>147</c:v>
                </c:pt>
                <c:pt idx="59">
                  <c:v>146</c:v>
                </c:pt>
                <c:pt idx="60">
                  <c:v>146</c:v>
                </c:pt>
                <c:pt idx="61">
                  <c:v>145</c:v>
                </c:pt>
                <c:pt idx="62">
                  <c:v>145</c:v>
                </c:pt>
                <c:pt idx="63">
                  <c:v>150</c:v>
                </c:pt>
                <c:pt idx="64">
                  <c:v>151</c:v>
                </c:pt>
                <c:pt idx="65">
                  <c:v>161</c:v>
                </c:pt>
                <c:pt idx="66">
                  <c:v>156</c:v>
                </c:pt>
                <c:pt idx="67">
                  <c:v>169</c:v>
                </c:pt>
                <c:pt idx="68">
                  <c:v>167</c:v>
                </c:pt>
                <c:pt idx="69">
                  <c:v>170</c:v>
                </c:pt>
                <c:pt idx="70">
                  <c:v>171</c:v>
                </c:pt>
                <c:pt idx="71">
                  <c:v>172</c:v>
                </c:pt>
                <c:pt idx="72">
                  <c:v>178</c:v>
                </c:pt>
                <c:pt idx="73">
                  <c:v>185</c:v>
                </c:pt>
                <c:pt idx="74">
                  <c:v>185</c:v>
                </c:pt>
                <c:pt idx="75">
                  <c:v>191</c:v>
                </c:pt>
                <c:pt idx="76">
                  <c:v>202</c:v>
                </c:pt>
                <c:pt idx="77">
                  <c:v>213</c:v>
                </c:pt>
                <c:pt idx="78">
                  <c:v>225</c:v>
                </c:pt>
                <c:pt idx="79">
                  <c:v>231</c:v>
                </c:pt>
                <c:pt idx="80">
                  <c:v>234</c:v>
                </c:pt>
                <c:pt idx="81">
                  <c:v>236</c:v>
                </c:pt>
                <c:pt idx="82">
                  <c:v>234</c:v>
                </c:pt>
                <c:pt idx="83">
                  <c:v>237</c:v>
                </c:pt>
                <c:pt idx="84">
                  <c:v>243</c:v>
                </c:pt>
                <c:pt idx="85">
                  <c:v>249</c:v>
                </c:pt>
                <c:pt idx="86">
                  <c:v>261</c:v>
                </c:pt>
                <c:pt idx="87">
                  <c:v>264</c:v>
                </c:pt>
                <c:pt idx="88">
                  <c:v>263</c:v>
                </c:pt>
                <c:pt idx="89">
                  <c:v>265</c:v>
                </c:pt>
                <c:pt idx="90">
                  <c:v>272</c:v>
                </c:pt>
                <c:pt idx="91">
                  <c:v>274</c:v>
                </c:pt>
                <c:pt idx="92">
                  <c:v>272</c:v>
                </c:pt>
                <c:pt idx="93">
                  <c:v>279</c:v>
                </c:pt>
                <c:pt idx="94">
                  <c:v>266</c:v>
                </c:pt>
                <c:pt idx="95">
                  <c:v>261</c:v>
                </c:pt>
                <c:pt idx="96">
                  <c:v>254</c:v>
                </c:pt>
                <c:pt idx="97">
                  <c:v>248</c:v>
                </c:pt>
                <c:pt idx="98">
                  <c:v>245</c:v>
                </c:pt>
                <c:pt idx="99">
                  <c:v>243</c:v>
                </c:pt>
                <c:pt idx="100">
                  <c:v>241</c:v>
                </c:pt>
                <c:pt idx="101">
                  <c:v>252</c:v>
                </c:pt>
                <c:pt idx="102">
                  <c:v>251</c:v>
                </c:pt>
                <c:pt idx="103">
                  <c:v>253</c:v>
                </c:pt>
                <c:pt idx="104">
                  <c:v>255</c:v>
                </c:pt>
                <c:pt idx="105">
                  <c:v>254</c:v>
                </c:pt>
                <c:pt idx="106">
                  <c:v>261</c:v>
                </c:pt>
                <c:pt idx="107">
                  <c:v>264</c:v>
                </c:pt>
                <c:pt idx="108">
                  <c:v>269</c:v>
                </c:pt>
                <c:pt idx="109">
                  <c:v>270</c:v>
                </c:pt>
                <c:pt idx="110">
                  <c:v>272</c:v>
                </c:pt>
                <c:pt idx="111">
                  <c:v>269</c:v>
                </c:pt>
                <c:pt idx="112">
                  <c:v>259</c:v>
                </c:pt>
                <c:pt idx="113">
                  <c:v>261</c:v>
                </c:pt>
                <c:pt idx="114">
                  <c:v>265</c:v>
                </c:pt>
                <c:pt idx="115">
                  <c:v>275</c:v>
                </c:pt>
                <c:pt idx="116">
                  <c:v>284</c:v>
                </c:pt>
                <c:pt idx="117">
                  <c:v>281</c:v>
                </c:pt>
                <c:pt idx="118">
                  <c:v>286</c:v>
                </c:pt>
                <c:pt idx="119">
                  <c:v>280</c:v>
                </c:pt>
                <c:pt idx="120">
                  <c:v>277</c:v>
                </c:pt>
                <c:pt idx="121">
                  <c:v>281</c:v>
                </c:pt>
                <c:pt idx="122">
                  <c:v>290</c:v>
                </c:pt>
                <c:pt idx="123">
                  <c:v>284</c:v>
                </c:pt>
                <c:pt idx="124">
                  <c:v>284</c:v>
                </c:pt>
                <c:pt idx="125">
                  <c:v>274</c:v>
                </c:pt>
                <c:pt idx="126">
                  <c:v>267</c:v>
                </c:pt>
                <c:pt idx="127">
                  <c:v>270</c:v>
                </c:pt>
                <c:pt idx="128">
                  <c:v>278</c:v>
                </c:pt>
                <c:pt idx="129">
                  <c:v>278</c:v>
                </c:pt>
                <c:pt idx="130">
                  <c:v>285</c:v>
                </c:pt>
                <c:pt idx="131">
                  <c:v>292</c:v>
                </c:pt>
                <c:pt idx="132">
                  <c:v>297</c:v>
                </c:pt>
                <c:pt idx="133">
                  <c:v>304</c:v>
                </c:pt>
                <c:pt idx="134">
                  <c:v>318</c:v>
                </c:pt>
                <c:pt idx="135">
                  <c:v>325</c:v>
                </c:pt>
                <c:pt idx="136">
                  <c:v>334</c:v>
                </c:pt>
                <c:pt idx="137">
                  <c:v>348</c:v>
                </c:pt>
                <c:pt idx="138">
                  <c:v>357</c:v>
                </c:pt>
                <c:pt idx="139">
                  <c:v>354</c:v>
                </c:pt>
                <c:pt idx="140">
                  <c:v>352</c:v>
                </c:pt>
                <c:pt idx="141">
                  <c:v>361</c:v>
                </c:pt>
                <c:pt idx="142">
                  <c:v>366</c:v>
                </c:pt>
                <c:pt idx="143">
                  <c:v>360</c:v>
                </c:pt>
                <c:pt idx="144">
                  <c:v>360</c:v>
                </c:pt>
                <c:pt idx="145">
                  <c:v>359</c:v>
                </c:pt>
                <c:pt idx="146">
                  <c:v>354</c:v>
                </c:pt>
                <c:pt idx="147">
                  <c:v>345</c:v>
                </c:pt>
                <c:pt idx="148">
                  <c:v>341</c:v>
                </c:pt>
                <c:pt idx="149">
                  <c:v>338</c:v>
                </c:pt>
                <c:pt idx="150">
                  <c:v>345</c:v>
                </c:pt>
                <c:pt idx="151">
                  <c:v>350</c:v>
                </c:pt>
                <c:pt idx="152">
                  <c:v>344</c:v>
                </c:pt>
                <c:pt idx="153">
                  <c:v>347</c:v>
                </c:pt>
                <c:pt idx="154">
                  <c:v>355</c:v>
                </c:pt>
                <c:pt idx="155">
                  <c:v>347</c:v>
                </c:pt>
                <c:pt idx="156">
                  <c:v>349</c:v>
                </c:pt>
                <c:pt idx="157">
                  <c:v>353</c:v>
                </c:pt>
                <c:pt idx="158">
                  <c:v>351</c:v>
                </c:pt>
                <c:pt idx="159">
                  <c:v>354</c:v>
                </c:pt>
                <c:pt idx="160">
                  <c:v>351</c:v>
                </c:pt>
                <c:pt idx="161">
                  <c:v>347</c:v>
                </c:pt>
                <c:pt idx="162">
                  <c:v>349</c:v>
                </c:pt>
                <c:pt idx="163">
                  <c:v>352</c:v>
                </c:pt>
                <c:pt idx="164">
                  <c:v>363</c:v>
                </c:pt>
                <c:pt idx="165">
                  <c:v>368</c:v>
                </c:pt>
                <c:pt idx="166">
                  <c:v>359</c:v>
                </c:pt>
                <c:pt idx="167">
                  <c:v>356</c:v>
                </c:pt>
                <c:pt idx="168">
                  <c:v>354</c:v>
                </c:pt>
                <c:pt idx="169">
                  <c:v>357</c:v>
                </c:pt>
                <c:pt idx="170">
                  <c:v>363</c:v>
                </c:pt>
                <c:pt idx="171">
                  <c:v>362</c:v>
                </c:pt>
                <c:pt idx="172">
                  <c:v>358</c:v>
                </c:pt>
                <c:pt idx="173">
                  <c:v>358</c:v>
                </c:pt>
                <c:pt idx="174">
                  <c:v>359</c:v>
                </c:pt>
                <c:pt idx="175">
                  <c:v>358</c:v>
                </c:pt>
                <c:pt idx="176">
                  <c:v>366</c:v>
                </c:pt>
                <c:pt idx="177">
                  <c:v>375</c:v>
                </c:pt>
                <c:pt idx="178">
                  <c:v>374</c:v>
                </c:pt>
                <c:pt idx="179">
                  <c:v>374</c:v>
                </c:pt>
                <c:pt idx="180">
                  <c:v>371</c:v>
                </c:pt>
              </c:numCache>
            </c:numRef>
          </c:val>
          <c:smooth val="0"/>
        </c:ser>
        <c:ser>
          <c:idx val="4"/>
          <c:order val="4"/>
          <c:tx>
            <c:strRef>
              <c:f>'Sheet1 (14)'!$F$3:$F$4</c:f>
              <c:strCache>
                <c:ptCount val="1"/>
                <c:pt idx="0">
                  <c:v>Exenatide</c:v>
                </c:pt>
              </c:strCache>
            </c:strRef>
          </c:tx>
          <c:marker>
            <c:symbol val="none"/>
          </c:marker>
          <c:cat>
            <c:strRef>
              <c:f>'Sheet1 (14)'!$A$5:$A$186</c:f>
              <c:strCache>
                <c:ptCount val="181"/>
                <c:pt idx="0">
                  <c:v>28/07/2010</c:v>
                </c:pt>
                <c:pt idx="1">
                  <c:v>4/08/2010</c:v>
                </c:pt>
                <c:pt idx="2">
                  <c:v>11/08/2010</c:v>
                </c:pt>
                <c:pt idx="3">
                  <c:v>18/08/2010</c:v>
                </c:pt>
                <c:pt idx="4">
                  <c:v>25/08/2010</c:v>
                </c:pt>
                <c:pt idx="5">
                  <c:v>1/09/2010</c:v>
                </c:pt>
                <c:pt idx="6">
                  <c:v>8/09/2010</c:v>
                </c:pt>
                <c:pt idx="7">
                  <c:v>15/09/2010</c:v>
                </c:pt>
                <c:pt idx="8">
                  <c:v>22/09/2010</c:v>
                </c:pt>
                <c:pt idx="9">
                  <c:v>29/09/2010</c:v>
                </c:pt>
                <c:pt idx="10">
                  <c:v>6/10/2010</c:v>
                </c:pt>
                <c:pt idx="11">
                  <c:v>13/10/2010</c:v>
                </c:pt>
                <c:pt idx="12">
                  <c:v>20/10/2010</c:v>
                </c:pt>
                <c:pt idx="13">
                  <c:v>27/10/2010</c:v>
                </c:pt>
                <c:pt idx="14">
                  <c:v>3/11/2010</c:v>
                </c:pt>
                <c:pt idx="15">
                  <c:v>10/11/2010</c:v>
                </c:pt>
                <c:pt idx="16">
                  <c:v>17/11/2010</c:v>
                </c:pt>
                <c:pt idx="17">
                  <c:v>24/11/2010</c:v>
                </c:pt>
                <c:pt idx="18">
                  <c:v>1/12/2010</c:v>
                </c:pt>
                <c:pt idx="19">
                  <c:v>8/12/2010</c:v>
                </c:pt>
                <c:pt idx="20">
                  <c:v>15/12/2010</c:v>
                </c:pt>
                <c:pt idx="21">
                  <c:v>22/12/2010</c:v>
                </c:pt>
                <c:pt idx="22">
                  <c:v>29/12/2010</c:v>
                </c:pt>
                <c:pt idx="23">
                  <c:v>5/01/2011</c:v>
                </c:pt>
                <c:pt idx="24">
                  <c:v>12/01/2011</c:v>
                </c:pt>
                <c:pt idx="25">
                  <c:v>19/01/2011</c:v>
                </c:pt>
                <c:pt idx="26">
                  <c:v>26/01/2011</c:v>
                </c:pt>
                <c:pt idx="27">
                  <c:v>2/02/2011</c:v>
                </c:pt>
                <c:pt idx="28">
                  <c:v>9/02/2011</c:v>
                </c:pt>
                <c:pt idx="29">
                  <c:v>16/02/2011</c:v>
                </c:pt>
                <c:pt idx="30">
                  <c:v>23/02/2011</c:v>
                </c:pt>
                <c:pt idx="31">
                  <c:v>2/03/2011</c:v>
                </c:pt>
                <c:pt idx="32">
                  <c:v>9/03/2011</c:v>
                </c:pt>
                <c:pt idx="33">
                  <c:v>16/03/2011</c:v>
                </c:pt>
                <c:pt idx="34">
                  <c:v>23/03/2011</c:v>
                </c:pt>
                <c:pt idx="35">
                  <c:v>30/03/2011</c:v>
                </c:pt>
                <c:pt idx="36">
                  <c:v>6/04/2011</c:v>
                </c:pt>
                <c:pt idx="37">
                  <c:v>13/04/2011</c:v>
                </c:pt>
                <c:pt idx="38">
                  <c:v>20/04/2011</c:v>
                </c:pt>
                <c:pt idx="39">
                  <c:v>27/04/2011</c:v>
                </c:pt>
                <c:pt idx="40">
                  <c:v>4/05/2011</c:v>
                </c:pt>
                <c:pt idx="41">
                  <c:v>11/05/2011</c:v>
                </c:pt>
                <c:pt idx="42">
                  <c:v>18/05/2011</c:v>
                </c:pt>
                <c:pt idx="43">
                  <c:v>25/05/2011</c:v>
                </c:pt>
                <c:pt idx="44">
                  <c:v>1/06/2011</c:v>
                </c:pt>
                <c:pt idx="45">
                  <c:v>8/06/2011</c:v>
                </c:pt>
                <c:pt idx="46">
                  <c:v>15/06/2011</c:v>
                </c:pt>
                <c:pt idx="47">
                  <c:v>22/06/2011</c:v>
                </c:pt>
                <c:pt idx="48">
                  <c:v>29/06/2011</c:v>
                </c:pt>
                <c:pt idx="49">
                  <c:v>6/07/2011</c:v>
                </c:pt>
                <c:pt idx="50">
                  <c:v>13/07/2011</c:v>
                </c:pt>
                <c:pt idx="51">
                  <c:v>20/07/2011</c:v>
                </c:pt>
                <c:pt idx="52">
                  <c:v>27/07/2011</c:v>
                </c:pt>
                <c:pt idx="53">
                  <c:v>3/08/2011</c:v>
                </c:pt>
                <c:pt idx="54">
                  <c:v>10/08/2011</c:v>
                </c:pt>
                <c:pt idx="55">
                  <c:v>17/08/2011</c:v>
                </c:pt>
                <c:pt idx="56">
                  <c:v>24/08/2011</c:v>
                </c:pt>
                <c:pt idx="57">
                  <c:v>31/08/2011</c:v>
                </c:pt>
                <c:pt idx="58">
                  <c:v>7/09/2011</c:v>
                </c:pt>
                <c:pt idx="59">
                  <c:v>14/09/2011</c:v>
                </c:pt>
                <c:pt idx="60">
                  <c:v>21/09/2011</c:v>
                </c:pt>
                <c:pt idx="61">
                  <c:v>28/09/2011</c:v>
                </c:pt>
                <c:pt idx="62">
                  <c:v>5/10/2011</c:v>
                </c:pt>
                <c:pt idx="63">
                  <c:v>12/10/2011</c:v>
                </c:pt>
                <c:pt idx="64">
                  <c:v>19/10/2011</c:v>
                </c:pt>
                <c:pt idx="65">
                  <c:v>26/10/2011</c:v>
                </c:pt>
                <c:pt idx="66">
                  <c:v>2/11/2011</c:v>
                </c:pt>
                <c:pt idx="67">
                  <c:v>9/11/2011</c:v>
                </c:pt>
                <c:pt idx="68">
                  <c:v>16/11/2011</c:v>
                </c:pt>
                <c:pt idx="69">
                  <c:v>23/11/2011</c:v>
                </c:pt>
                <c:pt idx="70">
                  <c:v>30/11/2011</c:v>
                </c:pt>
                <c:pt idx="71">
                  <c:v>7/12/2011</c:v>
                </c:pt>
                <c:pt idx="72">
                  <c:v>14/12/2011</c:v>
                </c:pt>
                <c:pt idx="73">
                  <c:v>21/12/2011</c:v>
                </c:pt>
                <c:pt idx="74">
                  <c:v>28/12/2011</c:v>
                </c:pt>
                <c:pt idx="75">
                  <c:v>4/01/2012</c:v>
                </c:pt>
                <c:pt idx="76">
                  <c:v>11/01/2012</c:v>
                </c:pt>
                <c:pt idx="77">
                  <c:v>18/01/2012</c:v>
                </c:pt>
                <c:pt idx="78">
                  <c:v>25/01/2012</c:v>
                </c:pt>
                <c:pt idx="79">
                  <c:v>1/02/2012</c:v>
                </c:pt>
                <c:pt idx="80">
                  <c:v>8/02/2012</c:v>
                </c:pt>
                <c:pt idx="81">
                  <c:v>15/02/2012</c:v>
                </c:pt>
                <c:pt idx="82">
                  <c:v>22/02/2012</c:v>
                </c:pt>
                <c:pt idx="83">
                  <c:v>29/02/2012</c:v>
                </c:pt>
                <c:pt idx="84">
                  <c:v>7/03/2012</c:v>
                </c:pt>
                <c:pt idx="85">
                  <c:v>14/03/2012</c:v>
                </c:pt>
                <c:pt idx="86">
                  <c:v>21/03/2012</c:v>
                </c:pt>
                <c:pt idx="87">
                  <c:v>28/03/2012</c:v>
                </c:pt>
                <c:pt idx="88">
                  <c:v>4/04/2012</c:v>
                </c:pt>
                <c:pt idx="89">
                  <c:v>11/04/2012</c:v>
                </c:pt>
                <c:pt idx="90">
                  <c:v>18/04/2012</c:v>
                </c:pt>
                <c:pt idx="91">
                  <c:v>25/04/2012</c:v>
                </c:pt>
                <c:pt idx="92">
                  <c:v>2/05/2012</c:v>
                </c:pt>
                <c:pt idx="93">
                  <c:v>9/05/2012</c:v>
                </c:pt>
                <c:pt idx="94">
                  <c:v>16/05/2012</c:v>
                </c:pt>
                <c:pt idx="95">
                  <c:v>23/05/2012</c:v>
                </c:pt>
                <c:pt idx="96">
                  <c:v>30/05/2012</c:v>
                </c:pt>
                <c:pt idx="97">
                  <c:v>6/06/2012</c:v>
                </c:pt>
                <c:pt idx="98">
                  <c:v>13/06/2012</c:v>
                </c:pt>
                <c:pt idx="99">
                  <c:v>20/06/2012</c:v>
                </c:pt>
                <c:pt idx="100">
                  <c:v>27/06/2012</c:v>
                </c:pt>
                <c:pt idx="101">
                  <c:v>4/07/2012</c:v>
                </c:pt>
                <c:pt idx="102">
                  <c:v>11/07/2012</c:v>
                </c:pt>
                <c:pt idx="103">
                  <c:v>18/07/2012</c:v>
                </c:pt>
                <c:pt idx="104">
                  <c:v>25/07/2012</c:v>
                </c:pt>
                <c:pt idx="105">
                  <c:v>1/08/2012</c:v>
                </c:pt>
                <c:pt idx="106">
                  <c:v>8/08/2012</c:v>
                </c:pt>
                <c:pt idx="107">
                  <c:v>15/08/2012</c:v>
                </c:pt>
                <c:pt idx="108">
                  <c:v>22/08/2012</c:v>
                </c:pt>
                <c:pt idx="109">
                  <c:v>29/08/2012</c:v>
                </c:pt>
                <c:pt idx="110">
                  <c:v>5/09/2012</c:v>
                </c:pt>
                <c:pt idx="111">
                  <c:v>12/09/2012</c:v>
                </c:pt>
                <c:pt idx="112">
                  <c:v>19/09/2012</c:v>
                </c:pt>
                <c:pt idx="113">
                  <c:v>26/09/2012</c:v>
                </c:pt>
                <c:pt idx="114">
                  <c:v>3/10/2012</c:v>
                </c:pt>
                <c:pt idx="115">
                  <c:v>10/10/2012</c:v>
                </c:pt>
                <c:pt idx="116">
                  <c:v>17/10/2012</c:v>
                </c:pt>
                <c:pt idx="117">
                  <c:v>24/10/2012</c:v>
                </c:pt>
                <c:pt idx="118">
                  <c:v>31/10/2012</c:v>
                </c:pt>
                <c:pt idx="119">
                  <c:v>7/11/2012</c:v>
                </c:pt>
                <c:pt idx="120">
                  <c:v>14/11/2012</c:v>
                </c:pt>
                <c:pt idx="121">
                  <c:v>21/11/2012</c:v>
                </c:pt>
                <c:pt idx="122">
                  <c:v>28/11/2012</c:v>
                </c:pt>
                <c:pt idx="123">
                  <c:v>5/12/2012</c:v>
                </c:pt>
                <c:pt idx="124">
                  <c:v>12/12/2012</c:v>
                </c:pt>
                <c:pt idx="125">
                  <c:v>19/12/2012</c:v>
                </c:pt>
                <c:pt idx="126">
                  <c:v>26/12/2012</c:v>
                </c:pt>
                <c:pt idx="127">
                  <c:v>2/01/2013</c:v>
                </c:pt>
                <c:pt idx="128">
                  <c:v>9/01/2013</c:v>
                </c:pt>
                <c:pt idx="129">
                  <c:v>16/01/2013</c:v>
                </c:pt>
                <c:pt idx="130">
                  <c:v>23/01/2013</c:v>
                </c:pt>
                <c:pt idx="131">
                  <c:v>30/01/2013</c:v>
                </c:pt>
                <c:pt idx="132">
                  <c:v>6/02/2013</c:v>
                </c:pt>
                <c:pt idx="133">
                  <c:v>13/02/2013</c:v>
                </c:pt>
                <c:pt idx="134">
                  <c:v>20/02/2013</c:v>
                </c:pt>
                <c:pt idx="135">
                  <c:v>27/02/2013</c:v>
                </c:pt>
                <c:pt idx="136">
                  <c:v>6/03/2013</c:v>
                </c:pt>
                <c:pt idx="137">
                  <c:v>13/03/2013</c:v>
                </c:pt>
                <c:pt idx="138">
                  <c:v>20/03/2013</c:v>
                </c:pt>
                <c:pt idx="139">
                  <c:v>27/03/2013</c:v>
                </c:pt>
                <c:pt idx="140">
                  <c:v>3/04/2013</c:v>
                </c:pt>
                <c:pt idx="141">
                  <c:v>10/04/2013</c:v>
                </c:pt>
                <c:pt idx="142">
                  <c:v>17/04/2013</c:v>
                </c:pt>
                <c:pt idx="143">
                  <c:v>24/04/2013</c:v>
                </c:pt>
                <c:pt idx="144">
                  <c:v>1/05/2013</c:v>
                </c:pt>
                <c:pt idx="145">
                  <c:v>8/05/2013</c:v>
                </c:pt>
                <c:pt idx="146">
                  <c:v>15/05/2013</c:v>
                </c:pt>
                <c:pt idx="147">
                  <c:v>22/05/2013</c:v>
                </c:pt>
                <c:pt idx="148">
                  <c:v>29/05/2013</c:v>
                </c:pt>
                <c:pt idx="149">
                  <c:v>5/06/2013</c:v>
                </c:pt>
                <c:pt idx="150">
                  <c:v>12/06/2013</c:v>
                </c:pt>
                <c:pt idx="151">
                  <c:v>19/06/2013</c:v>
                </c:pt>
                <c:pt idx="152">
                  <c:v>26/06/2013</c:v>
                </c:pt>
                <c:pt idx="153">
                  <c:v>3/07/2013</c:v>
                </c:pt>
                <c:pt idx="154">
                  <c:v>10/07/2013</c:v>
                </c:pt>
                <c:pt idx="155">
                  <c:v>17/07/2013</c:v>
                </c:pt>
                <c:pt idx="156">
                  <c:v>24/07/2013</c:v>
                </c:pt>
                <c:pt idx="157">
                  <c:v>31/07/2013</c:v>
                </c:pt>
                <c:pt idx="158">
                  <c:v>7/08/2013</c:v>
                </c:pt>
                <c:pt idx="159">
                  <c:v>14/08/2013</c:v>
                </c:pt>
                <c:pt idx="160">
                  <c:v>21/08/2013</c:v>
                </c:pt>
                <c:pt idx="161">
                  <c:v>28/08/2013</c:v>
                </c:pt>
                <c:pt idx="162">
                  <c:v>4/09/2013</c:v>
                </c:pt>
                <c:pt idx="163">
                  <c:v>11/09/2013</c:v>
                </c:pt>
                <c:pt idx="164">
                  <c:v>18/09/2013</c:v>
                </c:pt>
                <c:pt idx="165">
                  <c:v>25/09/2013</c:v>
                </c:pt>
                <c:pt idx="166">
                  <c:v>2/10/2013</c:v>
                </c:pt>
                <c:pt idx="167">
                  <c:v>9/10/2013</c:v>
                </c:pt>
                <c:pt idx="168">
                  <c:v>16/10/2013</c:v>
                </c:pt>
                <c:pt idx="169">
                  <c:v>23/10/2013</c:v>
                </c:pt>
                <c:pt idx="170">
                  <c:v>30/10/2013</c:v>
                </c:pt>
                <c:pt idx="171">
                  <c:v>6/11/2013</c:v>
                </c:pt>
                <c:pt idx="172">
                  <c:v>13/11/2013</c:v>
                </c:pt>
                <c:pt idx="173">
                  <c:v>20/11/2013</c:v>
                </c:pt>
                <c:pt idx="174">
                  <c:v>27/11/2013</c:v>
                </c:pt>
                <c:pt idx="175">
                  <c:v>4/12/2013</c:v>
                </c:pt>
                <c:pt idx="176">
                  <c:v>11/12/2013</c:v>
                </c:pt>
                <c:pt idx="177">
                  <c:v>18/12/2013</c:v>
                </c:pt>
                <c:pt idx="178">
                  <c:v>25/12/2013</c:v>
                </c:pt>
                <c:pt idx="179">
                  <c:v>1/01/2014</c:v>
                </c:pt>
                <c:pt idx="180">
                  <c:v>8/01/2014</c:v>
                </c:pt>
              </c:strCache>
            </c:strRef>
          </c:cat>
          <c:val>
            <c:numRef>
              <c:f>'Sheet1 (14)'!$F$5:$F$186</c:f>
              <c:numCache>
                <c:formatCode>General</c:formatCode>
                <c:ptCount val="181"/>
                <c:pt idx="0">
                  <c:v>1</c:v>
                </c:pt>
                <c:pt idx="1">
                  <c:v>6</c:v>
                </c:pt>
                <c:pt idx="2">
                  <c:v>7</c:v>
                </c:pt>
                <c:pt idx="3">
                  <c:v>8</c:v>
                </c:pt>
                <c:pt idx="4">
                  <c:v>10</c:v>
                </c:pt>
                <c:pt idx="5">
                  <c:v>12</c:v>
                </c:pt>
                <c:pt idx="6">
                  <c:v>13</c:v>
                </c:pt>
                <c:pt idx="7">
                  <c:v>19</c:v>
                </c:pt>
                <c:pt idx="8">
                  <c:v>18</c:v>
                </c:pt>
                <c:pt idx="9">
                  <c:v>18</c:v>
                </c:pt>
                <c:pt idx="10">
                  <c:v>17</c:v>
                </c:pt>
                <c:pt idx="11">
                  <c:v>20</c:v>
                </c:pt>
                <c:pt idx="12">
                  <c:v>20</c:v>
                </c:pt>
                <c:pt idx="13">
                  <c:v>24</c:v>
                </c:pt>
                <c:pt idx="14">
                  <c:v>26</c:v>
                </c:pt>
                <c:pt idx="15">
                  <c:v>26</c:v>
                </c:pt>
                <c:pt idx="16">
                  <c:v>31</c:v>
                </c:pt>
                <c:pt idx="17">
                  <c:v>36</c:v>
                </c:pt>
                <c:pt idx="18">
                  <c:v>38</c:v>
                </c:pt>
                <c:pt idx="19">
                  <c:v>40</c:v>
                </c:pt>
                <c:pt idx="20">
                  <c:v>45</c:v>
                </c:pt>
                <c:pt idx="21">
                  <c:v>48</c:v>
                </c:pt>
                <c:pt idx="22">
                  <c:v>51</c:v>
                </c:pt>
                <c:pt idx="23">
                  <c:v>52</c:v>
                </c:pt>
                <c:pt idx="24">
                  <c:v>56</c:v>
                </c:pt>
                <c:pt idx="25">
                  <c:v>67</c:v>
                </c:pt>
                <c:pt idx="26">
                  <c:v>71</c:v>
                </c:pt>
                <c:pt idx="27">
                  <c:v>76</c:v>
                </c:pt>
                <c:pt idx="28">
                  <c:v>85</c:v>
                </c:pt>
                <c:pt idx="29">
                  <c:v>89</c:v>
                </c:pt>
                <c:pt idx="30">
                  <c:v>96</c:v>
                </c:pt>
                <c:pt idx="31">
                  <c:v>97</c:v>
                </c:pt>
                <c:pt idx="32">
                  <c:v>95</c:v>
                </c:pt>
                <c:pt idx="33">
                  <c:v>96</c:v>
                </c:pt>
                <c:pt idx="34">
                  <c:v>103</c:v>
                </c:pt>
                <c:pt idx="35">
                  <c:v>101</c:v>
                </c:pt>
                <c:pt idx="36">
                  <c:v>104</c:v>
                </c:pt>
                <c:pt idx="37">
                  <c:v>110</c:v>
                </c:pt>
                <c:pt idx="38">
                  <c:v>110</c:v>
                </c:pt>
                <c:pt idx="39">
                  <c:v>104</c:v>
                </c:pt>
                <c:pt idx="40">
                  <c:v>104</c:v>
                </c:pt>
                <c:pt idx="41">
                  <c:v>102</c:v>
                </c:pt>
                <c:pt idx="42">
                  <c:v>103</c:v>
                </c:pt>
                <c:pt idx="43">
                  <c:v>104</c:v>
                </c:pt>
                <c:pt idx="44">
                  <c:v>106</c:v>
                </c:pt>
                <c:pt idx="45">
                  <c:v>105</c:v>
                </c:pt>
                <c:pt idx="46">
                  <c:v>109</c:v>
                </c:pt>
                <c:pt idx="47">
                  <c:v>112</c:v>
                </c:pt>
                <c:pt idx="48">
                  <c:v>113</c:v>
                </c:pt>
                <c:pt idx="49">
                  <c:v>116</c:v>
                </c:pt>
                <c:pt idx="50">
                  <c:v>114</c:v>
                </c:pt>
                <c:pt idx="51">
                  <c:v>115</c:v>
                </c:pt>
                <c:pt idx="52">
                  <c:v>119</c:v>
                </c:pt>
                <c:pt idx="53">
                  <c:v>117</c:v>
                </c:pt>
                <c:pt idx="54">
                  <c:v>118</c:v>
                </c:pt>
                <c:pt idx="55">
                  <c:v>121</c:v>
                </c:pt>
                <c:pt idx="56">
                  <c:v>123</c:v>
                </c:pt>
                <c:pt idx="57">
                  <c:v>124</c:v>
                </c:pt>
                <c:pt idx="58">
                  <c:v>129</c:v>
                </c:pt>
                <c:pt idx="59">
                  <c:v>132</c:v>
                </c:pt>
                <c:pt idx="60">
                  <c:v>126</c:v>
                </c:pt>
                <c:pt idx="61">
                  <c:v>122</c:v>
                </c:pt>
                <c:pt idx="62">
                  <c:v>118</c:v>
                </c:pt>
                <c:pt idx="63">
                  <c:v>114</c:v>
                </c:pt>
                <c:pt idx="64">
                  <c:v>121</c:v>
                </c:pt>
                <c:pt idx="65">
                  <c:v>130</c:v>
                </c:pt>
                <c:pt idx="66">
                  <c:v>135</c:v>
                </c:pt>
                <c:pt idx="67">
                  <c:v>134</c:v>
                </c:pt>
                <c:pt idx="68">
                  <c:v>140</c:v>
                </c:pt>
                <c:pt idx="69">
                  <c:v>144</c:v>
                </c:pt>
                <c:pt idx="70">
                  <c:v>145</c:v>
                </c:pt>
                <c:pt idx="71">
                  <c:v>147</c:v>
                </c:pt>
                <c:pt idx="72">
                  <c:v>150</c:v>
                </c:pt>
                <c:pt idx="73">
                  <c:v>160</c:v>
                </c:pt>
                <c:pt idx="74">
                  <c:v>161</c:v>
                </c:pt>
                <c:pt idx="75">
                  <c:v>158</c:v>
                </c:pt>
                <c:pt idx="76">
                  <c:v>161</c:v>
                </c:pt>
                <c:pt idx="77">
                  <c:v>165</c:v>
                </c:pt>
                <c:pt idx="78">
                  <c:v>176</c:v>
                </c:pt>
                <c:pt idx="79">
                  <c:v>181</c:v>
                </c:pt>
                <c:pt idx="80">
                  <c:v>202</c:v>
                </c:pt>
                <c:pt idx="81">
                  <c:v>207</c:v>
                </c:pt>
                <c:pt idx="82">
                  <c:v>214</c:v>
                </c:pt>
                <c:pt idx="83">
                  <c:v>220</c:v>
                </c:pt>
                <c:pt idx="84">
                  <c:v>223</c:v>
                </c:pt>
                <c:pt idx="85">
                  <c:v>225</c:v>
                </c:pt>
                <c:pt idx="86">
                  <c:v>236</c:v>
                </c:pt>
                <c:pt idx="87">
                  <c:v>246</c:v>
                </c:pt>
                <c:pt idx="88">
                  <c:v>250</c:v>
                </c:pt>
                <c:pt idx="89">
                  <c:v>247</c:v>
                </c:pt>
                <c:pt idx="90">
                  <c:v>239</c:v>
                </c:pt>
                <c:pt idx="91">
                  <c:v>245</c:v>
                </c:pt>
                <c:pt idx="92">
                  <c:v>243</c:v>
                </c:pt>
                <c:pt idx="93">
                  <c:v>240</c:v>
                </c:pt>
                <c:pt idx="94">
                  <c:v>240</c:v>
                </c:pt>
                <c:pt idx="95">
                  <c:v>246</c:v>
                </c:pt>
                <c:pt idx="96">
                  <c:v>242</c:v>
                </c:pt>
                <c:pt idx="97">
                  <c:v>241</c:v>
                </c:pt>
                <c:pt idx="98">
                  <c:v>241</c:v>
                </c:pt>
                <c:pt idx="99">
                  <c:v>239</c:v>
                </c:pt>
                <c:pt idx="100">
                  <c:v>243</c:v>
                </c:pt>
                <c:pt idx="101">
                  <c:v>242</c:v>
                </c:pt>
                <c:pt idx="102">
                  <c:v>248</c:v>
                </c:pt>
                <c:pt idx="103">
                  <c:v>250</c:v>
                </c:pt>
                <c:pt idx="104">
                  <c:v>241</c:v>
                </c:pt>
                <c:pt idx="105">
                  <c:v>248</c:v>
                </c:pt>
                <c:pt idx="106">
                  <c:v>234</c:v>
                </c:pt>
                <c:pt idx="107">
                  <c:v>230</c:v>
                </c:pt>
                <c:pt idx="108">
                  <c:v>231</c:v>
                </c:pt>
                <c:pt idx="109">
                  <c:v>224</c:v>
                </c:pt>
                <c:pt idx="110">
                  <c:v>244</c:v>
                </c:pt>
                <c:pt idx="111">
                  <c:v>253</c:v>
                </c:pt>
                <c:pt idx="112">
                  <c:v>258</c:v>
                </c:pt>
                <c:pt idx="113">
                  <c:v>258</c:v>
                </c:pt>
                <c:pt idx="114">
                  <c:v>255</c:v>
                </c:pt>
                <c:pt idx="115">
                  <c:v>249</c:v>
                </c:pt>
                <c:pt idx="116">
                  <c:v>248</c:v>
                </c:pt>
                <c:pt idx="117">
                  <c:v>254</c:v>
                </c:pt>
                <c:pt idx="118">
                  <c:v>244</c:v>
                </c:pt>
                <c:pt idx="119">
                  <c:v>243</c:v>
                </c:pt>
                <c:pt idx="120">
                  <c:v>250</c:v>
                </c:pt>
                <c:pt idx="121">
                  <c:v>260</c:v>
                </c:pt>
                <c:pt idx="122">
                  <c:v>257</c:v>
                </c:pt>
                <c:pt idx="123">
                  <c:v>258</c:v>
                </c:pt>
                <c:pt idx="124">
                  <c:v>250</c:v>
                </c:pt>
                <c:pt idx="125">
                  <c:v>258</c:v>
                </c:pt>
                <c:pt idx="126">
                  <c:v>259</c:v>
                </c:pt>
                <c:pt idx="127">
                  <c:v>272</c:v>
                </c:pt>
                <c:pt idx="128">
                  <c:v>289</c:v>
                </c:pt>
                <c:pt idx="129">
                  <c:v>301</c:v>
                </c:pt>
                <c:pt idx="130">
                  <c:v>331</c:v>
                </c:pt>
                <c:pt idx="131">
                  <c:v>351</c:v>
                </c:pt>
                <c:pt idx="132">
                  <c:v>364</c:v>
                </c:pt>
                <c:pt idx="133">
                  <c:v>381</c:v>
                </c:pt>
                <c:pt idx="134">
                  <c:v>400</c:v>
                </c:pt>
                <c:pt idx="135">
                  <c:v>396</c:v>
                </c:pt>
                <c:pt idx="136">
                  <c:v>404</c:v>
                </c:pt>
                <c:pt idx="137">
                  <c:v>416</c:v>
                </c:pt>
                <c:pt idx="138">
                  <c:v>414</c:v>
                </c:pt>
                <c:pt idx="139">
                  <c:v>401</c:v>
                </c:pt>
                <c:pt idx="140">
                  <c:v>401</c:v>
                </c:pt>
                <c:pt idx="141">
                  <c:v>403</c:v>
                </c:pt>
                <c:pt idx="142">
                  <c:v>400</c:v>
                </c:pt>
                <c:pt idx="143">
                  <c:v>407</c:v>
                </c:pt>
                <c:pt idx="144">
                  <c:v>413</c:v>
                </c:pt>
                <c:pt idx="145">
                  <c:v>407</c:v>
                </c:pt>
                <c:pt idx="146">
                  <c:v>402</c:v>
                </c:pt>
                <c:pt idx="147">
                  <c:v>402</c:v>
                </c:pt>
                <c:pt idx="148">
                  <c:v>400</c:v>
                </c:pt>
                <c:pt idx="149">
                  <c:v>402</c:v>
                </c:pt>
                <c:pt idx="150">
                  <c:v>387</c:v>
                </c:pt>
                <c:pt idx="151">
                  <c:v>377</c:v>
                </c:pt>
                <c:pt idx="152">
                  <c:v>374</c:v>
                </c:pt>
                <c:pt idx="153">
                  <c:v>369</c:v>
                </c:pt>
                <c:pt idx="154">
                  <c:v>371</c:v>
                </c:pt>
                <c:pt idx="155">
                  <c:v>367</c:v>
                </c:pt>
                <c:pt idx="156">
                  <c:v>371</c:v>
                </c:pt>
                <c:pt idx="157">
                  <c:v>375</c:v>
                </c:pt>
                <c:pt idx="158">
                  <c:v>367</c:v>
                </c:pt>
                <c:pt idx="159">
                  <c:v>365</c:v>
                </c:pt>
                <c:pt idx="160">
                  <c:v>378</c:v>
                </c:pt>
                <c:pt idx="161">
                  <c:v>366</c:v>
                </c:pt>
                <c:pt idx="162">
                  <c:v>362</c:v>
                </c:pt>
                <c:pt idx="163">
                  <c:v>364</c:v>
                </c:pt>
                <c:pt idx="164">
                  <c:v>361</c:v>
                </c:pt>
                <c:pt idx="165">
                  <c:v>366</c:v>
                </c:pt>
                <c:pt idx="166">
                  <c:v>382</c:v>
                </c:pt>
                <c:pt idx="167">
                  <c:v>368</c:v>
                </c:pt>
                <c:pt idx="168">
                  <c:v>377</c:v>
                </c:pt>
                <c:pt idx="169">
                  <c:v>383</c:v>
                </c:pt>
                <c:pt idx="170">
                  <c:v>382</c:v>
                </c:pt>
                <c:pt idx="171">
                  <c:v>358</c:v>
                </c:pt>
                <c:pt idx="172">
                  <c:v>352</c:v>
                </c:pt>
                <c:pt idx="173">
                  <c:v>351</c:v>
                </c:pt>
                <c:pt idx="174">
                  <c:v>371</c:v>
                </c:pt>
                <c:pt idx="175">
                  <c:v>373</c:v>
                </c:pt>
                <c:pt idx="176">
                  <c:v>358</c:v>
                </c:pt>
                <c:pt idx="177">
                  <c:v>352</c:v>
                </c:pt>
                <c:pt idx="178">
                  <c:v>354</c:v>
                </c:pt>
                <c:pt idx="179">
                  <c:v>358</c:v>
                </c:pt>
                <c:pt idx="180">
                  <c:v>361</c:v>
                </c:pt>
              </c:numCache>
            </c:numRef>
          </c:val>
          <c:smooth val="0"/>
        </c:ser>
        <c:ser>
          <c:idx val="5"/>
          <c:order val="5"/>
          <c:tx>
            <c:strRef>
              <c:f>'Sheet1 (14)'!$G$3:$G$4</c:f>
              <c:strCache>
                <c:ptCount val="1"/>
                <c:pt idx="0">
                  <c:v>Exenatide+Insulin+Metformin+Sulfonylurea</c:v>
                </c:pt>
              </c:strCache>
            </c:strRef>
          </c:tx>
          <c:marker>
            <c:symbol val="none"/>
          </c:marker>
          <c:cat>
            <c:strRef>
              <c:f>'Sheet1 (14)'!$A$5:$A$186</c:f>
              <c:strCache>
                <c:ptCount val="181"/>
                <c:pt idx="0">
                  <c:v>28/07/2010</c:v>
                </c:pt>
                <c:pt idx="1">
                  <c:v>4/08/2010</c:v>
                </c:pt>
                <c:pt idx="2">
                  <c:v>11/08/2010</c:v>
                </c:pt>
                <c:pt idx="3">
                  <c:v>18/08/2010</c:v>
                </c:pt>
                <c:pt idx="4">
                  <c:v>25/08/2010</c:v>
                </c:pt>
                <c:pt idx="5">
                  <c:v>1/09/2010</c:v>
                </c:pt>
                <c:pt idx="6">
                  <c:v>8/09/2010</c:v>
                </c:pt>
                <c:pt idx="7">
                  <c:v>15/09/2010</c:v>
                </c:pt>
                <c:pt idx="8">
                  <c:v>22/09/2010</c:v>
                </c:pt>
                <c:pt idx="9">
                  <c:v>29/09/2010</c:v>
                </c:pt>
                <c:pt idx="10">
                  <c:v>6/10/2010</c:v>
                </c:pt>
                <c:pt idx="11">
                  <c:v>13/10/2010</c:v>
                </c:pt>
                <c:pt idx="12">
                  <c:v>20/10/2010</c:v>
                </c:pt>
                <c:pt idx="13">
                  <c:v>27/10/2010</c:v>
                </c:pt>
                <c:pt idx="14">
                  <c:v>3/11/2010</c:v>
                </c:pt>
                <c:pt idx="15">
                  <c:v>10/11/2010</c:v>
                </c:pt>
                <c:pt idx="16">
                  <c:v>17/11/2010</c:v>
                </c:pt>
                <c:pt idx="17">
                  <c:v>24/11/2010</c:v>
                </c:pt>
                <c:pt idx="18">
                  <c:v>1/12/2010</c:v>
                </c:pt>
                <c:pt idx="19">
                  <c:v>8/12/2010</c:v>
                </c:pt>
                <c:pt idx="20">
                  <c:v>15/12/2010</c:v>
                </c:pt>
                <c:pt idx="21">
                  <c:v>22/12/2010</c:v>
                </c:pt>
                <c:pt idx="22">
                  <c:v>29/12/2010</c:v>
                </c:pt>
                <c:pt idx="23">
                  <c:v>5/01/2011</c:v>
                </c:pt>
                <c:pt idx="24">
                  <c:v>12/01/2011</c:v>
                </c:pt>
                <c:pt idx="25">
                  <c:v>19/01/2011</c:v>
                </c:pt>
                <c:pt idx="26">
                  <c:v>26/01/2011</c:v>
                </c:pt>
                <c:pt idx="27">
                  <c:v>2/02/2011</c:v>
                </c:pt>
                <c:pt idx="28">
                  <c:v>9/02/2011</c:v>
                </c:pt>
                <c:pt idx="29">
                  <c:v>16/02/2011</c:v>
                </c:pt>
                <c:pt idx="30">
                  <c:v>23/02/2011</c:v>
                </c:pt>
                <c:pt idx="31">
                  <c:v>2/03/2011</c:v>
                </c:pt>
                <c:pt idx="32">
                  <c:v>9/03/2011</c:v>
                </c:pt>
                <c:pt idx="33">
                  <c:v>16/03/2011</c:v>
                </c:pt>
                <c:pt idx="34">
                  <c:v>23/03/2011</c:v>
                </c:pt>
                <c:pt idx="35">
                  <c:v>30/03/2011</c:v>
                </c:pt>
                <c:pt idx="36">
                  <c:v>6/04/2011</c:v>
                </c:pt>
                <c:pt idx="37">
                  <c:v>13/04/2011</c:v>
                </c:pt>
                <c:pt idx="38">
                  <c:v>20/04/2011</c:v>
                </c:pt>
                <c:pt idx="39">
                  <c:v>27/04/2011</c:v>
                </c:pt>
                <c:pt idx="40">
                  <c:v>4/05/2011</c:v>
                </c:pt>
                <c:pt idx="41">
                  <c:v>11/05/2011</c:v>
                </c:pt>
                <c:pt idx="42">
                  <c:v>18/05/2011</c:v>
                </c:pt>
                <c:pt idx="43">
                  <c:v>25/05/2011</c:v>
                </c:pt>
                <c:pt idx="44">
                  <c:v>1/06/2011</c:v>
                </c:pt>
                <c:pt idx="45">
                  <c:v>8/06/2011</c:v>
                </c:pt>
                <c:pt idx="46">
                  <c:v>15/06/2011</c:v>
                </c:pt>
                <c:pt idx="47">
                  <c:v>22/06/2011</c:v>
                </c:pt>
                <c:pt idx="48">
                  <c:v>29/06/2011</c:v>
                </c:pt>
                <c:pt idx="49">
                  <c:v>6/07/2011</c:v>
                </c:pt>
                <c:pt idx="50">
                  <c:v>13/07/2011</c:v>
                </c:pt>
                <c:pt idx="51">
                  <c:v>20/07/2011</c:v>
                </c:pt>
                <c:pt idx="52">
                  <c:v>27/07/2011</c:v>
                </c:pt>
                <c:pt idx="53">
                  <c:v>3/08/2011</c:v>
                </c:pt>
                <c:pt idx="54">
                  <c:v>10/08/2011</c:v>
                </c:pt>
                <c:pt idx="55">
                  <c:v>17/08/2011</c:v>
                </c:pt>
                <c:pt idx="56">
                  <c:v>24/08/2011</c:v>
                </c:pt>
                <c:pt idx="57">
                  <c:v>31/08/2011</c:v>
                </c:pt>
                <c:pt idx="58">
                  <c:v>7/09/2011</c:v>
                </c:pt>
                <c:pt idx="59">
                  <c:v>14/09/2011</c:v>
                </c:pt>
                <c:pt idx="60">
                  <c:v>21/09/2011</c:v>
                </c:pt>
                <c:pt idx="61">
                  <c:v>28/09/2011</c:v>
                </c:pt>
                <c:pt idx="62">
                  <c:v>5/10/2011</c:v>
                </c:pt>
                <c:pt idx="63">
                  <c:v>12/10/2011</c:v>
                </c:pt>
                <c:pt idx="64">
                  <c:v>19/10/2011</c:v>
                </c:pt>
                <c:pt idx="65">
                  <c:v>26/10/2011</c:v>
                </c:pt>
                <c:pt idx="66">
                  <c:v>2/11/2011</c:v>
                </c:pt>
                <c:pt idx="67">
                  <c:v>9/11/2011</c:v>
                </c:pt>
                <c:pt idx="68">
                  <c:v>16/11/2011</c:v>
                </c:pt>
                <c:pt idx="69">
                  <c:v>23/11/2011</c:v>
                </c:pt>
                <c:pt idx="70">
                  <c:v>30/11/2011</c:v>
                </c:pt>
                <c:pt idx="71">
                  <c:v>7/12/2011</c:v>
                </c:pt>
                <c:pt idx="72">
                  <c:v>14/12/2011</c:v>
                </c:pt>
                <c:pt idx="73">
                  <c:v>21/12/2011</c:v>
                </c:pt>
                <c:pt idx="74">
                  <c:v>28/12/2011</c:v>
                </c:pt>
                <c:pt idx="75">
                  <c:v>4/01/2012</c:v>
                </c:pt>
                <c:pt idx="76">
                  <c:v>11/01/2012</c:v>
                </c:pt>
                <c:pt idx="77">
                  <c:v>18/01/2012</c:v>
                </c:pt>
                <c:pt idx="78">
                  <c:v>25/01/2012</c:v>
                </c:pt>
                <c:pt idx="79">
                  <c:v>1/02/2012</c:v>
                </c:pt>
                <c:pt idx="80">
                  <c:v>8/02/2012</c:v>
                </c:pt>
                <c:pt idx="81">
                  <c:v>15/02/2012</c:v>
                </c:pt>
                <c:pt idx="82">
                  <c:v>22/02/2012</c:v>
                </c:pt>
                <c:pt idx="83">
                  <c:v>29/02/2012</c:v>
                </c:pt>
                <c:pt idx="84">
                  <c:v>7/03/2012</c:v>
                </c:pt>
                <c:pt idx="85">
                  <c:v>14/03/2012</c:v>
                </c:pt>
                <c:pt idx="86">
                  <c:v>21/03/2012</c:v>
                </c:pt>
                <c:pt idx="87">
                  <c:v>28/03/2012</c:v>
                </c:pt>
                <c:pt idx="88">
                  <c:v>4/04/2012</c:v>
                </c:pt>
                <c:pt idx="89">
                  <c:v>11/04/2012</c:v>
                </c:pt>
                <c:pt idx="90">
                  <c:v>18/04/2012</c:v>
                </c:pt>
                <c:pt idx="91">
                  <c:v>25/04/2012</c:v>
                </c:pt>
                <c:pt idx="92">
                  <c:v>2/05/2012</c:v>
                </c:pt>
                <c:pt idx="93">
                  <c:v>9/05/2012</c:v>
                </c:pt>
                <c:pt idx="94">
                  <c:v>16/05/2012</c:v>
                </c:pt>
                <c:pt idx="95">
                  <c:v>23/05/2012</c:v>
                </c:pt>
                <c:pt idx="96">
                  <c:v>30/05/2012</c:v>
                </c:pt>
                <c:pt idx="97">
                  <c:v>6/06/2012</c:v>
                </c:pt>
                <c:pt idx="98">
                  <c:v>13/06/2012</c:v>
                </c:pt>
                <c:pt idx="99">
                  <c:v>20/06/2012</c:v>
                </c:pt>
                <c:pt idx="100">
                  <c:v>27/06/2012</c:v>
                </c:pt>
                <c:pt idx="101">
                  <c:v>4/07/2012</c:v>
                </c:pt>
                <c:pt idx="102">
                  <c:v>11/07/2012</c:v>
                </c:pt>
                <c:pt idx="103">
                  <c:v>18/07/2012</c:v>
                </c:pt>
                <c:pt idx="104">
                  <c:v>25/07/2012</c:v>
                </c:pt>
                <c:pt idx="105">
                  <c:v>1/08/2012</c:v>
                </c:pt>
                <c:pt idx="106">
                  <c:v>8/08/2012</c:v>
                </c:pt>
                <c:pt idx="107">
                  <c:v>15/08/2012</c:v>
                </c:pt>
                <c:pt idx="108">
                  <c:v>22/08/2012</c:v>
                </c:pt>
                <c:pt idx="109">
                  <c:v>29/08/2012</c:v>
                </c:pt>
                <c:pt idx="110">
                  <c:v>5/09/2012</c:v>
                </c:pt>
                <c:pt idx="111">
                  <c:v>12/09/2012</c:v>
                </c:pt>
                <c:pt idx="112">
                  <c:v>19/09/2012</c:v>
                </c:pt>
                <c:pt idx="113">
                  <c:v>26/09/2012</c:v>
                </c:pt>
                <c:pt idx="114">
                  <c:v>3/10/2012</c:v>
                </c:pt>
                <c:pt idx="115">
                  <c:v>10/10/2012</c:v>
                </c:pt>
                <c:pt idx="116">
                  <c:v>17/10/2012</c:v>
                </c:pt>
                <c:pt idx="117">
                  <c:v>24/10/2012</c:v>
                </c:pt>
                <c:pt idx="118">
                  <c:v>31/10/2012</c:v>
                </c:pt>
                <c:pt idx="119">
                  <c:v>7/11/2012</c:v>
                </c:pt>
                <c:pt idx="120">
                  <c:v>14/11/2012</c:v>
                </c:pt>
                <c:pt idx="121">
                  <c:v>21/11/2012</c:v>
                </c:pt>
                <c:pt idx="122">
                  <c:v>28/11/2012</c:v>
                </c:pt>
                <c:pt idx="123">
                  <c:v>5/12/2012</c:v>
                </c:pt>
                <c:pt idx="124">
                  <c:v>12/12/2012</c:v>
                </c:pt>
                <c:pt idx="125">
                  <c:v>19/12/2012</c:v>
                </c:pt>
                <c:pt idx="126">
                  <c:v>26/12/2012</c:v>
                </c:pt>
                <c:pt idx="127">
                  <c:v>2/01/2013</c:v>
                </c:pt>
                <c:pt idx="128">
                  <c:v>9/01/2013</c:v>
                </c:pt>
                <c:pt idx="129">
                  <c:v>16/01/2013</c:v>
                </c:pt>
                <c:pt idx="130">
                  <c:v>23/01/2013</c:v>
                </c:pt>
                <c:pt idx="131">
                  <c:v>30/01/2013</c:v>
                </c:pt>
                <c:pt idx="132">
                  <c:v>6/02/2013</c:v>
                </c:pt>
                <c:pt idx="133">
                  <c:v>13/02/2013</c:v>
                </c:pt>
                <c:pt idx="134">
                  <c:v>20/02/2013</c:v>
                </c:pt>
                <c:pt idx="135">
                  <c:v>27/02/2013</c:v>
                </c:pt>
                <c:pt idx="136">
                  <c:v>6/03/2013</c:v>
                </c:pt>
                <c:pt idx="137">
                  <c:v>13/03/2013</c:v>
                </c:pt>
                <c:pt idx="138">
                  <c:v>20/03/2013</c:v>
                </c:pt>
                <c:pt idx="139">
                  <c:v>27/03/2013</c:v>
                </c:pt>
                <c:pt idx="140">
                  <c:v>3/04/2013</c:v>
                </c:pt>
                <c:pt idx="141">
                  <c:v>10/04/2013</c:v>
                </c:pt>
                <c:pt idx="142">
                  <c:v>17/04/2013</c:v>
                </c:pt>
                <c:pt idx="143">
                  <c:v>24/04/2013</c:v>
                </c:pt>
                <c:pt idx="144">
                  <c:v>1/05/2013</c:v>
                </c:pt>
                <c:pt idx="145">
                  <c:v>8/05/2013</c:v>
                </c:pt>
                <c:pt idx="146">
                  <c:v>15/05/2013</c:v>
                </c:pt>
                <c:pt idx="147">
                  <c:v>22/05/2013</c:v>
                </c:pt>
                <c:pt idx="148">
                  <c:v>29/05/2013</c:v>
                </c:pt>
                <c:pt idx="149">
                  <c:v>5/06/2013</c:v>
                </c:pt>
                <c:pt idx="150">
                  <c:v>12/06/2013</c:v>
                </c:pt>
                <c:pt idx="151">
                  <c:v>19/06/2013</c:v>
                </c:pt>
                <c:pt idx="152">
                  <c:v>26/06/2013</c:v>
                </c:pt>
                <c:pt idx="153">
                  <c:v>3/07/2013</c:v>
                </c:pt>
                <c:pt idx="154">
                  <c:v>10/07/2013</c:v>
                </c:pt>
                <c:pt idx="155">
                  <c:v>17/07/2013</c:v>
                </c:pt>
                <c:pt idx="156">
                  <c:v>24/07/2013</c:v>
                </c:pt>
                <c:pt idx="157">
                  <c:v>31/07/2013</c:v>
                </c:pt>
                <c:pt idx="158">
                  <c:v>7/08/2013</c:v>
                </c:pt>
                <c:pt idx="159">
                  <c:v>14/08/2013</c:v>
                </c:pt>
                <c:pt idx="160">
                  <c:v>21/08/2013</c:v>
                </c:pt>
                <c:pt idx="161">
                  <c:v>28/08/2013</c:v>
                </c:pt>
                <c:pt idx="162">
                  <c:v>4/09/2013</c:v>
                </c:pt>
                <c:pt idx="163">
                  <c:v>11/09/2013</c:v>
                </c:pt>
                <c:pt idx="164">
                  <c:v>18/09/2013</c:v>
                </c:pt>
                <c:pt idx="165">
                  <c:v>25/09/2013</c:v>
                </c:pt>
                <c:pt idx="166">
                  <c:v>2/10/2013</c:v>
                </c:pt>
                <c:pt idx="167">
                  <c:v>9/10/2013</c:v>
                </c:pt>
                <c:pt idx="168">
                  <c:v>16/10/2013</c:v>
                </c:pt>
                <c:pt idx="169">
                  <c:v>23/10/2013</c:v>
                </c:pt>
                <c:pt idx="170">
                  <c:v>30/10/2013</c:v>
                </c:pt>
                <c:pt idx="171">
                  <c:v>6/11/2013</c:v>
                </c:pt>
                <c:pt idx="172">
                  <c:v>13/11/2013</c:v>
                </c:pt>
                <c:pt idx="173">
                  <c:v>20/11/2013</c:v>
                </c:pt>
                <c:pt idx="174">
                  <c:v>27/11/2013</c:v>
                </c:pt>
                <c:pt idx="175">
                  <c:v>4/12/2013</c:v>
                </c:pt>
                <c:pt idx="176">
                  <c:v>11/12/2013</c:v>
                </c:pt>
                <c:pt idx="177">
                  <c:v>18/12/2013</c:v>
                </c:pt>
                <c:pt idx="178">
                  <c:v>25/12/2013</c:v>
                </c:pt>
                <c:pt idx="179">
                  <c:v>1/01/2014</c:v>
                </c:pt>
                <c:pt idx="180">
                  <c:v>8/01/2014</c:v>
                </c:pt>
              </c:strCache>
            </c:strRef>
          </c:cat>
          <c:val>
            <c:numRef>
              <c:f>'Sheet1 (14)'!$G$5:$G$186</c:f>
              <c:numCache>
                <c:formatCode>General</c:formatCode>
                <c:ptCount val="181"/>
                <c:pt idx="0">
                  <c:v>0</c:v>
                </c:pt>
                <c:pt idx="1">
                  <c:v>3</c:v>
                </c:pt>
                <c:pt idx="2">
                  <c:v>5</c:v>
                </c:pt>
                <c:pt idx="3">
                  <c:v>12</c:v>
                </c:pt>
                <c:pt idx="4">
                  <c:v>17</c:v>
                </c:pt>
                <c:pt idx="5">
                  <c:v>18</c:v>
                </c:pt>
                <c:pt idx="6">
                  <c:v>23</c:v>
                </c:pt>
                <c:pt idx="7">
                  <c:v>27</c:v>
                </c:pt>
                <c:pt idx="8">
                  <c:v>33</c:v>
                </c:pt>
                <c:pt idx="9">
                  <c:v>38</c:v>
                </c:pt>
                <c:pt idx="10">
                  <c:v>46</c:v>
                </c:pt>
                <c:pt idx="11">
                  <c:v>48</c:v>
                </c:pt>
                <c:pt idx="12">
                  <c:v>55</c:v>
                </c:pt>
                <c:pt idx="13">
                  <c:v>62</c:v>
                </c:pt>
                <c:pt idx="14">
                  <c:v>66</c:v>
                </c:pt>
                <c:pt idx="15">
                  <c:v>65</c:v>
                </c:pt>
                <c:pt idx="16">
                  <c:v>73</c:v>
                </c:pt>
                <c:pt idx="17">
                  <c:v>75</c:v>
                </c:pt>
                <c:pt idx="18">
                  <c:v>82</c:v>
                </c:pt>
                <c:pt idx="19">
                  <c:v>86</c:v>
                </c:pt>
                <c:pt idx="20">
                  <c:v>89</c:v>
                </c:pt>
                <c:pt idx="21">
                  <c:v>88</c:v>
                </c:pt>
                <c:pt idx="22">
                  <c:v>85</c:v>
                </c:pt>
                <c:pt idx="23">
                  <c:v>84</c:v>
                </c:pt>
                <c:pt idx="24">
                  <c:v>82</c:v>
                </c:pt>
                <c:pt idx="25">
                  <c:v>76</c:v>
                </c:pt>
                <c:pt idx="26">
                  <c:v>81</c:v>
                </c:pt>
                <c:pt idx="27">
                  <c:v>87</c:v>
                </c:pt>
                <c:pt idx="28">
                  <c:v>89</c:v>
                </c:pt>
                <c:pt idx="29">
                  <c:v>90</c:v>
                </c:pt>
                <c:pt idx="30">
                  <c:v>92</c:v>
                </c:pt>
                <c:pt idx="31">
                  <c:v>95</c:v>
                </c:pt>
                <c:pt idx="32">
                  <c:v>88</c:v>
                </c:pt>
                <c:pt idx="33">
                  <c:v>91</c:v>
                </c:pt>
                <c:pt idx="34">
                  <c:v>89</c:v>
                </c:pt>
                <c:pt idx="35">
                  <c:v>87</c:v>
                </c:pt>
                <c:pt idx="36">
                  <c:v>87</c:v>
                </c:pt>
                <c:pt idx="37">
                  <c:v>98</c:v>
                </c:pt>
                <c:pt idx="38">
                  <c:v>97</c:v>
                </c:pt>
                <c:pt idx="39">
                  <c:v>96</c:v>
                </c:pt>
                <c:pt idx="40">
                  <c:v>97</c:v>
                </c:pt>
                <c:pt idx="41">
                  <c:v>101</c:v>
                </c:pt>
                <c:pt idx="42">
                  <c:v>105</c:v>
                </c:pt>
                <c:pt idx="43">
                  <c:v>113</c:v>
                </c:pt>
                <c:pt idx="44">
                  <c:v>115</c:v>
                </c:pt>
                <c:pt idx="45">
                  <c:v>113</c:v>
                </c:pt>
                <c:pt idx="46">
                  <c:v>110</c:v>
                </c:pt>
                <c:pt idx="47">
                  <c:v>115</c:v>
                </c:pt>
                <c:pt idx="48">
                  <c:v>114</c:v>
                </c:pt>
                <c:pt idx="49">
                  <c:v>120</c:v>
                </c:pt>
                <c:pt idx="50">
                  <c:v>119</c:v>
                </c:pt>
                <c:pt idx="51">
                  <c:v>129</c:v>
                </c:pt>
                <c:pt idx="52">
                  <c:v>133</c:v>
                </c:pt>
                <c:pt idx="53">
                  <c:v>138</c:v>
                </c:pt>
                <c:pt idx="54">
                  <c:v>142</c:v>
                </c:pt>
                <c:pt idx="55">
                  <c:v>144</c:v>
                </c:pt>
                <c:pt idx="56">
                  <c:v>147</c:v>
                </c:pt>
                <c:pt idx="57">
                  <c:v>152</c:v>
                </c:pt>
                <c:pt idx="58">
                  <c:v>159</c:v>
                </c:pt>
                <c:pt idx="59">
                  <c:v>159</c:v>
                </c:pt>
                <c:pt idx="60">
                  <c:v>160</c:v>
                </c:pt>
                <c:pt idx="61">
                  <c:v>166</c:v>
                </c:pt>
                <c:pt idx="62">
                  <c:v>167</c:v>
                </c:pt>
                <c:pt idx="63">
                  <c:v>173</c:v>
                </c:pt>
                <c:pt idx="64">
                  <c:v>178</c:v>
                </c:pt>
                <c:pt idx="65">
                  <c:v>178</c:v>
                </c:pt>
                <c:pt idx="66">
                  <c:v>191</c:v>
                </c:pt>
                <c:pt idx="67">
                  <c:v>190</c:v>
                </c:pt>
                <c:pt idx="68">
                  <c:v>188</c:v>
                </c:pt>
                <c:pt idx="69">
                  <c:v>190</c:v>
                </c:pt>
                <c:pt idx="70">
                  <c:v>195</c:v>
                </c:pt>
                <c:pt idx="71">
                  <c:v>191</c:v>
                </c:pt>
                <c:pt idx="72">
                  <c:v>189</c:v>
                </c:pt>
                <c:pt idx="73">
                  <c:v>194</c:v>
                </c:pt>
                <c:pt idx="74">
                  <c:v>186</c:v>
                </c:pt>
                <c:pt idx="75">
                  <c:v>180</c:v>
                </c:pt>
                <c:pt idx="76">
                  <c:v>179</c:v>
                </c:pt>
                <c:pt idx="77">
                  <c:v>170</c:v>
                </c:pt>
                <c:pt idx="78">
                  <c:v>173</c:v>
                </c:pt>
                <c:pt idx="79">
                  <c:v>172</c:v>
                </c:pt>
                <c:pt idx="80">
                  <c:v>174</c:v>
                </c:pt>
                <c:pt idx="81">
                  <c:v>172</c:v>
                </c:pt>
                <c:pt idx="82">
                  <c:v>180</c:v>
                </c:pt>
                <c:pt idx="83">
                  <c:v>177</c:v>
                </c:pt>
                <c:pt idx="84">
                  <c:v>168</c:v>
                </c:pt>
                <c:pt idx="85">
                  <c:v>180</c:v>
                </c:pt>
                <c:pt idx="86">
                  <c:v>176</c:v>
                </c:pt>
                <c:pt idx="87">
                  <c:v>172</c:v>
                </c:pt>
                <c:pt idx="88">
                  <c:v>173</c:v>
                </c:pt>
                <c:pt idx="89">
                  <c:v>166</c:v>
                </c:pt>
                <c:pt idx="90">
                  <c:v>169</c:v>
                </c:pt>
                <c:pt idx="91">
                  <c:v>170</c:v>
                </c:pt>
                <c:pt idx="92">
                  <c:v>171</c:v>
                </c:pt>
                <c:pt idx="93">
                  <c:v>177</c:v>
                </c:pt>
                <c:pt idx="94">
                  <c:v>185</c:v>
                </c:pt>
                <c:pt idx="95">
                  <c:v>187</c:v>
                </c:pt>
                <c:pt idx="96">
                  <c:v>186</c:v>
                </c:pt>
                <c:pt idx="97">
                  <c:v>184</c:v>
                </c:pt>
                <c:pt idx="98">
                  <c:v>188</c:v>
                </c:pt>
                <c:pt idx="99">
                  <c:v>193</c:v>
                </c:pt>
                <c:pt idx="100">
                  <c:v>198</c:v>
                </c:pt>
                <c:pt idx="101">
                  <c:v>205</c:v>
                </c:pt>
                <c:pt idx="102">
                  <c:v>208</c:v>
                </c:pt>
                <c:pt idx="103">
                  <c:v>206</c:v>
                </c:pt>
                <c:pt idx="104">
                  <c:v>208</c:v>
                </c:pt>
                <c:pt idx="105">
                  <c:v>222</c:v>
                </c:pt>
                <c:pt idx="106">
                  <c:v>225</c:v>
                </c:pt>
                <c:pt idx="107">
                  <c:v>239</c:v>
                </c:pt>
                <c:pt idx="108">
                  <c:v>254</c:v>
                </c:pt>
                <c:pt idx="109">
                  <c:v>251</c:v>
                </c:pt>
                <c:pt idx="110">
                  <c:v>246</c:v>
                </c:pt>
                <c:pt idx="111">
                  <c:v>243</c:v>
                </c:pt>
                <c:pt idx="112">
                  <c:v>245</c:v>
                </c:pt>
                <c:pt idx="113">
                  <c:v>244</c:v>
                </c:pt>
                <c:pt idx="114">
                  <c:v>244</c:v>
                </c:pt>
                <c:pt idx="115">
                  <c:v>248</c:v>
                </c:pt>
                <c:pt idx="116">
                  <c:v>254</c:v>
                </c:pt>
                <c:pt idx="117">
                  <c:v>269</c:v>
                </c:pt>
                <c:pt idx="118">
                  <c:v>273</c:v>
                </c:pt>
                <c:pt idx="119">
                  <c:v>275</c:v>
                </c:pt>
                <c:pt idx="120">
                  <c:v>286</c:v>
                </c:pt>
                <c:pt idx="121">
                  <c:v>295</c:v>
                </c:pt>
                <c:pt idx="122">
                  <c:v>309</c:v>
                </c:pt>
                <c:pt idx="123">
                  <c:v>312</c:v>
                </c:pt>
                <c:pt idx="124">
                  <c:v>309</c:v>
                </c:pt>
                <c:pt idx="125">
                  <c:v>308</c:v>
                </c:pt>
                <c:pt idx="126">
                  <c:v>296</c:v>
                </c:pt>
                <c:pt idx="127">
                  <c:v>297</c:v>
                </c:pt>
                <c:pt idx="128">
                  <c:v>300</c:v>
                </c:pt>
                <c:pt idx="129">
                  <c:v>304</c:v>
                </c:pt>
                <c:pt idx="130">
                  <c:v>299</c:v>
                </c:pt>
                <c:pt idx="131">
                  <c:v>286</c:v>
                </c:pt>
                <c:pt idx="132">
                  <c:v>280</c:v>
                </c:pt>
                <c:pt idx="133">
                  <c:v>280</c:v>
                </c:pt>
                <c:pt idx="134">
                  <c:v>289</c:v>
                </c:pt>
                <c:pt idx="135">
                  <c:v>285</c:v>
                </c:pt>
                <c:pt idx="136">
                  <c:v>275</c:v>
                </c:pt>
                <c:pt idx="137">
                  <c:v>272</c:v>
                </c:pt>
                <c:pt idx="138">
                  <c:v>274</c:v>
                </c:pt>
                <c:pt idx="139">
                  <c:v>272</c:v>
                </c:pt>
                <c:pt idx="140">
                  <c:v>276</c:v>
                </c:pt>
                <c:pt idx="141">
                  <c:v>277</c:v>
                </c:pt>
                <c:pt idx="142">
                  <c:v>278</c:v>
                </c:pt>
                <c:pt idx="143">
                  <c:v>280</c:v>
                </c:pt>
                <c:pt idx="144">
                  <c:v>288</c:v>
                </c:pt>
                <c:pt idx="145">
                  <c:v>282</c:v>
                </c:pt>
                <c:pt idx="146">
                  <c:v>284</c:v>
                </c:pt>
                <c:pt idx="147">
                  <c:v>295</c:v>
                </c:pt>
                <c:pt idx="148">
                  <c:v>291</c:v>
                </c:pt>
                <c:pt idx="149">
                  <c:v>283</c:v>
                </c:pt>
                <c:pt idx="150">
                  <c:v>283</c:v>
                </c:pt>
                <c:pt idx="151">
                  <c:v>290</c:v>
                </c:pt>
                <c:pt idx="152">
                  <c:v>284</c:v>
                </c:pt>
                <c:pt idx="153">
                  <c:v>289</c:v>
                </c:pt>
                <c:pt idx="154">
                  <c:v>291</c:v>
                </c:pt>
                <c:pt idx="155">
                  <c:v>284</c:v>
                </c:pt>
                <c:pt idx="156">
                  <c:v>284</c:v>
                </c:pt>
                <c:pt idx="157">
                  <c:v>295</c:v>
                </c:pt>
                <c:pt idx="158">
                  <c:v>303</c:v>
                </c:pt>
                <c:pt idx="159">
                  <c:v>318</c:v>
                </c:pt>
                <c:pt idx="160">
                  <c:v>323</c:v>
                </c:pt>
                <c:pt idx="161">
                  <c:v>325</c:v>
                </c:pt>
                <c:pt idx="162">
                  <c:v>327</c:v>
                </c:pt>
                <c:pt idx="163">
                  <c:v>333</c:v>
                </c:pt>
                <c:pt idx="164">
                  <c:v>338</c:v>
                </c:pt>
                <c:pt idx="165">
                  <c:v>348</c:v>
                </c:pt>
                <c:pt idx="166">
                  <c:v>345</c:v>
                </c:pt>
                <c:pt idx="167">
                  <c:v>362</c:v>
                </c:pt>
                <c:pt idx="168">
                  <c:v>358</c:v>
                </c:pt>
                <c:pt idx="169">
                  <c:v>366</c:v>
                </c:pt>
                <c:pt idx="170">
                  <c:v>377</c:v>
                </c:pt>
                <c:pt idx="171">
                  <c:v>379</c:v>
                </c:pt>
                <c:pt idx="172">
                  <c:v>391</c:v>
                </c:pt>
                <c:pt idx="173">
                  <c:v>400</c:v>
                </c:pt>
                <c:pt idx="174">
                  <c:v>407</c:v>
                </c:pt>
                <c:pt idx="175">
                  <c:v>414</c:v>
                </c:pt>
                <c:pt idx="176">
                  <c:v>423</c:v>
                </c:pt>
                <c:pt idx="177">
                  <c:v>421</c:v>
                </c:pt>
                <c:pt idx="178">
                  <c:v>415</c:v>
                </c:pt>
                <c:pt idx="179">
                  <c:v>403</c:v>
                </c:pt>
                <c:pt idx="180">
                  <c:v>401</c:v>
                </c:pt>
              </c:numCache>
            </c:numRef>
          </c:val>
          <c:smooth val="0"/>
        </c:ser>
        <c:ser>
          <c:idx val="6"/>
          <c:order val="6"/>
          <c:tx>
            <c:strRef>
              <c:f>'Sheet1 (14)'!$H$3:$H$4</c:f>
              <c:strCache>
                <c:ptCount val="1"/>
                <c:pt idx="0">
                  <c:v>Exenatide+Insulin</c:v>
                </c:pt>
              </c:strCache>
            </c:strRef>
          </c:tx>
          <c:marker>
            <c:symbol val="none"/>
          </c:marker>
          <c:cat>
            <c:strRef>
              <c:f>'Sheet1 (14)'!$A$5:$A$186</c:f>
              <c:strCache>
                <c:ptCount val="181"/>
                <c:pt idx="0">
                  <c:v>28/07/2010</c:v>
                </c:pt>
                <c:pt idx="1">
                  <c:v>4/08/2010</c:v>
                </c:pt>
                <c:pt idx="2">
                  <c:v>11/08/2010</c:v>
                </c:pt>
                <c:pt idx="3">
                  <c:v>18/08/2010</c:v>
                </c:pt>
                <c:pt idx="4">
                  <c:v>25/08/2010</c:v>
                </c:pt>
                <c:pt idx="5">
                  <c:v>1/09/2010</c:v>
                </c:pt>
                <c:pt idx="6">
                  <c:v>8/09/2010</c:v>
                </c:pt>
                <c:pt idx="7">
                  <c:v>15/09/2010</c:v>
                </c:pt>
                <c:pt idx="8">
                  <c:v>22/09/2010</c:v>
                </c:pt>
                <c:pt idx="9">
                  <c:v>29/09/2010</c:v>
                </c:pt>
                <c:pt idx="10">
                  <c:v>6/10/2010</c:v>
                </c:pt>
                <c:pt idx="11">
                  <c:v>13/10/2010</c:v>
                </c:pt>
                <c:pt idx="12">
                  <c:v>20/10/2010</c:v>
                </c:pt>
                <c:pt idx="13">
                  <c:v>27/10/2010</c:v>
                </c:pt>
                <c:pt idx="14">
                  <c:v>3/11/2010</c:v>
                </c:pt>
                <c:pt idx="15">
                  <c:v>10/11/2010</c:v>
                </c:pt>
                <c:pt idx="16">
                  <c:v>17/11/2010</c:v>
                </c:pt>
                <c:pt idx="17">
                  <c:v>24/11/2010</c:v>
                </c:pt>
                <c:pt idx="18">
                  <c:v>1/12/2010</c:v>
                </c:pt>
                <c:pt idx="19">
                  <c:v>8/12/2010</c:v>
                </c:pt>
                <c:pt idx="20">
                  <c:v>15/12/2010</c:v>
                </c:pt>
                <c:pt idx="21">
                  <c:v>22/12/2010</c:v>
                </c:pt>
                <c:pt idx="22">
                  <c:v>29/12/2010</c:v>
                </c:pt>
                <c:pt idx="23">
                  <c:v>5/01/2011</c:v>
                </c:pt>
                <c:pt idx="24">
                  <c:v>12/01/2011</c:v>
                </c:pt>
                <c:pt idx="25">
                  <c:v>19/01/2011</c:v>
                </c:pt>
                <c:pt idx="26">
                  <c:v>26/01/2011</c:v>
                </c:pt>
                <c:pt idx="27">
                  <c:v>2/02/2011</c:v>
                </c:pt>
                <c:pt idx="28">
                  <c:v>9/02/2011</c:v>
                </c:pt>
                <c:pt idx="29">
                  <c:v>16/02/2011</c:v>
                </c:pt>
                <c:pt idx="30">
                  <c:v>23/02/2011</c:v>
                </c:pt>
                <c:pt idx="31">
                  <c:v>2/03/2011</c:v>
                </c:pt>
                <c:pt idx="32">
                  <c:v>9/03/2011</c:v>
                </c:pt>
                <c:pt idx="33">
                  <c:v>16/03/2011</c:v>
                </c:pt>
                <c:pt idx="34">
                  <c:v>23/03/2011</c:v>
                </c:pt>
                <c:pt idx="35">
                  <c:v>30/03/2011</c:v>
                </c:pt>
                <c:pt idx="36">
                  <c:v>6/04/2011</c:v>
                </c:pt>
                <c:pt idx="37">
                  <c:v>13/04/2011</c:v>
                </c:pt>
                <c:pt idx="38">
                  <c:v>20/04/2011</c:v>
                </c:pt>
                <c:pt idx="39">
                  <c:v>27/04/2011</c:v>
                </c:pt>
                <c:pt idx="40">
                  <c:v>4/05/2011</c:v>
                </c:pt>
                <c:pt idx="41">
                  <c:v>11/05/2011</c:v>
                </c:pt>
                <c:pt idx="42">
                  <c:v>18/05/2011</c:v>
                </c:pt>
                <c:pt idx="43">
                  <c:v>25/05/2011</c:v>
                </c:pt>
                <c:pt idx="44">
                  <c:v>1/06/2011</c:v>
                </c:pt>
                <c:pt idx="45">
                  <c:v>8/06/2011</c:v>
                </c:pt>
                <c:pt idx="46">
                  <c:v>15/06/2011</c:v>
                </c:pt>
                <c:pt idx="47">
                  <c:v>22/06/2011</c:v>
                </c:pt>
                <c:pt idx="48">
                  <c:v>29/06/2011</c:v>
                </c:pt>
                <c:pt idx="49">
                  <c:v>6/07/2011</c:v>
                </c:pt>
                <c:pt idx="50">
                  <c:v>13/07/2011</c:v>
                </c:pt>
                <c:pt idx="51">
                  <c:v>20/07/2011</c:v>
                </c:pt>
                <c:pt idx="52">
                  <c:v>27/07/2011</c:v>
                </c:pt>
                <c:pt idx="53">
                  <c:v>3/08/2011</c:v>
                </c:pt>
                <c:pt idx="54">
                  <c:v>10/08/2011</c:v>
                </c:pt>
                <c:pt idx="55">
                  <c:v>17/08/2011</c:v>
                </c:pt>
                <c:pt idx="56">
                  <c:v>24/08/2011</c:v>
                </c:pt>
                <c:pt idx="57">
                  <c:v>31/08/2011</c:v>
                </c:pt>
                <c:pt idx="58">
                  <c:v>7/09/2011</c:v>
                </c:pt>
                <c:pt idx="59">
                  <c:v>14/09/2011</c:v>
                </c:pt>
                <c:pt idx="60">
                  <c:v>21/09/2011</c:v>
                </c:pt>
                <c:pt idx="61">
                  <c:v>28/09/2011</c:v>
                </c:pt>
                <c:pt idx="62">
                  <c:v>5/10/2011</c:v>
                </c:pt>
                <c:pt idx="63">
                  <c:v>12/10/2011</c:v>
                </c:pt>
                <c:pt idx="64">
                  <c:v>19/10/2011</c:v>
                </c:pt>
                <c:pt idx="65">
                  <c:v>26/10/2011</c:v>
                </c:pt>
                <c:pt idx="66">
                  <c:v>2/11/2011</c:v>
                </c:pt>
                <c:pt idx="67">
                  <c:v>9/11/2011</c:v>
                </c:pt>
                <c:pt idx="68">
                  <c:v>16/11/2011</c:v>
                </c:pt>
                <c:pt idx="69">
                  <c:v>23/11/2011</c:v>
                </c:pt>
                <c:pt idx="70">
                  <c:v>30/11/2011</c:v>
                </c:pt>
                <c:pt idx="71">
                  <c:v>7/12/2011</c:v>
                </c:pt>
                <c:pt idx="72">
                  <c:v>14/12/2011</c:v>
                </c:pt>
                <c:pt idx="73">
                  <c:v>21/12/2011</c:v>
                </c:pt>
                <c:pt idx="74">
                  <c:v>28/12/2011</c:v>
                </c:pt>
                <c:pt idx="75">
                  <c:v>4/01/2012</c:v>
                </c:pt>
                <c:pt idx="76">
                  <c:v>11/01/2012</c:v>
                </c:pt>
                <c:pt idx="77">
                  <c:v>18/01/2012</c:v>
                </c:pt>
                <c:pt idx="78">
                  <c:v>25/01/2012</c:v>
                </c:pt>
                <c:pt idx="79">
                  <c:v>1/02/2012</c:v>
                </c:pt>
                <c:pt idx="80">
                  <c:v>8/02/2012</c:v>
                </c:pt>
                <c:pt idx="81">
                  <c:v>15/02/2012</c:v>
                </c:pt>
                <c:pt idx="82">
                  <c:v>22/02/2012</c:v>
                </c:pt>
                <c:pt idx="83">
                  <c:v>29/02/2012</c:v>
                </c:pt>
                <c:pt idx="84">
                  <c:v>7/03/2012</c:v>
                </c:pt>
                <c:pt idx="85">
                  <c:v>14/03/2012</c:v>
                </c:pt>
                <c:pt idx="86">
                  <c:v>21/03/2012</c:v>
                </c:pt>
                <c:pt idx="87">
                  <c:v>28/03/2012</c:v>
                </c:pt>
                <c:pt idx="88">
                  <c:v>4/04/2012</c:v>
                </c:pt>
                <c:pt idx="89">
                  <c:v>11/04/2012</c:v>
                </c:pt>
                <c:pt idx="90">
                  <c:v>18/04/2012</c:v>
                </c:pt>
                <c:pt idx="91">
                  <c:v>25/04/2012</c:v>
                </c:pt>
                <c:pt idx="92">
                  <c:v>2/05/2012</c:v>
                </c:pt>
                <c:pt idx="93">
                  <c:v>9/05/2012</c:v>
                </c:pt>
                <c:pt idx="94">
                  <c:v>16/05/2012</c:v>
                </c:pt>
                <c:pt idx="95">
                  <c:v>23/05/2012</c:v>
                </c:pt>
                <c:pt idx="96">
                  <c:v>30/05/2012</c:v>
                </c:pt>
                <c:pt idx="97">
                  <c:v>6/06/2012</c:v>
                </c:pt>
                <c:pt idx="98">
                  <c:v>13/06/2012</c:v>
                </c:pt>
                <c:pt idx="99">
                  <c:v>20/06/2012</c:v>
                </c:pt>
                <c:pt idx="100">
                  <c:v>27/06/2012</c:v>
                </c:pt>
                <c:pt idx="101">
                  <c:v>4/07/2012</c:v>
                </c:pt>
                <c:pt idx="102">
                  <c:v>11/07/2012</c:v>
                </c:pt>
                <c:pt idx="103">
                  <c:v>18/07/2012</c:v>
                </c:pt>
                <c:pt idx="104">
                  <c:v>25/07/2012</c:v>
                </c:pt>
                <c:pt idx="105">
                  <c:v>1/08/2012</c:v>
                </c:pt>
                <c:pt idx="106">
                  <c:v>8/08/2012</c:v>
                </c:pt>
                <c:pt idx="107">
                  <c:v>15/08/2012</c:v>
                </c:pt>
                <c:pt idx="108">
                  <c:v>22/08/2012</c:v>
                </c:pt>
                <c:pt idx="109">
                  <c:v>29/08/2012</c:v>
                </c:pt>
                <c:pt idx="110">
                  <c:v>5/09/2012</c:v>
                </c:pt>
                <c:pt idx="111">
                  <c:v>12/09/2012</c:v>
                </c:pt>
                <c:pt idx="112">
                  <c:v>19/09/2012</c:v>
                </c:pt>
                <c:pt idx="113">
                  <c:v>26/09/2012</c:v>
                </c:pt>
                <c:pt idx="114">
                  <c:v>3/10/2012</c:v>
                </c:pt>
                <c:pt idx="115">
                  <c:v>10/10/2012</c:v>
                </c:pt>
                <c:pt idx="116">
                  <c:v>17/10/2012</c:v>
                </c:pt>
                <c:pt idx="117">
                  <c:v>24/10/2012</c:v>
                </c:pt>
                <c:pt idx="118">
                  <c:v>31/10/2012</c:v>
                </c:pt>
                <c:pt idx="119">
                  <c:v>7/11/2012</c:v>
                </c:pt>
                <c:pt idx="120">
                  <c:v>14/11/2012</c:v>
                </c:pt>
                <c:pt idx="121">
                  <c:v>21/11/2012</c:v>
                </c:pt>
                <c:pt idx="122">
                  <c:v>28/11/2012</c:v>
                </c:pt>
                <c:pt idx="123">
                  <c:v>5/12/2012</c:v>
                </c:pt>
                <c:pt idx="124">
                  <c:v>12/12/2012</c:v>
                </c:pt>
                <c:pt idx="125">
                  <c:v>19/12/2012</c:v>
                </c:pt>
                <c:pt idx="126">
                  <c:v>26/12/2012</c:v>
                </c:pt>
                <c:pt idx="127">
                  <c:v>2/01/2013</c:v>
                </c:pt>
                <c:pt idx="128">
                  <c:v>9/01/2013</c:v>
                </c:pt>
                <c:pt idx="129">
                  <c:v>16/01/2013</c:v>
                </c:pt>
                <c:pt idx="130">
                  <c:v>23/01/2013</c:v>
                </c:pt>
                <c:pt idx="131">
                  <c:v>30/01/2013</c:v>
                </c:pt>
                <c:pt idx="132">
                  <c:v>6/02/2013</c:v>
                </c:pt>
                <c:pt idx="133">
                  <c:v>13/02/2013</c:v>
                </c:pt>
                <c:pt idx="134">
                  <c:v>20/02/2013</c:v>
                </c:pt>
                <c:pt idx="135">
                  <c:v>27/02/2013</c:v>
                </c:pt>
                <c:pt idx="136">
                  <c:v>6/03/2013</c:v>
                </c:pt>
                <c:pt idx="137">
                  <c:v>13/03/2013</c:v>
                </c:pt>
                <c:pt idx="138">
                  <c:v>20/03/2013</c:v>
                </c:pt>
                <c:pt idx="139">
                  <c:v>27/03/2013</c:v>
                </c:pt>
                <c:pt idx="140">
                  <c:v>3/04/2013</c:v>
                </c:pt>
                <c:pt idx="141">
                  <c:v>10/04/2013</c:v>
                </c:pt>
                <c:pt idx="142">
                  <c:v>17/04/2013</c:v>
                </c:pt>
                <c:pt idx="143">
                  <c:v>24/04/2013</c:v>
                </c:pt>
                <c:pt idx="144">
                  <c:v>1/05/2013</c:v>
                </c:pt>
                <c:pt idx="145">
                  <c:v>8/05/2013</c:v>
                </c:pt>
                <c:pt idx="146">
                  <c:v>15/05/2013</c:v>
                </c:pt>
                <c:pt idx="147">
                  <c:v>22/05/2013</c:v>
                </c:pt>
                <c:pt idx="148">
                  <c:v>29/05/2013</c:v>
                </c:pt>
                <c:pt idx="149">
                  <c:v>5/06/2013</c:v>
                </c:pt>
                <c:pt idx="150">
                  <c:v>12/06/2013</c:v>
                </c:pt>
                <c:pt idx="151">
                  <c:v>19/06/2013</c:v>
                </c:pt>
                <c:pt idx="152">
                  <c:v>26/06/2013</c:v>
                </c:pt>
                <c:pt idx="153">
                  <c:v>3/07/2013</c:v>
                </c:pt>
                <c:pt idx="154">
                  <c:v>10/07/2013</c:v>
                </c:pt>
                <c:pt idx="155">
                  <c:v>17/07/2013</c:v>
                </c:pt>
                <c:pt idx="156">
                  <c:v>24/07/2013</c:v>
                </c:pt>
                <c:pt idx="157">
                  <c:v>31/07/2013</c:v>
                </c:pt>
                <c:pt idx="158">
                  <c:v>7/08/2013</c:v>
                </c:pt>
                <c:pt idx="159">
                  <c:v>14/08/2013</c:v>
                </c:pt>
                <c:pt idx="160">
                  <c:v>21/08/2013</c:v>
                </c:pt>
                <c:pt idx="161">
                  <c:v>28/08/2013</c:v>
                </c:pt>
                <c:pt idx="162">
                  <c:v>4/09/2013</c:v>
                </c:pt>
                <c:pt idx="163">
                  <c:v>11/09/2013</c:v>
                </c:pt>
                <c:pt idx="164">
                  <c:v>18/09/2013</c:v>
                </c:pt>
                <c:pt idx="165">
                  <c:v>25/09/2013</c:v>
                </c:pt>
                <c:pt idx="166">
                  <c:v>2/10/2013</c:v>
                </c:pt>
                <c:pt idx="167">
                  <c:v>9/10/2013</c:v>
                </c:pt>
                <c:pt idx="168">
                  <c:v>16/10/2013</c:v>
                </c:pt>
                <c:pt idx="169">
                  <c:v>23/10/2013</c:v>
                </c:pt>
                <c:pt idx="170">
                  <c:v>30/10/2013</c:v>
                </c:pt>
                <c:pt idx="171">
                  <c:v>6/11/2013</c:v>
                </c:pt>
                <c:pt idx="172">
                  <c:v>13/11/2013</c:v>
                </c:pt>
                <c:pt idx="173">
                  <c:v>20/11/2013</c:v>
                </c:pt>
                <c:pt idx="174">
                  <c:v>27/11/2013</c:v>
                </c:pt>
                <c:pt idx="175">
                  <c:v>4/12/2013</c:v>
                </c:pt>
                <c:pt idx="176">
                  <c:v>11/12/2013</c:v>
                </c:pt>
                <c:pt idx="177">
                  <c:v>18/12/2013</c:v>
                </c:pt>
                <c:pt idx="178">
                  <c:v>25/12/2013</c:v>
                </c:pt>
                <c:pt idx="179">
                  <c:v>1/01/2014</c:v>
                </c:pt>
                <c:pt idx="180">
                  <c:v>8/01/2014</c:v>
                </c:pt>
              </c:strCache>
            </c:strRef>
          </c:cat>
          <c:val>
            <c:numRef>
              <c:f>'Sheet1 (14)'!$H$5:$H$186</c:f>
              <c:numCache>
                <c:formatCode>General</c:formatCode>
                <c:ptCount val="181"/>
                <c:pt idx="0">
                  <c:v>0</c:v>
                </c:pt>
                <c:pt idx="1">
                  <c:v>3</c:v>
                </c:pt>
                <c:pt idx="2">
                  <c:v>8</c:v>
                </c:pt>
                <c:pt idx="3">
                  <c:v>9</c:v>
                </c:pt>
                <c:pt idx="4">
                  <c:v>10</c:v>
                </c:pt>
                <c:pt idx="5">
                  <c:v>12</c:v>
                </c:pt>
                <c:pt idx="6">
                  <c:v>15</c:v>
                </c:pt>
                <c:pt idx="7">
                  <c:v>15</c:v>
                </c:pt>
                <c:pt idx="8">
                  <c:v>14</c:v>
                </c:pt>
                <c:pt idx="9">
                  <c:v>16</c:v>
                </c:pt>
                <c:pt idx="10">
                  <c:v>17</c:v>
                </c:pt>
                <c:pt idx="11">
                  <c:v>19</c:v>
                </c:pt>
                <c:pt idx="12">
                  <c:v>20</c:v>
                </c:pt>
                <c:pt idx="13">
                  <c:v>25</c:v>
                </c:pt>
                <c:pt idx="14">
                  <c:v>25</c:v>
                </c:pt>
                <c:pt idx="15">
                  <c:v>25</c:v>
                </c:pt>
                <c:pt idx="16">
                  <c:v>28</c:v>
                </c:pt>
                <c:pt idx="17">
                  <c:v>29</c:v>
                </c:pt>
                <c:pt idx="18">
                  <c:v>29</c:v>
                </c:pt>
                <c:pt idx="19">
                  <c:v>29</c:v>
                </c:pt>
                <c:pt idx="20">
                  <c:v>28</c:v>
                </c:pt>
                <c:pt idx="21">
                  <c:v>30</c:v>
                </c:pt>
                <c:pt idx="22">
                  <c:v>26</c:v>
                </c:pt>
                <c:pt idx="23">
                  <c:v>26</c:v>
                </c:pt>
                <c:pt idx="24">
                  <c:v>25</c:v>
                </c:pt>
                <c:pt idx="25">
                  <c:v>28</c:v>
                </c:pt>
                <c:pt idx="26">
                  <c:v>32</c:v>
                </c:pt>
                <c:pt idx="27">
                  <c:v>37</c:v>
                </c:pt>
                <c:pt idx="28">
                  <c:v>42</c:v>
                </c:pt>
                <c:pt idx="29">
                  <c:v>46</c:v>
                </c:pt>
                <c:pt idx="30">
                  <c:v>46</c:v>
                </c:pt>
                <c:pt idx="31">
                  <c:v>41</c:v>
                </c:pt>
                <c:pt idx="32">
                  <c:v>38</c:v>
                </c:pt>
                <c:pt idx="33">
                  <c:v>38</c:v>
                </c:pt>
                <c:pt idx="34">
                  <c:v>42</c:v>
                </c:pt>
                <c:pt idx="35">
                  <c:v>42</c:v>
                </c:pt>
                <c:pt idx="36">
                  <c:v>42</c:v>
                </c:pt>
                <c:pt idx="37">
                  <c:v>48</c:v>
                </c:pt>
                <c:pt idx="38">
                  <c:v>44</c:v>
                </c:pt>
                <c:pt idx="39">
                  <c:v>45</c:v>
                </c:pt>
                <c:pt idx="40">
                  <c:v>47</c:v>
                </c:pt>
                <c:pt idx="41">
                  <c:v>47</c:v>
                </c:pt>
                <c:pt idx="42">
                  <c:v>50</c:v>
                </c:pt>
                <c:pt idx="43">
                  <c:v>47</c:v>
                </c:pt>
                <c:pt idx="44">
                  <c:v>48</c:v>
                </c:pt>
                <c:pt idx="45">
                  <c:v>46</c:v>
                </c:pt>
                <c:pt idx="46">
                  <c:v>46</c:v>
                </c:pt>
                <c:pt idx="47">
                  <c:v>45</c:v>
                </c:pt>
                <c:pt idx="48">
                  <c:v>49</c:v>
                </c:pt>
                <c:pt idx="49">
                  <c:v>54</c:v>
                </c:pt>
                <c:pt idx="50">
                  <c:v>53</c:v>
                </c:pt>
                <c:pt idx="51">
                  <c:v>51</c:v>
                </c:pt>
                <c:pt idx="52">
                  <c:v>55</c:v>
                </c:pt>
                <c:pt idx="53">
                  <c:v>57</c:v>
                </c:pt>
                <c:pt idx="54">
                  <c:v>53</c:v>
                </c:pt>
                <c:pt idx="55">
                  <c:v>51</c:v>
                </c:pt>
                <c:pt idx="56">
                  <c:v>57</c:v>
                </c:pt>
                <c:pt idx="57">
                  <c:v>58</c:v>
                </c:pt>
                <c:pt idx="58">
                  <c:v>58</c:v>
                </c:pt>
                <c:pt idx="59">
                  <c:v>54</c:v>
                </c:pt>
                <c:pt idx="60">
                  <c:v>54</c:v>
                </c:pt>
                <c:pt idx="61">
                  <c:v>57</c:v>
                </c:pt>
                <c:pt idx="62">
                  <c:v>61</c:v>
                </c:pt>
                <c:pt idx="63">
                  <c:v>59</c:v>
                </c:pt>
                <c:pt idx="64">
                  <c:v>58</c:v>
                </c:pt>
                <c:pt idx="65">
                  <c:v>53</c:v>
                </c:pt>
                <c:pt idx="66">
                  <c:v>49</c:v>
                </c:pt>
                <c:pt idx="67">
                  <c:v>47</c:v>
                </c:pt>
                <c:pt idx="68">
                  <c:v>52</c:v>
                </c:pt>
                <c:pt idx="69">
                  <c:v>50</c:v>
                </c:pt>
                <c:pt idx="70">
                  <c:v>54</c:v>
                </c:pt>
                <c:pt idx="71">
                  <c:v>55</c:v>
                </c:pt>
                <c:pt idx="72">
                  <c:v>56</c:v>
                </c:pt>
                <c:pt idx="73">
                  <c:v>53</c:v>
                </c:pt>
                <c:pt idx="74">
                  <c:v>52</c:v>
                </c:pt>
                <c:pt idx="75">
                  <c:v>57</c:v>
                </c:pt>
                <c:pt idx="76">
                  <c:v>57</c:v>
                </c:pt>
                <c:pt idx="77">
                  <c:v>59</c:v>
                </c:pt>
                <c:pt idx="78">
                  <c:v>61</c:v>
                </c:pt>
                <c:pt idx="79">
                  <c:v>65</c:v>
                </c:pt>
                <c:pt idx="80">
                  <c:v>61</c:v>
                </c:pt>
                <c:pt idx="81">
                  <c:v>63</c:v>
                </c:pt>
                <c:pt idx="82">
                  <c:v>66</c:v>
                </c:pt>
                <c:pt idx="83">
                  <c:v>71</c:v>
                </c:pt>
                <c:pt idx="84">
                  <c:v>73</c:v>
                </c:pt>
                <c:pt idx="85">
                  <c:v>75</c:v>
                </c:pt>
                <c:pt idx="86">
                  <c:v>73</c:v>
                </c:pt>
                <c:pt idx="87">
                  <c:v>77</c:v>
                </c:pt>
                <c:pt idx="88">
                  <c:v>76</c:v>
                </c:pt>
                <c:pt idx="89">
                  <c:v>74</c:v>
                </c:pt>
                <c:pt idx="90">
                  <c:v>75</c:v>
                </c:pt>
                <c:pt idx="91">
                  <c:v>80</c:v>
                </c:pt>
                <c:pt idx="92">
                  <c:v>82</c:v>
                </c:pt>
                <c:pt idx="93">
                  <c:v>76</c:v>
                </c:pt>
                <c:pt idx="94">
                  <c:v>78</c:v>
                </c:pt>
                <c:pt idx="95">
                  <c:v>78</c:v>
                </c:pt>
                <c:pt idx="96">
                  <c:v>77</c:v>
                </c:pt>
                <c:pt idx="97">
                  <c:v>78</c:v>
                </c:pt>
                <c:pt idx="98">
                  <c:v>77</c:v>
                </c:pt>
                <c:pt idx="99">
                  <c:v>77</c:v>
                </c:pt>
                <c:pt idx="100">
                  <c:v>79</c:v>
                </c:pt>
                <c:pt idx="101">
                  <c:v>77</c:v>
                </c:pt>
                <c:pt idx="102">
                  <c:v>79</c:v>
                </c:pt>
                <c:pt idx="103">
                  <c:v>83</c:v>
                </c:pt>
                <c:pt idx="104">
                  <c:v>85</c:v>
                </c:pt>
                <c:pt idx="105">
                  <c:v>84</c:v>
                </c:pt>
                <c:pt idx="106">
                  <c:v>86</c:v>
                </c:pt>
                <c:pt idx="107">
                  <c:v>89</c:v>
                </c:pt>
                <c:pt idx="108">
                  <c:v>86</c:v>
                </c:pt>
                <c:pt idx="109">
                  <c:v>84</c:v>
                </c:pt>
                <c:pt idx="110">
                  <c:v>82</c:v>
                </c:pt>
                <c:pt idx="111">
                  <c:v>75</c:v>
                </c:pt>
                <c:pt idx="112">
                  <c:v>82</c:v>
                </c:pt>
                <c:pt idx="113">
                  <c:v>88</c:v>
                </c:pt>
                <c:pt idx="114">
                  <c:v>83</c:v>
                </c:pt>
                <c:pt idx="115">
                  <c:v>85</c:v>
                </c:pt>
                <c:pt idx="116">
                  <c:v>87</c:v>
                </c:pt>
                <c:pt idx="117">
                  <c:v>88</c:v>
                </c:pt>
                <c:pt idx="118">
                  <c:v>86</c:v>
                </c:pt>
                <c:pt idx="119">
                  <c:v>86</c:v>
                </c:pt>
                <c:pt idx="120">
                  <c:v>88</c:v>
                </c:pt>
                <c:pt idx="121">
                  <c:v>93</c:v>
                </c:pt>
                <c:pt idx="122">
                  <c:v>98</c:v>
                </c:pt>
                <c:pt idx="123">
                  <c:v>95</c:v>
                </c:pt>
                <c:pt idx="124">
                  <c:v>102</c:v>
                </c:pt>
                <c:pt idx="125">
                  <c:v>96</c:v>
                </c:pt>
                <c:pt idx="126">
                  <c:v>92</c:v>
                </c:pt>
                <c:pt idx="127">
                  <c:v>99</c:v>
                </c:pt>
                <c:pt idx="128">
                  <c:v>106</c:v>
                </c:pt>
                <c:pt idx="129">
                  <c:v>118</c:v>
                </c:pt>
                <c:pt idx="130">
                  <c:v>115</c:v>
                </c:pt>
                <c:pt idx="131">
                  <c:v>128</c:v>
                </c:pt>
                <c:pt idx="132">
                  <c:v>134</c:v>
                </c:pt>
                <c:pt idx="133">
                  <c:v>147</c:v>
                </c:pt>
                <c:pt idx="134">
                  <c:v>152</c:v>
                </c:pt>
                <c:pt idx="135">
                  <c:v>149</c:v>
                </c:pt>
                <c:pt idx="136">
                  <c:v>151</c:v>
                </c:pt>
                <c:pt idx="137">
                  <c:v>153</c:v>
                </c:pt>
                <c:pt idx="138">
                  <c:v>147</c:v>
                </c:pt>
                <c:pt idx="139">
                  <c:v>148</c:v>
                </c:pt>
                <c:pt idx="140">
                  <c:v>148</c:v>
                </c:pt>
                <c:pt idx="141">
                  <c:v>146</c:v>
                </c:pt>
                <c:pt idx="142">
                  <c:v>150</c:v>
                </c:pt>
                <c:pt idx="143">
                  <c:v>162</c:v>
                </c:pt>
                <c:pt idx="144">
                  <c:v>156</c:v>
                </c:pt>
                <c:pt idx="145">
                  <c:v>151</c:v>
                </c:pt>
                <c:pt idx="146">
                  <c:v>159</c:v>
                </c:pt>
                <c:pt idx="147">
                  <c:v>153</c:v>
                </c:pt>
                <c:pt idx="148">
                  <c:v>149</c:v>
                </c:pt>
                <c:pt idx="149">
                  <c:v>144</c:v>
                </c:pt>
                <c:pt idx="150">
                  <c:v>145</c:v>
                </c:pt>
                <c:pt idx="151">
                  <c:v>141</c:v>
                </c:pt>
                <c:pt idx="152">
                  <c:v>145</c:v>
                </c:pt>
                <c:pt idx="153">
                  <c:v>149</c:v>
                </c:pt>
                <c:pt idx="154">
                  <c:v>147</c:v>
                </c:pt>
                <c:pt idx="155">
                  <c:v>155</c:v>
                </c:pt>
                <c:pt idx="156">
                  <c:v>156</c:v>
                </c:pt>
                <c:pt idx="157">
                  <c:v>155</c:v>
                </c:pt>
                <c:pt idx="158">
                  <c:v>150</c:v>
                </c:pt>
                <c:pt idx="159">
                  <c:v>152</c:v>
                </c:pt>
                <c:pt idx="160">
                  <c:v>150</c:v>
                </c:pt>
                <c:pt idx="161">
                  <c:v>147</c:v>
                </c:pt>
                <c:pt idx="162">
                  <c:v>141</c:v>
                </c:pt>
                <c:pt idx="163">
                  <c:v>145</c:v>
                </c:pt>
                <c:pt idx="164">
                  <c:v>150</c:v>
                </c:pt>
                <c:pt idx="165">
                  <c:v>150</c:v>
                </c:pt>
                <c:pt idx="166">
                  <c:v>148</c:v>
                </c:pt>
                <c:pt idx="167">
                  <c:v>147</c:v>
                </c:pt>
                <c:pt idx="168">
                  <c:v>147</c:v>
                </c:pt>
                <c:pt idx="169">
                  <c:v>143</c:v>
                </c:pt>
                <c:pt idx="170">
                  <c:v>147</c:v>
                </c:pt>
                <c:pt idx="171">
                  <c:v>157</c:v>
                </c:pt>
                <c:pt idx="172">
                  <c:v>155</c:v>
                </c:pt>
                <c:pt idx="173">
                  <c:v>152</c:v>
                </c:pt>
                <c:pt idx="174">
                  <c:v>155</c:v>
                </c:pt>
                <c:pt idx="175">
                  <c:v>157</c:v>
                </c:pt>
                <c:pt idx="176">
                  <c:v>158</c:v>
                </c:pt>
                <c:pt idx="177">
                  <c:v>162</c:v>
                </c:pt>
                <c:pt idx="178">
                  <c:v>159</c:v>
                </c:pt>
                <c:pt idx="179">
                  <c:v>157</c:v>
                </c:pt>
                <c:pt idx="180">
                  <c:v>161</c:v>
                </c:pt>
              </c:numCache>
            </c:numRef>
          </c:val>
          <c:smooth val="0"/>
        </c:ser>
        <c:ser>
          <c:idx val="7"/>
          <c:order val="7"/>
          <c:tx>
            <c:strRef>
              <c:f>'Sheet1 (14)'!$I$3:$I$4</c:f>
              <c:strCache>
                <c:ptCount val="1"/>
                <c:pt idx="0">
                  <c:v>Exenatide+Gliptin+Metformin</c:v>
                </c:pt>
              </c:strCache>
            </c:strRef>
          </c:tx>
          <c:marker>
            <c:symbol val="none"/>
          </c:marker>
          <c:cat>
            <c:strRef>
              <c:f>'Sheet1 (14)'!$A$5:$A$186</c:f>
              <c:strCache>
                <c:ptCount val="181"/>
                <c:pt idx="0">
                  <c:v>28/07/2010</c:v>
                </c:pt>
                <c:pt idx="1">
                  <c:v>4/08/2010</c:v>
                </c:pt>
                <c:pt idx="2">
                  <c:v>11/08/2010</c:v>
                </c:pt>
                <c:pt idx="3">
                  <c:v>18/08/2010</c:v>
                </c:pt>
                <c:pt idx="4">
                  <c:v>25/08/2010</c:v>
                </c:pt>
                <c:pt idx="5">
                  <c:v>1/09/2010</c:v>
                </c:pt>
                <c:pt idx="6">
                  <c:v>8/09/2010</c:v>
                </c:pt>
                <c:pt idx="7">
                  <c:v>15/09/2010</c:v>
                </c:pt>
                <c:pt idx="8">
                  <c:v>22/09/2010</c:v>
                </c:pt>
                <c:pt idx="9">
                  <c:v>29/09/2010</c:v>
                </c:pt>
                <c:pt idx="10">
                  <c:v>6/10/2010</c:v>
                </c:pt>
                <c:pt idx="11">
                  <c:v>13/10/2010</c:v>
                </c:pt>
                <c:pt idx="12">
                  <c:v>20/10/2010</c:v>
                </c:pt>
                <c:pt idx="13">
                  <c:v>27/10/2010</c:v>
                </c:pt>
                <c:pt idx="14">
                  <c:v>3/11/2010</c:v>
                </c:pt>
                <c:pt idx="15">
                  <c:v>10/11/2010</c:v>
                </c:pt>
                <c:pt idx="16">
                  <c:v>17/11/2010</c:v>
                </c:pt>
                <c:pt idx="17">
                  <c:v>24/11/2010</c:v>
                </c:pt>
                <c:pt idx="18">
                  <c:v>1/12/2010</c:v>
                </c:pt>
                <c:pt idx="19">
                  <c:v>8/12/2010</c:v>
                </c:pt>
                <c:pt idx="20">
                  <c:v>15/12/2010</c:v>
                </c:pt>
                <c:pt idx="21">
                  <c:v>22/12/2010</c:v>
                </c:pt>
                <c:pt idx="22">
                  <c:v>29/12/2010</c:v>
                </c:pt>
                <c:pt idx="23">
                  <c:v>5/01/2011</c:v>
                </c:pt>
                <c:pt idx="24">
                  <c:v>12/01/2011</c:v>
                </c:pt>
                <c:pt idx="25">
                  <c:v>19/01/2011</c:v>
                </c:pt>
                <c:pt idx="26">
                  <c:v>26/01/2011</c:v>
                </c:pt>
                <c:pt idx="27">
                  <c:v>2/02/2011</c:v>
                </c:pt>
                <c:pt idx="28">
                  <c:v>9/02/2011</c:v>
                </c:pt>
                <c:pt idx="29">
                  <c:v>16/02/2011</c:v>
                </c:pt>
                <c:pt idx="30">
                  <c:v>23/02/2011</c:v>
                </c:pt>
                <c:pt idx="31">
                  <c:v>2/03/2011</c:v>
                </c:pt>
                <c:pt idx="32">
                  <c:v>9/03/2011</c:v>
                </c:pt>
                <c:pt idx="33">
                  <c:v>16/03/2011</c:v>
                </c:pt>
                <c:pt idx="34">
                  <c:v>23/03/2011</c:v>
                </c:pt>
                <c:pt idx="35">
                  <c:v>30/03/2011</c:v>
                </c:pt>
                <c:pt idx="36">
                  <c:v>6/04/2011</c:v>
                </c:pt>
                <c:pt idx="37">
                  <c:v>13/04/2011</c:v>
                </c:pt>
                <c:pt idx="38">
                  <c:v>20/04/2011</c:v>
                </c:pt>
                <c:pt idx="39">
                  <c:v>27/04/2011</c:v>
                </c:pt>
                <c:pt idx="40">
                  <c:v>4/05/2011</c:v>
                </c:pt>
                <c:pt idx="41">
                  <c:v>11/05/2011</c:v>
                </c:pt>
                <c:pt idx="42">
                  <c:v>18/05/2011</c:v>
                </c:pt>
                <c:pt idx="43">
                  <c:v>25/05/2011</c:v>
                </c:pt>
                <c:pt idx="44">
                  <c:v>1/06/2011</c:v>
                </c:pt>
                <c:pt idx="45">
                  <c:v>8/06/2011</c:v>
                </c:pt>
                <c:pt idx="46">
                  <c:v>15/06/2011</c:v>
                </c:pt>
                <c:pt idx="47">
                  <c:v>22/06/2011</c:v>
                </c:pt>
                <c:pt idx="48">
                  <c:v>29/06/2011</c:v>
                </c:pt>
                <c:pt idx="49">
                  <c:v>6/07/2011</c:v>
                </c:pt>
                <c:pt idx="50">
                  <c:v>13/07/2011</c:v>
                </c:pt>
                <c:pt idx="51">
                  <c:v>20/07/2011</c:v>
                </c:pt>
                <c:pt idx="52">
                  <c:v>27/07/2011</c:v>
                </c:pt>
                <c:pt idx="53">
                  <c:v>3/08/2011</c:v>
                </c:pt>
                <c:pt idx="54">
                  <c:v>10/08/2011</c:v>
                </c:pt>
                <c:pt idx="55">
                  <c:v>17/08/2011</c:v>
                </c:pt>
                <c:pt idx="56">
                  <c:v>24/08/2011</c:v>
                </c:pt>
                <c:pt idx="57">
                  <c:v>31/08/2011</c:v>
                </c:pt>
                <c:pt idx="58">
                  <c:v>7/09/2011</c:v>
                </c:pt>
                <c:pt idx="59">
                  <c:v>14/09/2011</c:v>
                </c:pt>
                <c:pt idx="60">
                  <c:v>21/09/2011</c:v>
                </c:pt>
                <c:pt idx="61">
                  <c:v>28/09/2011</c:v>
                </c:pt>
                <c:pt idx="62">
                  <c:v>5/10/2011</c:v>
                </c:pt>
                <c:pt idx="63">
                  <c:v>12/10/2011</c:v>
                </c:pt>
                <c:pt idx="64">
                  <c:v>19/10/2011</c:v>
                </c:pt>
                <c:pt idx="65">
                  <c:v>26/10/2011</c:v>
                </c:pt>
                <c:pt idx="66">
                  <c:v>2/11/2011</c:v>
                </c:pt>
                <c:pt idx="67">
                  <c:v>9/11/2011</c:v>
                </c:pt>
                <c:pt idx="68">
                  <c:v>16/11/2011</c:v>
                </c:pt>
                <c:pt idx="69">
                  <c:v>23/11/2011</c:v>
                </c:pt>
                <c:pt idx="70">
                  <c:v>30/11/2011</c:v>
                </c:pt>
                <c:pt idx="71">
                  <c:v>7/12/2011</c:v>
                </c:pt>
                <c:pt idx="72">
                  <c:v>14/12/2011</c:v>
                </c:pt>
                <c:pt idx="73">
                  <c:v>21/12/2011</c:v>
                </c:pt>
                <c:pt idx="74">
                  <c:v>28/12/2011</c:v>
                </c:pt>
                <c:pt idx="75">
                  <c:v>4/01/2012</c:v>
                </c:pt>
                <c:pt idx="76">
                  <c:v>11/01/2012</c:v>
                </c:pt>
                <c:pt idx="77">
                  <c:v>18/01/2012</c:v>
                </c:pt>
                <c:pt idx="78">
                  <c:v>25/01/2012</c:v>
                </c:pt>
                <c:pt idx="79">
                  <c:v>1/02/2012</c:v>
                </c:pt>
                <c:pt idx="80">
                  <c:v>8/02/2012</c:v>
                </c:pt>
                <c:pt idx="81">
                  <c:v>15/02/2012</c:v>
                </c:pt>
                <c:pt idx="82">
                  <c:v>22/02/2012</c:v>
                </c:pt>
                <c:pt idx="83">
                  <c:v>29/02/2012</c:v>
                </c:pt>
                <c:pt idx="84">
                  <c:v>7/03/2012</c:v>
                </c:pt>
                <c:pt idx="85">
                  <c:v>14/03/2012</c:v>
                </c:pt>
                <c:pt idx="86">
                  <c:v>21/03/2012</c:v>
                </c:pt>
                <c:pt idx="87">
                  <c:v>28/03/2012</c:v>
                </c:pt>
                <c:pt idx="88">
                  <c:v>4/04/2012</c:v>
                </c:pt>
                <c:pt idx="89">
                  <c:v>11/04/2012</c:v>
                </c:pt>
                <c:pt idx="90">
                  <c:v>18/04/2012</c:v>
                </c:pt>
                <c:pt idx="91">
                  <c:v>25/04/2012</c:v>
                </c:pt>
                <c:pt idx="92">
                  <c:v>2/05/2012</c:v>
                </c:pt>
                <c:pt idx="93">
                  <c:v>9/05/2012</c:v>
                </c:pt>
                <c:pt idx="94">
                  <c:v>16/05/2012</c:v>
                </c:pt>
                <c:pt idx="95">
                  <c:v>23/05/2012</c:v>
                </c:pt>
                <c:pt idx="96">
                  <c:v>30/05/2012</c:v>
                </c:pt>
                <c:pt idx="97">
                  <c:v>6/06/2012</c:v>
                </c:pt>
                <c:pt idx="98">
                  <c:v>13/06/2012</c:v>
                </c:pt>
                <c:pt idx="99">
                  <c:v>20/06/2012</c:v>
                </c:pt>
                <c:pt idx="100">
                  <c:v>27/06/2012</c:v>
                </c:pt>
                <c:pt idx="101">
                  <c:v>4/07/2012</c:v>
                </c:pt>
                <c:pt idx="102">
                  <c:v>11/07/2012</c:v>
                </c:pt>
                <c:pt idx="103">
                  <c:v>18/07/2012</c:v>
                </c:pt>
                <c:pt idx="104">
                  <c:v>25/07/2012</c:v>
                </c:pt>
                <c:pt idx="105">
                  <c:v>1/08/2012</c:v>
                </c:pt>
                <c:pt idx="106">
                  <c:v>8/08/2012</c:v>
                </c:pt>
                <c:pt idx="107">
                  <c:v>15/08/2012</c:v>
                </c:pt>
                <c:pt idx="108">
                  <c:v>22/08/2012</c:v>
                </c:pt>
                <c:pt idx="109">
                  <c:v>29/08/2012</c:v>
                </c:pt>
                <c:pt idx="110">
                  <c:v>5/09/2012</c:v>
                </c:pt>
                <c:pt idx="111">
                  <c:v>12/09/2012</c:v>
                </c:pt>
                <c:pt idx="112">
                  <c:v>19/09/2012</c:v>
                </c:pt>
                <c:pt idx="113">
                  <c:v>26/09/2012</c:v>
                </c:pt>
                <c:pt idx="114">
                  <c:v>3/10/2012</c:v>
                </c:pt>
                <c:pt idx="115">
                  <c:v>10/10/2012</c:v>
                </c:pt>
                <c:pt idx="116">
                  <c:v>17/10/2012</c:v>
                </c:pt>
                <c:pt idx="117">
                  <c:v>24/10/2012</c:v>
                </c:pt>
                <c:pt idx="118">
                  <c:v>31/10/2012</c:v>
                </c:pt>
                <c:pt idx="119">
                  <c:v>7/11/2012</c:v>
                </c:pt>
                <c:pt idx="120">
                  <c:v>14/11/2012</c:v>
                </c:pt>
                <c:pt idx="121">
                  <c:v>21/11/2012</c:v>
                </c:pt>
                <c:pt idx="122">
                  <c:v>28/11/2012</c:v>
                </c:pt>
                <c:pt idx="123">
                  <c:v>5/12/2012</c:v>
                </c:pt>
                <c:pt idx="124">
                  <c:v>12/12/2012</c:v>
                </c:pt>
                <c:pt idx="125">
                  <c:v>19/12/2012</c:v>
                </c:pt>
                <c:pt idx="126">
                  <c:v>26/12/2012</c:v>
                </c:pt>
                <c:pt idx="127">
                  <c:v>2/01/2013</c:v>
                </c:pt>
                <c:pt idx="128">
                  <c:v>9/01/2013</c:v>
                </c:pt>
                <c:pt idx="129">
                  <c:v>16/01/2013</c:v>
                </c:pt>
                <c:pt idx="130">
                  <c:v>23/01/2013</c:v>
                </c:pt>
                <c:pt idx="131">
                  <c:v>30/01/2013</c:v>
                </c:pt>
                <c:pt idx="132">
                  <c:v>6/02/2013</c:v>
                </c:pt>
                <c:pt idx="133">
                  <c:v>13/02/2013</c:v>
                </c:pt>
                <c:pt idx="134">
                  <c:v>20/02/2013</c:v>
                </c:pt>
                <c:pt idx="135">
                  <c:v>27/02/2013</c:v>
                </c:pt>
                <c:pt idx="136">
                  <c:v>6/03/2013</c:v>
                </c:pt>
                <c:pt idx="137">
                  <c:v>13/03/2013</c:v>
                </c:pt>
                <c:pt idx="138">
                  <c:v>20/03/2013</c:v>
                </c:pt>
                <c:pt idx="139">
                  <c:v>27/03/2013</c:v>
                </c:pt>
                <c:pt idx="140">
                  <c:v>3/04/2013</c:v>
                </c:pt>
                <c:pt idx="141">
                  <c:v>10/04/2013</c:v>
                </c:pt>
                <c:pt idx="142">
                  <c:v>17/04/2013</c:v>
                </c:pt>
                <c:pt idx="143">
                  <c:v>24/04/2013</c:v>
                </c:pt>
                <c:pt idx="144">
                  <c:v>1/05/2013</c:v>
                </c:pt>
                <c:pt idx="145">
                  <c:v>8/05/2013</c:v>
                </c:pt>
                <c:pt idx="146">
                  <c:v>15/05/2013</c:v>
                </c:pt>
                <c:pt idx="147">
                  <c:v>22/05/2013</c:v>
                </c:pt>
                <c:pt idx="148">
                  <c:v>29/05/2013</c:v>
                </c:pt>
                <c:pt idx="149">
                  <c:v>5/06/2013</c:v>
                </c:pt>
                <c:pt idx="150">
                  <c:v>12/06/2013</c:v>
                </c:pt>
                <c:pt idx="151">
                  <c:v>19/06/2013</c:v>
                </c:pt>
                <c:pt idx="152">
                  <c:v>26/06/2013</c:v>
                </c:pt>
                <c:pt idx="153">
                  <c:v>3/07/2013</c:v>
                </c:pt>
                <c:pt idx="154">
                  <c:v>10/07/2013</c:v>
                </c:pt>
                <c:pt idx="155">
                  <c:v>17/07/2013</c:v>
                </c:pt>
                <c:pt idx="156">
                  <c:v>24/07/2013</c:v>
                </c:pt>
                <c:pt idx="157">
                  <c:v>31/07/2013</c:v>
                </c:pt>
                <c:pt idx="158">
                  <c:v>7/08/2013</c:v>
                </c:pt>
                <c:pt idx="159">
                  <c:v>14/08/2013</c:v>
                </c:pt>
                <c:pt idx="160">
                  <c:v>21/08/2013</c:v>
                </c:pt>
                <c:pt idx="161">
                  <c:v>28/08/2013</c:v>
                </c:pt>
                <c:pt idx="162">
                  <c:v>4/09/2013</c:v>
                </c:pt>
                <c:pt idx="163">
                  <c:v>11/09/2013</c:v>
                </c:pt>
                <c:pt idx="164">
                  <c:v>18/09/2013</c:v>
                </c:pt>
                <c:pt idx="165">
                  <c:v>25/09/2013</c:v>
                </c:pt>
                <c:pt idx="166">
                  <c:v>2/10/2013</c:v>
                </c:pt>
                <c:pt idx="167">
                  <c:v>9/10/2013</c:v>
                </c:pt>
                <c:pt idx="168">
                  <c:v>16/10/2013</c:v>
                </c:pt>
                <c:pt idx="169">
                  <c:v>23/10/2013</c:v>
                </c:pt>
                <c:pt idx="170">
                  <c:v>30/10/2013</c:v>
                </c:pt>
                <c:pt idx="171">
                  <c:v>6/11/2013</c:v>
                </c:pt>
                <c:pt idx="172">
                  <c:v>13/11/2013</c:v>
                </c:pt>
                <c:pt idx="173">
                  <c:v>20/11/2013</c:v>
                </c:pt>
                <c:pt idx="174">
                  <c:v>27/11/2013</c:v>
                </c:pt>
                <c:pt idx="175">
                  <c:v>4/12/2013</c:v>
                </c:pt>
                <c:pt idx="176">
                  <c:v>11/12/2013</c:v>
                </c:pt>
                <c:pt idx="177">
                  <c:v>18/12/2013</c:v>
                </c:pt>
                <c:pt idx="178">
                  <c:v>25/12/2013</c:v>
                </c:pt>
                <c:pt idx="179">
                  <c:v>1/01/2014</c:v>
                </c:pt>
                <c:pt idx="180">
                  <c:v>8/01/2014</c:v>
                </c:pt>
              </c:strCache>
            </c:strRef>
          </c:cat>
          <c:val>
            <c:numRef>
              <c:f>'Sheet1 (14)'!$I$5:$I$186</c:f>
              <c:numCache>
                <c:formatCode>General</c:formatCode>
                <c:ptCount val="181"/>
                <c:pt idx="0">
                  <c:v>2</c:v>
                </c:pt>
                <c:pt idx="1">
                  <c:v>3</c:v>
                </c:pt>
                <c:pt idx="2">
                  <c:v>6</c:v>
                </c:pt>
                <c:pt idx="3">
                  <c:v>6</c:v>
                </c:pt>
                <c:pt idx="4">
                  <c:v>9</c:v>
                </c:pt>
                <c:pt idx="5">
                  <c:v>10</c:v>
                </c:pt>
                <c:pt idx="6">
                  <c:v>11</c:v>
                </c:pt>
                <c:pt idx="7">
                  <c:v>12</c:v>
                </c:pt>
                <c:pt idx="8">
                  <c:v>13</c:v>
                </c:pt>
                <c:pt idx="9">
                  <c:v>14</c:v>
                </c:pt>
                <c:pt idx="10">
                  <c:v>13</c:v>
                </c:pt>
                <c:pt idx="11">
                  <c:v>13</c:v>
                </c:pt>
                <c:pt idx="12">
                  <c:v>13</c:v>
                </c:pt>
                <c:pt idx="13">
                  <c:v>9</c:v>
                </c:pt>
                <c:pt idx="14">
                  <c:v>12</c:v>
                </c:pt>
                <c:pt idx="15">
                  <c:v>13</c:v>
                </c:pt>
                <c:pt idx="16">
                  <c:v>14</c:v>
                </c:pt>
                <c:pt idx="17">
                  <c:v>16</c:v>
                </c:pt>
                <c:pt idx="18">
                  <c:v>17</c:v>
                </c:pt>
                <c:pt idx="19">
                  <c:v>17</c:v>
                </c:pt>
                <c:pt idx="20">
                  <c:v>16</c:v>
                </c:pt>
                <c:pt idx="21">
                  <c:v>16</c:v>
                </c:pt>
                <c:pt idx="22">
                  <c:v>16</c:v>
                </c:pt>
                <c:pt idx="23">
                  <c:v>16</c:v>
                </c:pt>
                <c:pt idx="24">
                  <c:v>17</c:v>
                </c:pt>
                <c:pt idx="25">
                  <c:v>19</c:v>
                </c:pt>
                <c:pt idx="26">
                  <c:v>19</c:v>
                </c:pt>
                <c:pt idx="27">
                  <c:v>18</c:v>
                </c:pt>
                <c:pt idx="28">
                  <c:v>18</c:v>
                </c:pt>
                <c:pt idx="29">
                  <c:v>17</c:v>
                </c:pt>
                <c:pt idx="30">
                  <c:v>19</c:v>
                </c:pt>
                <c:pt idx="31">
                  <c:v>20</c:v>
                </c:pt>
                <c:pt idx="32">
                  <c:v>20</c:v>
                </c:pt>
                <c:pt idx="33">
                  <c:v>22</c:v>
                </c:pt>
                <c:pt idx="34">
                  <c:v>27</c:v>
                </c:pt>
                <c:pt idx="35">
                  <c:v>28</c:v>
                </c:pt>
                <c:pt idx="36">
                  <c:v>28</c:v>
                </c:pt>
                <c:pt idx="37">
                  <c:v>31</c:v>
                </c:pt>
                <c:pt idx="38">
                  <c:v>29</c:v>
                </c:pt>
                <c:pt idx="39">
                  <c:v>29</c:v>
                </c:pt>
                <c:pt idx="40">
                  <c:v>32</c:v>
                </c:pt>
                <c:pt idx="41">
                  <c:v>30</c:v>
                </c:pt>
                <c:pt idx="42">
                  <c:v>27</c:v>
                </c:pt>
                <c:pt idx="43">
                  <c:v>26</c:v>
                </c:pt>
                <c:pt idx="44">
                  <c:v>25</c:v>
                </c:pt>
                <c:pt idx="45">
                  <c:v>25</c:v>
                </c:pt>
                <c:pt idx="46">
                  <c:v>29</c:v>
                </c:pt>
                <c:pt idx="47">
                  <c:v>26</c:v>
                </c:pt>
                <c:pt idx="48">
                  <c:v>27</c:v>
                </c:pt>
                <c:pt idx="49">
                  <c:v>26</c:v>
                </c:pt>
                <c:pt idx="50">
                  <c:v>28</c:v>
                </c:pt>
                <c:pt idx="51">
                  <c:v>27</c:v>
                </c:pt>
                <c:pt idx="52">
                  <c:v>32</c:v>
                </c:pt>
                <c:pt idx="53">
                  <c:v>35</c:v>
                </c:pt>
                <c:pt idx="54">
                  <c:v>36</c:v>
                </c:pt>
                <c:pt idx="55">
                  <c:v>38</c:v>
                </c:pt>
                <c:pt idx="56">
                  <c:v>40</c:v>
                </c:pt>
                <c:pt idx="57">
                  <c:v>37</c:v>
                </c:pt>
                <c:pt idx="58">
                  <c:v>33</c:v>
                </c:pt>
                <c:pt idx="59">
                  <c:v>37</c:v>
                </c:pt>
                <c:pt idx="60">
                  <c:v>38</c:v>
                </c:pt>
                <c:pt idx="61">
                  <c:v>38</c:v>
                </c:pt>
                <c:pt idx="62">
                  <c:v>38</c:v>
                </c:pt>
                <c:pt idx="63">
                  <c:v>39</c:v>
                </c:pt>
                <c:pt idx="64">
                  <c:v>39</c:v>
                </c:pt>
                <c:pt idx="65">
                  <c:v>37</c:v>
                </c:pt>
                <c:pt idx="66">
                  <c:v>40</c:v>
                </c:pt>
                <c:pt idx="67">
                  <c:v>45</c:v>
                </c:pt>
                <c:pt idx="68">
                  <c:v>45</c:v>
                </c:pt>
                <c:pt idx="69">
                  <c:v>46</c:v>
                </c:pt>
                <c:pt idx="70">
                  <c:v>44</c:v>
                </c:pt>
                <c:pt idx="71">
                  <c:v>45</c:v>
                </c:pt>
                <c:pt idx="72">
                  <c:v>45</c:v>
                </c:pt>
                <c:pt idx="73">
                  <c:v>44</c:v>
                </c:pt>
                <c:pt idx="74">
                  <c:v>44</c:v>
                </c:pt>
                <c:pt idx="75">
                  <c:v>46</c:v>
                </c:pt>
                <c:pt idx="76">
                  <c:v>48</c:v>
                </c:pt>
                <c:pt idx="77">
                  <c:v>46</c:v>
                </c:pt>
                <c:pt idx="78">
                  <c:v>40</c:v>
                </c:pt>
                <c:pt idx="79">
                  <c:v>48</c:v>
                </c:pt>
                <c:pt idx="80">
                  <c:v>48</c:v>
                </c:pt>
                <c:pt idx="81">
                  <c:v>51</c:v>
                </c:pt>
                <c:pt idx="82">
                  <c:v>54</c:v>
                </c:pt>
                <c:pt idx="83">
                  <c:v>56</c:v>
                </c:pt>
                <c:pt idx="84">
                  <c:v>59</c:v>
                </c:pt>
                <c:pt idx="85">
                  <c:v>59</c:v>
                </c:pt>
                <c:pt idx="86">
                  <c:v>61</c:v>
                </c:pt>
                <c:pt idx="87">
                  <c:v>62</c:v>
                </c:pt>
                <c:pt idx="88">
                  <c:v>64</c:v>
                </c:pt>
                <c:pt idx="89">
                  <c:v>63</c:v>
                </c:pt>
                <c:pt idx="90">
                  <c:v>61</c:v>
                </c:pt>
                <c:pt idx="91">
                  <c:v>60</c:v>
                </c:pt>
                <c:pt idx="92">
                  <c:v>60</c:v>
                </c:pt>
                <c:pt idx="93">
                  <c:v>63</c:v>
                </c:pt>
                <c:pt idx="94">
                  <c:v>65</c:v>
                </c:pt>
                <c:pt idx="95">
                  <c:v>65</c:v>
                </c:pt>
                <c:pt idx="96">
                  <c:v>67</c:v>
                </c:pt>
                <c:pt idx="97">
                  <c:v>64</c:v>
                </c:pt>
                <c:pt idx="98">
                  <c:v>65</c:v>
                </c:pt>
                <c:pt idx="99">
                  <c:v>63</c:v>
                </c:pt>
                <c:pt idx="100">
                  <c:v>63</c:v>
                </c:pt>
                <c:pt idx="101">
                  <c:v>60</c:v>
                </c:pt>
                <c:pt idx="102">
                  <c:v>62</c:v>
                </c:pt>
                <c:pt idx="103">
                  <c:v>64</c:v>
                </c:pt>
                <c:pt idx="104">
                  <c:v>68</c:v>
                </c:pt>
                <c:pt idx="105">
                  <c:v>72</c:v>
                </c:pt>
                <c:pt idx="106">
                  <c:v>75</c:v>
                </c:pt>
                <c:pt idx="107">
                  <c:v>75</c:v>
                </c:pt>
                <c:pt idx="108">
                  <c:v>79</c:v>
                </c:pt>
                <c:pt idx="109">
                  <c:v>87</c:v>
                </c:pt>
                <c:pt idx="110">
                  <c:v>87</c:v>
                </c:pt>
                <c:pt idx="111">
                  <c:v>88</c:v>
                </c:pt>
                <c:pt idx="112">
                  <c:v>88</c:v>
                </c:pt>
                <c:pt idx="113">
                  <c:v>88</c:v>
                </c:pt>
                <c:pt idx="114">
                  <c:v>84</c:v>
                </c:pt>
                <c:pt idx="115">
                  <c:v>90</c:v>
                </c:pt>
                <c:pt idx="116">
                  <c:v>99</c:v>
                </c:pt>
                <c:pt idx="117">
                  <c:v>99</c:v>
                </c:pt>
                <c:pt idx="118">
                  <c:v>98</c:v>
                </c:pt>
                <c:pt idx="119">
                  <c:v>96</c:v>
                </c:pt>
                <c:pt idx="120">
                  <c:v>103</c:v>
                </c:pt>
                <c:pt idx="121">
                  <c:v>108</c:v>
                </c:pt>
                <c:pt idx="122">
                  <c:v>114</c:v>
                </c:pt>
                <c:pt idx="123">
                  <c:v>113</c:v>
                </c:pt>
                <c:pt idx="124">
                  <c:v>117</c:v>
                </c:pt>
                <c:pt idx="125">
                  <c:v>118</c:v>
                </c:pt>
                <c:pt idx="126">
                  <c:v>122</c:v>
                </c:pt>
                <c:pt idx="127">
                  <c:v>125</c:v>
                </c:pt>
                <c:pt idx="128">
                  <c:v>126</c:v>
                </c:pt>
                <c:pt idx="129">
                  <c:v>127</c:v>
                </c:pt>
                <c:pt idx="130">
                  <c:v>120</c:v>
                </c:pt>
                <c:pt idx="131">
                  <c:v>125</c:v>
                </c:pt>
                <c:pt idx="132">
                  <c:v>126</c:v>
                </c:pt>
                <c:pt idx="133">
                  <c:v>129</c:v>
                </c:pt>
                <c:pt idx="134">
                  <c:v>120</c:v>
                </c:pt>
                <c:pt idx="135">
                  <c:v>123</c:v>
                </c:pt>
                <c:pt idx="136">
                  <c:v>123</c:v>
                </c:pt>
                <c:pt idx="137">
                  <c:v>125</c:v>
                </c:pt>
                <c:pt idx="138">
                  <c:v>127</c:v>
                </c:pt>
                <c:pt idx="139">
                  <c:v>131</c:v>
                </c:pt>
                <c:pt idx="140">
                  <c:v>131</c:v>
                </c:pt>
                <c:pt idx="141">
                  <c:v>126</c:v>
                </c:pt>
                <c:pt idx="142">
                  <c:v>125</c:v>
                </c:pt>
                <c:pt idx="143">
                  <c:v>120</c:v>
                </c:pt>
                <c:pt idx="144">
                  <c:v>125</c:v>
                </c:pt>
                <c:pt idx="145">
                  <c:v>126</c:v>
                </c:pt>
                <c:pt idx="146">
                  <c:v>131</c:v>
                </c:pt>
                <c:pt idx="147">
                  <c:v>132</c:v>
                </c:pt>
                <c:pt idx="148">
                  <c:v>141</c:v>
                </c:pt>
                <c:pt idx="149">
                  <c:v>146</c:v>
                </c:pt>
                <c:pt idx="150">
                  <c:v>143</c:v>
                </c:pt>
                <c:pt idx="151">
                  <c:v>143</c:v>
                </c:pt>
                <c:pt idx="152">
                  <c:v>146</c:v>
                </c:pt>
                <c:pt idx="153">
                  <c:v>153</c:v>
                </c:pt>
                <c:pt idx="154">
                  <c:v>161</c:v>
                </c:pt>
                <c:pt idx="155">
                  <c:v>160</c:v>
                </c:pt>
                <c:pt idx="156">
                  <c:v>165</c:v>
                </c:pt>
                <c:pt idx="157">
                  <c:v>165</c:v>
                </c:pt>
                <c:pt idx="158">
                  <c:v>167</c:v>
                </c:pt>
                <c:pt idx="159">
                  <c:v>170</c:v>
                </c:pt>
                <c:pt idx="160">
                  <c:v>169</c:v>
                </c:pt>
                <c:pt idx="161">
                  <c:v>172</c:v>
                </c:pt>
                <c:pt idx="162">
                  <c:v>180</c:v>
                </c:pt>
                <c:pt idx="163">
                  <c:v>184</c:v>
                </c:pt>
                <c:pt idx="164">
                  <c:v>184</c:v>
                </c:pt>
                <c:pt idx="165">
                  <c:v>192</c:v>
                </c:pt>
                <c:pt idx="166">
                  <c:v>198</c:v>
                </c:pt>
                <c:pt idx="167">
                  <c:v>190</c:v>
                </c:pt>
                <c:pt idx="168">
                  <c:v>191</c:v>
                </c:pt>
                <c:pt idx="169">
                  <c:v>197</c:v>
                </c:pt>
                <c:pt idx="170">
                  <c:v>204</c:v>
                </c:pt>
                <c:pt idx="171">
                  <c:v>209</c:v>
                </c:pt>
                <c:pt idx="172">
                  <c:v>213</c:v>
                </c:pt>
                <c:pt idx="173">
                  <c:v>221</c:v>
                </c:pt>
                <c:pt idx="174">
                  <c:v>221</c:v>
                </c:pt>
                <c:pt idx="175">
                  <c:v>219</c:v>
                </c:pt>
                <c:pt idx="176">
                  <c:v>230</c:v>
                </c:pt>
                <c:pt idx="177">
                  <c:v>221</c:v>
                </c:pt>
                <c:pt idx="178">
                  <c:v>219</c:v>
                </c:pt>
                <c:pt idx="179">
                  <c:v>212</c:v>
                </c:pt>
                <c:pt idx="180">
                  <c:v>213</c:v>
                </c:pt>
              </c:numCache>
            </c:numRef>
          </c:val>
          <c:smooth val="0"/>
        </c:ser>
        <c:ser>
          <c:idx val="8"/>
          <c:order val="8"/>
          <c:tx>
            <c:strRef>
              <c:f>'Sheet1 (14)'!$J$3:$J$4</c:f>
              <c:strCache>
                <c:ptCount val="1"/>
                <c:pt idx="0">
                  <c:v>Exenatide+Insulin+Sulfonylurea</c:v>
                </c:pt>
              </c:strCache>
            </c:strRef>
          </c:tx>
          <c:marker>
            <c:symbol val="none"/>
          </c:marker>
          <c:cat>
            <c:strRef>
              <c:f>'Sheet1 (14)'!$A$5:$A$186</c:f>
              <c:strCache>
                <c:ptCount val="181"/>
                <c:pt idx="0">
                  <c:v>28/07/2010</c:v>
                </c:pt>
                <c:pt idx="1">
                  <c:v>4/08/2010</c:v>
                </c:pt>
                <c:pt idx="2">
                  <c:v>11/08/2010</c:v>
                </c:pt>
                <c:pt idx="3">
                  <c:v>18/08/2010</c:v>
                </c:pt>
                <c:pt idx="4">
                  <c:v>25/08/2010</c:v>
                </c:pt>
                <c:pt idx="5">
                  <c:v>1/09/2010</c:v>
                </c:pt>
                <c:pt idx="6">
                  <c:v>8/09/2010</c:v>
                </c:pt>
                <c:pt idx="7">
                  <c:v>15/09/2010</c:v>
                </c:pt>
                <c:pt idx="8">
                  <c:v>22/09/2010</c:v>
                </c:pt>
                <c:pt idx="9">
                  <c:v>29/09/2010</c:v>
                </c:pt>
                <c:pt idx="10">
                  <c:v>6/10/2010</c:v>
                </c:pt>
                <c:pt idx="11">
                  <c:v>13/10/2010</c:v>
                </c:pt>
                <c:pt idx="12">
                  <c:v>20/10/2010</c:v>
                </c:pt>
                <c:pt idx="13">
                  <c:v>27/10/2010</c:v>
                </c:pt>
                <c:pt idx="14">
                  <c:v>3/11/2010</c:v>
                </c:pt>
                <c:pt idx="15">
                  <c:v>10/11/2010</c:v>
                </c:pt>
                <c:pt idx="16">
                  <c:v>17/11/2010</c:v>
                </c:pt>
                <c:pt idx="17">
                  <c:v>24/11/2010</c:v>
                </c:pt>
                <c:pt idx="18">
                  <c:v>1/12/2010</c:v>
                </c:pt>
                <c:pt idx="19">
                  <c:v>8/12/2010</c:v>
                </c:pt>
                <c:pt idx="20">
                  <c:v>15/12/2010</c:v>
                </c:pt>
                <c:pt idx="21">
                  <c:v>22/12/2010</c:v>
                </c:pt>
                <c:pt idx="22">
                  <c:v>29/12/2010</c:v>
                </c:pt>
                <c:pt idx="23">
                  <c:v>5/01/2011</c:v>
                </c:pt>
                <c:pt idx="24">
                  <c:v>12/01/2011</c:v>
                </c:pt>
                <c:pt idx="25">
                  <c:v>19/01/2011</c:v>
                </c:pt>
                <c:pt idx="26">
                  <c:v>26/01/2011</c:v>
                </c:pt>
                <c:pt idx="27">
                  <c:v>2/02/2011</c:v>
                </c:pt>
                <c:pt idx="28">
                  <c:v>9/02/2011</c:v>
                </c:pt>
                <c:pt idx="29">
                  <c:v>16/02/2011</c:v>
                </c:pt>
                <c:pt idx="30">
                  <c:v>23/02/2011</c:v>
                </c:pt>
                <c:pt idx="31">
                  <c:v>2/03/2011</c:v>
                </c:pt>
                <c:pt idx="32">
                  <c:v>9/03/2011</c:v>
                </c:pt>
                <c:pt idx="33">
                  <c:v>16/03/2011</c:v>
                </c:pt>
                <c:pt idx="34">
                  <c:v>23/03/2011</c:v>
                </c:pt>
                <c:pt idx="35">
                  <c:v>30/03/2011</c:v>
                </c:pt>
                <c:pt idx="36">
                  <c:v>6/04/2011</c:v>
                </c:pt>
                <c:pt idx="37">
                  <c:v>13/04/2011</c:v>
                </c:pt>
                <c:pt idx="38">
                  <c:v>20/04/2011</c:v>
                </c:pt>
                <c:pt idx="39">
                  <c:v>27/04/2011</c:v>
                </c:pt>
                <c:pt idx="40">
                  <c:v>4/05/2011</c:v>
                </c:pt>
                <c:pt idx="41">
                  <c:v>11/05/2011</c:v>
                </c:pt>
                <c:pt idx="42">
                  <c:v>18/05/2011</c:v>
                </c:pt>
                <c:pt idx="43">
                  <c:v>25/05/2011</c:v>
                </c:pt>
                <c:pt idx="44">
                  <c:v>1/06/2011</c:v>
                </c:pt>
                <c:pt idx="45">
                  <c:v>8/06/2011</c:v>
                </c:pt>
                <c:pt idx="46">
                  <c:v>15/06/2011</c:v>
                </c:pt>
                <c:pt idx="47">
                  <c:v>22/06/2011</c:v>
                </c:pt>
                <c:pt idx="48">
                  <c:v>29/06/2011</c:v>
                </c:pt>
                <c:pt idx="49">
                  <c:v>6/07/2011</c:v>
                </c:pt>
                <c:pt idx="50">
                  <c:v>13/07/2011</c:v>
                </c:pt>
                <c:pt idx="51">
                  <c:v>20/07/2011</c:v>
                </c:pt>
                <c:pt idx="52">
                  <c:v>27/07/2011</c:v>
                </c:pt>
                <c:pt idx="53">
                  <c:v>3/08/2011</c:v>
                </c:pt>
                <c:pt idx="54">
                  <c:v>10/08/2011</c:v>
                </c:pt>
                <c:pt idx="55">
                  <c:v>17/08/2011</c:v>
                </c:pt>
                <c:pt idx="56">
                  <c:v>24/08/2011</c:v>
                </c:pt>
                <c:pt idx="57">
                  <c:v>31/08/2011</c:v>
                </c:pt>
                <c:pt idx="58">
                  <c:v>7/09/2011</c:v>
                </c:pt>
                <c:pt idx="59">
                  <c:v>14/09/2011</c:v>
                </c:pt>
                <c:pt idx="60">
                  <c:v>21/09/2011</c:v>
                </c:pt>
                <c:pt idx="61">
                  <c:v>28/09/2011</c:v>
                </c:pt>
                <c:pt idx="62">
                  <c:v>5/10/2011</c:v>
                </c:pt>
                <c:pt idx="63">
                  <c:v>12/10/2011</c:v>
                </c:pt>
                <c:pt idx="64">
                  <c:v>19/10/2011</c:v>
                </c:pt>
                <c:pt idx="65">
                  <c:v>26/10/2011</c:v>
                </c:pt>
                <c:pt idx="66">
                  <c:v>2/11/2011</c:v>
                </c:pt>
                <c:pt idx="67">
                  <c:v>9/11/2011</c:v>
                </c:pt>
                <c:pt idx="68">
                  <c:v>16/11/2011</c:v>
                </c:pt>
                <c:pt idx="69">
                  <c:v>23/11/2011</c:v>
                </c:pt>
                <c:pt idx="70">
                  <c:v>30/11/2011</c:v>
                </c:pt>
                <c:pt idx="71">
                  <c:v>7/12/2011</c:v>
                </c:pt>
                <c:pt idx="72">
                  <c:v>14/12/2011</c:v>
                </c:pt>
                <c:pt idx="73">
                  <c:v>21/12/2011</c:v>
                </c:pt>
                <c:pt idx="74">
                  <c:v>28/12/2011</c:v>
                </c:pt>
                <c:pt idx="75">
                  <c:v>4/01/2012</c:v>
                </c:pt>
                <c:pt idx="76">
                  <c:v>11/01/2012</c:v>
                </c:pt>
                <c:pt idx="77">
                  <c:v>18/01/2012</c:v>
                </c:pt>
                <c:pt idx="78">
                  <c:v>25/01/2012</c:v>
                </c:pt>
                <c:pt idx="79">
                  <c:v>1/02/2012</c:v>
                </c:pt>
                <c:pt idx="80">
                  <c:v>8/02/2012</c:v>
                </c:pt>
                <c:pt idx="81">
                  <c:v>15/02/2012</c:v>
                </c:pt>
                <c:pt idx="82">
                  <c:v>22/02/2012</c:v>
                </c:pt>
                <c:pt idx="83">
                  <c:v>29/02/2012</c:v>
                </c:pt>
                <c:pt idx="84">
                  <c:v>7/03/2012</c:v>
                </c:pt>
                <c:pt idx="85">
                  <c:v>14/03/2012</c:v>
                </c:pt>
                <c:pt idx="86">
                  <c:v>21/03/2012</c:v>
                </c:pt>
                <c:pt idx="87">
                  <c:v>28/03/2012</c:v>
                </c:pt>
                <c:pt idx="88">
                  <c:v>4/04/2012</c:v>
                </c:pt>
                <c:pt idx="89">
                  <c:v>11/04/2012</c:v>
                </c:pt>
                <c:pt idx="90">
                  <c:v>18/04/2012</c:v>
                </c:pt>
                <c:pt idx="91">
                  <c:v>25/04/2012</c:v>
                </c:pt>
                <c:pt idx="92">
                  <c:v>2/05/2012</c:v>
                </c:pt>
                <c:pt idx="93">
                  <c:v>9/05/2012</c:v>
                </c:pt>
                <c:pt idx="94">
                  <c:v>16/05/2012</c:v>
                </c:pt>
                <c:pt idx="95">
                  <c:v>23/05/2012</c:v>
                </c:pt>
                <c:pt idx="96">
                  <c:v>30/05/2012</c:v>
                </c:pt>
                <c:pt idx="97">
                  <c:v>6/06/2012</c:v>
                </c:pt>
                <c:pt idx="98">
                  <c:v>13/06/2012</c:v>
                </c:pt>
                <c:pt idx="99">
                  <c:v>20/06/2012</c:v>
                </c:pt>
                <c:pt idx="100">
                  <c:v>27/06/2012</c:v>
                </c:pt>
                <c:pt idx="101">
                  <c:v>4/07/2012</c:v>
                </c:pt>
                <c:pt idx="102">
                  <c:v>11/07/2012</c:v>
                </c:pt>
                <c:pt idx="103">
                  <c:v>18/07/2012</c:v>
                </c:pt>
                <c:pt idx="104">
                  <c:v>25/07/2012</c:v>
                </c:pt>
                <c:pt idx="105">
                  <c:v>1/08/2012</c:v>
                </c:pt>
                <c:pt idx="106">
                  <c:v>8/08/2012</c:v>
                </c:pt>
                <c:pt idx="107">
                  <c:v>15/08/2012</c:v>
                </c:pt>
                <c:pt idx="108">
                  <c:v>22/08/2012</c:v>
                </c:pt>
                <c:pt idx="109">
                  <c:v>29/08/2012</c:v>
                </c:pt>
                <c:pt idx="110">
                  <c:v>5/09/2012</c:v>
                </c:pt>
                <c:pt idx="111">
                  <c:v>12/09/2012</c:v>
                </c:pt>
                <c:pt idx="112">
                  <c:v>19/09/2012</c:v>
                </c:pt>
                <c:pt idx="113">
                  <c:v>26/09/2012</c:v>
                </c:pt>
                <c:pt idx="114">
                  <c:v>3/10/2012</c:v>
                </c:pt>
                <c:pt idx="115">
                  <c:v>10/10/2012</c:v>
                </c:pt>
                <c:pt idx="116">
                  <c:v>17/10/2012</c:v>
                </c:pt>
                <c:pt idx="117">
                  <c:v>24/10/2012</c:v>
                </c:pt>
                <c:pt idx="118">
                  <c:v>31/10/2012</c:v>
                </c:pt>
                <c:pt idx="119">
                  <c:v>7/11/2012</c:v>
                </c:pt>
                <c:pt idx="120">
                  <c:v>14/11/2012</c:v>
                </c:pt>
                <c:pt idx="121">
                  <c:v>21/11/2012</c:v>
                </c:pt>
                <c:pt idx="122">
                  <c:v>28/11/2012</c:v>
                </c:pt>
                <c:pt idx="123">
                  <c:v>5/12/2012</c:v>
                </c:pt>
                <c:pt idx="124">
                  <c:v>12/12/2012</c:v>
                </c:pt>
                <c:pt idx="125">
                  <c:v>19/12/2012</c:v>
                </c:pt>
                <c:pt idx="126">
                  <c:v>26/12/2012</c:v>
                </c:pt>
                <c:pt idx="127">
                  <c:v>2/01/2013</c:v>
                </c:pt>
                <c:pt idx="128">
                  <c:v>9/01/2013</c:v>
                </c:pt>
                <c:pt idx="129">
                  <c:v>16/01/2013</c:v>
                </c:pt>
                <c:pt idx="130">
                  <c:v>23/01/2013</c:v>
                </c:pt>
                <c:pt idx="131">
                  <c:v>30/01/2013</c:v>
                </c:pt>
                <c:pt idx="132">
                  <c:v>6/02/2013</c:v>
                </c:pt>
                <c:pt idx="133">
                  <c:v>13/02/2013</c:v>
                </c:pt>
                <c:pt idx="134">
                  <c:v>20/02/2013</c:v>
                </c:pt>
                <c:pt idx="135">
                  <c:v>27/02/2013</c:v>
                </c:pt>
                <c:pt idx="136">
                  <c:v>6/03/2013</c:v>
                </c:pt>
                <c:pt idx="137">
                  <c:v>13/03/2013</c:v>
                </c:pt>
                <c:pt idx="138">
                  <c:v>20/03/2013</c:v>
                </c:pt>
                <c:pt idx="139">
                  <c:v>27/03/2013</c:v>
                </c:pt>
                <c:pt idx="140">
                  <c:v>3/04/2013</c:v>
                </c:pt>
                <c:pt idx="141">
                  <c:v>10/04/2013</c:v>
                </c:pt>
                <c:pt idx="142">
                  <c:v>17/04/2013</c:v>
                </c:pt>
                <c:pt idx="143">
                  <c:v>24/04/2013</c:v>
                </c:pt>
                <c:pt idx="144">
                  <c:v>1/05/2013</c:v>
                </c:pt>
                <c:pt idx="145">
                  <c:v>8/05/2013</c:v>
                </c:pt>
                <c:pt idx="146">
                  <c:v>15/05/2013</c:v>
                </c:pt>
                <c:pt idx="147">
                  <c:v>22/05/2013</c:v>
                </c:pt>
                <c:pt idx="148">
                  <c:v>29/05/2013</c:v>
                </c:pt>
                <c:pt idx="149">
                  <c:v>5/06/2013</c:v>
                </c:pt>
                <c:pt idx="150">
                  <c:v>12/06/2013</c:v>
                </c:pt>
                <c:pt idx="151">
                  <c:v>19/06/2013</c:v>
                </c:pt>
                <c:pt idx="152">
                  <c:v>26/06/2013</c:v>
                </c:pt>
                <c:pt idx="153">
                  <c:v>3/07/2013</c:v>
                </c:pt>
                <c:pt idx="154">
                  <c:v>10/07/2013</c:v>
                </c:pt>
                <c:pt idx="155">
                  <c:v>17/07/2013</c:v>
                </c:pt>
                <c:pt idx="156">
                  <c:v>24/07/2013</c:v>
                </c:pt>
                <c:pt idx="157">
                  <c:v>31/07/2013</c:v>
                </c:pt>
                <c:pt idx="158">
                  <c:v>7/08/2013</c:v>
                </c:pt>
                <c:pt idx="159">
                  <c:v>14/08/2013</c:v>
                </c:pt>
                <c:pt idx="160">
                  <c:v>21/08/2013</c:v>
                </c:pt>
                <c:pt idx="161">
                  <c:v>28/08/2013</c:v>
                </c:pt>
                <c:pt idx="162">
                  <c:v>4/09/2013</c:v>
                </c:pt>
                <c:pt idx="163">
                  <c:v>11/09/2013</c:v>
                </c:pt>
                <c:pt idx="164">
                  <c:v>18/09/2013</c:v>
                </c:pt>
                <c:pt idx="165">
                  <c:v>25/09/2013</c:v>
                </c:pt>
                <c:pt idx="166">
                  <c:v>2/10/2013</c:v>
                </c:pt>
                <c:pt idx="167">
                  <c:v>9/10/2013</c:v>
                </c:pt>
                <c:pt idx="168">
                  <c:v>16/10/2013</c:v>
                </c:pt>
                <c:pt idx="169">
                  <c:v>23/10/2013</c:v>
                </c:pt>
                <c:pt idx="170">
                  <c:v>30/10/2013</c:v>
                </c:pt>
                <c:pt idx="171">
                  <c:v>6/11/2013</c:v>
                </c:pt>
                <c:pt idx="172">
                  <c:v>13/11/2013</c:v>
                </c:pt>
                <c:pt idx="173">
                  <c:v>20/11/2013</c:v>
                </c:pt>
                <c:pt idx="174">
                  <c:v>27/11/2013</c:v>
                </c:pt>
                <c:pt idx="175">
                  <c:v>4/12/2013</c:v>
                </c:pt>
                <c:pt idx="176">
                  <c:v>11/12/2013</c:v>
                </c:pt>
                <c:pt idx="177">
                  <c:v>18/12/2013</c:v>
                </c:pt>
                <c:pt idx="178">
                  <c:v>25/12/2013</c:v>
                </c:pt>
                <c:pt idx="179">
                  <c:v>1/01/2014</c:v>
                </c:pt>
                <c:pt idx="180">
                  <c:v>8/01/2014</c:v>
                </c:pt>
              </c:strCache>
            </c:strRef>
          </c:cat>
          <c:val>
            <c:numRef>
              <c:f>'Sheet1 (14)'!$J$5:$J$186</c:f>
              <c:numCache>
                <c:formatCode>General</c:formatCode>
                <c:ptCount val="181"/>
                <c:pt idx="0">
                  <c:v>1</c:v>
                </c:pt>
                <c:pt idx="1">
                  <c:v>1</c:v>
                </c:pt>
                <c:pt idx="2">
                  <c:v>2</c:v>
                </c:pt>
                <c:pt idx="3">
                  <c:v>5</c:v>
                </c:pt>
                <c:pt idx="4">
                  <c:v>7</c:v>
                </c:pt>
                <c:pt idx="5">
                  <c:v>8</c:v>
                </c:pt>
                <c:pt idx="6">
                  <c:v>9</c:v>
                </c:pt>
                <c:pt idx="7">
                  <c:v>11</c:v>
                </c:pt>
                <c:pt idx="8">
                  <c:v>12</c:v>
                </c:pt>
                <c:pt idx="9">
                  <c:v>14</c:v>
                </c:pt>
                <c:pt idx="10">
                  <c:v>16</c:v>
                </c:pt>
                <c:pt idx="11">
                  <c:v>15</c:v>
                </c:pt>
                <c:pt idx="12">
                  <c:v>16</c:v>
                </c:pt>
                <c:pt idx="13">
                  <c:v>21</c:v>
                </c:pt>
                <c:pt idx="14">
                  <c:v>19</c:v>
                </c:pt>
                <c:pt idx="15">
                  <c:v>19</c:v>
                </c:pt>
                <c:pt idx="16">
                  <c:v>19</c:v>
                </c:pt>
                <c:pt idx="17">
                  <c:v>22</c:v>
                </c:pt>
                <c:pt idx="18">
                  <c:v>23</c:v>
                </c:pt>
                <c:pt idx="19">
                  <c:v>23</c:v>
                </c:pt>
                <c:pt idx="20">
                  <c:v>24</c:v>
                </c:pt>
                <c:pt idx="21">
                  <c:v>24</c:v>
                </c:pt>
                <c:pt idx="22">
                  <c:v>25</c:v>
                </c:pt>
                <c:pt idx="23">
                  <c:v>25</c:v>
                </c:pt>
                <c:pt idx="24">
                  <c:v>23</c:v>
                </c:pt>
                <c:pt idx="25">
                  <c:v>21</c:v>
                </c:pt>
                <c:pt idx="26">
                  <c:v>19</c:v>
                </c:pt>
                <c:pt idx="27">
                  <c:v>16</c:v>
                </c:pt>
                <c:pt idx="28">
                  <c:v>20</c:v>
                </c:pt>
                <c:pt idx="29">
                  <c:v>21</c:v>
                </c:pt>
                <c:pt idx="30">
                  <c:v>22</c:v>
                </c:pt>
                <c:pt idx="31">
                  <c:v>20</c:v>
                </c:pt>
                <c:pt idx="32">
                  <c:v>20</c:v>
                </c:pt>
                <c:pt idx="33">
                  <c:v>24</c:v>
                </c:pt>
                <c:pt idx="34">
                  <c:v>22</c:v>
                </c:pt>
                <c:pt idx="35">
                  <c:v>24</c:v>
                </c:pt>
                <c:pt idx="36">
                  <c:v>24</c:v>
                </c:pt>
                <c:pt idx="37">
                  <c:v>24</c:v>
                </c:pt>
                <c:pt idx="38">
                  <c:v>23</c:v>
                </c:pt>
                <c:pt idx="39">
                  <c:v>23</c:v>
                </c:pt>
                <c:pt idx="40">
                  <c:v>25</c:v>
                </c:pt>
                <c:pt idx="41">
                  <c:v>27</c:v>
                </c:pt>
                <c:pt idx="42">
                  <c:v>25</c:v>
                </c:pt>
                <c:pt idx="43">
                  <c:v>24</c:v>
                </c:pt>
                <c:pt idx="44">
                  <c:v>22</c:v>
                </c:pt>
                <c:pt idx="45">
                  <c:v>21</c:v>
                </c:pt>
                <c:pt idx="46">
                  <c:v>22</c:v>
                </c:pt>
                <c:pt idx="47">
                  <c:v>23</c:v>
                </c:pt>
                <c:pt idx="48">
                  <c:v>21</c:v>
                </c:pt>
                <c:pt idx="49">
                  <c:v>21</c:v>
                </c:pt>
                <c:pt idx="50">
                  <c:v>21</c:v>
                </c:pt>
                <c:pt idx="51">
                  <c:v>20</c:v>
                </c:pt>
                <c:pt idx="52">
                  <c:v>21</c:v>
                </c:pt>
                <c:pt idx="53">
                  <c:v>26</c:v>
                </c:pt>
                <c:pt idx="54">
                  <c:v>27</c:v>
                </c:pt>
                <c:pt idx="55">
                  <c:v>27</c:v>
                </c:pt>
                <c:pt idx="56">
                  <c:v>32</c:v>
                </c:pt>
                <c:pt idx="57">
                  <c:v>31</c:v>
                </c:pt>
                <c:pt idx="58">
                  <c:v>32</c:v>
                </c:pt>
                <c:pt idx="59">
                  <c:v>34</c:v>
                </c:pt>
                <c:pt idx="60">
                  <c:v>36</c:v>
                </c:pt>
                <c:pt idx="61">
                  <c:v>39</c:v>
                </c:pt>
                <c:pt idx="62">
                  <c:v>40</c:v>
                </c:pt>
                <c:pt idx="63">
                  <c:v>38</c:v>
                </c:pt>
                <c:pt idx="64">
                  <c:v>38</c:v>
                </c:pt>
                <c:pt idx="65">
                  <c:v>38</c:v>
                </c:pt>
                <c:pt idx="66">
                  <c:v>42</c:v>
                </c:pt>
                <c:pt idx="67">
                  <c:v>38</c:v>
                </c:pt>
                <c:pt idx="68">
                  <c:v>38</c:v>
                </c:pt>
                <c:pt idx="69">
                  <c:v>44</c:v>
                </c:pt>
                <c:pt idx="70">
                  <c:v>42</c:v>
                </c:pt>
                <c:pt idx="71">
                  <c:v>43</c:v>
                </c:pt>
                <c:pt idx="72">
                  <c:v>45</c:v>
                </c:pt>
                <c:pt idx="73">
                  <c:v>43</c:v>
                </c:pt>
                <c:pt idx="74">
                  <c:v>42</c:v>
                </c:pt>
                <c:pt idx="75">
                  <c:v>40</c:v>
                </c:pt>
                <c:pt idx="76">
                  <c:v>42</c:v>
                </c:pt>
                <c:pt idx="77">
                  <c:v>44</c:v>
                </c:pt>
                <c:pt idx="78">
                  <c:v>42</c:v>
                </c:pt>
                <c:pt idx="79">
                  <c:v>46</c:v>
                </c:pt>
                <c:pt idx="80">
                  <c:v>48</c:v>
                </c:pt>
                <c:pt idx="81">
                  <c:v>52</c:v>
                </c:pt>
                <c:pt idx="82">
                  <c:v>53</c:v>
                </c:pt>
                <c:pt idx="83">
                  <c:v>55</c:v>
                </c:pt>
                <c:pt idx="84">
                  <c:v>60</c:v>
                </c:pt>
                <c:pt idx="85">
                  <c:v>58</c:v>
                </c:pt>
                <c:pt idx="86">
                  <c:v>54</c:v>
                </c:pt>
                <c:pt idx="87">
                  <c:v>60</c:v>
                </c:pt>
                <c:pt idx="88">
                  <c:v>60</c:v>
                </c:pt>
                <c:pt idx="89">
                  <c:v>58</c:v>
                </c:pt>
                <c:pt idx="90">
                  <c:v>55</c:v>
                </c:pt>
                <c:pt idx="91">
                  <c:v>52</c:v>
                </c:pt>
                <c:pt idx="92">
                  <c:v>57</c:v>
                </c:pt>
                <c:pt idx="93">
                  <c:v>58</c:v>
                </c:pt>
                <c:pt idx="94">
                  <c:v>55</c:v>
                </c:pt>
                <c:pt idx="95">
                  <c:v>54</c:v>
                </c:pt>
                <c:pt idx="96">
                  <c:v>56</c:v>
                </c:pt>
                <c:pt idx="97">
                  <c:v>53</c:v>
                </c:pt>
                <c:pt idx="98">
                  <c:v>58</c:v>
                </c:pt>
                <c:pt idx="99">
                  <c:v>59</c:v>
                </c:pt>
                <c:pt idx="100">
                  <c:v>56</c:v>
                </c:pt>
                <c:pt idx="101">
                  <c:v>55</c:v>
                </c:pt>
                <c:pt idx="102">
                  <c:v>57</c:v>
                </c:pt>
                <c:pt idx="103">
                  <c:v>52</c:v>
                </c:pt>
                <c:pt idx="104">
                  <c:v>53</c:v>
                </c:pt>
                <c:pt idx="105">
                  <c:v>50</c:v>
                </c:pt>
                <c:pt idx="106">
                  <c:v>52</c:v>
                </c:pt>
                <c:pt idx="107">
                  <c:v>50</c:v>
                </c:pt>
                <c:pt idx="108">
                  <c:v>52</c:v>
                </c:pt>
                <c:pt idx="109">
                  <c:v>56</c:v>
                </c:pt>
                <c:pt idx="110">
                  <c:v>58</c:v>
                </c:pt>
                <c:pt idx="111">
                  <c:v>60</c:v>
                </c:pt>
                <c:pt idx="112">
                  <c:v>61</c:v>
                </c:pt>
                <c:pt idx="113">
                  <c:v>56</c:v>
                </c:pt>
                <c:pt idx="114">
                  <c:v>59</c:v>
                </c:pt>
                <c:pt idx="115">
                  <c:v>56</c:v>
                </c:pt>
                <c:pt idx="116">
                  <c:v>55</c:v>
                </c:pt>
                <c:pt idx="117">
                  <c:v>54</c:v>
                </c:pt>
                <c:pt idx="118">
                  <c:v>54</c:v>
                </c:pt>
                <c:pt idx="119">
                  <c:v>61</c:v>
                </c:pt>
                <c:pt idx="120">
                  <c:v>65</c:v>
                </c:pt>
                <c:pt idx="121">
                  <c:v>69</c:v>
                </c:pt>
                <c:pt idx="122">
                  <c:v>65</c:v>
                </c:pt>
                <c:pt idx="123">
                  <c:v>68</c:v>
                </c:pt>
                <c:pt idx="124">
                  <c:v>72</c:v>
                </c:pt>
                <c:pt idx="125">
                  <c:v>71</c:v>
                </c:pt>
                <c:pt idx="126">
                  <c:v>65</c:v>
                </c:pt>
                <c:pt idx="127">
                  <c:v>59</c:v>
                </c:pt>
                <c:pt idx="128">
                  <c:v>56</c:v>
                </c:pt>
                <c:pt idx="129">
                  <c:v>58</c:v>
                </c:pt>
                <c:pt idx="130">
                  <c:v>56</c:v>
                </c:pt>
                <c:pt idx="131">
                  <c:v>58</c:v>
                </c:pt>
                <c:pt idx="132">
                  <c:v>58</c:v>
                </c:pt>
                <c:pt idx="133">
                  <c:v>60</c:v>
                </c:pt>
                <c:pt idx="134">
                  <c:v>60</c:v>
                </c:pt>
                <c:pt idx="135">
                  <c:v>68</c:v>
                </c:pt>
                <c:pt idx="136">
                  <c:v>69</c:v>
                </c:pt>
                <c:pt idx="137">
                  <c:v>71</c:v>
                </c:pt>
                <c:pt idx="138">
                  <c:v>67</c:v>
                </c:pt>
                <c:pt idx="139">
                  <c:v>74</c:v>
                </c:pt>
                <c:pt idx="140">
                  <c:v>80</c:v>
                </c:pt>
                <c:pt idx="141">
                  <c:v>79</c:v>
                </c:pt>
                <c:pt idx="142">
                  <c:v>79</c:v>
                </c:pt>
                <c:pt idx="143">
                  <c:v>77</c:v>
                </c:pt>
                <c:pt idx="144">
                  <c:v>77</c:v>
                </c:pt>
                <c:pt idx="145">
                  <c:v>76</c:v>
                </c:pt>
                <c:pt idx="146">
                  <c:v>77</c:v>
                </c:pt>
                <c:pt idx="147">
                  <c:v>77</c:v>
                </c:pt>
                <c:pt idx="148">
                  <c:v>78</c:v>
                </c:pt>
                <c:pt idx="149">
                  <c:v>79</c:v>
                </c:pt>
                <c:pt idx="150">
                  <c:v>77</c:v>
                </c:pt>
                <c:pt idx="151">
                  <c:v>79</c:v>
                </c:pt>
                <c:pt idx="152">
                  <c:v>73</c:v>
                </c:pt>
                <c:pt idx="153">
                  <c:v>73</c:v>
                </c:pt>
                <c:pt idx="154">
                  <c:v>70</c:v>
                </c:pt>
                <c:pt idx="155">
                  <c:v>75</c:v>
                </c:pt>
                <c:pt idx="156">
                  <c:v>74</c:v>
                </c:pt>
                <c:pt idx="157">
                  <c:v>73</c:v>
                </c:pt>
                <c:pt idx="158">
                  <c:v>71</c:v>
                </c:pt>
                <c:pt idx="159">
                  <c:v>71</c:v>
                </c:pt>
                <c:pt idx="160">
                  <c:v>67</c:v>
                </c:pt>
                <c:pt idx="161">
                  <c:v>73</c:v>
                </c:pt>
                <c:pt idx="162">
                  <c:v>77</c:v>
                </c:pt>
                <c:pt idx="163">
                  <c:v>80</c:v>
                </c:pt>
                <c:pt idx="164">
                  <c:v>76</c:v>
                </c:pt>
                <c:pt idx="165">
                  <c:v>82</c:v>
                </c:pt>
                <c:pt idx="166">
                  <c:v>79</c:v>
                </c:pt>
                <c:pt idx="167">
                  <c:v>84</c:v>
                </c:pt>
                <c:pt idx="168">
                  <c:v>81</c:v>
                </c:pt>
                <c:pt idx="169">
                  <c:v>76</c:v>
                </c:pt>
                <c:pt idx="170">
                  <c:v>81</c:v>
                </c:pt>
                <c:pt idx="171">
                  <c:v>78</c:v>
                </c:pt>
                <c:pt idx="172">
                  <c:v>79</c:v>
                </c:pt>
                <c:pt idx="173">
                  <c:v>89</c:v>
                </c:pt>
                <c:pt idx="174">
                  <c:v>90</c:v>
                </c:pt>
                <c:pt idx="175">
                  <c:v>92</c:v>
                </c:pt>
                <c:pt idx="176">
                  <c:v>90</c:v>
                </c:pt>
                <c:pt idx="177">
                  <c:v>89</c:v>
                </c:pt>
                <c:pt idx="178">
                  <c:v>81</c:v>
                </c:pt>
                <c:pt idx="179">
                  <c:v>84</c:v>
                </c:pt>
                <c:pt idx="180">
                  <c:v>83</c:v>
                </c:pt>
              </c:numCache>
            </c:numRef>
          </c:val>
          <c:smooth val="0"/>
        </c:ser>
        <c:ser>
          <c:idx val="9"/>
          <c:order val="9"/>
          <c:tx>
            <c:strRef>
              <c:f>'Sheet1 (14)'!$K$3:$K$4</c:f>
              <c:strCache>
                <c:ptCount val="1"/>
                <c:pt idx="0">
                  <c:v>Exenatide+Gliptin+Metformin+Sulfonylurea</c:v>
                </c:pt>
              </c:strCache>
            </c:strRef>
          </c:tx>
          <c:marker>
            <c:symbol val="none"/>
          </c:marker>
          <c:cat>
            <c:strRef>
              <c:f>'Sheet1 (14)'!$A$5:$A$186</c:f>
              <c:strCache>
                <c:ptCount val="181"/>
                <c:pt idx="0">
                  <c:v>28/07/2010</c:v>
                </c:pt>
                <c:pt idx="1">
                  <c:v>4/08/2010</c:v>
                </c:pt>
                <c:pt idx="2">
                  <c:v>11/08/2010</c:v>
                </c:pt>
                <c:pt idx="3">
                  <c:v>18/08/2010</c:v>
                </c:pt>
                <c:pt idx="4">
                  <c:v>25/08/2010</c:v>
                </c:pt>
                <c:pt idx="5">
                  <c:v>1/09/2010</c:v>
                </c:pt>
                <c:pt idx="6">
                  <c:v>8/09/2010</c:v>
                </c:pt>
                <c:pt idx="7">
                  <c:v>15/09/2010</c:v>
                </c:pt>
                <c:pt idx="8">
                  <c:v>22/09/2010</c:v>
                </c:pt>
                <c:pt idx="9">
                  <c:v>29/09/2010</c:v>
                </c:pt>
                <c:pt idx="10">
                  <c:v>6/10/2010</c:v>
                </c:pt>
                <c:pt idx="11">
                  <c:v>13/10/2010</c:v>
                </c:pt>
                <c:pt idx="12">
                  <c:v>20/10/2010</c:v>
                </c:pt>
                <c:pt idx="13">
                  <c:v>27/10/2010</c:v>
                </c:pt>
                <c:pt idx="14">
                  <c:v>3/11/2010</c:v>
                </c:pt>
                <c:pt idx="15">
                  <c:v>10/11/2010</c:v>
                </c:pt>
                <c:pt idx="16">
                  <c:v>17/11/2010</c:v>
                </c:pt>
                <c:pt idx="17">
                  <c:v>24/11/2010</c:v>
                </c:pt>
                <c:pt idx="18">
                  <c:v>1/12/2010</c:v>
                </c:pt>
                <c:pt idx="19">
                  <c:v>8/12/2010</c:v>
                </c:pt>
                <c:pt idx="20">
                  <c:v>15/12/2010</c:v>
                </c:pt>
                <c:pt idx="21">
                  <c:v>22/12/2010</c:v>
                </c:pt>
                <c:pt idx="22">
                  <c:v>29/12/2010</c:v>
                </c:pt>
                <c:pt idx="23">
                  <c:v>5/01/2011</c:v>
                </c:pt>
                <c:pt idx="24">
                  <c:v>12/01/2011</c:v>
                </c:pt>
                <c:pt idx="25">
                  <c:v>19/01/2011</c:v>
                </c:pt>
                <c:pt idx="26">
                  <c:v>26/01/2011</c:v>
                </c:pt>
                <c:pt idx="27">
                  <c:v>2/02/2011</c:v>
                </c:pt>
                <c:pt idx="28">
                  <c:v>9/02/2011</c:v>
                </c:pt>
                <c:pt idx="29">
                  <c:v>16/02/2011</c:v>
                </c:pt>
                <c:pt idx="30">
                  <c:v>23/02/2011</c:v>
                </c:pt>
                <c:pt idx="31">
                  <c:v>2/03/2011</c:v>
                </c:pt>
                <c:pt idx="32">
                  <c:v>9/03/2011</c:v>
                </c:pt>
                <c:pt idx="33">
                  <c:v>16/03/2011</c:v>
                </c:pt>
                <c:pt idx="34">
                  <c:v>23/03/2011</c:v>
                </c:pt>
                <c:pt idx="35">
                  <c:v>30/03/2011</c:v>
                </c:pt>
                <c:pt idx="36">
                  <c:v>6/04/2011</c:v>
                </c:pt>
                <c:pt idx="37">
                  <c:v>13/04/2011</c:v>
                </c:pt>
                <c:pt idx="38">
                  <c:v>20/04/2011</c:v>
                </c:pt>
                <c:pt idx="39">
                  <c:v>27/04/2011</c:v>
                </c:pt>
                <c:pt idx="40">
                  <c:v>4/05/2011</c:v>
                </c:pt>
                <c:pt idx="41">
                  <c:v>11/05/2011</c:v>
                </c:pt>
                <c:pt idx="42">
                  <c:v>18/05/2011</c:v>
                </c:pt>
                <c:pt idx="43">
                  <c:v>25/05/2011</c:v>
                </c:pt>
                <c:pt idx="44">
                  <c:v>1/06/2011</c:v>
                </c:pt>
                <c:pt idx="45">
                  <c:v>8/06/2011</c:v>
                </c:pt>
                <c:pt idx="46">
                  <c:v>15/06/2011</c:v>
                </c:pt>
                <c:pt idx="47">
                  <c:v>22/06/2011</c:v>
                </c:pt>
                <c:pt idx="48">
                  <c:v>29/06/2011</c:v>
                </c:pt>
                <c:pt idx="49">
                  <c:v>6/07/2011</c:v>
                </c:pt>
                <c:pt idx="50">
                  <c:v>13/07/2011</c:v>
                </c:pt>
                <c:pt idx="51">
                  <c:v>20/07/2011</c:v>
                </c:pt>
                <c:pt idx="52">
                  <c:v>27/07/2011</c:v>
                </c:pt>
                <c:pt idx="53">
                  <c:v>3/08/2011</c:v>
                </c:pt>
                <c:pt idx="54">
                  <c:v>10/08/2011</c:v>
                </c:pt>
                <c:pt idx="55">
                  <c:v>17/08/2011</c:v>
                </c:pt>
                <c:pt idx="56">
                  <c:v>24/08/2011</c:v>
                </c:pt>
                <c:pt idx="57">
                  <c:v>31/08/2011</c:v>
                </c:pt>
                <c:pt idx="58">
                  <c:v>7/09/2011</c:v>
                </c:pt>
                <c:pt idx="59">
                  <c:v>14/09/2011</c:v>
                </c:pt>
                <c:pt idx="60">
                  <c:v>21/09/2011</c:v>
                </c:pt>
                <c:pt idx="61">
                  <c:v>28/09/2011</c:v>
                </c:pt>
                <c:pt idx="62">
                  <c:v>5/10/2011</c:v>
                </c:pt>
                <c:pt idx="63">
                  <c:v>12/10/2011</c:v>
                </c:pt>
                <c:pt idx="64">
                  <c:v>19/10/2011</c:v>
                </c:pt>
                <c:pt idx="65">
                  <c:v>26/10/2011</c:v>
                </c:pt>
                <c:pt idx="66">
                  <c:v>2/11/2011</c:v>
                </c:pt>
                <c:pt idx="67">
                  <c:v>9/11/2011</c:v>
                </c:pt>
                <c:pt idx="68">
                  <c:v>16/11/2011</c:v>
                </c:pt>
                <c:pt idx="69">
                  <c:v>23/11/2011</c:v>
                </c:pt>
                <c:pt idx="70">
                  <c:v>30/11/2011</c:v>
                </c:pt>
                <c:pt idx="71">
                  <c:v>7/12/2011</c:v>
                </c:pt>
                <c:pt idx="72">
                  <c:v>14/12/2011</c:v>
                </c:pt>
                <c:pt idx="73">
                  <c:v>21/12/2011</c:v>
                </c:pt>
                <c:pt idx="74">
                  <c:v>28/12/2011</c:v>
                </c:pt>
                <c:pt idx="75">
                  <c:v>4/01/2012</c:v>
                </c:pt>
                <c:pt idx="76">
                  <c:v>11/01/2012</c:v>
                </c:pt>
                <c:pt idx="77">
                  <c:v>18/01/2012</c:v>
                </c:pt>
                <c:pt idx="78">
                  <c:v>25/01/2012</c:v>
                </c:pt>
                <c:pt idx="79">
                  <c:v>1/02/2012</c:v>
                </c:pt>
                <c:pt idx="80">
                  <c:v>8/02/2012</c:v>
                </c:pt>
                <c:pt idx="81">
                  <c:v>15/02/2012</c:v>
                </c:pt>
                <c:pt idx="82">
                  <c:v>22/02/2012</c:v>
                </c:pt>
                <c:pt idx="83">
                  <c:v>29/02/2012</c:v>
                </c:pt>
                <c:pt idx="84">
                  <c:v>7/03/2012</c:v>
                </c:pt>
                <c:pt idx="85">
                  <c:v>14/03/2012</c:v>
                </c:pt>
                <c:pt idx="86">
                  <c:v>21/03/2012</c:v>
                </c:pt>
                <c:pt idx="87">
                  <c:v>28/03/2012</c:v>
                </c:pt>
                <c:pt idx="88">
                  <c:v>4/04/2012</c:v>
                </c:pt>
                <c:pt idx="89">
                  <c:v>11/04/2012</c:v>
                </c:pt>
                <c:pt idx="90">
                  <c:v>18/04/2012</c:v>
                </c:pt>
                <c:pt idx="91">
                  <c:v>25/04/2012</c:v>
                </c:pt>
                <c:pt idx="92">
                  <c:v>2/05/2012</c:v>
                </c:pt>
                <c:pt idx="93">
                  <c:v>9/05/2012</c:v>
                </c:pt>
                <c:pt idx="94">
                  <c:v>16/05/2012</c:v>
                </c:pt>
                <c:pt idx="95">
                  <c:v>23/05/2012</c:v>
                </c:pt>
                <c:pt idx="96">
                  <c:v>30/05/2012</c:v>
                </c:pt>
                <c:pt idx="97">
                  <c:v>6/06/2012</c:v>
                </c:pt>
                <c:pt idx="98">
                  <c:v>13/06/2012</c:v>
                </c:pt>
                <c:pt idx="99">
                  <c:v>20/06/2012</c:v>
                </c:pt>
                <c:pt idx="100">
                  <c:v>27/06/2012</c:v>
                </c:pt>
                <c:pt idx="101">
                  <c:v>4/07/2012</c:v>
                </c:pt>
                <c:pt idx="102">
                  <c:v>11/07/2012</c:v>
                </c:pt>
                <c:pt idx="103">
                  <c:v>18/07/2012</c:v>
                </c:pt>
                <c:pt idx="104">
                  <c:v>25/07/2012</c:v>
                </c:pt>
                <c:pt idx="105">
                  <c:v>1/08/2012</c:v>
                </c:pt>
                <c:pt idx="106">
                  <c:v>8/08/2012</c:v>
                </c:pt>
                <c:pt idx="107">
                  <c:v>15/08/2012</c:v>
                </c:pt>
                <c:pt idx="108">
                  <c:v>22/08/2012</c:v>
                </c:pt>
                <c:pt idx="109">
                  <c:v>29/08/2012</c:v>
                </c:pt>
                <c:pt idx="110">
                  <c:v>5/09/2012</c:v>
                </c:pt>
                <c:pt idx="111">
                  <c:v>12/09/2012</c:v>
                </c:pt>
                <c:pt idx="112">
                  <c:v>19/09/2012</c:v>
                </c:pt>
                <c:pt idx="113">
                  <c:v>26/09/2012</c:v>
                </c:pt>
                <c:pt idx="114">
                  <c:v>3/10/2012</c:v>
                </c:pt>
                <c:pt idx="115">
                  <c:v>10/10/2012</c:v>
                </c:pt>
                <c:pt idx="116">
                  <c:v>17/10/2012</c:v>
                </c:pt>
                <c:pt idx="117">
                  <c:v>24/10/2012</c:v>
                </c:pt>
                <c:pt idx="118">
                  <c:v>31/10/2012</c:v>
                </c:pt>
                <c:pt idx="119">
                  <c:v>7/11/2012</c:v>
                </c:pt>
                <c:pt idx="120">
                  <c:v>14/11/2012</c:v>
                </c:pt>
                <c:pt idx="121">
                  <c:v>21/11/2012</c:v>
                </c:pt>
                <c:pt idx="122">
                  <c:v>28/11/2012</c:v>
                </c:pt>
                <c:pt idx="123">
                  <c:v>5/12/2012</c:v>
                </c:pt>
                <c:pt idx="124">
                  <c:v>12/12/2012</c:v>
                </c:pt>
                <c:pt idx="125">
                  <c:v>19/12/2012</c:v>
                </c:pt>
                <c:pt idx="126">
                  <c:v>26/12/2012</c:v>
                </c:pt>
                <c:pt idx="127">
                  <c:v>2/01/2013</c:v>
                </c:pt>
                <c:pt idx="128">
                  <c:v>9/01/2013</c:v>
                </c:pt>
                <c:pt idx="129">
                  <c:v>16/01/2013</c:v>
                </c:pt>
                <c:pt idx="130">
                  <c:v>23/01/2013</c:v>
                </c:pt>
                <c:pt idx="131">
                  <c:v>30/01/2013</c:v>
                </c:pt>
                <c:pt idx="132">
                  <c:v>6/02/2013</c:v>
                </c:pt>
                <c:pt idx="133">
                  <c:v>13/02/2013</c:v>
                </c:pt>
                <c:pt idx="134">
                  <c:v>20/02/2013</c:v>
                </c:pt>
                <c:pt idx="135">
                  <c:v>27/02/2013</c:v>
                </c:pt>
                <c:pt idx="136">
                  <c:v>6/03/2013</c:v>
                </c:pt>
                <c:pt idx="137">
                  <c:v>13/03/2013</c:v>
                </c:pt>
                <c:pt idx="138">
                  <c:v>20/03/2013</c:v>
                </c:pt>
                <c:pt idx="139">
                  <c:v>27/03/2013</c:v>
                </c:pt>
                <c:pt idx="140">
                  <c:v>3/04/2013</c:v>
                </c:pt>
                <c:pt idx="141">
                  <c:v>10/04/2013</c:v>
                </c:pt>
                <c:pt idx="142">
                  <c:v>17/04/2013</c:v>
                </c:pt>
                <c:pt idx="143">
                  <c:v>24/04/2013</c:v>
                </c:pt>
                <c:pt idx="144">
                  <c:v>1/05/2013</c:v>
                </c:pt>
                <c:pt idx="145">
                  <c:v>8/05/2013</c:v>
                </c:pt>
                <c:pt idx="146">
                  <c:v>15/05/2013</c:v>
                </c:pt>
                <c:pt idx="147">
                  <c:v>22/05/2013</c:v>
                </c:pt>
                <c:pt idx="148">
                  <c:v>29/05/2013</c:v>
                </c:pt>
                <c:pt idx="149">
                  <c:v>5/06/2013</c:v>
                </c:pt>
                <c:pt idx="150">
                  <c:v>12/06/2013</c:v>
                </c:pt>
                <c:pt idx="151">
                  <c:v>19/06/2013</c:v>
                </c:pt>
                <c:pt idx="152">
                  <c:v>26/06/2013</c:v>
                </c:pt>
                <c:pt idx="153">
                  <c:v>3/07/2013</c:v>
                </c:pt>
                <c:pt idx="154">
                  <c:v>10/07/2013</c:v>
                </c:pt>
                <c:pt idx="155">
                  <c:v>17/07/2013</c:v>
                </c:pt>
                <c:pt idx="156">
                  <c:v>24/07/2013</c:v>
                </c:pt>
                <c:pt idx="157">
                  <c:v>31/07/2013</c:v>
                </c:pt>
                <c:pt idx="158">
                  <c:v>7/08/2013</c:v>
                </c:pt>
                <c:pt idx="159">
                  <c:v>14/08/2013</c:v>
                </c:pt>
                <c:pt idx="160">
                  <c:v>21/08/2013</c:v>
                </c:pt>
                <c:pt idx="161">
                  <c:v>28/08/2013</c:v>
                </c:pt>
                <c:pt idx="162">
                  <c:v>4/09/2013</c:v>
                </c:pt>
                <c:pt idx="163">
                  <c:v>11/09/2013</c:v>
                </c:pt>
                <c:pt idx="164">
                  <c:v>18/09/2013</c:v>
                </c:pt>
                <c:pt idx="165">
                  <c:v>25/09/2013</c:v>
                </c:pt>
                <c:pt idx="166">
                  <c:v>2/10/2013</c:v>
                </c:pt>
                <c:pt idx="167">
                  <c:v>9/10/2013</c:v>
                </c:pt>
                <c:pt idx="168">
                  <c:v>16/10/2013</c:v>
                </c:pt>
                <c:pt idx="169">
                  <c:v>23/10/2013</c:v>
                </c:pt>
                <c:pt idx="170">
                  <c:v>30/10/2013</c:v>
                </c:pt>
                <c:pt idx="171">
                  <c:v>6/11/2013</c:v>
                </c:pt>
                <c:pt idx="172">
                  <c:v>13/11/2013</c:v>
                </c:pt>
                <c:pt idx="173">
                  <c:v>20/11/2013</c:v>
                </c:pt>
                <c:pt idx="174">
                  <c:v>27/11/2013</c:v>
                </c:pt>
                <c:pt idx="175">
                  <c:v>4/12/2013</c:v>
                </c:pt>
                <c:pt idx="176">
                  <c:v>11/12/2013</c:v>
                </c:pt>
                <c:pt idx="177">
                  <c:v>18/12/2013</c:v>
                </c:pt>
                <c:pt idx="178">
                  <c:v>25/12/2013</c:v>
                </c:pt>
                <c:pt idx="179">
                  <c:v>1/01/2014</c:v>
                </c:pt>
                <c:pt idx="180">
                  <c:v>8/01/2014</c:v>
                </c:pt>
              </c:strCache>
            </c:strRef>
          </c:cat>
          <c:val>
            <c:numRef>
              <c:f>'Sheet1 (14)'!$K$5:$K$186</c:f>
              <c:numCache>
                <c:formatCode>General</c:formatCode>
                <c:ptCount val="181"/>
                <c:pt idx="0">
                  <c:v>0</c:v>
                </c:pt>
                <c:pt idx="1">
                  <c:v>2</c:v>
                </c:pt>
                <c:pt idx="2">
                  <c:v>4</c:v>
                </c:pt>
                <c:pt idx="3">
                  <c:v>5</c:v>
                </c:pt>
                <c:pt idx="4">
                  <c:v>6</c:v>
                </c:pt>
                <c:pt idx="5">
                  <c:v>7</c:v>
                </c:pt>
                <c:pt idx="6">
                  <c:v>9</c:v>
                </c:pt>
                <c:pt idx="7">
                  <c:v>9</c:v>
                </c:pt>
                <c:pt idx="8">
                  <c:v>9</c:v>
                </c:pt>
                <c:pt idx="9">
                  <c:v>10</c:v>
                </c:pt>
                <c:pt idx="10">
                  <c:v>14</c:v>
                </c:pt>
                <c:pt idx="11">
                  <c:v>13</c:v>
                </c:pt>
                <c:pt idx="12">
                  <c:v>12</c:v>
                </c:pt>
                <c:pt idx="13">
                  <c:v>13</c:v>
                </c:pt>
                <c:pt idx="14">
                  <c:v>14</c:v>
                </c:pt>
                <c:pt idx="15">
                  <c:v>13</c:v>
                </c:pt>
                <c:pt idx="16">
                  <c:v>10</c:v>
                </c:pt>
                <c:pt idx="17">
                  <c:v>10</c:v>
                </c:pt>
                <c:pt idx="18">
                  <c:v>9</c:v>
                </c:pt>
                <c:pt idx="19">
                  <c:v>8</c:v>
                </c:pt>
                <c:pt idx="20">
                  <c:v>9</c:v>
                </c:pt>
                <c:pt idx="21">
                  <c:v>9</c:v>
                </c:pt>
                <c:pt idx="22">
                  <c:v>10</c:v>
                </c:pt>
                <c:pt idx="23">
                  <c:v>10</c:v>
                </c:pt>
                <c:pt idx="24">
                  <c:v>10</c:v>
                </c:pt>
                <c:pt idx="25">
                  <c:v>8</c:v>
                </c:pt>
                <c:pt idx="26">
                  <c:v>8</c:v>
                </c:pt>
                <c:pt idx="27">
                  <c:v>8</c:v>
                </c:pt>
                <c:pt idx="28">
                  <c:v>10</c:v>
                </c:pt>
                <c:pt idx="29">
                  <c:v>8</c:v>
                </c:pt>
                <c:pt idx="30">
                  <c:v>9</c:v>
                </c:pt>
                <c:pt idx="31">
                  <c:v>8</c:v>
                </c:pt>
                <c:pt idx="32">
                  <c:v>6</c:v>
                </c:pt>
                <c:pt idx="33">
                  <c:v>4</c:v>
                </c:pt>
                <c:pt idx="34">
                  <c:v>3</c:v>
                </c:pt>
                <c:pt idx="35">
                  <c:v>4</c:v>
                </c:pt>
                <c:pt idx="36">
                  <c:v>6</c:v>
                </c:pt>
                <c:pt idx="37">
                  <c:v>5</c:v>
                </c:pt>
                <c:pt idx="38">
                  <c:v>4</c:v>
                </c:pt>
                <c:pt idx="39">
                  <c:v>5</c:v>
                </c:pt>
                <c:pt idx="40">
                  <c:v>5</c:v>
                </c:pt>
                <c:pt idx="41">
                  <c:v>6</c:v>
                </c:pt>
                <c:pt idx="42">
                  <c:v>6</c:v>
                </c:pt>
                <c:pt idx="43">
                  <c:v>7</c:v>
                </c:pt>
                <c:pt idx="44">
                  <c:v>9</c:v>
                </c:pt>
                <c:pt idx="45">
                  <c:v>9</c:v>
                </c:pt>
                <c:pt idx="46">
                  <c:v>11</c:v>
                </c:pt>
                <c:pt idx="47">
                  <c:v>13</c:v>
                </c:pt>
                <c:pt idx="48">
                  <c:v>14</c:v>
                </c:pt>
                <c:pt idx="49">
                  <c:v>15</c:v>
                </c:pt>
                <c:pt idx="50">
                  <c:v>14</c:v>
                </c:pt>
                <c:pt idx="51">
                  <c:v>16</c:v>
                </c:pt>
                <c:pt idx="52">
                  <c:v>13</c:v>
                </c:pt>
                <c:pt idx="53">
                  <c:v>13</c:v>
                </c:pt>
                <c:pt idx="54">
                  <c:v>14</c:v>
                </c:pt>
                <c:pt idx="55">
                  <c:v>13</c:v>
                </c:pt>
                <c:pt idx="56">
                  <c:v>12</c:v>
                </c:pt>
                <c:pt idx="57">
                  <c:v>12</c:v>
                </c:pt>
                <c:pt idx="58">
                  <c:v>14</c:v>
                </c:pt>
                <c:pt idx="59">
                  <c:v>15</c:v>
                </c:pt>
                <c:pt idx="60">
                  <c:v>16</c:v>
                </c:pt>
                <c:pt idx="61">
                  <c:v>17</c:v>
                </c:pt>
                <c:pt idx="62">
                  <c:v>15</c:v>
                </c:pt>
                <c:pt idx="63">
                  <c:v>16</c:v>
                </c:pt>
                <c:pt idx="64">
                  <c:v>18</c:v>
                </c:pt>
                <c:pt idx="65">
                  <c:v>18</c:v>
                </c:pt>
                <c:pt idx="66">
                  <c:v>17</c:v>
                </c:pt>
                <c:pt idx="67">
                  <c:v>17</c:v>
                </c:pt>
                <c:pt idx="68">
                  <c:v>18</c:v>
                </c:pt>
                <c:pt idx="69">
                  <c:v>16</c:v>
                </c:pt>
                <c:pt idx="70">
                  <c:v>17</c:v>
                </c:pt>
                <c:pt idx="71">
                  <c:v>19</c:v>
                </c:pt>
                <c:pt idx="72">
                  <c:v>19</c:v>
                </c:pt>
                <c:pt idx="73">
                  <c:v>20</c:v>
                </c:pt>
                <c:pt idx="74">
                  <c:v>20</c:v>
                </c:pt>
                <c:pt idx="75">
                  <c:v>19</c:v>
                </c:pt>
                <c:pt idx="76">
                  <c:v>19</c:v>
                </c:pt>
                <c:pt idx="77">
                  <c:v>19</c:v>
                </c:pt>
                <c:pt idx="78">
                  <c:v>23</c:v>
                </c:pt>
                <c:pt idx="79">
                  <c:v>23</c:v>
                </c:pt>
                <c:pt idx="80">
                  <c:v>23</c:v>
                </c:pt>
                <c:pt idx="81">
                  <c:v>26</c:v>
                </c:pt>
                <c:pt idx="82">
                  <c:v>28</c:v>
                </c:pt>
                <c:pt idx="83">
                  <c:v>27</c:v>
                </c:pt>
                <c:pt idx="84">
                  <c:v>29</c:v>
                </c:pt>
                <c:pt idx="85">
                  <c:v>28</c:v>
                </c:pt>
                <c:pt idx="86">
                  <c:v>30</c:v>
                </c:pt>
                <c:pt idx="87">
                  <c:v>28</c:v>
                </c:pt>
                <c:pt idx="88">
                  <c:v>28</c:v>
                </c:pt>
                <c:pt idx="89">
                  <c:v>27</c:v>
                </c:pt>
                <c:pt idx="90">
                  <c:v>27</c:v>
                </c:pt>
                <c:pt idx="91">
                  <c:v>27</c:v>
                </c:pt>
                <c:pt idx="92">
                  <c:v>32</c:v>
                </c:pt>
                <c:pt idx="93">
                  <c:v>35</c:v>
                </c:pt>
                <c:pt idx="94">
                  <c:v>34</c:v>
                </c:pt>
                <c:pt idx="95">
                  <c:v>36</c:v>
                </c:pt>
                <c:pt idx="96">
                  <c:v>35</c:v>
                </c:pt>
                <c:pt idx="97">
                  <c:v>36</c:v>
                </c:pt>
                <c:pt idx="98">
                  <c:v>42</c:v>
                </c:pt>
                <c:pt idx="99">
                  <c:v>41</c:v>
                </c:pt>
                <c:pt idx="100">
                  <c:v>41</c:v>
                </c:pt>
                <c:pt idx="101">
                  <c:v>41</c:v>
                </c:pt>
                <c:pt idx="102">
                  <c:v>42</c:v>
                </c:pt>
                <c:pt idx="103">
                  <c:v>42</c:v>
                </c:pt>
                <c:pt idx="104">
                  <c:v>42</c:v>
                </c:pt>
                <c:pt idx="105">
                  <c:v>44</c:v>
                </c:pt>
                <c:pt idx="106">
                  <c:v>42</c:v>
                </c:pt>
                <c:pt idx="107">
                  <c:v>47</c:v>
                </c:pt>
                <c:pt idx="108">
                  <c:v>47</c:v>
                </c:pt>
                <c:pt idx="109">
                  <c:v>50</c:v>
                </c:pt>
                <c:pt idx="110">
                  <c:v>47</c:v>
                </c:pt>
                <c:pt idx="111">
                  <c:v>45</c:v>
                </c:pt>
                <c:pt idx="112">
                  <c:v>45</c:v>
                </c:pt>
                <c:pt idx="113">
                  <c:v>47</c:v>
                </c:pt>
                <c:pt idx="114">
                  <c:v>50</c:v>
                </c:pt>
                <c:pt idx="115">
                  <c:v>52</c:v>
                </c:pt>
                <c:pt idx="116">
                  <c:v>57</c:v>
                </c:pt>
                <c:pt idx="117">
                  <c:v>55</c:v>
                </c:pt>
                <c:pt idx="118">
                  <c:v>55</c:v>
                </c:pt>
                <c:pt idx="119">
                  <c:v>59</c:v>
                </c:pt>
                <c:pt idx="120">
                  <c:v>64</c:v>
                </c:pt>
                <c:pt idx="121">
                  <c:v>61</c:v>
                </c:pt>
                <c:pt idx="122">
                  <c:v>60</c:v>
                </c:pt>
                <c:pt idx="123">
                  <c:v>63</c:v>
                </c:pt>
                <c:pt idx="124">
                  <c:v>65</c:v>
                </c:pt>
                <c:pt idx="125">
                  <c:v>65</c:v>
                </c:pt>
                <c:pt idx="126">
                  <c:v>63</c:v>
                </c:pt>
                <c:pt idx="127">
                  <c:v>65</c:v>
                </c:pt>
                <c:pt idx="128">
                  <c:v>65</c:v>
                </c:pt>
                <c:pt idx="129">
                  <c:v>61</c:v>
                </c:pt>
                <c:pt idx="130">
                  <c:v>65</c:v>
                </c:pt>
                <c:pt idx="131">
                  <c:v>68</c:v>
                </c:pt>
                <c:pt idx="132">
                  <c:v>68</c:v>
                </c:pt>
                <c:pt idx="133">
                  <c:v>67</c:v>
                </c:pt>
                <c:pt idx="134">
                  <c:v>64</c:v>
                </c:pt>
                <c:pt idx="135">
                  <c:v>68</c:v>
                </c:pt>
                <c:pt idx="136">
                  <c:v>69</c:v>
                </c:pt>
                <c:pt idx="137">
                  <c:v>64</c:v>
                </c:pt>
                <c:pt idx="138">
                  <c:v>61</c:v>
                </c:pt>
                <c:pt idx="139">
                  <c:v>61</c:v>
                </c:pt>
                <c:pt idx="140">
                  <c:v>62</c:v>
                </c:pt>
                <c:pt idx="141">
                  <c:v>57</c:v>
                </c:pt>
                <c:pt idx="142">
                  <c:v>61</c:v>
                </c:pt>
                <c:pt idx="143">
                  <c:v>61</c:v>
                </c:pt>
                <c:pt idx="144">
                  <c:v>61</c:v>
                </c:pt>
                <c:pt idx="145">
                  <c:v>65</c:v>
                </c:pt>
                <c:pt idx="146">
                  <c:v>66</c:v>
                </c:pt>
                <c:pt idx="147">
                  <c:v>71</c:v>
                </c:pt>
                <c:pt idx="148">
                  <c:v>76</c:v>
                </c:pt>
                <c:pt idx="149">
                  <c:v>76</c:v>
                </c:pt>
                <c:pt idx="150">
                  <c:v>80</c:v>
                </c:pt>
                <c:pt idx="151">
                  <c:v>82</c:v>
                </c:pt>
                <c:pt idx="152">
                  <c:v>82</c:v>
                </c:pt>
                <c:pt idx="153">
                  <c:v>85</c:v>
                </c:pt>
                <c:pt idx="154">
                  <c:v>86</c:v>
                </c:pt>
                <c:pt idx="155">
                  <c:v>85</c:v>
                </c:pt>
                <c:pt idx="156">
                  <c:v>88</c:v>
                </c:pt>
                <c:pt idx="157">
                  <c:v>90</c:v>
                </c:pt>
                <c:pt idx="158">
                  <c:v>95</c:v>
                </c:pt>
                <c:pt idx="159">
                  <c:v>93</c:v>
                </c:pt>
                <c:pt idx="160">
                  <c:v>96</c:v>
                </c:pt>
                <c:pt idx="161">
                  <c:v>98</c:v>
                </c:pt>
                <c:pt idx="162">
                  <c:v>99</c:v>
                </c:pt>
                <c:pt idx="163">
                  <c:v>101</c:v>
                </c:pt>
                <c:pt idx="164">
                  <c:v>107</c:v>
                </c:pt>
                <c:pt idx="165">
                  <c:v>107</c:v>
                </c:pt>
                <c:pt idx="166">
                  <c:v>110</c:v>
                </c:pt>
                <c:pt idx="167">
                  <c:v>114</c:v>
                </c:pt>
                <c:pt idx="168">
                  <c:v>113</c:v>
                </c:pt>
                <c:pt idx="169">
                  <c:v>114</c:v>
                </c:pt>
                <c:pt idx="170">
                  <c:v>119</c:v>
                </c:pt>
                <c:pt idx="171">
                  <c:v>121</c:v>
                </c:pt>
                <c:pt idx="172">
                  <c:v>120</c:v>
                </c:pt>
                <c:pt idx="173">
                  <c:v>127</c:v>
                </c:pt>
                <c:pt idx="174">
                  <c:v>132</c:v>
                </c:pt>
                <c:pt idx="175">
                  <c:v>141</c:v>
                </c:pt>
                <c:pt idx="176">
                  <c:v>148</c:v>
                </c:pt>
                <c:pt idx="177">
                  <c:v>147</c:v>
                </c:pt>
                <c:pt idx="178">
                  <c:v>143</c:v>
                </c:pt>
                <c:pt idx="179">
                  <c:v>136</c:v>
                </c:pt>
                <c:pt idx="180">
                  <c:v>128</c:v>
                </c:pt>
              </c:numCache>
            </c:numRef>
          </c:val>
          <c:smooth val="0"/>
        </c:ser>
        <c:dLbls>
          <c:showLegendKey val="0"/>
          <c:showVal val="0"/>
          <c:showCatName val="0"/>
          <c:showSerName val="0"/>
          <c:showPercent val="0"/>
          <c:showBubbleSize val="0"/>
        </c:dLbls>
        <c:marker val="1"/>
        <c:smooth val="0"/>
        <c:axId val="106060800"/>
        <c:axId val="106070784"/>
      </c:lineChart>
      <c:catAx>
        <c:axId val="106060800"/>
        <c:scaling>
          <c:orientation val="minMax"/>
        </c:scaling>
        <c:delete val="0"/>
        <c:axPos val="b"/>
        <c:majorTickMark val="none"/>
        <c:minorTickMark val="none"/>
        <c:tickLblPos val="nextTo"/>
        <c:crossAx val="106070784"/>
        <c:crosses val="autoZero"/>
        <c:auto val="1"/>
        <c:lblAlgn val="ctr"/>
        <c:lblOffset val="100"/>
        <c:noMultiLvlLbl val="0"/>
      </c:catAx>
      <c:valAx>
        <c:axId val="106070784"/>
        <c:scaling>
          <c:orientation val="minMax"/>
          <c:max val="2550"/>
          <c:min val="0"/>
        </c:scaling>
        <c:delete val="0"/>
        <c:axPos val="l"/>
        <c:majorGridlines/>
        <c:numFmt formatCode="#,##0" sourceLinked="0"/>
        <c:majorTickMark val="none"/>
        <c:minorTickMark val="none"/>
        <c:tickLblPos val="nextTo"/>
        <c:crossAx val="106060800"/>
        <c:crosses val="autoZero"/>
        <c:crossBetween val="between"/>
        <c:majorUnit val="500"/>
        <c:minorUnit val="100"/>
      </c:valAx>
    </c:plotArea>
    <c:legend>
      <c:legendPos val="r"/>
      <c:overlay val="0"/>
      <c:txPr>
        <a:bodyPr/>
        <a:lstStyle/>
        <a:p>
          <a:pPr>
            <a:defRPr sz="700"/>
          </a:pPr>
          <a:endParaRPr lang="en-US"/>
        </a:p>
      </c:txPr>
    </c:legend>
    <c:plotVisOnly val="1"/>
    <c:dispBlanksAs val="gap"/>
    <c:showDLblsOverMax val="0"/>
  </c:chart>
  <c:spPr>
    <a:ln>
      <a:noFill/>
    </a:ln>
  </c:sp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drawings/drawing1.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0.6548</cdr:x>
      <cdr:y>0.5227</cdr:y>
    </cdr:from>
    <cdr:to>
      <cdr:x>0.96008</cdr:x>
      <cdr:y>0.52288</cdr:y>
    </cdr:to>
    <cdr:cxnSp macro="">
      <cdr:nvCxnSpPr>
        <cdr:cNvPr id="8" name="Straight Connector 7"/>
        <cdr:cNvCxnSpPr/>
      </cdr:nvCxnSpPr>
      <cdr:spPr>
        <a:xfrm xmlns:a="http://schemas.openxmlformats.org/drawingml/2006/main" flipV="1">
          <a:off x="4191216" y="2017059"/>
          <a:ext cx="1954090" cy="692"/>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C877F-6171-46F1-BC47-4AAB5FB2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8901</Words>
  <Characters>50738</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2015-03-03T02:45:00Z</dcterms:created>
  <dcterms:modified xsi:type="dcterms:W3CDTF">2015-03-03T02:45:00Z</dcterms:modified>
</cp:coreProperties>
</file>