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2A43E96E" w:rsidR="00832324" w:rsidRDefault="00AF0BF4" w:rsidP="00FE645A">
      <w:pPr>
        <w:pStyle w:val="Title"/>
      </w:pPr>
      <w:bookmarkStart w:id="0" w:name="_GoBack"/>
      <w:bookmarkEnd w:id="0"/>
      <w:r>
        <w:t>Dornase alfa and mannitol for cystic fibrosis</w:t>
      </w:r>
      <w:r w:rsidR="00187BA8">
        <w:t>: analysis of utilisation</w:t>
      </w:r>
    </w:p>
    <w:p w14:paraId="68F00614" w14:textId="799F8740" w:rsidR="00736041" w:rsidRPr="001D390D" w:rsidRDefault="009053D3" w:rsidP="001D390D">
      <w:pPr>
        <w:pStyle w:val="Heading1"/>
      </w:pPr>
      <w:r w:rsidRPr="001D390D">
        <w:t>D</w:t>
      </w:r>
      <w:r w:rsidR="00832324" w:rsidRPr="001D390D">
        <w:t>rug utilisation sub-committee (DUSC)</w:t>
      </w:r>
    </w:p>
    <w:p w14:paraId="78148839" w14:textId="392F7CDC" w:rsidR="009053D3" w:rsidRPr="001D390D" w:rsidRDefault="0044668F" w:rsidP="001D390D">
      <w:pPr>
        <w:pStyle w:val="Heading2"/>
      </w:pPr>
      <w:r>
        <w:t>October 2014</w:t>
      </w:r>
    </w:p>
    <w:p w14:paraId="7EFD635C" w14:textId="77777777" w:rsidR="000F760B" w:rsidRPr="001D390D" w:rsidRDefault="000F760B" w:rsidP="001D390D">
      <w:pPr>
        <w:pStyle w:val="Heading3"/>
      </w:pPr>
      <w:r w:rsidRPr="001D390D">
        <w:t>Abstract</w:t>
      </w:r>
    </w:p>
    <w:p w14:paraId="59D9C006" w14:textId="77777777" w:rsidR="000F760B" w:rsidRDefault="000F760B" w:rsidP="00A55579">
      <w:pPr>
        <w:pStyle w:val="Heading4"/>
      </w:pPr>
      <w:r>
        <w:t>Purpose</w:t>
      </w:r>
    </w:p>
    <w:p w14:paraId="30ACF946" w14:textId="3B88937D" w:rsidR="004D52CC" w:rsidRPr="004D52CC" w:rsidRDefault="004D52CC" w:rsidP="004D52CC">
      <w:r w:rsidRPr="004D52CC">
        <w:t xml:space="preserve">To examine the utilisation of dornase alfa and mannitol for cystic fibrosis (CF), including a predicted versus actual (PvA) analysis of mannitol in its first year of listing on the Pharmaceutical Benefits Scheme (PBS).  At the February 2014 meeting, </w:t>
      </w:r>
      <w:r w:rsidR="00E774A5">
        <w:t xml:space="preserve">the </w:t>
      </w:r>
      <w:r w:rsidRPr="004D52CC">
        <w:t>DUSC requested an analysis of mannitol and dornase alfa to be considered at the same meeting as the 24 month PvA of t</w:t>
      </w:r>
      <w:r>
        <w:t>obramycin inhalation solution.</w:t>
      </w:r>
    </w:p>
    <w:p w14:paraId="3BA390B2" w14:textId="581F46EF" w:rsidR="00856BB4" w:rsidRDefault="00856BB4" w:rsidP="00A55579">
      <w:pPr>
        <w:pStyle w:val="Heading4"/>
      </w:pPr>
      <w:r w:rsidRPr="00E05D90">
        <w:t>Date of listing on PBS</w:t>
      </w:r>
    </w:p>
    <w:p w14:paraId="49752924" w14:textId="02765B0A" w:rsidR="00B442C2" w:rsidRDefault="00AB06D6" w:rsidP="00AB06D6">
      <w:pPr>
        <w:pStyle w:val="ListParagraph"/>
        <w:numPr>
          <w:ilvl w:val="0"/>
          <w:numId w:val="2"/>
        </w:numPr>
      </w:pPr>
      <w:r>
        <w:t>Dornase alfa:  1 February 1996.</w:t>
      </w:r>
    </w:p>
    <w:p w14:paraId="0070CD08" w14:textId="118F4BC7" w:rsidR="00AB06D6" w:rsidRPr="00B442C2" w:rsidRDefault="00AB06D6" w:rsidP="00AB06D6">
      <w:pPr>
        <w:pStyle w:val="ListParagraph"/>
        <w:numPr>
          <w:ilvl w:val="0"/>
          <w:numId w:val="2"/>
        </w:numPr>
      </w:pPr>
      <w:r>
        <w:t>Mannitol:  1 August 2012.</w:t>
      </w:r>
    </w:p>
    <w:p w14:paraId="0A327B3F" w14:textId="77777777" w:rsidR="000F760B" w:rsidRDefault="000F760B" w:rsidP="00A55579">
      <w:pPr>
        <w:pStyle w:val="Heading4"/>
      </w:pPr>
      <w:r>
        <w:t>Data Source / methodology</w:t>
      </w:r>
    </w:p>
    <w:p w14:paraId="162899B2" w14:textId="2869B717" w:rsidR="00ED5E40" w:rsidRPr="00ED5E40" w:rsidRDefault="00AD5FB9" w:rsidP="00ED5E40">
      <w:r w:rsidRPr="00AD5FB9">
        <w:t>Aggregate data from the DUSC Highly Specialised Drugs Database was used for data relating to packs, prescriptions and expenditure. The Department of Human Services Supplied Prescriptions Database was used for patient number and age.</w:t>
      </w:r>
    </w:p>
    <w:p w14:paraId="49E08693" w14:textId="77777777" w:rsidR="000F760B" w:rsidRDefault="000F760B" w:rsidP="00A55579">
      <w:pPr>
        <w:pStyle w:val="Heading4"/>
      </w:pPr>
      <w:r>
        <w:t>Key Findings</w:t>
      </w:r>
    </w:p>
    <w:p w14:paraId="38B57ECC" w14:textId="2D3026BA" w:rsidR="00BB0D1A" w:rsidRDefault="00EF2ABD" w:rsidP="00276C83">
      <w:pPr>
        <w:rPr>
          <w:rFonts w:eastAsiaTheme="majorEastAsia" w:cstheme="majorBidi"/>
          <w:b/>
          <w:bCs/>
          <w:sz w:val="32"/>
          <w:szCs w:val="26"/>
        </w:rPr>
      </w:pPr>
      <w:r w:rsidRPr="00EF2ABD">
        <w:t>In the 12 months from May 2013 to April 2014, 1,570 patients received dornase alfa and 106 patients received mannitol on the PBS. The utilisation of mannitol in its first year of listing was lower than expected. The utilisation of dornase alfa has increased steadily since 2004.</w:t>
      </w:r>
      <w:r w:rsidR="00BB0D1A">
        <w:br w:type="page"/>
      </w:r>
    </w:p>
    <w:p w14:paraId="5B262047" w14:textId="525241DC" w:rsidR="00E677DD" w:rsidRDefault="00E677DD" w:rsidP="001D390D">
      <w:pPr>
        <w:pStyle w:val="Heading3"/>
      </w:pPr>
      <w:r w:rsidRPr="005E22C2">
        <w:lastRenderedPageBreak/>
        <w:t xml:space="preserve">Purpose of </w:t>
      </w:r>
      <w:r w:rsidR="00D151EB">
        <w:t>analysis</w:t>
      </w:r>
    </w:p>
    <w:p w14:paraId="085AAC80" w14:textId="1182145E" w:rsidR="00CD3DDD" w:rsidRPr="00CD3DDD" w:rsidRDefault="00CD3DDD" w:rsidP="00CD3DDD">
      <w:r w:rsidRPr="00CD3DDD">
        <w:t xml:space="preserve">To examine the utilisation of dornase alfa and mannitol for cystic fibrosis (CF), including a predicted versus actual (PvA) analysis of mannitol in its first year of listing on the Pharmaceutical Benefits Scheme (PBS).  At the February 2014 meeting, </w:t>
      </w:r>
      <w:r w:rsidR="003A69A1">
        <w:t xml:space="preserve">the </w:t>
      </w:r>
      <w:r w:rsidRPr="00CD3DDD">
        <w:t>DUSC requested an analysis of mannitol and dornase alfa to be considered at the same meeting as the 24 month PvA of tobramycin inhalation solution.</w:t>
      </w:r>
    </w:p>
    <w:p w14:paraId="0A7F0B57" w14:textId="034D22D5" w:rsidR="006537D9" w:rsidRPr="005E22C2" w:rsidRDefault="00736041" w:rsidP="001D390D">
      <w:pPr>
        <w:pStyle w:val="Heading3"/>
      </w:pPr>
      <w:r w:rsidRPr="005E22C2">
        <w:t>Background</w:t>
      </w:r>
    </w:p>
    <w:p w14:paraId="0183A567" w14:textId="413DF87B" w:rsidR="007247B9" w:rsidRDefault="007247B9" w:rsidP="00E376AA">
      <w:pPr>
        <w:pStyle w:val="Heading4"/>
      </w:pPr>
      <w:r w:rsidRPr="00E376AA">
        <w:t>Pharmacology</w:t>
      </w:r>
    </w:p>
    <w:p w14:paraId="49EA5709" w14:textId="500EE06C" w:rsidR="00CA7C01" w:rsidRPr="003F2AAD" w:rsidRDefault="00CA7C01" w:rsidP="00CA7C01">
      <w:r w:rsidRPr="003F2AAD">
        <w:rPr>
          <w:b/>
        </w:rPr>
        <w:t>Dornase alfa</w:t>
      </w:r>
      <w:r w:rsidRPr="003F2AAD">
        <w:t xml:space="preserve"> is a recombinant deoxyribonuclease I (DNase), an enzyme which cleaves extracellular DNA, reducing the viscosity of sputum in patients with CF.</w:t>
      </w:r>
      <w:r w:rsidR="00E83F93">
        <w:rPr>
          <w:rStyle w:val="FootnoteReference"/>
        </w:rPr>
        <w:footnoteReference w:id="1"/>
      </w:r>
      <w:r w:rsidRPr="003F2AAD">
        <w:t xml:space="preserve"> </w:t>
      </w:r>
      <w:r w:rsidR="00892B44">
        <w:t xml:space="preserve"> </w:t>
      </w:r>
      <w:r w:rsidRPr="003F2AAD">
        <w:t>The defined daily dose of dornase alfa is 2.5</w:t>
      </w:r>
      <w:r w:rsidR="00891443">
        <w:t xml:space="preserve"> </w:t>
      </w:r>
      <w:r w:rsidRPr="003F2AAD">
        <w:t xml:space="preserve">mg (inhaled). </w:t>
      </w:r>
    </w:p>
    <w:p w14:paraId="3C58FEB0" w14:textId="0C03F0E6" w:rsidR="00334AED" w:rsidRPr="00334AED" w:rsidRDefault="00CA7C01" w:rsidP="00334AED">
      <w:r w:rsidRPr="003F2AAD">
        <w:rPr>
          <w:b/>
        </w:rPr>
        <w:t xml:space="preserve">Mannitol </w:t>
      </w:r>
      <w:r w:rsidRPr="003F2AAD">
        <w:t>is believed to change the viscoelastic properties of mucus, increase the hydration of the periciliary fluid layer and contribute to increased mucociliary and cough clearance of the retained secretions.</w:t>
      </w:r>
      <w:r w:rsidR="00444CDC" w:rsidRPr="00444CDC">
        <w:rPr>
          <w:rStyle w:val="FootnoteReference"/>
        </w:rPr>
        <w:footnoteReference w:id="2"/>
      </w:r>
      <w:r w:rsidR="00891443">
        <w:t xml:space="preserve">  </w:t>
      </w:r>
      <w:r w:rsidRPr="003F2AAD">
        <w:t>The defined daily dose of mannitol is 0.8</w:t>
      </w:r>
      <w:r w:rsidR="0011035D">
        <w:t xml:space="preserve"> </w:t>
      </w:r>
      <w:r w:rsidRPr="003F2AAD">
        <w:t xml:space="preserve">g inhaled. </w:t>
      </w:r>
    </w:p>
    <w:p w14:paraId="6AC18C88" w14:textId="2877AC70" w:rsidR="001420B3" w:rsidRDefault="001420B3" w:rsidP="00DD7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14:paraId="1A521009" w14:textId="54D37287" w:rsidR="00E40AD5" w:rsidRPr="00331471" w:rsidRDefault="00E40AD5" w:rsidP="00E40AD5">
      <w:pPr>
        <w:rPr>
          <w:vertAlign w:val="superscript"/>
        </w:rPr>
      </w:pPr>
      <w:r w:rsidRPr="003F2AAD">
        <w:rPr>
          <w:b/>
        </w:rPr>
        <w:t>Dornase alfa</w:t>
      </w:r>
      <w:r w:rsidRPr="003F2AAD">
        <w:t xml:space="preserve"> is indicated for the management of demonstrated respiratory complications in CF.  Continued use should depend on demonstrating a sustained benefit.</w:t>
      </w:r>
      <w:r w:rsidR="00331471">
        <w:rPr>
          <w:vertAlign w:val="superscript"/>
        </w:rPr>
        <w:t>1</w:t>
      </w:r>
    </w:p>
    <w:p w14:paraId="2EEB7C6D" w14:textId="07F4DCE5" w:rsidR="007C5831" w:rsidRPr="00331471" w:rsidRDefault="00E40AD5" w:rsidP="00E40AD5">
      <w:pPr>
        <w:rPr>
          <w:vertAlign w:val="superscript"/>
        </w:rPr>
      </w:pPr>
      <w:r w:rsidRPr="003F2AAD">
        <w:rPr>
          <w:b/>
        </w:rPr>
        <w:t xml:space="preserve">Mannitol </w:t>
      </w:r>
      <w:r w:rsidRPr="003F2AAD">
        <w:t xml:space="preserve">is indicated for the treatment of CF in both paediatric and adult populations six years and above as either an add-on therapy to dornase alfa or in patients intolerant to, or inadequately responsive to dornase alfa. </w:t>
      </w:r>
      <w:r w:rsidR="00B17791">
        <w:t xml:space="preserve"> </w:t>
      </w:r>
      <w:r w:rsidRPr="003F2AAD">
        <w:t>Mannitol can trigger bronchoconstriction in patient</w:t>
      </w:r>
      <w:r w:rsidR="000D7C7A">
        <w:t xml:space="preserve">s with hyperresponsive airways.  </w:t>
      </w:r>
      <w:r w:rsidRPr="003F2AAD">
        <w:t xml:space="preserve">The initial dose of mannitol must be administered under clinical supervision according to the protocol outlined in the Product Information. </w:t>
      </w:r>
      <w:r w:rsidR="000D7C7A">
        <w:t xml:space="preserve"> </w:t>
      </w:r>
      <w:r w:rsidRPr="003F2AAD">
        <w:t>The protocol requires measurement of oxygen saturation, spirometry and facilities to manage acute bronc</w:t>
      </w:r>
      <w:r w:rsidR="000C580C">
        <w:t>h</w:t>
      </w:r>
      <w:r w:rsidRPr="003F2AAD">
        <w:t xml:space="preserve">ospasm and availability </w:t>
      </w:r>
      <w:r w:rsidR="000C580C">
        <w:t xml:space="preserve">of </w:t>
      </w:r>
      <w:r w:rsidRPr="003F2AAD">
        <w:t>resuscitation equipment.</w:t>
      </w:r>
      <w:r w:rsidR="00331471">
        <w:rPr>
          <w:vertAlign w:val="superscript"/>
        </w:rPr>
        <w:t>2</w:t>
      </w:r>
    </w:p>
    <w:p w14:paraId="15E919C1" w14:textId="1B3BA560" w:rsidR="006B709B" w:rsidRPr="00DE260E" w:rsidRDefault="006B709B" w:rsidP="00DD70ED">
      <w:pPr>
        <w:pStyle w:val="Heading4"/>
      </w:pPr>
      <w:r w:rsidRPr="00DE260E">
        <w:t>Dosage and administration</w:t>
      </w:r>
    </w:p>
    <w:p w14:paraId="18439B79" w14:textId="777D9952" w:rsidR="009C38FE" w:rsidRPr="007E68C4" w:rsidRDefault="009C38FE" w:rsidP="009C38FE">
      <w:pPr>
        <w:rPr>
          <w:vertAlign w:val="superscript"/>
        </w:rPr>
      </w:pPr>
      <w:r w:rsidRPr="003F2AAD">
        <w:rPr>
          <w:b/>
        </w:rPr>
        <w:t>Dornase alfa</w:t>
      </w:r>
      <w:r w:rsidRPr="003F2AAD">
        <w:t xml:space="preserve"> is administered at a dose of 2.5 mg (one ampoule) once daily through a nebuliser. </w:t>
      </w:r>
      <w:r w:rsidR="00E46C38">
        <w:t xml:space="preserve"> </w:t>
      </w:r>
      <w:r w:rsidRPr="003F2AAD">
        <w:t>Patients over the age of 21 may benefit from twice daily dosing.</w:t>
      </w:r>
      <w:r w:rsidR="00E46C38">
        <w:t xml:space="preserve"> </w:t>
      </w:r>
      <w:r w:rsidRPr="003F2AAD">
        <w:t xml:space="preserve"> Dornase alfa can be used in infants.</w:t>
      </w:r>
      <w:r w:rsidR="007E68C4">
        <w:rPr>
          <w:vertAlign w:val="superscript"/>
        </w:rPr>
        <w:t>1</w:t>
      </w:r>
    </w:p>
    <w:p w14:paraId="74B04001" w14:textId="1B27135D" w:rsidR="009C38FE" w:rsidRPr="007E68C4" w:rsidRDefault="009C38FE" w:rsidP="009C38FE">
      <w:pPr>
        <w:rPr>
          <w:vertAlign w:val="superscript"/>
        </w:rPr>
      </w:pPr>
      <w:r w:rsidRPr="003F2AAD">
        <w:rPr>
          <w:b/>
        </w:rPr>
        <w:t xml:space="preserve">Mannitol </w:t>
      </w:r>
      <w:r w:rsidRPr="003F2AAD">
        <w:t>is administered at a dose of 400</w:t>
      </w:r>
      <w:r w:rsidR="00840878">
        <w:t xml:space="preserve"> </w:t>
      </w:r>
      <w:r w:rsidRPr="003F2AAD">
        <w:t>mg (10 capsules) twice dai</w:t>
      </w:r>
      <w:r w:rsidR="007E68C4">
        <w:t>ly using the inhalation device.</w:t>
      </w:r>
      <w:r w:rsidR="007E68C4">
        <w:rPr>
          <w:vertAlign w:val="superscript"/>
        </w:rPr>
        <w:t>2</w:t>
      </w:r>
    </w:p>
    <w:p w14:paraId="337D0FBB" w14:textId="7FC8A6FC" w:rsidR="006B709B" w:rsidRPr="002F61CA" w:rsidRDefault="006B709B" w:rsidP="00A35800">
      <w:r w:rsidRPr="002F61CA">
        <w:lastRenderedPageBreak/>
        <w:t xml:space="preserve">The current Product Information (PI) and Consumer Medicine Information (CMI) are available from </w:t>
      </w:r>
      <w:hyperlink r:id="rId9" w:history="1">
        <w:r w:rsidR="004B552B">
          <w:rPr>
            <w:rStyle w:val="Hyperlink"/>
          </w:rPr>
          <w:t>the TGA (Product Information)</w:t>
        </w:r>
      </w:hyperlink>
      <w:r w:rsidR="00561CB4">
        <w:t xml:space="preserve"> and </w:t>
      </w:r>
      <w:hyperlink r:id="rId10" w:history="1">
        <w:r w:rsidR="004B552B">
          <w:rPr>
            <w:rStyle w:val="Hyperlink"/>
          </w:rPr>
          <w:t>the TGA (Consumer Medicines Information)</w:t>
        </w:r>
      </w:hyperlink>
      <w:r w:rsidR="0024294B">
        <w:t>.</w:t>
      </w:r>
    </w:p>
    <w:p w14:paraId="46E2BB42" w14:textId="0697C565" w:rsidR="00DF0B13" w:rsidRDefault="00DF0B13" w:rsidP="00A36FA8">
      <w:pPr>
        <w:pStyle w:val="Heading4"/>
      </w:pPr>
      <w:r w:rsidRPr="002801FD">
        <w:t>PBS listing details</w:t>
      </w:r>
      <w:r w:rsidR="002B4C96">
        <w:t xml:space="preserve"> (as at 1 August 2014</w:t>
      </w:r>
      <w:r w:rsidR="00D151EB" w:rsidRPr="002801FD">
        <w:t>)</w:t>
      </w:r>
    </w:p>
    <w:p w14:paraId="6D3546D2" w14:textId="77777777" w:rsidR="0007088A" w:rsidRDefault="0007088A" w:rsidP="0007088A">
      <w:r w:rsidRPr="003F2AAD">
        <w:t xml:space="preserve">Mannitol and dornase alfa have Section 100 Highly Specialised Drugs (HSD) Program listings. </w:t>
      </w:r>
    </w:p>
    <w:p w14:paraId="3AE133B4" w14:textId="77777777" w:rsidR="0007088A" w:rsidRPr="003F2AAD" w:rsidRDefault="0007088A" w:rsidP="0007088A">
      <w:pPr>
        <w:pStyle w:val="Tabletitle"/>
      </w:pPr>
      <w:r w:rsidRPr="003F2AAD">
        <w:t xml:space="preserve">Table 1: PBS listing of mannitol and dornase alfa </w:t>
      </w:r>
    </w:p>
    <w:tbl>
      <w:tblPr>
        <w:tblStyle w:val="TableGrid"/>
        <w:tblW w:w="0" w:type="auto"/>
        <w:tblInd w:w="108" w:type="dxa"/>
        <w:tblLook w:val="04A0" w:firstRow="1" w:lastRow="0" w:firstColumn="1" w:lastColumn="0" w:noHBand="0" w:noVBand="1"/>
        <w:tblCaption w:val="Table 1: details of the PBS listing of mannitol and dornase alfa"/>
      </w:tblPr>
      <w:tblGrid>
        <w:gridCol w:w="910"/>
        <w:gridCol w:w="3521"/>
        <w:gridCol w:w="921"/>
        <w:gridCol w:w="886"/>
        <w:gridCol w:w="977"/>
        <w:gridCol w:w="1850"/>
      </w:tblGrid>
      <w:tr w:rsidR="0007088A" w:rsidRPr="003F2AAD" w14:paraId="076C2DC1" w14:textId="77777777" w:rsidTr="002E1B5E">
        <w:trPr>
          <w:trHeight w:val="694"/>
          <w:tblHeader/>
        </w:trPr>
        <w:tc>
          <w:tcPr>
            <w:tcW w:w="801" w:type="dxa"/>
            <w:shd w:val="clear" w:color="auto" w:fill="BFBFBF" w:themeFill="background1" w:themeFillShade="BF"/>
          </w:tcPr>
          <w:p w14:paraId="6C894D7D" w14:textId="77777777" w:rsidR="0007088A" w:rsidRPr="003F2AAD" w:rsidRDefault="0007088A" w:rsidP="00E21973">
            <w:pPr>
              <w:pStyle w:val="Tableheading"/>
              <w:rPr>
                <w:sz w:val="20"/>
                <w:szCs w:val="20"/>
              </w:rPr>
            </w:pPr>
            <w:r w:rsidRPr="003F2AAD">
              <w:rPr>
                <w:sz w:val="20"/>
                <w:szCs w:val="20"/>
              </w:rPr>
              <w:t>Item</w:t>
            </w:r>
          </w:p>
        </w:tc>
        <w:tc>
          <w:tcPr>
            <w:tcW w:w="0" w:type="auto"/>
            <w:shd w:val="clear" w:color="auto" w:fill="BFBFBF" w:themeFill="background1" w:themeFillShade="BF"/>
          </w:tcPr>
          <w:p w14:paraId="6A6EB117" w14:textId="77777777" w:rsidR="0007088A" w:rsidRPr="003F2AAD" w:rsidRDefault="0007088A" w:rsidP="00E21973">
            <w:pPr>
              <w:pStyle w:val="Tableheading"/>
              <w:rPr>
                <w:sz w:val="20"/>
                <w:szCs w:val="20"/>
              </w:rPr>
            </w:pPr>
            <w:r w:rsidRPr="003F2AAD">
              <w:rPr>
                <w:sz w:val="20"/>
                <w:szCs w:val="20"/>
              </w:rPr>
              <w:t>Name, form &amp; strength, pack size</w:t>
            </w:r>
          </w:p>
        </w:tc>
        <w:tc>
          <w:tcPr>
            <w:tcW w:w="0" w:type="auto"/>
            <w:shd w:val="clear" w:color="auto" w:fill="BFBFBF" w:themeFill="background1" w:themeFillShade="BF"/>
          </w:tcPr>
          <w:p w14:paraId="338CA2C9" w14:textId="77777777" w:rsidR="0007088A" w:rsidRPr="003F2AAD" w:rsidRDefault="0007088A" w:rsidP="00E21973">
            <w:pPr>
              <w:pStyle w:val="Tableheading"/>
              <w:rPr>
                <w:sz w:val="20"/>
                <w:szCs w:val="20"/>
              </w:rPr>
            </w:pPr>
            <w:r w:rsidRPr="003F2AAD">
              <w:rPr>
                <w:sz w:val="20"/>
                <w:szCs w:val="20"/>
              </w:rPr>
              <w:t xml:space="preserve">Max. quant. </w:t>
            </w:r>
          </w:p>
        </w:tc>
        <w:tc>
          <w:tcPr>
            <w:tcW w:w="0" w:type="auto"/>
            <w:shd w:val="clear" w:color="auto" w:fill="BFBFBF" w:themeFill="background1" w:themeFillShade="BF"/>
          </w:tcPr>
          <w:p w14:paraId="354DD448" w14:textId="7E21AF52" w:rsidR="0007088A" w:rsidRPr="003F2AAD" w:rsidRDefault="00631D8D" w:rsidP="00E21973">
            <w:pPr>
              <w:pStyle w:val="Tableheading"/>
              <w:rPr>
                <w:sz w:val="20"/>
                <w:szCs w:val="20"/>
              </w:rPr>
            </w:pPr>
            <w:r>
              <w:rPr>
                <w:sz w:val="20"/>
                <w:szCs w:val="20"/>
              </w:rPr>
              <w:t>Repeats</w:t>
            </w:r>
          </w:p>
        </w:tc>
        <w:tc>
          <w:tcPr>
            <w:tcW w:w="0" w:type="auto"/>
            <w:shd w:val="clear" w:color="auto" w:fill="BFBFBF" w:themeFill="background1" w:themeFillShade="BF"/>
          </w:tcPr>
          <w:p w14:paraId="05D5B124" w14:textId="5A577F5E" w:rsidR="0007088A" w:rsidRPr="003F2AAD" w:rsidRDefault="0007088A" w:rsidP="00E21973">
            <w:pPr>
              <w:pStyle w:val="Tableheading"/>
              <w:rPr>
                <w:sz w:val="20"/>
                <w:szCs w:val="20"/>
              </w:rPr>
            </w:pPr>
            <w:r w:rsidRPr="003F2AAD">
              <w:rPr>
                <w:sz w:val="20"/>
                <w:szCs w:val="20"/>
              </w:rPr>
              <w:t>DPMQ</w:t>
            </w:r>
            <w:r w:rsidR="00C97215">
              <w:rPr>
                <w:sz w:val="20"/>
                <w:szCs w:val="20"/>
              </w:rPr>
              <w:t>*</w:t>
            </w:r>
          </w:p>
        </w:tc>
        <w:tc>
          <w:tcPr>
            <w:tcW w:w="0" w:type="auto"/>
            <w:shd w:val="clear" w:color="auto" w:fill="BFBFBF" w:themeFill="background1" w:themeFillShade="BF"/>
          </w:tcPr>
          <w:p w14:paraId="71F96387" w14:textId="77777777" w:rsidR="0007088A" w:rsidRPr="003F2AAD" w:rsidRDefault="0007088A" w:rsidP="00E21973">
            <w:pPr>
              <w:pStyle w:val="Tableheading"/>
              <w:rPr>
                <w:sz w:val="20"/>
                <w:szCs w:val="20"/>
              </w:rPr>
            </w:pPr>
            <w:r w:rsidRPr="003F2AAD">
              <w:rPr>
                <w:sz w:val="20"/>
                <w:szCs w:val="20"/>
              </w:rPr>
              <w:t>Brand name and manufacturer</w:t>
            </w:r>
          </w:p>
        </w:tc>
      </w:tr>
      <w:tr w:rsidR="0007088A" w:rsidRPr="003F2AAD" w14:paraId="1EE28EFE" w14:textId="77777777" w:rsidTr="002E1B5E">
        <w:trPr>
          <w:trHeight w:val="552"/>
          <w:tblHeader/>
        </w:trPr>
        <w:tc>
          <w:tcPr>
            <w:tcW w:w="801" w:type="dxa"/>
            <w:shd w:val="clear" w:color="auto" w:fill="auto"/>
          </w:tcPr>
          <w:p w14:paraId="5C23F464" w14:textId="77777777" w:rsidR="0007088A" w:rsidRPr="003F2AAD" w:rsidRDefault="0007088A" w:rsidP="00E21973">
            <w:pPr>
              <w:pStyle w:val="Tablewriting"/>
              <w:rPr>
                <w:color w:val="auto"/>
              </w:rPr>
            </w:pPr>
            <w:r w:rsidRPr="003F2AAD">
              <w:rPr>
                <w:color w:val="auto"/>
              </w:rPr>
              <w:t>2015C</w:t>
            </w:r>
          </w:p>
          <w:p w14:paraId="6A6391C4" w14:textId="77777777" w:rsidR="0007088A" w:rsidRPr="003F2AAD" w:rsidRDefault="0007088A" w:rsidP="00E21973">
            <w:pPr>
              <w:pStyle w:val="Tablewriting"/>
              <w:rPr>
                <w:color w:val="auto"/>
              </w:rPr>
            </w:pPr>
            <w:r w:rsidRPr="003F2AAD">
              <w:rPr>
                <w:color w:val="auto"/>
              </w:rPr>
              <w:t>(Public)</w:t>
            </w:r>
          </w:p>
        </w:tc>
        <w:tc>
          <w:tcPr>
            <w:tcW w:w="0" w:type="auto"/>
            <w:shd w:val="clear" w:color="auto" w:fill="auto"/>
          </w:tcPr>
          <w:p w14:paraId="08DC0C8F" w14:textId="77777777" w:rsidR="0007088A" w:rsidRPr="003F2AAD" w:rsidRDefault="0007088A" w:rsidP="00E21973">
            <w:pPr>
              <w:pStyle w:val="Tablewriting"/>
              <w:rPr>
                <w:color w:val="auto"/>
              </w:rPr>
            </w:pPr>
            <w:r w:rsidRPr="003F2AAD">
              <w:rPr>
                <w:color w:val="auto"/>
              </w:rPr>
              <w:t>MANNITOL</w:t>
            </w:r>
          </w:p>
          <w:p w14:paraId="7CDA8331" w14:textId="77777777" w:rsidR="0007088A" w:rsidRPr="003F2AAD" w:rsidRDefault="0007088A" w:rsidP="00E21973">
            <w:pPr>
              <w:pStyle w:val="Tablewriting"/>
              <w:rPr>
                <w:color w:val="auto"/>
              </w:rPr>
            </w:pPr>
            <w:r w:rsidRPr="003F2AAD">
              <w:rPr>
                <w:color w:val="auto"/>
              </w:rPr>
              <w:t>Mannitol pack containing 280 capsules containing powder for inhalation 40 mg and 2 inhalers, 1</w:t>
            </w:r>
          </w:p>
        </w:tc>
        <w:tc>
          <w:tcPr>
            <w:tcW w:w="0" w:type="auto"/>
            <w:shd w:val="clear" w:color="auto" w:fill="auto"/>
            <w:vAlign w:val="center"/>
          </w:tcPr>
          <w:p w14:paraId="65E7E64F" w14:textId="77777777" w:rsidR="0007088A" w:rsidRPr="003F2AAD" w:rsidRDefault="0007088A" w:rsidP="00E21973">
            <w:pPr>
              <w:pStyle w:val="Tablewriting"/>
              <w:jc w:val="center"/>
              <w:rPr>
                <w:color w:val="auto"/>
              </w:rPr>
            </w:pPr>
            <w:r w:rsidRPr="003F2AAD">
              <w:rPr>
                <w:color w:val="auto"/>
              </w:rPr>
              <w:t>4</w:t>
            </w:r>
          </w:p>
        </w:tc>
        <w:tc>
          <w:tcPr>
            <w:tcW w:w="0" w:type="auto"/>
            <w:shd w:val="clear" w:color="auto" w:fill="auto"/>
            <w:vAlign w:val="center"/>
          </w:tcPr>
          <w:p w14:paraId="0C7B5A1E" w14:textId="77777777" w:rsidR="0007088A" w:rsidRPr="003F2AAD" w:rsidRDefault="0007088A" w:rsidP="00E21973">
            <w:pPr>
              <w:pStyle w:val="Tablewriting"/>
              <w:jc w:val="center"/>
              <w:rPr>
                <w:color w:val="auto"/>
              </w:rPr>
            </w:pPr>
            <w:r w:rsidRPr="003F2AAD">
              <w:rPr>
                <w:color w:val="auto"/>
              </w:rPr>
              <w:t>5</w:t>
            </w:r>
          </w:p>
        </w:tc>
        <w:tc>
          <w:tcPr>
            <w:tcW w:w="0" w:type="auto"/>
            <w:shd w:val="clear" w:color="auto" w:fill="auto"/>
            <w:vAlign w:val="center"/>
          </w:tcPr>
          <w:p w14:paraId="733CD636" w14:textId="77777777" w:rsidR="0007088A" w:rsidRPr="003F2AAD" w:rsidRDefault="0007088A" w:rsidP="00E21973">
            <w:pPr>
              <w:pStyle w:val="Tablewriting"/>
              <w:rPr>
                <w:color w:val="auto"/>
              </w:rPr>
            </w:pPr>
            <w:r w:rsidRPr="003F2AAD">
              <w:rPr>
                <w:color w:val="auto"/>
              </w:rPr>
              <w:t>$1736.00</w:t>
            </w:r>
          </w:p>
        </w:tc>
        <w:tc>
          <w:tcPr>
            <w:tcW w:w="0" w:type="auto"/>
            <w:shd w:val="clear" w:color="auto" w:fill="auto"/>
            <w:vAlign w:val="center"/>
          </w:tcPr>
          <w:p w14:paraId="7FF2C0FC" w14:textId="77777777" w:rsidR="0007088A" w:rsidRPr="003F2AAD" w:rsidRDefault="0007088A" w:rsidP="00E21973">
            <w:pPr>
              <w:pStyle w:val="Tablewriting"/>
              <w:rPr>
                <w:color w:val="auto"/>
              </w:rPr>
            </w:pPr>
            <w:r w:rsidRPr="003F2AAD">
              <w:rPr>
                <w:color w:val="auto"/>
              </w:rPr>
              <w:t>Bronchitol</w:t>
            </w:r>
            <w:r w:rsidRPr="003F2AAD">
              <w:rPr>
                <w:rFonts w:ascii="Calibri" w:hAnsi="Calibri"/>
                <w:color w:val="auto"/>
              </w:rPr>
              <w:t>®</w:t>
            </w:r>
            <w:r w:rsidRPr="003F2AAD">
              <w:rPr>
                <w:color w:val="auto"/>
              </w:rPr>
              <w:br/>
              <w:t>Pharmaxis Ltd</w:t>
            </w:r>
          </w:p>
        </w:tc>
      </w:tr>
      <w:tr w:rsidR="0007088A" w:rsidRPr="003F2AAD" w14:paraId="1F88CA25" w14:textId="77777777" w:rsidTr="002E1B5E">
        <w:trPr>
          <w:trHeight w:val="546"/>
          <w:tblHeader/>
        </w:trPr>
        <w:tc>
          <w:tcPr>
            <w:tcW w:w="801" w:type="dxa"/>
            <w:shd w:val="clear" w:color="auto" w:fill="auto"/>
          </w:tcPr>
          <w:p w14:paraId="74945B18" w14:textId="77777777" w:rsidR="0007088A" w:rsidRPr="003F2AAD" w:rsidRDefault="0007088A" w:rsidP="00E21973">
            <w:pPr>
              <w:pStyle w:val="Tablewriting"/>
              <w:rPr>
                <w:color w:val="auto"/>
              </w:rPr>
            </w:pPr>
            <w:r w:rsidRPr="003F2AAD">
              <w:rPr>
                <w:color w:val="auto"/>
              </w:rPr>
              <w:t>2008Q</w:t>
            </w:r>
          </w:p>
          <w:p w14:paraId="7A77AA17" w14:textId="77777777" w:rsidR="0007088A" w:rsidRPr="003F2AAD" w:rsidRDefault="0007088A" w:rsidP="00E21973">
            <w:pPr>
              <w:pStyle w:val="Tablewriting"/>
              <w:rPr>
                <w:color w:val="auto"/>
              </w:rPr>
            </w:pPr>
            <w:r w:rsidRPr="003F2AAD">
              <w:rPr>
                <w:color w:val="auto"/>
              </w:rPr>
              <w:t>(Private)</w:t>
            </w:r>
          </w:p>
        </w:tc>
        <w:tc>
          <w:tcPr>
            <w:tcW w:w="0" w:type="auto"/>
            <w:shd w:val="clear" w:color="auto" w:fill="auto"/>
          </w:tcPr>
          <w:p w14:paraId="1E31B169" w14:textId="77777777" w:rsidR="007433FF" w:rsidRPr="003F2AAD" w:rsidRDefault="007433FF" w:rsidP="007433FF">
            <w:pPr>
              <w:pStyle w:val="Tablewriting"/>
              <w:rPr>
                <w:color w:val="auto"/>
              </w:rPr>
            </w:pPr>
            <w:r w:rsidRPr="003F2AAD">
              <w:rPr>
                <w:color w:val="auto"/>
              </w:rPr>
              <w:t>MANNITOL</w:t>
            </w:r>
          </w:p>
          <w:p w14:paraId="5BC536A8" w14:textId="736FDC50" w:rsidR="0007088A" w:rsidRPr="003F2AAD" w:rsidRDefault="007433FF" w:rsidP="007433FF">
            <w:pPr>
              <w:pStyle w:val="Tablewriting"/>
              <w:rPr>
                <w:color w:val="auto"/>
              </w:rPr>
            </w:pPr>
            <w:r w:rsidRPr="003F2AAD">
              <w:rPr>
                <w:color w:val="auto"/>
              </w:rPr>
              <w:t>Mannitol pack containing 280 capsules containing powder for inhalation 40 mg and 2 inhalers, 1</w:t>
            </w:r>
          </w:p>
        </w:tc>
        <w:tc>
          <w:tcPr>
            <w:tcW w:w="0" w:type="auto"/>
            <w:shd w:val="clear" w:color="auto" w:fill="auto"/>
            <w:vAlign w:val="center"/>
          </w:tcPr>
          <w:p w14:paraId="37CEA013" w14:textId="56F574C6" w:rsidR="0007088A" w:rsidRPr="003F2AAD" w:rsidRDefault="007433FF" w:rsidP="007433FF">
            <w:pPr>
              <w:pStyle w:val="Tablewriting"/>
              <w:jc w:val="center"/>
              <w:rPr>
                <w:color w:val="auto"/>
              </w:rPr>
            </w:pPr>
            <w:r>
              <w:rPr>
                <w:color w:val="auto"/>
              </w:rPr>
              <w:t>4</w:t>
            </w:r>
          </w:p>
        </w:tc>
        <w:tc>
          <w:tcPr>
            <w:tcW w:w="0" w:type="auto"/>
            <w:shd w:val="clear" w:color="auto" w:fill="auto"/>
            <w:vAlign w:val="center"/>
          </w:tcPr>
          <w:p w14:paraId="0CDFD8F7" w14:textId="218DBCC3" w:rsidR="0007088A" w:rsidRPr="003F2AAD" w:rsidRDefault="007433FF" w:rsidP="007433FF">
            <w:pPr>
              <w:pStyle w:val="Tablewriting"/>
              <w:jc w:val="center"/>
              <w:rPr>
                <w:color w:val="auto"/>
              </w:rPr>
            </w:pPr>
            <w:r>
              <w:rPr>
                <w:color w:val="auto"/>
              </w:rPr>
              <w:t>5</w:t>
            </w:r>
          </w:p>
        </w:tc>
        <w:tc>
          <w:tcPr>
            <w:tcW w:w="0" w:type="auto"/>
            <w:shd w:val="clear" w:color="auto" w:fill="auto"/>
            <w:vAlign w:val="center"/>
          </w:tcPr>
          <w:p w14:paraId="029329F7" w14:textId="77777777" w:rsidR="0007088A" w:rsidRPr="003F2AAD" w:rsidRDefault="0007088A" w:rsidP="00E21973">
            <w:pPr>
              <w:pStyle w:val="Tablewriting"/>
              <w:rPr>
                <w:color w:val="auto"/>
              </w:rPr>
            </w:pPr>
            <w:r w:rsidRPr="003F2AAD">
              <w:rPr>
                <w:color w:val="auto"/>
              </w:rPr>
              <w:t>$1782.76</w:t>
            </w:r>
          </w:p>
        </w:tc>
        <w:tc>
          <w:tcPr>
            <w:tcW w:w="0" w:type="auto"/>
            <w:shd w:val="clear" w:color="auto" w:fill="auto"/>
            <w:vAlign w:val="center"/>
          </w:tcPr>
          <w:p w14:paraId="62BD9EFA" w14:textId="08A24E56" w:rsidR="0007088A" w:rsidRPr="003F2AAD" w:rsidRDefault="00C85CD4" w:rsidP="00E21973">
            <w:pPr>
              <w:pStyle w:val="Tablewriting"/>
              <w:rPr>
                <w:color w:val="auto"/>
              </w:rPr>
            </w:pPr>
            <w:r w:rsidRPr="003F2AAD">
              <w:rPr>
                <w:color w:val="auto"/>
              </w:rPr>
              <w:t>Bronchitol</w:t>
            </w:r>
            <w:r w:rsidRPr="003F2AAD">
              <w:rPr>
                <w:rFonts w:ascii="Calibri" w:hAnsi="Calibri"/>
                <w:color w:val="auto"/>
              </w:rPr>
              <w:t>®</w:t>
            </w:r>
            <w:r w:rsidRPr="003F2AAD">
              <w:rPr>
                <w:color w:val="auto"/>
              </w:rPr>
              <w:br/>
              <w:t>Pharmaxis Ltd</w:t>
            </w:r>
          </w:p>
        </w:tc>
      </w:tr>
      <w:tr w:rsidR="0007088A" w:rsidRPr="003F2AAD" w14:paraId="5BFA1CBC" w14:textId="77777777" w:rsidTr="002E1B5E">
        <w:trPr>
          <w:trHeight w:val="546"/>
          <w:tblHeader/>
        </w:trPr>
        <w:tc>
          <w:tcPr>
            <w:tcW w:w="801" w:type="dxa"/>
            <w:shd w:val="clear" w:color="auto" w:fill="auto"/>
          </w:tcPr>
          <w:p w14:paraId="5DBFB871" w14:textId="77777777" w:rsidR="0007088A" w:rsidRPr="003F2AAD" w:rsidRDefault="0007088A" w:rsidP="00E21973">
            <w:pPr>
              <w:pStyle w:val="Tablewriting"/>
              <w:rPr>
                <w:color w:val="auto"/>
              </w:rPr>
            </w:pPr>
            <w:r w:rsidRPr="003F2AAD">
              <w:rPr>
                <w:color w:val="auto"/>
              </w:rPr>
              <w:t>5704F</w:t>
            </w:r>
            <w:r w:rsidRPr="003F2AAD">
              <w:rPr>
                <w:color w:val="auto"/>
              </w:rPr>
              <w:br/>
              <w:t>(Public)</w:t>
            </w:r>
          </w:p>
        </w:tc>
        <w:tc>
          <w:tcPr>
            <w:tcW w:w="0" w:type="auto"/>
            <w:shd w:val="clear" w:color="auto" w:fill="auto"/>
          </w:tcPr>
          <w:p w14:paraId="1F13C070" w14:textId="77777777" w:rsidR="0007088A" w:rsidRPr="003F2AAD" w:rsidRDefault="0007088A" w:rsidP="00E21973">
            <w:pPr>
              <w:pStyle w:val="Tablewriting"/>
              <w:rPr>
                <w:color w:val="auto"/>
              </w:rPr>
            </w:pPr>
            <w:r w:rsidRPr="003F2AAD">
              <w:rPr>
                <w:color w:val="auto"/>
              </w:rPr>
              <w:t>DORNASE ALFA</w:t>
            </w:r>
          </w:p>
          <w:p w14:paraId="53CA460E" w14:textId="77777777" w:rsidR="0007088A" w:rsidRPr="003F2AAD" w:rsidRDefault="0007088A" w:rsidP="00E21973">
            <w:pPr>
              <w:pStyle w:val="Tablewriting"/>
              <w:rPr>
                <w:color w:val="auto"/>
              </w:rPr>
            </w:pPr>
            <w:r w:rsidRPr="003F2AAD">
              <w:rPr>
                <w:color w:val="auto"/>
              </w:rPr>
              <w:t xml:space="preserve">dornase alfa 2.5 mg/2.5 mL inhalation: solution, 30 x 2.5 mL ampoules </w:t>
            </w:r>
          </w:p>
        </w:tc>
        <w:tc>
          <w:tcPr>
            <w:tcW w:w="0" w:type="auto"/>
            <w:shd w:val="clear" w:color="auto" w:fill="auto"/>
            <w:vAlign w:val="center"/>
          </w:tcPr>
          <w:p w14:paraId="11EE57DD" w14:textId="77777777" w:rsidR="0007088A" w:rsidRPr="003F2AAD" w:rsidRDefault="0007088A" w:rsidP="00E21973">
            <w:pPr>
              <w:pStyle w:val="Tablewriting"/>
              <w:jc w:val="center"/>
              <w:rPr>
                <w:color w:val="auto"/>
              </w:rPr>
            </w:pPr>
            <w:r w:rsidRPr="003F2AAD">
              <w:rPr>
                <w:color w:val="auto"/>
              </w:rPr>
              <w:t>2</w:t>
            </w:r>
          </w:p>
        </w:tc>
        <w:tc>
          <w:tcPr>
            <w:tcW w:w="0" w:type="auto"/>
            <w:shd w:val="clear" w:color="auto" w:fill="auto"/>
            <w:vAlign w:val="center"/>
          </w:tcPr>
          <w:p w14:paraId="7FAD656A" w14:textId="77777777" w:rsidR="0007088A" w:rsidRPr="003F2AAD" w:rsidRDefault="0007088A" w:rsidP="00E21973">
            <w:pPr>
              <w:pStyle w:val="Tablewriting"/>
              <w:jc w:val="center"/>
              <w:rPr>
                <w:color w:val="auto"/>
              </w:rPr>
            </w:pPr>
            <w:r w:rsidRPr="003F2AAD">
              <w:rPr>
                <w:color w:val="auto"/>
              </w:rPr>
              <w:t>5</w:t>
            </w:r>
          </w:p>
        </w:tc>
        <w:tc>
          <w:tcPr>
            <w:tcW w:w="0" w:type="auto"/>
            <w:shd w:val="clear" w:color="auto" w:fill="auto"/>
            <w:vAlign w:val="center"/>
          </w:tcPr>
          <w:p w14:paraId="3A189330" w14:textId="77777777" w:rsidR="0007088A" w:rsidRPr="003F2AAD" w:rsidRDefault="0007088A" w:rsidP="00E21973">
            <w:pPr>
              <w:pStyle w:val="Tablewriting"/>
              <w:rPr>
                <w:color w:val="auto"/>
              </w:rPr>
            </w:pPr>
            <w:r w:rsidRPr="003F2AAD">
              <w:rPr>
                <w:color w:val="auto"/>
              </w:rPr>
              <w:t>$2360.00</w:t>
            </w:r>
          </w:p>
        </w:tc>
        <w:tc>
          <w:tcPr>
            <w:tcW w:w="0" w:type="auto"/>
            <w:shd w:val="clear" w:color="auto" w:fill="auto"/>
            <w:vAlign w:val="center"/>
          </w:tcPr>
          <w:p w14:paraId="5BD35FB1" w14:textId="77777777" w:rsidR="0007088A" w:rsidRPr="003F2AAD" w:rsidRDefault="0007088A" w:rsidP="00E21973">
            <w:pPr>
              <w:pStyle w:val="Tablewriting"/>
              <w:rPr>
                <w:color w:val="auto"/>
              </w:rPr>
            </w:pPr>
            <w:r w:rsidRPr="003F2AAD">
              <w:rPr>
                <w:color w:val="auto"/>
              </w:rPr>
              <w:t>Pulmozyme</w:t>
            </w:r>
            <w:r w:rsidRPr="003F2AAD">
              <w:rPr>
                <w:rFonts w:ascii="Calibri" w:hAnsi="Calibri"/>
                <w:color w:val="auto"/>
              </w:rPr>
              <w:t>®</w:t>
            </w:r>
          </w:p>
          <w:p w14:paraId="570AFF89" w14:textId="77777777" w:rsidR="0007088A" w:rsidRPr="003F2AAD" w:rsidRDefault="0007088A" w:rsidP="00E21973">
            <w:pPr>
              <w:pStyle w:val="Tablewriting"/>
              <w:rPr>
                <w:color w:val="auto"/>
              </w:rPr>
            </w:pPr>
            <w:r w:rsidRPr="003F2AAD">
              <w:rPr>
                <w:color w:val="auto"/>
              </w:rPr>
              <w:t>Roche Products Pty Ltd</w:t>
            </w:r>
          </w:p>
        </w:tc>
      </w:tr>
      <w:tr w:rsidR="0007088A" w:rsidRPr="003F2AAD" w14:paraId="5D43354E" w14:textId="77777777" w:rsidTr="002E1B5E">
        <w:trPr>
          <w:trHeight w:val="546"/>
          <w:tblHeader/>
        </w:trPr>
        <w:tc>
          <w:tcPr>
            <w:tcW w:w="801" w:type="dxa"/>
            <w:shd w:val="clear" w:color="auto" w:fill="auto"/>
          </w:tcPr>
          <w:p w14:paraId="252D3CB4" w14:textId="77777777" w:rsidR="0007088A" w:rsidRPr="003F2AAD" w:rsidRDefault="0007088A" w:rsidP="00E21973">
            <w:pPr>
              <w:pStyle w:val="Tablewriting"/>
              <w:rPr>
                <w:color w:val="auto"/>
              </w:rPr>
            </w:pPr>
            <w:r w:rsidRPr="003F2AAD">
              <w:rPr>
                <w:color w:val="auto"/>
              </w:rPr>
              <w:t>6120D</w:t>
            </w:r>
          </w:p>
          <w:p w14:paraId="537E8827" w14:textId="77777777" w:rsidR="0007088A" w:rsidRPr="003F2AAD" w:rsidRDefault="0007088A" w:rsidP="00E21973">
            <w:pPr>
              <w:pStyle w:val="Tablewriting"/>
              <w:rPr>
                <w:color w:val="auto"/>
              </w:rPr>
            </w:pPr>
            <w:r w:rsidRPr="003F2AAD">
              <w:rPr>
                <w:color w:val="auto"/>
              </w:rPr>
              <w:t>(Private)</w:t>
            </w:r>
          </w:p>
        </w:tc>
        <w:tc>
          <w:tcPr>
            <w:tcW w:w="0" w:type="auto"/>
            <w:shd w:val="clear" w:color="auto" w:fill="auto"/>
          </w:tcPr>
          <w:p w14:paraId="00DB8C7D" w14:textId="77777777" w:rsidR="007433FF" w:rsidRPr="003F2AAD" w:rsidRDefault="007433FF" w:rsidP="007433FF">
            <w:pPr>
              <w:pStyle w:val="Tablewriting"/>
              <w:rPr>
                <w:color w:val="auto"/>
              </w:rPr>
            </w:pPr>
            <w:r w:rsidRPr="003F2AAD">
              <w:rPr>
                <w:color w:val="auto"/>
              </w:rPr>
              <w:t>DORNASE ALFA</w:t>
            </w:r>
          </w:p>
          <w:p w14:paraId="383A13F0" w14:textId="01A94CD7" w:rsidR="0007088A" w:rsidRPr="003F2AAD" w:rsidRDefault="007433FF" w:rsidP="007433FF">
            <w:pPr>
              <w:pStyle w:val="Tablewriting"/>
              <w:rPr>
                <w:color w:val="auto"/>
              </w:rPr>
            </w:pPr>
            <w:r w:rsidRPr="003F2AAD">
              <w:rPr>
                <w:color w:val="auto"/>
              </w:rPr>
              <w:t>dornase alfa 2.5 mg/2.5 mL inhalation: solution, 30 x 2.5 mL ampoules</w:t>
            </w:r>
          </w:p>
        </w:tc>
        <w:tc>
          <w:tcPr>
            <w:tcW w:w="0" w:type="auto"/>
            <w:shd w:val="clear" w:color="auto" w:fill="auto"/>
            <w:vAlign w:val="center"/>
          </w:tcPr>
          <w:p w14:paraId="271BBAE0" w14:textId="558F547D" w:rsidR="0007088A" w:rsidRPr="003F2AAD" w:rsidRDefault="007433FF" w:rsidP="007433FF">
            <w:pPr>
              <w:pStyle w:val="Tablewriting"/>
              <w:jc w:val="center"/>
              <w:rPr>
                <w:color w:val="auto"/>
              </w:rPr>
            </w:pPr>
            <w:r>
              <w:rPr>
                <w:color w:val="auto"/>
              </w:rPr>
              <w:t>2</w:t>
            </w:r>
          </w:p>
        </w:tc>
        <w:tc>
          <w:tcPr>
            <w:tcW w:w="0" w:type="auto"/>
            <w:shd w:val="clear" w:color="auto" w:fill="auto"/>
            <w:vAlign w:val="center"/>
          </w:tcPr>
          <w:p w14:paraId="6DDCF14C" w14:textId="76A91C78" w:rsidR="0007088A" w:rsidRPr="003F2AAD" w:rsidRDefault="007433FF" w:rsidP="007433FF">
            <w:pPr>
              <w:pStyle w:val="Tablewriting"/>
              <w:jc w:val="center"/>
              <w:rPr>
                <w:color w:val="auto"/>
              </w:rPr>
            </w:pPr>
            <w:r>
              <w:rPr>
                <w:color w:val="auto"/>
              </w:rPr>
              <w:t>5</w:t>
            </w:r>
          </w:p>
        </w:tc>
        <w:tc>
          <w:tcPr>
            <w:tcW w:w="0" w:type="auto"/>
            <w:shd w:val="clear" w:color="auto" w:fill="auto"/>
            <w:vAlign w:val="center"/>
          </w:tcPr>
          <w:p w14:paraId="5021ED37" w14:textId="77777777" w:rsidR="0007088A" w:rsidRPr="003F2AAD" w:rsidRDefault="0007088A" w:rsidP="00E21973">
            <w:pPr>
              <w:pStyle w:val="Tablewriting"/>
              <w:rPr>
                <w:color w:val="auto"/>
              </w:rPr>
            </w:pPr>
            <w:r w:rsidRPr="003F2AAD">
              <w:rPr>
                <w:color w:val="auto"/>
              </w:rPr>
              <w:t>$2406.76</w:t>
            </w:r>
          </w:p>
        </w:tc>
        <w:tc>
          <w:tcPr>
            <w:tcW w:w="0" w:type="auto"/>
            <w:shd w:val="clear" w:color="auto" w:fill="auto"/>
            <w:vAlign w:val="center"/>
          </w:tcPr>
          <w:p w14:paraId="76B7964A" w14:textId="77777777" w:rsidR="00C85CD4" w:rsidRPr="003F2AAD" w:rsidRDefault="00C85CD4" w:rsidP="00C85CD4">
            <w:pPr>
              <w:pStyle w:val="Tablewriting"/>
              <w:rPr>
                <w:color w:val="auto"/>
              </w:rPr>
            </w:pPr>
            <w:r w:rsidRPr="003F2AAD">
              <w:rPr>
                <w:color w:val="auto"/>
              </w:rPr>
              <w:t>Pulmozyme</w:t>
            </w:r>
            <w:r w:rsidRPr="003F2AAD">
              <w:rPr>
                <w:rFonts w:ascii="Calibri" w:hAnsi="Calibri"/>
                <w:color w:val="auto"/>
              </w:rPr>
              <w:t>®</w:t>
            </w:r>
          </w:p>
          <w:p w14:paraId="40963384" w14:textId="7C0D7BC2" w:rsidR="0007088A" w:rsidRPr="003F2AAD" w:rsidRDefault="00C85CD4" w:rsidP="00C85CD4">
            <w:pPr>
              <w:pStyle w:val="Tablewriting"/>
              <w:rPr>
                <w:color w:val="auto"/>
              </w:rPr>
            </w:pPr>
            <w:r w:rsidRPr="003F2AAD">
              <w:rPr>
                <w:color w:val="auto"/>
              </w:rPr>
              <w:t>Roche Products Pty Ltd</w:t>
            </w:r>
          </w:p>
        </w:tc>
      </w:tr>
    </w:tbl>
    <w:p w14:paraId="7660CFD1" w14:textId="743645BC" w:rsidR="0007088A" w:rsidRPr="003F2AAD" w:rsidRDefault="0007088A" w:rsidP="0007088A">
      <w:pPr>
        <w:pStyle w:val="Notes"/>
      </w:pPr>
      <w:r w:rsidRPr="003F2AAD">
        <w:t>Source: August 2014 PBS Schedule</w:t>
      </w:r>
      <w:r w:rsidR="009B1CD9">
        <w:t>, *Published price.  A Special Pricing Arrangement applies to mannitol.</w:t>
      </w:r>
    </w:p>
    <w:p w14:paraId="1AFA1485" w14:textId="5C3960EE" w:rsidR="004C3186" w:rsidRDefault="004C3186" w:rsidP="004F1E15">
      <w:pPr>
        <w:pStyle w:val="Heading5"/>
      </w:pPr>
      <w:r w:rsidRPr="004F1E15">
        <w:t>Restriction</w:t>
      </w:r>
      <w:r w:rsidR="00837AEE">
        <w:t xml:space="preserve"> (abridged)</w:t>
      </w:r>
    </w:p>
    <w:p w14:paraId="0D47F392" w14:textId="68C58B07" w:rsidR="00934D5C" w:rsidRDefault="00456273" w:rsidP="00934D5C">
      <w:r w:rsidRPr="00456273">
        <w:t>Mannitol and dornase alfa have PBS listing for use in CF.  Both have</w:t>
      </w:r>
      <w:r w:rsidR="008710C4">
        <w:t xml:space="preserve"> Authority Required (Streamlined</w:t>
      </w:r>
      <w:r w:rsidRPr="00456273">
        <w:t>) listings for public hospitals and Authority Required listings for private hospitals.</w:t>
      </w:r>
    </w:p>
    <w:p w14:paraId="394F41BF" w14:textId="77777777" w:rsidR="008C32B6" w:rsidRPr="003F2AAD" w:rsidRDefault="008C32B6" w:rsidP="008C32B6">
      <w:pPr>
        <w:rPr>
          <w:u w:val="single"/>
        </w:rPr>
      </w:pPr>
      <w:r w:rsidRPr="003F2AAD">
        <w:rPr>
          <w:u w:val="single"/>
        </w:rPr>
        <w:t>Mannitol</w:t>
      </w:r>
    </w:p>
    <w:p w14:paraId="309A116F" w14:textId="77777777" w:rsidR="008C32B6" w:rsidRPr="003F2AAD" w:rsidRDefault="008C32B6" w:rsidP="008C32B6">
      <w:pPr>
        <w:pStyle w:val="ListParagraph"/>
        <w:numPr>
          <w:ilvl w:val="0"/>
          <w:numId w:val="3"/>
        </w:numPr>
        <w:rPr>
          <w:u w:val="single"/>
        </w:rPr>
      </w:pPr>
      <w:r w:rsidRPr="003F2AAD">
        <w:t xml:space="preserve">Cystic fibrosis patients 6 years of age or older intolerant or inadequately responsive to dornase alfa; and </w:t>
      </w:r>
    </w:p>
    <w:p w14:paraId="219BA006" w14:textId="77777777" w:rsidR="008C32B6" w:rsidRPr="003F2AAD" w:rsidRDefault="008C32B6" w:rsidP="008C32B6">
      <w:pPr>
        <w:pStyle w:val="ListParagraph"/>
        <w:numPr>
          <w:ilvl w:val="0"/>
          <w:numId w:val="3"/>
        </w:numPr>
        <w:rPr>
          <w:u w:val="single"/>
        </w:rPr>
      </w:pPr>
      <w:r w:rsidRPr="003F2AAD">
        <w:t>the patient has a negative hyperresponsiveness test as per the TGA approved Product Information;  and</w:t>
      </w:r>
    </w:p>
    <w:p w14:paraId="6A56D1B5" w14:textId="3EC7A9CB" w:rsidR="008C32B6" w:rsidRPr="003F2AAD" w:rsidRDefault="008C32B6" w:rsidP="008C32B6">
      <w:pPr>
        <w:pStyle w:val="ListParagraph"/>
        <w:numPr>
          <w:ilvl w:val="0"/>
          <w:numId w:val="3"/>
        </w:numPr>
        <w:rPr>
          <w:u w:val="single"/>
        </w:rPr>
      </w:pPr>
      <w:r w:rsidRPr="003F2AAD">
        <w:t>forced expiratory volume in 1 second (FEV1) greater than 30</w:t>
      </w:r>
      <w:r>
        <w:t xml:space="preserve"> </w:t>
      </w:r>
      <w:r w:rsidRPr="003F2AAD">
        <w:t xml:space="preserve">% predicted for age, gender and height; and </w:t>
      </w:r>
    </w:p>
    <w:p w14:paraId="1FB7EA31" w14:textId="77777777" w:rsidR="008C32B6" w:rsidRPr="003F2AAD" w:rsidRDefault="008C32B6" w:rsidP="008C32B6">
      <w:pPr>
        <w:pStyle w:val="ListParagraph"/>
        <w:numPr>
          <w:ilvl w:val="0"/>
          <w:numId w:val="3"/>
        </w:numPr>
      </w:pPr>
      <w:r w:rsidRPr="003F2AAD">
        <w:t xml:space="preserve">evidence of chronic suppurative lung disease </w:t>
      </w:r>
    </w:p>
    <w:p w14:paraId="6DA020AE" w14:textId="77777777" w:rsidR="008C32B6" w:rsidRPr="003F2AAD" w:rsidRDefault="008C32B6" w:rsidP="008C32B6">
      <w:r w:rsidRPr="003F2AAD">
        <w:t xml:space="preserve">To be eligible for continuing treatment following initial 3 months treatment the following criteria need to be met: </w:t>
      </w:r>
    </w:p>
    <w:p w14:paraId="3312ACF8" w14:textId="77777777" w:rsidR="008C32B6" w:rsidRPr="003F2AAD" w:rsidRDefault="008C32B6" w:rsidP="008C32B6">
      <w:pPr>
        <w:pStyle w:val="ListParagraph"/>
        <w:numPr>
          <w:ilvl w:val="0"/>
          <w:numId w:val="6"/>
        </w:numPr>
      </w:pPr>
      <w:r w:rsidRPr="003F2AAD">
        <w:t>no deterioration in FEV1 compared to baseline; and</w:t>
      </w:r>
    </w:p>
    <w:p w14:paraId="6E828660" w14:textId="77777777" w:rsidR="008C32B6" w:rsidRPr="003F2AAD" w:rsidRDefault="008C32B6" w:rsidP="008C32B6">
      <w:pPr>
        <w:pStyle w:val="ListParagraph"/>
        <w:numPr>
          <w:ilvl w:val="0"/>
          <w:numId w:val="6"/>
        </w:numPr>
      </w:pPr>
      <w:r w:rsidRPr="003F2AAD">
        <w:t>patient or the patient's family (in the case of paediatric patients) must report improvement in the patient's airway clearance; and</w:t>
      </w:r>
    </w:p>
    <w:p w14:paraId="2069FA60" w14:textId="77777777" w:rsidR="008C32B6" w:rsidRPr="003F2AAD" w:rsidRDefault="008C32B6" w:rsidP="008C32B6">
      <w:pPr>
        <w:pStyle w:val="ListParagraph"/>
        <w:numPr>
          <w:ilvl w:val="0"/>
          <w:numId w:val="6"/>
        </w:numPr>
      </w:pPr>
      <w:r w:rsidRPr="003F2AAD">
        <w:t>the treating physician(s) must report a benefit in the clinical status of the patient.</w:t>
      </w:r>
    </w:p>
    <w:p w14:paraId="1CB70520" w14:textId="77777777" w:rsidR="008C32B6" w:rsidRPr="003F2AAD" w:rsidRDefault="008C32B6" w:rsidP="008C32B6">
      <w:r w:rsidRPr="003F2AAD">
        <w:t>Patients may continue treatment where treatment is providing a worthwhile benefit.  There is also a ‘grandfather’ restriction for patients who started mannitol treatment prior to PBS listing.</w:t>
      </w:r>
    </w:p>
    <w:p w14:paraId="344C64B5" w14:textId="77777777" w:rsidR="008C32B6" w:rsidRPr="003F2AAD" w:rsidRDefault="008C32B6" w:rsidP="008C32B6">
      <w:pPr>
        <w:rPr>
          <w:u w:val="single"/>
        </w:rPr>
      </w:pPr>
      <w:r w:rsidRPr="003F2AAD">
        <w:rPr>
          <w:u w:val="single"/>
        </w:rPr>
        <w:t>Dornase alfa</w:t>
      </w:r>
    </w:p>
    <w:p w14:paraId="71C0438D" w14:textId="77777777" w:rsidR="008C32B6" w:rsidRPr="003F2AAD" w:rsidRDefault="008C32B6" w:rsidP="008C32B6">
      <w:r w:rsidRPr="003F2AAD">
        <w:t>For patients 5 years of age or older:</w:t>
      </w:r>
    </w:p>
    <w:p w14:paraId="77EC6338" w14:textId="6E60AC9F" w:rsidR="008C32B6" w:rsidRPr="003F2AAD" w:rsidRDefault="00C565FF" w:rsidP="008C32B6">
      <w:pPr>
        <w:pStyle w:val="ListParagraph"/>
        <w:numPr>
          <w:ilvl w:val="0"/>
          <w:numId w:val="4"/>
        </w:numPr>
      </w:pPr>
      <w:r>
        <w:t xml:space="preserve">Cystic fibrosis patients </w:t>
      </w:r>
      <w:r w:rsidR="008C32B6" w:rsidRPr="003F2AAD">
        <w:t xml:space="preserve">5 years </w:t>
      </w:r>
      <w:r>
        <w:t xml:space="preserve">of age </w:t>
      </w:r>
      <w:r w:rsidR="00D44B1E">
        <w:t xml:space="preserve">or older </w:t>
      </w:r>
      <w:r w:rsidR="008C32B6" w:rsidRPr="003F2AAD">
        <w:t>with evidence of chronic suppurative lung disease; and</w:t>
      </w:r>
    </w:p>
    <w:p w14:paraId="42A743DE" w14:textId="25C866E7" w:rsidR="008C32B6" w:rsidRPr="003F2AAD" w:rsidRDefault="008C32B6" w:rsidP="008C32B6">
      <w:pPr>
        <w:pStyle w:val="ListParagraph"/>
        <w:numPr>
          <w:ilvl w:val="0"/>
          <w:numId w:val="4"/>
        </w:numPr>
      </w:pPr>
      <w:r w:rsidRPr="003F2AAD">
        <w:t>forced vital capacity (FVC) greater than 40</w:t>
      </w:r>
      <w:r w:rsidR="0093638B">
        <w:t xml:space="preserve"> </w:t>
      </w:r>
      <w:r w:rsidRPr="003F2AAD">
        <w:t>% predicted for age, gender and weight.</w:t>
      </w:r>
    </w:p>
    <w:p w14:paraId="25E3847A" w14:textId="77777777" w:rsidR="008C32B6" w:rsidRPr="003F2AAD" w:rsidRDefault="008C32B6" w:rsidP="008C32B6">
      <w:r w:rsidRPr="003F2AAD">
        <w:t>Patients under 5 years of age:</w:t>
      </w:r>
    </w:p>
    <w:p w14:paraId="245DF438" w14:textId="77777777" w:rsidR="008C32B6" w:rsidRPr="003F2AAD" w:rsidRDefault="008C32B6" w:rsidP="008C32B6">
      <w:pPr>
        <w:pStyle w:val="ListParagraph"/>
        <w:numPr>
          <w:ilvl w:val="0"/>
          <w:numId w:val="5"/>
        </w:numPr>
      </w:pPr>
      <w:r w:rsidRPr="003F2AAD">
        <w:t>Cystic fibrosis with a severe clinical course with frequent respiratory exacerbations or chronic respiratory symptoms (including chronic or recurrent cough, wheeze or tachypnoea) requiring hospital admissions more frequently than 3 times per year; OR</w:t>
      </w:r>
    </w:p>
    <w:p w14:paraId="436ECF27" w14:textId="77777777" w:rsidR="008C32B6" w:rsidRPr="003F2AAD" w:rsidRDefault="008C32B6" w:rsidP="008C32B6">
      <w:pPr>
        <w:pStyle w:val="ListParagraph"/>
        <w:numPr>
          <w:ilvl w:val="0"/>
          <w:numId w:val="5"/>
        </w:numPr>
      </w:pPr>
      <w:r w:rsidRPr="003F2AAD">
        <w:t>Patient must have significant bronchiectasis on chest high resolution computed tomography scan; OR</w:t>
      </w:r>
    </w:p>
    <w:p w14:paraId="0D0DD799" w14:textId="77777777" w:rsidR="008C32B6" w:rsidRPr="003F2AAD" w:rsidRDefault="008C32B6" w:rsidP="008C32B6">
      <w:pPr>
        <w:pStyle w:val="ListParagraph"/>
        <w:numPr>
          <w:ilvl w:val="0"/>
          <w:numId w:val="5"/>
        </w:numPr>
      </w:pPr>
      <w:r w:rsidRPr="003F2AAD">
        <w:t>Patient must have severe cystic fibrosis bronchiolitis with persistent wheeze non-responsive to conventional medicines; OR</w:t>
      </w:r>
    </w:p>
    <w:p w14:paraId="6714C68C" w14:textId="77777777" w:rsidR="008C32B6" w:rsidRPr="003F2AAD" w:rsidRDefault="008C32B6" w:rsidP="008C32B6">
      <w:pPr>
        <w:pStyle w:val="ListParagraph"/>
        <w:numPr>
          <w:ilvl w:val="0"/>
          <w:numId w:val="5"/>
        </w:numPr>
      </w:pPr>
      <w:r w:rsidRPr="003F2AAD">
        <w:t>Patient must have severe physiological deficit measure by forced oscillation technique or multiple breath nitrogen washout and failure to respond to conventional therapy.</w:t>
      </w:r>
    </w:p>
    <w:p w14:paraId="2311CB04" w14:textId="77777777" w:rsidR="008C32B6" w:rsidRPr="003F2AAD" w:rsidRDefault="008C32B6" w:rsidP="008C32B6">
      <w:pPr>
        <w:pStyle w:val="ListParagraph"/>
        <w:numPr>
          <w:ilvl w:val="0"/>
          <w:numId w:val="5"/>
        </w:numPr>
      </w:pPr>
      <w:r w:rsidRPr="003F2AAD">
        <w:t>Following an initial 6 months’ therapy, a comprehensive assessment must be undertaken and documented involving the patient, the patient's family, the treating physician and an additional independent member of the cystic fibrosis treatment team to establish agreement that dornase alfa treatment is continuing to produce worthwhile benefit.</w:t>
      </w:r>
    </w:p>
    <w:p w14:paraId="7CA63057" w14:textId="28A1F345" w:rsidR="008C32B6" w:rsidRPr="003F2AAD" w:rsidRDefault="008C32B6" w:rsidP="008C32B6">
      <w:pPr>
        <w:pStyle w:val="ListParagraph"/>
        <w:numPr>
          <w:ilvl w:val="0"/>
          <w:numId w:val="5"/>
        </w:numPr>
      </w:pPr>
      <w:r w:rsidRPr="003F2AAD">
        <w:t xml:space="preserve">Patients who started treatment prior to 5 years of age may continue </w:t>
      </w:r>
      <w:r w:rsidR="00631D8D" w:rsidRPr="003F2AAD">
        <w:t>treatment where</w:t>
      </w:r>
      <w:r w:rsidRPr="003F2AAD">
        <w:t xml:space="preserve"> treatment is providing a worthwhile benefit</w:t>
      </w:r>
      <w:r w:rsidR="004C225C">
        <w:t>.</w:t>
      </w:r>
    </w:p>
    <w:p w14:paraId="0E997C49" w14:textId="77777777" w:rsidR="008C32B6" w:rsidRPr="003F2AAD" w:rsidRDefault="008C32B6" w:rsidP="008C32B6">
      <w:pPr>
        <w:pStyle w:val="ListParagraph"/>
        <w:numPr>
          <w:ilvl w:val="0"/>
          <w:numId w:val="5"/>
        </w:numPr>
      </w:pPr>
      <w:r w:rsidRPr="003F2AAD">
        <w:t>Patients under 5 years of age who started treatment prior to 1 November 2009 have a ‘grandfather’ restriction and may continue treatment where treatment is providing a worthwhile benefit.</w:t>
      </w:r>
    </w:p>
    <w:p w14:paraId="7D737BC8" w14:textId="280B861E" w:rsidR="00AF11BF" w:rsidRPr="00934D5C" w:rsidRDefault="008C32B6" w:rsidP="00934D5C">
      <w:r w:rsidRPr="003F2AAD">
        <w:t xml:space="preserve">Patients cannot receive both PBS-subsidised mannitol and dornase alfa.  Refer to </w:t>
      </w:r>
      <w:r w:rsidR="008E5877">
        <w:t xml:space="preserve">the </w:t>
      </w:r>
      <w:hyperlink r:id="rId11" w:history="1">
        <w:r w:rsidR="00FA257C">
          <w:rPr>
            <w:rStyle w:val="Hyperlink"/>
          </w:rPr>
          <w:t>PBS website</w:t>
        </w:r>
      </w:hyperlink>
      <w:r w:rsidR="008B5D14">
        <w:t xml:space="preserve"> for the complete restrictions for mannitol and dornase alfa.</w:t>
      </w:r>
    </w:p>
    <w:p w14:paraId="509ADFEB" w14:textId="5D8DB94B" w:rsidR="009C35F2" w:rsidRDefault="009C35F2" w:rsidP="004F1E15">
      <w:pPr>
        <w:pStyle w:val="Heading5"/>
      </w:pPr>
      <w:r w:rsidRPr="00675BB1">
        <w:t>Date of listing on PBS</w:t>
      </w:r>
    </w:p>
    <w:p w14:paraId="79210F52" w14:textId="7858560B" w:rsidR="00896418" w:rsidRPr="003F2AAD" w:rsidRDefault="00896418" w:rsidP="00DE59F2">
      <w:r w:rsidRPr="003F2AAD">
        <w:t>Dornase alfa</w:t>
      </w:r>
      <w:r w:rsidR="00DE59F2">
        <w:t xml:space="preserve"> was</w:t>
      </w:r>
      <w:r w:rsidRPr="003F2AAD">
        <w:t xml:space="preserve"> listed </w:t>
      </w:r>
      <w:r w:rsidR="00DE59F2">
        <w:t xml:space="preserve">on 1 </w:t>
      </w:r>
      <w:r w:rsidRPr="003F2AAD">
        <w:t>February 1996 and was restricted to patients over 5 years of age.</w:t>
      </w:r>
      <w:r w:rsidR="00DE59F2">
        <w:t xml:space="preserve">  L</w:t>
      </w:r>
      <w:r w:rsidRPr="003F2AAD">
        <w:t>isting was extended to patients under 5 years of age meeting certain criteria in November 2009.</w:t>
      </w:r>
    </w:p>
    <w:p w14:paraId="0455A372" w14:textId="77777777" w:rsidR="00896418" w:rsidRPr="003F2AAD" w:rsidRDefault="00896418" w:rsidP="00896418">
      <w:r w:rsidRPr="003F2AAD">
        <w:t xml:space="preserve">Mannitol was listed on the PBS on 1 August 2012. </w:t>
      </w:r>
    </w:p>
    <w:p w14:paraId="646BFA0B" w14:textId="2B7679E4" w:rsidR="00896418" w:rsidRPr="003F2AAD" w:rsidRDefault="00896418" w:rsidP="00896418">
      <w:r w:rsidRPr="003F2AAD">
        <w:t>Current PBS listing details are available from</w:t>
      </w:r>
      <w:r w:rsidR="00FA257C">
        <w:t xml:space="preserve"> the </w:t>
      </w:r>
      <w:hyperlink r:id="rId12" w:history="1">
        <w:r w:rsidR="00FA257C" w:rsidRPr="00FA257C">
          <w:rPr>
            <w:rStyle w:val="Hyperlink"/>
          </w:rPr>
          <w:t>PBS website</w:t>
        </w:r>
      </w:hyperlink>
      <w:r w:rsidR="00FA257C">
        <w:t>.</w:t>
      </w:r>
    </w:p>
    <w:p w14:paraId="383E312E" w14:textId="391486DA" w:rsidR="00736041" w:rsidRDefault="00C41246" w:rsidP="00852A4C">
      <w:pPr>
        <w:pStyle w:val="Heading4"/>
      </w:pPr>
      <w:r w:rsidRPr="006C4620">
        <w:t xml:space="preserve">Relevant aspects of </w:t>
      </w:r>
      <w:r w:rsidR="0063021F" w:rsidRPr="006C4620">
        <w:t xml:space="preserve">the PBAC </w:t>
      </w:r>
      <w:r w:rsidR="00736041" w:rsidRPr="006C4620">
        <w:t>consideration</w:t>
      </w:r>
    </w:p>
    <w:p w14:paraId="15100235" w14:textId="4C92DD97" w:rsidR="002F6B99" w:rsidRPr="003F2AAD" w:rsidRDefault="002F6B99" w:rsidP="002F6B99">
      <w:r w:rsidRPr="003F2AAD">
        <w:rPr>
          <w:b/>
        </w:rPr>
        <w:t xml:space="preserve">Dornase alfa </w:t>
      </w:r>
      <w:r w:rsidR="001E45D4">
        <w:t xml:space="preserve">was </w:t>
      </w:r>
      <w:r w:rsidRPr="003F2AAD">
        <w:t>recommended for PBS listing by the PBAC</w:t>
      </w:r>
      <w:r w:rsidR="001E45D4">
        <w:t xml:space="preserve"> at its September 1995 meeting.  </w:t>
      </w:r>
      <w:r w:rsidR="00550904">
        <w:t>At its</w:t>
      </w:r>
      <w:r w:rsidRPr="003F2AAD">
        <w:t xml:space="preserve"> </w:t>
      </w:r>
      <w:r w:rsidR="007C6A95">
        <w:t xml:space="preserve">July </w:t>
      </w:r>
      <w:r w:rsidRPr="003F2AAD">
        <w:t>2009 meeting, the PBAC recommended extending the listing of dornase alfa to include the treatment of cystic fibrosis in children less than five years of age meeting cer</w:t>
      </w:r>
      <w:r w:rsidR="007C6A95">
        <w:t xml:space="preserve">tain clinical criteria.  </w:t>
      </w:r>
      <w:r w:rsidRPr="003F2AAD">
        <w:t xml:space="preserve">This recommendation was made following a number of submissions from the sponsor and advice from clinician groups to identify the group of patients aged 5 years or under who would benefit from treatment. </w:t>
      </w:r>
    </w:p>
    <w:p w14:paraId="2231719D" w14:textId="1F727BEE" w:rsidR="002F6B99" w:rsidRPr="003F2AAD" w:rsidRDefault="002F6B99" w:rsidP="002F6B99">
      <w:r w:rsidRPr="003F2AAD">
        <w:rPr>
          <w:b/>
        </w:rPr>
        <w:t xml:space="preserve">Mannitol </w:t>
      </w:r>
      <w:r w:rsidRPr="003F2AAD">
        <w:t xml:space="preserve">was recommended </w:t>
      </w:r>
      <w:r w:rsidR="00E468FA">
        <w:t xml:space="preserve">for PBS listing </w:t>
      </w:r>
      <w:r w:rsidRPr="003F2AAD">
        <w:t xml:space="preserve">at the March 2012 PBAC meeting. </w:t>
      </w:r>
    </w:p>
    <w:p w14:paraId="5DE05D04" w14:textId="79208E0B" w:rsidR="002F6B99" w:rsidRPr="003F2AAD" w:rsidRDefault="002F6B99" w:rsidP="002F6B99">
      <w:r w:rsidRPr="003F2AAD">
        <w:t xml:space="preserve">Its first consideration by PBAC was </w:t>
      </w:r>
      <w:r w:rsidR="00600203">
        <w:t xml:space="preserve">at the March 2011 PBAC meeting.  </w:t>
      </w:r>
      <w:r w:rsidRPr="003F2AAD">
        <w:t>The submission presented an option of two listings</w:t>
      </w:r>
      <w:r w:rsidR="004F54A8">
        <w:t xml:space="preserve">.  </w:t>
      </w:r>
      <w:r w:rsidRPr="003F2AAD">
        <w:t xml:space="preserve">Both options were broadly for patients with an inadequate response to dornase alfa, intolerant to dornase alfa or who had not met continuing PBS criteria for dornase alfa. </w:t>
      </w:r>
      <w:r w:rsidR="00D21C3D">
        <w:t xml:space="preserve"> </w:t>
      </w:r>
      <w:r w:rsidRPr="003F2AAD">
        <w:t xml:space="preserve">Both requested listings allowed for use as add-on therapy in patients who had an inadequate response to dornase alfa. </w:t>
      </w:r>
      <w:r w:rsidR="00D21C3D">
        <w:t xml:space="preserve"> </w:t>
      </w:r>
      <w:r w:rsidRPr="003F2AAD">
        <w:t>The submission was rejected due to an inappropriate comparator where dornase alfa has failed; and uncertain clinical and cost-effectiveness when used in combination with dornase alfa.</w:t>
      </w:r>
    </w:p>
    <w:p w14:paraId="35FB8890" w14:textId="7B453D09" w:rsidR="00D21C3D" w:rsidRPr="00F65F0D" w:rsidRDefault="00D21C3D" w:rsidP="00D21C3D">
      <w:r>
        <w:t xml:space="preserve">For further details refer to </w:t>
      </w:r>
      <w:r w:rsidRPr="00F65F0D">
        <w:t xml:space="preserve">the </w:t>
      </w:r>
      <w:hyperlink r:id="rId13" w:history="1">
        <w:r w:rsidRPr="00D21C3D">
          <w:rPr>
            <w:rStyle w:val="Hyperlink"/>
          </w:rPr>
          <w:t>Public Summary Document</w:t>
        </w:r>
      </w:hyperlink>
      <w:r w:rsidRPr="00F65F0D">
        <w:t xml:space="preserve"> from the </w:t>
      </w:r>
      <w:r>
        <w:t>March 2011 PBAC meeting.</w:t>
      </w:r>
    </w:p>
    <w:p w14:paraId="2A66205A" w14:textId="14F86278" w:rsidR="002F6B99" w:rsidRPr="003F2AAD" w:rsidRDefault="002F6B99" w:rsidP="002F6B99">
      <w:r w:rsidRPr="003F2AAD">
        <w:t xml:space="preserve">Mannitol was considered for a second time at </w:t>
      </w:r>
      <w:r w:rsidR="0007305C">
        <w:t xml:space="preserve">the November 2011 PBAC meeting.  </w:t>
      </w:r>
      <w:r w:rsidRPr="003F2AAD">
        <w:t xml:space="preserve">The PBAC rejected the submission because the comparator was inappropriate, and on the basis of uncertain clinical effectiveness and uncertain cost effectiveness. </w:t>
      </w:r>
    </w:p>
    <w:p w14:paraId="7C95FAC8" w14:textId="70EA61B3" w:rsidR="0007305C" w:rsidRPr="00F65F0D" w:rsidRDefault="0007305C" w:rsidP="0007305C">
      <w:r>
        <w:t xml:space="preserve">For further details refer to </w:t>
      </w:r>
      <w:r w:rsidRPr="00F65F0D">
        <w:t xml:space="preserve">the </w:t>
      </w:r>
      <w:hyperlink r:id="rId14" w:history="1">
        <w:r w:rsidRPr="0007305C">
          <w:rPr>
            <w:rStyle w:val="Hyperlink"/>
          </w:rPr>
          <w:t>Public Summary Document</w:t>
        </w:r>
      </w:hyperlink>
      <w:r w:rsidRPr="00F65F0D">
        <w:t xml:space="preserve"> from the </w:t>
      </w:r>
      <w:r w:rsidR="00A000B8">
        <w:t>November 2011</w:t>
      </w:r>
      <w:r>
        <w:t xml:space="preserve"> PBAC meeting.</w:t>
      </w:r>
    </w:p>
    <w:p w14:paraId="6965D88C" w14:textId="4B3B1512" w:rsidR="002F6B99" w:rsidRPr="003F2AAD" w:rsidRDefault="00934383" w:rsidP="002F6B99">
      <w:r>
        <w:t xml:space="preserve">At its </w:t>
      </w:r>
      <w:r w:rsidR="002F6B99" w:rsidRPr="003F2AAD">
        <w:t xml:space="preserve">March 2012 </w:t>
      </w:r>
      <w:r>
        <w:t xml:space="preserve">meeting the </w:t>
      </w:r>
      <w:r w:rsidR="002F6B99" w:rsidRPr="003F2AAD">
        <w:t>PBAC</w:t>
      </w:r>
      <w:r>
        <w:t xml:space="preserve"> recommended the listing of mannitol</w:t>
      </w:r>
      <w:r w:rsidR="002F6B99" w:rsidRPr="003F2AAD">
        <w:t xml:space="preserve"> on a cost-minimisation basis to a mixed comparator of 70</w:t>
      </w:r>
      <w:r w:rsidR="00A304FF">
        <w:t xml:space="preserve"> </w:t>
      </w:r>
      <w:r w:rsidR="002F6B99" w:rsidRPr="003F2AAD">
        <w:t>% dornase alfa and 30</w:t>
      </w:r>
      <w:r w:rsidR="00A304FF">
        <w:t xml:space="preserve"> </w:t>
      </w:r>
      <w:r w:rsidR="002F6B99" w:rsidRPr="003F2AAD">
        <w:t xml:space="preserve">% hypertonic saline.  The PBAC considered that, due to the nature of cystic fibrosis and the cycling of treatments, it was likely that the majority of mannitol use would be as monotherapy rather than add-on therapy. </w:t>
      </w:r>
      <w:r w:rsidR="00A304FF">
        <w:t xml:space="preserve"> </w:t>
      </w:r>
      <w:r w:rsidR="002F6B99" w:rsidRPr="003F2AAD">
        <w:t>The PBAC noted the sponsor’s offer to provide mannitol to patients receiving combination therapy via a compassionate use scheme.</w:t>
      </w:r>
      <w:r w:rsidR="00A304FF">
        <w:t xml:space="preserve"> </w:t>
      </w:r>
      <w:r w:rsidR="002F6B99" w:rsidRPr="003F2AAD">
        <w:t xml:space="preserve"> The PBAC stated that there should be no additional cost to the Government budget with the listing of mannitol on the PBS.</w:t>
      </w:r>
    </w:p>
    <w:p w14:paraId="03315F6F" w14:textId="0FDF34E8" w:rsidR="002F6B99" w:rsidRPr="003F2AAD" w:rsidRDefault="002F6B99" w:rsidP="002F6B99">
      <w:r w:rsidRPr="003F2AAD">
        <w:t>A public summary document is not a</w:t>
      </w:r>
      <w:r w:rsidR="00F438C9">
        <w:t>vailable for this consideration, as it was a minor submission.</w:t>
      </w:r>
      <w:r w:rsidRPr="003F2AAD">
        <w:t xml:space="preserve"> </w:t>
      </w:r>
    </w:p>
    <w:p w14:paraId="72C2CA24" w14:textId="4A28B89A" w:rsidR="000F2F51" w:rsidRPr="006C4620" w:rsidRDefault="00ED633B" w:rsidP="00C81F99">
      <w:pPr>
        <w:pStyle w:val="Heading4"/>
      </w:pPr>
      <w:r w:rsidRPr="006C4620">
        <w:t>A</w:t>
      </w:r>
      <w:r w:rsidR="000F2F51" w:rsidRPr="006C4620">
        <w:t xml:space="preserve">pproach </w:t>
      </w:r>
      <w:r w:rsidRPr="006C4620">
        <w:t xml:space="preserve">taken to </w:t>
      </w:r>
      <w:r w:rsidR="000F2F51" w:rsidRPr="006C4620">
        <w:t>estimat</w:t>
      </w:r>
      <w:r w:rsidRPr="006C4620">
        <w:t>e</w:t>
      </w:r>
      <w:r w:rsidR="000F2F51" w:rsidRPr="006C4620">
        <w:t xml:space="preserve"> utilisation</w:t>
      </w:r>
    </w:p>
    <w:p w14:paraId="42E96CC1" w14:textId="77777777" w:rsidR="00785D6C" w:rsidRPr="003F2AAD" w:rsidRDefault="00785D6C" w:rsidP="00785D6C">
      <w:r w:rsidRPr="003F2AAD">
        <w:t xml:space="preserve">Recent predictions of utilisation are not available for dornase alfa. </w:t>
      </w:r>
    </w:p>
    <w:p w14:paraId="0FFE0EFE" w14:textId="77777777" w:rsidR="00785D6C" w:rsidRPr="004C3915" w:rsidRDefault="00785D6C" w:rsidP="00785D6C">
      <w:pPr>
        <w:rPr>
          <w:b/>
          <w:i/>
        </w:rPr>
      </w:pPr>
      <w:r w:rsidRPr="004C3915">
        <w:rPr>
          <w:b/>
          <w:i/>
        </w:rPr>
        <w:t>Mannitol</w:t>
      </w:r>
    </w:p>
    <w:p w14:paraId="2091E8D0" w14:textId="6CEFB620" w:rsidR="00785D6C" w:rsidRDefault="00785D6C" w:rsidP="00785D6C">
      <w:r w:rsidRPr="003F2AAD">
        <w:t xml:space="preserve">The submission used a mixed epidemiological and market share approach to estimate utilisation of mannitol. </w:t>
      </w:r>
      <w:r w:rsidR="00287CDC">
        <w:t xml:space="preserve"> </w:t>
      </w:r>
      <w:r w:rsidRPr="003F2AAD">
        <w:t xml:space="preserve">The data sources used to derive the eligible population are presented in Table 2. </w:t>
      </w:r>
    </w:p>
    <w:p w14:paraId="20468D0A" w14:textId="77777777" w:rsidR="00176E13" w:rsidRPr="003F2AAD" w:rsidRDefault="00176E13" w:rsidP="00176E13">
      <w:pPr>
        <w:pStyle w:val="Tabletitle"/>
      </w:pPr>
      <w:r w:rsidRPr="003F2AAD">
        <w:t>Table 2: Sources used to estimate eligible population</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Table 2: Sources used to estimate the eligible population that would be treated with mannitol"/>
        <w:tblDescription w:val="From the PBAC submission for the PBS listing of mannitol."/>
      </w:tblPr>
      <w:tblGrid>
        <w:gridCol w:w="2204"/>
        <w:gridCol w:w="1188"/>
        <w:gridCol w:w="5673"/>
      </w:tblGrid>
      <w:tr w:rsidR="00176E13" w:rsidRPr="003F2AAD" w14:paraId="3DDDB009" w14:textId="77777777" w:rsidTr="00E21973">
        <w:trPr>
          <w:cantSplit/>
          <w:tblHeader/>
        </w:trPr>
        <w:tc>
          <w:tcPr>
            <w:tcW w:w="0" w:type="auto"/>
            <w:shd w:val="clear" w:color="auto" w:fill="BFBFBF" w:themeFill="background1" w:themeFillShade="BF"/>
            <w:vAlign w:val="center"/>
          </w:tcPr>
          <w:p w14:paraId="4D9D691C" w14:textId="77777777" w:rsidR="00176E13" w:rsidRPr="003F2AAD" w:rsidRDefault="00176E13" w:rsidP="00E21973">
            <w:pPr>
              <w:pStyle w:val="Tablewriting"/>
              <w:rPr>
                <w:b/>
                <w:snapToGrid w:val="0"/>
                <w:color w:val="auto"/>
                <w:lang w:eastAsia="en-US"/>
              </w:rPr>
            </w:pPr>
            <w:r w:rsidRPr="003F2AAD">
              <w:rPr>
                <w:color w:val="auto"/>
              </w:rPr>
              <w:br w:type="page"/>
            </w:r>
            <w:r w:rsidRPr="003F2AAD">
              <w:rPr>
                <w:b/>
                <w:snapToGrid w:val="0"/>
                <w:color w:val="auto"/>
                <w:lang w:eastAsia="en-US"/>
              </w:rPr>
              <w:t xml:space="preserve">Data </w:t>
            </w:r>
          </w:p>
        </w:tc>
        <w:tc>
          <w:tcPr>
            <w:tcW w:w="0" w:type="auto"/>
            <w:shd w:val="clear" w:color="auto" w:fill="BFBFBF" w:themeFill="background1" w:themeFillShade="BF"/>
            <w:vAlign w:val="center"/>
          </w:tcPr>
          <w:p w14:paraId="2AD64505" w14:textId="77777777" w:rsidR="00176E13" w:rsidRPr="003F2AAD" w:rsidRDefault="00176E13" w:rsidP="00E21973">
            <w:pPr>
              <w:pStyle w:val="Tablewriting"/>
              <w:rPr>
                <w:b/>
                <w:snapToGrid w:val="0"/>
                <w:color w:val="auto"/>
                <w:lang w:eastAsia="en-US"/>
              </w:rPr>
            </w:pPr>
            <w:r w:rsidRPr="003F2AAD">
              <w:rPr>
                <w:b/>
                <w:snapToGrid w:val="0"/>
                <w:color w:val="auto"/>
                <w:lang w:eastAsia="en-US"/>
              </w:rPr>
              <w:t>Value</w:t>
            </w:r>
          </w:p>
        </w:tc>
        <w:tc>
          <w:tcPr>
            <w:tcW w:w="0" w:type="auto"/>
            <w:shd w:val="clear" w:color="auto" w:fill="BFBFBF" w:themeFill="background1" w:themeFillShade="BF"/>
            <w:vAlign w:val="center"/>
          </w:tcPr>
          <w:p w14:paraId="79228F3A" w14:textId="77777777" w:rsidR="00176E13" w:rsidRPr="003F2AAD" w:rsidRDefault="00176E13" w:rsidP="00E21973">
            <w:pPr>
              <w:pStyle w:val="Tablewriting"/>
              <w:rPr>
                <w:b/>
                <w:snapToGrid w:val="0"/>
                <w:color w:val="auto"/>
                <w:lang w:eastAsia="en-US"/>
              </w:rPr>
            </w:pPr>
            <w:r w:rsidRPr="003F2AAD">
              <w:rPr>
                <w:b/>
                <w:snapToGrid w:val="0"/>
                <w:color w:val="auto"/>
                <w:lang w:eastAsia="en-US"/>
              </w:rPr>
              <w:t>Source</w:t>
            </w:r>
          </w:p>
        </w:tc>
      </w:tr>
      <w:tr w:rsidR="00176E13" w:rsidRPr="003F2AAD" w14:paraId="1BC3AAC8" w14:textId="77777777" w:rsidTr="00E21973">
        <w:trPr>
          <w:cantSplit/>
          <w:tblHeader/>
        </w:trPr>
        <w:tc>
          <w:tcPr>
            <w:tcW w:w="0" w:type="auto"/>
            <w:shd w:val="clear" w:color="auto" w:fill="auto"/>
            <w:vAlign w:val="center"/>
          </w:tcPr>
          <w:p w14:paraId="7CB72ECB" w14:textId="77777777" w:rsidR="00176E13" w:rsidRPr="003F2AAD" w:rsidRDefault="00176E13" w:rsidP="00E21973">
            <w:pPr>
              <w:pStyle w:val="Tablewriting"/>
              <w:rPr>
                <w:snapToGrid w:val="0"/>
                <w:color w:val="auto"/>
                <w:lang w:eastAsia="en-US"/>
              </w:rPr>
            </w:pPr>
            <w:r w:rsidRPr="003F2AAD">
              <w:rPr>
                <w:snapToGrid w:val="0"/>
                <w:color w:val="auto"/>
                <w:lang w:eastAsia="en-US"/>
              </w:rPr>
              <w:t>Total number of cystic fibrosis patients in Australia</w:t>
            </w:r>
          </w:p>
        </w:tc>
        <w:tc>
          <w:tcPr>
            <w:tcW w:w="0" w:type="auto"/>
            <w:vAlign w:val="center"/>
          </w:tcPr>
          <w:p w14:paraId="1A8B26AC" w14:textId="77777777" w:rsidR="00176E13" w:rsidRPr="003F2AAD" w:rsidRDefault="00176E13" w:rsidP="00E21973">
            <w:pPr>
              <w:pStyle w:val="Tablewriting"/>
              <w:jc w:val="center"/>
              <w:rPr>
                <w:snapToGrid w:val="0"/>
                <w:color w:val="auto"/>
                <w:lang w:eastAsia="en-US"/>
              </w:rPr>
            </w:pPr>
            <w:r w:rsidRPr="003F2AAD">
              <w:rPr>
                <w:snapToGrid w:val="0"/>
                <w:color w:val="auto"/>
                <w:lang w:eastAsia="en-US"/>
              </w:rPr>
              <w:t>-</w:t>
            </w:r>
          </w:p>
        </w:tc>
        <w:tc>
          <w:tcPr>
            <w:tcW w:w="0" w:type="auto"/>
            <w:shd w:val="clear" w:color="auto" w:fill="auto"/>
            <w:vAlign w:val="center"/>
          </w:tcPr>
          <w:p w14:paraId="675750CD" w14:textId="77777777" w:rsidR="00176E13" w:rsidRPr="003F2AAD" w:rsidRDefault="00176E13" w:rsidP="00E21973">
            <w:pPr>
              <w:pStyle w:val="Tablewriting"/>
              <w:rPr>
                <w:snapToGrid w:val="0"/>
                <w:color w:val="auto"/>
                <w:lang w:eastAsia="en-US"/>
              </w:rPr>
            </w:pPr>
            <w:r w:rsidRPr="003F2AAD">
              <w:rPr>
                <w:snapToGrid w:val="0"/>
                <w:color w:val="auto"/>
                <w:lang w:eastAsia="en-US"/>
              </w:rPr>
              <w:t>11</w:t>
            </w:r>
            <w:r w:rsidRPr="003F2AAD">
              <w:rPr>
                <w:snapToGrid w:val="0"/>
                <w:color w:val="auto"/>
                <w:vertAlign w:val="superscript"/>
                <w:lang w:eastAsia="en-US"/>
              </w:rPr>
              <w:t>th</w:t>
            </w:r>
            <w:r w:rsidRPr="003F2AAD">
              <w:rPr>
                <w:snapToGrid w:val="0"/>
                <w:color w:val="auto"/>
                <w:lang w:eastAsia="en-US"/>
              </w:rPr>
              <w:t xml:space="preserve"> annual report from the Australian Cystic Fibrosis Registry (1998-2008). Forecast based on 3.3% annual increase in CF population. This is the average increase in prevalence from 2004 to 2008.   </w:t>
            </w:r>
          </w:p>
        </w:tc>
      </w:tr>
      <w:tr w:rsidR="00176E13" w:rsidRPr="003F2AAD" w14:paraId="605912B5" w14:textId="77777777" w:rsidTr="00E21973">
        <w:trPr>
          <w:cantSplit/>
          <w:tblHeader/>
        </w:trPr>
        <w:tc>
          <w:tcPr>
            <w:tcW w:w="0" w:type="auto"/>
            <w:shd w:val="clear" w:color="auto" w:fill="auto"/>
            <w:vAlign w:val="center"/>
          </w:tcPr>
          <w:p w14:paraId="3C7B7A1F" w14:textId="77777777" w:rsidR="00176E13" w:rsidRPr="003F2AAD" w:rsidRDefault="00176E13" w:rsidP="00E21973">
            <w:pPr>
              <w:pStyle w:val="Tablewriting"/>
              <w:rPr>
                <w:snapToGrid w:val="0"/>
                <w:color w:val="auto"/>
                <w:lang w:eastAsia="en-US"/>
              </w:rPr>
            </w:pPr>
            <w:r w:rsidRPr="003F2AAD">
              <w:rPr>
                <w:snapToGrid w:val="0"/>
                <w:color w:val="auto"/>
                <w:lang w:eastAsia="en-US"/>
              </w:rPr>
              <w:t xml:space="preserve">Proportion </w:t>
            </w:r>
            <w:r w:rsidRPr="003F2AAD">
              <w:rPr>
                <w:snapToGrid w:val="0"/>
                <w:color w:val="auto"/>
                <w:u w:val="single"/>
                <w:lang w:eastAsia="en-US"/>
              </w:rPr>
              <w:t>&gt;</w:t>
            </w:r>
            <w:r w:rsidRPr="003F2AAD">
              <w:rPr>
                <w:snapToGrid w:val="0"/>
                <w:color w:val="auto"/>
                <w:lang w:eastAsia="en-US"/>
              </w:rPr>
              <w:t xml:space="preserve"> 6 years of age</w:t>
            </w:r>
          </w:p>
        </w:tc>
        <w:tc>
          <w:tcPr>
            <w:tcW w:w="0" w:type="auto"/>
            <w:vAlign w:val="center"/>
          </w:tcPr>
          <w:p w14:paraId="6808CB54" w14:textId="77777777" w:rsidR="00176E13" w:rsidRPr="003F2AAD" w:rsidRDefault="00176E13" w:rsidP="00E21973">
            <w:pPr>
              <w:pStyle w:val="Tablewriting"/>
              <w:jc w:val="center"/>
              <w:rPr>
                <w:snapToGrid w:val="0"/>
                <w:color w:val="auto"/>
                <w:lang w:eastAsia="en-US"/>
              </w:rPr>
            </w:pPr>
            <w:r w:rsidRPr="003F2AAD">
              <w:rPr>
                <w:snapToGrid w:val="0"/>
                <w:color w:val="auto"/>
                <w:lang w:eastAsia="en-US"/>
              </w:rPr>
              <w:t>17.4%</w:t>
            </w:r>
          </w:p>
        </w:tc>
        <w:tc>
          <w:tcPr>
            <w:tcW w:w="0" w:type="auto"/>
            <w:shd w:val="clear" w:color="auto" w:fill="auto"/>
            <w:vAlign w:val="center"/>
          </w:tcPr>
          <w:p w14:paraId="346D4E14" w14:textId="77777777" w:rsidR="00176E13" w:rsidRPr="003F2AAD" w:rsidRDefault="00176E13" w:rsidP="00E21973">
            <w:pPr>
              <w:pStyle w:val="Tablewriting"/>
              <w:rPr>
                <w:snapToGrid w:val="0"/>
                <w:color w:val="auto"/>
                <w:lang w:eastAsia="en-US"/>
              </w:rPr>
            </w:pPr>
            <w:r w:rsidRPr="003F2AAD">
              <w:rPr>
                <w:snapToGrid w:val="0"/>
                <w:color w:val="auto"/>
                <w:lang w:eastAsia="en-US"/>
              </w:rPr>
              <w:t>Australian Cystic Fibrosis Registry (1998-2008).</w:t>
            </w:r>
          </w:p>
        </w:tc>
      </w:tr>
      <w:tr w:rsidR="00176E13" w:rsidRPr="003F2AAD" w14:paraId="53D8C7E4" w14:textId="77777777" w:rsidTr="00E21973">
        <w:trPr>
          <w:cantSplit/>
          <w:tblHeader/>
        </w:trPr>
        <w:tc>
          <w:tcPr>
            <w:tcW w:w="0" w:type="auto"/>
            <w:shd w:val="clear" w:color="auto" w:fill="auto"/>
            <w:vAlign w:val="center"/>
          </w:tcPr>
          <w:p w14:paraId="542F817E" w14:textId="77777777" w:rsidR="00176E13" w:rsidRPr="003F2AAD" w:rsidRDefault="00176E13" w:rsidP="00E21973">
            <w:pPr>
              <w:pStyle w:val="Tablewriting"/>
              <w:rPr>
                <w:snapToGrid w:val="0"/>
                <w:color w:val="auto"/>
                <w:lang w:eastAsia="en-US"/>
              </w:rPr>
            </w:pPr>
            <w:r w:rsidRPr="003F2AAD">
              <w:rPr>
                <w:snapToGrid w:val="0"/>
                <w:color w:val="auto"/>
                <w:lang w:eastAsia="en-US"/>
              </w:rPr>
              <w:t>FEV1&lt;40%</w:t>
            </w:r>
          </w:p>
        </w:tc>
        <w:tc>
          <w:tcPr>
            <w:tcW w:w="0" w:type="auto"/>
            <w:vAlign w:val="center"/>
          </w:tcPr>
          <w:p w14:paraId="3D87B383" w14:textId="77777777" w:rsidR="00176E13" w:rsidRPr="003F2AAD" w:rsidRDefault="00176E13" w:rsidP="00E21973">
            <w:pPr>
              <w:pStyle w:val="Tablewriting"/>
              <w:jc w:val="center"/>
              <w:rPr>
                <w:snapToGrid w:val="0"/>
                <w:color w:val="auto"/>
                <w:lang w:eastAsia="en-US"/>
              </w:rPr>
            </w:pPr>
            <w:r w:rsidRPr="003F2AAD">
              <w:rPr>
                <w:snapToGrid w:val="0"/>
                <w:color w:val="auto"/>
                <w:lang w:eastAsia="en-US"/>
              </w:rPr>
              <w:t>7.6%</w:t>
            </w:r>
          </w:p>
        </w:tc>
        <w:tc>
          <w:tcPr>
            <w:tcW w:w="0" w:type="auto"/>
            <w:shd w:val="clear" w:color="auto" w:fill="auto"/>
            <w:vAlign w:val="center"/>
          </w:tcPr>
          <w:p w14:paraId="19FE8248" w14:textId="0DED8842" w:rsidR="00176E13" w:rsidRPr="003F2AAD" w:rsidRDefault="00CC371E" w:rsidP="00E21973">
            <w:pPr>
              <w:pStyle w:val="Tablewriting"/>
              <w:rPr>
                <w:snapToGrid w:val="0"/>
                <w:color w:val="auto"/>
                <w:lang w:eastAsia="en-US"/>
              </w:rPr>
            </w:pPr>
            <w:r w:rsidRPr="003F2AAD">
              <w:rPr>
                <w:snapToGrid w:val="0"/>
                <w:color w:val="auto"/>
                <w:lang w:eastAsia="en-US"/>
              </w:rPr>
              <w:t>Australian Cystic Fibrosis Registry (1998-2008).</w:t>
            </w:r>
          </w:p>
        </w:tc>
      </w:tr>
      <w:tr w:rsidR="00176E13" w:rsidRPr="003F2AAD" w14:paraId="59BAF707" w14:textId="77777777" w:rsidTr="00E21973">
        <w:trPr>
          <w:cantSplit/>
          <w:tblHeader/>
        </w:trPr>
        <w:tc>
          <w:tcPr>
            <w:tcW w:w="0" w:type="auto"/>
            <w:shd w:val="clear" w:color="auto" w:fill="auto"/>
            <w:vAlign w:val="center"/>
          </w:tcPr>
          <w:p w14:paraId="3E795776" w14:textId="77777777" w:rsidR="00176E13" w:rsidRPr="003F2AAD" w:rsidRDefault="00176E13" w:rsidP="00E21973">
            <w:pPr>
              <w:pStyle w:val="Tablewriting"/>
              <w:rPr>
                <w:snapToGrid w:val="0"/>
                <w:color w:val="auto"/>
                <w:lang w:eastAsia="en-US"/>
              </w:rPr>
            </w:pPr>
            <w:r w:rsidRPr="003F2AAD">
              <w:rPr>
                <w:snapToGrid w:val="0"/>
                <w:color w:val="auto"/>
                <w:lang w:eastAsia="en-US"/>
              </w:rPr>
              <w:t>Patients not being treated due lack of respiratory symptoms (healthy)</w:t>
            </w:r>
          </w:p>
        </w:tc>
        <w:tc>
          <w:tcPr>
            <w:tcW w:w="0" w:type="auto"/>
            <w:vAlign w:val="center"/>
          </w:tcPr>
          <w:p w14:paraId="501D1758" w14:textId="77777777" w:rsidR="00176E13" w:rsidRPr="003F2AAD" w:rsidRDefault="00176E13" w:rsidP="00E21973">
            <w:pPr>
              <w:pStyle w:val="Tablewriting"/>
              <w:jc w:val="center"/>
              <w:rPr>
                <w:snapToGrid w:val="0"/>
                <w:color w:val="auto"/>
                <w:lang w:eastAsia="en-US"/>
              </w:rPr>
            </w:pPr>
            <w:r w:rsidRPr="003F2AAD">
              <w:rPr>
                <w:snapToGrid w:val="0"/>
                <w:color w:val="auto"/>
                <w:lang w:eastAsia="en-US"/>
              </w:rPr>
              <w:t>21.5%</w:t>
            </w:r>
          </w:p>
        </w:tc>
        <w:tc>
          <w:tcPr>
            <w:tcW w:w="0" w:type="auto"/>
            <w:shd w:val="clear" w:color="auto" w:fill="auto"/>
            <w:vAlign w:val="center"/>
          </w:tcPr>
          <w:p w14:paraId="07155DC5" w14:textId="66898C9C" w:rsidR="00176E13" w:rsidRPr="003F2AAD" w:rsidRDefault="00176E13" w:rsidP="00E21973">
            <w:pPr>
              <w:pStyle w:val="Tablewriting"/>
              <w:rPr>
                <w:snapToGrid w:val="0"/>
                <w:color w:val="auto"/>
                <w:lang w:eastAsia="en-US"/>
              </w:rPr>
            </w:pPr>
            <w:r w:rsidRPr="003F2AAD">
              <w:rPr>
                <w:snapToGrid w:val="0"/>
                <w:color w:val="auto"/>
                <w:lang w:eastAsia="en-US"/>
              </w:rPr>
              <w:t>Australian Cystic Fibrosis Registry (1998-2008). The registry figure is 35.9%. The sponsor stated it is 60% of this figure (i</w:t>
            </w:r>
            <w:r w:rsidR="00355A56">
              <w:rPr>
                <w:snapToGrid w:val="0"/>
                <w:color w:val="auto"/>
                <w:lang w:eastAsia="en-US"/>
              </w:rPr>
              <w:t>.</w:t>
            </w:r>
            <w:r w:rsidRPr="003F2AAD">
              <w:rPr>
                <w:snapToGrid w:val="0"/>
                <w:color w:val="auto"/>
                <w:lang w:eastAsia="en-US"/>
              </w:rPr>
              <w:t>e</w:t>
            </w:r>
            <w:r w:rsidR="00355A56">
              <w:rPr>
                <w:snapToGrid w:val="0"/>
                <w:color w:val="auto"/>
                <w:lang w:eastAsia="en-US"/>
              </w:rPr>
              <w:t>.</w:t>
            </w:r>
            <w:r w:rsidRPr="003F2AAD">
              <w:rPr>
                <w:snapToGrid w:val="0"/>
                <w:color w:val="auto"/>
                <w:lang w:eastAsia="en-US"/>
              </w:rPr>
              <w:t xml:space="preserve"> 21.5%).</w:t>
            </w:r>
          </w:p>
        </w:tc>
      </w:tr>
      <w:tr w:rsidR="00176E13" w:rsidRPr="003F2AAD" w14:paraId="2057BB70" w14:textId="77777777" w:rsidTr="00E21973">
        <w:trPr>
          <w:cantSplit/>
          <w:tblHeader/>
        </w:trPr>
        <w:tc>
          <w:tcPr>
            <w:tcW w:w="0" w:type="auto"/>
            <w:shd w:val="clear" w:color="auto" w:fill="auto"/>
            <w:vAlign w:val="center"/>
          </w:tcPr>
          <w:p w14:paraId="74A3A4AD" w14:textId="77777777" w:rsidR="00176E13" w:rsidRPr="003F2AAD" w:rsidRDefault="00176E13" w:rsidP="00E21973">
            <w:pPr>
              <w:pStyle w:val="Tablewriting"/>
              <w:rPr>
                <w:snapToGrid w:val="0"/>
                <w:color w:val="auto"/>
                <w:lang w:eastAsia="en-US"/>
              </w:rPr>
            </w:pPr>
            <w:r w:rsidRPr="003F2AAD">
              <w:rPr>
                <w:snapToGrid w:val="0"/>
                <w:color w:val="auto"/>
                <w:lang w:eastAsia="en-US"/>
              </w:rPr>
              <w:t>Proportion failing dornase due to allergy</w:t>
            </w:r>
          </w:p>
        </w:tc>
        <w:tc>
          <w:tcPr>
            <w:tcW w:w="0" w:type="auto"/>
            <w:vAlign w:val="center"/>
          </w:tcPr>
          <w:p w14:paraId="44F17895" w14:textId="77777777" w:rsidR="00176E13" w:rsidRPr="003F2AAD" w:rsidRDefault="00176E13" w:rsidP="00E21973">
            <w:pPr>
              <w:pStyle w:val="Tablewriting"/>
              <w:jc w:val="center"/>
              <w:rPr>
                <w:snapToGrid w:val="0"/>
                <w:color w:val="auto"/>
                <w:lang w:eastAsia="en-US"/>
              </w:rPr>
            </w:pPr>
            <w:r w:rsidRPr="003F2AAD">
              <w:rPr>
                <w:snapToGrid w:val="0"/>
                <w:color w:val="auto"/>
                <w:lang w:eastAsia="en-US"/>
              </w:rPr>
              <w:t>3%</w:t>
            </w:r>
          </w:p>
        </w:tc>
        <w:tc>
          <w:tcPr>
            <w:tcW w:w="0" w:type="auto"/>
            <w:shd w:val="clear" w:color="auto" w:fill="auto"/>
            <w:vAlign w:val="center"/>
          </w:tcPr>
          <w:p w14:paraId="7EABD001" w14:textId="77777777" w:rsidR="00176E13" w:rsidRPr="003F2AAD" w:rsidRDefault="00176E13" w:rsidP="00E21973">
            <w:pPr>
              <w:pStyle w:val="Tablewriting"/>
              <w:rPr>
                <w:snapToGrid w:val="0"/>
                <w:color w:val="auto"/>
                <w:lang w:eastAsia="en-US"/>
              </w:rPr>
            </w:pPr>
            <w:r w:rsidRPr="003F2AAD">
              <w:rPr>
                <w:snapToGrid w:val="0"/>
                <w:color w:val="auto"/>
                <w:lang w:eastAsia="en-US"/>
              </w:rPr>
              <w:t>Proportion of patients intolerant to dornase alfa is based on the discontinuation rate reported in the Fuchs et al (1994) trial.</w:t>
            </w:r>
          </w:p>
        </w:tc>
      </w:tr>
      <w:tr w:rsidR="00176E13" w:rsidRPr="003F2AAD" w14:paraId="33DB6110" w14:textId="77777777" w:rsidTr="00E21973">
        <w:trPr>
          <w:cantSplit/>
          <w:tblHeader/>
        </w:trPr>
        <w:tc>
          <w:tcPr>
            <w:tcW w:w="0" w:type="auto"/>
            <w:shd w:val="clear" w:color="auto" w:fill="auto"/>
            <w:vAlign w:val="center"/>
          </w:tcPr>
          <w:p w14:paraId="60BE81F1" w14:textId="77777777" w:rsidR="00176E13" w:rsidRPr="003F2AAD" w:rsidRDefault="00176E13" w:rsidP="00E21973">
            <w:pPr>
              <w:pStyle w:val="Tablewriting"/>
              <w:rPr>
                <w:snapToGrid w:val="0"/>
                <w:color w:val="auto"/>
                <w:lang w:eastAsia="en-US"/>
              </w:rPr>
            </w:pPr>
            <w:r w:rsidRPr="003F2AAD">
              <w:rPr>
                <w:snapToGrid w:val="0"/>
                <w:color w:val="auto"/>
                <w:lang w:eastAsia="en-US"/>
              </w:rPr>
              <w:t>Proportion failing dornase due to continuation criteria</w:t>
            </w:r>
          </w:p>
        </w:tc>
        <w:tc>
          <w:tcPr>
            <w:tcW w:w="0" w:type="auto"/>
            <w:vAlign w:val="center"/>
          </w:tcPr>
          <w:p w14:paraId="078BD49E" w14:textId="77777777" w:rsidR="00176E13" w:rsidRPr="003F2AAD" w:rsidRDefault="00176E13" w:rsidP="00E21973">
            <w:pPr>
              <w:pStyle w:val="Tablewriting"/>
              <w:jc w:val="center"/>
              <w:rPr>
                <w:snapToGrid w:val="0"/>
                <w:color w:val="auto"/>
                <w:lang w:eastAsia="en-US"/>
              </w:rPr>
            </w:pPr>
            <w:r w:rsidRPr="003F2AAD">
              <w:rPr>
                <w:snapToGrid w:val="0"/>
                <w:color w:val="auto"/>
                <w:lang w:eastAsia="en-US"/>
              </w:rPr>
              <w:t>33%</w:t>
            </w:r>
          </w:p>
        </w:tc>
        <w:tc>
          <w:tcPr>
            <w:tcW w:w="0" w:type="auto"/>
            <w:shd w:val="clear" w:color="auto" w:fill="auto"/>
            <w:vAlign w:val="center"/>
          </w:tcPr>
          <w:p w14:paraId="1A68719D" w14:textId="77777777" w:rsidR="00176E13" w:rsidRPr="003F2AAD" w:rsidRDefault="00176E13" w:rsidP="00E21973">
            <w:pPr>
              <w:pStyle w:val="Tablewriting"/>
              <w:rPr>
                <w:snapToGrid w:val="0"/>
                <w:color w:val="auto"/>
                <w:lang w:eastAsia="en-US"/>
              </w:rPr>
            </w:pPr>
            <w:r w:rsidRPr="003F2AAD">
              <w:rPr>
                <w:i/>
                <w:snapToGrid w:val="0"/>
                <w:color w:val="auto"/>
                <w:lang w:eastAsia="en-US"/>
              </w:rPr>
              <w:t>The proportion of patients unresponsive to dornase alfa is based on an unknown source</w:t>
            </w:r>
          </w:p>
        </w:tc>
      </w:tr>
      <w:tr w:rsidR="00176E13" w:rsidRPr="003F2AAD" w14:paraId="7E3E5D79" w14:textId="77777777" w:rsidTr="00E21973">
        <w:trPr>
          <w:cantSplit/>
          <w:trHeight w:val="345"/>
        </w:trPr>
        <w:tc>
          <w:tcPr>
            <w:tcW w:w="0" w:type="auto"/>
            <w:shd w:val="clear" w:color="auto" w:fill="auto"/>
            <w:vAlign w:val="center"/>
          </w:tcPr>
          <w:p w14:paraId="0227722A" w14:textId="77777777" w:rsidR="00176E13" w:rsidRPr="003F2AAD" w:rsidRDefault="00176E13" w:rsidP="00E21973">
            <w:pPr>
              <w:pStyle w:val="Tablewriting"/>
              <w:rPr>
                <w:snapToGrid w:val="0"/>
                <w:color w:val="auto"/>
                <w:lang w:eastAsia="en-US"/>
              </w:rPr>
            </w:pPr>
            <w:r w:rsidRPr="003F2AAD">
              <w:rPr>
                <w:snapToGrid w:val="0"/>
                <w:color w:val="auto"/>
                <w:lang w:eastAsia="en-US"/>
              </w:rPr>
              <w:t>Proportion of patients who respond but stop therapy</w:t>
            </w:r>
          </w:p>
        </w:tc>
        <w:tc>
          <w:tcPr>
            <w:tcW w:w="0" w:type="auto"/>
            <w:vAlign w:val="center"/>
          </w:tcPr>
          <w:p w14:paraId="3E537672" w14:textId="0EEB9DBC" w:rsidR="00176E13" w:rsidRPr="00742EB4" w:rsidRDefault="00330BBF" w:rsidP="00A27DE8">
            <w:pPr>
              <w:pStyle w:val="Tablewriting"/>
              <w:jc w:val="center"/>
              <w:rPr>
                <w:snapToGrid w:val="0"/>
                <w:color w:val="auto"/>
                <w:highlight w:val="yellow"/>
                <w:lang w:eastAsia="en-US"/>
              </w:rPr>
            </w:pPr>
            <w:r w:rsidRPr="00330BBF">
              <w:rPr>
                <w:snapToGrid w:val="0"/>
                <w:color w:val="auto"/>
                <w:lang w:eastAsia="en-US"/>
              </w:rPr>
              <w:t>36</w:t>
            </w:r>
            <w:r w:rsidR="00E60885">
              <w:rPr>
                <w:snapToGrid w:val="0"/>
                <w:color w:val="auto"/>
                <w:lang w:eastAsia="en-US"/>
              </w:rPr>
              <w:t>%</w:t>
            </w:r>
          </w:p>
        </w:tc>
        <w:tc>
          <w:tcPr>
            <w:tcW w:w="0" w:type="auto"/>
            <w:shd w:val="clear" w:color="auto" w:fill="auto"/>
            <w:vAlign w:val="center"/>
          </w:tcPr>
          <w:p w14:paraId="22F3CE4E" w14:textId="77777777" w:rsidR="00176E13" w:rsidRPr="003F2AAD" w:rsidRDefault="00176E13" w:rsidP="00E21973">
            <w:pPr>
              <w:pStyle w:val="Tablewriting"/>
              <w:rPr>
                <w:snapToGrid w:val="0"/>
                <w:color w:val="auto"/>
                <w:lang w:eastAsia="en-US"/>
              </w:rPr>
            </w:pPr>
            <w:r w:rsidRPr="003F2AAD">
              <w:rPr>
                <w:snapToGrid w:val="0"/>
                <w:color w:val="auto"/>
                <w:lang w:eastAsia="en-US"/>
              </w:rPr>
              <w:t>Sponsor-commissioned BIOGRID study, which was a retrospective observational study of cystic fibrosis patients managed through three Australian hospitals (Royal Children’s Hospital, Monash Medical Centre and The Alfred Hospital, all located in Melbourne) between 1993 and 2010.</w:t>
            </w:r>
          </w:p>
        </w:tc>
      </w:tr>
      <w:tr w:rsidR="00536798" w:rsidRPr="003F2AAD" w14:paraId="2F74A527" w14:textId="77777777" w:rsidTr="00E21973">
        <w:trPr>
          <w:cantSplit/>
          <w:trHeight w:val="345"/>
        </w:trPr>
        <w:tc>
          <w:tcPr>
            <w:tcW w:w="0" w:type="auto"/>
            <w:shd w:val="clear" w:color="auto" w:fill="auto"/>
            <w:vAlign w:val="center"/>
          </w:tcPr>
          <w:p w14:paraId="3994F4AD" w14:textId="77777777" w:rsidR="00536798" w:rsidRPr="003F2AAD" w:rsidRDefault="00536798" w:rsidP="00E21973">
            <w:pPr>
              <w:pStyle w:val="Tablewriting"/>
              <w:rPr>
                <w:snapToGrid w:val="0"/>
                <w:color w:val="auto"/>
                <w:lang w:eastAsia="en-US"/>
              </w:rPr>
            </w:pPr>
            <w:r w:rsidRPr="003F2AAD">
              <w:rPr>
                <w:snapToGrid w:val="0"/>
                <w:color w:val="auto"/>
                <w:lang w:eastAsia="en-US"/>
              </w:rPr>
              <w:t>Proportion of patients who respond and continue therapy</w:t>
            </w:r>
          </w:p>
        </w:tc>
        <w:tc>
          <w:tcPr>
            <w:tcW w:w="0" w:type="auto"/>
            <w:vAlign w:val="center"/>
          </w:tcPr>
          <w:p w14:paraId="227B6525" w14:textId="77777777" w:rsidR="00536798" w:rsidRPr="003F2AAD" w:rsidRDefault="00536798" w:rsidP="001617BA">
            <w:pPr>
              <w:pStyle w:val="Tablewriting"/>
              <w:jc w:val="center"/>
              <w:rPr>
                <w:snapToGrid w:val="0"/>
                <w:color w:val="auto"/>
                <w:lang w:eastAsia="en-US"/>
              </w:rPr>
            </w:pPr>
            <w:r w:rsidRPr="003F2AAD">
              <w:rPr>
                <w:snapToGrid w:val="0"/>
                <w:color w:val="auto"/>
                <w:lang w:eastAsia="en-US"/>
              </w:rPr>
              <w:t>64.0%</w:t>
            </w:r>
          </w:p>
        </w:tc>
        <w:tc>
          <w:tcPr>
            <w:tcW w:w="0" w:type="auto"/>
            <w:shd w:val="clear" w:color="auto" w:fill="auto"/>
            <w:vAlign w:val="center"/>
          </w:tcPr>
          <w:p w14:paraId="72E3FD2D" w14:textId="48D35B78" w:rsidR="00536798" w:rsidRPr="003F2AAD" w:rsidRDefault="00536798" w:rsidP="00E21973">
            <w:pPr>
              <w:pStyle w:val="Tablewriting"/>
              <w:rPr>
                <w:snapToGrid w:val="0"/>
                <w:color w:val="auto"/>
                <w:lang w:eastAsia="en-US"/>
              </w:rPr>
            </w:pPr>
            <w:r w:rsidRPr="003F2AAD">
              <w:rPr>
                <w:snapToGrid w:val="0"/>
                <w:color w:val="auto"/>
                <w:lang w:eastAsia="en-US"/>
              </w:rPr>
              <w:t>Sponsor-commissioned BIOGRID study, which was a retrospective observational study of cystic fibrosis patients managed through three Australian hospitals (Royal Children’s Hospital, Monash Medical Centre and The Alfred Hospital, all located in Melbourne) between 1993 and 2010.</w:t>
            </w:r>
          </w:p>
        </w:tc>
      </w:tr>
      <w:tr w:rsidR="00536798" w:rsidRPr="003F2AAD" w14:paraId="6D4C3834" w14:textId="77777777" w:rsidTr="00E21973">
        <w:trPr>
          <w:cantSplit/>
          <w:trHeight w:val="345"/>
        </w:trPr>
        <w:tc>
          <w:tcPr>
            <w:tcW w:w="0" w:type="auto"/>
            <w:shd w:val="clear" w:color="auto" w:fill="auto"/>
            <w:vAlign w:val="center"/>
          </w:tcPr>
          <w:p w14:paraId="28F0A21C" w14:textId="77777777" w:rsidR="00536798" w:rsidRPr="003F2AAD" w:rsidRDefault="00536798" w:rsidP="00E21973">
            <w:pPr>
              <w:pStyle w:val="Tablewriting"/>
              <w:rPr>
                <w:snapToGrid w:val="0"/>
                <w:color w:val="auto"/>
                <w:lang w:eastAsia="en-US"/>
              </w:rPr>
            </w:pPr>
            <w:r w:rsidRPr="003F2AAD">
              <w:rPr>
                <w:snapToGrid w:val="0"/>
                <w:color w:val="auto"/>
                <w:lang w:eastAsia="en-US"/>
              </w:rPr>
              <w:t>Proportion of patients who will re-trial dornase alfa</w:t>
            </w:r>
          </w:p>
        </w:tc>
        <w:tc>
          <w:tcPr>
            <w:tcW w:w="0" w:type="auto"/>
            <w:vAlign w:val="center"/>
          </w:tcPr>
          <w:p w14:paraId="3287D6F4" w14:textId="77777777" w:rsidR="00536798" w:rsidRPr="003F2AAD" w:rsidRDefault="00536798" w:rsidP="00E21973">
            <w:pPr>
              <w:pStyle w:val="Tablewriting"/>
              <w:jc w:val="center"/>
              <w:rPr>
                <w:snapToGrid w:val="0"/>
                <w:color w:val="auto"/>
                <w:lang w:eastAsia="en-US"/>
              </w:rPr>
            </w:pPr>
            <w:r w:rsidRPr="003F2AAD">
              <w:rPr>
                <w:snapToGrid w:val="0"/>
                <w:color w:val="auto"/>
                <w:lang w:eastAsia="en-US"/>
              </w:rPr>
              <w:t>80%</w:t>
            </w:r>
          </w:p>
        </w:tc>
        <w:tc>
          <w:tcPr>
            <w:tcW w:w="0" w:type="auto"/>
            <w:shd w:val="clear" w:color="auto" w:fill="auto"/>
            <w:vAlign w:val="center"/>
          </w:tcPr>
          <w:p w14:paraId="204E0CC2" w14:textId="77777777" w:rsidR="00536798" w:rsidRPr="003F2AAD" w:rsidRDefault="00536798" w:rsidP="00E21973">
            <w:pPr>
              <w:pStyle w:val="Tablewriting"/>
              <w:rPr>
                <w:snapToGrid w:val="0"/>
                <w:color w:val="auto"/>
                <w:lang w:eastAsia="en-US"/>
              </w:rPr>
            </w:pPr>
            <w:r w:rsidRPr="003F2AAD">
              <w:rPr>
                <w:snapToGrid w:val="0"/>
                <w:color w:val="auto"/>
                <w:lang w:eastAsia="en-US"/>
              </w:rPr>
              <w:t xml:space="preserve">Assumption. </w:t>
            </w:r>
          </w:p>
        </w:tc>
      </w:tr>
      <w:tr w:rsidR="00536798" w:rsidRPr="003F2AAD" w14:paraId="34857962" w14:textId="77777777" w:rsidTr="00E21973">
        <w:trPr>
          <w:cantSplit/>
        </w:trPr>
        <w:tc>
          <w:tcPr>
            <w:tcW w:w="0" w:type="auto"/>
            <w:shd w:val="clear" w:color="auto" w:fill="auto"/>
            <w:vAlign w:val="center"/>
          </w:tcPr>
          <w:p w14:paraId="201518E8" w14:textId="77777777" w:rsidR="00536798" w:rsidRPr="003F2AAD" w:rsidRDefault="00536798" w:rsidP="00E21973">
            <w:pPr>
              <w:pStyle w:val="Tablewriting"/>
              <w:rPr>
                <w:snapToGrid w:val="0"/>
                <w:color w:val="auto"/>
                <w:lang w:eastAsia="en-US"/>
              </w:rPr>
            </w:pPr>
            <w:r w:rsidRPr="003F2AAD">
              <w:rPr>
                <w:snapToGrid w:val="0"/>
                <w:color w:val="auto"/>
                <w:lang w:eastAsia="en-US"/>
              </w:rPr>
              <w:t xml:space="preserve">Treatment trial rates for DPI mannitol monotherapy </w:t>
            </w:r>
          </w:p>
        </w:tc>
        <w:tc>
          <w:tcPr>
            <w:tcW w:w="0" w:type="auto"/>
            <w:vAlign w:val="center"/>
          </w:tcPr>
          <w:p w14:paraId="6469330D" w14:textId="77777777" w:rsidR="00536798" w:rsidRPr="003F2AAD" w:rsidRDefault="00536798" w:rsidP="00E21973">
            <w:pPr>
              <w:pStyle w:val="Tablewriting"/>
              <w:jc w:val="center"/>
              <w:rPr>
                <w:snapToGrid w:val="0"/>
                <w:color w:val="auto"/>
                <w:lang w:eastAsia="en-US"/>
              </w:rPr>
            </w:pPr>
            <w:r w:rsidRPr="003F2AAD">
              <w:rPr>
                <w:snapToGrid w:val="0"/>
                <w:color w:val="auto"/>
                <w:lang w:eastAsia="en-US"/>
              </w:rPr>
              <w:t>50%</w:t>
            </w:r>
          </w:p>
        </w:tc>
        <w:tc>
          <w:tcPr>
            <w:tcW w:w="0" w:type="auto"/>
            <w:shd w:val="clear" w:color="auto" w:fill="auto"/>
            <w:vAlign w:val="center"/>
          </w:tcPr>
          <w:p w14:paraId="32D87176" w14:textId="77777777" w:rsidR="00536798" w:rsidRPr="003F2AAD" w:rsidRDefault="00536798" w:rsidP="00E21973">
            <w:pPr>
              <w:pStyle w:val="Tablewriting"/>
              <w:rPr>
                <w:snapToGrid w:val="0"/>
                <w:color w:val="auto"/>
                <w:lang w:eastAsia="en-US"/>
              </w:rPr>
            </w:pPr>
            <w:r w:rsidRPr="003F2AAD">
              <w:rPr>
                <w:snapToGrid w:val="0"/>
                <w:color w:val="auto"/>
                <w:lang w:eastAsia="en-US"/>
              </w:rPr>
              <w:t>Pharmaxis marketing data. Applied to all groups of patients</w:t>
            </w:r>
          </w:p>
        </w:tc>
      </w:tr>
      <w:tr w:rsidR="00536798" w:rsidRPr="003F2AAD" w14:paraId="004438DD" w14:textId="77777777" w:rsidTr="00E21973">
        <w:trPr>
          <w:cantSplit/>
        </w:trPr>
        <w:tc>
          <w:tcPr>
            <w:tcW w:w="0" w:type="auto"/>
            <w:shd w:val="clear" w:color="auto" w:fill="auto"/>
            <w:vAlign w:val="center"/>
          </w:tcPr>
          <w:p w14:paraId="7F8E834F" w14:textId="77777777" w:rsidR="00536798" w:rsidRPr="003F2AAD" w:rsidRDefault="00536798" w:rsidP="00E21973">
            <w:pPr>
              <w:pStyle w:val="Tablewriting"/>
              <w:rPr>
                <w:snapToGrid w:val="0"/>
                <w:color w:val="auto"/>
                <w:lang w:eastAsia="en-US"/>
              </w:rPr>
            </w:pPr>
            <w:r w:rsidRPr="003F2AAD">
              <w:rPr>
                <w:snapToGrid w:val="0"/>
                <w:color w:val="auto"/>
                <w:lang w:eastAsia="en-US"/>
              </w:rPr>
              <w:t>Response rate for DPI mannitol monotherapy</w:t>
            </w:r>
          </w:p>
        </w:tc>
        <w:tc>
          <w:tcPr>
            <w:tcW w:w="0" w:type="auto"/>
            <w:vAlign w:val="center"/>
          </w:tcPr>
          <w:p w14:paraId="19505E52" w14:textId="77777777" w:rsidR="00536798" w:rsidRPr="003F2AAD" w:rsidRDefault="00536798" w:rsidP="00E21973">
            <w:pPr>
              <w:pStyle w:val="Tablewriting"/>
              <w:jc w:val="center"/>
              <w:rPr>
                <w:snapToGrid w:val="0"/>
                <w:color w:val="auto"/>
                <w:lang w:eastAsia="en-US"/>
              </w:rPr>
            </w:pPr>
            <w:r w:rsidRPr="003F2AAD">
              <w:rPr>
                <w:snapToGrid w:val="0"/>
                <w:color w:val="auto"/>
                <w:lang w:eastAsia="en-US"/>
              </w:rPr>
              <w:t>50%</w:t>
            </w:r>
          </w:p>
        </w:tc>
        <w:tc>
          <w:tcPr>
            <w:tcW w:w="0" w:type="auto"/>
            <w:shd w:val="clear" w:color="auto" w:fill="auto"/>
            <w:vAlign w:val="center"/>
          </w:tcPr>
          <w:p w14:paraId="3B3F2391" w14:textId="77777777" w:rsidR="00536798" w:rsidRPr="003F2AAD" w:rsidRDefault="00536798" w:rsidP="00E21973">
            <w:pPr>
              <w:pStyle w:val="Tablewriting"/>
              <w:rPr>
                <w:snapToGrid w:val="0"/>
                <w:color w:val="auto"/>
                <w:lang w:eastAsia="en-US"/>
              </w:rPr>
            </w:pPr>
            <w:r w:rsidRPr="003F2AAD">
              <w:rPr>
                <w:snapToGrid w:val="0"/>
                <w:color w:val="auto"/>
                <w:lang w:eastAsia="en-US"/>
              </w:rPr>
              <w:t xml:space="preserve">Assumption. Purposeful overestimation of response rate reported in clinical trials. </w:t>
            </w:r>
          </w:p>
        </w:tc>
      </w:tr>
      <w:tr w:rsidR="00536798" w:rsidRPr="003F2AAD" w14:paraId="74AE7DC0" w14:textId="77777777" w:rsidTr="00E21973">
        <w:trPr>
          <w:cantSplit/>
        </w:trPr>
        <w:tc>
          <w:tcPr>
            <w:tcW w:w="0" w:type="auto"/>
            <w:shd w:val="clear" w:color="auto" w:fill="auto"/>
            <w:vAlign w:val="center"/>
          </w:tcPr>
          <w:p w14:paraId="544618D4" w14:textId="77777777" w:rsidR="00536798" w:rsidRPr="003F2AAD" w:rsidRDefault="00536798" w:rsidP="00E21973">
            <w:pPr>
              <w:pStyle w:val="Tablewriting"/>
              <w:rPr>
                <w:snapToGrid w:val="0"/>
                <w:color w:val="auto"/>
                <w:lang w:eastAsia="en-US"/>
              </w:rPr>
            </w:pPr>
            <w:r w:rsidRPr="003F2AAD">
              <w:rPr>
                <w:snapToGrid w:val="0"/>
                <w:color w:val="auto"/>
                <w:lang w:eastAsia="en-US"/>
              </w:rPr>
              <w:t>Compliance to DPI mannitol and dornase alfa</w:t>
            </w:r>
          </w:p>
        </w:tc>
        <w:tc>
          <w:tcPr>
            <w:tcW w:w="0" w:type="auto"/>
            <w:vAlign w:val="center"/>
          </w:tcPr>
          <w:p w14:paraId="20334CBE" w14:textId="77777777" w:rsidR="00536798" w:rsidRPr="003F2AAD" w:rsidRDefault="00536798" w:rsidP="00BC4657">
            <w:pPr>
              <w:pStyle w:val="Tablewriting"/>
              <w:jc w:val="center"/>
              <w:rPr>
                <w:snapToGrid w:val="0"/>
                <w:color w:val="auto"/>
                <w:lang w:eastAsia="en-US"/>
              </w:rPr>
            </w:pPr>
            <w:r w:rsidRPr="003F2AAD">
              <w:rPr>
                <w:snapToGrid w:val="0"/>
                <w:color w:val="auto"/>
                <w:lang w:eastAsia="en-US"/>
              </w:rPr>
              <w:t>100%</w:t>
            </w:r>
          </w:p>
        </w:tc>
        <w:tc>
          <w:tcPr>
            <w:tcW w:w="0" w:type="auto"/>
            <w:shd w:val="clear" w:color="auto" w:fill="auto"/>
            <w:vAlign w:val="center"/>
          </w:tcPr>
          <w:p w14:paraId="6B13E113" w14:textId="77777777" w:rsidR="00536798" w:rsidRPr="003F2AAD" w:rsidRDefault="00536798" w:rsidP="00E21973">
            <w:pPr>
              <w:pStyle w:val="Tablewriting"/>
              <w:rPr>
                <w:snapToGrid w:val="0"/>
                <w:color w:val="auto"/>
                <w:lang w:eastAsia="en-US"/>
              </w:rPr>
            </w:pPr>
            <w:r w:rsidRPr="003F2AAD">
              <w:rPr>
                <w:snapToGrid w:val="0"/>
                <w:color w:val="auto"/>
                <w:lang w:eastAsia="en-US"/>
              </w:rPr>
              <w:t xml:space="preserve">Assumption. </w:t>
            </w:r>
          </w:p>
        </w:tc>
      </w:tr>
      <w:tr w:rsidR="00536798" w:rsidRPr="003F2AAD" w14:paraId="7E36B6B4" w14:textId="77777777" w:rsidTr="00E21973">
        <w:trPr>
          <w:cantSplit/>
        </w:trPr>
        <w:tc>
          <w:tcPr>
            <w:tcW w:w="0" w:type="auto"/>
            <w:shd w:val="clear" w:color="auto" w:fill="auto"/>
            <w:vAlign w:val="center"/>
          </w:tcPr>
          <w:p w14:paraId="651B2582" w14:textId="77777777" w:rsidR="00536798" w:rsidRPr="003F2AAD" w:rsidRDefault="00536798" w:rsidP="00E21973">
            <w:pPr>
              <w:pStyle w:val="Tablewriting"/>
              <w:rPr>
                <w:snapToGrid w:val="0"/>
                <w:color w:val="auto"/>
                <w:lang w:eastAsia="en-US"/>
              </w:rPr>
            </w:pPr>
            <w:r w:rsidRPr="003F2AAD">
              <w:rPr>
                <w:snapToGrid w:val="0"/>
                <w:color w:val="auto"/>
                <w:lang w:eastAsia="en-US"/>
              </w:rPr>
              <w:t>DPI mannitol PBS price</w:t>
            </w:r>
          </w:p>
        </w:tc>
        <w:tc>
          <w:tcPr>
            <w:tcW w:w="0" w:type="auto"/>
            <w:vAlign w:val="center"/>
          </w:tcPr>
          <w:p w14:paraId="5D7AE8AE" w14:textId="1DFD717D" w:rsidR="00536798" w:rsidRPr="003F2AAD" w:rsidRDefault="00861BDD" w:rsidP="00E21973">
            <w:pPr>
              <w:pStyle w:val="Tablewriting"/>
              <w:rPr>
                <w:snapToGrid w:val="0"/>
                <w:color w:val="auto"/>
                <w:lang w:eastAsia="en-US"/>
              </w:rPr>
            </w:pPr>
            <w:r>
              <w:rPr>
                <w:snapToGrid w:val="0"/>
                <w:color w:val="auto"/>
                <w:lang w:eastAsia="en-US"/>
              </w:rPr>
              <w:t>$REDACTED</w:t>
            </w:r>
          </w:p>
        </w:tc>
        <w:tc>
          <w:tcPr>
            <w:tcW w:w="0" w:type="auto"/>
            <w:shd w:val="clear" w:color="auto" w:fill="auto"/>
            <w:vAlign w:val="center"/>
          </w:tcPr>
          <w:p w14:paraId="4F3D5019" w14:textId="77777777" w:rsidR="00536798" w:rsidRPr="003F2AAD" w:rsidRDefault="00536798" w:rsidP="00E21973">
            <w:pPr>
              <w:pStyle w:val="Tablewriting"/>
              <w:rPr>
                <w:snapToGrid w:val="0"/>
                <w:color w:val="auto"/>
                <w:highlight w:val="yellow"/>
                <w:lang w:eastAsia="en-US"/>
              </w:rPr>
            </w:pPr>
            <w:r w:rsidRPr="003F2AAD">
              <w:rPr>
                <w:snapToGrid w:val="0"/>
                <w:color w:val="auto"/>
                <w:lang w:eastAsia="en-US"/>
              </w:rPr>
              <w:t>Weighted price based on the expected substitution of dornase alfa and hypertonic saline. The submission assumes that 70% of the DPI mannitol market would come from dornase alfa with the remaining 30% coming from hypertonic saline</w:t>
            </w:r>
            <w:r w:rsidRPr="003F2AAD">
              <w:rPr>
                <w:snapToGrid w:val="0"/>
                <w:color w:val="auto"/>
                <w:highlight w:val="yellow"/>
                <w:lang w:eastAsia="en-US"/>
              </w:rPr>
              <w:t xml:space="preserve"> </w:t>
            </w:r>
          </w:p>
        </w:tc>
      </w:tr>
      <w:tr w:rsidR="00536798" w:rsidRPr="003F2AAD" w14:paraId="2005F744" w14:textId="77777777" w:rsidTr="005B08D1">
        <w:trPr>
          <w:cantSplit/>
        </w:trPr>
        <w:tc>
          <w:tcPr>
            <w:tcW w:w="0" w:type="auto"/>
            <w:shd w:val="clear" w:color="auto" w:fill="auto"/>
            <w:vAlign w:val="center"/>
          </w:tcPr>
          <w:p w14:paraId="140C1F9D" w14:textId="77777777" w:rsidR="00536798" w:rsidRPr="003F2AAD" w:rsidRDefault="00536798" w:rsidP="00E21973">
            <w:pPr>
              <w:pStyle w:val="Tablewriting"/>
              <w:rPr>
                <w:snapToGrid w:val="0"/>
                <w:color w:val="auto"/>
                <w:lang w:eastAsia="en-US"/>
              </w:rPr>
            </w:pPr>
            <w:r w:rsidRPr="003F2AAD">
              <w:rPr>
                <w:snapToGrid w:val="0"/>
                <w:color w:val="auto"/>
                <w:lang w:eastAsia="en-US"/>
              </w:rPr>
              <w:t>DPI mannitol patient co-payments</w:t>
            </w:r>
          </w:p>
        </w:tc>
        <w:tc>
          <w:tcPr>
            <w:tcW w:w="0" w:type="auto"/>
            <w:vAlign w:val="center"/>
          </w:tcPr>
          <w:p w14:paraId="3025860E" w14:textId="77777777" w:rsidR="00536798" w:rsidRPr="003F2AAD" w:rsidRDefault="00536798" w:rsidP="005B08D1">
            <w:pPr>
              <w:pStyle w:val="Tablewriting"/>
              <w:jc w:val="center"/>
              <w:rPr>
                <w:snapToGrid w:val="0"/>
                <w:color w:val="auto"/>
                <w:lang w:eastAsia="en-US"/>
              </w:rPr>
            </w:pPr>
            <w:r w:rsidRPr="003F2AAD">
              <w:rPr>
                <w:snapToGrid w:val="0"/>
                <w:color w:val="auto"/>
                <w:lang w:eastAsia="en-US"/>
              </w:rPr>
              <w:t>-</w:t>
            </w:r>
          </w:p>
        </w:tc>
        <w:tc>
          <w:tcPr>
            <w:tcW w:w="0" w:type="auto"/>
            <w:shd w:val="clear" w:color="auto" w:fill="auto"/>
            <w:vAlign w:val="center"/>
          </w:tcPr>
          <w:p w14:paraId="2A948D85" w14:textId="77777777" w:rsidR="00536798" w:rsidRPr="003F2AAD" w:rsidRDefault="00536798" w:rsidP="00E21973">
            <w:pPr>
              <w:pStyle w:val="Tablewriting"/>
              <w:rPr>
                <w:snapToGrid w:val="0"/>
                <w:color w:val="auto"/>
                <w:lang w:eastAsia="en-US"/>
              </w:rPr>
            </w:pPr>
            <w:r w:rsidRPr="003F2AAD">
              <w:rPr>
                <w:snapToGrid w:val="0"/>
                <w:color w:val="auto"/>
                <w:lang w:eastAsia="en-US"/>
              </w:rPr>
              <w:t>Assumption. No patient co-payments</w:t>
            </w:r>
          </w:p>
        </w:tc>
      </w:tr>
    </w:tbl>
    <w:p w14:paraId="1FEBBE47" w14:textId="77777777" w:rsidR="00176E13" w:rsidRDefault="00176E13" w:rsidP="00176E13">
      <w:pPr>
        <w:pStyle w:val="Notes"/>
      </w:pPr>
      <w:r w:rsidRPr="003F2AAD">
        <w:t>Source: November 2011 Commentary, p74. March 2012 Secretariat Overview</w:t>
      </w:r>
    </w:p>
    <w:p w14:paraId="607E1C98" w14:textId="77777777" w:rsidR="004A7157" w:rsidRDefault="004A7157" w:rsidP="000933D3">
      <w:pPr>
        <w:pStyle w:val="Heading4"/>
        <w:rPr>
          <w:rFonts w:eastAsiaTheme="minorEastAsia" w:cstheme="minorBidi"/>
          <w:b w:val="0"/>
          <w:bCs w:val="0"/>
          <w:sz w:val="24"/>
          <w:szCs w:val="24"/>
        </w:rPr>
      </w:pPr>
      <w:r w:rsidRPr="004A7157">
        <w:rPr>
          <w:rFonts w:eastAsiaTheme="minorEastAsia" w:cstheme="minorBidi"/>
          <w:b w:val="0"/>
          <w:bCs w:val="0"/>
          <w:sz w:val="24"/>
          <w:szCs w:val="24"/>
        </w:rPr>
        <w:t>An overview of the derivation of estimates is presented in Figure 1.</w:t>
      </w:r>
    </w:p>
    <w:p w14:paraId="04F6C993" w14:textId="5471C5EB" w:rsidR="00444DDE" w:rsidRDefault="00291C24" w:rsidP="00444DDE">
      <w:r w:rsidRPr="003F2AAD">
        <w:rPr>
          <w:noProof/>
        </w:rPr>
        <w:drawing>
          <wp:inline distT="0" distB="0" distL="0" distR="0" wp14:anchorId="2BC29BEB" wp14:editId="2A1D6CF4">
            <wp:extent cx="5687695" cy="3932200"/>
            <wp:effectExtent l="0" t="0" r="8255" b="0"/>
            <wp:docPr id="26" name="Picture 26" descr="Figure 1 presents a diagramatic overview of the decision tree for derivation of the estimates of use of mannitol."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CDB04.tmp"/>
                    <pic:cNvPicPr/>
                  </pic:nvPicPr>
                  <pic:blipFill>
                    <a:blip r:embed="rId15">
                      <a:extLst>
                        <a:ext uri="{28A0092B-C50C-407E-A947-70E740481C1C}">
                          <a14:useLocalDpi xmlns:a14="http://schemas.microsoft.com/office/drawing/2010/main" val="0"/>
                        </a:ext>
                      </a:extLst>
                    </a:blip>
                    <a:stretch>
                      <a:fillRect/>
                    </a:stretch>
                  </pic:blipFill>
                  <pic:spPr>
                    <a:xfrm>
                      <a:off x="0" y="0"/>
                      <a:ext cx="5687695" cy="3932200"/>
                    </a:xfrm>
                    <a:prstGeom prst="rect">
                      <a:avLst/>
                    </a:prstGeom>
                  </pic:spPr>
                </pic:pic>
              </a:graphicData>
            </a:graphic>
          </wp:inline>
        </w:drawing>
      </w:r>
    </w:p>
    <w:p w14:paraId="1E611C9F" w14:textId="77777777" w:rsidR="00291C24" w:rsidRPr="003F2AAD" w:rsidRDefault="00291C24" w:rsidP="00291C24">
      <w:pPr>
        <w:pStyle w:val="Figuretitle"/>
      </w:pPr>
      <w:r w:rsidRPr="003F2AAD">
        <w:t>Figure 1: Derivation of mannitol estimates</w:t>
      </w:r>
    </w:p>
    <w:p w14:paraId="7F2A8C9B" w14:textId="0E93B6B0" w:rsidR="00291C24" w:rsidRDefault="00291C24" w:rsidP="00291C24">
      <w:pPr>
        <w:pStyle w:val="Figurecaption"/>
      </w:pPr>
      <w:r w:rsidRPr="003F2AAD">
        <w:t>Source: November 2011 Commentary, Final Estimates Model</w:t>
      </w:r>
      <w:r w:rsidRPr="003F2AAD">
        <w:br/>
        <w:t>*The estimates were calculated that only the patients who retrial dornase would trial mannitol</w:t>
      </w:r>
    </w:p>
    <w:p w14:paraId="775C0345" w14:textId="77777777" w:rsidR="007E46CD" w:rsidRDefault="007E46CD" w:rsidP="007E46CD">
      <w:pPr>
        <w:spacing w:after="0"/>
      </w:pPr>
    </w:p>
    <w:p w14:paraId="0C2B0EFC" w14:textId="3BAA3B84" w:rsidR="00861CCC" w:rsidRPr="003F2AAD" w:rsidRDefault="00861CCC" w:rsidP="00861CCC">
      <w:r w:rsidRPr="003F2AAD">
        <w:t>An overview of final estimates is presented in Table 3</w:t>
      </w:r>
      <w:r w:rsidR="003E1733">
        <w:t>.</w:t>
      </w:r>
    </w:p>
    <w:p w14:paraId="6AEA89E0" w14:textId="77777777" w:rsidR="00861CCC" w:rsidRPr="003F2AAD" w:rsidRDefault="00861CCC" w:rsidP="00861CCC">
      <w:pPr>
        <w:pStyle w:val="Tabletitle"/>
      </w:pPr>
      <w:r w:rsidRPr="003F2AAD">
        <w:t>Table 3: Overview of mannitol estimates (effective prices)</w:t>
      </w:r>
    </w:p>
    <w:tbl>
      <w:tblPr>
        <w:tblStyle w:val="TableGrid"/>
        <w:tblW w:w="0" w:type="auto"/>
        <w:tblInd w:w="108" w:type="dxa"/>
        <w:tblLook w:val="04A0" w:firstRow="1" w:lastRow="0" w:firstColumn="1" w:lastColumn="0" w:noHBand="0" w:noVBand="1"/>
        <w:tblCaption w:val="Table 3"/>
        <w:tblDescription w:val="Overview of mannitol utilisation estimates based on effecitve prices"/>
      </w:tblPr>
      <w:tblGrid>
        <w:gridCol w:w="3125"/>
        <w:gridCol w:w="1188"/>
        <w:gridCol w:w="1188"/>
        <w:gridCol w:w="1188"/>
        <w:gridCol w:w="1188"/>
        <w:gridCol w:w="1188"/>
      </w:tblGrid>
      <w:tr w:rsidR="00861CCC" w:rsidRPr="003F2AAD" w14:paraId="29203A21" w14:textId="77777777" w:rsidTr="00D63F63">
        <w:trPr>
          <w:tblHeader/>
        </w:trPr>
        <w:tc>
          <w:tcPr>
            <w:tcW w:w="3125" w:type="dxa"/>
            <w:shd w:val="clear" w:color="auto" w:fill="BFBFBF" w:themeFill="background1" w:themeFillShade="BF"/>
          </w:tcPr>
          <w:p w14:paraId="42B83649" w14:textId="77777777" w:rsidR="00861CCC" w:rsidRPr="003F2AAD" w:rsidRDefault="00861CCC" w:rsidP="00E21973">
            <w:pPr>
              <w:pStyle w:val="Tablewriting"/>
              <w:rPr>
                <w:color w:val="auto"/>
              </w:rPr>
            </w:pPr>
          </w:p>
        </w:tc>
        <w:tc>
          <w:tcPr>
            <w:tcW w:w="0" w:type="auto"/>
            <w:shd w:val="clear" w:color="auto" w:fill="BFBFBF" w:themeFill="background1" w:themeFillShade="BF"/>
            <w:vAlign w:val="center"/>
          </w:tcPr>
          <w:p w14:paraId="3007552E" w14:textId="77777777" w:rsidR="00861CCC" w:rsidRPr="003F2AAD" w:rsidRDefault="00861CCC" w:rsidP="00E21973">
            <w:pPr>
              <w:pStyle w:val="Tablewriting"/>
              <w:jc w:val="center"/>
              <w:rPr>
                <w:b/>
                <w:color w:val="auto"/>
              </w:rPr>
            </w:pPr>
            <w:r w:rsidRPr="003F2AAD">
              <w:rPr>
                <w:b/>
                <w:color w:val="auto"/>
              </w:rPr>
              <w:t>Year 1</w:t>
            </w:r>
          </w:p>
        </w:tc>
        <w:tc>
          <w:tcPr>
            <w:tcW w:w="0" w:type="auto"/>
            <w:shd w:val="clear" w:color="auto" w:fill="BFBFBF" w:themeFill="background1" w:themeFillShade="BF"/>
            <w:vAlign w:val="center"/>
          </w:tcPr>
          <w:p w14:paraId="245B8434" w14:textId="77777777" w:rsidR="00861CCC" w:rsidRPr="003F2AAD" w:rsidRDefault="00861CCC" w:rsidP="00E21973">
            <w:pPr>
              <w:pStyle w:val="Tablewriting"/>
              <w:jc w:val="center"/>
              <w:rPr>
                <w:b/>
                <w:color w:val="auto"/>
              </w:rPr>
            </w:pPr>
            <w:r w:rsidRPr="003F2AAD">
              <w:rPr>
                <w:b/>
                <w:color w:val="auto"/>
              </w:rPr>
              <w:t>Year 2</w:t>
            </w:r>
          </w:p>
        </w:tc>
        <w:tc>
          <w:tcPr>
            <w:tcW w:w="0" w:type="auto"/>
            <w:shd w:val="clear" w:color="auto" w:fill="BFBFBF" w:themeFill="background1" w:themeFillShade="BF"/>
            <w:vAlign w:val="center"/>
          </w:tcPr>
          <w:p w14:paraId="65EB8519" w14:textId="77777777" w:rsidR="00861CCC" w:rsidRPr="003F2AAD" w:rsidRDefault="00861CCC" w:rsidP="00E21973">
            <w:pPr>
              <w:pStyle w:val="Tablewriting"/>
              <w:jc w:val="center"/>
              <w:rPr>
                <w:b/>
                <w:color w:val="auto"/>
              </w:rPr>
            </w:pPr>
            <w:r w:rsidRPr="003F2AAD">
              <w:rPr>
                <w:b/>
                <w:color w:val="auto"/>
              </w:rPr>
              <w:t>Year 3</w:t>
            </w:r>
          </w:p>
        </w:tc>
        <w:tc>
          <w:tcPr>
            <w:tcW w:w="0" w:type="auto"/>
            <w:shd w:val="clear" w:color="auto" w:fill="BFBFBF" w:themeFill="background1" w:themeFillShade="BF"/>
            <w:vAlign w:val="center"/>
          </w:tcPr>
          <w:p w14:paraId="175DF17E" w14:textId="77777777" w:rsidR="00861CCC" w:rsidRPr="003F2AAD" w:rsidRDefault="00861CCC" w:rsidP="00E21973">
            <w:pPr>
              <w:pStyle w:val="Tablewriting"/>
              <w:jc w:val="center"/>
              <w:rPr>
                <w:b/>
                <w:color w:val="auto"/>
              </w:rPr>
            </w:pPr>
            <w:r w:rsidRPr="003F2AAD">
              <w:rPr>
                <w:b/>
                <w:color w:val="auto"/>
              </w:rPr>
              <w:t>Year 4</w:t>
            </w:r>
          </w:p>
        </w:tc>
        <w:tc>
          <w:tcPr>
            <w:tcW w:w="0" w:type="auto"/>
            <w:shd w:val="clear" w:color="auto" w:fill="BFBFBF" w:themeFill="background1" w:themeFillShade="BF"/>
            <w:vAlign w:val="center"/>
          </w:tcPr>
          <w:p w14:paraId="0A062759" w14:textId="77777777" w:rsidR="00861CCC" w:rsidRPr="003F2AAD" w:rsidRDefault="00861CCC" w:rsidP="00E21973">
            <w:pPr>
              <w:pStyle w:val="Tablewriting"/>
              <w:jc w:val="center"/>
              <w:rPr>
                <w:b/>
                <w:color w:val="auto"/>
              </w:rPr>
            </w:pPr>
            <w:r w:rsidRPr="003F2AAD">
              <w:rPr>
                <w:b/>
                <w:color w:val="auto"/>
              </w:rPr>
              <w:t>Year 5</w:t>
            </w:r>
          </w:p>
        </w:tc>
      </w:tr>
      <w:tr w:rsidR="00861CCC" w:rsidRPr="003F2AAD" w14:paraId="7B4C1304" w14:textId="77777777" w:rsidTr="00D63F63">
        <w:trPr>
          <w:tblHeader/>
        </w:trPr>
        <w:tc>
          <w:tcPr>
            <w:tcW w:w="3125" w:type="dxa"/>
            <w:shd w:val="clear" w:color="auto" w:fill="auto"/>
          </w:tcPr>
          <w:p w14:paraId="5462D1B0" w14:textId="77777777" w:rsidR="00861CCC" w:rsidRPr="003F2AAD" w:rsidRDefault="00861CCC" w:rsidP="00E21973">
            <w:pPr>
              <w:pStyle w:val="Tablewriting"/>
              <w:rPr>
                <w:color w:val="auto"/>
              </w:rPr>
            </w:pPr>
            <w:r w:rsidRPr="003F2AAD">
              <w:rPr>
                <w:color w:val="auto"/>
              </w:rPr>
              <w:t>Patients who have trialled dornase alfa</w:t>
            </w:r>
          </w:p>
        </w:tc>
        <w:tc>
          <w:tcPr>
            <w:tcW w:w="0" w:type="auto"/>
            <w:vAlign w:val="center"/>
          </w:tcPr>
          <w:p w14:paraId="6E1334A3" w14:textId="77777777" w:rsidR="00861CCC" w:rsidRPr="003F2AAD" w:rsidRDefault="00861CCC" w:rsidP="00E21973">
            <w:pPr>
              <w:pStyle w:val="Tablewriting"/>
              <w:jc w:val="center"/>
              <w:rPr>
                <w:color w:val="auto"/>
              </w:rPr>
            </w:pPr>
            <w:r w:rsidRPr="003F2AAD">
              <w:rPr>
                <w:color w:val="auto"/>
              </w:rPr>
              <w:t>1,940</w:t>
            </w:r>
          </w:p>
        </w:tc>
        <w:tc>
          <w:tcPr>
            <w:tcW w:w="0" w:type="auto"/>
            <w:vAlign w:val="center"/>
          </w:tcPr>
          <w:p w14:paraId="71D73A09" w14:textId="77777777" w:rsidR="00861CCC" w:rsidRPr="003F2AAD" w:rsidRDefault="00861CCC" w:rsidP="00E21973">
            <w:pPr>
              <w:pStyle w:val="Tablewriting"/>
              <w:jc w:val="center"/>
              <w:rPr>
                <w:color w:val="auto"/>
              </w:rPr>
            </w:pPr>
            <w:r w:rsidRPr="003F2AAD">
              <w:rPr>
                <w:color w:val="auto"/>
              </w:rPr>
              <w:t>2,010</w:t>
            </w:r>
          </w:p>
        </w:tc>
        <w:tc>
          <w:tcPr>
            <w:tcW w:w="0" w:type="auto"/>
            <w:vAlign w:val="center"/>
          </w:tcPr>
          <w:p w14:paraId="68DA6FF7" w14:textId="77777777" w:rsidR="00861CCC" w:rsidRPr="003F2AAD" w:rsidRDefault="00861CCC" w:rsidP="00E21973">
            <w:pPr>
              <w:pStyle w:val="Tablewriting"/>
              <w:jc w:val="center"/>
              <w:rPr>
                <w:color w:val="auto"/>
              </w:rPr>
            </w:pPr>
            <w:r w:rsidRPr="003F2AAD">
              <w:rPr>
                <w:color w:val="auto"/>
              </w:rPr>
              <w:t>2,081</w:t>
            </w:r>
          </w:p>
        </w:tc>
        <w:tc>
          <w:tcPr>
            <w:tcW w:w="0" w:type="auto"/>
            <w:vAlign w:val="center"/>
          </w:tcPr>
          <w:p w14:paraId="1F064AF2" w14:textId="77777777" w:rsidR="00861CCC" w:rsidRPr="003F2AAD" w:rsidRDefault="00861CCC" w:rsidP="00E21973">
            <w:pPr>
              <w:pStyle w:val="Tablewriting"/>
              <w:jc w:val="center"/>
              <w:rPr>
                <w:color w:val="auto"/>
              </w:rPr>
            </w:pPr>
            <w:r w:rsidRPr="003F2AAD">
              <w:rPr>
                <w:color w:val="auto"/>
              </w:rPr>
              <w:t>2,155</w:t>
            </w:r>
          </w:p>
        </w:tc>
        <w:tc>
          <w:tcPr>
            <w:tcW w:w="0" w:type="auto"/>
            <w:vAlign w:val="center"/>
          </w:tcPr>
          <w:p w14:paraId="4F75F530" w14:textId="77777777" w:rsidR="00861CCC" w:rsidRPr="003F2AAD" w:rsidRDefault="00861CCC" w:rsidP="00E21973">
            <w:pPr>
              <w:pStyle w:val="Tablewriting"/>
              <w:jc w:val="center"/>
              <w:rPr>
                <w:color w:val="auto"/>
              </w:rPr>
            </w:pPr>
            <w:r w:rsidRPr="003F2AAD">
              <w:rPr>
                <w:color w:val="auto"/>
              </w:rPr>
              <w:t>2,232</w:t>
            </w:r>
          </w:p>
        </w:tc>
      </w:tr>
      <w:tr w:rsidR="00861CCC" w:rsidRPr="003F2AAD" w14:paraId="54F9E34F" w14:textId="77777777" w:rsidTr="00D63F63">
        <w:trPr>
          <w:tblHeader/>
        </w:trPr>
        <w:tc>
          <w:tcPr>
            <w:tcW w:w="3125" w:type="dxa"/>
          </w:tcPr>
          <w:p w14:paraId="308285D4" w14:textId="77777777" w:rsidR="00861CCC" w:rsidRPr="003F2AAD" w:rsidRDefault="00861CCC" w:rsidP="00E21973">
            <w:pPr>
              <w:pStyle w:val="Tablewriting"/>
              <w:rPr>
                <w:color w:val="auto"/>
              </w:rPr>
            </w:pPr>
            <w:r w:rsidRPr="003F2AAD">
              <w:rPr>
                <w:color w:val="auto"/>
              </w:rPr>
              <w:t>Patients who have failed dornase</w:t>
            </w:r>
          </w:p>
        </w:tc>
        <w:tc>
          <w:tcPr>
            <w:tcW w:w="0" w:type="auto"/>
            <w:vAlign w:val="center"/>
          </w:tcPr>
          <w:p w14:paraId="1A54D5C8" w14:textId="77777777" w:rsidR="00861CCC" w:rsidRPr="003F2AAD" w:rsidRDefault="00861CCC" w:rsidP="00E21973">
            <w:pPr>
              <w:pStyle w:val="Tablewriting"/>
              <w:jc w:val="center"/>
              <w:rPr>
                <w:bCs/>
                <w:color w:val="auto"/>
              </w:rPr>
            </w:pPr>
            <w:r w:rsidRPr="003F2AAD">
              <w:rPr>
                <w:bCs/>
                <w:color w:val="auto"/>
              </w:rPr>
              <w:t>175</w:t>
            </w:r>
          </w:p>
        </w:tc>
        <w:tc>
          <w:tcPr>
            <w:tcW w:w="0" w:type="auto"/>
            <w:vAlign w:val="center"/>
          </w:tcPr>
          <w:p w14:paraId="439A233C" w14:textId="77777777" w:rsidR="00861CCC" w:rsidRPr="003F2AAD" w:rsidRDefault="00861CCC" w:rsidP="00E21973">
            <w:pPr>
              <w:pStyle w:val="Tablewriting"/>
              <w:jc w:val="center"/>
              <w:rPr>
                <w:bCs/>
                <w:color w:val="auto"/>
              </w:rPr>
            </w:pPr>
            <w:r w:rsidRPr="003F2AAD">
              <w:rPr>
                <w:bCs/>
                <w:color w:val="auto"/>
              </w:rPr>
              <w:t>181</w:t>
            </w:r>
          </w:p>
        </w:tc>
        <w:tc>
          <w:tcPr>
            <w:tcW w:w="0" w:type="auto"/>
            <w:vAlign w:val="center"/>
          </w:tcPr>
          <w:p w14:paraId="0B469CE0" w14:textId="77777777" w:rsidR="00861CCC" w:rsidRPr="003F2AAD" w:rsidRDefault="00861CCC" w:rsidP="00E21973">
            <w:pPr>
              <w:pStyle w:val="Tablewriting"/>
              <w:jc w:val="center"/>
              <w:rPr>
                <w:bCs/>
                <w:color w:val="auto"/>
              </w:rPr>
            </w:pPr>
            <w:r w:rsidRPr="003F2AAD">
              <w:rPr>
                <w:bCs/>
                <w:color w:val="auto"/>
              </w:rPr>
              <w:t>187</w:t>
            </w:r>
          </w:p>
        </w:tc>
        <w:tc>
          <w:tcPr>
            <w:tcW w:w="0" w:type="auto"/>
            <w:vAlign w:val="center"/>
          </w:tcPr>
          <w:p w14:paraId="2EFCFC51" w14:textId="77777777" w:rsidR="00861CCC" w:rsidRPr="003F2AAD" w:rsidRDefault="00861CCC" w:rsidP="00E21973">
            <w:pPr>
              <w:pStyle w:val="Tablewriting"/>
              <w:jc w:val="center"/>
              <w:rPr>
                <w:bCs/>
                <w:color w:val="auto"/>
              </w:rPr>
            </w:pPr>
            <w:r w:rsidRPr="003F2AAD">
              <w:rPr>
                <w:bCs/>
                <w:color w:val="auto"/>
              </w:rPr>
              <w:t>194</w:t>
            </w:r>
          </w:p>
        </w:tc>
        <w:tc>
          <w:tcPr>
            <w:tcW w:w="0" w:type="auto"/>
            <w:vAlign w:val="center"/>
          </w:tcPr>
          <w:p w14:paraId="3A687915" w14:textId="77777777" w:rsidR="00861CCC" w:rsidRPr="003F2AAD" w:rsidRDefault="00861CCC" w:rsidP="00E21973">
            <w:pPr>
              <w:pStyle w:val="Tablewriting"/>
              <w:jc w:val="center"/>
              <w:rPr>
                <w:bCs/>
                <w:color w:val="auto"/>
              </w:rPr>
            </w:pPr>
            <w:r w:rsidRPr="003F2AAD">
              <w:rPr>
                <w:bCs/>
                <w:color w:val="auto"/>
              </w:rPr>
              <w:t>201</w:t>
            </w:r>
          </w:p>
        </w:tc>
      </w:tr>
      <w:tr w:rsidR="00861CCC" w:rsidRPr="003F2AAD" w14:paraId="43DC93DC" w14:textId="77777777" w:rsidTr="00D63F63">
        <w:trPr>
          <w:tblHeader/>
        </w:trPr>
        <w:tc>
          <w:tcPr>
            <w:tcW w:w="3125" w:type="dxa"/>
          </w:tcPr>
          <w:p w14:paraId="11922EE2" w14:textId="77777777" w:rsidR="00861CCC" w:rsidRPr="003F2AAD" w:rsidRDefault="00861CCC" w:rsidP="00E21973">
            <w:pPr>
              <w:pStyle w:val="Tablewriting"/>
              <w:rPr>
                <w:color w:val="auto"/>
              </w:rPr>
            </w:pPr>
            <w:r w:rsidRPr="003F2AAD">
              <w:rPr>
                <w:color w:val="auto"/>
              </w:rPr>
              <w:t>Patients using dornase</w:t>
            </w:r>
          </w:p>
        </w:tc>
        <w:tc>
          <w:tcPr>
            <w:tcW w:w="0" w:type="auto"/>
            <w:vAlign w:val="center"/>
          </w:tcPr>
          <w:p w14:paraId="301D5E22" w14:textId="77777777" w:rsidR="00861CCC" w:rsidRPr="003F2AAD" w:rsidRDefault="00861CCC" w:rsidP="00E21973">
            <w:pPr>
              <w:pStyle w:val="Tablewriting"/>
              <w:jc w:val="center"/>
              <w:rPr>
                <w:bCs/>
                <w:color w:val="auto"/>
              </w:rPr>
            </w:pPr>
            <w:r w:rsidRPr="003F2AAD">
              <w:rPr>
                <w:bCs/>
                <w:color w:val="auto"/>
              </w:rPr>
              <w:t>44</w:t>
            </w:r>
          </w:p>
        </w:tc>
        <w:tc>
          <w:tcPr>
            <w:tcW w:w="0" w:type="auto"/>
            <w:vAlign w:val="center"/>
          </w:tcPr>
          <w:p w14:paraId="71B10382" w14:textId="77777777" w:rsidR="00861CCC" w:rsidRPr="003F2AAD" w:rsidRDefault="00861CCC" w:rsidP="00E21973">
            <w:pPr>
              <w:pStyle w:val="Tablewriting"/>
              <w:jc w:val="center"/>
              <w:rPr>
                <w:bCs/>
                <w:color w:val="auto"/>
              </w:rPr>
            </w:pPr>
            <w:r w:rsidRPr="003F2AAD">
              <w:rPr>
                <w:bCs/>
                <w:color w:val="auto"/>
              </w:rPr>
              <w:t>46</w:t>
            </w:r>
          </w:p>
        </w:tc>
        <w:tc>
          <w:tcPr>
            <w:tcW w:w="0" w:type="auto"/>
            <w:vAlign w:val="center"/>
          </w:tcPr>
          <w:p w14:paraId="2EE0852B" w14:textId="77777777" w:rsidR="00861CCC" w:rsidRPr="003F2AAD" w:rsidRDefault="00861CCC" w:rsidP="00E21973">
            <w:pPr>
              <w:pStyle w:val="Tablewriting"/>
              <w:jc w:val="center"/>
              <w:rPr>
                <w:bCs/>
                <w:color w:val="auto"/>
              </w:rPr>
            </w:pPr>
            <w:r w:rsidRPr="003F2AAD">
              <w:rPr>
                <w:bCs/>
                <w:color w:val="auto"/>
              </w:rPr>
              <w:t>47</w:t>
            </w:r>
          </w:p>
        </w:tc>
        <w:tc>
          <w:tcPr>
            <w:tcW w:w="0" w:type="auto"/>
            <w:vAlign w:val="center"/>
          </w:tcPr>
          <w:p w14:paraId="76618E85" w14:textId="77777777" w:rsidR="00861CCC" w:rsidRPr="003F2AAD" w:rsidRDefault="00861CCC" w:rsidP="00E21973">
            <w:pPr>
              <w:pStyle w:val="Tablewriting"/>
              <w:jc w:val="center"/>
              <w:rPr>
                <w:bCs/>
                <w:color w:val="auto"/>
              </w:rPr>
            </w:pPr>
            <w:r w:rsidRPr="003F2AAD">
              <w:rPr>
                <w:bCs/>
                <w:color w:val="auto"/>
              </w:rPr>
              <w:t>49</w:t>
            </w:r>
          </w:p>
        </w:tc>
        <w:tc>
          <w:tcPr>
            <w:tcW w:w="0" w:type="auto"/>
            <w:vAlign w:val="center"/>
          </w:tcPr>
          <w:p w14:paraId="17A58499" w14:textId="77777777" w:rsidR="00861CCC" w:rsidRPr="003F2AAD" w:rsidRDefault="00861CCC" w:rsidP="00E21973">
            <w:pPr>
              <w:pStyle w:val="Tablewriting"/>
              <w:jc w:val="center"/>
              <w:rPr>
                <w:bCs/>
                <w:color w:val="auto"/>
              </w:rPr>
            </w:pPr>
            <w:r w:rsidRPr="003F2AAD">
              <w:rPr>
                <w:bCs/>
                <w:color w:val="auto"/>
              </w:rPr>
              <w:t>51</w:t>
            </w:r>
          </w:p>
        </w:tc>
      </w:tr>
      <w:tr w:rsidR="00861CCC" w:rsidRPr="003F2AAD" w14:paraId="2E8AC718" w14:textId="77777777" w:rsidTr="00D63F63">
        <w:trPr>
          <w:tblHeader/>
        </w:trPr>
        <w:tc>
          <w:tcPr>
            <w:tcW w:w="3125" w:type="dxa"/>
          </w:tcPr>
          <w:p w14:paraId="00213432" w14:textId="77777777" w:rsidR="00861CCC" w:rsidRPr="003F2AAD" w:rsidRDefault="00861CCC" w:rsidP="00E21973">
            <w:pPr>
              <w:pStyle w:val="Tablewriting"/>
              <w:rPr>
                <w:color w:val="auto"/>
              </w:rPr>
            </w:pPr>
            <w:r w:rsidRPr="003F2AAD">
              <w:rPr>
                <w:color w:val="auto"/>
              </w:rPr>
              <w:t>Patients previously using dornase</w:t>
            </w:r>
          </w:p>
        </w:tc>
        <w:tc>
          <w:tcPr>
            <w:tcW w:w="0" w:type="auto"/>
            <w:vAlign w:val="center"/>
          </w:tcPr>
          <w:p w14:paraId="14DC0A67" w14:textId="77777777" w:rsidR="00861CCC" w:rsidRPr="003F2AAD" w:rsidRDefault="00861CCC" w:rsidP="00E21973">
            <w:pPr>
              <w:pStyle w:val="Tablewriting"/>
              <w:jc w:val="center"/>
              <w:rPr>
                <w:bCs/>
                <w:color w:val="auto"/>
              </w:rPr>
            </w:pPr>
            <w:r w:rsidRPr="003F2AAD">
              <w:rPr>
                <w:bCs/>
                <w:color w:val="auto"/>
              </w:rPr>
              <w:t>90</w:t>
            </w:r>
          </w:p>
        </w:tc>
        <w:tc>
          <w:tcPr>
            <w:tcW w:w="0" w:type="auto"/>
            <w:vAlign w:val="center"/>
          </w:tcPr>
          <w:p w14:paraId="5887D9A6" w14:textId="77777777" w:rsidR="00861CCC" w:rsidRPr="003F2AAD" w:rsidRDefault="00861CCC" w:rsidP="00E21973">
            <w:pPr>
              <w:pStyle w:val="Tablewriting"/>
              <w:jc w:val="center"/>
              <w:rPr>
                <w:bCs/>
                <w:color w:val="auto"/>
              </w:rPr>
            </w:pPr>
            <w:r w:rsidRPr="003F2AAD">
              <w:rPr>
                <w:bCs/>
                <w:color w:val="auto"/>
              </w:rPr>
              <w:t>93</w:t>
            </w:r>
          </w:p>
        </w:tc>
        <w:tc>
          <w:tcPr>
            <w:tcW w:w="0" w:type="auto"/>
            <w:vAlign w:val="center"/>
          </w:tcPr>
          <w:p w14:paraId="6EB5A168" w14:textId="77777777" w:rsidR="00861CCC" w:rsidRPr="003F2AAD" w:rsidRDefault="00861CCC" w:rsidP="00E21973">
            <w:pPr>
              <w:pStyle w:val="Tablewriting"/>
              <w:jc w:val="center"/>
              <w:rPr>
                <w:bCs/>
                <w:color w:val="auto"/>
              </w:rPr>
            </w:pPr>
            <w:r w:rsidRPr="003F2AAD">
              <w:rPr>
                <w:bCs/>
                <w:color w:val="auto"/>
              </w:rPr>
              <w:t>96</w:t>
            </w:r>
          </w:p>
        </w:tc>
        <w:tc>
          <w:tcPr>
            <w:tcW w:w="0" w:type="auto"/>
            <w:vAlign w:val="center"/>
          </w:tcPr>
          <w:p w14:paraId="48FDF89C" w14:textId="77777777" w:rsidR="00861CCC" w:rsidRPr="003F2AAD" w:rsidRDefault="00861CCC" w:rsidP="00E21973">
            <w:pPr>
              <w:pStyle w:val="Tablewriting"/>
              <w:jc w:val="center"/>
              <w:rPr>
                <w:bCs/>
                <w:color w:val="auto"/>
              </w:rPr>
            </w:pPr>
            <w:r w:rsidRPr="003F2AAD">
              <w:rPr>
                <w:bCs/>
                <w:color w:val="auto"/>
              </w:rPr>
              <w:t>100</w:t>
            </w:r>
          </w:p>
        </w:tc>
        <w:tc>
          <w:tcPr>
            <w:tcW w:w="0" w:type="auto"/>
            <w:vAlign w:val="center"/>
          </w:tcPr>
          <w:p w14:paraId="52374CD1" w14:textId="77777777" w:rsidR="00861CCC" w:rsidRPr="003F2AAD" w:rsidRDefault="00861CCC" w:rsidP="00E21973">
            <w:pPr>
              <w:pStyle w:val="Tablewriting"/>
              <w:jc w:val="center"/>
              <w:rPr>
                <w:bCs/>
                <w:color w:val="auto"/>
              </w:rPr>
            </w:pPr>
            <w:r w:rsidRPr="003F2AAD">
              <w:rPr>
                <w:bCs/>
                <w:color w:val="auto"/>
              </w:rPr>
              <w:t>103</w:t>
            </w:r>
          </w:p>
        </w:tc>
      </w:tr>
      <w:tr w:rsidR="00861CCC" w:rsidRPr="003F2AAD" w14:paraId="216DD80D" w14:textId="77777777" w:rsidTr="00D63F63">
        <w:trPr>
          <w:tblHeader/>
        </w:trPr>
        <w:tc>
          <w:tcPr>
            <w:tcW w:w="3125" w:type="dxa"/>
          </w:tcPr>
          <w:p w14:paraId="1D049D0B" w14:textId="77777777" w:rsidR="00861CCC" w:rsidRPr="003F2AAD" w:rsidRDefault="00861CCC" w:rsidP="00E21973">
            <w:pPr>
              <w:pStyle w:val="Tablewriting"/>
              <w:rPr>
                <w:b/>
                <w:color w:val="auto"/>
              </w:rPr>
            </w:pPr>
            <w:r w:rsidRPr="003F2AAD">
              <w:rPr>
                <w:b/>
                <w:color w:val="auto"/>
              </w:rPr>
              <w:t>Total patients</w:t>
            </w:r>
          </w:p>
        </w:tc>
        <w:tc>
          <w:tcPr>
            <w:tcW w:w="0" w:type="auto"/>
            <w:vAlign w:val="center"/>
          </w:tcPr>
          <w:p w14:paraId="550960BF" w14:textId="77777777" w:rsidR="00861CCC" w:rsidRPr="003F2AAD" w:rsidRDefault="00861CCC" w:rsidP="00E21973">
            <w:pPr>
              <w:pStyle w:val="Tablewriting"/>
              <w:jc w:val="center"/>
              <w:rPr>
                <w:b/>
                <w:bCs/>
                <w:color w:val="auto"/>
              </w:rPr>
            </w:pPr>
            <w:r w:rsidRPr="003F2AAD">
              <w:rPr>
                <w:b/>
                <w:bCs/>
                <w:color w:val="auto"/>
              </w:rPr>
              <w:t>309</w:t>
            </w:r>
          </w:p>
        </w:tc>
        <w:tc>
          <w:tcPr>
            <w:tcW w:w="0" w:type="auto"/>
            <w:vAlign w:val="center"/>
          </w:tcPr>
          <w:p w14:paraId="63D1709A" w14:textId="77777777" w:rsidR="00861CCC" w:rsidRPr="003F2AAD" w:rsidRDefault="00861CCC" w:rsidP="00E21973">
            <w:pPr>
              <w:pStyle w:val="Tablewriting"/>
              <w:jc w:val="center"/>
              <w:rPr>
                <w:b/>
                <w:bCs/>
                <w:color w:val="auto"/>
              </w:rPr>
            </w:pPr>
            <w:r w:rsidRPr="003F2AAD">
              <w:rPr>
                <w:b/>
                <w:bCs/>
                <w:color w:val="auto"/>
              </w:rPr>
              <w:t>320</w:t>
            </w:r>
          </w:p>
        </w:tc>
        <w:tc>
          <w:tcPr>
            <w:tcW w:w="0" w:type="auto"/>
            <w:vAlign w:val="center"/>
          </w:tcPr>
          <w:p w14:paraId="74D9AF64" w14:textId="77777777" w:rsidR="00861CCC" w:rsidRPr="003F2AAD" w:rsidRDefault="00861CCC" w:rsidP="00E21973">
            <w:pPr>
              <w:pStyle w:val="Tablewriting"/>
              <w:jc w:val="center"/>
              <w:rPr>
                <w:b/>
                <w:bCs/>
                <w:color w:val="auto"/>
              </w:rPr>
            </w:pPr>
            <w:r w:rsidRPr="003F2AAD">
              <w:rPr>
                <w:b/>
                <w:bCs/>
                <w:color w:val="auto"/>
              </w:rPr>
              <w:t>331</w:t>
            </w:r>
          </w:p>
        </w:tc>
        <w:tc>
          <w:tcPr>
            <w:tcW w:w="0" w:type="auto"/>
            <w:vAlign w:val="center"/>
          </w:tcPr>
          <w:p w14:paraId="5E2A7B4C" w14:textId="77777777" w:rsidR="00861CCC" w:rsidRPr="003F2AAD" w:rsidRDefault="00861CCC" w:rsidP="00E21973">
            <w:pPr>
              <w:pStyle w:val="Tablewriting"/>
              <w:jc w:val="center"/>
              <w:rPr>
                <w:b/>
                <w:bCs/>
                <w:color w:val="auto"/>
              </w:rPr>
            </w:pPr>
            <w:r w:rsidRPr="003F2AAD">
              <w:rPr>
                <w:b/>
                <w:bCs/>
                <w:color w:val="auto"/>
              </w:rPr>
              <w:t>343</w:t>
            </w:r>
          </w:p>
        </w:tc>
        <w:tc>
          <w:tcPr>
            <w:tcW w:w="0" w:type="auto"/>
            <w:vAlign w:val="center"/>
          </w:tcPr>
          <w:p w14:paraId="1EC90913" w14:textId="77777777" w:rsidR="00861CCC" w:rsidRPr="003F2AAD" w:rsidRDefault="00861CCC" w:rsidP="00E21973">
            <w:pPr>
              <w:pStyle w:val="Tablewriting"/>
              <w:jc w:val="center"/>
              <w:rPr>
                <w:b/>
                <w:bCs/>
                <w:color w:val="auto"/>
              </w:rPr>
            </w:pPr>
            <w:r w:rsidRPr="003F2AAD">
              <w:rPr>
                <w:b/>
                <w:bCs/>
                <w:color w:val="auto"/>
              </w:rPr>
              <w:t>355</w:t>
            </w:r>
          </w:p>
        </w:tc>
      </w:tr>
      <w:tr w:rsidR="00861CCC" w:rsidRPr="003F2AAD" w14:paraId="1ECA2E70" w14:textId="77777777" w:rsidTr="00D63F63">
        <w:trPr>
          <w:tblHeader/>
        </w:trPr>
        <w:tc>
          <w:tcPr>
            <w:tcW w:w="3125" w:type="dxa"/>
          </w:tcPr>
          <w:p w14:paraId="0E061C67" w14:textId="77777777" w:rsidR="00861CCC" w:rsidRPr="003F2AAD" w:rsidRDefault="00861CCC" w:rsidP="00E21973">
            <w:pPr>
              <w:pStyle w:val="Tablewriting"/>
              <w:rPr>
                <w:b/>
                <w:color w:val="auto"/>
              </w:rPr>
            </w:pPr>
            <w:r w:rsidRPr="003F2AAD">
              <w:rPr>
                <w:b/>
                <w:color w:val="auto"/>
              </w:rPr>
              <w:t>Total packs</w:t>
            </w:r>
          </w:p>
          <w:p w14:paraId="1B7C5F4E" w14:textId="77777777" w:rsidR="00861CCC" w:rsidRPr="003F2AAD" w:rsidRDefault="00861CCC" w:rsidP="00E21973">
            <w:pPr>
              <w:pStyle w:val="Tablewriting"/>
              <w:rPr>
                <w:b/>
                <w:color w:val="auto"/>
              </w:rPr>
            </w:pPr>
            <w:r w:rsidRPr="003F2AAD">
              <w:rPr>
                <w:b/>
                <w:color w:val="auto"/>
              </w:rPr>
              <w:t>(26 packs/patient/year)</w:t>
            </w:r>
          </w:p>
        </w:tc>
        <w:tc>
          <w:tcPr>
            <w:tcW w:w="0" w:type="auto"/>
            <w:vAlign w:val="center"/>
          </w:tcPr>
          <w:p w14:paraId="0D60FC8B" w14:textId="77777777" w:rsidR="00861CCC" w:rsidRPr="003F2AAD" w:rsidRDefault="00861CCC" w:rsidP="00E21973">
            <w:pPr>
              <w:pStyle w:val="Tablewriting"/>
              <w:jc w:val="center"/>
              <w:rPr>
                <w:b/>
                <w:bCs/>
                <w:color w:val="auto"/>
              </w:rPr>
            </w:pPr>
            <w:r w:rsidRPr="003F2AAD">
              <w:rPr>
                <w:b/>
                <w:bCs/>
                <w:color w:val="auto"/>
              </w:rPr>
              <w:t>8,051</w:t>
            </w:r>
          </w:p>
        </w:tc>
        <w:tc>
          <w:tcPr>
            <w:tcW w:w="0" w:type="auto"/>
            <w:vAlign w:val="center"/>
          </w:tcPr>
          <w:p w14:paraId="5CC525BA" w14:textId="77777777" w:rsidR="00861CCC" w:rsidRPr="003F2AAD" w:rsidRDefault="00861CCC" w:rsidP="00E21973">
            <w:pPr>
              <w:pStyle w:val="Tablewriting"/>
              <w:jc w:val="center"/>
              <w:rPr>
                <w:b/>
                <w:bCs/>
                <w:color w:val="auto"/>
              </w:rPr>
            </w:pPr>
            <w:r w:rsidRPr="003F2AAD">
              <w:rPr>
                <w:b/>
                <w:bCs/>
                <w:color w:val="auto"/>
              </w:rPr>
              <w:t>8,338</w:t>
            </w:r>
          </w:p>
        </w:tc>
        <w:tc>
          <w:tcPr>
            <w:tcW w:w="0" w:type="auto"/>
            <w:vAlign w:val="center"/>
          </w:tcPr>
          <w:p w14:paraId="12454A7B" w14:textId="77777777" w:rsidR="00861CCC" w:rsidRPr="003F2AAD" w:rsidRDefault="00861CCC" w:rsidP="00E21973">
            <w:pPr>
              <w:pStyle w:val="Tablewriting"/>
              <w:jc w:val="center"/>
              <w:rPr>
                <w:b/>
                <w:bCs/>
                <w:color w:val="auto"/>
              </w:rPr>
            </w:pPr>
            <w:r w:rsidRPr="003F2AAD">
              <w:rPr>
                <w:b/>
                <w:bCs/>
                <w:color w:val="auto"/>
              </w:rPr>
              <w:t>8,635</w:t>
            </w:r>
          </w:p>
        </w:tc>
        <w:tc>
          <w:tcPr>
            <w:tcW w:w="0" w:type="auto"/>
            <w:vAlign w:val="center"/>
          </w:tcPr>
          <w:p w14:paraId="07471878" w14:textId="77777777" w:rsidR="00861CCC" w:rsidRPr="003F2AAD" w:rsidRDefault="00861CCC" w:rsidP="00E21973">
            <w:pPr>
              <w:pStyle w:val="Tablewriting"/>
              <w:jc w:val="center"/>
              <w:rPr>
                <w:b/>
                <w:bCs/>
                <w:color w:val="auto"/>
              </w:rPr>
            </w:pPr>
            <w:r w:rsidRPr="003F2AAD">
              <w:rPr>
                <w:b/>
                <w:bCs/>
                <w:color w:val="auto"/>
              </w:rPr>
              <w:t>8,943</w:t>
            </w:r>
          </w:p>
        </w:tc>
        <w:tc>
          <w:tcPr>
            <w:tcW w:w="0" w:type="auto"/>
            <w:vAlign w:val="center"/>
          </w:tcPr>
          <w:p w14:paraId="4D826785" w14:textId="77777777" w:rsidR="00861CCC" w:rsidRPr="003F2AAD" w:rsidRDefault="00861CCC" w:rsidP="00E21973">
            <w:pPr>
              <w:pStyle w:val="Tablewriting"/>
              <w:jc w:val="center"/>
              <w:rPr>
                <w:b/>
                <w:bCs/>
                <w:color w:val="auto"/>
              </w:rPr>
            </w:pPr>
            <w:r w:rsidRPr="003F2AAD">
              <w:rPr>
                <w:b/>
                <w:bCs/>
                <w:color w:val="auto"/>
              </w:rPr>
              <w:t>9,262</w:t>
            </w:r>
          </w:p>
        </w:tc>
      </w:tr>
      <w:tr w:rsidR="00D63F63" w:rsidRPr="003F2AAD" w14:paraId="49742988" w14:textId="77777777" w:rsidTr="00D63F63">
        <w:trPr>
          <w:tblHeader/>
        </w:trPr>
        <w:tc>
          <w:tcPr>
            <w:tcW w:w="3125" w:type="dxa"/>
          </w:tcPr>
          <w:p w14:paraId="4D643F5A" w14:textId="77777777" w:rsidR="00D63F63" w:rsidRPr="003F2AAD" w:rsidRDefault="00D63F63" w:rsidP="00E21973">
            <w:pPr>
              <w:pStyle w:val="Tablewriting"/>
              <w:rPr>
                <w:color w:val="auto"/>
              </w:rPr>
            </w:pPr>
            <w:r w:rsidRPr="003F2AAD">
              <w:rPr>
                <w:color w:val="auto"/>
              </w:rPr>
              <w:t>Gross cost to PBS</w:t>
            </w:r>
          </w:p>
        </w:tc>
        <w:tc>
          <w:tcPr>
            <w:tcW w:w="0" w:type="auto"/>
            <w:vAlign w:val="bottom"/>
          </w:tcPr>
          <w:p w14:paraId="19DF302C" w14:textId="1E5CAB05" w:rsidR="00D63F63" w:rsidRPr="003F2AAD" w:rsidRDefault="00D63F63" w:rsidP="00915111">
            <w:pPr>
              <w:pStyle w:val="Tablewriting"/>
              <w:jc w:val="center"/>
              <w:rPr>
                <w:color w:val="auto"/>
              </w:rPr>
            </w:pPr>
            <w:r w:rsidRPr="003F2AAD">
              <w:rPr>
                <w:color w:val="auto"/>
              </w:rPr>
              <w:t>$</w:t>
            </w:r>
            <w:r>
              <w:rPr>
                <w:color w:val="auto"/>
              </w:rPr>
              <w:t>REDACTED</w:t>
            </w:r>
          </w:p>
        </w:tc>
        <w:tc>
          <w:tcPr>
            <w:tcW w:w="0" w:type="auto"/>
          </w:tcPr>
          <w:p w14:paraId="2247BE9C" w14:textId="7CAD1CA6" w:rsidR="00D63F63" w:rsidRPr="003F2AAD" w:rsidRDefault="00D63F63" w:rsidP="00E21973">
            <w:pPr>
              <w:pStyle w:val="Tablewriting"/>
              <w:jc w:val="center"/>
              <w:rPr>
                <w:color w:val="auto"/>
              </w:rPr>
            </w:pPr>
            <w:r w:rsidRPr="003A43B6">
              <w:rPr>
                <w:color w:val="auto"/>
              </w:rPr>
              <w:t>$REDACTED</w:t>
            </w:r>
          </w:p>
        </w:tc>
        <w:tc>
          <w:tcPr>
            <w:tcW w:w="0" w:type="auto"/>
          </w:tcPr>
          <w:p w14:paraId="35682A1C" w14:textId="1830FEA6" w:rsidR="00D63F63" w:rsidRPr="003F2AAD" w:rsidRDefault="00D63F63" w:rsidP="00E21973">
            <w:pPr>
              <w:pStyle w:val="Tablewriting"/>
              <w:jc w:val="center"/>
              <w:rPr>
                <w:color w:val="auto"/>
              </w:rPr>
            </w:pPr>
            <w:r w:rsidRPr="003A43B6">
              <w:rPr>
                <w:color w:val="auto"/>
              </w:rPr>
              <w:t>$REDACTED</w:t>
            </w:r>
          </w:p>
        </w:tc>
        <w:tc>
          <w:tcPr>
            <w:tcW w:w="0" w:type="auto"/>
          </w:tcPr>
          <w:p w14:paraId="782439ED" w14:textId="2AA5EF36" w:rsidR="00D63F63" w:rsidRPr="003F2AAD" w:rsidRDefault="00D63F63" w:rsidP="00E21973">
            <w:pPr>
              <w:pStyle w:val="Tablewriting"/>
              <w:jc w:val="center"/>
              <w:rPr>
                <w:color w:val="auto"/>
              </w:rPr>
            </w:pPr>
            <w:r w:rsidRPr="003A43B6">
              <w:rPr>
                <w:color w:val="auto"/>
              </w:rPr>
              <w:t>$REDACTED</w:t>
            </w:r>
          </w:p>
        </w:tc>
        <w:tc>
          <w:tcPr>
            <w:tcW w:w="0" w:type="auto"/>
          </w:tcPr>
          <w:p w14:paraId="20CF3D6C" w14:textId="3AD6BA57" w:rsidR="00D63F63" w:rsidRPr="003F2AAD" w:rsidRDefault="00D63F63" w:rsidP="00E21973">
            <w:pPr>
              <w:pStyle w:val="Tablewriting"/>
              <w:jc w:val="center"/>
              <w:rPr>
                <w:color w:val="auto"/>
              </w:rPr>
            </w:pPr>
            <w:r w:rsidRPr="003A43B6">
              <w:rPr>
                <w:color w:val="auto"/>
              </w:rPr>
              <w:t>$REDACTED</w:t>
            </w:r>
          </w:p>
        </w:tc>
      </w:tr>
      <w:tr w:rsidR="00D63F63" w:rsidRPr="003F2AAD" w14:paraId="637124BB" w14:textId="77777777" w:rsidTr="00D63F63">
        <w:trPr>
          <w:tblHeader/>
        </w:trPr>
        <w:tc>
          <w:tcPr>
            <w:tcW w:w="3125" w:type="dxa"/>
          </w:tcPr>
          <w:p w14:paraId="086A2352" w14:textId="77777777" w:rsidR="00D63F63" w:rsidRPr="003F2AAD" w:rsidRDefault="00D63F63" w:rsidP="00E21973">
            <w:pPr>
              <w:pStyle w:val="Tablewriting"/>
              <w:rPr>
                <w:color w:val="auto"/>
              </w:rPr>
            </w:pPr>
            <w:r w:rsidRPr="003F2AAD">
              <w:rPr>
                <w:color w:val="auto"/>
              </w:rPr>
              <w:t>Co-payments</w:t>
            </w:r>
          </w:p>
        </w:tc>
        <w:tc>
          <w:tcPr>
            <w:tcW w:w="0" w:type="auto"/>
          </w:tcPr>
          <w:p w14:paraId="6AD9BD41" w14:textId="094FC92C" w:rsidR="00D63F63" w:rsidRPr="003F2AAD" w:rsidRDefault="00D63F63" w:rsidP="00E21973">
            <w:pPr>
              <w:pStyle w:val="Tablewriting"/>
              <w:jc w:val="center"/>
              <w:rPr>
                <w:color w:val="auto"/>
              </w:rPr>
            </w:pPr>
            <w:r w:rsidRPr="000A5503">
              <w:rPr>
                <w:color w:val="auto"/>
              </w:rPr>
              <w:t>$REDACTED</w:t>
            </w:r>
          </w:p>
        </w:tc>
        <w:tc>
          <w:tcPr>
            <w:tcW w:w="0" w:type="auto"/>
          </w:tcPr>
          <w:p w14:paraId="3E3E56DB" w14:textId="54E55EEC" w:rsidR="00D63F63" w:rsidRPr="003F2AAD" w:rsidRDefault="00D63F63" w:rsidP="00E21973">
            <w:pPr>
              <w:pStyle w:val="Tablewriting"/>
              <w:jc w:val="center"/>
              <w:rPr>
                <w:color w:val="auto"/>
              </w:rPr>
            </w:pPr>
            <w:r w:rsidRPr="000A5503">
              <w:rPr>
                <w:color w:val="auto"/>
              </w:rPr>
              <w:t>$REDACTED</w:t>
            </w:r>
          </w:p>
        </w:tc>
        <w:tc>
          <w:tcPr>
            <w:tcW w:w="0" w:type="auto"/>
          </w:tcPr>
          <w:p w14:paraId="7896ED24" w14:textId="7E775793" w:rsidR="00D63F63" w:rsidRPr="003F2AAD" w:rsidRDefault="00D63F63" w:rsidP="00E21973">
            <w:pPr>
              <w:pStyle w:val="Tablewriting"/>
              <w:jc w:val="center"/>
              <w:rPr>
                <w:color w:val="auto"/>
              </w:rPr>
            </w:pPr>
            <w:r w:rsidRPr="000A5503">
              <w:rPr>
                <w:color w:val="auto"/>
              </w:rPr>
              <w:t>$REDACTED</w:t>
            </w:r>
          </w:p>
        </w:tc>
        <w:tc>
          <w:tcPr>
            <w:tcW w:w="0" w:type="auto"/>
          </w:tcPr>
          <w:p w14:paraId="51147942" w14:textId="4367AC6C" w:rsidR="00D63F63" w:rsidRPr="003F2AAD" w:rsidRDefault="00D63F63" w:rsidP="00E21973">
            <w:pPr>
              <w:pStyle w:val="Tablewriting"/>
              <w:jc w:val="center"/>
              <w:rPr>
                <w:color w:val="auto"/>
              </w:rPr>
            </w:pPr>
            <w:r w:rsidRPr="000A5503">
              <w:rPr>
                <w:color w:val="auto"/>
              </w:rPr>
              <w:t>$REDACTED</w:t>
            </w:r>
          </w:p>
        </w:tc>
        <w:tc>
          <w:tcPr>
            <w:tcW w:w="0" w:type="auto"/>
          </w:tcPr>
          <w:p w14:paraId="197CCA7F" w14:textId="7B4E7509" w:rsidR="00D63F63" w:rsidRPr="003F2AAD" w:rsidRDefault="00D63F63" w:rsidP="00E21973">
            <w:pPr>
              <w:pStyle w:val="Tablewriting"/>
              <w:jc w:val="center"/>
              <w:rPr>
                <w:color w:val="auto"/>
              </w:rPr>
            </w:pPr>
            <w:r w:rsidRPr="000A5503">
              <w:rPr>
                <w:color w:val="auto"/>
              </w:rPr>
              <w:t>$REDACTED</w:t>
            </w:r>
          </w:p>
        </w:tc>
      </w:tr>
      <w:tr w:rsidR="00D63F63" w:rsidRPr="003F2AAD" w14:paraId="771D4D6A" w14:textId="77777777" w:rsidTr="0008572E">
        <w:trPr>
          <w:tblHeader/>
        </w:trPr>
        <w:tc>
          <w:tcPr>
            <w:tcW w:w="3125" w:type="dxa"/>
          </w:tcPr>
          <w:p w14:paraId="069AF56D" w14:textId="77777777" w:rsidR="00D63F63" w:rsidRPr="003F2AAD" w:rsidRDefault="00D63F63" w:rsidP="00E21973">
            <w:pPr>
              <w:pStyle w:val="Tablewriting"/>
              <w:rPr>
                <w:color w:val="auto"/>
              </w:rPr>
            </w:pPr>
            <w:r w:rsidRPr="003F2AAD">
              <w:rPr>
                <w:color w:val="auto"/>
              </w:rPr>
              <w:t>Net cost to PBS</w:t>
            </w:r>
          </w:p>
        </w:tc>
        <w:tc>
          <w:tcPr>
            <w:tcW w:w="0" w:type="auto"/>
          </w:tcPr>
          <w:p w14:paraId="01C601C3" w14:textId="35E57996" w:rsidR="00D63F63" w:rsidRPr="003F2AAD" w:rsidRDefault="00D63F63" w:rsidP="00E21973">
            <w:pPr>
              <w:pStyle w:val="Tablewriting"/>
              <w:jc w:val="center"/>
              <w:rPr>
                <w:b/>
                <w:bCs/>
                <w:color w:val="auto"/>
              </w:rPr>
            </w:pPr>
            <w:r w:rsidRPr="00124ED0">
              <w:rPr>
                <w:color w:val="auto"/>
              </w:rPr>
              <w:t>$REDACTED</w:t>
            </w:r>
          </w:p>
        </w:tc>
        <w:tc>
          <w:tcPr>
            <w:tcW w:w="0" w:type="auto"/>
          </w:tcPr>
          <w:p w14:paraId="243E3AEE" w14:textId="3F76479C" w:rsidR="00D63F63" w:rsidRPr="003F2AAD" w:rsidRDefault="00D63F63" w:rsidP="00E21973">
            <w:pPr>
              <w:pStyle w:val="Tablewriting"/>
              <w:jc w:val="center"/>
              <w:rPr>
                <w:b/>
                <w:bCs/>
                <w:color w:val="auto"/>
              </w:rPr>
            </w:pPr>
            <w:r w:rsidRPr="00124ED0">
              <w:rPr>
                <w:color w:val="auto"/>
              </w:rPr>
              <w:t>$REDACTED</w:t>
            </w:r>
          </w:p>
        </w:tc>
        <w:tc>
          <w:tcPr>
            <w:tcW w:w="0" w:type="auto"/>
          </w:tcPr>
          <w:p w14:paraId="026792EF" w14:textId="37A5F687" w:rsidR="00D63F63" w:rsidRPr="003F2AAD" w:rsidRDefault="00D63F63" w:rsidP="00E21973">
            <w:pPr>
              <w:pStyle w:val="Tablewriting"/>
              <w:jc w:val="center"/>
              <w:rPr>
                <w:b/>
                <w:bCs/>
                <w:color w:val="auto"/>
              </w:rPr>
            </w:pPr>
            <w:r w:rsidRPr="00124ED0">
              <w:rPr>
                <w:color w:val="auto"/>
              </w:rPr>
              <w:t>$REDACTED</w:t>
            </w:r>
          </w:p>
        </w:tc>
        <w:tc>
          <w:tcPr>
            <w:tcW w:w="0" w:type="auto"/>
          </w:tcPr>
          <w:p w14:paraId="5A7C9677" w14:textId="74EF5E20" w:rsidR="00D63F63" w:rsidRPr="003F2AAD" w:rsidRDefault="00D63F63" w:rsidP="00E21973">
            <w:pPr>
              <w:pStyle w:val="Tablewriting"/>
              <w:jc w:val="center"/>
              <w:rPr>
                <w:b/>
                <w:bCs/>
                <w:color w:val="auto"/>
              </w:rPr>
            </w:pPr>
            <w:r w:rsidRPr="00124ED0">
              <w:rPr>
                <w:color w:val="auto"/>
              </w:rPr>
              <w:t>$REDACTED</w:t>
            </w:r>
          </w:p>
        </w:tc>
        <w:tc>
          <w:tcPr>
            <w:tcW w:w="0" w:type="auto"/>
          </w:tcPr>
          <w:p w14:paraId="78A5438C" w14:textId="1DFADD99" w:rsidR="00D63F63" w:rsidRPr="003F2AAD" w:rsidRDefault="00D63F63" w:rsidP="00E21973">
            <w:pPr>
              <w:pStyle w:val="Tablewriting"/>
              <w:jc w:val="center"/>
              <w:rPr>
                <w:b/>
                <w:bCs/>
                <w:color w:val="auto"/>
              </w:rPr>
            </w:pPr>
            <w:r w:rsidRPr="00124ED0">
              <w:rPr>
                <w:color w:val="auto"/>
              </w:rPr>
              <w:t>$REDACTED</w:t>
            </w:r>
          </w:p>
        </w:tc>
      </w:tr>
      <w:tr w:rsidR="00811951" w:rsidRPr="003F2AAD" w14:paraId="56550629" w14:textId="77777777" w:rsidTr="00D63F63">
        <w:trPr>
          <w:tblHeader/>
        </w:trPr>
        <w:tc>
          <w:tcPr>
            <w:tcW w:w="3125" w:type="dxa"/>
          </w:tcPr>
          <w:p w14:paraId="113FCDA5" w14:textId="77777777" w:rsidR="00811951" w:rsidRPr="003F2AAD" w:rsidRDefault="00811951" w:rsidP="00E21973">
            <w:pPr>
              <w:pStyle w:val="Tablewriting"/>
              <w:rPr>
                <w:b/>
                <w:bCs/>
                <w:color w:val="auto"/>
              </w:rPr>
            </w:pPr>
            <w:r w:rsidRPr="003F2AAD">
              <w:rPr>
                <w:b/>
                <w:bCs/>
                <w:color w:val="auto"/>
              </w:rPr>
              <w:t>Reduced cost of other drugs</w:t>
            </w:r>
          </w:p>
        </w:tc>
        <w:tc>
          <w:tcPr>
            <w:tcW w:w="1188" w:type="dxa"/>
            <w:vAlign w:val="center"/>
          </w:tcPr>
          <w:p w14:paraId="57C0F51A" w14:textId="2E5A96F8" w:rsidR="00811951" w:rsidRPr="003F2AAD" w:rsidRDefault="00811951" w:rsidP="00BD5539">
            <w:pPr>
              <w:pStyle w:val="Tablewriting"/>
              <w:jc w:val="center"/>
              <w:rPr>
                <w:b/>
                <w:bCs/>
                <w:color w:val="auto"/>
              </w:rPr>
            </w:pPr>
            <w:r>
              <w:rPr>
                <w:b/>
                <w:bCs/>
                <w:color w:val="auto"/>
              </w:rPr>
              <w:t>Year 1</w:t>
            </w:r>
          </w:p>
        </w:tc>
        <w:tc>
          <w:tcPr>
            <w:tcW w:w="1188" w:type="dxa"/>
            <w:vAlign w:val="center"/>
          </w:tcPr>
          <w:p w14:paraId="2087CF33" w14:textId="645E7E2F" w:rsidR="00811951" w:rsidRPr="003F2AAD" w:rsidRDefault="00811951" w:rsidP="00BD5539">
            <w:pPr>
              <w:pStyle w:val="Tablewriting"/>
              <w:jc w:val="center"/>
              <w:rPr>
                <w:b/>
                <w:bCs/>
                <w:color w:val="auto"/>
              </w:rPr>
            </w:pPr>
            <w:r>
              <w:rPr>
                <w:b/>
                <w:bCs/>
                <w:color w:val="auto"/>
              </w:rPr>
              <w:t>Year 2</w:t>
            </w:r>
          </w:p>
        </w:tc>
        <w:tc>
          <w:tcPr>
            <w:tcW w:w="1188" w:type="dxa"/>
            <w:vAlign w:val="center"/>
          </w:tcPr>
          <w:p w14:paraId="15248875" w14:textId="181BC5F7" w:rsidR="00811951" w:rsidRPr="003F2AAD" w:rsidRDefault="00811951" w:rsidP="00BD5539">
            <w:pPr>
              <w:pStyle w:val="Tablewriting"/>
              <w:jc w:val="center"/>
              <w:rPr>
                <w:b/>
                <w:bCs/>
                <w:color w:val="auto"/>
              </w:rPr>
            </w:pPr>
            <w:r>
              <w:rPr>
                <w:b/>
                <w:bCs/>
                <w:color w:val="auto"/>
              </w:rPr>
              <w:t>Year 3</w:t>
            </w:r>
          </w:p>
        </w:tc>
        <w:tc>
          <w:tcPr>
            <w:tcW w:w="1188" w:type="dxa"/>
            <w:vAlign w:val="center"/>
          </w:tcPr>
          <w:p w14:paraId="3593BB6F" w14:textId="7C8655FD" w:rsidR="00811951" w:rsidRPr="003F2AAD" w:rsidRDefault="00811951" w:rsidP="00BD5539">
            <w:pPr>
              <w:pStyle w:val="Tablewriting"/>
              <w:jc w:val="center"/>
              <w:rPr>
                <w:b/>
                <w:bCs/>
                <w:color w:val="auto"/>
              </w:rPr>
            </w:pPr>
            <w:r>
              <w:rPr>
                <w:b/>
                <w:bCs/>
                <w:color w:val="auto"/>
              </w:rPr>
              <w:t>Year 4</w:t>
            </w:r>
          </w:p>
        </w:tc>
        <w:tc>
          <w:tcPr>
            <w:tcW w:w="1188" w:type="dxa"/>
            <w:vAlign w:val="center"/>
          </w:tcPr>
          <w:p w14:paraId="3A2FC994" w14:textId="489DD321" w:rsidR="00811951" w:rsidRPr="003F2AAD" w:rsidRDefault="00811951" w:rsidP="00BD5539">
            <w:pPr>
              <w:pStyle w:val="Tablewriting"/>
              <w:jc w:val="center"/>
              <w:rPr>
                <w:b/>
                <w:bCs/>
                <w:color w:val="auto"/>
              </w:rPr>
            </w:pPr>
            <w:r>
              <w:rPr>
                <w:b/>
                <w:bCs/>
                <w:color w:val="auto"/>
              </w:rPr>
              <w:t>Year 5</w:t>
            </w:r>
          </w:p>
        </w:tc>
      </w:tr>
      <w:tr w:rsidR="00861CCC" w:rsidRPr="003F2AAD" w14:paraId="170A0ABD" w14:textId="77777777" w:rsidTr="00D63F63">
        <w:trPr>
          <w:tblHeader/>
        </w:trPr>
        <w:tc>
          <w:tcPr>
            <w:tcW w:w="3125" w:type="dxa"/>
          </w:tcPr>
          <w:p w14:paraId="16DA331B" w14:textId="77777777" w:rsidR="00861CCC" w:rsidRPr="003F2AAD" w:rsidRDefault="00861CCC" w:rsidP="00E21973">
            <w:pPr>
              <w:pStyle w:val="Tablewriting"/>
              <w:rPr>
                <w:color w:val="auto"/>
              </w:rPr>
            </w:pPr>
            <w:r w:rsidRPr="003F2AAD">
              <w:rPr>
                <w:color w:val="auto"/>
              </w:rPr>
              <w:t xml:space="preserve">Patients switching from dornase </w:t>
            </w:r>
          </w:p>
        </w:tc>
        <w:tc>
          <w:tcPr>
            <w:tcW w:w="0" w:type="auto"/>
            <w:vAlign w:val="center"/>
          </w:tcPr>
          <w:p w14:paraId="4BE74EFA" w14:textId="77777777" w:rsidR="00861CCC" w:rsidRPr="003F2AAD" w:rsidRDefault="00861CCC" w:rsidP="00E21973">
            <w:pPr>
              <w:jc w:val="center"/>
              <w:rPr>
                <w:sz w:val="20"/>
                <w:szCs w:val="20"/>
              </w:rPr>
            </w:pPr>
            <w:r w:rsidRPr="003F2AAD">
              <w:rPr>
                <w:sz w:val="20"/>
                <w:szCs w:val="20"/>
              </w:rPr>
              <w:t>244</w:t>
            </w:r>
          </w:p>
        </w:tc>
        <w:tc>
          <w:tcPr>
            <w:tcW w:w="0" w:type="auto"/>
            <w:vAlign w:val="center"/>
          </w:tcPr>
          <w:p w14:paraId="03CDA132" w14:textId="77777777" w:rsidR="00861CCC" w:rsidRPr="003F2AAD" w:rsidRDefault="00861CCC" w:rsidP="00E21973">
            <w:pPr>
              <w:jc w:val="center"/>
              <w:rPr>
                <w:sz w:val="20"/>
                <w:szCs w:val="20"/>
              </w:rPr>
            </w:pPr>
            <w:r w:rsidRPr="003F2AAD">
              <w:rPr>
                <w:sz w:val="20"/>
                <w:szCs w:val="20"/>
              </w:rPr>
              <w:t>253</w:t>
            </w:r>
          </w:p>
        </w:tc>
        <w:tc>
          <w:tcPr>
            <w:tcW w:w="0" w:type="auto"/>
            <w:vAlign w:val="center"/>
          </w:tcPr>
          <w:p w14:paraId="02AD9C83" w14:textId="77777777" w:rsidR="00861CCC" w:rsidRPr="003F2AAD" w:rsidRDefault="00861CCC" w:rsidP="00E21973">
            <w:pPr>
              <w:jc w:val="center"/>
              <w:rPr>
                <w:sz w:val="20"/>
                <w:szCs w:val="20"/>
              </w:rPr>
            </w:pPr>
            <w:r w:rsidRPr="003F2AAD">
              <w:rPr>
                <w:sz w:val="20"/>
                <w:szCs w:val="20"/>
              </w:rPr>
              <w:t>262</w:t>
            </w:r>
          </w:p>
        </w:tc>
        <w:tc>
          <w:tcPr>
            <w:tcW w:w="0" w:type="auto"/>
            <w:vAlign w:val="center"/>
          </w:tcPr>
          <w:p w14:paraId="5959FA8C" w14:textId="77777777" w:rsidR="00861CCC" w:rsidRPr="003F2AAD" w:rsidRDefault="00861CCC" w:rsidP="00E21973">
            <w:pPr>
              <w:jc w:val="center"/>
              <w:rPr>
                <w:sz w:val="20"/>
                <w:szCs w:val="20"/>
              </w:rPr>
            </w:pPr>
            <w:r w:rsidRPr="003F2AAD">
              <w:rPr>
                <w:sz w:val="20"/>
                <w:szCs w:val="20"/>
              </w:rPr>
              <w:t>271</w:t>
            </w:r>
          </w:p>
        </w:tc>
        <w:tc>
          <w:tcPr>
            <w:tcW w:w="0" w:type="auto"/>
            <w:vAlign w:val="center"/>
          </w:tcPr>
          <w:p w14:paraId="6BEDA619" w14:textId="77777777" w:rsidR="00861CCC" w:rsidRPr="003F2AAD" w:rsidRDefault="00861CCC" w:rsidP="00E21973">
            <w:pPr>
              <w:jc w:val="center"/>
              <w:rPr>
                <w:sz w:val="20"/>
                <w:szCs w:val="20"/>
              </w:rPr>
            </w:pPr>
            <w:r w:rsidRPr="003F2AAD">
              <w:rPr>
                <w:sz w:val="20"/>
                <w:szCs w:val="20"/>
              </w:rPr>
              <w:t>281</w:t>
            </w:r>
          </w:p>
        </w:tc>
      </w:tr>
      <w:tr w:rsidR="00861CCC" w:rsidRPr="003F2AAD" w14:paraId="32146061" w14:textId="77777777" w:rsidTr="00D63F63">
        <w:trPr>
          <w:tblHeader/>
        </w:trPr>
        <w:tc>
          <w:tcPr>
            <w:tcW w:w="3125" w:type="dxa"/>
          </w:tcPr>
          <w:p w14:paraId="774ABFA9" w14:textId="77777777" w:rsidR="00861CCC" w:rsidRPr="003F2AAD" w:rsidRDefault="00861CCC" w:rsidP="00E21973">
            <w:pPr>
              <w:pStyle w:val="Tablewriting"/>
              <w:rPr>
                <w:color w:val="auto"/>
              </w:rPr>
            </w:pPr>
            <w:r w:rsidRPr="003F2AAD">
              <w:rPr>
                <w:color w:val="auto"/>
              </w:rPr>
              <w:t>Cost offset due to reduced dornase use ($9,196/patient /year)</w:t>
            </w:r>
          </w:p>
        </w:tc>
        <w:tc>
          <w:tcPr>
            <w:tcW w:w="0" w:type="auto"/>
            <w:vAlign w:val="center"/>
          </w:tcPr>
          <w:p w14:paraId="09A7AFC8" w14:textId="77777777" w:rsidR="00861CCC" w:rsidRPr="003F2AAD" w:rsidRDefault="00861CCC" w:rsidP="00E21973">
            <w:pPr>
              <w:jc w:val="center"/>
              <w:rPr>
                <w:sz w:val="20"/>
                <w:szCs w:val="20"/>
              </w:rPr>
            </w:pPr>
            <w:r w:rsidRPr="003F2AAD">
              <w:rPr>
                <w:sz w:val="20"/>
                <w:szCs w:val="20"/>
              </w:rPr>
              <w:t>$2,244,172</w:t>
            </w:r>
          </w:p>
        </w:tc>
        <w:tc>
          <w:tcPr>
            <w:tcW w:w="0" w:type="auto"/>
            <w:vAlign w:val="center"/>
          </w:tcPr>
          <w:p w14:paraId="010F4907" w14:textId="77777777" w:rsidR="00861CCC" w:rsidRPr="003F2AAD" w:rsidRDefault="00861CCC" w:rsidP="00E21973">
            <w:pPr>
              <w:jc w:val="center"/>
              <w:rPr>
                <w:sz w:val="20"/>
                <w:szCs w:val="20"/>
              </w:rPr>
            </w:pPr>
            <w:r w:rsidRPr="003F2AAD">
              <w:rPr>
                <w:sz w:val="20"/>
                <w:szCs w:val="20"/>
              </w:rPr>
              <w:t>$2,324,211</w:t>
            </w:r>
          </w:p>
        </w:tc>
        <w:tc>
          <w:tcPr>
            <w:tcW w:w="0" w:type="auto"/>
            <w:vAlign w:val="center"/>
          </w:tcPr>
          <w:p w14:paraId="42713BF4" w14:textId="77777777" w:rsidR="00861CCC" w:rsidRPr="003F2AAD" w:rsidRDefault="00861CCC" w:rsidP="00E21973">
            <w:pPr>
              <w:jc w:val="center"/>
              <w:rPr>
                <w:sz w:val="20"/>
                <w:szCs w:val="20"/>
              </w:rPr>
            </w:pPr>
            <w:r w:rsidRPr="003F2AAD">
              <w:rPr>
                <w:sz w:val="20"/>
                <w:szCs w:val="20"/>
              </w:rPr>
              <w:t>$2,407,104</w:t>
            </w:r>
          </w:p>
        </w:tc>
        <w:tc>
          <w:tcPr>
            <w:tcW w:w="0" w:type="auto"/>
            <w:vAlign w:val="center"/>
          </w:tcPr>
          <w:p w14:paraId="0D15D224" w14:textId="77777777" w:rsidR="00861CCC" w:rsidRPr="003F2AAD" w:rsidRDefault="00861CCC" w:rsidP="00E21973">
            <w:pPr>
              <w:jc w:val="center"/>
              <w:rPr>
                <w:sz w:val="20"/>
                <w:szCs w:val="20"/>
              </w:rPr>
            </w:pPr>
            <w:r w:rsidRPr="003F2AAD">
              <w:rPr>
                <w:sz w:val="20"/>
                <w:szCs w:val="20"/>
              </w:rPr>
              <w:t>$2,492,954</w:t>
            </w:r>
          </w:p>
        </w:tc>
        <w:tc>
          <w:tcPr>
            <w:tcW w:w="0" w:type="auto"/>
            <w:vAlign w:val="center"/>
          </w:tcPr>
          <w:p w14:paraId="192B6D7F" w14:textId="77777777" w:rsidR="00861CCC" w:rsidRPr="003F2AAD" w:rsidRDefault="00861CCC" w:rsidP="00E21973">
            <w:pPr>
              <w:jc w:val="center"/>
              <w:rPr>
                <w:sz w:val="20"/>
                <w:szCs w:val="20"/>
              </w:rPr>
            </w:pPr>
            <w:r w:rsidRPr="003F2AAD">
              <w:rPr>
                <w:sz w:val="20"/>
                <w:szCs w:val="20"/>
              </w:rPr>
              <w:t>$2,581,865</w:t>
            </w:r>
          </w:p>
        </w:tc>
      </w:tr>
      <w:tr w:rsidR="00D63F63" w:rsidRPr="003F2AAD" w14:paraId="3B20EE7E" w14:textId="77777777" w:rsidTr="00267230">
        <w:trPr>
          <w:tblHeader/>
        </w:trPr>
        <w:tc>
          <w:tcPr>
            <w:tcW w:w="3125" w:type="dxa"/>
          </w:tcPr>
          <w:p w14:paraId="52C22867" w14:textId="77777777" w:rsidR="00D63F63" w:rsidRPr="003F2AAD" w:rsidRDefault="00D63F63" w:rsidP="00E21973">
            <w:pPr>
              <w:pStyle w:val="Tablewriting"/>
              <w:rPr>
                <w:color w:val="auto"/>
              </w:rPr>
            </w:pPr>
            <w:r w:rsidRPr="003F2AAD">
              <w:rPr>
                <w:color w:val="auto"/>
              </w:rPr>
              <w:t>Net cost to PBS</w:t>
            </w:r>
          </w:p>
        </w:tc>
        <w:tc>
          <w:tcPr>
            <w:tcW w:w="0" w:type="auto"/>
          </w:tcPr>
          <w:p w14:paraId="7D94D5F9" w14:textId="5B7C4AFD" w:rsidR="00D63F63" w:rsidRPr="00D63F63" w:rsidRDefault="00D63F63" w:rsidP="00E21973">
            <w:pPr>
              <w:jc w:val="center"/>
              <w:rPr>
                <w:bCs/>
                <w:sz w:val="20"/>
                <w:szCs w:val="20"/>
              </w:rPr>
            </w:pPr>
            <w:r w:rsidRPr="00D63F63">
              <w:rPr>
                <w:sz w:val="20"/>
                <w:szCs w:val="20"/>
              </w:rPr>
              <w:t>$REDACTED</w:t>
            </w:r>
          </w:p>
        </w:tc>
        <w:tc>
          <w:tcPr>
            <w:tcW w:w="0" w:type="auto"/>
          </w:tcPr>
          <w:p w14:paraId="51E1BA80" w14:textId="4A55B4BC" w:rsidR="00D63F63" w:rsidRPr="00D63F63" w:rsidRDefault="00D63F63" w:rsidP="00E21973">
            <w:pPr>
              <w:jc w:val="center"/>
              <w:rPr>
                <w:bCs/>
                <w:sz w:val="20"/>
                <w:szCs w:val="20"/>
              </w:rPr>
            </w:pPr>
            <w:r w:rsidRPr="00D63F63">
              <w:rPr>
                <w:sz w:val="20"/>
                <w:szCs w:val="20"/>
              </w:rPr>
              <w:t>$REDACTED</w:t>
            </w:r>
          </w:p>
        </w:tc>
        <w:tc>
          <w:tcPr>
            <w:tcW w:w="0" w:type="auto"/>
          </w:tcPr>
          <w:p w14:paraId="5BBCA2E1" w14:textId="55036E8E" w:rsidR="00D63F63" w:rsidRPr="00D63F63" w:rsidRDefault="00D63F63" w:rsidP="00E21973">
            <w:pPr>
              <w:jc w:val="center"/>
              <w:rPr>
                <w:bCs/>
                <w:sz w:val="20"/>
                <w:szCs w:val="20"/>
              </w:rPr>
            </w:pPr>
            <w:r w:rsidRPr="00D63F63">
              <w:rPr>
                <w:sz w:val="20"/>
                <w:szCs w:val="20"/>
              </w:rPr>
              <w:t>$REDACTED</w:t>
            </w:r>
          </w:p>
        </w:tc>
        <w:tc>
          <w:tcPr>
            <w:tcW w:w="0" w:type="auto"/>
          </w:tcPr>
          <w:p w14:paraId="6EC17E88" w14:textId="7FB52AC1" w:rsidR="00D63F63" w:rsidRPr="00D63F63" w:rsidRDefault="00D63F63" w:rsidP="00E21973">
            <w:pPr>
              <w:jc w:val="center"/>
              <w:rPr>
                <w:bCs/>
                <w:sz w:val="20"/>
                <w:szCs w:val="20"/>
              </w:rPr>
            </w:pPr>
            <w:r w:rsidRPr="00D63F63">
              <w:rPr>
                <w:sz w:val="20"/>
                <w:szCs w:val="20"/>
              </w:rPr>
              <w:t>$REDACTED</w:t>
            </w:r>
          </w:p>
        </w:tc>
        <w:tc>
          <w:tcPr>
            <w:tcW w:w="0" w:type="auto"/>
          </w:tcPr>
          <w:p w14:paraId="10201DB9" w14:textId="643620E7" w:rsidR="00D63F63" w:rsidRPr="00D63F63" w:rsidRDefault="00D63F63" w:rsidP="00E21973">
            <w:pPr>
              <w:jc w:val="center"/>
              <w:rPr>
                <w:bCs/>
                <w:sz w:val="20"/>
                <w:szCs w:val="20"/>
              </w:rPr>
            </w:pPr>
            <w:r w:rsidRPr="00D63F63">
              <w:rPr>
                <w:sz w:val="20"/>
                <w:szCs w:val="20"/>
              </w:rPr>
              <w:t>$REDACTED</w:t>
            </w:r>
          </w:p>
        </w:tc>
      </w:tr>
    </w:tbl>
    <w:p w14:paraId="796A18A8" w14:textId="77777777" w:rsidR="00861CCC" w:rsidRPr="003F2AAD" w:rsidRDefault="00861CCC" w:rsidP="00794F94">
      <w:pPr>
        <w:pStyle w:val="Figurecaption"/>
        <w:rPr>
          <w:highlight w:val="yellow"/>
        </w:rPr>
      </w:pPr>
      <w:r w:rsidRPr="003F2AAD">
        <w:t>Source: Mannitol final estimates</w:t>
      </w:r>
    </w:p>
    <w:p w14:paraId="0DEBD50F" w14:textId="611BDD64" w:rsidR="00094DCF" w:rsidRDefault="00ED633B" w:rsidP="000933D3">
      <w:pPr>
        <w:pStyle w:val="Heading4"/>
      </w:pPr>
      <w:r w:rsidRPr="005C25A2">
        <w:t xml:space="preserve">Previous reviews by </w:t>
      </w:r>
      <w:r w:rsidR="005C597F" w:rsidRPr="005C25A2">
        <w:t xml:space="preserve">the </w:t>
      </w:r>
      <w:r w:rsidRPr="005C25A2">
        <w:t>DUSC</w:t>
      </w:r>
    </w:p>
    <w:p w14:paraId="33E463B0" w14:textId="3F7AC2A3" w:rsidR="00BB34F9" w:rsidRPr="003F2AAD" w:rsidRDefault="00AC353D" w:rsidP="00BB34F9">
      <w:r>
        <w:t xml:space="preserve">The </w:t>
      </w:r>
      <w:r w:rsidR="00BB34F9" w:rsidRPr="003F2AAD">
        <w:t xml:space="preserve">DUSC examined the utilisation of tobramycin solution for inhalation in its first year of listing for </w:t>
      </w:r>
      <w:r w:rsidR="00BB34F9" w:rsidRPr="003F2AAD">
        <w:rPr>
          <w:i/>
        </w:rPr>
        <w:t>Pseudomonas aeruginosa</w:t>
      </w:r>
      <w:r w:rsidR="00BB34F9" w:rsidRPr="003F2AAD">
        <w:t xml:space="preserve"> infection in CF </w:t>
      </w:r>
      <w:r w:rsidR="0071752D">
        <w:t xml:space="preserve">at its June 2013 meeting.  The </w:t>
      </w:r>
      <w:r w:rsidR="00BB34F9" w:rsidRPr="003F2AAD">
        <w:t>DUSC noted that while the actual number of prescriptions and expenditure for tobramycin solution for inhalation were similar to predict</w:t>
      </w:r>
      <w:r w:rsidR="003D15D0">
        <w:t xml:space="preserve">ed values, the analysis showed </w:t>
      </w:r>
      <w:r w:rsidR="00BB34F9" w:rsidRPr="003F2AAD">
        <w:t>a number of differences in the predicted versus actual patterns of use in practice, in particular with respect to uptake rate and the number</w:t>
      </w:r>
      <w:r w:rsidR="00ED16EF">
        <w:t xml:space="preserve"> of prescriptions per patient.</w:t>
      </w:r>
    </w:p>
    <w:p w14:paraId="0312FFEC" w14:textId="5C6A9662" w:rsidR="00E677DD" w:rsidRDefault="00E677DD" w:rsidP="00E11A6D">
      <w:pPr>
        <w:pStyle w:val="Heading3"/>
      </w:pPr>
      <w:r w:rsidRPr="005E22C2">
        <w:t>Method</w:t>
      </w:r>
      <w:r w:rsidR="001B5D37" w:rsidRPr="005E22C2">
        <w:t>s</w:t>
      </w:r>
    </w:p>
    <w:p w14:paraId="0EC76230" w14:textId="7ADD019F" w:rsidR="006F1DB3" w:rsidRPr="006F1DB3" w:rsidRDefault="00951EC8" w:rsidP="00951EC8">
      <w:r>
        <w:t>Aggregate data from the Highly Specialised Drugs Database was used for data relating to packs, prescriptions and expenditure.</w:t>
      </w:r>
      <w:r w:rsidR="00883D8E">
        <w:t xml:space="preserve"> </w:t>
      </w:r>
      <w:r>
        <w:t xml:space="preserve"> Prior to 1 July 2013, most prescriptions supplied through public hospitals only have data available in aggregated form, i.e. the number of packs supplied and cost per quarter.</w:t>
      </w:r>
      <w:r w:rsidR="00BD1FD5">
        <w:t xml:space="preserve"> </w:t>
      </w:r>
      <w:r>
        <w:t xml:space="preserve"> Prescriptions supplied through private hospitals hav</w:t>
      </w:r>
      <w:r w:rsidR="00E07517">
        <w:t>e full data available, however p</w:t>
      </w:r>
      <w:r>
        <w:t>rivate hospitals account for less than 1</w:t>
      </w:r>
      <w:r w:rsidR="000912E0">
        <w:t xml:space="preserve"> </w:t>
      </w:r>
      <w:r>
        <w:t>% of packs supplied. Full data for public hospital sup</w:t>
      </w:r>
      <w:r w:rsidR="00D554B4">
        <w:t xml:space="preserve">ply is available from </w:t>
      </w:r>
      <w:r>
        <w:t>1 July 2013; however, the data are mos</w:t>
      </w:r>
      <w:r w:rsidR="008530EB">
        <w:t xml:space="preserve">tly complete from 1 April 2013.  </w:t>
      </w:r>
      <w:r>
        <w:t>The Department of Human Services (DHS) Supplied Prescriptions Database was used for patient numbers and age.</w:t>
      </w:r>
    </w:p>
    <w:p w14:paraId="4F91A98A" w14:textId="00180E30" w:rsidR="00C714D0" w:rsidRPr="005E22C2" w:rsidRDefault="00C714D0" w:rsidP="00E11A6D">
      <w:pPr>
        <w:pStyle w:val="Heading3"/>
      </w:pPr>
      <w:r w:rsidRPr="005E22C2">
        <w:t>Results</w:t>
      </w:r>
    </w:p>
    <w:p w14:paraId="2221FF19" w14:textId="336CE8B2" w:rsidR="00736041"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78CA490A" w:rsidR="006A44F5" w:rsidRDefault="00B729D4" w:rsidP="0038097B">
      <w:pPr>
        <w:pStyle w:val="Heading5"/>
      </w:pPr>
      <w:r>
        <w:t>Patients treated</w:t>
      </w:r>
    </w:p>
    <w:p w14:paraId="17EB874B" w14:textId="1DDB98FA" w:rsidR="00C005ED" w:rsidRPr="00C005ED" w:rsidRDefault="00961EB1" w:rsidP="00C005ED">
      <w:r w:rsidRPr="00961EB1">
        <w:t>In the 12 months from May 2013 to April 2014, 1,570 patients received dornase alfa and 106 patients received mannitol on the PBS.  This figure may be a slight underestimate for dornase alfa due to a small number of packs supplied (4.12</w:t>
      </w:r>
      <w:r w:rsidR="007A669B">
        <w:t xml:space="preserve"> </w:t>
      </w:r>
      <w:r w:rsidRPr="00961EB1">
        <w:t>%) in May 2013 not</w:t>
      </w:r>
      <w:r w:rsidR="007A669B">
        <w:t xml:space="preserve"> containing patient level data.  </w:t>
      </w:r>
      <w:r w:rsidRPr="00961EB1">
        <w:t>Of patients treated with dornase alfa, 9.3</w:t>
      </w:r>
      <w:r w:rsidR="007A669B">
        <w:t xml:space="preserve"> </w:t>
      </w:r>
      <w:r w:rsidRPr="00961EB1">
        <w:t>% were aged 5 years or younger.</w:t>
      </w:r>
    </w:p>
    <w:p w14:paraId="09F9D349" w14:textId="19848707" w:rsidR="00736041" w:rsidRDefault="003B01CB" w:rsidP="00343204">
      <w:pPr>
        <w:pStyle w:val="Heading5"/>
      </w:pPr>
      <w:r>
        <w:t>Packs supplied</w:t>
      </w:r>
    </w:p>
    <w:p w14:paraId="2F79583E" w14:textId="77777777" w:rsidR="00997F19" w:rsidRPr="003F2AAD" w:rsidRDefault="00997F19" w:rsidP="00997F19">
      <w:r w:rsidRPr="003F2AAD">
        <w:t xml:space="preserve">Figure 2 presents the number of dornase alfa and mannitol packs supplied by quarter of supply. </w:t>
      </w:r>
    </w:p>
    <w:p w14:paraId="5D3B0894" w14:textId="77777777" w:rsidR="00997F19" w:rsidRPr="003F2AAD" w:rsidRDefault="00997F19" w:rsidP="00997F19">
      <w:pPr>
        <w:pStyle w:val="Figuretitle"/>
      </w:pPr>
      <w:r w:rsidRPr="003F2AAD">
        <w:rPr>
          <w:noProof/>
          <w:lang w:val="en-AU"/>
        </w:rPr>
        <w:drawing>
          <wp:inline distT="0" distB="0" distL="0" distR="0" wp14:anchorId="50AA83CD" wp14:editId="3EFC0C17">
            <wp:extent cx="5687695" cy="2977533"/>
            <wp:effectExtent l="0" t="0" r="27305" b="13335"/>
            <wp:docPr id="302" name="Chart 302" descr="The fugure presents the number of packs of dornase alfa and mannitol supplied by quarter of supply." title="Fig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C50F99" w14:textId="77777777" w:rsidR="00997F19" w:rsidRPr="003F2AAD" w:rsidRDefault="00997F19" w:rsidP="00997F19">
      <w:pPr>
        <w:pStyle w:val="Figuretitle"/>
      </w:pPr>
      <w:r w:rsidRPr="003F2AAD">
        <w:t>Figure 2: Packs supplied – dornase alfa and mannitol</w:t>
      </w:r>
    </w:p>
    <w:p w14:paraId="6EF447C1" w14:textId="77777777" w:rsidR="00997F19" w:rsidRPr="003F2AAD" w:rsidRDefault="00997F19" w:rsidP="00997F19">
      <w:pPr>
        <w:pStyle w:val="Figurecaption"/>
      </w:pPr>
      <w:r w:rsidRPr="003F2AAD">
        <w:t>Source: HSD Database, extracted August 2014</w:t>
      </w:r>
    </w:p>
    <w:p w14:paraId="2C71BBE3" w14:textId="77777777" w:rsidR="00997F19" w:rsidRPr="003F2AAD" w:rsidRDefault="00997F19" w:rsidP="00997F19">
      <w:pPr>
        <w:pStyle w:val="Figurecaption"/>
      </w:pPr>
    </w:p>
    <w:p w14:paraId="2241C836" w14:textId="292B7F32" w:rsidR="00997F19" w:rsidRPr="003F2AAD" w:rsidRDefault="00997F19" w:rsidP="00997F19">
      <w:r w:rsidRPr="003F2AAD">
        <w:t>The utilisation of dornase alfa has</w:t>
      </w:r>
      <w:r w:rsidR="006C3E80">
        <w:t xml:space="preserve"> increased steadily since 2004.  </w:t>
      </w:r>
      <w:r w:rsidRPr="003F2AAD">
        <w:t xml:space="preserve">The utilisation of mannitol is much less; with less than 300 packs supplied each quarter. </w:t>
      </w:r>
    </w:p>
    <w:p w14:paraId="4F8723A6" w14:textId="3B792516" w:rsidR="00736041" w:rsidRDefault="001B5D37" w:rsidP="0085256D">
      <w:pPr>
        <w:pStyle w:val="Heading4"/>
      </w:pPr>
      <w:r w:rsidRPr="005E22C2">
        <w:t xml:space="preserve">Analysis </w:t>
      </w:r>
      <w:r w:rsidR="00481108" w:rsidRPr="005E22C2">
        <w:t xml:space="preserve">of </w:t>
      </w:r>
      <w:r w:rsidR="0063631C">
        <w:t>e</w:t>
      </w:r>
      <w:r w:rsidR="00736041" w:rsidRPr="005E22C2">
        <w:t>xpenditure</w:t>
      </w:r>
    </w:p>
    <w:p w14:paraId="114E9610" w14:textId="7F7AB167" w:rsidR="00201027" w:rsidRPr="003F2AAD" w:rsidRDefault="00201027" w:rsidP="00201027">
      <w:r w:rsidRPr="003F2AAD">
        <w:t xml:space="preserve">Figure 3 presents </w:t>
      </w:r>
      <w:r w:rsidR="00D9126C">
        <w:t xml:space="preserve">the </w:t>
      </w:r>
      <w:r w:rsidRPr="003F2AAD">
        <w:t xml:space="preserve">PBS expenditure on dornase alfa and mannitol by quarter of supply. </w:t>
      </w:r>
    </w:p>
    <w:p w14:paraId="0EDF95DE" w14:textId="77777777" w:rsidR="00201027" w:rsidRPr="003F2AAD" w:rsidRDefault="00201027" w:rsidP="00201027">
      <w:pPr>
        <w:pStyle w:val="Figuretitle"/>
      </w:pPr>
      <w:r w:rsidRPr="003F2AAD">
        <w:rPr>
          <w:noProof/>
          <w:lang w:val="en-AU"/>
        </w:rPr>
        <w:drawing>
          <wp:inline distT="0" distB="0" distL="0" distR="0" wp14:anchorId="3B0D9C1A" wp14:editId="1EE4119D">
            <wp:extent cx="5687695" cy="3193576"/>
            <wp:effectExtent l="0" t="0" r="27305" b="26035"/>
            <wp:docPr id="308" name="Chart 308" descr="PBS expenditure on dornase alfa and mannitol by quarter of supply." title="Figur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3F2AAD">
        <w:t>Figure 3: PBS Expenditure – dornase alfa and mannitol</w:t>
      </w:r>
    </w:p>
    <w:p w14:paraId="32852603" w14:textId="77777777" w:rsidR="00201027" w:rsidRPr="003F2AAD" w:rsidRDefault="00201027" w:rsidP="00201027">
      <w:pPr>
        <w:pStyle w:val="Figurecaption"/>
      </w:pPr>
      <w:r w:rsidRPr="003F2AAD">
        <w:t>Source: HSD Database, extracted August 2014</w:t>
      </w:r>
    </w:p>
    <w:p w14:paraId="39101C0E" w14:textId="77777777" w:rsidR="00201027" w:rsidRPr="003F2AAD" w:rsidRDefault="00201027" w:rsidP="00201027">
      <w:pPr>
        <w:pStyle w:val="Figurecaption"/>
      </w:pPr>
    </w:p>
    <w:p w14:paraId="3A110C32" w14:textId="429FCFCA" w:rsidR="00201027" w:rsidRPr="003F2AAD" w:rsidRDefault="00201027" w:rsidP="00201027">
      <w:r w:rsidRPr="003F2AAD">
        <w:t xml:space="preserve">In 2013, PBS expenditure was $12,426,463 for dornase alfa and $404,442 for mannitol.  Dornase alfa expenditure has increased steadily since 2004. </w:t>
      </w:r>
      <w:r w:rsidR="00372ADC">
        <w:t xml:space="preserve"> </w:t>
      </w:r>
      <w:r w:rsidRPr="003F2AAD">
        <w:t>Mannitol expenditure is substantially lower, costing less than $120,</w:t>
      </w:r>
      <w:r w:rsidR="001F5DB6">
        <w:t>000 per quarter since listing.</w:t>
      </w:r>
      <w:r w:rsidR="00AF2887">
        <w:t xml:space="preserve">  The expenditure is based on the published prices.</w:t>
      </w:r>
    </w:p>
    <w:p w14:paraId="5F22B4D8" w14:textId="319090EA" w:rsidR="00736041" w:rsidRDefault="00D151EB" w:rsidP="00E55D60">
      <w:pPr>
        <w:pStyle w:val="Heading4"/>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27092710" w14:textId="77777777" w:rsidR="00B37CA6" w:rsidRPr="003F2AAD" w:rsidRDefault="00B37CA6" w:rsidP="00B37CA6">
      <w:r w:rsidRPr="003F2AAD">
        <w:t xml:space="preserve">Table 4 presents the predicted and actual utilisation of mannitol in the first year of listing. </w:t>
      </w:r>
    </w:p>
    <w:p w14:paraId="252C5DD7" w14:textId="77777777" w:rsidR="00B37CA6" w:rsidRPr="003F2AAD" w:rsidRDefault="00B37CA6" w:rsidP="00B37CA6">
      <w:pPr>
        <w:pStyle w:val="Tabletitle"/>
      </w:pPr>
      <w:r w:rsidRPr="003F2AAD">
        <w:t>Table 4: Predicted versus actual utilisation of mannitol</w:t>
      </w:r>
    </w:p>
    <w:tbl>
      <w:tblPr>
        <w:tblStyle w:val="TableGrid"/>
        <w:tblW w:w="5000" w:type="pct"/>
        <w:tblLook w:val="04A0" w:firstRow="1" w:lastRow="0" w:firstColumn="1" w:lastColumn="0" w:noHBand="0" w:noVBand="1"/>
        <w:tblCaption w:val="Table 4"/>
        <w:tblDescription w:val="Predicted versus actual utilisation of mannitol in its first year of listing in terms of patient numbers and expenditure."/>
      </w:tblPr>
      <w:tblGrid>
        <w:gridCol w:w="2836"/>
        <w:gridCol w:w="2906"/>
        <w:gridCol w:w="1229"/>
        <w:gridCol w:w="2202"/>
      </w:tblGrid>
      <w:tr w:rsidR="00B37CA6" w:rsidRPr="003F2AAD" w14:paraId="6E03847A" w14:textId="77777777" w:rsidTr="001A1B5F">
        <w:trPr>
          <w:trHeight w:val="382"/>
          <w:tblHeader/>
        </w:trPr>
        <w:tc>
          <w:tcPr>
            <w:tcW w:w="1546" w:type="pct"/>
            <w:shd w:val="clear" w:color="auto" w:fill="BFBFBF" w:themeFill="background1" w:themeFillShade="BF"/>
            <w:vAlign w:val="center"/>
          </w:tcPr>
          <w:p w14:paraId="3218D075" w14:textId="77777777" w:rsidR="00B37CA6" w:rsidRPr="003F2AAD" w:rsidRDefault="00B37CA6" w:rsidP="00216C0E">
            <w:pPr>
              <w:pStyle w:val="Tablewriting"/>
              <w:rPr>
                <w:color w:val="auto"/>
              </w:rPr>
            </w:pPr>
          </w:p>
        </w:tc>
        <w:tc>
          <w:tcPr>
            <w:tcW w:w="1584" w:type="pct"/>
            <w:shd w:val="clear" w:color="auto" w:fill="BFBFBF" w:themeFill="background1" w:themeFillShade="BF"/>
            <w:vAlign w:val="center"/>
          </w:tcPr>
          <w:p w14:paraId="7D01D9B0" w14:textId="77777777" w:rsidR="00B37CA6" w:rsidRPr="003F2AAD" w:rsidRDefault="00B37CA6" w:rsidP="00216C0E">
            <w:pPr>
              <w:pStyle w:val="Tablewriting"/>
              <w:jc w:val="center"/>
              <w:rPr>
                <w:b/>
                <w:color w:val="auto"/>
              </w:rPr>
            </w:pPr>
            <w:r w:rsidRPr="003F2AAD">
              <w:rPr>
                <w:b/>
                <w:color w:val="auto"/>
              </w:rPr>
              <w:t>Patients</w:t>
            </w:r>
          </w:p>
        </w:tc>
        <w:tc>
          <w:tcPr>
            <w:tcW w:w="670" w:type="pct"/>
            <w:shd w:val="clear" w:color="auto" w:fill="BFBFBF" w:themeFill="background1" w:themeFillShade="BF"/>
            <w:vAlign w:val="center"/>
          </w:tcPr>
          <w:p w14:paraId="4B093630" w14:textId="77777777" w:rsidR="00B37CA6" w:rsidRPr="003F2AAD" w:rsidRDefault="00B37CA6" w:rsidP="00216C0E">
            <w:pPr>
              <w:pStyle w:val="Tablewriting"/>
              <w:jc w:val="center"/>
              <w:rPr>
                <w:b/>
                <w:color w:val="auto"/>
              </w:rPr>
            </w:pPr>
            <w:r w:rsidRPr="003F2AAD">
              <w:rPr>
                <w:b/>
                <w:color w:val="auto"/>
              </w:rPr>
              <w:t>Packs</w:t>
            </w:r>
          </w:p>
        </w:tc>
        <w:tc>
          <w:tcPr>
            <w:tcW w:w="1200" w:type="pct"/>
            <w:shd w:val="clear" w:color="auto" w:fill="BFBFBF" w:themeFill="background1" w:themeFillShade="BF"/>
            <w:vAlign w:val="center"/>
          </w:tcPr>
          <w:p w14:paraId="3B70B604" w14:textId="77777777" w:rsidR="00B37CA6" w:rsidRPr="003F2AAD" w:rsidRDefault="00B37CA6" w:rsidP="00216C0E">
            <w:pPr>
              <w:pStyle w:val="Tablewriting"/>
              <w:jc w:val="center"/>
              <w:rPr>
                <w:b/>
                <w:color w:val="auto"/>
              </w:rPr>
            </w:pPr>
            <w:r w:rsidRPr="003F2AAD">
              <w:rPr>
                <w:b/>
                <w:color w:val="auto"/>
              </w:rPr>
              <w:t>Expenditure (published)</w:t>
            </w:r>
          </w:p>
        </w:tc>
      </w:tr>
      <w:tr w:rsidR="00B37CA6" w:rsidRPr="003F2AAD" w14:paraId="48542AA4" w14:textId="77777777" w:rsidTr="001A1B5F">
        <w:trPr>
          <w:tblHeader/>
        </w:trPr>
        <w:tc>
          <w:tcPr>
            <w:tcW w:w="1546" w:type="pct"/>
            <w:vAlign w:val="center"/>
          </w:tcPr>
          <w:p w14:paraId="17FE3209" w14:textId="77777777" w:rsidR="00B37CA6" w:rsidRPr="003F2AAD" w:rsidRDefault="00B37CA6" w:rsidP="00216C0E">
            <w:pPr>
              <w:pStyle w:val="Tablewriting"/>
              <w:rPr>
                <w:color w:val="auto"/>
              </w:rPr>
            </w:pPr>
            <w:r w:rsidRPr="003F2AAD">
              <w:rPr>
                <w:color w:val="auto"/>
              </w:rPr>
              <w:t xml:space="preserve">Year 1 Predicted </w:t>
            </w:r>
          </w:p>
        </w:tc>
        <w:tc>
          <w:tcPr>
            <w:tcW w:w="1584" w:type="pct"/>
            <w:vAlign w:val="center"/>
          </w:tcPr>
          <w:p w14:paraId="0DD24489" w14:textId="77777777" w:rsidR="00B37CA6" w:rsidRPr="003F2AAD" w:rsidRDefault="00B37CA6" w:rsidP="00216C0E">
            <w:pPr>
              <w:pStyle w:val="Tablewriting"/>
              <w:jc w:val="center"/>
              <w:rPr>
                <w:color w:val="auto"/>
              </w:rPr>
            </w:pPr>
            <w:r w:rsidRPr="003F2AAD">
              <w:rPr>
                <w:color w:val="auto"/>
              </w:rPr>
              <w:t>309</w:t>
            </w:r>
          </w:p>
        </w:tc>
        <w:tc>
          <w:tcPr>
            <w:tcW w:w="670" w:type="pct"/>
            <w:vAlign w:val="center"/>
          </w:tcPr>
          <w:p w14:paraId="569BF743" w14:textId="77777777" w:rsidR="00B37CA6" w:rsidRPr="003F2AAD" w:rsidRDefault="00B37CA6" w:rsidP="00216C0E">
            <w:pPr>
              <w:pStyle w:val="Tablewriting"/>
              <w:jc w:val="center"/>
              <w:rPr>
                <w:color w:val="auto"/>
              </w:rPr>
            </w:pPr>
            <w:r w:rsidRPr="003F2AAD">
              <w:rPr>
                <w:color w:val="auto"/>
              </w:rPr>
              <w:t>8,051</w:t>
            </w:r>
          </w:p>
        </w:tc>
        <w:tc>
          <w:tcPr>
            <w:tcW w:w="1200" w:type="pct"/>
            <w:vAlign w:val="center"/>
          </w:tcPr>
          <w:p w14:paraId="3869A7B9" w14:textId="77777777" w:rsidR="00B37CA6" w:rsidRPr="003F2AAD" w:rsidRDefault="00B37CA6" w:rsidP="00216C0E">
            <w:pPr>
              <w:pStyle w:val="Tablewriting"/>
              <w:jc w:val="center"/>
              <w:rPr>
                <w:color w:val="auto"/>
              </w:rPr>
            </w:pPr>
            <w:r w:rsidRPr="003F2AAD">
              <w:rPr>
                <w:color w:val="auto"/>
              </w:rPr>
              <w:t>$2,162,598</w:t>
            </w:r>
          </w:p>
        </w:tc>
      </w:tr>
      <w:tr w:rsidR="00B37CA6" w:rsidRPr="003F2AAD" w14:paraId="299C8559" w14:textId="77777777" w:rsidTr="001A1B5F">
        <w:trPr>
          <w:tblHeader/>
        </w:trPr>
        <w:tc>
          <w:tcPr>
            <w:tcW w:w="1546" w:type="pct"/>
            <w:vAlign w:val="center"/>
          </w:tcPr>
          <w:p w14:paraId="5FF4A586" w14:textId="77777777" w:rsidR="00B37CA6" w:rsidRPr="003F2AAD" w:rsidRDefault="00B37CA6" w:rsidP="00216C0E">
            <w:pPr>
              <w:pStyle w:val="Tablewriting"/>
              <w:rPr>
                <w:color w:val="auto"/>
              </w:rPr>
            </w:pPr>
            <w:r w:rsidRPr="003F2AAD">
              <w:rPr>
                <w:color w:val="auto"/>
              </w:rPr>
              <w:t>Year 1 Actual</w:t>
            </w:r>
          </w:p>
        </w:tc>
        <w:tc>
          <w:tcPr>
            <w:tcW w:w="1584" w:type="pct"/>
            <w:vAlign w:val="center"/>
          </w:tcPr>
          <w:p w14:paraId="477EFE9D" w14:textId="77777777" w:rsidR="00B37CA6" w:rsidRPr="003F2AAD" w:rsidRDefault="00B37CA6" w:rsidP="00216C0E">
            <w:pPr>
              <w:pStyle w:val="Tablewriting"/>
              <w:jc w:val="center"/>
              <w:rPr>
                <w:color w:val="auto"/>
              </w:rPr>
            </w:pPr>
            <w:r w:rsidRPr="003F2AAD">
              <w:rPr>
                <w:color w:val="auto"/>
              </w:rPr>
              <w:t>106</w:t>
            </w:r>
            <w:r w:rsidRPr="003F2AAD">
              <w:rPr>
                <w:color w:val="auto"/>
              </w:rPr>
              <w:br/>
              <w:t>(May 13- Apr 14)</w:t>
            </w:r>
          </w:p>
        </w:tc>
        <w:tc>
          <w:tcPr>
            <w:tcW w:w="670" w:type="pct"/>
            <w:vAlign w:val="center"/>
          </w:tcPr>
          <w:p w14:paraId="6DFAAD51" w14:textId="77777777" w:rsidR="00B37CA6" w:rsidRPr="003F2AAD" w:rsidRDefault="00B37CA6" w:rsidP="00216C0E">
            <w:pPr>
              <w:pStyle w:val="Tablewriting"/>
              <w:jc w:val="center"/>
              <w:rPr>
                <w:color w:val="auto"/>
              </w:rPr>
            </w:pPr>
            <w:r w:rsidRPr="003F2AAD">
              <w:rPr>
                <w:color w:val="auto"/>
              </w:rPr>
              <w:t>821</w:t>
            </w:r>
          </w:p>
        </w:tc>
        <w:tc>
          <w:tcPr>
            <w:tcW w:w="1200" w:type="pct"/>
            <w:vAlign w:val="center"/>
          </w:tcPr>
          <w:p w14:paraId="44D7E5ED" w14:textId="77777777" w:rsidR="00B37CA6" w:rsidRPr="003F2AAD" w:rsidRDefault="00B37CA6" w:rsidP="00216C0E">
            <w:pPr>
              <w:pStyle w:val="Tablewriting"/>
              <w:jc w:val="center"/>
              <w:rPr>
                <w:color w:val="auto"/>
              </w:rPr>
            </w:pPr>
            <w:r w:rsidRPr="003F2AAD">
              <w:rPr>
                <w:color w:val="auto"/>
              </w:rPr>
              <w:t>$352,929</w:t>
            </w:r>
          </w:p>
        </w:tc>
      </w:tr>
      <w:tr w:rsidR="00B37CA6" w:rsidRPr="003F2AAD" w14:paraId="2E897F0F" w14:textId="77777777" w:rsidTr="001A1B5F">
        <w:trPr>
          <w:tblHeader/>
        </w:trPr>
        <w:tc>
          <w:tcPr>
            <w:tcW w:w="1546" w:type="pct"/>
            <w:vAlign w:val="center"/>
          </w:tcPr>
          <w:p w14:paraId="74B46F69" w14:textId="77777777" w:rsidR="00B37CA6" w:rsidRPr="003F2AAD" w:rsidRDefault="00B37CA6" w:rsidP="00216C0E">
            <w:pPr>
              <w:pStyle w:val="Tablewriting"/>
              <w:rPr>
                <w:color w:val="auto"/>
              </w:rPr>
            </w:pPr>
            <w:r w:rsidRPr="003F2AAD">
              <w:rPr>
                <w:color w:val="auto"/>
              </w:rPr>
              <w:t>Difference</w:t>
            </w:r>
          </w:p>
        </w:tc>
        <w:tc>
          <w:tcPr>
            <w:tcW w:w="1584" w:type="pct"/>
            <w:vAlign w:val="center"/>
          </w:tcPr>
          <w:p w14:paraId="4923054E" w14:textId="77777777" w:rsidR="00B37CA6" w:rsidRPr="003F2AAD" w:rsidRDefault="00B37CA6" w:rsidP="00216C0E">
            <w:pPr>
              <w:pStyle w:val="Tablewriting"/>
              <w:jc w:val="center"/>
              <w:rPr>
                <w:color w:val="auto"/>
              </w:rPr>
            </w:pPr>
            <w:r w:rsidRPr="003F2AAD">
              <w:rPr>
                <w:color w:val="auto"/>
              </w:rPr>
              <w:t>-65%</w:t>
            </w:r>
          </w:p>
        </w:tc>
        <w:tc>
          <w:tcPr>
            <w:tcW w:w="670" w:type="pct"/>
            <w:vAlign w:val="center"/>
          </w:tcPr>
          <w:p w14:paraId="5F8F6C68" w14:textId="77777777" w:rsidR="00B37CA6" w:rsidRPr="003F2AAD" w:rsidRDefault="00B37CA6" w:rsidP="00216C0E">
            <w:pPr>
              <w:pStyle w:val="Tablewriting"/>
              <w:jc w:val="center"/>
              <w:rPr>
                <w:color w:val="auto"/>
              </w:rPr>
            </w:pPr>
            <w:r w:rsidRPr="003F2AAD">
              <w:rPr>
                <w:color w:val="auto"/>
              </w:rPr>
              <w:t>-90%</w:t>
            </w:r>
          </w:p>
        </w:tc>
        <w:tc>
          <w:tcPr>
            <w:tcW w:w="1200" w:type="pct"/>
            <w:vAlign w:val="center"/>
          </w:tcPr>
          <w:p w14:paraId="1C3EC147" w14:textId="77777777" w:rsidR="00B37CA6" w:rsidRPr="003F2AAD" w:rsidRDefault="00B37CA6" w:rsidP="00216C0E">
            <w:pPr>
              <w:pStyle w:val="Tablewriting"/>
              <w:jc w:val="center"/>
              <w:rPr>
                <w:color w:val="auto"/>
              </w:rPr>
            </w:pPr>
            <w:r w:rsidRPr="003F2AAD">
              <w:rPr>
                <w:color w:val="auto"/>
              </w:rPr>
              <w:t>-84%</w:t>
            </w:r>
          </w:p>
        </w:tc>
      </w:tr>
    </w:tbl>
    <w:p w14:paraId="6BDC3A1D" w14:textId="77777777" w:rsidR="00B37CA6" w:rsidRPr="003F2AAD" w:rsidRDefault="00B37CA6" w:rsidP="00B37CA6">
      <w:pPr>
        <w:pStyle w:val="Figurecaption"/>
      </w:pPr>
      <w:r w:rsidRPr="003F2AAD">
        <w:t>Source: HSD Database, extracted August 2014 (packs and expenditure); DHS supplied prescriptions database, extracted August 2014 (patients); Mannitol final estimates (predicted values)</w:t>
      </w:r>
    </w:p>
    <w:p w14:paraId="7AAE584D" w14:textId="77777777" w:rsidR="00B37CA6" w:rsidRPr="003F2AAD" w:rsidRDefault="00B37CA6" w:rsidP="00B37CA6">
      <w:r w:rsidRPr="003F2AAD">
        <w:br/>
        <w:t xml:space="preserve">Mannitol uptake has been substantially lower than predicted. </w:t>
      </w:r>
    </w:p>
    <w:p w14:paraId="3555DFBA" w14:textId="60E8E761" w:rsidR="00591512" w:rsidRDefault="00AB3733" w:rsidP="00FD13CD">
      <w:pPr>
        <w:pStyle w:val="Heading3"/>
      </w:pPr>
      <w:r>
        <w:t>D</w:t>
      </w:r>
      <w:r w:rsidR="007346C7" w:rsidRPr="005E22C2">
        <w:t>iscussion</w:t>
      </w:r>
    </w:p>
    <w:p w14:paraId="67EF9B61" w14:textId="77777777" w:rsidR="00A04924" w:rsidRDefault="007E0C69" w:rsidP="007E0C69">
      <w:r>
        <w:t>The utilisation of mannitol in its first year of listing was lower than expected.</w:t>
      </w:r>
      <w:r w:rsidR="008B1F03">
        <w:t xml:space="preserve"> </w:t>
      </w:r>
      <w:r>
        <w:t xml:space="preserve"> </w:t>
      </w:r>
      <w:r w:rsidR="008E7337">
        <w:t xml:space="preserve">The </w:t>
      </w:r>
      <w:r w:rsidR="008E7337" w:rsidRPr="008E7337">
        <w:t>DUSC considered this may be due to the requirement f</w:t>
      </w:r>
      <w:r w:rsidR="004C3DC4">
        <w:t>or</w:t>
      </w:r>
      <w:r w:rsidR="008E7337" w:rsidRPr="008E7337">
        <w:t xml:space="preserve"> hypersensitivity testing, the </w:t>
      </w:r>
      <w:r w:rsidR="00202649">
        <w:t>recommended dosage consisting of</w:t>
      </w:r>
      <w:r w:rsidR="008E7337" w:rsidRPr="008E7337">
        <w:t xml:space="preserve"> inhal</w:t>
      </w:r>
      <w:r w:rsidR="00202649">
        <w:t xml:space="preserve">ation of </w:t>
      </w:r>
      <w:r w:rsidR="008E7337" w:rsidRPr="008E7337">
        <w:t xml:space="preserve">20 capsules per day, </w:t>
      </w:r>
      <w:r w:rsidR="003500AD">
        <w:t xml:space="preserve">patient and clinician </w:t>
      </w:r>
      <w:r w:rsidR="008E7337" w:rsidRPr="008E7337">
        <w:t>preference for hypertonic saline and confusion regarding wh</w:t>
      </w:r>
      <w:r w:rsidR="00202649">
        <w:t xml:space="preserve">at constitutes combination use.  The </w:t>
      </w:r>
      <w:r w:rsidR="008E7337" w:rsidRPr="008E7337">
        <w:t>DUSC disagreed with the sponsor of mannitol and considered that the hypersensitivity testi</w:t>
      </w:r>
      <w:r w:rsidR="00202649">
        <w:t xml:space="preserve">ng protocol may discourage use.  The </w:t>
      </w:r>
      <w:r w:rsidR="008E7337" w:rsidRPr="008E7337">
        <w:t xml:space="preserve">DUSC agreed with the sponsor of mannitol that </w:t>
      </w:r>
      <w:r w:rsidR="00202649">
        <w:t>there may be confusion among clinicians as to what constitutes combination use with dornase alfa, which is not PBS subsidised.</w:t>
      </w:r>
      <w:r w:rsidR="00683B71">
        <w:t xml:space="preserve">  </w:t>
      </w:r>
      <w:r w:rsidR="008E7337" w:rsidRPr="008E7337">
        <w:t xml:space="preserve">It was noted </w:t>
      </w:r>
      <w:r w:rsidR="006A4F50">
        <w:t xml:space="preserve">that </w:t>
      </w:r>
      <w:r w:rsidR="008E7337" w:rsidRPr="008E7337">
        <w:t>some patients alternating between therapies may be accessing mannitol through the spons</w:t>
      </w:r>
      <w:r w:rsidR="00202649">
        <w:t>or’s compassionate use program.</w:t>
      </w:r>
      <w:r w:rsidR="007D6D44">
        <w:t xml:space="preserve">  </w:t>
      </w:r>
      <w:r w:rsidR="00202649">
        <w:t xml:space="preserve">The </w:t>
      </w:r>
      <w:r w:rsidR="008E7337" w:rsidRPr="008E7337">
        <w:t>DUSC also disagreed with the sponsor that the complexity of the mannitol restriction wording has caused limited uptake, noting that dornase alfa a</w:t>
      </w:r>
      <w:r w:rsidR="00202649">
        <w:t xml:space="preserve">lso has a complex restriction.  The </w:t>
      </w:r>
      <w:r w:rsidR="008E7337" w:rsidRPr="008E7337">
        <w:t xml:space="preserve">DUSC considered input from CF clinicians regarding </w:t>
      </w:r>
      <w:r w:rsidR="00D34E3B">
        <w:t>the place in therapy of mannitol</w:t>
      </w:r>
      <w:r w:rsidR="008E7337" w:rsidRPr="008E7337">
        <w:t xml:space="preserve"> may be informative.</w:t>
      </w:r>
    </w:p>
    <w:p w14:paraId="5344F535" w14:textId="2BC44F57" w:rsidR="00281900" w:rsidRDefault="00EB4C03" w:rsidP="007E0C69">
      <w:r>
        <w:t>The DUSC considered that u</w:t>
      </w:r>
      <w:r w:rsidR="007E0C69" w:rsidRPr="008E6659">
        <w:t xml:space="preserve">se of mannitol in Australia may have also been influenced by regulatory concern internationally. </w:t>
      </w:r>
      <w:r w:rsidR="008B1F03" w:rsidRPr="008E6659">
        <w:t xml:space="preserve"> </w:t>
      </w:r>
      <w:r w:rsidR="007E0C69" w:rsidRPr="008E6659">
        <w:t>The Food and Drug Administration Pulmonary-Allergy Drugs Advisory Committee voted against approval of mannitol in 2013 due to a lack of substantial efficacy data, concerns regarding haemoptysis and concerns regarding the risk-benefit ratio in children.</w:t>
      </w:r>
      <w:r w:rsidR="00364011">
        <w:rPr>
          <w:rStyle w:val="FootnoteReference"/>
        </w:rPr>
        <w:footnoteReference w:id="3"/>
      </w:r>
      <w:r w:rsidR="00364011">
        <w:t xml:space="preserve">  </w:t>
      </w:r>
      <w:r w:rsidR="00143910" w:rsidRPr="00143910">
        <w:t>The FDA Pulmonary-Allergy Drugs Advisory Committee required an additional Phase III trial to further support mannitol’s risk-benefit ratio.  The sponsor advises that this trial c</w:t>
      </w:r>
      <w:r w:rsidR="00143910">
        <w:t xml:space="preserve">ommenced recruitment in 2014.  </w:t>
      </w:r>
      <w:r w:rsidR="007E0C69" w:rsidRPr="008E6659">
        <w:t>Mannitol received marketing authorisation by the European Medicines Agency in 2012.</w:t>
      </w:r>
      <w:r w:rsidR="00DE179A">
        <w:rPr>
          <w:rStyle w:val="FootnoteReference"/>
        </w:rPr>
        <w:footnoteReference w:id="4"/>
      </w:r>
    </w:p>
    <w:p w14:paraId="54165233" w14:textId="3BB149CE" w:rsidR="007E0C69" w:rsidRDefault="007E0C69" w:rsidP="007E0C69">
      <w:r>
        <w:t>The utilisation of dornase alfa has</w:t>
      </w:r>
      <w:r w:rsidR="005023BF">
        <w:t xml:space="preserve"> steadily increased since 2004.  </w:t>
      </w:r>
      <w:r>
        <w:t>In the most recent year of data, 9.3</w:t>
      </w:r>
      <w:r w:rsidR="00F11CC0">
        <w:t xml:space="preserve"> </w:t>
      </w:r>
      <w:r>
        <w:t>% of patients were age</w:t>
      </w:r>
      <w:r w:rsidR="008B1F03">
        <w:t>d 5 years or less.</w:t>
      </w:r>
    </w:p>
    <w:p w14:paraId="7071AC28" w14:textId="1EDAC5C0" w:rsidR="00F51579" w:rsidRPr="00F51579" w:rsidRDefault="007E0C69" w:rsidP="00D62E98">
      <w:pPr>
        <w:tabs>
          <w:tab w:val="left" w:pos="426"/>
        </w:tabs>
      </w:pPr>
      <w:r>
        <w:t xml:space="preserve">A co-administration analysis examining the use of dornase alfa with mannitol was not undertaken due to low utilisation of mannitol and limited patient level </w:t>
      </w:r>
      <w:r w:rsidR="00CA7B9A">
        <w:t xml:space="preserve">data </w:t>
      </w:r>
      <w:r>
        <w:t>for HSD Program medicines to undertake this analysis.</w:t>
      </w:r>
    </w:p>
    <w:p w14:paraId="3A74B465" w14:textId="5C201DBF" w:rsidR="007346C7" w:rsidRDefault="00957837" w:rsidP="00FD13CD">
      <w:pPr>
        <w:pStyle w:val="Heading3"/>
      </w:pPr>
      <w:r>
        <w:t>DUSC actions</w:t>
      </w:r>
    </w:p>
    <w:p w14:paraId="6273448A" w14:textId="4CAE5440" w:rsidR="00D62E98" w:rsidRDefault="00EC5496" w:rsidP="005F4B32">
      <w:pPr>
        <w:pStyle w:val="ListParagraph"/>
        <w:numPr>
          <w:ilvl w:val="0"/>
          <w:numId w:val="9"/>
        </w:numPr>
        <w:ind w:left="426" w:hanging="426"/>
      </w:pPr>
      <w:r>
        <w:t xml:space="preserve">The </w:t>
      </w:r>
      <w:r w:rsidR="0068511C">
        <w:t>DUSC requested that a copy of the</w:t>
      </w:r>
      <w:r w:rsidR="00602529">
        <w:t xml:space="preserve"> report be provided to the Post</w:t>
      </w:r>
      <w:r w:rsidR="00770FB8">
        <w:t>-</w:t>
      </w:r>
      <w:r w:rsidR="0068511C">
        <w:t xml:space="preserve">Market Review of Authority Required PBS listings noting that dornase alfa and mannitol are infrequently prescribed in private hospitals and that these </w:t>
      </w:r>
      <w:r w:rsidR="00770FB8">
        <w:t xml:space="preserve">are Authority required items that </w:t>
      </w:r>
      <w:r w:rsidR="0068511C">
        <w:t>require prior approval</w:t>
      </w:r>
      <w:r w:rsidR="00770FB8">
        <w:t xml:space="preserve"> to prescribe</w:t>
      </w:r>
      <w:r w:rsidR="0068511C">
        <w:t>, wh</w:t>
      </w:r>
      <w:r>
        <w:t>ereas public hospitals have an</w:t>
      </w:r>
      <w:r w:rsidR="00DC50D1">
        <w:t xml:space="preserve"> A</w:t>
      </w:r>
      <w:r w:rsidR="00D62E98">
        <w:t xml:space="preserve">uthority </w:t>
      </w:r>
      <w:r>
        <w:t xml:space="preserve">required (streamlined) </w:t>
      </w:r>
      <w:r w:rsidR="00D62E98">
        <w:t>listing.</w:t>
      </w:r>
    </w:p>
    <w:p w14:paraId="6E54D355" w14:textId="77777777" w:rsidR="005F4B32" w:rsidRDefault="005F4B32" w:rsidP="005F4B32">
      <w:pPr>
        <w:pStyle w:val="ListParagraph"/>
        <w:ind w:left="426" w:hanging="426"/>
      </w:pPr>
    </w:p>
    <w:p w14:paraId="0940901D" w14:textId="1052319A" w:rsidR="00D62E98" w:rsidRDefault="006530A8" w:rsidP="005F4B32">
      <w:pPr>
        <w:pStyle w:val="ListParagraph"/>
        <w:numPr>
          <w:ilvl w:val="0"/>
          <w:numId w:val="9"/>
        </w:numPr>
        <w:ind w:left="426" w:hanging="426"/>
      </w:pPr>
      <w:r>
        <w:t xml:space="preserve">The </w:t>
      </w:r>
      <w:r w:rsidR="0068511C">
        <w:t>DUSC r</w:t>
      </w:r>
      <w:r w:rsidR="00751BD0">
        <w:t xml:space="preserve">equested </w:t>
      </w:r>
      <w:r w:rsidR="002F48CC">
        <w:t xml:space="preserve">that </w:t>
      </w:r>
      <w:r w:rsidR="00751BD0">
        <w:t xml:space="preserve">the Secretariat </w:t>
      </w:r>
      <w:r w:rsidR="00CD2F49">
        <w:t>seek</w:t>
      </w:r>
      <w:r w:rsidR="002F48CC">
        <w:t xml:space="preserve"> advice from </w:t>
      </w:r>
      <w:r w:rsidR="0068511C">
        <w:t xml:space="preserve">CF clinicians regarding the </w:t>
      </w:r>
      <w:r w:rsidR="002F48CC">
        <w:t xml:space="preserve">place in therapy of mannitol, the </w:t>
      </w:r>
      <w:r w:rsidR="0068511C">
        <w:t>potential clinician confusion regar</w:t>
      </w:r>
      <w:r w:rsidR="002F48CC">
        <w:t>ding the cycling of treatments and the low uptake of mannitol.</w:t>
      </w:r>
    </w:p>
    <w:p w14:paraId="473C443D" w14:textId="77777777" w:rsidR="005F4B32" w:rsidRDefault="005F4B32" w:rsidP="005F4B32">
      <w:pPr>
        <w:pStyle w:val="ListParagraph"/>
        <w:ind w:left="426" w:hanging="426"/>
      </w:pPr>
    </w:p>
    <w:p w14:paraId="0B108363" w14:textId="438C2EB2" w:rsidR="00CA34A6" w:rsidRPr="00CA34A6" w:rsidRDefault="006530A8" w:rsidP="005F4B32">
      <w:pPr>
        <w:pStyle w:val="ListParagraph"/>
        <w:numPr>
          <w:ilvl w:val="0"/>
          <w:numId w:val="9"/>
        </w:numPr>
        <w:ind w:left="426" w:hanging="426"/>
      </w:pPr>
      <w:r>
        <w:t xml:space="preserve">The </w:t>
      </w:r>
      <w:r w:rsidR="0068511C">
        <w:t>DUSC requested that the report, together with advice from CF clinicians, be p</w:t>
      </w:r>
      <w:r w:rsidR="00EA7000">
        <w:t xml:space="preserve">rovided to the PBAC for action.  The </w:t>
      </w:r>
      <w:r w:rsidR="0068511C">
        <w:t>DUSC considered the PBAC may wish to provide further guidance on combination therapy of mannitol and dornase alfa, including whether a major or minor submission would be needed.</w:t>
      </w:r>
    </w:p>
    <w:p w14:paraId="75A03124" w14:textId="77777777" w:rsidR="001B50CA" w:rsidRPr="0092516A" w:rsidRDefault="001B50CA" w:rsidP="00FD13CD">
      <w:pPr>
        <w:pStyle w:val="Heading3"/>
      </w:pPr>
      <w:r w:rsidRPr="0092516A">
        <w:t>Context for analysis</w:t>
      </w:r>
    </w:p>
    <w:p w14:paraId="1D8A2B2A" w14:textId="77777777"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58A6B21D" w14:textId="77777777"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E0BE3CC" w14:textId="77777777"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2A85FF2" w14:textId="77777777" w:rsidR="00C75822" w:rsidRDefault="00C75822" w:rsidP="00C75822">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44EFDCE9" w14:textId="77777777" w:rsidR="003529E0" w:rsidRDefault="003529E0" w:rsidP="00FD13CD">
      <w:pPr>
        <w:pStyle w:val="Heading3"/>
      </w:pPr>
      <w:r>
        <w:t>Sponsor</w:t>
      </w:r>
      <w:r w:rsidRPr="0092516A">
        <w:t>s</w:t>
      </w:r>
      <w:r>
        <w:t>’</w:t>
      </w:r>
      <w:r w:rsidRPr="0092516A">
        <w:t xml:space="preserve"> comments</w:t>
      </w:r>
    </w:p>
    <w:p w14:paraId="6A5F05D2" w14:textId="03611F13" w:rsidR="00136D0D" w:rsidRDefault="00136D0D" w:rsidP="0083474F">
      <w:r w:rsidRPr="00136D0D">
        <w:t>Pharmaxis Ltd</w:t>
      </w:r>
      <w:r>
        <w:t>:</w:t>
      </w:r>
      <w:r w:rsidR="00276769">
        <w:t xml:space="preserve">  </w:t>
      </w:r>
      <w:r w:rsidR="00CF6BDE" w:rsidRPr="00CF6BDE">
        <w:t>The sponsor thanks DUSC for its analysis, and looks forward to working together with the PBAC.</w:t>
      </w:r>
    </w:p>
    <w:p w14:paraId="18E2BF36" w14:textId="55D39A93" w:rsidR="0083474F" w:rsidRPr="0083474F" w:rsidRDefault="0083474F" w:rsidP="0083474F">
      <w:r w:rsidRPr="0083474F">
        <w:t>Roche Products Pty Ltd</w:t>
      </w:r>
      <w:r>
        <w:t>:</w:t>
      </w:r>
      <w:r w:rsidR="00276769">
        <w:t xml:space="preserve">  The sponsor has no comment.</w:t>
      </w:r>
    </w:p>
    <w:p w14:paraId="25D65B04" w14:textId="1B97A568" w:rsidR="00FE645A" w:rsidRDefault="00A4020E" w:rsidP="001B4788">
      <w:pPr>
        <w:pStyle w:val="Heading3"/>
      </w:pPr>
      <w:r w:rsidRPr="00A4020E">
        <w:t>Disclaimer</w:t>
      </w:r>
    </w:p>
    <w:p w14:paraId="477D7D94" w14:textId="739898AB" w:rsidR="000B268E" w:rsidRPr="000B268E" w:rsidRDefault="000B268E" w:rsidP="00BE055A">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14:paraId="34477926" w14:textId="601956EB" w:rsidR="000B268E" w:rsidRPr="000B268E" w:rsidRDefault="000B268E" w:rsidP="00BE055A">
      <w:r w:rsidRPr="000B268E">
        <w:t>The Department of Health (DoH)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14:paraId="34FF6D3D" w14:textId="77777777" w:rsidR="000B268E" w:rsidRPr="000B268E" w:rsidRDefault="000B268E" w:rsidP="00BE055A">
      <w:r w:rsidRPr="000B268E">
        <w:t xml:space="preserve">To the extent provided by law, DoH makes no warranties or representations as to accuracy or completeness of information contained in this report. </w:t>
      </w:r>
    </w:p>
    <w:p w14:paraId="23B151A3" w14:textId="03052FAA" w:rsidR="005C4023" w:rsidRPr="00981222" w:rsidRDefault="000B268E" w:rsidP="00BE055A">
      <w:r w:rsidRPr="000B268E">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981222" w:rsidSect="00945324">
      <w:headerReference w:type="even" r:id="rId18"/>
      <w:headerReference w:type="default" r:id="rId19"/>
      <w:footerReference w:type="even" r:id="rId20"/>
      <w:footerReference w:type="default" r:id="rId21"/>
      <w:headerReference w:type="first" r:id="rId22"/>
      <w:footerReference w:type="first" r:id="rId23"/>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214013" w:rsidRDefault="00214013" w:rsidP="00A35800">
      <w:r>
        <w:separator/>
      </w:r>
    </w:p>
  </w:endnote>
  <w:endnote w:type="continuationSeparator" w:id="0">
    <w:p w14:paraId="45A4A8C8" w14:textId="77777777" w:rsidR="00214013" w:rsidRDefault="00214013"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p w14:paraId="10CBF352" w14:textId="77777777" w:rsidR="00B4217E" w:rsidRDefault="00B421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14:paraId="2C33146D" w14:textId="11966FFD" w:rsidR="00CB6ABE" w:rsidRPr="00CB6ABE" w:rsidRDefault="00CB6ABE" w:rsidP="00CB6ABE">
            <w:pPr>
              <w:pStyle w:val="Footer"/>
              <w:jc w:val="center"/>
              <w:rPr>
                <w:i/>
                <w:sz w:val="20"/>
                <w:szCs w:val="20"/>
              </w:rPr>
            </w:pPr>
            <w:r>
              <w:rPr>
                <w:i/>
                <w:sz w:val="20"/>
                <w:szCs w:val="20"/>
              </w:rPr>
              <w:t>Pub</w:t>
            </w:r>
            <w:r w:rsidR="003A636E">
              <w:rPr>
                <w:i/>
                <w:sz w:val="20"/>
                <w:szCs w:val="20"/>
              </w:rPr>
              <w:t>lic Release Document, October 2014</w:t>
            </w:r>
            <w:r>
              <w:rPr>
                <w:i/>
                <w:sz w:val="20"/>
                <w:szCs w:val="20"/>
              </w:rPr>
              <w:t xml:space="preserve"> DUSC Meeting</w:t>
            </w:r>
          </w:p>
          <w:p w14:paraId="16541DE1" w14:textId="3EA36B32" w:rsidR="00214013" w:rsidRDefault="00CB6ABE"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420BFC">
              <w:rPr>
                <w:bCs/>
                <w:i/>
                <w:noProof/>
                <w:sz w:val="20"/>
                <w:szCs w:val="20"/>
              </w:rPr>
              <w:t>1</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420BFC">
              <w:rPr>
                <w:bCs/>
                <w:i/>
                <w:noProof/>
                <w:sz w:val="20"/>
                <w:szCs w:val="20"/>
              </w:rPr>
              <w:t>3</w:t>
            </w:r>
            <w:r w:rsidRPr="00CB6ABE">
              <w:rPr>
                <w:bCs/>
                <w:i/>
                <w:sz w:val="20"/>
                <w:szCs w:val="20"/>
              </w:rPr>
              <w:fldChar w:fldCharType="end"/>
            </w:r>
          </w:p>
        </w:sdtContent>
      </w:sdt>
    </w:sdtContent>
  </w:sdt>
  <w:p w14:paraId="36407C81" w14:textId="77777777" w:rsidR="00B4217E" w:rsidRDefault="00B421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8AF8" w14:textId="1896DD8B" w:rsidR="00945324" w:rsidRDefault="00945324">
    <w:pPr>
      <w:pStyle w:val="Footer"/>
    </w:pPr>
    <w:r>
      <w:t>Last updated 3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214013" w:rsidRDefault="00214013" w:rsidP="00A35800">
      <w:r>
        <w:separator/>
      </w:r>
    </w:p>
  </w:footnote>
  <w:footnote w:type="continuationSeparator" w:id="0">
    <w:p w14:paraId="7E2CA1E4" w14:textId="77777777" w:rsidR="00214013" w:rsidRDefault="00214013" w:rsidP="00A35800">
      <w:r>
        <w:continuationSeparator/>
      </w:r>
    </w:p>
  </w:footnote>
  <w:footnote w:id="1">
    <w:p w14:paraId="65C471B0" w14:textId="583EB216" w:rsidR="00E83F93" w:rsidRDefault="00E83F93">
      <w:pPr>
        <w:pStyle w:val="FootnoteText"/>
      </w:pPr>
      <w:r>
        <w:rPr>
          <w:rStyle w:val="FootnoteReference"/>
        </w:rPr>
        <w:footnoteRef/>
      </w:r>
      <w:r>
        <w:t xml:space="preserve"> </w:t>
      </w:r>
      <w:r w:rsidR="00353691" w:rsidRPr="00353691">
        <w:t xml:space="preserve">Pulmozyme® (dornase alfa) </w:t>
      </w:r>
      <w:r w:rsidR="00353691">
        <w:t xml:space="preserve">Australian approved </w:t>
      </w:r>
      <w:r w:rsidR="00353691" w:rsidRPr="00353691">
        <w:t xml:space="preserve">Product Information. </w:t>
      </w:r>
      <w:r w:rsidR="00353691">
        <w:t xml:space="preserve">Sydney: Roche Products Pty Ltd. Approved 29 November 1994, updated 6 May 2014. </w:t>
      </w:r>
      <w:r w:rsidR="00353691" w:rsidRPr="00353691">
        <w:t xml:space="preserve">Available from </w:t>
      </w:r>
      <w:r w:rsidR="00353691">
        <w:t>&lt;</w:t>
      </w:r>
      <w:r w:rsidR="00353691" w:rsidRPr="00353691">
        <w:t>www.ebs.tga.gov.au</w:t>
      </w:r>
      <w:r w:rsidR="00353691">
        <w:t>&gt;</w:t>
      </w:r>
      <w:r w:rsidR="00353691" w:rsidRPr="00353691">
        <w:t>. Accessed 9 July 2014</w:t>
      </w:r>
      <w:r w:rsidR="003A6A14">
        <w:t>.</w:t>
      </w:r>
    </w:p>
  </w:footnote>
  <w:footnote w:id="2">
    <w:p w14:paraId="591C828E" w14:textId="3AA20C9D" w:rsidR="00444CDC" w:rsidRDefault="00444CDC" w:rsidP="00444CDC">
      <w:pPr>
        <w:pStyle w:val="FootnoteText"/>
      </w:pPr>
      <w:r>
        <w:rPr>
          <w:rStyle w:val="FootnoteReference"/>
        </w:rPr>
        <w:footnoteRef/>
      </w:r>
      <w:r>
        <w:t xml:space="preserve"> </w:t>
      </w:r>
      <w:r w:rsidRPr="00F45BB4">
        <w:t xml:space="preserve">Bronchitol® (mannitol) </w:t>
      </w:r>
      <w:r>
        <w:t xml:space="preserve">Australian approved </w:t>
      </w:r>
      <w:r w:rsidRPr="00F45BB4">
        <w:t xml:space="preserve">Product Information. </w:t>
      </w:r>
      <w:r>
        <w:t xml:space="preserve">Sydney: Pharmaxis Ltd. Approved 7 February 2011, updated 10 </w:t>
      </w:r>
      <w:r w:rsidR="00AA530B">
        <w:t>January</w:t>
      </w:r>
      <w:r>
        <w:t xml:space="preserve"> 2014. </w:t>
      </w:r>
      <w:r w:rsidRPr="00F45BB4">
        <w:t xml:space="preserve">Available from </w:t>
      </w:r>
      <w:r>
        <w:t>&lt;</w:t>
      </w:r>
      <w:hyperlink r:id="rId1" w:history="1">
        <w:r w:rsidRPr="00F65583">
          <w:rPr>
            <w:rStyle w:val="Hyperlink"/>
          </w:rPr>
          <w:t>www.ebs.tga.gov.au</w:t>
        </w:r>
      </w:hyperlink>
      <w:r>
        <w:t xml:space="preserve">&gt;. </w:t>
      </w:r>
      <w:r w:rsidRPr="00F45BB4">
        <w:t>Accessed 10 July 2014.</w:t>
      </w:r>
    </w:p>
  </w:footnote>
  <w:footnote w:id="3">
    <w:p w14:paraId="06CAA687" w14:textId="483FB3D8" w:rsidR="00364011" w:rsidRDefault="00364011">
      <w:pPr>
        <w:pStyle w:val="FootnoteText"/>
      </w:pPr>
      <w:r>
        <w:rPr>
          <w:rStyle w:val="FootnoteReference"/>
        </w:rPr>
        <w:footnoteRef/>
      </w:r>
      <w:r>
        <w:t xml:space="preserve"> </w:t>
      </w:r>
      <w:r w:rsidR="00DE179A" w:rsidRPr="00DE179A">
        <w:t xml:space="preserve">Food and Drug Administration. Summary Minutes of the Pulmonary-Allergy Drugs Advisory Committee Meeting - January 30, 2013. </w:t>
      </w:r>
      <w:r w:rsidR="001420C4">
        <w:t xml:space="preserve">Silver Spring, USA; </w:t>
      </w:r>
      <w:r w:rsidR="006C725D">
        <w:t xml:space="preserve">14 </w:t>
      </w:r>
      <w:r w:rsidR="001420C4">
        <w:t xml:space="preserve">February 2013. </w:t>
      </w:r>
      <w:r w:rsidR="00DE179A" w:rsidRPr="00DE179A">
        <w:t xml:space="preserve">Available from: </w:t>
      </w:r>
      <w:r w:rsidR="00AE17F9">
        <w:t>&lt;</w:t>
      </w:r>
      <w:r w:rsidR="00DE179A" w:rsidRPr="00DE179A">
        <w:t>http://www.fda.gov/downloads/AdvisoryCommittees/CommitteesMeetingMaterials/Drugs/Pulmonary-AllergyDrugsAdvisoryCommittee/UCM340156.pdf</w:t>
      </w:r>
      <w:r w:rsidR="00AE17F9">
        <w:t>&gt;</w:t>
      </w:r>
      <w:r w:rsidR="00DE179A" w:rsidRPr="00DE179A">
        <w:t>. Accessed 1 September 2014.</w:t>
      </w:r>
    </w:p>
  </w:footnote>
  <w:footnote w:id="4">
    <w:p w14:paraId="22C151E2" w14:textId="4748C090" w:rsidR="00DE179A" w:rsidRDefault="00DE179A">
      <w:pPr>
        <w:pStyle w:val="FootnoteText"/>
      </w:pPr>
      <w:r>
        <w:rPr>
          <w:rStyle w:val="FootnoteReference"/>
        </w:rPr>
        <w:footnoteRef/>
      </w:r>
      <w:r>
        <w:t xml:space="preserve"> </w:t>
      </w:r>
      <w:r w:rsidRPr="00DE179A">
        <w:t xml:space="preserve">European Medicines Agency. European public assessment reports </w:t>
      </w:r>
      <w:r w:rsidR="0045170A">
        <w:t xml:space="preserve">- Bronchitol (mannitol). </w:t>
      </w:r>
      <w:r w:rsidR="00540897">
        <w:t xml:space="preserve">London, UK. </w:t>
      </w:r>
      <w:r w:rsidR="006C725D">
        <w:t xml:space="preserve">European Medicines Agency; 16 February 2012. </w:t>
      </w:r>
      <w:r w:rsidR="0045170A">
        <w:t>Availa</w:t>
      </w:r>
      <w:r w:rsidRPr="00DE179A">
        <w:t xml:space="preserve">ble from </w:t>
      </w:r>
      <w:r w:rsidR="008729B0">
        <w:t>&lt;</w:t>
      </w:r>
      <w:r w:rsidRPr="00DE179A">
        <w:t>http://www.ema.europa.eu/ema/</w:t>
      </w:r>
      <w:r w:rsidR="008729B0">
        <w:t>&gt;</w:t>
      </w:r>
      <w:r w:rsidRPr="00DE179A">
        <w:t>. Accessed 1 September 2014.</w:t>
      </w:r>
      <w:r w:rsidR="00AE17F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61EE1" w14:textId="77777777" w:rsidR="007301DC" w:rsidRDefault="00730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93C82" w14:textId="77777777" w:rsidR="007301DC" w:rsidRDefault="007301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92E3F" w14:textId="77777777" w:rsidR="007301DC" w:rsidRDefault="007301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4684"/>
    <w:multiLevelType w:val="hybridMultilevel"/>
    <w:tmpl w:val="CD68BCE6"/>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A60E29"/>
    <w:multiLevelType w:val="hybridMultilevel"/>
    <w:tmpl w:val="F04C1AB0"/>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B2678A"/>
    <w:multiLevelType w:val="hybridMultilevel"/>
    <w:tmpl w:val="C6C28C34"/>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5F02553"/>
    <w:multiLevelType w:val="hybridMultilevel"/>
    <w:tmpl w:val="3E8873D2"/>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7E7132C"/>
    <w:multiLevelType w:val="hybridMultilevel"/>
    <w:tmpl w:val="460E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037433"/>
    <w:multiLevelType w:val="hybridMultilevel"/>
    <w:tmpl w:val="CD4EB03C"/>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07459C5"/>
    <w:multiLevelType w:val="hybridMultilevel"/>
    <w:tmpl w:val="45DA4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76D64178"/>
    <w:multiLevelType w:val="hybridMultilevel"/>
    <w:tmpl w:val="BC406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3"/>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1288E"/>
    <w:rsid w:val="00022617"/>
    <w:rsid w:val="00045169"/>
    <w:rsid w:val="00046D7D"/>
    <w:rsid w:val="0005619F"/>
    <w:rsid w:val="0007088A"/>
    <w:rsid w:val="0007305C"/>
    <w:rsid w:val="000912E0"/>
    <w:rsid w:val="000933D3"/>
    <w:rsid w:val="00094DCF"/>
    <w:rsid w:val="00095D51"/>
    <w:rsid w:val="000A3D1E"/>
    <w:rsid w:val="000B268E"/>
    <w:rsid w:val="000B796C"/>
    <w:rsid w:val="000C580C"/>
    <w:rsid w:val="000C6E5D"/>
    <w:rsid w:val="000C7D8B"/>
    <w:rsid w:val="000D7C7A"/>
    <w:rsid w:val="000E295D"/>
    <w:rsid w:val="000E485D"/>
    <w:rsid w:val="000E7DE7"/>
    <w:rsid w:val="000F22BC"/>
    <w:rsid w:val="000F2F51"/>
    <w:rsid w:val="000F760B"/>
    <w:rsid w:val="0011035D"/>
    <w:rsid w:val="00112FB2"/>
    <w:rsid w:val="00113D74"/>
    <w:rsid w:val="00117C5C"/>
    <w:rsid w:val="00130892"/>
    <w:rsid w:val="001327FB"/>
    <w:rsid w:val="001354DE"/>
    <w:rsid w:val="00136D0D"/>
    <w:rsid w:val="001420B3"/>
    <w:rsid w:val="001420C4"/>
    <w:rsid w:val="0014260F"/>
    <w:rsid w:val="00143910"/>
    <w:rsid w:val="00153C36"/>
    <w:rsid w:val="0015691C"/>
    <w:rsid w:val="001617BA"/>
    <w:rsid w:val="001714FD"/>
    <w:rsid w:val="00174183"/>
    <w:rsid w:val="001759EC"/>
    <w:rsid w:val="00176E13"/>
    <w:rsid w:val="00187BA8"/>
    <w:rsid w:val="001A1B5F"/>
    <w:rsid w:val="001B4788"/>
    <w:rsid w:val="001B50CA"/>
    <w:rsid w:val="001B5D37"/>
    <w:rsid w:val="001C2785"/>
    <w:rsid w:val="001C4016"/>
    <w:rsid w:val="001C49B6"/>
    <w:rsid w:val="001C795E"/>
    <w:rsid w:val="001D2DCB"/>
    <w:rsid w:val="001D390D"/>
    <w:rsid w:val="001E31A6"/>
    <w:rsid w:val="001E45D4"/>
    <w:rsid w:val="001F2C97"/>
    <w:rsid w:val="001F2F3E"/>
    <w:rsid w:val="001F5DB6"/>
    <w:rsid w:val="00201027"/>
    <w:rsid w:val="00202649"/>
    <w:rsid w:val="002104AA"/>
    <w:rsid w:val="00213403"/>
    <w:rsid w:val="00214013"/>
    <w:rsid w:val="0024294B"/>
    <w:rsid w:val="002509D5"/>
    <w:rsid w:val="00252D19"/>
    <w:rsid w:val="00275D5A"/>
    <w:rsid w:val="00276769"/>
    <w:rsid w:val="00276C83"/>
    <w:rsid w:val="002801FD"/>
    <w:rsid w:val="00281900"/>
    <w:rsid w:val="0028594C"/>
    <w:rsid w:val="00287CDC"/>
    <w:rsid w:val="00291C24"/>
    <w:rsid w:val="002B3F7E"/>
    <w:rsid w:val="002B4C96"/>
    <w:rsid w:val="002C4942"/>
    <w:rsid w:val="002C6E0C"/>
    <w:rsid w:val="002D472A"/>
    <w:rsid w:val="002E1B5E"/>
    <w:rsid w:val="002E3337"/>
    <w:rsid w:val="002F4172"/>
    <w:rsid w:val="002F48CC"/>
    <w:rsid w:val="002F49A8"/>
    <w:rsid w:val="002F61CA"/>
    <w:rsid w:val="002F63ED"/>
    <w:rsid w:val="002F6B99"/>
    <w:rsid w:val="0030749C"/>
    <w:rsid w:val="00313B8D"/>
    <w:rsid w:val="00330BBF"/>
    <w:rsid w:val="00331471"/>
    <w:rsid w:val="00334AED"/>
    <w:rsid w:val="003370D0"/>
    <w:rsid w:val="00340F95"/>
    <w:rsid w:val="00343204"/>
    <w:rsid w:val="00347CBC"/>
    <w:rsid w:val="003500AD"/>
    <w:rsid w:val="003529E0"/>
    <w:rsid w:val="003531ED"/>
    <w:rsid w:val="00353691"/>
    <w:rsid w:val="00355A56"/>
    <w:rsid w:val="00364011"/>
    <w:rsid w:val="00372ADC"/>
    <w:rsid w:val="00374A66"/>
    <w:rsid w:val="0038097B"/>
    <w:rsid w:val="003811C7"/>
    <w:rsid w:val="0039017F"/>
    <w:rsid w:val="00396C00"/>
    <w:rsid w:val="003A5653"/>
    <w:rsid w:val="003A636E"/>
    <w:rsid w:val="003A69A1"/>
    <w:rsid w:val="003A6A14"/>
    <w:rsid w:val="003B01CB"/>
    <w:rsid w:val="003C4E1E"/>
    <w:rsid w:val="003D15D0"/>
    <w:rsid w:val="003D3984"/>
    <w:rsid w:val="003D6756"/>
    <w:rsid w:val="003E1733"/>
    <w:rsid w:val="003F2C10"/>
    <w:rsid w:val="00420BFC"/>
    <w:rsid w:val="00424B5F"/>
    <w:rsid w:val="00444CDC"/>
    <w:rsid w:val="00444DDE"/>
    <w:rsid w:val="0044668F"/>
    <w:rsid w:val="0045170A"/>
    <w:rsid w:val="00456273"/>
    <w:rsid w:val="00462FF4"/>
    <w:rsid w:val="00481108"/>
    <w:rsid w:val="0049042B"/>
    <w:rsid w:val="004A458E"/>
    <w:rsid w:val="004A7157"/>
    <w:rsid w:val="004B23E7"/>
    <w:rsid w:val="004B306F"/>
    <w:rsid w:val="004B552B"/>
    <w:rsid w:val="004C225C"/>
    <w:rsid w:val="004C3186"/>
    <w:rsid w:val="004C3915"/>
    <w:rsid w:val="004C3DC4"/>
    <w:rsid w:val="004C5042"/>
    <w:rsid w:val="004D14BD"/>
    <w:rsid w:val="004D52CC"/>
    <w:rsid w:val="004F1E15"/>
    <w:rsid w:val="004F54A8"/>
    <w:rsid w:val="005023BF"/>
    <w:rsid w:val="00503998"/>
    <w:rsid w:val="0050623B"/>
    <w:rsid w:val="00516D6F"/>
    <w:rsid w:val="005339F6"/>
    <w:rsid w:val="00536798"/>
    <w:rsid w:val="00540897"/>
    <w:rsid w:val="00550904"/>
    <w:rsid w:val="00561CB4"/>
    <w:rsid w:val="00585DF4"/>
    <w:rsid w:val="00591512"/>
    <w:rsid w:val="005B08D1"/>
    <w:rsid w:val="005B3098"/>
    <w:rsid w:val="005C25A2"/>
    <w:rsid w:val="005C2AE7"/>
    <w:rsid w:val="005C4023"/>
    <w:rsid w:val="005C524B"/>
    <w:rsid w:val="005C55C6"/>
    <w:rsid w:val="005C597F"/>
    <w:rsid w:val="005D436A"/>
    <w:rsid w:val="005E147D"/>
    <w:rsid w:val="005E22C2"/>
    <w:rsid w:val="005E7C7C"/>
    <w:rsid w:val="005F4B32"/>
    <w:rsid w:val="00600203"/>
    <w:rsid w:val="00602529"/>
    <w:rsid w:val="00606906"/>
    <w:rsid w:val="0063021F"/>
    <w:rsid w:val="00630CA0"/>
    <w:rsid w:val="0063175C"/>
    <w:rsid w:val="00631D8D"/>
    <w:rsid w:val="00635817"/>
    <w:rsid w:val="0063631C"/>
    <w:rsid w:val="00637935"/>
    <w:rsid w:val="0065030A"/>
    <w:rsid w:val="0065161E"/>
    <w:rsid w:val="006530A8"/>
    <w:rsid w:val="006537D9"/>
    <w:rsid w:val="00665DEF"/>
    <w:rsid w:val="00675BB1"/>
    <w:rsid w:val="00683B71"/>
    <w:rsid w:val="0068511C"/>
    <w:rsid w:val="0068573C"/>
    <w:rsid w:val="006A44F5"/>
    <w:rsid w:val="006A4F50"/>
    <w:rsid w:val="006B4537"/>
    <w:rsid w:val="006B709B"/>
    <w:rsid w:val="006C3E80"/>
    <w:rsid w:val="006C4620"/>
    <w:rsid w:val="006C725D"/>
    <w:rsid w:val="006E0181"/>
    <w:rsid w:val="006F1DB3"/>
    <w:rsid w:val="00705309"/>
    <w:rsid w:val="00705DAD"/>
    <w:rsid w:val="0071752D"/>
    <w:rsid w:val="007247B9"/>
    <w:rsid w:val="00727D85"/>
    <w:rsid w:val="007301DC"/>
    <w:rsid w:val="007346C7"/>
    <w:rsid w:val="00736041"/>
    <w:rsid w:val="007408C7"/>
    <w:rsid w:val="00742EB4"/>
    <w:rsid w:val="007433FF"/>
    <w:rsid w:val="00751BD0"/>
    <w:rsid w:val="00752C7F"/>
    <w:rsid w:val="00770FB8"/>
    <w:rsid w:val="00776598"/>
    <w:rsid w:val="00785D6C"/>
    <w:rsid w:val="00794F94"/>
    <w:rsid w:val="00796B2F"/>
    <w:rsid w:val="00796E84"/>
    <w:rsid w:val="007A669B"/>
    <w:rsid w:val="007B3C3F"/>
    <w:rsid w:val="007C57A0"/>
    <w:rsid w:val="007C5831"/>
    <w:rsid w:val="007C6A95"/>
    <w:rsid w:val="007D2B3D"/>
    <w:rsid w:val="007D6D44"/>
    <w:rsid w:val="007E0C69"/>
    <w:rsid w:val="007E46CD"/>
    <w:rsid w:val="007E5CE8"/>
    <w:rsid w:val="007E68C4"/>
    <w:rsid w:val="007E7BF6"/>
    <w:rsid w:val="00800C2D"/>
    <w:rsid w:val="00811951"/>
    <w:rsid w:val="008142B4"/>
    <w:rsid w:val="00832324"/>
    <w:rsid w:val="0083474F"/>
    <w:rsid w:val="00837AEE"/>
    <w:rsid w:val="00840878"/>
    <w:rsid w:val="0085256D"/>
    <w:rsid w:val="00852A4C"/>
    <w:rsid w:val="008530EB"/>
    <w:rsid w:val="00856BB4"/>
    <w:rsid w:val="00861BDD"/>
    <w:rsid w:val="00861CCC"/>
    <w:rsid w:val="008710C4"/>
    <w:rsid w:val="008729B0"/>
    <w:rsid w:val="00883D8E"/>
    <w:rsid w:val="00887EFB"/>
    <w:rsid w:val="00891443"/>
    <w:rsid w:val="00892B44"/>
    <w:rsid w:val="00896025"/>
    <w:rsid w:val="00896403"/>
    <w:rsid w:val="00896418"/>
    <w:rsid w:val="00897097"/>
    <w:rsid w:val="008B1F03"/>
    <w:rsid w:val="008B5D14"/>
    <w:rsid w:val="008C32B6"/>
    <w:rsid w:val="008E5877"/>
    <w:rsid w:val="008E6659"/>
    <w:rsid w:val="008E7337"/>
    <w:rsid w:val="00902FD0"/>
    <w:rsid w:val="009053D3"/>
    <w:rsid w:val="00905AB4"/>
    <w:rsid w:val="00915111"/>
    <w:rsid w:val="0093111F"/>
    <w:rsid w:val="00934383"/>
    <w:rsid w:val="00934D5C"/>
    <w:rsid w:val="00935689"/>
    <w:rsid w:val="0093638B"/>
    <w:rsid w:val="009379BA"/>
    <w:rsid w:val="0094366B"/>
    <w:rsid w:val="00944598"/>
    <w:rsid w:val="00945324"/>
    <w:rsid w:val="00951EC8"/>
    <w:rsid w:val="00957837"/>
    <w:rsid w:val="0096189A"/>
    <w:rsid w:val="00961EB1"/>
    <w:rsid w:val="009636CC"/>
    <w:rsid w:val="009663B6"/>
    <w:rsid w:val="00980286"/>
    <w:rsid w:val="00980972"/>
    <w:rsid w:val="00981222"/>
    <w:rsid w:val="00997F19"/>
    <w:rsid w:val="009A4CD6"/>
    <w:rsid w:val="009A52BD"/>
    <w:rsid w:val="009B1CD9"/>
    <w:rsid w:val="009C0886"/>
    <w:rsid w:val="009C0B90"/>
    <w:rsid w:val="009C35F2"/>
    <w:rsid w:val="009C38FE"/>
    <w:rsid w:val="009C7C43"/>
    <w:rsid w:val="009D2BB9"/>
    <w:rsid w:val="009D41C8"/>
    <w:rsid w:val="009E1ACD"/>
    <w:rsid w:val="009E2173"/>
    <w:rsid w:val="009E21A7"/>
    <w:rsid w:val="009E3ED0"/>
    <w:rsid w:val="00A000B8"/>
    <w:rsid w:val="00A04924"/>
    <w:rsid w:val="00A103ED"/>
    <w:rsid w:val="00A108F9"/>
    <w:rsid w:val="00A13C60"/>
    <w:rsid w:val="00A27DE8"/>
    <w:rsid w:val="00A304FF"/>
    <w:rsid w:val="00A30B0E"/>
    <w:rsid w:val="00A31E88"/>
    <w:rsid w:val="00A35800"/>
    <w:rsid w:val="00A36FA8"/>
    <w:rsid w:val="00A3777D"/>
    <w:rsid w:val="00A4020E"/>
    <w:rsid w:val="00A55579"/>
    <w:rsid w:val="00A7590B"/>
    <w:rsid w:val="00A84CAD"/>
    <w:rsid w:val="00AA530B"/>
    <w:rsid w:val="00AB06D6"/>
    <w:rsid w:val="00AB3733"/>
    <w:rsid w:val="00AC353D"/>
    <w:rsid w:val="00AD5FB9"/>
    <w:rsid w:val="00AE17F9"/>
    <w:rsid w:val="00AE4EAB"/>
    <w:rsid w:val="00AF0BF4"/>
    <w:rsid w:val="00AF11BF"/>
    <w:rsid w:val="00AF2887"/>
    <w:rsid w:val="00AF6BB9"/>
    <w:rsid w:val="00AF6DE8"/>
    <w:rsid w:val="00B02AB9"/>
    <w:rsid w:val="00B03021"/>
    <w:rsid w:val="00B05310"/>
    <w:rsid w:val="00B17791"/>
    <w:rsid w:val="00B22AE8"/>
    <w:rsid w:val="00B37CA6"/>
    <w:rsid w:val="00B4217E"/>
    <w:rsid w:val="00B442C2"/>
    <w:rsid w:val="00B476CE"/>
    <w:rsid w:val="00B729D4"/>
    <w:rsid w:val="00B9120F"/>
    <w:rsid w:val="00B924A4"/>
    <w:rsid w:val="00B95FB9"/>
    <w:rsid w:val="00BB0D1A"/>
    <w:rsid w:val="00BB1D3B"/>
    <w:rsid w:val="00BB34F9"/>
    <w:rsid w:val="00BC35ED"/>
    <w:rsid w:val="00BC4657"/>
    <w:rsid w:val="00BC55C3"/>
    <w:rsid w:val="00BD1FD5"/>
    <w:rsid w:val="00BD5539"/>
    <w:rsid w:val="00BE055A"/>
    <w:rsid w:val="00BE5D65"/>
    <w:rsid w:val="00BF07C3"/>
    <w:rsid w:val="00BF238E"/>
    <w:rsid w:val="00BF6D5C"/>
    <w:rsid w:val="00C005ED"/>
    <w:rsid w:val="00C0076F"/>
    <w:rsid w:val="00C20839"/>
    <w:rsid w:val="00C240BA"/>
    <w:rsid w:val="00C26824"/>
    <w:rsid w:val="00C41246"/>
    <w:rsid w:val="00C45E5F"/>
    <w:rsid w:val="00C565FF"/>
    <w:rsid w:val="00C60DA4"/>
    <w:rsid w:val="00C672F4"/>
    <w:rsid w:val="00C675DB"/>
    <w:rsid w:val="00C67D37"/>
    <w:rsid w:val="00C714D0"/>
    <w:rsid w:val="00C75822"/>
    <w:rsid w:val="00C81F99"/>
    <w:rsid w:val="00C85CD4"/>
    <w:rsid w:val="00C97215"/>
    <w:rsid w:val="00C97AFA"/>
    <w:rsid w:val="00CA34A6"/>
    <w:rsid w:val="00CA7B9A"/>
    <w:rsid w:val="00CA7C01"/>
    <w:rsid w:val="00CB16A9"/>
    <w:rsid w:val="00CB4FDE"/>
    <w:rsid w:val="00CB6ABE"/>
    <w:rsid w:val="00CC371E"/>
    <w:rsid w:val="00CD1D0F"/>
    <w:rsid w:val="00CD2F49"/>
    <w:rsid w:val="00CD3DDD"/>
    <w:rsid w:val="00CE001C"/>
    <w:rsid w:val="00CE2CDF"/>
    <w:rsid w:val="00CE417B"/>
    <w:rsid w:val="00CF126C"/>
    <w:rsid w:val="00CF6BDE"/>
    <w:rsid w:val="00CF6FB3"/>
    <w:rsid w:val="00D0233C"/>
    <w:rsid w:val="00D1001B"/>
    <w:rsid w:val="00D13C41"/>
    <w:rsid w:val="00D151EB"/>
    <w:rsid w:val="00D21C3D"/>
    <w:rsid w:val="00D30378"/>
    <w:rsid w:val="00D344EC"/>
    <w:rsid w:val="00D34E3B"/>
    <w:rsid w:val="00D44B1E"/>
    <w:rsid w:val="00D527D1"/>
    <w:rsid w:val="00D554B4"/>
    <w:rsid w:val="00D56BB9"/>
    <w:rsid w:val="00D62E98"/>
    <w:rsid w:val="00D63F63"/>
    <w:rsid w:val="00D6439E"/>
    <w:rsid w:val="00D650CE"/>
    <w:rsid w:val="00D8758B"/>
    <w:rsid w:val="00D877F9"/>
    <w:rsid w:val="00D9126C"/>
    <w:rsid w:val="00D963BE"/>
    <w:rsid w:val="00DA7D09"/>
    <w:rsid w:val="00DC49E9"/>
    <w:rsid w:val="00DC50D1"/>
    <w:rsid w:val="00DD70ED"/>
    <w:rsid w:val="00DE0B96"/>
    <w:rsid w:val="00DE179A"/>
    <w:rsid w:val="00DE260E"/>
    <w:rsid w:val="00DE59F2"/>
    <w:rsid w:val="00DF0B13"/>
    <w:rsid w:val="00DF4A94"/>
    <w:rsid w:val="00E066C3"/>
    <w:rsid w:val="00E06753"/>
    <w:rsid w:val="00E07517"/>
    <w:rsid w:val="00E11A6D"/>
    <w:rsid w:val="00E1353A"/>
    <w:rsid w:val="00E14D65"/>
    <w:rsid w:val="00E153FC"/>
    <w:rsid w:val="00E1564B"/>
    <w:rsid w:val="00E208A0"/>
    <w:rsid w:val="00E223B1"/>
    <w:rsid w:val="00E376AA"/>
    <w:rsid w:val="00E40AD5"/>
    <w:rsid w:val="00E41C8B"/>
    <w:rsid w:val="00E468FA"/>
    <w:rsid w:val="00E46C38"/>
    <w:rsid w:val="00E55D60"/>
    <w:rsid w:val="00E60885"/>
    <w:rsid w:val="00E628EA"/>
    <w:rsid w:val="00E677DD"/>
    <w:rsid w:val="00E774A5"/>
    <w:rsid w:val="00E83F93"/>
    <w:rsid w:val="00E85C2B"/>
    <w:rsid w:val="00EA7000"/>
    <w:rsid w:val="00EB4C03"/>
    <w:rsid w:val="00EB6C07"/>
    <w:rsid w:val="00EC028D"/>
    <w:rsid w:val="00EC5496"/>
    <w:rsid w:val="00ED16EF"/>
    <w:rsid w:val="00ED5E40"/>
    <w:rsid w:val="00ED633B"/>
    <w:rsid w:val="00EE478C"/>
    <w:rsid w:val="00EF11A9"/>
    <w:rsid w:val="00EF2ABD"/>
    <w:rsid w:val="00F11CC0"/>
    <w:rsid w:val="00F11CFC"/>
    <w:rsid w:val="00F11DA1"/>
    <w:rsid w:val="00F438C9"/>
    <w:rsid w:val="00F43923"/>
    <w:rsid w:val="00F45BB4"/>
    <w:rsid w:val="00F51579"/>
    <w:rsid w:val="00F61326"/>
    <w:rsid w:val="00FA257C"/>
    <w:rsid w:val="00FC4A73"/>
    <w:rsid w:val="00FC6DC6"/>
    <w:rsid w:val="00FD13CD"/>
    <w:rsid w:val="00FE64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AB06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AB0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industry/listing/elements/pbac-meetings/psd/2011-03/pbac-psd-mannitol-march1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pbs.gov.au/" TargetMode="Externa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tmp"/><Relationship Id="rId23" Type="http://schemas.openxmlformats.org/officeDocument/2006/relationships/footer" Target="footer3.xml"/><Relationship Id="rId10" Type="http://schemas.openxmlformats.org/officeDocument/2006/relationships/hyperlink" Target="http://www.tga.gov.au/consumers/information-medicines-cmi.ht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www.pbs.gov.au/info/industry/listing/elements/pbac-meetings/psd/2011-11/pbac-psd-mannitol-nov11"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ebs.tga.gov.au"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'Overall utilisation - packs'!$H$4</c:f>
              <c:strCache>
                <c:ptCount val="1"/>
                <c:pt idx="0">
                  <c:v>Dornase alfa</c:v>
                </c:pt>
              </c:strCache>
            </c:strRef>
          </c:tx>
          <c:spPr>
            <a:ln>
              <a:solidFill>
                <a:schemeClr val="tx2">
                  <a:lumMod val="75000"/>
                </a:schemeClr>
              </a:solidFill>
            </a:ln>
          </c:spPr>
          <c:marker>
            <c:spPr>
              <a:solidFill>
                <a:schemeClr val="tx2">
                  <a:lumMod val="75000"/>
                </a:schemeClr>
              </a:solidFill>
              <a:ln>
                <a:solidFill>
                  <a:schemeClr val="tx2">
                    <a:lumMod val="75000"/>
                  </a:schemeClr>
                </a:solidFill>
              </a:ln>
            </c:spPr>
          </c:marker>
          <c:cat>
            <c:strRef>
              <c:f>'Overall utilisation - packs'!$G$5:$G$45</c:f>
              <c:strCache>
                <c:ptCount val="41"/>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strCache>
            </c:strRef>
          </c:cat>
          <c:val>
            <c:numRef>
              <c:f>'Overall utilisation - packs'!$H$5:$H$45</c:f>
              <c:numCache>
                <c:formatCode>General</c:formatCode>
                <c:ptCount val="41"/>
                <c:pt idx="0">
                  <c:v>1491.7266999999999</c:v>
                </c:pt>
                <c:pt idx="1">
                  <c:v>1599.39</c:v>
                </c:pt>
                <c:pt idx="2">
                  <c:v>1578.58</c:v>
                </c:pt>
                <c:pt idx="3">
                  <c:v>1740.41</c:v>
                </c:pt>
                <c:pt idx="4">
                  <c:v>1498.14</c:v>
                </c:pt>
                <c:pt idx="5">
                  <c:v>1567.8267000000001</c:v>
                </c:pt>
                <c:pt idx="6">
                  <c:v>1608.0700000000002</c:v>
                </c:pt>
                <c:pt idx="7">
                  <c:v>1803.7362000000001</c:v>
                </c:pt>
                <c:pt idx="8">
                  <c:v>1549.8566000000001</c:v>
                </c:pt>
                <c:pt idx="9">
                  <c:v>1874.4233000000002</c:v>
                </c:pt>
                <c:pt idx="10">
                  <c:v>1725.6100000000001</c:v>
                </c:pt>
                <c:pt idx="11">
                  <c:v>1782.3600000000001</c:v>
                </c:pt>
                <c:pt idx="12">
                  <c:v>1589.15</c:v>
                </c:pt>
                <c:pt idx="13">
                  <c:v>1775.73</c:v>
                </c:pt>
                <c:pt idx="14">
                  <c:v>1884.9499999999998</c:v>
                </c:pt>
                <c:pt idx="15">
                  <c:v>1910.0999999999997</c:v>
                </c:pt>
                <c:pt idx="16">
                  <c:v>1748.6899999999998</c:v>
                </c:pt>
                <c:pt idx="17">
                  <c:v>1908.2566340000003</c:v>
                </c:pt>
                <c:pt idx="18">
                  <c:v>1899.9</c:v>
                </c:pt>
                <c:pt idx="19">
                  <c:v>1998.9633000000001</c:v>
                </c:pt>
                <c:pt idx="20">
                  <c:v>1823.5632999999998</c:v>
                </c:pt>
                <c:pt idx="21">
                  <c:v>1886.7666999999999</c:v>
                </c:pt>
                <c:pt idx="22">
                  <c:v>1880.2032999999999</c:v>
                </c:pt>
                <c:pt idx="23">
                  <c:v>2012.8000000000002</c:v>
                </c:pt>
                <c:pt idx="24">
                  <c:v>1858.6699630000001</c:v>
                </c:pt>
                <c:pt idx="25">
                  <c:v>2036.6799999999998</c:v>
                </c:pt>
                <c:pt idx="26">
                  <c:v>2101.3766666666666</c:v>
                </c:pt>
                <c:pt idx="27">
                  <c:v>2159.1200000000003</c:v>
                </c:pt>
                <c:pt idx="28">
                  <c:v>2024.58</c:v>
                </c:pt>
                <c:pt idx="29">
                  <c:v>2052.7399999999998</c:v>
                </c:pt>
                <c:pt idx="30">
                  <c:v>2177.4699999999998</c:v>
                </c:pt>
                <c:pt idx="31">
                  <c:v>2374.2033333333329</c:v>
                </c:pt>
                <c:pt idx="32">
                  <c:v>2252.71</c:v>
                </c:pt>
                <c:pt idx="33">
                  <c:v>2368.6033333333326</c:v>
                </c:pt>
                <c:pt idx="34">
                  <c:v>2481</c:v>
                </c:pt>
                <c:pt idx="35">
                  <c:v>2573.94</c:v>
                </c:pt>
                <c:pt idx="36">
                  <c:v>2414.7966666666666</c:v>
                </c:pt>
                <c:pt idx="37">
                  <c:v>2698.2966666666666</c:v>
                </c:pt>
                <c:pt idx="38">
                  <c:v>2588.1</c:v>
                </c:pt>
                <c:pt idx="39">
                  <c:v>2892.8666666666659</c:v>
                </c:pt>
                <c:pt idx="40">
                  <c:v>2293.0999999999995</c:v>
                </c:pt>
              </c:numCache>
            </c:numRef>
          </c:val>
          <c:smooth val="0"/>
        </c:ser>
        <c:ser>
          <c:idx val="1"/>
          <c:order val="1"/>
          <c:tx>
            <c:strRef>
              <c:f>'Overall utilisation - packs'!$I$4</c:f>
              <c:strCache>
                <c:ptCount val="1"/>
                <c:pt idx="0">
                  <c:v>Mannitol</c:v>
                </c:pt>
              </c:strCache>
            </c:strRef>
          </c:tx>
          <c:spPr>
            <a:ln>
              <a:solidFill>
                <a:srgbClr val="92D050"/>
              </a:solidFill>
            </a:ln>
          </c:spPr>
          <c:marker>
            <c:spPr>
              <a:solidFill>
                <a:srgbClr val="92D050"/>
              </a:solidFill>
              <a:ln>
                <a:solidFill>
                  <a:srgbClr val="92D050"/>
                </a:solidFill>
              </a:ln>
            </c:spPr>
          </c:marker>
          <c:cat>
            <c:strRef>
              <c:f>'Overall utilisation - packs'!$G$5:$G$45</c:f>
              <c:strCache>
                <c:ptCount val="41"/>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strCache>
            </c:strRef>
          </c:cat>
          <c:val>
            <c:numRef>
              <c:f>'Overall utilisation - packs'!$I$5:$I$45</c:f>
              <c:numCache>
                <c:formatCode>General</c:formatCode>
                <c:ptCount val="41"/>
                <c:pt idx="34">
                  <c:v>98</c:v>
                </c:pt>
                <c:pt idx="35">
                  <c:v>207</c:v>
                </c:pt>
                <c:pt idx="36">
                  <c:v>151</c:v>
                </c:pt>
                <c:pt idx="37">
                  <c:v>277</c:v>
                </c:pt>
                <c:pt idx="38">
                  <c:v>253</c:v>
                </c:pt>
                <c:pt idx="39">
                  <c:v>260</c:v>
                </c:pt>
                <c:pt idx="40">
                  <c:v>199</c:v>
                </c:pt>
              </c:numCache>
            </c:numRef>
          </c:val>
          <c:smooth val="0"/>
        </c:ser>
        <c:dLbls>
          <c:showLegendKey val="0"/>
          <c:showVal val="0"/>
          <c:showCatName val="0"/>
          <c:showSerName val="0"/>
          <c:showPercent val="0"/>
          <c:showBubbleSize val="0"/>
        </c:dLbls>
        <c:marker val="1"/>
        <c:smooth val="0"/>
        <c:axId val="85347328"/>
        <c:axId val="85354368"/>
      </c:lineChart>
      <c:catAx>
        <c:axId val="85347328"/>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85354368"/>
        <c:crosses val="autoZero"/>
        <c:auto val="1"/>
        <c:lblAlgn val="ctr"/>
        <c:lblOffset val="100"/>
        <c:noMultiLvlLbl val="0"/>
      </c:catAx>
      <c:valAx>
        <c:axId val="85354368"/>
        <c:scaling>
          <c:orientation val="minMax"/>
          <c:max val="3000"/>
        </c:scaling>
        <c:delete val="0"/>
        <c:axPos val="l"/>
        <c:majorGridlines/>
        <c:title>
          <c:tx>
            <c:rich>
              <a:bodyPr rot="-5400000" vert="horz"/>
              <a:lstStyle/>
              <a:p>
                <a:pPr>
                  <a:defRPr/>
                </a:pPr>
                <a:r>
                  <a:rPr lang="en-AU" b="0"/>
                  <a:t>Packs</a:t>
                </a:r>
                <a:r>
                  <a:rPr lang="en-AU" b="0" baseline="0"/>
                  <a:t> supplied</a:t>
                </a:r>
                <a:endParaRPr lang="en-AU" b="0"/>
              </a:p>
            </c:rich>
          </c:tx>
          <c:overlay val="0"/>
        </c:title>
        <c:numFmt formatCode="#,##0" sourceLinked="0"/>
        <c:majorTickMark val="out"/>
        <c:minorTickMark val="none"/>
        <c:tickLblPos val="nextTo"/>
        <c:crossAx val="85347328"/>
        <c:crosses val="autoZero"/>
        <c:crossBetween val="midCat"/>
      </c:valAx>
    </c:plotArea>
    <c:legend>
      <c:legendPos val="t"/>
      <c:overlay val="0"/>
    </c:legend>
    <c:plotVisOnly val="1"/>
    <c:dispBlanksAs val="gap"/>
    <c:showDLblsOverMax val="0"/>
  </c:chart>
  <c:spPr>
    <a:ln>
      <a:solidFill>
        <a:schemeClr val="bg1">
          <a:lumMod val="50000"/>
        </a:schemeClr>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Expenditure!$H$4</c:f>
              <c:strCache>
                <c:ptCount val="1"/>
                <c:pt idx="0">
                  <c:v>Dornase alfa</c:v>
                </c:pt>
              </c:strCache>
            </c:strRef>
          </c:tx>
          <c:spPr>
            <a:ln>
              <a:solidFill>
                <a:schemeClr val="tx2">
                  <a:lumMod val="75000"/>
                </a:schemeClr>
              </a:solidFill>
            </a:ln>
          </c:spPr>
          <c:marker>
            <c:spPr>
              <a:solidFill>
                <a:schemeClr val="tx2">
                  <a:lumMod val="75000"/>
                </a:schemeClr>
              </a:solidFill>
              <a:ln>
                <a:solidFill>
                  <a:schemeClr val="tx2">
                    <a:lumMod val="75000"/>
                  </a:schemeClr>
                </a:solidFill>
              </a:ln>
            </c:spPr>
          </c:marker>
          <c:cat>
            <c:strRef>
              <c:f>Expenditure!$G$5:$G$45</c:f>
              <c:strCache>
                <c:ptCount val="41"/>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strCache>
            </c:strRef>
          </c:cat>
          <c:val>
            <c:numRef>
              <c:f>Expenditure!$H$5:$H$45</c:f>
              <c:numCache>
                <c:formatCode>General</c:formatCode>
                <c:ptCount val="41"/>
                <c:pt idx="0">
                  <c:v>1694709.88</c:v>
                </c:pt>
                <c:pt idx="1">
                  <c:v>1817517.89</c:v>
                </c:pt>
                <c:pt idx="2">
                  <c:v>1793736.6600000001</c:v>
                </c:pt>
                <c:pt idx="3">
                  <c:v>1978183.1300000004</c:v>
                </c:pt>
                <c:pt idx="4">
                  <c:v>1702769.71</c:v>
                </c:pt>
                <c:pt idx="5">
                  <c:v>1781953.61</c:v>
                </c:pt>
                <c:pt idx="6">
                  <c:v>1827734.1999999997</c:v>
                </c:pt>
                <c:pt idx="7">
                  <c:v>2063131.5999999999</c:v>
                </c:pt>
                <c:pt idx="8">
                  <c:v>1815416.2999999998</c:v>
                </c:pt>
                <c:pt idx="9">
                  <c:v>2003180.75</c:v>
                </c:pt>
                <c:pt idx="10">
                  <c:v>2020604.0000000002</c:v>
                </c:pt>
                <c:pt idx="11">
                  <c:v>2086957.55</c:v>
                </c:pt>
                <c:pt idx="12">
                  <c:v>1860813.68</c:v>
                </c:pt>
                <c:pt idx="13">
                  <c:v>2079240.66</c:v>
                </c:pt>
                <c:pt idx="14">
                  <c:v>2207041.37</c:v>
                </c:pt>
                <c:pt idx="15">
                  <c:v>2236680.1399999997</c:v>
                </c:pt>
                <c:pt idx="16">
                  <c:v>2047487.09</c:v>
                </c:pt>
                <c:pt idx="17">
                  <c:v>2234398.2199999997</c:v>
                </c:pt>
                <c:pt idx="18">
                  <c:v>2224599.64</c:v>
                </c:pt>
                <c:pt idx="19">
                  <c:v>2340616.5499999998</c:v>
                </c:pt>
                <c:pt idx="20">
                  <c:v>2135308.1799999997</c:v>
                </c:pt>
                <c:pt idx="21">
                  <c:v>2209192.85</c:v>
                </c:pt>
                <c:pt idx="22">
                  <c:v>2201536.33</c:v>
                </c:pt>
                <c:pt idx="23">
                  <c:v>2356826.9099999997</c:v>
                </c:pt>
                <c:pt idx="24">
                  <c:v>2176110.9400000004</c:v>
                </c:pt>
                <c:pt idx="25">
                  <c:v>2384257.98</c:v>
                </c:pt>
                <c:pt idx="26">
                  <c:v>2460187.0599999996</c:v>
                </c:pt>
                <c:pt idx="27">
                  <c:v>2527729.2600000002</c:v>
                </c:pt>
                <c:pt idx="28">
                  <c:v>2370208.4600000009</c:v>
                </c:pt>
                <c:pt idx="29">
                  <c:v>2403388.7399999998</c:v>
                </c:pt>
                <c:pt idx="30">
                  <c:v>2549551.7799999993</c:v>
                </c:pt>
                <c:pt idx="31">
                  <c:v>2780636.9999999991</c:v>
                </c:pt>
                <c:pt idx="32">
                  <c:v>2637944.25</c:v>
                </c:pt>
                <c:pt idx="33">
                  <c:v>2773507.77</c:v>
                </c:pt>
                <c:pt idx="34">
                  <c:v>2905464.56</c:v>
                </c:pt>
                <c:pt idx="35">
                  <c:v>3015746.3800000004</c:v>
                </c:pt>
                <c:pt idx="36">
                  <c:v>2829685.99</c:v>
                </c:pt>
                <c:pt idx="37">
                  <c:v>3163209.2200000007</c:v>
                </c:pt>
                <c:pt idx="38">
                  <c:v>3036346.1699999995</c:v>
                </c:pt>
                <c:pt idx="39">
                  <c:v>3397221.399999999</c:v>
                </c:pt>
                <c:pt idx="40">
                  <c:v>2689439.47</c:v>
                </c:pt>
              </c:numCache>
            </c:numRef>
          </c:val>
          <c:smooth val="0"/>
        </c:ser>
        <c:ser>
          <c:idx val="1"/>
          <c:order val="1"/>
          <c:tx>
            <c:strRef>
              <c:f>Expenditure!$I$4</c:f>
              <c:strCache>
                <c:ptCount val="1"/>
                <c:pt idx="0">
                  <c:v>Mannitol</c:v>
                </c:pt>
              </c:strCache>
            </c:strRef>
          </c:tx>
          <c:spPr>
            <a:ln>
              <a:solidFill>
                <a:srgbClr val="92D050"/>
              </a:solidFill>
            </a:ln>
          </c:spPr>
          <c:marker>
            <c:spPr>
              <a:solidFill>
                <a:srgbClr val="92D050"/>
              </a:solidFill>
              <a:ln>
                <a:solidFill>
                  <a:srgbClr val="92D050"/>
                </a:solidFill>
              </a:ln>
            </c:spPr>
          </c:marker>
          <c:cat>
            <c:strRef>
              <c:f>Expenditure!$G$5:$G$45</c:f>
              <c:strCache>
                <c:ptCount val="41"/>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strCache>
            </c:strRef>
          </c:cat>
          <c:val>
            <c:numRef>
              <c:f>Expenditure!$I$5:$I$45</c:f>
              <c:numCache>
                <c:formatCode>General</c:formatCode>
                <c:ptCount val="41"/>
                <c:pt idx="34">
                  <c:v>42208.07</c:v>
                </c:pt>
                <c:pt idx="35">
                  <c:v>88993.95</c:v>
                </c:pt>
                <c:pt idx="36">
                  <c:v>64892.52</c:v>
                </c:pt>
                <c:pt idx="37">
                  <c:v>118964.26</c:v>
                </c:pt>
                <c:pt idx="38">
                  <c:v>108792.29999999999</c:v>
                </c:pt>
                <c:pt idx="39">
                  <c:v>111792.80000000002</c:v>
                </c:pt>
                <c:pt idx="40">
                  <c:v>85591.400000000009</c:v>
                </c:pt>
              </c:numCache>
            </c:numRef>
          </c:val>
          <c:smooth val="0"/>
        </c:ser>
        <c:dLbls>
          <c:showLegendKey val="0"/>
          <c:showVal val="0"/>
          <c:showCatName val="0"/>
          <c:showSerName val="0"/>
          <c:showPercent val="0"/>
          <c:showBubbleSize val="0"/>
        </c:dLbls>
        <c:marker val="1"/>
        <c:smooth val="0"/>
        <c:axId val="94299264"/>
        <c:axId val="102105088"/>
      </c:lineChart>
      <c:catAx>
        <c:axId val="94299264"/>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102105088"/>
        <c:crosses val="autoZero"/>
        <c:auto val="1"/>
        <c:lblAlgn val="ctr"/>
        <c:lblOffset val="100"/>
        <c:noMultiLvlLbl val="0"/>
      </c:catAx>
      <c:valAx>
        <c:axId val="102105088"/>
        <c:scaling>
          <c:orientation val="minMax"/>
        </c:scaling>
        <c:delete val="0"/>
        <c:axPos val="l"/>
        <c:majorGridlines/>
        <c:title>
          <c:tx>
            <c:rich>
              <a:bodyPr rot="-5400000" vert="horz"/>
              <a:lstStyle/>
              <a:p>
                <a:pPr>
                  <a:defRPr/>
                </a:pPr>
                <a:r>
                  <a:rPr lang="en-AU" b="0"/>
                  <a:t>Expenditure</a:t>
                </a:r>
              </a:p>
            </c:rich>
          </c:tx>
          <c:overlay val="0"/>
        </c:title>
        <c:numFmt formatCode="&quot;$&quot;#,##0" sourceLinked="0"/>
        <c:majorTickMark val="out"/>
        <c:minorTickMark val="none"/>
        <c:tickLblPos val="nextTo"/>
        <c:crossAx val="94299264"/>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0.6085</cdr:x>
      <cdr:y>0.15065</cdr:y>
    </cdr:from>
    <cdr:to>
      <cdr:x>0.6085</cdr:x>
      <cdr:y>0.7214</cdr:y>
    </cdr:to>
    <cdr:cxnSp macro="">
      <cdr:nvCxnSpPr>
        <cdr:cNvPr id="2" name="Straight Connector 1"/>
        <cdr:cNvCxnSpPr/>
      </cdr:nvCxnSpPr>
      <cdr:spPr>
        <a:xfrm xmlns:a="http://schemas.openxmlformats.org/drawingml/2006/main" flipV="1">
          <a:off x="3460989" y="448573"/>
          <a:ext cx="0" cy="1699404"/>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0.55814</cdr:x>
      <cdr:y>0.19991</cdr:y>
    </cdr:from>
    <cdr:to>
      <cdr:x>0.71891</cdr:x>
      <cdr:y>0.50701</cdr:y>
    </cdr:to>
    <cdr:sp macro="" textlink="">
      <cdr:nvSpPr>
        <cdr:cNvPr id="3" name="Text Box 2"/>
        <cdr:cNvSpPr txBox="1"/>
      </cdr:nvSpPr>
      <cdr:spPr>
        <a:xfrm xmlns:a="http://schemas.openxmlformats.org/drawingml/2006/main">
          <a:off x="3174520" y="59522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0.51112</cdr:x>
      <cdr:y>0.09561</cdr:y>
    </cdr:from>
    <cdr:to>
      <cdr:x>0.73407</cdr:x>
      <cdr:y>0.27813</cdr:y>
    </cdr:to>
    <cdr:sp macro="" textlink="">
      <cdr:nvSpPr>
        <cdr:cNvPr id="4" name="Text Box 3"/>
        <cdr:cNvSpPr txBox="1"/>
      </cdr:nvSpPr>
      <cdr:spPr>
        <a:xfrm xmlns:a="http://schemas.openxmlformats.org/drawingml/2006/main">
          <a:off x="2907100" y="284673"/>
          <a:ext cx="1268084" cy="543464"/>
        </a:xfrm>
        <a:prstGeom xmlns:a="http://schemas.openxmlformats.org/drawingml/2006/main" prst="round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none" rtlCol="0" anchor="ctr"/>
        <a:lstStyle xmlns:a="http://schemas.openxmlformats.org/drawingml/2006/main"/>
        <a:p xmlns:a="http://schemas.openxmlformats.org/drawingml/2006/main">
          <a:pPr algn="ctr"/>
          <a:r>
            <a:rPr lang="en-AU" sz="800"/>
            <a:t>Extension</a:t>
          </a:r>
          <a:r>
            <a:rPr lang="en-AU" sz="800" baseline="0"/>
            <a:t> of dornase  listing </a:t>
          </a:r>
          <a:br>
            <a:rPr lang="en-AU" sz="800" baseline="0"/>
          </a:br>
          <a:r>
            <a:rPr lang="en-AU" sz="800" baseline="0"/>
            <a:t>for patients under 5 years</a:t>
          </a:r>
        </a:p>
        <a:p xmlns:a="http://schemas.openxmlformats.org/drawingml/2006/main">
          <a:pPr algn="ctr"/>
          <a:r>
            <a:rPr lang="en-AU" sz="800" baseline="0"/>
            <a:t>1 Nov 09</a:t>
          </a:r>
          <a:endParaRPr lang="en-AU" sz="800"/>
        </a:p>
      </cdr:txBody>
    </cdr:sp>
  </cdr:relSizeAnchor>
  <cdr:relSizeAnchor xmlns:cdr="http://schemas.openxmlformats.org/drawingml/2006/chartDrawing">
    <cdr:from>
      <cdr:x>0.83249</cdr:x>
      <cdr:y>0.14743</cdr:y>
    </cdr:from>
    <cdr:to>
      <cdr:x>0.83249</cdr:x>
      <cdr:y>0.71818</cdr:y>
    </cdr:to>
    <cdr:cxnSp macro="">
      <cdr:nvCxnSpPr>
        <cdr:cNvPr id="5" name="Straight Connector 4"/>
        <cdr:cNvCxnSpPr/>
      </cdr:nvCxnSpPr>
      <cdr:spPr>
        <a:xfrm xmlns:a="http://schemas.openxmlformats.org/drawingml/2006/main" flipV="1">
          <a:off x="4734943" y="438988"/>
          <a:ext cx="0" cy="1699404"/>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0.75379</cdr:x>
      <cdr:y>0.50701</cdr:y>
    </cdr:from>
    <cdr:to>
      <cdr:x>0.93276</cdr:x>
      <cdr:y>0.64028</cdr:y>
    </cdr:to>
    <cdr:sp macro="" textlink="">
      <cdr:nvSpPr>
        <cdr:cNvPr id="7" name="Text Box 6"/>
        <cdr:cNvSpPr txBox="1"/>
      </cdr:nvSpPr>
      <cdr:spPr>
        <a:xfrm xmlns:a="http://schemas.openxmlformats.org/drawingml/2006/main">
          <a:off x="4287327" y="1509622"/>
          <a:ext cx="1017917" cy="396816"/>
        </a:xfrm>
        <a:prstGeom xmlns:a="http://schemas.openxmlformats.org/drawingml/2006/main" prst="round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none" rtlCol="0" anchor="ctr"/>
        <a:lstStyle xmlns:a="http://schemas.openxmlformats.org/drawingml/2006/main"/>
        <a:p xmlns:a="http://schemas.openxmlformats.org/drawingml/2006/main">
          <a:pPr algn="ctr"/>
          <a:r>
            <a:rPr lang="en-AU" sz="800"/>
            <a:t>Mannitol PBS listed</a:t>
          </a:r>
        </a:p>
        <a:p xmlns:a="http://schemas.openxmlformats.org/drawingml/2006/main">
          <a:pPr algn="ctr"/>
          <a:r>
            <a:rPr lang="en-AU" sz="800"/>
            <a:t>1 Aug 12</a:t>
          </a:r>
        </a:p>
      </cdr:txBody>
    </cdr:sp>
  </cdr:relSizeAnchor>
</c:userShapes>
</file>

<file path=word/drawings/drawing2.xml><?xml version="1.0" encoding="utf-8"?>
<c:userShapes xmlns:c="http://schemas.openxmlformats.org/drawingml/2006/chart">
  <cdr:relSizeAnchor xmlns:cdr="http://schemas.openxmlformats.org/drawingml/2006/chartDrawing">
    <cdr:from>
      <cdr:x>0.62791</cdr:x>
      <cdr:y>0.14047</cdr:y>
    </cdr:from>
    <cdr:to>
      <cdr:x>0.62791</cdr:x>
      <cdr:y>0.73746</cdr:y>
    </cdr:to>
    <cdr:cxnSp macro="">
      <cdr:nvCxnSpPr>
        <cdr:cNvPr id="2" name="Straight Connector 1"/>
        <cdr:cNvCxnSpPr/>
      </cdr:nvCxnSpPr>
      <cdr:spPr>
        <a:xfrm xmlns:a="http://schemas.openxmlformats.org/drawingml/2006/main" flipV="1">
          <a:off x="3571335" y="448574"/>
          <a:ext cx="0" cy="1906438"/>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0.49595</cdr:x>
      <cdr:y>0.12156</cdr:y>
    </cdr:from>
    <cdr:to>
      <cdr:x>0.77199</cdr:x>
      <cdr:y>0.28904</cdr:y>
    </cdr:to>
    <cdr:sp macro="" textlink="">
      <cdr:nvSpPr>
        <cdr:cNvPr id="3" name="Text Box 2"/>
        <cdr:cNvSpPr txBox="1"/>
      </cdr:nvSpPr>
      <cdr:spPr>
        <a:xfrm xmlns:a="http://schemas.openxmlformats.org/drawingml/2006/main">
          <a:off x="2820835" y="388189"/>
          <a:ext cx="1570009" cy="534838"/>
        </a:xfrm>
        <a:prstGeom xmlns:a="http://schemas.openxmlformats.org/drawingml/2006/main" prst="round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none" rtlCol="0" anchor="ctr"/>
        <a:lstStyle xmlns:a="http://schemas.openxmlformats.org/drawingml/2006/main"/>
        <a:p xmlns:a="http://schemas.openxmlformats.org/drawingml/2006/main">
          <a:pPr algn="ctr"/>
          <a:r>
            <a:rPr lang="en-AU" sz="800"/>
            <a:t>Extension</a:t>
          </a:r>
          <a:r>
            <a:rPr lang="en-AU" sz="800" baseline="0"/>
            <a:t> of dornase listing </a:t>
          </a:r>
        </a:p>
        <a:p xmlns:a="http://schemas.openxmlformats.org/drawingml/2006/main">
          <a:pPr algn="ctr"/>
          <a:r>
            <a:rPr lang="en-AU" sz="800" baseline="0"/>
            <a:t>to include patients under 5 years. </a:t>
          </a:r>
        </a:p>
        <a:p xmlns:a="http://schemas.openxmlformats.org/drawingml/2006/main">
          <a:pPr algn="ctr"/>
          <a:r>
            <a:rPr lang="en-AU" sz="800" baseline="0"/>
            <a:t>1 Nov 09</a:t>
          </a:r>
          <a:endParaRPr lang="en-AU" sz="800"/>
        </a:p>
      </cdr:txBody>
    </cdr:sp>
  </cdr:relSizeAnchor>
  <cdr:relSizeAnchor xmlns:cdr="http://schemas.openxmlformats.org/drawingml/2006/chartDrawing">
    <cdr:from>
      <cdr:x>0.84007</cdr:x>
      <cdr:y>0.14557</cdr:y>
    </cdr:from>
    <cdr:to>
      <cdr:x>0.84007</cdr:x>
      <cdr:y>0.74256</cdr:y>
    </cdr:to>
    <cdr:cxnSp macro="">
      <cdr:nvCxnSpPr>
        <cdr:cNvPr id="4" name="Straight Connector 3"/>
        <cdr:cNvCxnSpPr/>
      </cdr:nvCxnSpPr>
      <cdr:spPr>
        <a:xfrm xmlns:a="http://schemas.openxmlformats.org/drawingml/2006/main" flipV="1">
          <a:off x="4778075" y="464869"/>
          <a:ext cx="0" cy="1906438"/>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0.78867</cdr:x>
      <cdr:y>0.52135</cdr:y>
    </cdr:from>
    <cdr:to>
      <cdr:x>0.94944</cdr:x>
      <cdr:y>0.80769</cdr:y>
    </cdr:to>
    <cdr:sp macro="" textlink="">
      <cdr:nvSpPr>
        <cdr:cNvPr id="6" name="Text Box 5"/>
        <cdr:cNvSpPr txBox="1"/>
      </cdr:nvSpPr>
      <cdr:spPr>
        <a:xfrm xmlns:a="http://schemas.openxmlformats.org/drawingml/2006/main">
          <a:off x="4485735" y="166489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800"/>
        </a:p>
      </cdr:txBody>
    </cdr:sp>
  </cdr:relSizeAnchor>
  <cdr:relSizeAnchor xmlns:cdr="http://schemas.openxmlformats.org/drawingml/2006/chartDrawing">
    <cdr:from>
      <cdr:x>0.79322</cdr:x>
      <cdr:y>0.54296</cdr:y>
    </cdr:from>
    <cdr:to>
      <cdr:x>0.95399</cdr:x>
      <cdr:y>0.8293</cdr:y>
    </cdr:to>
    <cdr:sp macro="" textlink="">
      <cdr:nvSpPr>
        <cdr:cNvPr id="7" name="Text Box 6"/>
        <cdr:cNvSpPr txBox="1"/>
      </cdr:nvSpPr>
      <cdr:spPr>
        <a:xfrm xmlns:a="http://schemas.openxmlformats.org/drawingml/2006/main">
          <a:off x="4511615" y="173391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0.76744</cdr:x>
      <cdr:y>0.52946</cdr:y>
    </cdr:from>
    <cdr:to>
      <cdr:x>0.94034</cdr:x>
      <cdr:y>0.65642</cdr:y>
    </cdr:to>
    <cdr:sp macro="" textlink="">
      <cdr:nvSpPr>
        <cdr:cNvPr id="8" name="Text Box 7"/>
        <cdr:cNvSpPr txBox="1"/>
      </cdr:nvSpPr>
      <cdr:spPr>
        <a:xfrm xmlns:a="http://schemas.openxmlformats.org/drawingml/2006/main">
          <a:off x="4364965" y="1690777"/>
          <a:ext cx="983412" cy="405442"/>
        </a:xfrm>
        <a:prstGeom xmlns:a="http://schemas.openxmlformats.org/drawingml/2006/main" prst="round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none" rtlCol="0" anchor="ctr"/>
        <a:lstStyle xmlns:a="http://schemas.openxmlformats.org/drawingml/2006/main"/>
        <a:p xmlns:a="http://schemas.openxmlformats.org/drawingml/2006/main">
          <a:pPr algn="ctr"/>
          <a:r>
            <a:rPr lang="en-AU" sz="800"/>
            <a:t>Mannitol PBS listed</a:t>
          </a:r>
        </a:p>
        <a:p xmlns:a="http://schemas.openxmlformats.org/drawingml/2006/main">
          <a:pPr algn="ctr"/>
          <a:r>
            <a:rPr lang="en-AU" sz="800"/>
            <a:t>1 Aug</a:t>
          </a:r>
          <a:r>
            <a:rPr lang="en-AU" sz="800" baseline="0"/>
            <a:t> 12</a:t>
          </a:r>
          <a:endParaRPr lang="en-AU"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6675D-192D-490C-BBB5-DA534FF3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3459</Words>
  <Characters>19722</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2015-03-03T02:59:00Z</dcterms:created>
  <dcterms:modified xsi:type="dcterms:W3CDTF">2015-03-03T02:59:00Z</dcterms:modified>
</cp:coreProperties>
</file>