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195C" w14:textId="77777777" w:rsidR="00FB2842" w:rsidRDefault="00195E71" w:rsidP="00584662">
      <w:pPr>
        <w:pStyle w:val="Title"/>
        <w:jc w:val="center"/>
      </w:pPr>
      <w:r>
        <w:rPr>
          <w:color w:val="2E5395"/>
        </w:rPr>
        <w:t>Update</w:t>
      </w:r>
      <w:r>
        <w:rPr>
          <w:color w:val="2E5395"/>
          <w:spacing w:val="-15"/>
        </w:rPr>
        <w:t xml:space="preserve"> </w:t>
      </w:r>
      <w:r>
        <w:rPr>
          <w:color w:val="2E5395"/>
        </w:rPr>
        <w:t>from</w:t>
      </w:r>
      <w:r>
        <w:rPr>
          <w:color w:val="2E5395"/>
          <w:spacing w:val="-14"/>
        </w:rPr>
        <w:t xml:space="preserve"> </w:t>
      </w:r>
      <w:r>
        <w:rPr>
          <w:color w:val="2E5395"/>
        </w:rPr>
        <w:t>the</w:t>
      </w:r>
      <w:r>
        <w:rPr>
          <w:color w:val="2E5395"/>
          <w:spacing w:val="-14"/>
        </w:rPr>
        <w:t xml:space="preserve"> </w:t>
      </w:r>
      <w:r>
        <w:rPr>
          <w:color w:val="2E5395"/>
        </w:rPr>
        <w:t>Pharmaceutical</w:t>
      </w:r>
      <w:r>
        <w:rPr>
          <w:color w:val="2E5395"/>
          <w:spacing w:val="-15"/>
        </w:rPr>
        <w:t xml:space="preserve"> </w:t>
      </w:r>
      <w:r>
        <w:rPr>
          <w:color w:val="2E5395"/>
        </w:rPr>
        <w:t>Benefits</w:t>
      </w:r>
      <w:r>
        <w:rPr>
          <w:color w:val="2E5395"/>
          <w:spacing w:val="-15"/>
        </w:rPr>
        <w:t xml:space="preserve"> </w:t>
      </w:r>
      <w:r>
        <w:rPr>
          <w:color w:val="2E5395"/>
        </w:rPr>
        <w:t>Advisory</w:t>
      </w:r>
      <w:r>
        <w:rPr>
          <w:color w:val="2E5395"/>
          <w:spacing w:val="-14"/>
        </w:rPr>
        <w:t xml:space="preserve"> </w:t>
      </w:r>
      <w:r>
        <w:rPr>
          <w:color w:val="2E5395"/>
          <w:spacing w:val="-2"/>
        </w:rPr>
        <w:t>Committee</w:t>
      </w:r>
    </w:p>
    <w:p w14:paraId="4F74195D" w14:textId="722D12D7" w:rsidR="00FB2842" w:rsidRDefault="00377D33" w:rsidP="00584662">
      <w:pPr>
        <w:spacing w:before="72"/>
        <w:ind w:left="100"/>
        <w:jc w:val="center"/>
        <w:rPr>
          <w:rFonts w:ascii="Calibri Light"/>
          <w:sz w:val="26"/>
        </w:rPr>
      </w:pPr>
      <w:r>
        <w:rPr>
          <w:rFonts w:ascii="Calibri Light"/>
          <w:color w:val="2E5395"/>
          <w:sz w:val="26"/>
        </w:rPr>
        <w:t>November</w:t>
      </w:r>
      <w:r w:rsidR="00195E71">
        <w:rPr>
          <w:rFonts w:ascii="Calibri Light"/>
          <w:color w:val="2E5395"/>
          <w:spacing w:val="-14"/>
          <w:sz w:val="26"/>
        </w:rPr>
        <w:t xml:space="preserve"> </w:t>
      </w:r>
      <w:r w:rsidR="00195E71">
        <w:rPr>
          <w:rFonts w:ascii="Calibri Light"/>
          <w:color w:val="2E5395"/>
          <w:spacing w:val="-4"/>
          <w:sz w:val="26"/>
        </w:rPr>
        <w:t>202</w:t>
      </w:r>
      <w:r w:rsidR="00D16F74">
        <w:rPr>
          <w:rFonts w:ascii="Calibri Light"/>
          <w:color w:val="2E5395"/>
          <w:spacing w:val="-4"/>
          <w:sz w:val="26"/>
        </w:rPr>
        <w:t>5</w:t>
      </w:r>
    </w:p>
    <w:p w14:paraId="4F74195F" w14:textId="00471EA5" w:rsidR="00FB2842" w:rsidRDefault="00592ED8" w:rsidP="005C5C76">
      <w:pPr>
        <w:pStyle w:val="BodyText"/>
        <w:spacing w:before="292"/>
        <w:ind w:left="0" w:right="62"/>
      </w:pPr>
      <w:r>
        <w:t xml:space="preserve">The latest meeting of the </w:t>
      </w:r>
      <w:r w:rsidR="00195E71">
        <w:t xml:space="preserve">Pharmaceutical Benefits Advisory Committee (PBAC) </w:t>
      </w:r>
      <w:r>
        <w:t xml:space="preserve">was held </w:t>
      </w:r>
      <w:r w:rsidR="00377D33">
        <w:t>5</w:t>
      </w:r>
      <w:r w:rsidR="00377D33" w:rsidRPr="00377D33">
        <w:rPr>
          <w:vertAlign w:val="superscript"/>
        </w:rPr>
        <w:t>th</w:t>
      </w:r>
      <w:r w:rsidR="00377D33">
        <w:t xml:space="preserve"> – 7</w:t>
      </w:r>
      <w:r w:rsidR="00377D33" w:rsidRPr="00377D33">
        <w:rPr>
          <w:vertAlign w:val="superscript"/>
        </w:rPr>
        <w:t>th</w:t>
      </w:r>
      <w:r w:rsidR="00377D33">
        <w:t xml:space="preserve"> November</w:t>
      </w:r>
      <w:r w:rsidR="00DC4E6B">
        <w:t xml:space="preserve"> 2025.</w:t>
      </w:r>
      <w:r w:rsidR="00B57768">
        <w:t xml:space="preserve"> </w:t>
      </w:r>
      <w:r w:rsidR="00744DB2">
        <w:t>T</w:t>
      </w:r>
      <w:r w:rsidR="00195E71">
        <w:t>his</w:t>
      </w:r>
      <w:r w:rsidR="00195E71">
        <w:rPr>
          <w:spacing w:val="-2"/>
        </w:rPr>
        <w:t xml:space="preserve"> </w:t>
      </w:r>
      <w:r w:rsidR="00195E71">
        <w:t>update</w:t>
      </w:r>
      <w:r w:rsidR="00195E71">
        <w:rPr>
          <w:spacing w:val="-2"/>
        </w:rPr>
        <w:t xml:space="preserve"> </w:t>
      </w:r>
      <w:r w:rsidR="00621C19">
        <w:t xml:space="preserve">aims to enhance </w:t>
      </w:r>
      <w:r w:rsidR="00D60307">
        <w:t xml:space="preserve">the Committee’s </w:t>
      </w:r>
      <w:r w:rsidR="007C7EE8">
        <w:t>communication to</w:t>
      </w:r>
      <w:r w:rsidR="00402282">
        <w:t xml:space="preserve"> all stakeholders</w:t>
      </w:r>
      <w:r w:rsidR="00621C19">
        <w:t xml:space="preserve"> separate to the formal minutes of the meeting which will be published as usual</w:t>
      </w:r>
      <w:r w:rsidR="00195E71">
        <w:t>.</w:t>
      </w:r>
    </w:p>
    <w:p w14:paraId="4F741960" w14:textId="77777777" w:rsidR="00FB2842" w:rsidRDefault="00FB2842" w:rsidP="005C5C76">
      <w:pPr>
        <w:pStyle w:val="BodyText"/>
        <w:spacing w:before="1"/>
        <w:ind w:left="0"/>
      </w:pPr>
    </w:p>
    <w:p w14:paraId="4F741961" w14:textId="77777777" w:rsidR="00FB2842" w:rsidRDefault="00195E71" w:rsidP="005C5C76">
      <w:pPr>
        <w:pStyle w:val="Heading1"/>
        <w:ind w:left="0"/>
      </w:pPr>
      <w:r>
        <w:t>Consumer</w:t>
      </w:r>
      <w:r>
        <w:rPr>
          <w:spacing w:val="-5"/>
        </w:rPr>
        <w:t xml:space="preserve"> </w:t>
      </w:r>
      <w:r>
        <w:t>and</w:t>
      </w:r>
      <w:r>
        <w:rPr>
          <w:spacing w:val="-6"/>
        </w:rPr>
        <w:t xml:space="preserve"> </w:t>
      </w:r>
      <w:r>
        <w:t>clinician</w:t>
      </w:r>
      <w:r>
        <w:rPr>
          <w:spacing w:val="-5"/>
        </w:rPr>
        <w:t xml:space="preserve"> </w:t>
      </w:r>
      <w:r>
        <w:t>input</w:t>
      </w:r>
      <w:r>
        <w:rPr>
          <w:spacing w:val="-5"/>
        </w:rPr>
        <w:t xml:space="preserve"> </w:t>
      </w:r>
      <w:r>
        <w:t>and</w:t>
      </w:r>
      <w:r>
        <w:rPr>
          <w:spacing w:val="-6"/>
        </w:rPr>
        <w:t xml:space="preserve"> </w:t>
      </w:r>
      <w:r>
        <w:rPr>
          <w:spacing w:val="-2"/>
        </w:rPr>
        <w:t>involvement</w:t>
      </w:r>
    </w:p>
    <w:p w14:paraId="1BE28A7A" w14:textId="77777777" w:rsidR="009B2B51" w:rsidRDefault="009B2B51" w:rsidP="005C5C76">
      <w:pPr>
        <w:pStyle w:val="BodyText"/>
        <w:ind w:left="0" w:right="62"/>
      </w:pPr>
    </w:p>
    <w:p w14:paraId="1772762C" w14:textId="7A5EA4BB" w:rsidR="00E910F9" w:rsidRDefault="00D103E8" w:rsidP="005C5C76">
      <w:pPr>
        <w:pStyle w:val="BodyText"/>
        <w:ind w:left="0" w:right="62"/>
        <w:rPr>
          <w:spacing w:val="-2"/>
        </w:rPr>
      </w:pPr>
      <w:r>
        <w:t>A</w:t>
      </w:r>
      <w:r w:rsidR="006C7AB4">
        <w:t xml:space="preserve"> final</w:t>
      </w:r>
      <w:r>
        <w:t xml:space="preserve"> </w:t>
      </w:r>
      <w:r w:rsidRPr="00303BA3">
        <w:rPr>
          <w:b/>
          <w:bCs/>
        </w:rPr>
        <w:t xml:space="preserve">total of </w:t>
      </w:r>
      <w:r w:rsidR="00243A9C" w:rsidRPr="00303BA3">
        <w:rPr>
          <w:b/>
          <w:bCs/>
        </w:rPr>
        <w:t>38</w:t>
      </w:r>
      <w:r w:rsidR="00B43F95" w:rsidRPr="00303BA3">
        <w:rPr>
          <w:b/>
          <w:bCs/>
        </w:rPr>
        <w:t xml:space="preserve"> </w:t>
      </w:r>
      <w:r w:rsidRPr="00303BA3">
        <w:rPr>
          <w:b/>
          <w:bCs/>
        </w:rPr>
        <w:t>submissions</w:t>
      </w:r>
      <w:r>
        <w:t xml:space="preserve"> were </w:t>
      </w:r>
      <w:r w:rsidR="00CC1C7C">
        <w:t xml:space="preserve">on the </w:t>
      </w:r>
      <w:r w:rsidR="00243A9C">
        <w:t>November</w:t>
      </w:r>
      <w:r w:rsidR="007A7009">
        <w:t xml:space="preserve"> 2025</w:t>
      </w:r>
      <w:r w:rsidR="00CC1C7C">
        <w:t xml:space="preserve"> meeting agenda</w:t>
      </w:r>
      <w:r w:rsidR="0015738C">
        <w:t>, of which</w:t>
      </w:r>
      <w:r w:rsidR="0015738C">
        <w:rPr>
          <w:spacing w:val="-2"/>
        </w:rPr>
        <w:t xml:space="preserve"> </w:t>
      </w:r>
      <w:r w:rsidR="00243A9C">
        <w:rPr>
          <w:spacing w:val="-2"/>
        </w:rPr>
        <w:t>28</w:t>
      </w:r>
      <w:r w:rsidR="0015738C">
        <w:rPr>
          <w:spacing w:val="-2"/>
        </w:rPr>
        <w:t xml:space="preserve"> </w:t>
      </w:r>
      <w:r w:rsidR="00F735FE">
        <w:rPr>
          <w:spacing w:val="-2"/>
        </w:rPr>
        <w:t>r</w:t>
      </w:r>
      <w:r w:rsidR="000921C8">
        <w:rPr>
          <w:spacing w:val="-2"/>
        </w:rPr>
        <w:t>equired external evaluation</w:t>
      </w:r>
      <w:r>
        <w:rPr>
          <w:spacing w:val="-2"/>
        </w:rPr>
        <w:t>. The submissions requiring external evaluations included</w:t>
      </w:r>
      <w:r w:rsidR="000921C8">
        <w:rPr>
          <w:spacing w:val="-2"/>
        </w:rPr>
        <w:t xml:space="preserve"> </w:t>
      </w:r>
      <w:r w:rsidR="0013486C">
        <w:rPr>
          <w:spacing w:val="-2"/>
        </w:rPr>
        <w:t>2</w:t>
      </w:r>
      <w:r w:rsidR="00303BA3">
        <w:rPr>
          <w:spacing w:val="-2"/>
        </w:rPr>
        <w:t>0</w:t>
      </w:r>
      <w:r w:rsidR="0013486C">
        <w:rPr>
          <w:spacing w:val="-2"/>
        </w:rPr>
        <w:t xml:space="preserve"> </w:t>
      </w:r>
      <w:r w:rsidR="000921C8">
        <w:rPr>
          <w:spacing w:val="-2"/>
        </w:rPr>
        <w:t>cost effectiveness/cost utility</w:t>
      </w:r>
      <w:r w:rsidR="00E363DA">
        <w:rPr>
          <w:spacing w:val="-2"/>
        </w:rPr>
        <w:t xml:space="preserve"> analyses,</w:t>
      </w:r>
      <w:r w:rsidR="000921C8">
        <w:rPr>
          <w:spacing w:val="-2"/>
        </w:rPr>
        <w:t xml:space="preserve"> and </w:t>
      </w:r>
      <w:r w:rsidR="00303BA3">
        <w:rPr>
          <w:spacing w:val="-2"/>
        </w:rPr>
        <w:t>8 cost minimization analyses</w:t>
      </w:r>
      <w:r w:rsidR="000921C8">
        <w:rPr>
          <w:spacing w:val="-2"/>
        </w:rPr>
        <w:t xml:space="preserve">. </w:t>
      </w:r>
    </w:p>
    <w:p w14:paraId="0CD37580" w14:textId="77777777" w:rsidR="00600E5A" w:rsidRDefault="00600E5A" w:rsidP="005C5C76">
      <w:pPr>
        <w:pStyle w:val="BodyText"/>
        <w:ind w:left="0" w:right="62"/>
        <w:rPr>
          <w:spacing w:val="-2"/>
        </w:rPr>
      </w:pPr>
    </w:p>
    <w:p w14:paraId="5BECC888" w14:textId="7A88C318" w:rsidR="006C3090" w:rsidRDefault="00962753" w:rsidP="005C5C76">
      <w:pPr>
        <w:pStyle w:val="BodyText"/>
        <w:ind w:left="0" w:right="62"/>
      </w:pPr>
      <w:r>
        <w:rPr>
          <w:spacing w:val="-2"/>
        </w:rPr>
        <w:t>In relation to the submissions, t</w:t>
      </w:r>
      <w:r w:rsidR="00195E71">
        <w:t>he Committee</w:t>
      </w:r>
      <w:r w:rsidR="00195E71">
        <w:rPr>
          <w:spacing w:val="-1"/>
        </w:rPr>
        <w:t xml:space="preserve"> </w:t>
      </w:r>
      <w:r>
        <w:rPr>
          <w:spacing w:val="-1"/>
        </w:rPr>
        <w:t xml:space="preserve">received </w:t>
      </w:r>
      <w:r>
        <w:rPr>
          <w:spacing w:val="-2"/>
        </w:rPr>
        <w:t>over</w:t>
      </w:r>
      <w:r w:rsidR="00377D33">
        <w:rPr>
          <w:spacing w:val="-2"/>
        </w:rPr>
        <w:t xml:space="preserve"> </w:t>
      </w:r>
      <w:r w:rsidR="00377D33" w:rsidRPr="00303BA3">
        <w:rPr>
          <w:b/>
          <w:bCs/>
          <w:spacing w:val="-2"/>
        </w:rPr>
        <w:t>1,681</w:t>
      </w:r>
      <w:r w:rsidR="0046602A" w:rsidRPr="00303BA3">
        <w:rPr>
          <w:b/>
          <w:bCs/>
          <w:spacing w:val="-2"/>
        </w:rPr>
        <w:t xml:space="preserve"> inputs</w:t>
      </w:r>
      <w:r w:rsidR="0046602A">
        <w:rPr>
          <w:spacing w:val="-2"/>
        </w:rPr>
        <w:t>, including</w:t>
      </w:r>
      <w:r>
        <w:rPr>
          <w:spacing w:val="-2"/>
        </w:rPr>
        <w:t xml:space="preserve"> inputs</w:t>
      </w:r>
      <w:r>
        <w:t xml:space="preserve"> from </w:t>
      </w:r>
      <w:r w:rsidR="00377D33">
        <w:t>1,212</w:t>
      </w:r>
      <w:r w:rsidR="00652046">
        <w:t xml:space="preserve"> </w:t>
      </w:r>
      <w:r>
        <w:t>individuals</w:t>
      </w:r>
      <w:r>
        <w:rPr>
          <w:spacing w:val="-3"/>
        </w:rPr>
        <w:t xml:space="preserve">, </w:t>
      </w:r>
      <w:r w:rsidR="00377D33">
        <w:rPr>
          <w:spacing w:val="-3"/>
        </w:rPr>
        <w:t>320</w:t>
      </w:r>
      <w:r w:rsidR="007B0BE7">
        <w:rPr>
          <w:spacing w:val="-3"/>
        </w:rPr>
        <w:t xml:space="preserve"> </w:t>
      </w:r>
      <w:r>
        <w:rPr>
          <w:spacing w:val="-3"/>
        </w:rPr>
        <w:t>comments provided by health care professionals,</w:t>
      </w:r>
      <w:r w:rsidR="0017500C">
        <w:t xml:space="preserve"> </w:t>
      </w:r>
      <w:r w:rsidR="00377D33">
        <w:t>82 submissions from health professional groups, a</w:t>
      </w:r>
      <w:r w:rsidR="00B21983">
        <w:t xml:space="preserve">nd </w:t>
      </w:r>
      <w:r w:rsidR="00A62304">
        <w:t>6</w:t>
      </w:r>
      <w:r w:rsidR="00377D33">
        <w:t>7</w:t>
      </w:r>
      <w:r w:rsidR="00E46157">
        <w:t xml:space="preserve"> </w:t>
      </w:r>
      <w:r>
        <w:t>submissions</w:t>
      </w:r>
      <w:r>
        <w:rPr>
          <w:spacing w:val="-1"/>
        </w:rPr>
        <w:t xml:space="preserve"> </w:t>
      </w:r>
      <w:r>
        <w:t>from patient</w:t>
      </w:r>
      <w:r>
        <w:rPr>
          <w:spacing w:val="-3"/>
        </w:rPr>
        <w:t xml:space="preserve"> </w:t>
      </w:r>
      <w:r>
        <w:t xml:space="preserve">organisations. The Committee acknowledged the </w:t>
      </w:r>
      <w:r w:rsidR="00BC3648">
        <w:t xml:space="preserve">importance of these </w:t>
      </w:r>
      <w:r w:rsidR="00864BE7">
        <w:t xml:space="preserve">contributions </w:t>
      </w:r>
      <w:r w:rsidR="00410BF8">
        <w:t xml:space="preserve">and </w:t>
      </w:r>
      <w:proofErr w:type="gramStart"/>
      <w:r w:rsidR="00C1799A">
        <w:t>thank</w:t>
      </w:r>
      <w:r w:rsidR="00715E82">
        <w:t>s</w:t>
      </w:r>
      <w:proofErr w:type="gramEnd"/>
      <w:r w:rsidR="00C1799A">
        <w:t xml:space="preserve"> </w:t>
      </w:r>
      <w:r w:rsidR="00B50B1F">
        <w:t>all</w:t>
      </w:r>
      <w:r w:rsidR="00133058">
        <w:t xml:space="preserve"> contributors</w:t>
      </w:r>
      <w:r w:rsidR="00B50B1F">
        <w:t xml:space="preserve"> </w:t>
      </w:r>
      <w:r w:rsidR="00C1799A">
        <w:t xml:space="preserve">for their </w:t>
      </w:r>
      <w:r w:rsidR="00195E71">
        <w:t xml:space="preserve">engagement and commitment </w:t>
      </w:r>
      <w:r w:rsidR="00D243A6">
        <w:t>to</w:t>
      </w:r>
      <w:r w:rsidR="00195E71">
        <w:t xml:space="preserve"> work with the PBAC to </w:t>
      </w:r>
      <w:r w:rsidR="00621C19">
        <w:t xml:space="preserve">better </w:t>
      </w:r>
      <w:r w:rsidR="00195E71">
        <w:t>support positive outcomes for patients.</w:t>
      </w:r>
    </w:p>
    <w:p w14:paraId="2AC60BD8" w14:textId="4159F641" w:rsidR="009D07EB" w:rsidRDefault="009D07EB" w:rsidP="00C45FB8">
      <w:pPr>
        <w:tabs>
          <w:tab w:val="left" w:pos="820"/>
        </w:tabs>
      </w:pPr>
    </w:p>
    <w:p w14:paraId="0132FC19" w14:textId="5EAA5305" w:rsidR="00C055F4" w:rsidRDefault="00C055F4" w:rsidP="008242E4">
      <w:pPr>
        <w:pStyle w:val="Heading1"/>
        <w:spacing w:before="41"/>
        <w:ind w:left="0"/>
      </w:pPr>
      <w:r>
        <w:t>PBAC considerations</w:t>
      </w:r>
    </w:p>
    <w:p w14:paraId="61AE9329" w14:textId="77777777" w:rsidR="00303BA3" w:rsidRDefault="00303BA3" w:rsidP="008242E4">
      <w:pPr>
        <w:pStyle w:val="Heading1"/>
        <w:spacing w:before="41"/>
        <w:ind w:left="0"/>
      </w:pPr>
    </w:p>
    <w:p w14:paraId="7AB758CF" w14:textId="16A452BF" w:rsidR="00000165" w:rsidRDefault="00303BA3" w:rsidP="008242E4">
      <w:pPr>
        <w:pStyle w:val="Heading1"/>
        <w:spacing w:before="41"/>
        <w:ind w:left="0"/>
      </w:pPr>
      <w:r>
        <w:t>Published Meeting Agenda</w:t>
      </w:r>
    </w:p>
    <w:p w14:paraId="5EB621C1" w14:textId="5510E55C" w:rsidR="00000165" w:rsidRDefault="00000165" w:rsidP="008242E4">
      <w:pPr>
        <w:pStyle w:val="Heading1"/>
        <w:spacing w:before="41"/>
        <w:ind w:left="0"/>
        <w:rPr>
          <w:b w:val="0"/>
          <w:bCs w:val="0"/>
        </w:rPr>
      </w:pPr>
      <w:r>
        <w:rPr>
          <w:b w:val="0"/>
          <w:bCs w:val="0"/>
        </w:rPr>
        <w:t>The PBAC noted the enhancements to the</w:t>
      </w:r>
      <w:r w:rsidR="00243A9C">
        <w:rPr>
          <w:b w:val="0"/>
          <w:bCs w:val="0"/>
        </w:rPr>
        <w:t xml:space="preserve"> PBAC Agenda published on the PBAC Website. These additional details </w:t>
      </w:r>
      <w:r w:rsidR="00D305B1">
        <w:rPr>
          <w:b w:val="0"/>
          <w:bCs w:val="0"/>
        </w:rPr>
        <w:t>are</w:t>
      </w:r>
      <w:r w:rsidR="00243A9C">
        <w:rPr>
          <w:b w:val="0"/>
          <w:bCs w:val="0"/>
        </w:rPr>
        <w:t xml:space="preserve"> </w:t>
      </w:r>
      <w:r w:rsidR="00303BA3">
        <w:rPr>
          <w:b w:val="0"/>
          <w:bCs w:val="0"/>
        </w:rPr>
        <w:t>intend</w:t>
      </w:r>
      <w:r w:rsidR="00243A9C">
        <w:rPr>
          <w:b w:val="0"/>
          <w:bCs w:val="0"/>
        </w:rPr>
        <w:t>ed to support stakeholders understanding of the intended PBS listing</w:t>
      </w:r>
      <w:r w:rsidR="00303BA3">
        <w:rPr>
          <w:b w:val="0"/>
          <w:bCs w:val="0"/>
        </w:rPr>
        <w:t xml:space="preserve"> as requested by the Sponsor of the submission</w:t>
      </w:r>
      <w:r w:rsidR="00243A9C">
        <w:rPr>
          <w:b w:val="0"/>
          <w:bCs w:val="0"/>
        </w:rPr>
        <w:t xml:space="preserve">, including the proposed </w:t>
      </w:r>
      <w:r w:rsidR="00303BA3">
        <w:rPr>
          <w:b w:val="0"/>
          <w:bCs w:val="0"/>
        </w:rPr>
        <w:t>prescribing restriction</w:t>
      </w:r>
      <w:r w:rsidR="00243A9C">
        <w:rPr>
          <w:b w:val="0"/>
          <w:bCs w:val="0"/>
        </w:rPr>
        <w:t xml:space="preserve">, and </w:t>
      </w:r>
      <w:r w:rsidR="00303BA3">
        <w:rPr>
          <w:b w:val="0"/>
          <w:bCs w:val="0"/>
        </w:rPr>
        <w:t>the purpose of the treatment. The PBAC noted that informal feedback to date indicated that these additions were being well received</w:t>
      </w:r>
      <w:r w:rsidR="00D305B1">
        <w:rPr>
          <w:b w:val="0"/>
          <w:bCs w:val="0"/>
        </w:rPr>
        <w:t xml:space="preserve"> by stakeholders wishing to provide input related to PBAC Agenda items.</w:t>
      </w:r>
    </w:p>
    <w:p w14:paraId="0A16744E" w14:textId="77777777" w:rsidR="00D305B1" w:rsidRPr="00021291" w:rsidRDefault="00D305B1" w:rsidP="008242E4">
      <w:pPr>
        <w:pStyle w:val="Heading1"/>
        <w:spacing w:before="41"/>
        <w:ind w:left="0"/>
      </w:pPr>
    </w:p>
    <w:p w14:paraId="1B279D72" w14:textId="481AD4B8" w:rsidR="00D305B1" w:rsidRPr="00021291" w:rsidRDefault="00D305B1" w:rsidP="008242E4">
      <w:pPr>
        <w:pStyle w:val="Heading1"/>
        <w:spacing w:before="41"/>
        <w:ind w:left="0"/>
      </w:pPr>
      <w:r w:rsidRPr="00021291">
        <w:t>Equitable Access to Obesity Treatments</w:t>
      </w:r>
    </w:p>
    <w:p w14:paraId="0E3F5499" w14:textId="7CAA4E72" w:rsidR="00D305B1" w:rsidRDefault="00D305B1" w:rsidP="008242E4">
      <w:pPr>
        <w:pStyle w:val="Heading1"/>
        <w:spacing w:before="41"/>
        <w:ind w:left="0"/>
        <w:rPr>
          <w:b w:val="0"/>
          <w:bCs w:val="0"/>
        </w:rPr>
      </w:pPr>
      <w:r>
        <w:rPr>
          <w:b w:val="0"/>
          <w:bCs w:val="0"/>
        </w:rPr>
        <w:t xml:space="preserve">The PBAC finalised its deliberations regarding the equitable access to GLP-1 obesity treatments in Australia, to respond to the request </w:t>
      </w:r>
      <w:r w:rsidR="00EF0D2A">
        <w:rPr>
          <w:b w:val="0"/>
          <w:bCs w:val="0"/>
        </w:rPr>
        <w:t xml:space="preserve">in March 2025 </w:t>
      </w:r>
      <w:r>
        <w:rPr>
          <w:b w:val="0"/>
          <w:bCs w:val="0"/>
        </w:rPr>
        <w:t xml:space="preserve">from the Minister for Health and Ageing and the Minister for Disability and the National Disability Insurance </w:t>
      </w:r>
      <w:r w:rsidR="00021291">
        <w:rPr>
          <w:b w:val="0"/>
          <w:bCs w:val="0"/>
        </w:rPr>
        <w:t>S</w:t>
      </w:r>
      <w:r>
        <w:rPr>
          <w:b w:val="0"/>
          <w:bCs w:val="0"/>
        </w:rPr>
        <w:t>cheme (NDIS)</w:t>
      </w:r>
      <w:r w:rsidR="00F7529B">
        <w:rPr>
          <w:b w:val="0"/>
          <w:bCs w:val="0"/>
        </w:rPr>
        <w:t xml:space="preserve"> - (The Minister)</w:t>
      </w:r>
      <w:r w:rsidR="00021291">
        <w:rPr>
          <w:b w:val="0"/>
          <w:bCs w:val="0"/>
        </w:rPr>
        <w:t xml:space="preserve"> for this advice</w:t>
      </w:r>
      <w:r w:rsidR="00EF0D2A">
        <w:rPr>
          <w:b w:val="0"/>
          <w:bCs w:val="0"/>
        </w:rPr>
        <w:t>.</w:t>
      </w:r>
    </w:p>
    <w:p w14:paraId="338775FC" w14:textId="77777777" w:rsidR="00C45FB8" w:rsidRDefault="00C45FB8" w:rsidP="008242E4">
      <w:pPr>
        <w:pStyle w:val="Heading1"/>
        <w:spacing w:before="41"/>
        <w:ind w:left="0"/>
        <w:rPr>
          <w:b w:val="0"/>
          <w:bCs w:val="0"/>
        </w:rPr>
      </w:pPr>
    </w:p>
    <w:p w14:paraId="0642DBA8" w14:textId="2D0BAA0D" w:rsidR="00021291" w:rsidRDefault="00021291" w:rsidP="008242E4">
      <w:pPr>
        <w:pStyle w:val="Heading1"/>
        <w:spacing w:before="41"/>
        <w:ind w:left="0"/>
        <w:rPr>
          <w:b w:val="0"/>
          <w:bCs w:val="0"/>
        </w:rPr>
      </w:pPr>
      <w:r>
        <w:rPr>
          <w:b w:val="0"/>
          <w:bCs w:val="0"/>
        </w:rPr>
        <w:t>The PBAC considered matters such as patient population needs, place in therapy of the various obesity medicines currently registered in Australia for the treatment of obesity, and models of service delivery that provide holistic and wraparound care.</w:t>
      </w:r>
    </w:p>
    <w:p w14:paraId="37482BA5" w14:textId="77777777" w:rsidR="005C1568" w:rsidRDefault="005C1568" w:rsidP="008242E4">
      <w:pPr>
        <w:pStyle w:val="Heading1"/>
        <w:spacing w:before="41"/>
        <w:ind w:left="0"/>
        <w:rPr>
          <w:b w:val="0"/>
          <w:bCs w:val="0"/>
        </w:rPr>
      </w:pPr>
    </w:p>
    <w:p w14:paraId="150F8C2E" w14:textId="461CC1FB" w:rsidR="00EF0D2A" w:rsidRDefault="00EF0D2A" w:rsidP="008242E4">
      <w:pPr>
        <w:pStyle w:val="Heading1"/>
        <w:spacing w:before="41"/>
        <w:ind w:left="0"/>
        <w:rPr>
          <w:b w:val="0"/>
          <w:bCs w:val="0"/>
        </w:rPr>
      </w:pPr>
      <w:r>
        <w:rPr>
          <w:b w:val="0"/>
          <w:bCs w:val="0"/>
        </w:rPr>
        <w:t xml:space="preserve">A comprehensive consultation was undertaken </w:t>
      </w:r>
      <w:r w:rsidR="00F7529B">
        <w:rPr>
          <w:b w:val="0"/>
          <w:bCs w:val="0"/>
        </w:rPr>
        <w:t xml:space="preserve">as part of the PBAC review, </w:t>
      </w:r>
      <w:r>
        <w:rPr>
          <w:b w:val="0"/>
          <w:bCs w:val="0"/>
        </w:rPr>
        <w:t xml:space="preserve">and PBAC noted that 540 public submissions were received through this process, including individuals who have used these medicines, health professionals, health and consumer organisations, and individuals who would like to access these medicines for their conditions. </w:t>
      </w:r>
    </w:p>
    <w:p w14:paraId="4397E807" w14:textId="77777777" w:rsidR="00C45FB8" w:rsidRDefault="00C45FB8" w:rsidP="008242E4">
      <w:pPr>
        <w:pStyle w:val="Heading1"/>
        <w:spacing w:before="41"/>
        <w:ind w:left="0"/>
        <w:rPr>
          <w:b w:val="0"/>
          <w:bCs w:val="0"/>
        </w:rPr>
      </w:pPr>
    </w:p>
    <w:p w14:paraId="7B305F23" w14:textId="28619B84" w:rsidR="00EF0D2A" w:rsidRDefault="00EF0D2A" w:rsidP="008242E4">
      <w:pPr>
        <w:pStyle w:val="Heading1"/>
        <w:spacing w:before="41"/>
        <w:ind w:left="0"/>
        <w:rPr>
          <w:b w:val="0"/>
          <w:bCs w:val="0"/>
        </w:rPr>
      </w:pPr>
      <w:r>
        <w:rPr>
          <w:b w:val="0"/>
          <w:bCs w:val="0"/>
        </w:rPr>
        <w:t>The PBAC noted that there is a high unmet clinical need for obesity treatments</w:t>
      </w:r>
      <w:r w:rsidR="00F7529B">
        <w:rPr>
          <w:b w:val="0"/>
          <w:bCs w:val="0"/>
        </w:rPr>
        <w:t>, and that there is clinical evidence for potential uses of GLP-1 medicines for a range of weight related comorbidities, but uncertainty regarding which patients may benefit the most, and subsequently equity issues in prioritizing access to medicines as well as supportive services and other interventions across Australia.</w:t>
      </w:r>
    </w:p>
    <w:p w14:paraId="13C8C98F" w14:textId="1E2F45D5" w:rsidR="00F7529B" w:rsidRDefault="00F7529B" w:rsidP="008242E4">
      <w:pPr>
        <w:pStyle w:val="Heading1"/>
        <w:spacing w:before="41"/>
        <w:ind w:left="0"/>
        <w:rPr>
          <w:b w:val="0"/>
          <w:bCs w:val="0"/>
        </w:rPr>
      </w:pPr>
      <w:r>
        <w:rPr>
          <w:b w:val="0"/>
          <w:bCs w:val="0"/>
        </w:rPr>
        <w:t>The PBAC advice will be finalised and referred to The Minister by the end of 2025.</w:t>
      </w:r>
    </w:p>
    <w:p w14:paraId="7C06D44E" w14:textId="77777777" w:rsidR="00C45FB8" w:rsidRDefault="00C45FB8" w:rsidP="008242E4">
      <w:pPr>
        <w:pStyle w:val="Heading1"/>
        <w:spacing w:before="41"/>
        <w:ind w:left="0"/>
      </w:pPr>
    </w:p>
    <w:p w14:paraId="4598FC91" w14:textId="65DA1FE7" w:rsidR="00F7529B" w:rsidRPr="008D73F5" w:rsidRDefault="008D73F5" w:rsidP="008242E4">
      <w:pPr>
        <w:pStyle w:val="Heading1"/>
        <w:spacing w:before="41"/>
        <w:ind w:left="0"/>
      </w:pPr>
      <w:r w:rsidRPr="008D73F5">
        <w:t>LSDP Referrals</w:t>
      </w:r>
    </w:p>
    <w:p w14:paraId="0E006A8B" w14:textId="2307B89D" w:rsidR="008D73F5" w:rsidRDefault="008D73F5" w:rsidP="008D73F5">
      <w:pPr>
        <w:pStyle w:val="Heading1"/>
        <w:spacing w:before="41"/>
        <w:ind w:left="0"/>
        <w:rPr>
          <w:b w:val="0"/>
          <w:bCs w:val="0"/>
        </w:rPr>
      </w:pPr>
      <w:r>
        <w:rPr>
          <w:b w:val="0"/>
          <w:bCs w:val="0"/>
        </w:rPr>
        <w:t xml:space="preserve">The PBAC considered 2 specific referrals from the LSDP Expert Panel for consideration, relating to medicines currently listed on the LSDP but which may now be eligible for reconsideration for PBS listing. These </w:t>
      </w:r>
      <w:proofErr w:type="gramStart"/>
      <w:r>
        <w:rPr>
          <w:b w:val="0"/>
          <w:bCs w:val="0"/>
        </w:rPr>
        <w:t>related</w:t>
      </w:r>
      <w:proofErr w:type="gramEnd"/>
      <w:r>
        <w:rPr>
          <w:b w:val="0"/>
          <w:bCs w:val="0"/>
        </w:rPr>
        <w:t xml:space="preserve"> to medicines for the treatment of Gaucher Disease and medicines for the treatment of Hereditary </w:t>
      </w:r>
      <w:proofErr w:type="spellStart"/>
      <w:r>
        <w:rPr>
          <w:b w:val="0"/>
          <w:bCs w:val="0"/>
        </w:rPr>
        <w:t>Tyrosinaemia</w:t>
      </w:r>
      <w:proofErr w:type="spellEnd"/>
      <w:r>
        <w:rPr>
          <w:b w:val="0"/>
          <w:bCs w:val="0"/>
        </w:rPr>
        <w:t xml:space="preserve"> Type 1. The items were deferred from the July 2025 PBAC meeting to allow consultations with the relevant patient groups and clinicians</w:t>
      </w:r>
      <w:r w:rsidR="00CB7F87">
        <w:rPr>
          <w:b w:val="0"/>
          <w:bCs w:val="0"/>
        </w:rPr>
        <w:t xml:space="preserve"> to</w:t>
      </w:r>
      <w:r>
        <w:rPr>
          <w:b w:val="0"/>
          <w:bCs w:val="0"/>
        </w:rPr>
        <w:t xml:space="preserve"> be held on various matters, including additional information regarding current dispensing and access arrangements for patients. </w:t>
      </w:r>
    </w:p>
    <w:p w14:paraId="4D2D160D" w14:textId="77777777" w:rsidR="00C45FB8" w:rsidRDefault="00C45FB8" w:rsidP="008D73F5">
      <w:pPr>
        <w:pStyle w:val="Heading1"/>
        <w:spacing w:before="41"/>
        <w:ind w:left="0"/>
        <w:rPr>
          <w:b w:val="0"/>
          <w:bCs w:val="0"/>
        </w:rPr>
      </w:pPr>
    </w:p>
    <w:p w14:paraId="199E1D96" w14:textId="35AD1C8D" w:rsidR="008D73F5" w:rsidRDefault="008D73F5" w:rsidP="008D73F5">
      <w:pPr>
        <w:pStyle w:val="Heading1"/>
        <w:spacing w:before="41"/>
        <w:ind w:left="0"/>
        <w:rPr>
          <w:b w:val="0"/>
          <w:bCs w:val="0"/>
        </w:rPr>
      </w:pPr>
      <w:r>
        <w:rPr>
          <w:b w:val="0"/>
          <w:bCs w:val="0"/>
        </w:rPr>
        <w:t xml:space="preserve">The PBAC considered the clinical and patient representative feedback from these consultations and matters </w:t>
      </w:r>
      <w:proofErr w:type="gramStart"/>
      <w:r>
        <w:rPr>
          <w:b w:val="0"/>
          <w:bCs w:val="0"/>
        </w:rPr>
        <w:t>arising, and</w:t>
      </w:r>
      <w:proofErr w:type="gramEnd"/>
      <w:r>
        <w:rPr>
          <w:b w:val="0"/>
          <w:bCs w:val="0"/>
        </w:rPr>
        <w:t xml:space="preserve"> noted the additional Sponsor inputs for this meeting.</w:t>
      </w:r>
      <w:r w:rsidR="00382355">
        <w:rPr>
          <w:b w:val="0"/>
          <w:bCs w:val="0"/>
        </w:rPr>
        <w:t xml:space="preserve"> The input received from clinical specialists and the patient representatives for these conditions was noted by PBAC to be highly relevant to their deliberations, and we are grateful for these inputs.</w:t>
      </w:r>
    </w:p>
    <w:p w14:paraId="709F2341" w14:textId="77777777" w:rsidR="00C45FB8" w:rsidRDefault="00C45FB8" w:rsidP="008D73F5">
      <w:pPr>
        <w:pStyle w:val="Heading1"/>
        <w:spacing w:before="41"/>
        <w:ind w:left="0"/>
        <w:rPr>
          <w:b w:val="0"/>
          <w:bCs w:val="0"/>
        </w:rPr>
      </w:pPr>
    </w:p>
    <w:p w14:paraId="7BBF5ED0" w14:textId="55B3DFD7" w:rsidR="008D73F5" w:rsidRDefault="008D73F5" w:rsidP="008D73F5">
      <w:pPr>
        <w:pStyle w:val="Heading1"/>
        <w:spacing w:before="41"/>
        <w:ind w:left="0"/>
        <w:rPr>
          <w:b w:val="0"/>
          <w:bCs w:val="0"/>
        </w:rPr>
      </w:pPr>
      <w:r>
        <w:rPr>
          <w:b w:val="0"/>
          <w:bCs w:val="0"/>
        </w:rPr>
        <w:t xml:space="preserve">The PBAC has </w:t>
      </w:r>
      <w:proofErr w:type="gramStart"/>
      <w:r>
        <w:rPr>
          <w:b w:val="0"/>
          <w:bCs w:val="0"/>
        </w:rPr>
        <w:t>referred</w:t>
      </w:r>
      <w:proofErr w:type="gramEnd"/>
      <w:r>
        <w:rPr>
          <w:b w:val="0"/>
          <w:bCs w:val="0"/>
        </w:rPr>
        <w:t xml:space="preserve"> advice back to the LSDP Expert Panel for their </w:t>
      </w:r>
      <w:proofErr w:type="gramStart"/>
      <w:r>
        <w:rPr>
          <w:b w:val="0"/>
          <w:bCs w:val="0"/>
        </w:rPr>
        <w:t>information, and</w:t>
      </w:r>
      <w:proofErr w:type="gramEnd"/>
      <w:r>
        <w:rPr>
          <w:b w:val="0"/>
          <w:bCs w:val="0"/>
        </w:rPr>
        <w:t xml:space="preserve"> </w:t>
      </w:r>
      <w:proofErr w:type="gramStart"/>
      <w:r w:rsidR="00382355">
        <w:rPr>
          <w:b w:val="0"/>
          <w:bCs w:val="0"/>
        </w:rPr>
        <w:t>now</w:t>
      </w:r>
      <w:proofErr w:type="gramEnd"/>
      <w:r w:rsidR="00382355">
        <w:rPr>
          <w:b w:val="0"/>
          <w:bCs w:val="0"/>
        </w:rPr>
        <w:t xml:space="preserve"> </w:t>
      </w:r>
      <w:r>
        <w:rPr>
          <w:b w:val="0"/>
          <w:bCs w:val="0"/>
        </w:rPr>
        <w:t xml:space="preserve">finalised these considerations. </w:t>
      </w:r>
    </w:p>
    <w:p w14:paraId="59340A5E" w14:textId="2DF42B5E" w:rsidR="00382355" w:rsidRDefault="00382355" w:rsidP="008D73F5">
      <w:pPr>
        <w:pStyle w:val="Heading1"/>
        <w:spacing w:before="41"/>
        <w:ind w:left="0"/>
        <w:rPr>
          <w:b w:val="0"/>
          <w:bCs w:val="0"/>
        </w:rPr>
      </w:pPr>
    </w:p>
    <w:p w14:paraId="608B75D9" w14:textId="12040287" w:rsidR="00382355" w:rsidRPr="00382355" w:rsidRDefault="00382355" w:rsidP="008D73F5">
      <w:pPr>
        <w:pStyle w:val="Heading1"/>
        <w:spacing w:before="41"/>
        <w:ind w:left="0"/>
      </w:pPr>
      <w:r w:rsidRPr="00382355">
        <w:t>Outcomes</w:t>
      </w:r>
    </w:p>
    <w:p w14:paraId="057EB3DC" w14:textId="77777777" w:rsidR="00382355" w:rsidRDefault="00382355" w:rsidP="008D73F5">
      <w:pPr>
        <w:pStyle w:val="Heading1"/>
        <w:spacing w:before="41"/>
        <w:ind w:left="0"/>
        <w:rPr>
          <w:b w:val="0"/>
          <w:bCs w:val="0"/>
        </w:rPr>
      </w:pPr>
      <w:r>
        <w:rPr>
          <w:b w:val="0"/>
          <w:bCs w:val="0"/>
        </w:rPr>
        <w:t>The Outcomes of the November 2025 PBAC Meeting will be published on the PBAC website on 19</w:t>
      </w:r>
      <w:r w:rsidRPr="00382355">
        <w:rPr>
          <w:b w:val="0"/>
          <w:bCs w:val="0"/>
          <w:vertAlign w:val="superscript"/>
        </w:rPr>
        <w:t>th</w:t>
      </w:r>
      <w:r>
        <w:rPr>
          <w:b w:val="0"/>
          <w:bCs w:val="0"/>
        </w:rPr>
        <w:t xml:space="preserve"> December 2025, at </w:t>
      </w:r>
    </w:p>
    <w:p w14:paraId="7086B972" w14:textId="3D8841D2" w:rsidR="00382355" w:rsidRPr="00A0733D" w:rsidRDefault="00382355" w:rsidP="008D73F5">
      <w:pPr>
        <w:pStyle w:val="Heading1"/>
        <w:spacing w:before="41"/>
        <w:ind w:left="0"/>
        <w:rPr>
          <w:b w:val="0"/>
          <w:bCs w:val="0"/>
        </w:rPr>
      </w:pPr>
      <w:hyperlink r:id="rId7" w:history="1">
        <w:r w:rsidRPr="00382355">
          <w:rPr>
            <w:rStyle w:val="Hyperlink"/>
            <w:b w:val="0"/>
            <w:bCs w:val="0"/>
          </w:rPr>
          <w:t>https://www.pbs.gov.au/info/industry/listing/elements/pbac-meetings/pbac-outcomes</w:t>
        </w:r>
      </w:hyperlink>
    </w:p>
    <w:p w14:paraId="1AB761BD" w14:textId="41040268" w:rsidR="008D73F5" w:rsidRDefault="008D73F5" w:rsidP="008242E4">
      <w:pPr>
        <w:pStyle w:val="Heading1"/>
        <w:spacing w:before="41"/>
        <w:ind w:left="0"/>
        <w:rPr>
          <w:b w:val="0"/>
          <w:bCs w:val="0"/>
        </w:rPr>
      </w:pPr>
    </w:p>
    <w:p w14:paraId="4F741976" w14:textId="7CE9E51E" w:rsidR="00FB2842" w:rsidRDefault="00195E71" w:rsidP="005C5C76">
      <w:pPr>
        <w:pStyle w:val="Heading1"/>
        <w:ind w:left="0"/>
      </w:pPr>
      <w:r>
        <w:t>Next</w:t>
      </w:r>
      <w:r>
        <w:rPr>
          <w:spacing w:val="-3"/>
        </w:rPr>
        <w:t xml:space="preserve"> </w:t>
      </w:r>
      <w:r>
        <w:t>PBAC</w:t>
      </w:r>
      <w:r>
        <w:rPr>
          <w:spacing w:val="-3"/>
        </w:rPr>
        <w:t xml:space="preserve"> </w:t>
      </w:r>
      <w:r>
        <w:rPr>
          <w:spacing w:val="-2"/>
        </w:rPr>
        <w:t>meeting</w:t>
      </w:r>
    </w:p>
    <w:p w14:paraId="6BD55A9B" w14:textId="77777777" w:rsidR="00454304" w:rsidRDefault="00454304" w:rsidP="005C5C76">
      <w:pPr>
        <w:pStyle w:val="BodyText"/>
        <w:ind w:left="0" w:right="62"/>
      </w:pPr>
    </w:p>
    <w:p w14:paraId="4F741978" w14:textId="5BA0EBC0" w:rsidR="00FB2842" w:rsidRDefault="00A2133D" w:rsidP="005C5C76">
      <w:pPr>
        <w:pStyle w:val="BodyText"/>
        <w:ind w:left="0" w:right="62"/>
      </w:pPr>
      <w:r>
        <w:t>The PBAC held a</w:t>
      </w:r>
      <w:r w:rsidR="008757F2">
        <w:rPr>
          <w:spacing w:val="-2"/>
        </w:rPr>
        <w:t xml:space="preserve"> </w:t>
      </w:r>
      <w:proofErr w:type="gramStart"/>
      <w:r w:rsidR="001E6BE9">
        <w:rPr>
          <w:spacing w:val="-2"/>
        </w:rPr>
        <w:t>1</w:t>
      </w:r>
      <w:r w:rsidR="008757F2">
        <w:rPr>
          <w:spacing w:val="-2"/>
        </w:rPr>
        <w:t xml:space="preserve"> day</w:t>
      </w:r>
      <w:proofErr w:type="gramEnd"/>
      <w:r w:rsidR="008757F2">
        <w:rPr>
          <w:spacing w:val="-2"/>
        </w:rPr>
        <w:t xml:space="preserve"> PBAC Intracycle meeting</w:t>
      </w:r>
      <w:r>
        <w:rPr>
          <w:spacing w:val="-2"/>
        </w:rPr>
        <w:t xml:space="preserve"> on</w:t>
      </w:r>
      <w:r w:rsidR="00195E71">
        <w:rPr>
          <w:spacing w:val="-2"/>
        </w:rPr>
        <w:t xml:space="preserve"> </w:t>
      </w:r>
      <w:r w:rsidR="00031698" w:rsidRPr="00031698">
        <w:rPr>
          <w:b/>
          <w:bCs/>
          <w:spacing w:val="-2"/>
        </w:rPr>
        <w:t>10</w:t>
      </w:r>
      <w:r w:rsidR="00031698" w:rsidRPr="00031698">
        <w:rPr>
          <w:b/>
          <w:bCs/>
          <w:spacing w:val="-2"/>
          <w:vertAlign w:val="superscript"/>
        </w:rPr>
        <w:t>th</w:t>
      </w:r>
      <w:r w:rsidR="00031698" w:rsidRPr="00031698">
        <w:rPr>
          <w:b/>
          <w:bCs/>
          <w:spacing w:val="-2"/>
        </w:rPr>
        <w:t xml:space="preserve"> December</w:t>
      </w:r>
      <w:r w:rsidR="00C85AFF" w:rsidRPr="00CC5F48">
        <w:rPr>
          <w:b/>
          <w:bCs/>
          <w:spacing w:val="-2"/>
        </w:rPr>
        <w:t xml:space="preserve"> 2025</w:t>
      </w:r>
      <w:r w:rsidR="00C85AFF">
        <w:rPr>
          <w:spacing w:val="-2"/>
        </w:rPr>
        <w:t xml:space="preserve">. </w:t>
      </w:r>
      <w:r w:rsidR="00C43439">
        <w:rPr>
          <w:spacing w:val="-2"/>
        </w:rPr>
        <w:t xml:space="preserve">The </w:t>
      </w:r>
      <w:proofErr w:type="gramStart"/>
      <w:r w:rsidR="00C43439">
        <w:rPr>
          <w:spacing w:val="-2"/>
        </w:rPr>
        <w:t>outcomes</w:t>
      </w:r>
      <w:proofErr w:type="gramEnd"/>
      <w:r w:rsidR="00C43439">
        <w:rPr>
          <w:spacing w:val="-2"/>
        </w:rPr>
        <w:t xml:space="preserve"> </w:t>
      </w:r>
      <w:proofErr w:type="gramStart"/>
      <w:r w:rsidR="00C43439">
        <w:rPr>
          <w:spacing w:val="-2"/>
        </w:rPr>
        <w:t>for</w:t>
      </w:r>
      <w:proofErr w:type="gramEnd"/>
      <w:r w:rsidR="00C43439">
        <w:rPr>
          <w:spacing w:val="-2"/>
        </w:rPr>
        <w:t xml:space="preserve"> this meeting will be </w:t>
      </w:r>
      <w:r w:rsidR="005F34E1">
        <w:rPr>
          <w:spacing w:val="-2"/>
        </w:rPr>
        <w:t xml:space="preserve">published on </w:t>
      </w:r>
      <w:r w:rsidR="004E6641">
        <w:rPr>
          <w:spacing w:val="-2"/>
        </w:rPr>
        <w:t>30 January 2026.</w:t>
      </w:r>
    </w:p>
    <w:p w14:paraId="2A17E3B8" w14:textId="77777777" w:rsidR="00454304" w:rsidRDefault="00454304" w:rsidP="005C5C76">
      <w:pPr>
        <w:pStyle w:val="BodyText"/>
        <w:ind w:left="0" w:right="62"/>
      </w:pPr>
    </w:p>
    <w:p w14:paraId="00B8B5FB" w14:textId="7B863A91" w:rsidR="00454304" w:rsidRDefault="00454304" w:rsidP="005C5C76">
      <w:pPr>
        <w:pStyle w:val="BodyText"/>
        <w:ind w:left="0" w:right="62"/>
      </w:pPr>
      <w:r>
        <w:t>Following that</w:t>
      </w:r>
      <w:r w:rsidR="00CC5F48">
        <w:t>,</w:t>
      </w:r>
      <w:r>
        <w:t xml:space="preserve"> the next </w:t>
      </w:r>
      <w:proofErr w:type="gramStart"/>
      <w:r w:rsidR="00CA5A8E">
        <w:t>3 day</w:t>
      </w:r>
      <w:proofErr w:type="gramEnd"/>
      <w:r w:rsidR="00CA5A8E">
        <w:t xml:space="preserve"> PBAC meeting is scheduled for </w:t>
      </w:r>
      <w:r w:rsidR="00031698" w:rsidRPr="00031698">
        <w:rPr>
          <w:b/>
          <w:bCs/>
        </w:rPr>
        <w:t>11-13</w:t>
      </w:r>
      <w:r w:rsidR="00031698" w:rsidRPr="00031698">
        <w:rPr>
          <w:b/>
          <w:bCs/>
          <w:vertAlign w:val="superscript"/>
        </w:rPr>
        <w:t>th</w:t>
      </w:r>
      <w:r w:rsidR="00031698" w:rsidRPr="00031698">
        <w:rPr>
          <w:b/>
          <w:bCs/>
        </w:rPr>
        <w:t xml:space="preserve"> March</w:t>
      </w:r>
      <w:r w:rsidR="00F74E1A" w:rsidRPr="00031698">
        <w:rPr>
          <w:b/>
          <w:bCs/>
        </w:rPr>
        <w:t xml:space="preserve"> 202</w:t>
      </w:r>
      <w:r w:rsidR="00031698" w:rsidRPr="00031698">
        <w:rPr>
          <w:b/>
          <w:bCs/>
        </w:rPr>
        <w:t>6</w:t>
      </w:r>
      <w:r w:rsidR="00226C6A">
        <w:t xml:space="preserve">. The </w:t>
      </w:r>
      <w:r w:rsidR="00994499">
        <w:t xml:space="preserve">public agenda and consumer portal </w:t>
      </w:r>
      <w:r w:rsidR="00AC7C5B">
        <w:t xml:space="preserve">were made available on </w:t>
      </w:r>
      <w:r w:rsidR="00031698">
        <w:t>19</w:t>
      </w:r>
      <w:r w:rsidR="00031698" w:rsidRPr="00031698">
        <w:rPr>
          <w:vertAlign w:val="superscript"/>
        </w:rPr>
        <w:t>th</w:t>
      </w:r>
      <w:r w:rsidR="00031698">
        <w:t xml:space="preserve"> November</w:t>
      </w:r>
      <w:r w:rsidR="00AC7C5B">
        <w:t xml:space="preserve"> 2025 </w:t>
      </w:r>
      <w:r w:rsidR="00C16580">
        <w:t>for this meeting, providing opportunity for input</w:t>
      </w:r>
      <w:r w:rsidR="00031698">
        <w:t>s</w:t>
      </w:r>
      <w:r w:rsidR="00C16580">
        <w:t xml:space="preserve"> </w:t>
      </w:r>
      <w:r w:rsidR="00813F19">
        <w:t>to be</w:t>
      </w:r>
      <w:r w:rsidR="001E6BE9">
        <w:t xml:space="preserve"> received</w:t>
      </w:r>
      <w:r w:rsidR="00813F19">
        <w:t xml:space="preserve"> t</w:t>
      </w:r>
      <w:r w:rsidR="00B27478">
        <w:t>ill</w:t>
      </w:r>
      <w:r w:rsidR="00813F19">
        <w:t xml:space="preserve"> </w:t>
      </w:r>
      <w:r w:rsidR="00000165" w:rsidRPr="00000165">
        <w:rPr>
          <w:b/>
          <w:bCs/>
        </w:rPr>
        <w:t>Midnight on Wednesday 21</w:t>
      </w:r>
      <w:r w:rsidR="00000165" w:rsidRPr="00000165">
        <w:rPr>
          <w:b/>
          <w:bCs/>
          <w:vertAlign w:val="superscript"/>
        </w:rPr>
        <w:t>st</w:t>
      </w:r>
      <w:r w:rsidR="00000165" w:rsidRPr="00000165">
        <w:rPr>
          <w:b/>
          <w:bCs/>
        </w:rPr>
        <w:t xml:space="preserve"> January</w:t>
      </w:r>
      <w:r w:rsidR="00CC5F48" w:rsidRPr="00000165">
        <w:rPr>
          <w:b/>
          <w:bCs/>
        </w:rPr>
        <w:t xml:space="preserve"> 202</w:t>
      </w:r>
      <w:r w:rsidR="00031698" w:rsidRPr="00000165">
        <w:rPr>
          <w:b/>
          <w:bCs/>
        </w:rPr>
        <w:t>6</w:t>
      </w:r>
      <w:r w:rsidR="00CC5F48">
        <w:t>.</w:t>
      </w:r>
    </w:p>
    <w:p w14:paraId="33412F0A" w14:textId="77777777" w:rsidR="00454304" w:rsidRDefault="00454304" w:rsidP="005C5C76">
      <w:pPr>
        <w:pStyle w:val="BodyText"/>
        <w:ind w:left="0" w:right="62"/>
      </w:pPr>
    </w:p>
    <w:p w14:paraId="7C5B72EE" w14:textId="77777777" w:rsidR="00454304" w:rsidRDefault="00454304" w:rsidP="005C5C76">
      <w:pPr>
        <w:pStyle w:val="BodyText"/>
        <w:ind w:left="0" w:right="62"/>
      </w:pPr>
    </w:p>
    <w:p w14:paraId="4F741979" w14:textId="0AA66178" w:rsidR="00FB2842" w:rsidRDefault="00C055F4" w:rsidP="005C5C76">
      <w:pPr>
        <w:pStyle w:val="BodyText"/>
        <w:ind w:left="0"/>
      </w:pPr>
      <w:r>
        <w:t>Robyn Ward</w:t>
      </w:r>
    </w:p>
    <w:p w14:paraId="4F74197A" w14:textId="1FCBEDD3" w:rsidR="00FB2842" w:rsidRDefault="00195E71" w:rsidP="005C5C76">
      <w:pPr>
        <w:pStyle w:val="BodyText"/>
        <w:ind w:left="0"/>
        <w:rPr>
          <w:spacing w:val="-2"/>
        </w:rPr>
      </w:pPr>
      <w:r>
        <w:t>Chair,</w:t>
      </w:r>
      <w:r>
        <w:rPr>
          <w:spacing w:val="-7"/>
        </w:rPr>
        <w:t xml:space="preserve"> </w:t>
      </w:r>
      <w:r>
        <w:t>Pharmaceutical</w:t>
      </w:r>
      <w:r>
        <w:rPr>
          <w:spacing w:val="-5"/>
        </w:rPr>
        <w:t xml:space="preserve"> </w:t>
      </w:r>
      <w:r>
        <w:t>Benefits</w:t>
      </w:r>
      <w:r>
        <w:rPr>
          <w:spacing w:val="-4"/>
        </w:rPr>
        <w:t xml:space="preserve"> </w:t>
      </w:r>
      <w:r>
        <w:t>Advisory</w:t>
      </w:r>
      <w:r>
        <w:rPr>
          <w:spacing w:val="-5"/>
        </w:rPr>
        <w:t xml:space="preserve"> </w:t>
      </w:r>
      <w:r>
        <w:rPr>
          <w:spacing w:val="-2"/>
        </w:rPr>
        <w:t>Committee</w:t>
      </w:r>
    </w:p>
    <w:p w14:paraId="06705C6F" w14:textId="77777777" w:rsidR="00232A1E" w:rsidRDefault="00232A1E" w:rsidP="005C5C76">
      <w:pPr>
        <w:pStyle w:val="BodyText"/>
        <w:ind w:left="0"/>
        <w:rPr>
          <w:spacing w:val="-2"/>
        </w:rPr>
      </w:pPr>
    </w:p>
    <w:p w14:paraId="6659E333" w14:textId="747457AC" w:rsidR="00232A1E" w:rsidRDefault="00232A1E" w:rsidP="005C5C76">
      <w:pPr>
        <w:pStyle w:val="BodyText"/>
        <w:ind w:left="0"/>
        <w:rPr>
          <w:spacing w:val="-2"/>
        </w:rPr>
      </w:pPr>
      <w:r>
        <w:rPr>
          <w:spacing w:val="-2"/>
        </w:rPr>
        <w:t>Jo Watson</w:t>
      </w:r>
    </w:p>
    <w:p w14:paraId="03B34760" w14:textId="4973118B" w:rsidR="00232A1E" w:rsidRDefault="00232A1E" w:rsidP="005C5C76">
      <w:pPr>
        <w:pStyle w:val="BodyText"/>
        <w:ind w:left="0"/>
      </w:pPr>
      <w:r>
        <w:rPr>
          <w:spacing w:val="-2"/>
        </w:rPr>
        <w:t xml:space="preserve">Deputy Chair, Pharmaceutical Benefits Advisory </w:t>
      </w:r>
      <w:r w:rsidR="00621C19">
        <w:rPr>
          <w:spacing w:val="-2"/>
        </w:rPr>
        <w:t>Committee</w:t>
      </w:r>
    </w:p>
    <w:sectPr w:rsidR="00232A1E">
      <w:headerReference w:type="even" r:id="rId8"/>
      <w:headerReference w:type="default" r:id="rId9"/>
      <w:footerReference w:type="even" r:id="rId10"/>
      <w:footerReference w:type="default" r:id="rId11"/>
      <w:headerReference w:type="first" r:id="rId12"/>
      <w:footerReference w:type="first" r:id="rId13"/>
      <w:pgSz w:w="11910" w:h="16840"/>
      <w:pgMar w:top="1380" w:right="134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7DC5A" w14:textId="77777777" w:rsidR="00D031D3" w:rsidRDefault="00D031D3" w:rsidP="00EB1808">
      <w:r>
        <w:separator/>
      </w:r>
    </w:p>
  </w:endnote>
  <w:endnote w:type="continuationSeparator" w:id="0">
    <w:p w14:paraId="2B519F24" w14:textId="77777777" w:rsidR="00D031D3" w:rsidRDefault="00D031D3" w:rsidP="00EB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0267F" w14:textId="4193F62E" w:rsidR="005C5C76" w:rsidRDefault="005C5C76">
    <w:pPr>
      <w:pStyle w:val="Footer"/>
    </w:pPr>
    <w:r>
      <w:rPr>
        <w:noProof/>
      </w:rPr>
      <mc:AlternateContent>
        <mc:Choice Requires="wps">
          <w:drawing>
            <wp:anchor distT="0" distB="0" distL="0" distR="0" simplePos="0" relativeHeight="251662336" behindDoc="0" locked="0" layoutInCell="1" allowOverlap="1" wp14:anchorId="645826E3" wp14:editId="0846D285">
              <wp:simplePos x="635" y="635"/>
              <wp:positionH relativeFrom="page">
                <wp:align>center</wp:align>
              </wp:positionH>
              <wp:positionV relativeFrom="page">
                <wp:align>bottom</wp:align>
              </wp:positionV>
              <wp:extent cx="622300" cy="376555"/>
              <wp:effectExtent l="0" t="0" r="6350" b="0"/>
              <wp:wrapNone/>
              <wp:docPr id="186725934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D8E2E57" w14:textId="229471B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826E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D8E2E57" w14:textId="229471B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F0E1" w14:textId="4545B445" w:rsidR="00EB1808" w:rsidRDefault="005C5C76">
    <w:pPr>
      <w:pStyle w:val="Footer"/>
      <w:jc w:val="center"/>
    </w:pPr>
    <w:r>
      <w:rPr>
        <w:noProof/>
      </w:rPr>
      <mc:AlternateContent>
        <mc:Choice Requires="wps">
          <w:drawing>
            <wp:anchor distT="0" distB="0" distL="0" distR="0" simplePos="0" relativeHeight="251663360" behindDoc="0" locked="0" layoutInCell="1" allowOverlap="1" wp14:anchorId="1E219D60" wp14:editId="20625106">
              <wp:simplePos x="847725" y="9896475"/>
              <wp:positionH relativeFrom="page">
                <wp:align>center</wp:align>
              </wp:positionH>
              <wp:positionV relativeFrom="page">
                <wp:align>bottom</wp:align>
              </wp:positionV>
              <wp:extent cx="622300" cy="376555"/>
              <wp:effectExtent l="0" t="0" r="6350" b="0"/>
              <wp:wrapNone/>
              <wp:docPr id="37463849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911CB0B" w14:textId="7AA748C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219D60" id="_x0000_t202" coordsize="21600,21600" o:spt="202" path="m,l,21600r21600,l21600,xe">
              <v:stroke joinstyle="miter"/>
              <v:path gradientshapeok="t" o:connecttype="rect"/>
            </v:shapetype>
            <v:shape id="Text Box 6" o:spid="_x0000_s1029" type="#_x0000_t202" alt="OFFICIAL" style="position:absolute;left:0;text-align:left;margin-left:0;margin-top:0;width:49pt;height:29.6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911CB0B" w14:textId="7AA748C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v:textbox>
              <w10:wrap anchorx="page" anchory="page"/>
            </v:shape>
          </w:pict>
        </mc:Fallback>
      </mc:AlternateContent>
    </w:r>
    <w:sdt>
      <w:sdtPr>
        <w:id w:val="2072301047"/>
        <w:docPartObj>
          <w:docPartGallery w:val="Page Numbers (Bottom of Page)"/>
          <w:docPartUnique/>
        </w:docPartObj>
      </w:sdtPr>
      <w:sdtEndPr>
        <w:rPr>
          <w:noProof/>
        </w:rPr>
      </w:sdtEndPr>
      <w:sdtContent>
        <w:r w:rsidR="00EB1808">
          <w:fldChar w:fldCharType="begin"/>
        </w:r>
        <w:r w:rsidR="00EB1808">
          <w:instrText xml:space="preserve"> PAGE   \* MERGEFORMAT </w:instrText>
        </w:r>
        <w:r w:rsidR="00EB1808">
          <w:fldChar w:fldCharType="separate"/>
        </w:r>
        <w:r w:rsidR="00EB1808">
          <w:rPr>
            <w:noProof/>
          </w:rPr>
          <w:t>2</w:t>
        </w:r>
        <w:r w:rsidR="00EB1808">
          <w:rPr>
            <w:noProof/>
          </w:rPr>
          <w:fldChar w:fldCharType="end"/>
        </w:r>
      </w:sdtContent>
    </w:sdt>
  </w:p>
  <w:p w14:paraId="1A2183C6" w14:textId="77777777" w:rsidR="00EB1808" w:rsidRDefault="00EB18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1298" w14:textId="6D2BD051" w:rsidR="005C5C76" w:rsidRDefault="005C5C76">
    <w:pPr>
      <w:pStyle w:val="Footer"/>
    </w:pPr>
    <w:r>
      <w:rPr>
        <w:noProof/>
      </w:rPr>
      <mc:AlternateContent>
        <mc:Choice Requires="wps">
          <w:drawing>
            <wp:anchor distT="0" distB="0" distL="0" distR="0" simplePos="0" relativeHeight="251661312" behindDoc="0" locked="0" layoutInCell="1" allowOverlap="1" wp14:anchorId="44E39B47" wp14:editId="20699632">
              <wp:simplePos x="635" y="635"/>
              <wp:positionH relativeFrom="page">
                <wp:align>center</wp:align>
              </wp:positionH>
              <wp:positionV relativeFrom="page">
                <wp:align>bottom</wp:align>
              </wp:positionV>
              <wp:extent cx="622300" cy="376555"/>
              <wp:effectExtent l="0" t="0" r="6350" b="0"/>
              <wp:wrapNone/>
              <wp:docPr id="201966061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95387C7" w14:textId="748CB15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4E39B47"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595387C7" w14:textId="748CB15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22B33" w14:textId="77777777" w:rsidR="00D031D3" w:rsidRDefault="00D031D3" w:rsidP="00EB1808">
      <w:r>
        <w:separator/>
      </w:r>
    </w:p>
  </w:footnote>
  <w:footnote w:type="continuationSeparator" w:id="0">
    <w:p w14:paraId="3EBD70C4" w14:textId="77777777" w:rsidR="00D031D3" w:rsidRDefault="00D031D3" w:rsidP="00EB18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353F7" w14:textId="69C75BBC" w:rsidR="005C5C76" w:rsidRDefault="005C5C76">
    <w:pPr>
      <w:pStyle w:val="Header"/>
    </w:pPr>
    <w:r>
      <w:rPr>
        <w:noProof/>
      </w:rPr>
      <mc:AlternateContent>
        <mc:Choice Requires="wps">
          <w:drawing>
            <wp:anchor distT="0" distB="0" distL="0" distR="0" simplePos="0" relativeHeight="251659264" behindDoc="0" locked="0" layoutInCell="1" allowOverlap="1" wp14:anchorId="201738A7" wp14:editId="1605FC1B">
              <wp:simplePos x="635" y="635"/>
              <wp:positionH relativeFrom="page">
                <wp:align>center</wp:align>
              </wp:positionH>
              <wp:positionV relativeFrom="page">
                <wp:align>top</wp:align>
              </wp:positionV>
              <wp:extent cx="622300" cy="376555"/>
              <wp:effectExtent l="0" t="0" r="6350" b="4445"/>
              <wp:wrapNone/>
              <wp:docPr id="94938091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A497D66" w14:textId="605C6A2D"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1738A7"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2A497D66" w14:textId="605C6A2D"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7BB8" w14:textId="289911ED" w:rsidR="005C5C76" w:rsidRDefault="005C5C76">
    <w:pPr>
      <w:pStyle w:val="Header"/>
    </w:pPr>
    <w:r>
      <w:rPr>
        <w:noProof/>
      </w:rPr>
      <mc:AlternateContent>
        <mc:Choice Requires="wps">
          <w:drawing>
            <wp:anchor distT="0" distB="0" distL="0" distR="0" simplePos="0" relativeHeight="251660288" behindDoc="0" locked="0" layoutInCell="1" allowOverlap="1" wp14:anchorId="135169D2" wp14:editId="404AF6BD">
              <wp:simplePos x="847725" y="457200"/>
              <wp:positionH relativeFrom="page">
                <wp:align>center</wp:align>
              </wp:positionH>
              <wp:positionV relativeFrom="page">
                <wp:align>top</wp:align>
              </wp:positionV>
              <wp:extent cx="622300" cy="376555"/>
              <wp:effectExtent l="0" t="0" r="6350" b="4445"/>
              <wp:wrapNone/>
              <wp:docPr id="617790257"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D5DF8A9" w14:textId="1919738B"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5169D2"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D5DF8A9" w14:textId="1919738B"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FECB8" w14:textId="6A15B425" w:rsidR="005C5C76" w:rsidRDefault="005C5C76">
    <w:pPr>
      <w:pStyle w:val="Header"/>
    </w:pPr>
    <w:r>
      <w:rPr>
        <w:noProof/>
      </w:rPr>
      <mc:AlternateContent>
        <mc:Choice Requires="wps">
          <w:drawing>
            <wp:anchor distT="0" distB="0" distL="0" distR="0" simplePos="0" relativeHeight="251658240" behindDoc="0" locked="0" layoutInCell="1" allowOverlap="1" wp14:anchorId="5DACEF6B" wp14:editId="3769297F">
              <wp:simplePos x="635" y="635"/>
              <wp:positionH relativeFrom="page">
                <wp:align>center</wp:align>
              </wp:positionH>
              <wp:positionV relativeFrom="page">
                <wp:align>top</wp:align>
              </wp:positionV>
              <wp:extent cx="622300" cy="376555"/>
              <wp:effectExtent l="0" t="0" r="6350" b="4445"/>
              <wp:wrapNone/>
              <wp:docPr id="17350801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CE0E136" w14:textId="5A2CD14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ACEF6B"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7CE0E136" w14:textId="5A2CD14C" w:rsidR="005C5C76" w:rsidRPr="005C5C76" w:rsidRDefault="005C5C76" w:rsidP="005C5C76">
                    <w:pPr>
                      <w:rPr>
                        <w:rFonts w:ascii="Aptos" w:eastAsia="Aptos" w:hAnsi="Aptos" w:cs="Aptos"/>
                        <w:noProof/>
                        <w:color w:val="FF0000"/>
                        <w:sz w:val="24"/>
                        <w:szCs w:val="24"/>
                      </w:rPr>
                    </w:pPr>
                    <w:r w:rsidRPr="005C5C76">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43043"/>
    <w:multiLevelType w:val="multilevel"/>
    <w:tmpl w:val="87A8E1F0"/>
    <w:lvl w:ilvl="0">
      <w:start w:val="1"/>
      <w:numFmt w:val="decimal"/>
      <w:lvlText w:val="%1"/>
      <w:lvlJc w:val="left"/>
      <w:pPr>
        <w:ind w:left="720" w:hanging="720"/>
      </w:pPr>
      <w:rPr>
        <w:rFonts w:hint="default"/>
        <w:b/>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F9208D"/>
    <w:multiLevelType w:val="hybridMultilevel"/>
    <w:tmpl w:val="C6ECDFF2"/>
    <w:lvl w:ilvl="0" w:tplc="5490920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0615E7"/>
    <w:multiLevelType w:val="hybridMultilevel"/>
    <w:tmpl w:val="AB4C0B6C"/>
    <w:lvl w:ilvl="0" w:tplc="2342FBC8">
      <w:numFmt w:val="bullet"/>
      <w:lvlText w:val="-"/>
      <w:lvlJc w:val="left"/>
      <w:pPr>
        <w:ind w:left="460" w:hanging="360"/>
      </w:pPr>
      <w:rPr>
        <w:rFonts w:ascii="Calibri" w:eastAsia="Calibri" w:hAnsi="Calibri" w:cs="Calibri"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abstractNum w:abstractNumId="3" w15:restartNumberingAfterBreak="0">
    <w:nsid w:val="33FD25D1"/>
    <w:multiLevelType w:val="hybridMultilevel"/>
    <w:tmpl w:val="1E50259C"/>
    <w:lvl w:ilvl="0" w:tplc="1EEEE992">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06F4111E">
      <w:numFmt w:val="bullet"/>
      <w:lvlText w:val="•"/>
      <w:lvlJc w:val="left"/>
      <w:pPr>
        <w:ind w:left="1660" w:hanging="360"/>
      </w:pPr>
      <w:rPr>
        <w:rFonts w:hint="default"/>
        <w:lang w:val="en-US" w:eastAsia="en-US" w:bidi="ar-SA"/>
      </w:rPr>
    </w:lvl>
    <w:lvl w:ilvl="2" w:tplc="0F8AA5BE">
      <w:numFmt w:val="bullet"/>
      <w:lvlText w:val="•"/>
      <w:lvlJc w:val="left"/>
      <w:pPr>
        <w:ind w:left="2501" w:hanging="360"/>
      </w:pPr>
      <w:rPr>
        <w:rFonts w:hint="default"/>
        <w:lang w:val="en-US" w:eastAsia="en-US" w:bidi="ar-SA"/>
      </w:rPr>
    </w:lvl>
    <w:lvl w:ilvl="3" w:tplc="E4C87902">
      <w:numFmt w:val="bullet"/>
      <w:lvlText w:val="•"/>
      <w:lvlJc w:val="left"/>
      <w:pPr>
        <w:ind w:left="3341" w:hanging="360"/>
      </w:pPr>
      <w:rPr>
        <w:rFonts w:hint="default"/>
        <w:lang w:val="en-US" w:eastAsia="en-US" w:bidi="ar-SA"/>
      </w:rPr>
    </w:lvl>
    <w:lvl w:ilvl="4" w:tplc="A08ED9AA">
      <w:numFmt w:val="bullet"/>
      <w:lvlText w:val="•"/>
      <w:lvlJc w:val="left"/>
      <w:pPr>
        <w:ind w:left="4182" w:hanging="360"/>
      </w:pPr>
      <w:rPr>
        <w:rFonts w:hint="default"/>
        <w:lang w:val="en-US" w:eastAsia="en-US" w:bidi="ar-SA"/>
      </w:rPr>
    </w:lvl>
    <w:lvl w:ilvl="5" w:tplc="C9E62354">
      <w:numFmt w:val="bullet"/>
      <w:lvlText w:val="•"/>
      <w:lvlJc w:val="left"/>
      <w:pPr>
        <w:ind w:left="5023" w:hanging="360"/>
      </w:pPr>
      <w:rPr>
        <w:rFonts w:hint="default"/>
        <w:lang w:val="en-US" w:eastAsia="en-US" w:bidi="ar-SA"/>
      </w:rPr>
    </w:lvl>
    <w:lvl w:ilvl="6" w:tplc="A6BE4B3C">
      <w:numFmt w:val="bullet"/>
      <w:lvlText w:val="•"/>
      <w:lvlJc w:val="left"/>
      <w:pPr>
        <w:ind w:left="5863" w:hanging="360"/>
      </w:pPr>
      <w:rPr>
        <w:rFonts w:hint="default"/>
        <w:lang w:val="en-US" w:eastAsia="en-US" w:bidi="ar-SA"/>
      </w:rPr>
    </w:lvl>
    <w:lvl w:ilvl="7" w:tplc="B862FAF6">
      <w:numFmt w:val="bullet"/>
      <w:lvlText w:val="•"/>
      <w:lvlJc w:val="left"/>
      <w:pPr>
        <w:ind w:left="6704" w:hanging="360"/>
      </w:pPr>
      <w:rPr>
        <w:rFonts w:hint="default"/>
        <w:lang w:val="en-US" w:eastAsia="en-US" w:bidi="ar-SA"/>
      </w:rPr>
    </w:lvl>
    <w:lvl w:ilvl="8" w:tplc="3A6CD146">
      <w:numFmt w:val="bullet"/>
      <w:lvlText w:val="•"/>
      <w:lvlJc w:val="left"/>
      <w:pPr>
        <w:ind w:left="7545" w:hanging="360"/>
      </w:pPr>
      <w:rPr>
        <w:rFonts w:hint="default"/>
        <w:lang w:val="en-US" w:eastAsia="en-US" w:bidi="ar-SA"/>
      </w:rPr>
    </w:lvl>
  </w:abstractNum>
  <w:abstractNum w:abstractNumId="4" w15:restartNumberingAfterBreak="0">
    <w:nsid w:val="64E90280"/>
    <w:multiLevelType w:val="hybridMultilevel"/>
    <w:tmpl w:val="2E18A0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84D033C"/>
    <w:multiLevelType w:val="multilevel"/>
    <w:tmpl w:val="ADFC393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hint="default"/>
        <w:i w:val="0"/>
        <w:color w:val="auto"/>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233125074">
    <w:abstractNumId w:val="3"/>
  </w:num>
  <w:num w:numId="2" w16cid:durableId="956528691">
    <w:abstractNumId w:val="2"/>
  </w:num>
  <w:num w:numId="3" w16cid:durableId="1578437594">
    <w:abstractNumId w:val="5"/>
  </w:num>
  <w:num w:numId="4" w16cid:durableId="611863128">
    <w:abstractNumId w:val="0"/>
  </w:num>
  <w:num w:numId="5" w16cid:durableId="1561021310">
    <w:abstractNumId w:val="4"/>
  </w:num>
  <w:num w:numId="6" w16cid:durableId="114838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842"/>
    <w:rsid w:val="00000165"/>
    <w:rsid w:val="000200F7"/>
    <w:rsid w:val="00021291"/>
    <w:rsid w:val="00031698"/>
    <w:rsid w:val="000554C3"/>
    <w:rsid w:val="000557E3"/>
    <w:rsid w:val="00060E1E"/>
    <w:rsid w:val="00085A29"/>
    <w:rsid w:val="000875A9"/>
    <w:rsid w:val="000921C8"/>
    <w:rsid w:val="000A0D31"/>
    <w:rsid w:val="000A0E63"/>
    <w:rsid w:val="000A7E36"/>
    <w:rsid w:val="000B14FA"/>
    <w:rsid w:val="000D26F3"/>
    <w:rsid w:val="000D5ABB"/>
    <w:rsid w:val="000D7A41"/>
    <w:rsid w:val="000E40CA"/>
    <w:rsid w:val="000E5C33"/>
    <w:rsid w:val="000E769C"/>
    <w:rsid w:val="000F06B6"/>
    <w:rsid w:val="0011478E"/>
    <w:rsid w:val="00117180"/>
    <w:rsid w:val="001177D9"/>
    <w:rsid w:val="001223B4"/>
    <w:rsid w:val="00130D6C"/>
    <w:rsid w:val="00132DC1"/>
    <w:rsid w:val="00133058"/>
    <w:rsid w:val="0013346C"/>
    <w:rsid w:val="001336AE"/>
    <w:rsid w:val="0013486C"/>
    <w:rsid w:val="00134F3E"/>
    <w:rsid w:val="001354B8"/>
    <w:rsid w:val="0014386D"/>
    <w:rsid w:val="00150797"/>
    <w:rsid w:val="0015738C"/>
    <w:rsid w:val="001600E3"/>
    <w:rsid w:val="00160AD7"/>
    <w:rsid w:val="001633BC"/>
    <w:rsid w:val="00164470"/>
    <w:rsid w:val="0016536F"/>
    <w:rsid w:val="00166802"/>
    <w:rsid w:val="001704DB"/>
    <w:rsid w:val="0017500C"/>
    <w:rsid w:val="0017618E"/>
    <w:rsid w:val="001842C6"/>
    <w:rsid w:val="0019262C"/>
    <w:rsid w:val="00195E71"/>
    <w:rsid w:val="001A0FF3"/>
    <w:rsid w:val="001A71FE"/>
    <w:rsid w:val="001C08CC"/>
    <w:rsid w:val="001C1634"/>
    <w:rsid w:val="001C57D6"/>
    <w:rsid w:val="001D10DD"/>
    <w:rsid w:val="001D7517"/>
    <w:rsid w:val="001E298F"/>
    <w:rsid w:val="001E30C7"/>
    <w:rsid w:val="001E6BE9"/>
    <w:rsid w:val="001E78F0"/>
    <w:rsid w:val="001F57B7"/>
    <w:rsid w:val="00216CE1"/>
    <w:rsid w:val="00224125"/>
    <w:rsid w:val="00226C6A"/>
    <w:rsid w:val="002273FA"/>
    <w:rsid w:val="00227FF7"/>
    <w:rsid w:val="00232A1E"/>
    <w:rsid w:val="00243A9C"/>
    <w:rsid w:val="00246E29"/>
    <w:rsid w:val="00254EBD"/>
    <w:rsid w:val="0025749A"/>
    <w:rsid w:val="002578A2"/>
    <w:rsid w:val="0028148A"/>
    <w:rsid w:val="002950E2"/>
    <w:rsid w:val="002A2288"/>
    <w:rsid w:val="002A5A90"/>
    <w:rsid w:val="002B2D21"/>
    <w:rsid w:val="002B3719"/>
    <w:rsid w:val="002C32B9"/>
    <w:rsid w:val="002C3E47"/>
    <w:rsid w:val="002C40F9"/>
    <w:rsid w:val="002C529B"/>
    <w:rsid w:val="002C740A"/>
    <w:rsid w:val="002D49E2"/>
    <w:rsid w:val="002D74F1"/>
    <w:rsid w:val="002D7C08"/>
    <w:rsid w:val="002E0699"/>
    <w:rsid w:val="00301329"/>
    <w:rsid w:val="003028BF"/>
    <w:rsid w:val="00303BA3"/>
    <w:rsid w:val="00303CEB"/>
    <w:rsid w:val="003125CE"/>
    <w:rsid w:val="00327884"/>
    <w:rsid w:val="00330C1E"/>
    <w:rsid w:val="00331300"/>
    <w:rsid w:val="0033459D"/>
    <w:rsid w:val="00336B75"/>
    <w:rsid w:val="00343853"/>
    <w:rsid w:val="00355925"/>
    <w:rsid w:val="003657C9"/>
    <w:rsid w:val="00370211"/>
    <w:rsid w:val="00373474"/>
    <w:rsid w:val="00375F5B"/>
    <w:rsid w:val="00377D33"/>
    <w:rsid w:val="00377EE6"/>
    <w:rsid w:val="0038173A"/>
    <w:rsid w:val="0038175D"/>
    <w:rsid w:val="00382355"/>
    <w:rsid w:val="00385F24"/>
    <w:rsid w:val="00397AAE"/>
    <w:rsid w:val="003A5893"/>
    <w:rsid w:val="003A7552"/>
    <w:rsid w:val="003B14B3"/>
    <w:rsid w:val="003B7717"/>
    <w:rsid w:val="003D0F56"/>
    <w:rsid w:val="003F0F0E"/>
    <w:rsid w:val="003F5A32"/>
    <w:rsid w:val="003F5A6E"/>
    <w:rsid w:val="0040021B"/>
    <w:rsid w:val="00402282"/>
    <w:rsid w:val="00410BF8"/>
    <w:rsid w:val="004218FE"/>
    <w:rsid w:val="00433F36"/>
    <w:rsid w:val="00436E5F"/>
    <w:rsid w:val="00440343"/>
    <w:rsid w:val="00441BB3"/>
    <w:rsid w:val="004529C3"/>
    <w:rsid w:val="00454304"/>
    <w:rsid w:val="0045602F"/>
    <w:rsid w:val="00456BBE"/>
    <w:rsid w:val="00460D1F"/>
    <w:rsid w:val="0046462D"/>
    <w:rsid w:val="0046468E"/>
    <w:rsid w:val="0046602A"/>
    <w:rsid w:val="00472631"/>
    <w:rsid w:val="004743B9"/>
    <w:rsid w:val="00481E1F"/>
    <w:rsid w:val="004852DE"/>
    <w:rsid w:val="00490A2D"/>
    <w:rsid w:val="00494567"/>
    <w:rsid w:val="00497601"/>
    <w:rsid w:val="004A785B"/>
    <w:rsid w:val="004B132F"/>
    <w:rsid w:val="004E6641"/>
    <w:rsid w:val="004F62E9"/>
    <w:rsid w:val="00501BAD"/>
    <w:rsid w:val="005143E1"/>
    <w:rsid w:val="00535501"/>
    <w:rsid w:val="00550C14"/>
    <w:rsid w:val="00551D52"/>
    <w:rsid w:val="00556E7C"/>
    <w:rsid w:val="005606E6"/>
    <w:rsid w:val="005616FE"/>
    <w:rsid w:val="00561A50"/>
    <w:rsid w:val="00567B7B"/>
    <w:rsid w:val="00574642"/>
    <w:rsid w:val="005778D5"/>
    <w:rsid w:val="00584662"/>
    <w:rsid w:val="00592ED8"/>
    <w:rsid w:val="00594B19"/>
    <w:rsid w:val="005A2C68"/>
    <w:rsid w:val="005A5DFB"/>
    <w:rsid w:val="005A7CFA"/>
    <w:rsid w:val="005C1568"/>
    <w:rsid w:val="005C5C76"/>
    <w:rsid w:val="005E5E55"/>
    <w:rsid w:val="005F04DC"/>
    <w:rsid w:val="005F1182"/>
    <w:rsid w:val="005F34E1"/>
    <w:rsid w:val="006008FF"/>
    <w:rsid w:val="00600E5A"/>
    <w:rsid w:val="00606D1A"/>
    <w:rsid w:val="00613210"/>
    <w:rsid w:val="00615909"/>
    <w:rsid w:val="00621C19"/>
    <w:rsid w:val="00632F44"/>
    <w:rsid w:val="006470BF"/>
    <w:rsid w:val="00647928"/>
    <w:rsid w:val="00652046"/>
    <w:rsid w:val="006520CD"/>
    <w:rsid w:val="00657872"/>
    <w:rsid w:val="0066673C"/>
    <w:rsid w:val="00675399"/>
    <w:rsid w:val="00676AA3"/>
    <w:rsid w:val="00680099"/>
    <w:rsid w:val="00691094"/>
    <w:rsid w:val="00695363"/>
    <w:rsid w:val="006968AF"/>
    <w:rsid w:val="006973F1"/>
    <w:rsid w:val="006A1747"/>
    <w:rsid w:val="006B0ACB"/>
    <w:rsid w:val="006B2EE6"/>
    <w:rsid w:val="006B3222"/>
    <w:rsid w:val="006B5BFA"/>
    <w:rsid w:val="006C3090"/>
    <w:rsid w:val="006C5398"/>
    <w:rsid w:val="006C5805"/>
    <w:rsid w:val="006C7AB4"/>
    <w:rsid w:val="006D3346"/>
    <w:rsid w:val="006E156A"/>
    <w:rsid w:val="006E3FAF"/>
    <w:rsid w:val="006F0B2E"/>
    <w:rsid w:val="006F0F30"/>
    <w:rsid w:val="006F7FDF"/>
    <w:rsid w:val="00701087"/>
    <w:rsid w:val="007075B7"/>
    <w:rsid w:val="00711963"/>
    <w:rsid w:val="00714F9F"/>
    <w:rsid w:val="00715E82"/>
    <w:rsid w:val="007211E9"/>
    <w:rsid w:val="00730F56"/>
    <w:rsid w:val="00731634"/>
    <w:rsid w:val="00732F85"/>
    <w:rsid w:val="0073724C"/>
    <w:rsid w:val="00740CFC"/>
    <w:rsid w:val="00744DB2"/>
    <w:rsid w:val="007661CD"/>
    <w:rsid w:val="00777C2F"/>
    <w:rsid w:val="00777D61"/>
    <w:rsid w:val="0078074B"/>
    <w:rsid w:val="00780DF7"/>
    <w:rsid w:val="00782E82"/>
    <w:rsid w:val="007839A0"/>
    <w:rsid w:val="0078757B"/>
    <w:rsid w:val="00790835"/>
    <w:rsid w:val="00797575"/>
    <w:rsid w:val="007A59FD"/>
    <w:rsid w:val="007A7009"/>
    <w:rsid w:val="007B0BE7"/>
    <w:rsid w:val="007B57EF"/>
    <w:rsid w:val="007C084A"/>
    <w:rsid w:val="007C7EE8"/>
    <w:rsid w:val="007D1BD6"/>
    <w:rsid w:val="007D2363"/>
    <w:rsid w:val="007D25EE"/>
    <w:rsid w:val="007E7CFB"/>
    <w:rsid w:val="007F03E3"/>
    <w:rsid w:val="007F4B9C"/>
    <w:rsid w:val="007F5190"/>
    <w:rsid w:val="0080531E"/>
    <w:rsid w:val="008061CB"/>
    <w:rsid w:val="00806777"/>
    <w:rsid w:val="00813F19"/>
    <w:rsid w:val="00821D66"/>
    <w:rsid w:val="008242E4"/>
    <w:rsid w:val="00831688"/>
    <w:rsid w:val="00832CBE"/>
    <w:rsid w:val="008409A6"/>
    <w:rsid w:val="00844760"/>
    <w:rsid w:val="00850C1A"/>
    <w:rsid w:val="00864BE7"/>
    <w:rsid w:val="008730C5"/>
    <w:rsid w:val="008757F2"/>
    <w:rsid w:val="00882C1E"/>
    <w:rsid w:val="008865DE"/>
    <w:rsid w:val="008957B5"/>
    <w:rsid w:val="008A111D"/>
    <w:rsid w:val="008A3800"/>
    <w:rsid w:val="008A476F"/>
    <w:rsid w:val="008B4DEB"/>
    <w:rsid w:val="008B6EB3"/>
    <w:rsid w:val="008D3648"/>
    <w:rsid w:val="008D73F5"/>
    <w:rsid w:val="008D7D78"/>
    <w:rsid w:val="008E3779"/>
    <w:rsid w:val="008F15CE"/>
    <w:rsid w:val="009017C6"/>
    <w:rsid w:val="009075BE"/>
    <w:rsid w:val="00912FEE"/>
    <w:rsid w:val="0092044B"/>
    <w:rsid w:val="00923FF2"/>
    <w:rsid w:val="00924C03"/>
    <w:rsid w:val="009319D8"/>
    <w:rsid w:val="00937E9E"/>
    <w:rsid w:val="00941EC6"/>
    <w:rsid w:val="00944148"/>
    <w:rsid w:val="0096086C"/>
    <w:rsid w:val="00962753"/>
    <w:rsid w:val="00974016"/>
    <w:rsid w:val="009756DE"/>
    <w:rsid w:val="0098266A"/>
    <w:rsid w:val="00983048"/>
    <w:rsid w:val="00987593"/>
    <w:rsid w:val="00991843"/>
    <w:rsid w:val="00994499"/>
    <w:rsid w:val="009A0B51"/>
    <w:rsid w:val="009A262D"/>
    <w:rsid w:val="009B2B51"/>
    <w:rsid w:val="009C0354"/>
    <w:rsid w:val="009C7A19"/>
    <w:rsid w:val="009D07EB"/>
    <w:rsid w:val="009D0FC4"/>
    <w:rsid w:val="009D54BC"/>
    <w:rsid w:val="009D5AC3"/>
    <w:rsid w:val="00A0472A"/>
    <w:rsid w:val="00A0733D"/>
    <w:rsid w:val="00A1291E"/>
    <w:rsid w:val="00A131F3"/>
    <w:rsid w:val="00A17446"/>
    <w:rsid w:val="00A2133D"/>
    <w:rsid w:val="00A217E6"/>
    <w:rsid w:val="00A25138"/>
    <w:rsid w:val="00A34999"/>
    <w:rsid w:val="00A54AFC"/>
    <w:rsid w:val="00A62304"/>
    <w:rsid w:val="00A7072B"/>
    <w:rsid w:val="00A75839"/>
    <w:rsid w:val="00A96AEF"/>
    <w:rsid w:val="00A977EA"/>
    <w:rsid w:val="00AB02A5"/>
    <w:rsid w:val="00AB34A6"/>
    <w:rsid w:val="00AB3E06"/>
    <w:rsid w:val="00AB6F78"/>
    <w:rsid w:val="00AB793B"/>
    <w:rsid w:val="00AC5C07"/>
    <w:rsid w:val="00AC7C5B"/>
    <w:rsid w:val="00AD0D78"/>
    <w:rsid w:val="00AD24E9"/>
    <w:rsid w:val="00AE00DE"/>
    <w:rsid w:val="00AE226F"/>
    <w:rsid w:val="00AE29AD"/>
    <w:rsid w:val="00AF027E"/>
    <w:rsid w:val="00B0599C"/>
    <w:rsid w:val="00B21983"/>
    <w:rsid w:val="00B2310A"/>
    <w:rsid w:val="00B258D9"/>
    <w:rsid w:val="00B27478"/>
    <w:rsid w:val="00B276C2"/>
    <w:rsid w:val="00B3677F"/>
    <w:rsid w:val="00B37400"/>
    <w:rsid w:val="00B43C5D"/>
    <w:rsid w:val="00B43F95"/>
    <w:rsid w:val="00B50B1F"/>
    <w:rsid w:val="00B51699"/>
    <w:rsid w:val="00B53264"/>
    <w:rsid w:val="00B57768"/>
    <w:rsid w:val="00B57BF0"/>
    <w:rsid w:val="00B612E5"/>
    <w:rsid w:val="00B65269"/>
    <w:rsid w:val="00B66C64"/>
    <w:rsid w:val="00B67A5D"/>
    <w:rsid w:val="00B76817"/>
    <w:rsid w:val="00B80467"/>
    <w:rsid w:val="00B921DF"/>
    <w:rsid w:val="00B934F1"/>
    <w:rsid w:val="00B96A11"/>
    <w:rsid w:val="00BA0E8D"/>
    <w:rsid w:val="00BA1554"/>
    <w:rsid w:val="00BA1D91"/>
    <w:rsid w:val="00BA5218"/>
    <w:rsid w:val="00BB1946"/>
    <w:rsid w:val="00BC3648"/>
    <w:rsid w:val="00BD68F2"/>
    <w:rsid w:val="00BD7F65"/>
    <w:rsid w:val="00BF29D4"/>
    <w:rsid w:val="00BF514C"/>
    <w:rsid w:val="00BF6D0B"/>
    <w:rsid w:val="00BF7687"/>
    <w:rsid w:val="00C055F4"/>
    <w:rsid w:val="00C113B8"/>
    <w:rsid w:val="00C13737"/>
    <w:rsid w:val="00C15101"/>
    <w:rsid w:val="00C16580"/>
    <w:rsid w:val="00C173E2"/>
    <w:rsid w:val="00C1799A"/>
    <w:rsid w:val="00C400D6"/>
    <w:rsid w:val="00C40B5B"/>
    <w:rsid w:val="00C43439"/>
    <w:rsid w:val="00C45FB8"/>
    <w:rsid w:val="00C51960"/>
    <w:rsid w:val="00C519BA"/>
    <w:rsid w:val="00C56E10"/>
    <w:rsid w:val="00C6234F"/>
    <w:rsid w:val="00C62E50"/>
    <w:rsid w:val="00C64114"/>
    <w:rsid w:val="00C71322"/>
    <w:rsid w:val="00C75D15"/>
    <w:rsid w:val="00C76392"/>
    <w:rsid w:val="00C815BC"/>
    <w:rsid w:val="00C85AFF"/>
    <w:rsid w:val="00C86B35"/>
    <w:rsid w:val="00C86CC9"/>
    <w:rsid w:val="00C874F2"/>
    <w:rsid w:val="00C91EC6"/>
    <w:rsid w:val="00C95159"/>
    <w:rsid w:val="00C97685"/>
    <w:rsid w:val="00CA4C49"/>
    <w:rsid w:val="00CA5A8E"/>
    <w:rsid w:val="00CA5E25"/>
    <w:rsid w:val="00CA608E"/>
    <w:rsid w:val="00CB7F87"/>
    <w:rsid w:val="00CC00A0"/>
    <w:rsid w:val="00CC1C7C"/>
    <w:rsid w:val="00CC423E"/>
    <w:rsid w:val="00CC5F48"/>
    <w:rsid w:val="00CD2540"/>
    <w:rsid w:val="00CD33C5"/>
    <w:rsid w:val="00CD4318"/>
    <w:rsid w:val="00CF130B"/>
    <w:rsid w:val="00CF6F45"/>
    <w:rsid w:val="00D031D3"/>
    <w:rsid w:val="00D03459"/>
    <w:rsid w:val="00D103E8"/>
    <w:rsid w:val="00D16F74"/>
    <w:rsid w:val="00D23F4B"/>
    <w:rsid w:val="00D243A6"/>
    <w:rsid w:val="00D305B1"/>
    <w:rsid w:val="00D32F22"/>
    <w:rsid w:val="00D40C57"/>
    <w:rsid w:val="00D42FB6"/>
    <w:rsid w:val="00D45297"/>
    <w:rsid w:val="00D460A1"/>
    <w:rsid w:val="00D5165D"/>
    <w:rsid w:val="00D53ED0"/>
    <w:rsid w:val="00D60307"/>
    <w:rsid w:val="00D75678"/>
    <w:rsid w:val="00D93664"/>
    <w:rsid w:val="00D95E33"/>
    <w:rsid w:val="00DA0C09"/>
    <w:rsid w:val="00DA27B5"/>
    <w:rsid w:val="00DC16E9"/>
    <w:rsid w:val="00DC4900"/>
    <w:rsid w:val="00DC4E6B"/>
    <w:rsid w:val="00DC70DB"/>
    <w:rsid w:val="00DE7A2A"/>
    <w:rsid w:val="00E02D09"/>
    <w:rsid w:val="00E14FEC"/>
    <w:rsid w:val="00E1793F"/>
    <w:rsid w:val="00E363DA"/>
    <w:rsid w:val="00E374AA"/>
    <w:rsid w:val="00E3799F"/>
    <w:rsid w:val="00E45555"/>
    <w:rsid w:val="00E46157"/>
    <w:rsid w:val="00E7029B"/>
    <w:rsid w:val="00E706F3"/>
    <w:rsid w:val="00E7502D"/>
    <w:rsid w:val="00E85072"/>
    <w:rsid w:val="00E8566D"/>
    <w:rsid w:val="00E910F9"/>
    <w:rsid w:val="00E95E41"/>
    <w:rsid w:val="00E9612A"/>
    <w:rsid w:val="00EA4231"/>
    <w:rsid w:val="00EB1495"/>
    <w:rsid w:val="00EB1808"/>
    <w:rsid w:val="00EB439F"/>
    <w:rsid w:val="00ED113D"/>
    <w:rsid w:val="00ED213B"/>
    <w:rsid w:val="00EE35E4"/>
    <w:rsid w:val="00EF0D2A"/>
    <w:rsid w:val="00EF0E14"/>
    <w:rsid w:val="00EF4973"/>
    <w:rsid w:val="00EF50B2"/>
    <w:rsid w:val="00EF7203"/>
    <w:rsid w:val="00F00153"/>
    <w:rsid w:val="00F02652"/>
    <w:rsid w:val="00F03D29"/>
    <w:rsid w:val="00F10874"/>
    <w:rsid w:val="00F24873"/>
    <w:rsid w:val="00F343D4"/>
    <w:rsid w:val="00F36D61"/>
    <w:rsid w:val="00F57B8E"/>
    <w:rsid w:val="00F62213"/>
    <w:rsid w:val="00F6291D"/>
    <w:rsid w:val="00F634E6"/>
    <w:rsid w:val="00F72AA7"/>
    <w:rsid w:val="00F735FE"/>
    <w:rsid w:val="00F7376C"/>
    <w:rsid w:val="00F74E1A"/>
    <w:rsid w:val="00F7529B"/>
    <w:rsid w:val="00F76C2C"/>
    <w:rsid w:val="00F84E47"/>
    <w:rsid w:val="00F85C8C"/>
    <w:rsid w:val="00F909EB"/>
    <w:rsid w:val="00FB1494"/>
    <w:rsid w:val="00FB2842"/>
    <w:rsid w:val="00FC060A"/>
    <w:rsid w:val="00FD5773"/>
    <w:rsid w:val="00FD6E9B"/>
    <w:rsid w:val="00FE044A"/>
    <w:rsid w:val="00FF12B7"/>
    <w:rsid w:val="00FF266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4195C"/>
  <w15:docId w15:val="{A615DF9C-1848-4C3B-89F0-9FC9D56D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22"/>
      <w:ind w:left="100"/>
    </w:pPr>
    <w:rPr>
      <w:rFonts w:ascii="Calibri Light" w:eastAsia="Calibri Light" w:hAnsi="Calibri Light" w:cs="Calibri Light"/>
      <w:sz w:val="32"/>
      <w:szCs w:val="32"/>
    </w:rPr>
  </w:style>
  <w:style w:type="paragraph" w:styleId="ListParagraph">
    <w:name w:val="List Paragraph"/>
    <w:basedOn w:val="Normal"/>
    <w:uiPriority w:val="1"/>
    <w:qFormat/>
    <w:pPr>
      <w:spacing w:line="279" w:lineRule="exact"/>
      <w:ind w:left="820" w:hanging="360"/>
    </w:pPr>
  </w:style>
  <w:style w:type="paragraph" w:customStyle="1" w:styleId="TableParagraph">
    <w:name w:val="Table Paragraph"/>
    <w:basedOn w:val="Normal"/>
    <w:uiPriority w:val="1"/>
    <w:qFormat/>
  </w:style>
  <w:style w:type="paragraph" w:customStyle="1" w:styleId="2-SectionHeading">
    <w:name w:val="2-Section Heading"/>
    <w:qFormat/>
    <w:rsid w:val="004743B9"/>
    <w:pPr>
      <w:keepNext/>
      <w:widowControl/>
      <w:numPr>
        <w:numId w:val="3"/>
      </w:numPr>
      <w:autoSpaceDE/>
      <w:autoSpaceDN/>
      <w:spacing w:before="240" w:after="120"/>
      <w:outlineLvl w:val="0"/>
    </w:pPr>
    <w:rPr>
      <w:rFonts w:eastAsia="Times New Roman" w:cs="Arial"/>
      <w:b/>
      <w:snapToGrid w:val="0"/>
      <w:sz w:val="32"/>
      <w:szCs w:val="32"/>
      <w:lang w:val="en-AU" w:eastAsia="en-AU"/>
    </w:rPr>
  </w:style>
  <w:style w:type="paragraph" w:customStyle="1" w:styleId="3-BodyText">
    <w:name w:val="3-Body Text"/>
    <w:link w:val="3-BodyTextChar"/>
    <w:qFormat/>
    <w:rsid w:val="004743B9"/>
    <w:pPr>
      <w:widowControl/>
      <w:numPr>
        <w:ilvl w:val="1"/>
        <w:numId w:val="3"/>
      </w:numPr>
      <w:autoSpaceDE/>
      <w:autoSpaceDN/>
      <w:spacing w:after="120"/>
      <w:jc w:val="both"/>
    </w:pPr>
    <w:rPr>
      <w:sz w:val="24"/>
      <w:lang w:val="en-AU" w:eastAsia="en-AU"/>
    </w:rPr>
  </w:style>
  <w:style w:type="character" w:customStyle="1" w:styleId="3-BodyTextChar">
    <w:name w:val="3-Body Text Char"/>
    <w:basedOn w:val="DefaultParagraphFont"/>
    <w:link w:val="3-BodyText"/>
    <w:rsid w:val="004743B9"/>
    <w:rPr>
      <w:sz w:val="24"/>
      <w:lang w:val="en-AU" w:eastAsia="en-AU"/>
    </w:rPr>
  </w:style>
  <w:style w:type="paragraph" w:styleId="Header">
    <w:name w:val="header"/>
    <w:basedOn w:val="Normal"/>
    <w:link w:val="HeaderChar"/>
    <w:uiPriority w:val="99"/>
    <w:unhideWhenUsed/>
    <w:rsid w:val="00EB1808"/>
    <w:pPr>
      <w:tabs>
        <w:tab w:val="center" w:pos="4513"/>
        <w:tab w:val="right" w:pos="9026"/>
      </w:tabs>
    </w:pPr>
  </w:style>
  <w:style w:type="character" w:customStyle="1" w:styleId="HeaderChar">
    <w:name w:val="Header Char"/>
    <w:basedOn w:val="DefaultParagraphFont"/>
    <w:link w:val="Header"/>
    <w:uiPriority w:val="99"/>
    <w:rsid w:val="00EB1808"/>
    <w:rPr>
      <w:rFonts w:ascii="Calibri" w:eastAsia="Calibri" w:hAnsi="Calibri" w:cs="Calibri"/>
    </w:rPr>
  </w:style>
  <w:style w:type="paragraph" w:styleId="Footer">
    <w:name w:val="footer"/>
    <w:basedOn w:val="Normal"/>
    <w:link w:val="FooterChar"/>
    <w:uiPriority w:val="99"/>
    <w:unhideWhenUsed/>
    <w:rsid w:val="00EB1808"/>
    <w:pPr>
      <w:tabs>
        <w:tab w:val="center" w:pos="4513"/>
        <w:tab w:val="right" w:pos="9026"/>
      </w:tabs>
    </w:pPr>
  </w:style>
  <w:style w:type="character" w:customStyle="1" w:styleId="FooterChar">
    <w:name w:val="Footer Char"/>
    <w:basedOn w:val="DefaultParagraphFont"/>
    <w:link w:val="Footer"/>
    <w:uiPriority w:val="99"/>
    <w:rsid w:val="00EB1808"/>
    <w:rPr>
      <w:rFonts w:ascii="Calibri" w:eastAsia="Calibri" w:hAnsi="Calibri" w:cs="Calibri"/>
    </w:rPr>
  </w:style>
  <w:style w:type="paragraph" w:styleId="Revision">
    <w:name w:val="Revision"/>
    <w:hidden/>
    <w:uiPriority w:val="99"/>
    <w:semiHidden/>
    <w:rsid w:val="00D60307"/>
    <w:pPr>
      <w:widowControl/>
      <w:autoSpaceDE/>
      <w:autoSpaceDN/>
    </w:pPr>
    <w:rPr>
      <w:rFonts w:ascii="Calibri" w:eastAsia="Calibri" w:hAnsi="Calibri" w:cs="Calibri"/>
    </w:rPr>
  </w:style>
  <w:style w:type="character" w:customStyle="1" w:styleId="Heading1Char">
    <w:name w:val="Heading 1 Char"/>
    <w:basedOn w:val="DefaultParagraphFont"/>
    <w:link w:val="Heading1"/>
    <w:uiPriority w:val="9"/>
    <w:rsid w:val="002C740A"/>
    <w:rPr>
      <w:rFonts w:ascii="Calibri" w:eastAsia="Calibri" w:hAnsi="Calibri" w:cs="Calibri"/>
      <w:b/>
      <w:bCs/>
    </w:rPr>
  </w:style>
  <w:style w:type="character" w:styleId="Hyperlink">
    <w:name w:val="Hyperlink"/>
    <w:basedOn w:val="DefaultParagraphFont"/>
    <w:uiPriority w:val="99"/>
    <w:unhideWhenUsed/>
    <w:rsid w:val="00382355"/>
    <w:rPr>
      <w:color w:val="0000FF" w:themeColor="hyperlink"/>
      <w:u w:val="single"/>
    </w:rPr>
  </w:style>
  <w:style w:type="character" w:styleId="UnresolvedMention">
    <w:name w:val="Unresolved Mention"/>
    <w:basedOn w:val="DefaultParagraphFont"/>
    <w:uiPriority w:val="99"/>
    <w:semiHidden/>
    <w:unhideWhenUsed/>
    <w:rsid w:val="0038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147160">
      <w:bodyDiv w:val="1"/>
      <w:marLeft w:val="0"/>
      <w:marRight w:val="0"/>
      <w:marTop w:val="0"/>
      <w:marBottom w:val="0"/>
      <w:divBdr>
        <w:top w:val="none" w:sz="0" w:space="0" w:color="auto"/>
        <w:left w:val="none" w:sz="0" w:space="0" w:color="auto"/>
        <w:bottom w:val="none" w:sz="0" w:space="0" w:color="auto"/>
        <w:right w:val="none" w:sz="0" w:space="0" w:color="auto"/>
      </w:divBdr>
    </w:div>
    <w:div w:id="15270649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bs.gov.au/info/industry/listing/elements/pbac-meetings/pbac-outcom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723</Words>
  <Characters>4193</Characters>
  <Application>Microsoft Office Word</Application>
  <DocSecurity>0</DocSecurity>
  <Lines>86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Watson</dc:creator>
  <cp:lastModifiedBy>CHASTON, Daniel</cp:lastModifiedBy>
  <cp:revision>14</cp:revision>
  <cp:lastPrinted>2025-12-11T23:04:00Z</cp:lastPrinted>
  <dcterms:created xsi:type="dcterms:W3CDTF">2025-12-11T22:03:00Z</dcterms:created>
  <dcterms:modified xsi:type="dcterms:W3CDTF">2025-12-11T23:05:00Z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2024-08-16T00:00:00Z</vt:filetime>
  </property>
  <property fmtid="{D5CDD505-2E9C-101B-9397-08002B2CF9AE}" pid="3" name="Creator">
    <vt:lpwstr>Microsoft® Word for Microsoft 365</vt:lpwstr>
  </property>
  <property fmtid="{D5CDD505-2E9C-101B-9397-08002B2CF9AE}" pid="4" name="LastSaved">
    <vt:filetime>2024-11-21T00:00:00Z</vt:filetime>
  </property>
  <property fmtid="{D5CDD505-2E9C-101B-9397-08002B2CF9AE}" pid="5" name="Producer">
    <vt:lpwstr>Microsoft® Word for Microsoft 365</vt:lpwstr>
  </property>
  <property fmtid="{D5CDD505-2E9C-101B-9397-08002B2CF9AE}" pid="6" name="ClassificationContentMarkingHeaderShapeIds">
    <vt:lpwstr>676b38ce,38966731,24d2bb31</vt:lpwstr>
  </property>
  <property fmtid="{D5CDD505-2E9C-101B-9397-08002B2CF9AE}" pid="7" name="ClassificationContentMarkingHeaderFontProps">
    <vt:lpwstr>#ff0000,12,Aptos</vt:lpwstr>
  </property>
  <property fmtid="{D5CDD505-2E9C-101B-9397-08002B2CF9AE}" pid="8" name="ClassificationContentMarkingHeaderText">
    <vt:lpwstr>OFFICIAL</vt:lpwstr>
  </property>
  <property fmtid="{D5CDD505-2E9C-101B-9397-08002B2CF9AE}" pid="9" name="ClassificationContentMarkingFooterShapeIds">
    <vt:lpwstr>78619346,6f4c1dcd,1654879b</vt:lpwstr>
  </property>
  <property fmtid="{D5CDD505-2E9C-101B-9397-08002B2CF9AE}" pid="10" name="ClassificationContentMarkingFooterFontProps">
    <vt:lpwstr>#ff0000,12,Aptos</vt:lpwstr>
  </property>
  <property fmtid="{D5CDD505-2E9C-101B-9397-08002B2CF9AE}" pid="11" name="ClassificationContentMarkingFooterText">
    <vt:lpwstr>OFFICIAL</vt:lpwstr>
  </property>
  <property fmtid="{D5CDD505-2E9C-101B-9397-08002B2CF9AE}" pid="12" name="MSIP_Label_7cd3e8b9-ffed-43a8-b7f4-cc2fa0382d36_Enabled">
    <vt:lpwstr>true</vt:lpwstr>
  </property>
  <property fmtid="{D5CDD505-2E9C-101B-9397-08002B2CF9AE}" pid="13" name="MSIP_Label_7cd3e8b9-ffed-43a8-b7f4-cc2fa0382d36_SetDate">
    <vt:lpwstr>2025-12-11T22:03:41Z</vt:lpwstr>
  </property>
  <property fmtid="{D5CDD505-2E9C-101B-9397-08002B2CF9AE}" pid="14" name="MSIP_Label_7cd3e8b9-ffed-43a8-b7f4-cc2fa0382d36_Method">
    <vt:lpwstr>Privileged</vt:lpwstr>
  </property>
  <property fmtid="{D5CDD505-2E9C-101B-9397-08002B2CF9AE}" pid="15" name="MSIP_Label_7cd3e8b9-ffed-43a8-b7f4-cc2fa0382d36_Name">
    <vt:lpwstr>O</vt:lpwstr>
  </property>
  <property fmtid="{D5CDD505-2E9C-101B-9397-08002B2CF9AE}" pid="16" name="MSIP_Label_7cd3e8b9-ffed-43a8-b7f4-cc2fa0382d36_SiteId">
    <vt:lpwstr>34a3929c-73cf-4954-abfe-147dc3517892</vt:lpwstr>
  </property>
  <property fmtid="{D5CDD505-2E9C-101B-9397-08002B2CF9AE}" pid="17" name="MSIP_Label_7cd3e8b9-ffed-43a8-b7f4-cc2fa0382d36_ActionId">
    <vt:lpwstr>c0880245-a209-4a86-91d5-76c313d0e28b</vt:lpwstr>
  </property>
  <property fmtid="{D5CDD505-2E9C-101B-9397-08002B2CF9AE}" pid="18" name="MSIP_Label_7cd3e8b9-ffed-43a8-b7f4-cc2fa0382d36_ContentBits">
    <vt:lpwstr>3</vt:lpwstr>
  </property>
  <property fmtid="{D5CDD505-2E9C-101B-9397-08002B2CF9AE}" pid="19" name="MSIP_Label_7cd3e8b9-ffed-43a8-b7f4-cc2fa0382d36_Tag">
    <vt:lpwstr>10, 0, 1, 1</vt:lpwstr>
  </property>
</Properties>
</file>