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20" w:rsidRDefault="00C124A1" w:rsidP="0083042B">
      <w:pPr>
        <w:pStyle w:val="Heading1"/>
      </w:pPr>
      <w:r>
        <w:t>PBAC STAKEHOLDER MEETING OUTCOME STATEMENT</w:t>
      </w:r>
    </w:p>
    <w:p w:rsidR="00C124A1" w:rsidRDefault="00C124A1" w:rsidP="0083042B">
      <w:pPr>
        <w:pStyle w:val="Heading1"/>
      </w:pPr>
      <w:r>
        <w:t>RUXOLITINIB FOR MYELOFIBROSIS</w:t>
      </w:r>
    </w:p>
    <w:p w:rsidR="00C124A1" w:rsidRDefault="00C124A1" w:rsidP="00C124A1">
      <w:pPr>
        <w:jc w:val="center"/>
        <w:rPr>
          <w:rFonts w:ascii="Arial" w:hAnsi="Arial" w:cs="Arial"/>
          <w:b/>
        </w:rPr>
      </w:pPr>
      <w:r>
        <w:rPr>
          <w:rFonts w:ascii="Arial" w:hAnsi="Arial" w:cs="Arial"/>
          <w:b/>
        </w:rPr>
        <w:t>22 September 2014</w:t>
      </w:r>
    </w:p>
    <w:p w:rsidR="00C124A1" w:rsidRDefault="00C124A1" w:rsidP="00C124A1">
      <w:pPr>
        <w:jc w:val="center"/>
        <w:rPr>
          <w:rFonts w:ascii="Arial" w:hAnsi="Arial" w:cs="Arial"/>
          <w:b/>
        </w:rPr>
      </w:pPr>
      <w:r>
        <w:rPr>
          <w:rFonts w:ascii="Arial" w:hAnsi="Arial" w:cs="Arial"/>
          <w:b/>
        </w:rPr>
        <w:t>The Sheraton Hotel, Melbourne</w:t>
      </w:r>
    </w:p>
    <w:p w:rsidR="005A4691" w:rsidRPr="00D42396" w:rsidRDefault="005A4691" w:rsidP="005A4691">
      <w:pPr>
        <w:rPr>
          <w:rFonts w:ascii="Arial" w:hAnsi="Arial" w:cs="Arial"/>
          <w:b/>
          <w:bCs/>
          <w:sz w:val="22"/>
        </w:rPr>
      </w:pPr>
      <w:r>
        <w:rPr>
          <w:rFonts w:ascii="Arial" w:hAnsi="Arial" w:cs="Arial"/>
          <w:b/>
          <w:bCs/>
          <w:szCs w:val="24"/>
        </w:rPr>
        <w:t>Attendees</w:t>
      </w:r>
    </w:p>
    <w:p w:rsidR="005A4691" w:rsidRDefault="005A4691" w:rsidP="005A4691">
      <w:pPr>
        <w:spacing w:after="0"/>
        <w:rPr>
          <w:rFonts w:ascii="Arial" w:hAnsi="Arial" w:cs="Arial"/>
          <w:sz w:val="22"/>
        </w:rPr>
      </w:pPr>
      <w:r>
        <w:rPr>
          <w:rFonts w:ascii="Arial" w:hAnsi="Arial" w:cs="Arial"/>
          <w:sz w:val="22"/>
        </w:rPr>
        <w:t xml:space="preserve">Members of the Pharmaceutical Benefits Advisory Committee (PBAC), the consumer representative member of the PBAC’s Drug Utilisation Sub Committee (DUSC), representatives of The Haematological Society of Australia and New Zealand (HSANZ), The Leukaemia Foundation, </w:t>
      </w:r>
      <w:r w:rsidRPr="003F2E5D">
        <w:rPr>
          <w:rFonts w:ascii="Arial" w:hAnsi="Arial" w:cs="Arial"/>
          <w:sz w:val="22"/>
        </w:rPr>
        <w:t>Nov</w:t>
      </w:r>
      <w:r>
        <w:rPr>
          <w:rFonts w:ascii="Arial" w:hAnsi="Arial" w:cs="Arial"/>
          <w:sz w:val="22"/>
        </w:rPr>
        <w:t>artis Pharmaceuticals Pty Ltd and the Department of Health were in attendance.</w:t>
      </w:r>
    </w:p>
    <w:p w:rsidR="005A4691" w:rsidRPr="00DE7FC1" w:rsidRDefault="005A4691" w:rsidP="005A4691">
      <w:pPr>
        <w:spacing w:after="0"/>
        <w:rPr>
          <w:rFonts w:ascii="Arial" w:hAnsi="Arial" w:cs="Arial"/>
          <w:sz w:val="22"/>
        </w:rPr>
      </w:pPr>
      <w:r>
        <w:rPr>
          <w:rFonts w:ascii="Arial" w:hAnsi="Arial" w:cs="Arial"/>
          <w:sz w:val="22"/>
        </w:rPr>
        <w:t xml:space="preserve">A representative of </w:t>
      </w:r>
      <w:proofErr w:type="spellStart"/>
      <w:r>
        <w:rPr>
          <w:rFonts w:ascii="Arial" w:hAnsi="Arial" w:cs="Arial"/>
          <w:sz w:val="22"/>
        </w:rPr>
        <w:t>CanSpeak</w:t>
      </w:r>
      <w:proofErr w:type="spellEnd"/>
      <w:r>
        <w:rPr>
          <w:rFonts w:ascii="Arial" w:hAnsi="Arial" w:cs="Arial"/>
          <w:sz w:val="22"/>
        </w:rPr>
        <w:t xml:space="preserve"> was not in attendance but available for advice.</w:t>
      </w:r>
    </w:p>
    <w:p w:rsidR="00462D27" w:rsidRPr="00462D27" w:rsidRDefault="00462D27" w:rsidP="00462D27">
      <w:pPr>
        <w:spacing w:after="0"/>
        <w:rPr>
          <w:rFonts w:ascii="Arial" w:hAnsi="Arial" w:cs="Arial"/>
          <w:sz w:val="22"/>
        </w:rPr>
      </w:pPr>
    </w:p>
    <w:p w:rsidR="0028745E" w:rsidRDefault="00142141" w:rsidP="0028745E">
      <w:pPr>
        <w:rPr>
          <w:rFonts w:ascii="Arial" w:hAnsi="Arial" w:cs="Arial"/>
          <w:b/>
        </w:rPr>
      </w:pPr>
      <w:r>
        <w:rPr>
          <w:rFonts w:ascii="Arial" w:hAnsi="Arial" w:cs="Arial"/>
          <w:b/>
        </w:rPr>
        <w:t>P</w:t>
      </w:r>
      <w:r w:rsidR="00B10AEB">
        <w:rPr>
          <w:rFonts w:ascii="Arial" w:hAnsi="Arial" w:cs="Arial"/>
          <w:b/>
        </w:rPr>
        <w:t>urpose of stakeholder meeting</w:t>
      </w:r>
    </w:p>
    <w:p w:rsidR="00C31817" w:rsidRPr="00C31817" w:rsidRDefault="00B50734" w:rsidP="0028745E">
      <w:pPr>
        <w:rPr>
          <w:rFonts w:ascii="Arial" w:hAnsi="Arial" w:cs="Arial"/>
          <w:sz w:val="22"/>
        </w:rPr>
      </w:pPr>
      <w:r>
        <w:rPr>
          <w:rFonts w:ascii="Arial" w:hAnsi="Arial" w:cs="Arial"/>
          <w:sz w:val="22"/>
        </w:rPr>
        <w:t>To provide clarity on the clinical place of ruxolitinib in the treatment of myelofibrosis and subsequently to consider an appropriate</w:t>
      </w:r>
      <w:r w:rsidR="00345EB8">
        <w:rPr>
          <w:rFonts w:ascii="Arial" w:hAnsi="Arial" w:cs="Arial"/>
          <w:sz w:val="22"/>
        </w:rPr>
        <w:t xml:space="preserve"> Pharmaceutical Benefits Scheme (</w:t>
      </w:r>
      <w:r>
        <w:rPr>
          <w:rFonts w:ascii="Arial" w:hAnsi="Arial" w:cs="Arial"/>
          <w:sz w:val="22"/>
        </w:rPr>
        <w:t>PBS</w:t>
      </w:r>
      <w:r w:rsidR="00345EB8">
        <w:rPr>
          <w:rFonts w:ascii="Arial" w:hAnsi="Arial" w:cs="Arial"/>
          <w:sz w:val="22"/>
        </w:rPr>
        <w:t>)</w:t>
      </w:r>
      <w:r>
        <w:rPr>
          <w:rFonts w:ascii="Arial" w:hAnsi="Arial" w:cs="Arial"/>
          <w:sz w:val="22"/>
        </w:rPr>
        <w:t xml:space="preserve"> restriction.  This in turn will inform a submission to the PBAC to consider cost effectiveness.</w:t>
      </w:r>
    </w:p>
    <w:p w:rsidR="00142141" w:rsidRDefault="00142141" w:rsidP="0028745E">
      <w:pPr>
        <w:rPr>
          <w:rFonts w:ascii="Arial" w:hAnsi="Arial" w:cs="Arial"/>
          <w:b/>
        </w:rPr>
      </w:pPr>
      <w:r>
        <w:rPr>
          <w:rFonts w:ascii="Arial" w:hAnsi="Arial" w:cs="Arial"/>
          <w:b/>
        </w:rPr>
        <w:t>Background</w:t>
      </w:r>
    </w:p>
    <w:p w:rsidR="00066EEA" w:rsidRDefault="00066EEA" w:rsidP="00C31817">
      <w:pPr>
        <w:rPr>
          <w:rFonts w:ascii="Arial" w:hAnsi="Arial" w:cs="Arial"/>
          <w:sz w:val="22"/>
        </w:rPr>
      </w:pPr>
      <w:r>
        <w:rPr>
          <w:rFonts w:ascii="Arial" w:hAnsi="Arial" w:cs="Arial"/>
          <w:sz w:val="22"/>
        </w:rPr>
        <w:t>The PBAC has considered submission</w:t>
      </w:r>
      <w:r w:rsidR="00521B97">
        <w:rPr>
          <w:rFonts w:ascii="Arial" w:hAnsi="Arial" w:cs="Arial"/>
          <w:sz w:val="22"/>
        </w:rPr>
        <w:t>s</w:t>
      </w:r>
      <w:r>
        <w:rPr>
          <w:rFonts w:ascii="Arial" w:hAnsi="Arial" w:cs="Arial"/>
          <w:sz w:val="22"/>
        </w:rPr>
        <w:t xml:space="preserve"> for the PBS listing of ruxolitinib for myelofibrosis on two occasions; July 2014 and July 2013.</w:t>
      </w:r>
    </w:p>
    <w:p w:rsidR="00C31817" w:rsidRDefault="00C31817" w:rsidP="00C31817">
      <w:pPr>
        <w:rPr>
          <w:rFonts w:ascii="Arial" w:hAnsi="Arial" w:cs="Arial"/>
          <w:sz w:val="22"/>
        </w:rPr>
      </w:pPr>
      <w:r>
        <w:rPr>
          <w:rFonts w:ascii="Arial" w:hAnsi="Arial" w:cs="Arial"/>
          <w:sz w:val="22"/>
        </w:rPr>
        <w:t xml:space="preserve">At its July 2014 meeting the PBAC </w:t>
      </w:r>
      <w:r w:rsidRPr="009D6C85">
        <w:rPr>
          <w:rFonts w:ascii="Arial" w:hAnsi="Arial" w:cs="Arial"/>
          <w:sz w:val="22"/>
        </w:rPr>
        <w:t xml:space="preserve">deferred the proposed Authority Required listing for ruxolitinib for second line management of myelofibrosis in patients satisfying certain clinical criteria due to a lack of clarity around the appropriate clinical place of ruxolitinib in Australian practice, concerns regarding the proposed restriction, </w:t>
      </w:r>
      <w:r w:rsidR="00E30C9B">
        <w:rPr>
          <w:rFonts w:ascii="Arial" w:hAnsi="Arial" w:cs="Arial"/>
          <w:sz w:val="22"/>
        </w:rPr>
        <w:t xml:space="preserve">and an unacceptably high price.  </w:t>
      </w:r>
      <w:r w:rsidRPr="009D6C85">
        <w:rPr>
          <w:rFonts w:ascii="Arial" w:hAnsi="Arial" w:cs="Arial"/>
          <w:sz w:val="22"/>
        </w:rPr>
        <w:t xml:space="preserve">Each </w:t>
      </w:r>
      <w:r w:rsidR="00984F84">
        <w:rPr>
          <w:rFonts w:ascii="Arial" w:hAnsi="Arial" w:cs="Arial"/>
          <w:sz w:val="22"/>
        </w:rPr>
        <w:t>of these matters precluded the C</w:t>
      </w:r>
      <w:r w:rsidRPr="009D6C85">
        <w:rPr>
          <w:rFonts w:ascii="Arial" w:hAnsi="Arial" w:cs="Arial"/>
          <w:sz w:val="22"/>
        </w:rPr>
        <w:t>ommittee from reaching a conclusion that ruxolitinib was cost-effective.</w:t>
      </w:r>
    </w:p>
    <w:p w:rsidR="004A40CF" w:rsidRDefault="002416F3" w:rsidP="00C31817">
      <w:pPr>
        <w:rPr>
          <w:rFonts w:ascii="Arial" w:hAnsi="Arial" w:cs="Arial"/>
          <w:sz w:val="22"/>
        </w:rPr>
      </w:pPr>
      <w:r w:rsidRPr="002416F3">
        <w:rPr>
          <w:rFonts w:ascii="Arial" w:hAnsi="Arial" w:cs="Arial"/>
          <w:sz w:val="22"/>
        </w:rPr>
        <w:t>The PBAC noted the sponso</w:t>
      </w:r>
      <w:r w:rsidR="00655058">
        <w:rPr>
          <w:rFonts w:ascii="Arial" w:hAnsi="Arial" w:cs="Arial"/>
          <w:sz w:val="22"/>
        </w:rPr>
        <w:t xml:space="preserve">r’s request </w:t>
      </w:r>
      <w:r w:rsidRPr="002416F3">
        <w:rPr>
          <w:rFonts w:ascii="Arial" w:hAnsi="Arial" w:cs="Arial"/>
          <w:sz w:val="22"/>
        </w:rPr>
        <w:t>to limit the restriction to intermediate-2</w:t>
      </w:r>
      <w:r w:rsidR="00220647">
        <w:rPr>
          <w:rFonts w:ascii="Arial" w:hAnsi="Arial" w:cs="Arial"/>
          <w:sz w:val="22"/>
        </w:rPr>
        <w:t xml:space="preserve"> </w:t>
      </w:r>
      <w:r w:rsidRPr="002416F3">
        <w:rPr>
          <w:rFonts w:ascii="Arial" w:hAnsi="Arial" w:cs="Arial"/>
          <w:sz w:val="22"/>
        </w:rPr>
        <w:t>and high risk patients, so as to ensure the restriction was consistent with the curre</w:t>
      </w:r>
      <w:r w:rsidR="00104DA1">
        <w:rPr>
          <w:rFonts w:ascii="Arial" w:hAnsi="Arial" w:cs="Arial"/>
          <w:sz w:val="22"/>
        </w:rPr>
        <w:t xml:space="preserve">nt available clinical evidence.  </w:t>
      </w:r>
      <w:r w:rsidRPr="002416F3">
        <w:rPr>
          <w:rFonts w:ascii="Arial" w:hAnsi="Arial" w:cs="Arial"/>
          <w:sz w:val="22"/>
        </w:rPr>
        <w:t xml:space="preserve">The </w:t>
      </w:r>
      <w:r w:rsidR="00104DA1">
        <w:rPr>
          <w:rFonts w:ascii="Arial" w:hAnsi="Arial" w:cs="Arial"/>
          <w:sz w:val="22"/>
        </w:rPr>
        <w:t>C</w:t>
      </w:r>
      <w:r w:rsidRPr="002416F3">
        <w:rPr>
          <w:rFonts w:ascii="Arial" w:hAnsi="Arial" w:cs="Arial"/>
          <w:sz w:val="22"/>
        </w:rPr>
        <w:t>ommittee considered this inappropriate as it would exclude lower risk patients who still demo</w:t>
      </w:r>
      <w:r w:rsidR="008850A4">
        <w:rPr>
          <w:rFonts w:ascii="Arial" w:hAnsi="Arial" w:cs="Arial"/>
          <w:sz w:val="22"/>
        </w:rPr>
        <w:t xml:space="preserve">nstrated a clear clinical need.  </w:t>
      </w:r>
      <w:r w:rsidRPr="002416F3">
        <w:rPr>
          <w:rFonts w:ascii="Arial" w:hAnsi="Arial" w:cs="Arial"/>
          <w:sz w:val="22"/>
        </w:rPr>
        <w:t>The PBAC considered there is a clinical need for ruxolitinib in the treatment of myelofibrosis and that there are patients who may benefit from treatment across the risk groups.</w:t>
      </w:r>
    </w:p>
    <w:p w:rsidR="008850A4" w:rsidRDefault="0014195A" w:rsidP="00C31817">
      <w:pPr>
        <w:rPr>
          <w:rFonts w:ascii="Arial" w:hAnsi="Arial" w:cs="Arial"/>
          <w:sz w:val="22"/>
        </w:rPr>
      </w:pPr>
      <w:r w:rsidRPr="0014195A">
        <w:rPr>
          <w:rFonts w:ascii="Arial" w:hAnsi="Arial" w:cs="Arial"/>
          <w:sz w:val="22"/>
        </w:rPr>
        <w:t>The PBAC recommended a stakeholder meeting be held between the sponsor, the Department, clinicians from applicable professional bodies, consumer representatives and PBAC members to provide clarity around the clinical place for ruxolitinib and to consi</w:t>
      </w:r>
      <w:r>
        <w:rPr>
          <w:rFonts w:ascii="Arial" w:hAnsi="Arial" w:cs="Arial"/>
          <w:sz w:val="22"/>
        </w:rPr>
        <w:t xml:space="preserve">der an appropriate restriction.  </w:t>
      </w:r>
      <w:r w:rsidRPr="0014195A">
        <w:rPr>
          <w:rFonts w:ascii="Arial" w:hAnsi="Arial" w:cs="Arial"/>
          <w:sz w:val="22"/>
        </w:rPr>
        <w:t>This in turn would inform the cost-effectiveness analyses.</w:t>
      </w:r>
    </w:p>
    <w:p w:rsidR="0014195A" w:rsidRDefault="0014195A" w:rsidP="00C31817">
      <w:pPr>
        <w:rPr>
          <w:rFonts w:ascii="Arial" w:hAnsi="Arial" w:cs="Arial"/>
          <w:sz w:val="22"/>
        </w:rPr>
      </w:pPr>
      <w:r>
        <w:rPr>
          <w:rFonts w:ascii="Arial" w:hAnsi="Arial" w:cs="Arial"/>
          <w:sz w:val="22"/>
        </w:rPr>
        <w:lastRenderedPageBreak/>
        <w:t xml:space="preserve">A Public Summary Document on the PBAC’s consideration of ruxolitinib for myelofibrosis </w:t>
      </w:r>
      <w:r w:rsidR="00701DE1">
        <w:rPr>
          <w:rFonts w:ascii="Arial" w:hAnsi="Arial" w:cs="Arial"/>
          <w:sz w:val="22"/>
        </w:rPr>
        <w:t xml:space="preserve">at its July 2014 meeting </w:t>
      </w:r>
      <w:r>
        <w:rPr>
          <w:rFonts w:ascii="Arial" w:hAnsi="Arial" w:cs="Arial"/>
          <w:sz w:val="22"/>
        </w:rPr>
        <w:t>will be published on the PBS website on 14 November 2014.</w:t>
      </w:r>
    </w:p>
    <w:p w:rsidR="00C56415" w:rsidRDefault="00C56415" w:rsidP="00C31817">
      <w:pPr>
        <w:rPr>
          <w:rFonts w:ascii="Arial" w:hAnsi="Arial" w:cs="Arial"/>
          <w:sz w:val="22"/>
        </w:rPr>
      </w:pPr>
      <w:r>
        <w:rPr>
          <w:rFonts w:ascii="Arial" w:hAnsi="Arial" w:cs="Arial"/>
          <w:sz w:val="22"/>
        </w:rPr>
        <w:t xml:space="preserve">The Guidelines for Initiation of PBAC Stakeholder Meetings are available on the PBS website at </w:t>
      </w:r>
      <w:hyperlink r:id="rId9" w:history="1">
        <w:r w:rsidRPr="00AE4558">
          <w:rPr>
            <w:rStyle w:val="Hyperlink"/>
            <w:rFonts w:ascii="Arial" w:hAnsi="Arial" w:cs="Arial"/>
            <w:sz w:val="22"/>
          </w:rPr>
          <w:t>http://www.pbs.gov.au/info/industry/listing/elements/initiation-of-stakeholder-meetings</w:t>
        </w:r>
      </w:hyperlink>
      <w:r>
        <w:rPr>
          <w:rFonts w:ascii="Arial" w:hAnsi="Arial" w:cs="Arial"/>
          <w:sz w:val="22"/>
        </w:rPr>
        <w:t>.</w:t>
      </w:r>
    </w:p>
    <w:p w:rsidR="00066EEA" w:rsidRDefault="00521B97" w:rsidP="00C31817">
      <w:pPr>
        <w:rPr>
          <w:rFonts w:ascii="Arial" w:hAnsi="Arial" w:cs="Arial"/>
          <w:sz w:val="22"/>
        </w:rPr>
      </w:pPr>
      <w:r>
        <w:rPr>
          <w:rFonts w:ascii="Arial" w:hAnsi="Arial" w:cs="Arial"/>
          <w:sz w:val="22"/>
        </w:rPr>
        <w:t>At its July 2013 meeting, t</w:t>
      </w:r>
      <w:r w:rsidRPr="00521B97">
        <w:rPr>
          <w:rFonts w:ascii="Arial" w:hAnsi="Arial" w:cs="Arial"/>
          <w:sz w:val="22"/>
        </w:rPr>
        <w:t xml:space="preserve">he PBAC rejected the submission requesting PBS listing of ruxolitinib for </w:t>
      </w:r>
      <w:r w:rsidR="003D4876">
        <w:rPr>
          <w:rFonts w:ascii="Arial" w:hAnsi="Arial" w:cs="Arial"/>
          <w:sz w:val="22"/>
        </w:rPr>
        <w:t xml:space="preserve">the </w:t>
      </w:r>
      <w:r w:rsidRPr="00521B97">
        <w:rPr>
          <w:rFonts w:ascii="Arial" w:hAnsi="Arial" w:cs="Arial"/>
          <w:sz w:val="22"/>
        </w:rPr>
        <w:t xml:space="preserve">treatment of myelofibrosis on the basis of a high and unacceptable </w:t>
      </w:r>
      <w:r w:rsidR="001D594F">
        <w:rPr>
          <w:rFonts w:ascii="Arial" w:hAnsi="Arial" w:cs="Arial"/>
          <w:sz w:val="22"/>
        </w:rPr>
        <w:t>incre</w:t>
      </w:r>
      <w:r w:rsidR="00003338">
        <w:rPr>
          <w:rFonts w:ascii="Arial" w:hAnsi="Arial" w:cs="Arial"/>
          <w:sz w:val="22"/>
        </w:rPr>
        <w:t>mental cost effectiveness ratio</w:t>
      </w:r>
      <w:r w:rsidR="001D594F">
        <w:rPr>
          <w:rFonts w:ascii="Arial" w:hAnsi="Arial" w:cs="Arial"/>
          <w:sz w:val="22"/>
        </w:rPr>
        <w:t xml:space="preserve"> (</w:t>
      </w:r>
      <w:r w:rsidRPr="00521B97">
        <w:rPr>
          <w:rFonts w:ascii="Arial" w:hAnsi="Arial" w:cs="Arial"/>
          <w:sz w:val="22"/>
        </w:rPr>
        <w:t>ICER</w:t>
      </w:r>
      <w:r w:rsidR="001D594F">
        <w:rPr>
          <w:rFonts w:ascii="Arial" w:hAnsi="Arial" w:cs="Arial"/>
          <w:sz w:val="22"/>
        </w:rPr>
        <w:t>)</w:t>
      </w:r>
      <w:r w:rsidRPr="00521B97">
        <w:rPr>
          <w:rFonts w:ascii="Arial" w:hAnsi="Arial" w:cs="Arial"/>
          <w:sz w:val="22"/>
        </w:rPr>
        <w:t>.</w:t>
      </w:r>
    </w:p>
    <w:p w:rsidR="002A6B9B" w:rsidRPr="002A6B9B" w:rsidRDefault="002A6B9B" w:rsidP="002A6B9B">
      <w:pPr>
        <w:rPr>
          <w:rFonts w:ascii="Arial" w:hAnsi="Arial" w:cs="Arial"/>
          <w:sz w:val="22"/>
        </w:rPr>
      </w:pPr>
      <w:r w:rsidRPr="002A6B9B">
        <w:rPr>
          <w:rFonts w:ascii="Arial" w:hAnsi="Arial" w:cs="Arial"/>
          <w:sz w:val="22"/>
        </w:rPr>
        <w:t xml:space="preserve">The PBAC acknowledged </w:t>
      </w:r>
      <w:r w:rsidR="00AF6219">
        <w:rPr>
          <w:rFonts w:ascii="Arial" w:hAnsi="Arial" w:cs="Arial"/>
          <w:sz w:val="22"/>
        </w:rPr>
        <w:t>t</w:t>
      </w:r>
      <w:r w:rsidR="00C94227">
        <w:rPr>
          <w:rFonts w:ascii="Arial" w:hAnsi="Arial" w:cs="Arial"/>
          <w:sz w:val="22"/>
        </w:rPr>
        <w:t>hat a high clinical need exists</w:t>
      </w:r>
      <w:r w:rsidRPr="002A6B9B">
        <w:rPr>
          <w:rFonts w:ascii="Arial" w:hAnsi="Arial" w:cs="Arial"/>
          <w:sz w:val="22"/>
        </w:rPr>
        <w:t xml:space="preserve"> for an effective treatment for some patients with myelofibrosis.  The PBAC considered ruxolitinib to be an advance in therapy for patients with a poor prognosis and/or with symptoms refractory to current care, through improved quality of life.  However, the PBAC considered that a substantial price reduction would be required to achieve acceptable cost-effectiveness. </w:t>
      </w:r>
    </w:p>
    <w:p w:rsidR="00701DE1" w:rsidRDefault="00701DE1" w:rsidP="00BA2D43">
      <w:pPr>
        <w:spacing w:after="0"/>
        <w:rPr>
          <w:rFonts w:ascii="Arial" w:hAnsi="Arial" w:cs="Arial"/>
          <w:sz w:val="22"/>
        </w:rPr>
      </w:pPr>
      <w:r>
        <w:rPr>
          <w:rFonts w:ascii="Arial" w:hAnsi="Arial" w:cs="Arial"/>
          <w:sz w:val="22"/>
        </w:rPr>
        <w:t xml:space="preserve">A Public Summary Document on the PBAC’s consideration of ruxolitinib for myelofibrosis </w:t>
      </w:r>
      <w:r w:rsidR="005205D4">
        <w:rPr>
          <w:rFonts w:ascii="Arial" w:hAnsi="Arial" w:cs="Arial"/>
          <w:sz w:val="22"/>
        </w:rPr>
        <w:t>at its July 2013 meeting is published</w:t>
      </w:r>
      <w:r>
        <w:rPr>
          <w:rFonts w:ascii="Arial" w:hAnsi="Arial" w:cs="Arial"/>
          <w:sz w:val="22"/>
        </w:rPr>
        <w:t xml:space="preserve"> on the PBS website</w:t>
      </w:r>
      <w:r w:rsidR="005205D4">
        <w:rPr>
          <w:rFonts w:ascii="Arial" w:hAnsi="Arial" w:cs="Arial"/>
          <w:sz w:val="22"/>
        </w:rPr>
        <w:t xml:space="preserve"> at </w:t>
      </w:r>
      <w:hyperlink r:id="rId10" w:history="1">
        <w:r w:rsidR="005205D4" w:rsidRPr="005205D4">
          <w:rPr>
            <w:rStyle w:val="Hyperlink"/>
            <w:rFonts w:ascii="Arial" w:hAnsi="Arial" w:cs="Arial"/>
            <w:sz w:val="22"/>
          </w:rPr>
          <w:t>http://www.pbs.gov.au/info/industry/listing/elements/pbac-meetings/psd/2013-07/ruxolitinib</w:t>
        </w:r>
      </w:hyperlink>
      <w:r w:rsidR="005205D4">
        <w:rPr>
          <w:rFonts w:ascii="Arial" w:hAnsi="Arial" w:cs="Arial"/>
          <w:sz w:val="22"/>
        </w:rPr>
        <w:t>.</w:t>
      </w:r>
    </w:p>
    <w:p w:rsidR="00BA2D43" w:rsidRDefault="00BA2D43" w:rsidP="00BA2D43">
      <w:pPr>
        <w:spacing w:after="0"/>
        <w:rPr>
          <w:rFonts w:ascii="Arial" w:hAnsi="Arial" w:cs="Arial"/>
          <w:sz w:val="22"/>
        </w:rPr>
      </w:pPr>
    </w:p>
    <w:p w:rsidR="0028745E" w:rsidRDefault="00E22B06" w:rsidP="0028745E">
      <w:pPr>
        <w:rPr>
          <w:rFonts w:ascii="Arial" w:hAnsi="Arial" w:cs="Arial"/>
          <w:b/>
        </w:rPr>
      </w:pPr>
      <w:r>
        <w:rPr>
          <w:rFonts w:ascii="Arial" w:hAnsi="Arial" w:cs="Arial"/>
          <w:b/>
        </w:rPr>
        <w:t>Discussion and outcomes</w:t>
      </w:r>
    </w:p>
    <w:p w:rsidR="00F62EEA" w:rsidRDefault="006407BE" w:rsidP="0028745E">
      <w:pPr>
        <w:rPr>
          <w:rFonts w:ascii="Arial" w:hAnsi="Arial" w:cs="Arial"/>
          <w:b/>
          <w:sz w:val="22"/>
        </w:rPr>
      </w:pPr>
      <w:r>
        <w:rPr>
          <w:rFonts w:ascii="Arial" w:hAnsi="Arial" w:cs="Arial"/>
          <w:b/>
          <w:sz w:val="22"/>
        </w:rPr>
        <w:t>Clinical place of ruxolitinib</w:t>
      </w:r>
    </w:p>
    <w:p w:rsidR="00C46816" w:rsidRDefault="00C020C5" w:rsidP="0028745E">
      <w:pPr>
        <w:rPr>
          <w:rFonts w:ascii="Arial" w:hAnsi="Arial" w:cs="Arial"/>
          <w:sz w:val="22"/>
        </w:rPr>
      </w:pPr>
      <w:r>
        <w:rPr>
          <w:rFonts w:ascii="Arial" w:hAnsi="Arial" w:cs="Arial"/>
          <w:sz w:val="22"/>
        </w:rPr>
        <w:t>The PBAC has accepted, based on the evidence presented in the submissions to the PBAC</w:t>
      </w:r>
      <w:r w:rsidR="00836340">
        <w:rPr>
          <w:rStyle w:val="FootnoteReference"/>
          <w:rFonts w:ascii="Arial" w:hAnsi="Arial" w:cs="Arial"/>
          <w:sz w:val="22"/>
        </w:rPr>
        <w:footnoteReference w:id="1"/>
      </w:r>
      <w:r w:rsidR="00766A73">
        <w:rPr>
          <w:rFonts w:ascii="Arial" w:hAnsi="Arial" w:cs="Arial"/>
          <w:sz w:val="22"/>
          <w:vertAlign w:val="superscript"/>
        </w:rPr>
        <w:t>,</w:t>
      </w:r>
      <w:r w:rsidR="00766A73">
        <w:rPr>
          <w:rStyle w:val="FootnoteReference"/>
          <w:rFonts w:ascii="Arial" w:hAnsi="Arial" w:cs="Arial"/>
          <w:sz w:val="22"/>
        </w:rPr>
        <w:footnoteReference w:id="2"/>
      </w:r>
      <w:r w:rsidR="00EC612A">
        <w:rPr>
          <w:rFonts w:ascii="Arial" w:hAnsi="Arial" w:cs="Arial"/>
          <w:sz w:val="22"/>
        </w:rPr>
        <w:t xml:space="preserve"> that ruxolitinib has an advantage over placebo or best available therapy in patients with a poorer prognosis and/ or those with symptoms refractory to current care as included in these pivotal clinical trials.  These patients were defined in the clinical trials as high risk and intermediate-2</w:t>
      </w:r>
      <w:r w:rsidR="00C17690">
        <w:rPr>
          <w:rFonts w:ascii="Arial" w:hAnsi="Arial" w:cs="Arial"/>
          <w:sz w:val="22"/>
        </w:rPr>
        <w:t xml:space="preserve"> (int-2)</w:t>
      </w:r>
      <w:r w:rsidR="00EC612A">
        <w:rPr>
          <w:rFonts w:ascii="Arial" w:hAnsi="Arial" w:cs="Arial"/>
          <w:sz w:val="22"/>
        </w:rPr>
        <w:t xml:space="preserve"> risk using the Intern</w:t>
      </w:r>
      <w:r w:rsidR="00745D90">
        <w:rPr>
          <w:rFonts w:ascii="Arial" w:hAnsi="Arial" w:cs="Arial"/>
          <w:sz w:val="22"/>
        </w:rPr>
        <w:t>ational Prognostic Scoring System</w:t>
      </w:r>
      <w:r w:rsidR="00EC612A">
        <w:rPr>
          <w:rFonts w:ascii="Arial" w:hAnsi="Arial" w:cs="Arial"/>
          <w:sz w:val="22"/>
        </w:rPr>
        <w:t xml:space="preserve"> (IPSS).  </w:t>
      </w:r>
    </w:p>
    <w:p w:rsidR="00DF52A0" w:rsidRDefault="00C31B80" w:rsidP="0028745E">
      <w:pPr>
        <w:rPr>
          <w:rFonts w:ascii="Arial" w:hAnsi="Arial" w:cs="Arial"/>
          <w:sz w:val="22"/>
        </w:rPr>
      </w:pPr>
      <w:r>
        <w:rPr>
          <w:rFonts w:ascii="Arial" w:hAnsi="Arial" w:cs="Arial"/>
          <w:sz w:val="22"/>
        </w:rPr>
        <w:t>The sponsor noted that evidence available on the clinical efficacy of ruxolitinib is limited to these more severe patient groups and this was acknowledged by those in attendance at the stakeholder meeting.</w:t>
      </w:r>
    </w:p>
    <w:p w:rsidR="00C17690" w:rsidRDefault="00C17690" w:rsidP="0028745E">
      <w:pPr>
        <w:rPr>
          <w:rFonts w:ascii="Arial" w:hAnsi="Arial" w:cs="Arial"/>
          <w:sz w:val="22"/>
        </w:rPr>
      </w:pPr>
      <w:r>
        <w:rPr>
          <w:rFonts w:ascii="Arial" w:hAnsi="Arial" w:cs="Arial"/>
          <w:sz w:val="22"/>
        </w:rPr>
        <w:t xml:space="preserve">It was noted that </w:t>
      </w:r>
      <w:r w:rsidR="006407B1">
        <w:rPr>
          <w:rFonts w:ascii="Arial" w:hAnsi="Arial" w:cs="Arial"/>
          <w:sz w:val="22"/>
        </w:rPr>
        <w:t xml:space="preserve">when evaluating the </w:t>
      </w:r>
      <w:r>
        <w:rPr>
          <w:rFonts w:ascii="Arial" w:hAnsi="Arial" w:cs="Arial"/>
          <w:sz w:val="22"/>
        </w:rPr>
        <w:t>submissions for ruxolitinib for myelofibrosis, the PBAC considered that ruxolitinib may have benefit for a wider group of patients, including some with a lower risk categorisation than int-2</w:t>
      </w:r>
      <w:r w:rsidR="006407B1">
        <w:rPr>
          <w:rFonts w:ascii="Arial" w:hAnsi="Arial" w:cs="Arial"/>
          <w:sz w:val="22"/>
        </w:rPr>
        <w:t>.</w:t>
      </w:r>
      <w:r>
        <w:rPr>
          <w:rFonts w:ascii="Arial" w:hAnsi="Arial" w:cs="Arial"/>
          <w:sz w:val="22"/>
        </w:rPr>
        <w:t xml:space="preserve"> </w:t>
      </w:r>
      <w:r w:rsidR="006407B1">
        <w:rPr>
          <w:rFonts w:ascii="Arial" w:hAnsi="Arial" w:cs="Arial"/>
          <w:sz w:val="22"/>
        </w:rPr>
        <w:t>H</w:t>
      </w:r>
      <w:r>
        <w:rPr>
          <w:rFonts w:ascii="Arial" w:hAnsi="Arial" w:cs="Arial"/>
          <w:sz w:val="22"/>
        </w:rPr>
        <w:t>owever</w:t>
      </w:r>
      <w:r w:rsidR="00220647">
        <w:rPr>
          <w:rFonts w:ascii="Arial" w:hAnsi="Arial" w:cs="Arial"/>
          <w:sz w:val="22"/>
        </w:rPr>
        <w:t>,</w:t>
      </w:r>
      <w:r>
        <w:rPr>
          <w:rFonts w:ascii="Arial" w:hAnsi="Arial" w:cs="Arial"/>
          <w:sz w:val="22"/>
        </w:rPr>
        <w:t xml:space="preserve"> it was not clear which patients would be most likely to derive benefit from treatment.</w:t>
      </w:r>
      <w:r w:rsidR="00EC7D7C">
        <w:rPr>
          <w:rFonts w:ascii="Arial" w:hAnsi="Arial" w:cs="Arial"/>
          <w:sz w:val="22"/>
        </w:rPr>
        <w:t xml:space="preserve">  The PBAC considered that the benefit in a patient population beyond high risk/ int-2 was most likely to be in terms of symptom relief leading to an improved quali</w:t>
      </w:r>
      <w:r w:rsidR="00C943B1">
        <w:rPr>
          <w:rFonts w:ascii="Arial" w:hAnsi="Arial" w:cs="Arial"/>
          <w:sz w:val="22"/>
        </w:rPr>
        <w:t xml:space="preserve">ty of life.  </w:t>
      </w:r>
      <w:r w:rsidR="00002C12">
        <w:rPr>
          <w:rFonts w:ascii="Arial" w:hAnsi="Arial" w:cs="Arial"/>
          <w:sz w:val="22"/>
        </w:rPr>
        <w:t>The clinical experts at the Stakeholder Meeting considered a broader population with a high symptom burden could be assumed to show no less benefit in symptom relief and</w:t>
      </w:r>
      <w:r w:rsidR="00002C12" w:rsidRPr="00E77FF4">
        <w:rPr>
          <w:rFonts w:ascii="Arial" w:hAnsi="Arial" w:cs="Arial"/>
          <w:sz w:val="22"/>
        </w:rPr>
        <w:t xml:space="preserve"> the same duration of response</w:t>
      </w:r>
      <w:r w:rsidR="00002C12">
        <w:rPr>
          <w:rFonts w:ascii="Arial" w:hAnsi="Arial" w:cs="Arial"/>
          <w:sz w:val="22"/>
        </w:rPr>
        <w:t xml:space="preserve"> to treatment with ruxolitinib as that shown for the high risk/ int-2 patient population.  </w:t>
      </w:r>
      <w:r w:rsidR="00C943B1">
        <w:rPr>
          <w:rFonts w:ascii="Arial" w:hAnsi="Arial" w:cs="Arial"/>
          <w:sz w:val="22"/>
        </w:rPr>
        <w:t>T</w:t>
      </w:r>
      <w:r w:rsidR="00EC7D7C">
        <w:rPr>
          <w:rFonts w:ascii="Arial" w:hAnsi="Arial" w:cs="Arial"/>
          <w:sz w:val="22"/>
        </w:rPr>
        <w:t xml:space="preserve">he PBAC considered that </w:t>
      </w:r>
      <w:r w:rsidR="006407B1">
        <w:rPr>
          <w:rFonts w:ascii="Arial" w:hAnsi="Arial" w:cs="Arial"/>
          <w:sz w:val="22"/>
        </w:rPr>
        <w:t xml:space="preserve">the </w:t>
      </w:r>
      <w:r w:rsidR="005B0859">
        <w:rPr>
          <w:rFonts w:ascii="Arial" w:hAnsi="Arial" w:cs="Arial"/>
          <w:sz w:val="22"/>
        </w:rPr>
        <w:t xml:space="preserve">effect </w:t>
      </w:r>
      <w:r w:rsidR="006407B1">
        <w:rPr>
          <w:rFonts w:ascii="Arial" w:hAnsi="Arial" w:cs="Arial"/>
          <w:sz w:val="22"/>
        </w:rPr>
        <w:t xml:space="preserve">of ruxolitinib </w:t>
      </w:r>
      <w:r w:rsidR="005B0859">
        <w:rPr>
          <w:rFonts w:ascii="Arial" w:hAnsi="Arial" w:cs="Arial"/>
          <w:sz w:val="22"/>
        </w:rPr>
        <w:t xml:space="preserve">on </w:t>
      </w:r>
      <w:r w:rsidR="00EC7D7C">
        <w:rPr>
          <w:rFonts w:ascii="Arial" w:hAnsi="Arial" w:cs="Arial"/>
          <w:sz w:val="22"/>
        </w:rPr>
        <w:t>overall survival in a pa</w:t>
      </w:r>
      <w:r w:rsidR="00696279">
        <w:rPr>
          <w:rFonts w:ascii="Arial" w:hAnsi="Arial" w:cs="Arial"/>
          <w:sz w:val="22"/>
        </w:rPr>
        <w:t>tient group wider than high</w:t>
      </w:r>
      <w:r w:rsidR="00EC7D7C">
        <w:rPr>
          <w:rFonts w:ascii="Arial" w:hAnsi="Arial" w:cs="Arial"/>
          <w:sz w:val="22"/>
        </w:rPr>
        <w:t xml:space="preserve">/ int-2 </w:t>
      </w:r>
      <w:r w:rsidR="00696279">
        <w:rPr>
          <w:rFonts w:ascii="Arial" w:hAnsi="Arial" w:cs="Arial"/>
          <w:sz w:val="22"/>
        </w:rPr>
        <w:t xml:space="preserve">risk </w:t>
      </w:r>
      <w:r w:rsidR="009F20CB">
        <w:rPr>
          <w:rFonts w:ascii="Arial" w:hAnsi="Arial" w:cs="Arial"/>
          <w:sz w:val="22"/>
        </w:rPr>
        <w:t>i</w:t>
      </w:r>
      <w:r w:rsidR="00EC7D7C">
        <w:rPr>
          <w:rFonts w:ascii="Arial" w:hAnsi="Arial" w:cs="Arial"/>
          <w:sz w:val="22"/>
        </w:rPr>
        <w:t>s unknown.</w:t>
      </w:r>
    </w:p>
    <w:p w:rsidR="00C943B1" w:rsidRDefault="00C943B1" w:rsidP="0028745E">
      <w:pPr>
        <w:rPr>
          <w:rFonts w:ascii="Arial" w:hAnsi="Arial" w:cs="Arial"/>
          <w:sz w:val="22"/>
        </w:rPr>
      </w:pPr>
      <w:r>
        <w:rPr>
          <w:rFonts w:ascii="Arial" w:hAnsi="Arial" w:cs="Arial"/>
          <w:sz w:val="22"/>
        </w:rPr>
        <w:lastRenderedPageBreak/>
        <w:t>Clinical experts present at the Stakeholder Meeting were asked for advice on which patients with myelofibrosis they were currently treating with ruxolitinib</w:t>
      </w:r>
      <w:r w:rsidR="0011459C">
        <w:rPr>
          <w:rFonts w:ascii="Arial" w:hAnsi="Arial" w:cs="Arial"/>
          <w:sz w:val="22"/>
        </w:rPr>
        <w:t xml:space="preserve">, </w:t>
      </w:r>
      <w:r>
        <w:rPr>
          <w:rFonts w:ascii="Arial" w:hAnsi="Arial" w:cs="Arial"/>
          <w:sz w:val="22"/>
        </w:rPr>
        <w:t xml:space="preserve">and which patients they considered </w:t>
      </w:r>
      <w:r w:rsidR="00665035">
        <w:rPr>
          <w:rFonts w:ascii="Arial" w:hAnsi="Arial" w:cs="Arial"/>
          <w:sz w:val="22"/>
        </w:rPr>
        <w:t>are appropriate for</w:t>
      </w:r>
      <w:r w:rsidR="0011459C">
        <w:rPr>
          <w:rFonts w:ascii="Arial" w:hAnsi="Arial" w:cs="Arial"/>
          <w:sz w:val="22"/>
        </w:rPr>
        <w:t xml:space="preserve"> treatment with ruxolitinib.</w:t>
      </w:r>
    </w:p>
    <w:p w:rsidR="00D453A7" w:rsidRDefault="00890D4A" w:rsidP="0028745E">
      <w:pPr>
        <w:rPr>
          <w:rFonts w:ascii="Arial" w:hAnsi="Arial" w:cs="Arial"/>
          <w:sz w:val="22"/>
        </w:rPr>
      </w:pPr>
      <w:r>
        <w:rPr>
          <w:rFonts w:ascii="Arial" w:hAnsi="Arial" w:cs="Arial"/>
          <w:sz w:val="22"/>
          <w:u w:val="single"/>
        </w:rPr>
        <w:t xml:space="preserve">Patient groups for whom treatment with ruxolitinib </w:t>
      </w:r>
      <w:r w:rsidR="006407B1">
        <w:rPr>
          <w:rFonts w:ascii="Arial" w:hAnsi="Arial" w:cs="Arial"/>
          <w:sz w:val="22"/>
          <w:u w:val="single"/>
        </w:rPr>
        <w:t xml:space="preserve">is </w:t>
      </w:r>
      <w:r>
        <w:rPr>
          <w:rFonts w:ascii="Arial" w:hAnsi="Arial" w:cs="Arial"/>
          <w:sz w:val="22"/>
          <w:u w:val="single"/>
        </w:rPr>
        <w:t>appropriate</w:t>
      </w:r>
      <w:r>
        <w:rPr>
          <w:rFonts w:ascii="Arial" w:hAnsi="Arial" w:cs="Arial"/>
          <w:sz w:val="22"/>
        </w:rPr>
        <w:t>:</w:t>
      </w:r>
    </w:p>
    <w:p w:rsidR="00064F59" w:rsidRPr="00064F59" w:rsidRDefault="00064F59" w:rsidP="00064F59">
      <w:pPr>
        <w:rPr>
          <w:rFonts w:ascii="Arial" w:hAnsi="Arial" w:cs="Arial"/>
          <w:sz w:val="22"/>
        </w:rPr>
      </w:pPr>
      <w:r>
        <w:rPr>
          <w:rFonts w:ascii="Arial" w:hAnsi="Arial" w:cs="Arial"/>
          <w:sz w:val="22"/>
        </w:rPr>
        <w:t xml:space="preserve">In each of the following patient groups myelofibrosis has been diagnosed.  It was considered that </w:t>
      </w:r>
      <w:r w:rsidRPr="00064F59">
        <w:rPr>
          <w:rFonts w:ascii="Arial" w:hAnsi="Arial" w:cs="Arial"/>
          <w:sz w:val="22"/>
        </w:rPr>
        <w:t>IPSS h</w:t>
      </w:r>
      <w:r>
        <w:rPr>
          <w:rFonts w:ascii="Arial" w:hAnsi="Arial" w:cs="Arial"/>
          <w:sz w:val="22"/>
        </w:rPr>
        <w:t xml:space="preserve">igh </w:t>
      </w:r>
      <w:r w:rsidRPr="00064F59">
        <w:rPr>
          <w:rFonts w:ascii="Arial" w:hAnsi="Arial" w:cs="Arial"/>
          <w:sz w:val="22"/>
        </w:rPr>
        <w:t>risk and int-2 risk patients</w:t>
      </w:r>
      <w:r w:rsidR="006407B1">
        <w:rPr>
          <w:rFonts w:ascii="Arial" w:hAnsi="Arial" w:cs="Arial"/>
          <w:sz w:val="22"/>
        </w:rPr>
        <w:t xml:space="preserve">, consistent with </w:t>
      </w:r>
      <w:r w:rsidR="00291E6E">
        <w:rPr>
          <w:rFonts w:ascii="Arial" w:hAnsi="Arial" w:cs="Arial"/>
          <w:sz w:val="22"/>
        </w:rPr>
        <w:t xml:space="preserve">the </w:t>
      </w:r>
      <w:r>
        <w:rPr>
          <w:rFonts w:ascii="Arial" w:hAnsi="Arial" w:cs="Arial"/>
          <w:sz w:val="22"/>
        </w:rPr>
        <w:t xml:space="preserve">clinical trial </w:t>
      </w:r>
      <w:r w:rsidR="006407B1">
        <w:rPr>
          <w:rFonts w:ascii="Arial" w:hAnsi="Arial" w:cs="Arial"/>
          <w:sz w:val="22"/>
        </w:rPr>
        <w:t xml:space="preserve">population </w:t>
      </w:r>
      <w:r>
        <w:rPr>
          <w:rFonts w:ascii="Arial" w:hAnsi="Arial" w:cs="Arial"/>
          <w:sz w:val="22"/>
        </w:rPr>
        <w:t>are appropriate for treatmen</w:t>
      </w:r>
      <w:r w:rsidR="00E71298">
        <w:rPr>
          <w:rFonts w:ascii="Arial" w:hAnsi="Arial" w:cs="Arial"/>
          <w:sz w:val="22"/>
        </w:rPr>
        <w:t>t with ruxolitinib.  It was noted that a number of patients in this category are currently being treated through the sponsor’s compassionate access program.  I</w:t>
      </w:r>
      <w:r>
        <w:rPr>
          <w:rFonts w:ascii="Arial" w:hAnsi="Arial" w:cs="Arial"/>
          <w:sz w:val="22"/>
        </w:rPr>
        <w:t xml:space="preserve">n addition; </w:t>
      </w:r>
    </w:p>
    <w:p w:rsidR="00890D4A" w:rsidRDefault="007B5281" w:rsidP="00890D4A">
      <w:pPr>
        <w:pStyle w:val="ListParagraph"/>
        <w:numPr>
          <w:ilvl w:val="0"/>
          <w:numId w:val="1"/>
        </w:numPr>
        <w:rPr>
          <w:rFonts w:ascii="Arial" w:hAnsi="Arial" w:cs="Arial"/>
          <w:sz w:val="22"/>
        </w:rPr>
      </w:pPr>
      <w:r>
        <w:rPr>
          <w:rFonts w:ascii="Arial" w:hAnsi="Arial" w:cs="Arial"/>
          <w:sz w:val="22"/>
        </w:rPr>
        <w:t>Patients with a high symptom burden</w:t>
      </w:r>
      <w:r w:rsidR="005664D4">
        <w:rPr>
          <w:rFonts w:ascii="Arial" w:hAnsi="Arial" w:cs="Arial"/>
          <w:sz w:val="22"/>
        </w:rPr>
        <w:t>.  I</w:t>
      </w:r>
      <w:r w:rsidR="00E71298">
        <w:rPr>
          <w:rFonts w:ascii="Arial" w:hAnsi="Arial" w:cs="Arial"/>
          <w:sz w:val="22"/>
        </w:rPr>
        <w:t xml:space="preserve">n particular </w:t>
      </w:r>
      <w:r w:rsidR="003576EC">
        <w:rPr>
          <w:rFonts w:ascii="Arial" w:hAnsi="Arial" w:cs="Arial"/>
          <w:sz w:val="22"/>
        </w:rPr>
        <w:t>those experiencing substantial weight loss, night sweats</w:t>
      </w:r>
      <w:r w:rsidR="00D53886">
        <w:rPr>
          <w:rFonts w:ascii="Arial" w:hAnsi="Arial" w:cs="Arial"/>
          <w:sz w:val="22"/>
        </w:rPr>
        <w:t xml:space="preserve"> </w:t>
      </w:r>
      <w:r w:rsidR="001B4296">
        <w:rPr>
          <w:rFonts w:ascii="Arial" w:hAnsi="Arial" w:cs="Arial"/>
          <w:sz w:val="22"/>
        </w:rPr>
        <w:t xml:space="preserve">(constitutional symptoms included in the IPSS rating criteria), fatigue, itchiness, </w:t>
      </w:r>
      <w:r w:rsidR="00D53886">
        <w:rPr>
          <w:rFonts w:ascii="Arial" w:hAnsi="Arial" w:cs="Arial"/>
          <w:sz w:val="22"/>
        </w:rPr>
        <w:t>or discomfort due to spleen enlargement</w:t>
      </w:r>
      <w:r w:rsidR="001B4296">
        <w:rPr>
          <w:rFonts w:ascii="Arial" w:hAnsi="Arial" w:cs="Arial"/>
          <w:sz w:val="22"/>
        </w:rPr>
        <w:t xml:space="preserve"> (other symptoms</w:t>
      </w:r>
      <w:r w:rsidR="00157B49">
        <w:rPr>
          <w:rFonts w:ascii="Arial" w:hAnsi="Arial" w:cs="Arial"/>
          <w:sz w:val="22"/>
        </w:rPr>
        <w:t xml:space="preserve">, </w:t>
      </w:r>
      <w:r w:rsidR="000D3DE6">
        <w:rPr>
          <w:rFonts w:ascii="Arial" w:hAnsi="Arial" w:cs="Arial"/>
          <w:sz w:val="22"/>
        </w:rPr>
        <w:t>not included in the IPSS criteria</w:t>
      </w:r>
      <w:r w:rsidR="001B4296">
        <w:rPr>
          <w:rFonts w:ascii="Arial" w:hAnsi="Arial" w:cs="Arial"/>
          <w:sz w:val="22"/>
        </w:rPr>
        <w:t>)</w:t>
      </w:r>
      <w:r w:rsidR="00D53886">
        <w:rPr>
          <w:rFonts w:ascii="Arial" w:hAnsi="Arial" w:cs="Arial"/>
          <w:sz w:val="22"/>
        </w:rPr>
        <w:t>;</w:t>
      </w:r>
    </w:p>
    <w:p w:rsidR="00E71298" w:rsidRDefault="00E71298" w:rsidP="00890D4A">
      <w:pPr>
        <w:pStyle w:val="ListParagraph"/>
        <w:numPr>
          <w:ilvl w:val="0"/>
          <w:numId w:val="1"/>
        </w:numPr>
        <w:rPr>
          <w:rFonts w:ascii="Arial" w:hAnsi="Arial" w:cs="Arial"/>
          <w:sz w:val="22"/>
        </w:rPr>
      </w:pPr>
      <w:r>
        <w:rPr>
          <w:rFonts w:ascii="Arial" w:hAnsi="Arial" w:cs="Arial"/>
          <w:sz w:val="22"/>
        </w:rPr>
        <w:t xml:space="preserve">Younger patients whose risk </w:t>
      </w:r>
      <w:r w:rsidR="00F86DF1">
        <w:rPr>
          <w:rFonts w:ascii="Arial" w:hAnsi="Arial" w:cs="Arial"/>
          <w:sz w:val="22"/>
        </w:rPr>
        <w:t xml:space="preserve">would be </w:t>
      </w:r>
      <w:r>
        <w:rPr>
          <w:rFonts w:ascii="Arial" w:hAnsi="Arial" w:cs="Arial"/>
          <w:sz w:val="22"/>
        </w:rPr>
        <w:t>cate</w:t>
      </w:r>
      <w:r w:rsidR="00F86DF1">
        <w:rPr>
          <w:rFonts w:ascii="Arial" w:hAnsi="Arial" w:cs="Arial"/>
          <w:sz w:val="22"/>
        </w:rPr>
        <w:t>gorised as IPSS int-2, except that they are younger than 65 years of age</w:t>
      </w:r>
      <w:r w:rsidR="007636E3">
        <w:rPr>
          <w:rFonts w:ascii="Arial" w:hAnsi="Arial" w:cs="Arial"/>
          <w:sz w:val="22"/>
        </w:rPr>
        <w:t xml:space="preserve"> (</w:t>
      </w:r>
      <w:r w:rsidR="005838AD">
        <w:rPr>
          <w:rFonts w:ascii="Arial" w:hAnsi="Arial" w:cs="Arial"/>
          <w:sz w:val="22"/>
        </w:rPr>
        <w:t>as age greater than 65 years is one of the criteria to be classified as int-2 risk)</w:t>
      </w:r>
      <w:r w:rsidR="00291E6E">
        <w:rPr>
          <w:rFonts w:ascii="Arial" w:hAnsi="Arial" w:cs="Arial"/>
          <w:sz w:val="22"/>
        </w:rPr>
        <w:t>.</w:t>
      </w:r>
    </w:p>
    <w:p w:rsidR="007636E3" w:rsidRPr="007636E3" w:rsidRDefault="007636E3" w:rsidP="007636E3">
      <w:pPr>
        <w:rPr>
          <w:rFonts w:ascii="Arial" w:hAnsi="Arial" w:cs="Arial"/>
          <w:sz w:val="22"/>
        </w:rPr>
      </w:pPr>
      <w:r w:rsidRPr="007636E3">
        <w:rPr>
          <w:rFonts w:ascii="Arial" w:hAnsi="Arial" w:cs="Arial"/>
          <w:sz w:val="22"/>
          <w:u w:val="single"/>
        </w:rPr>
        <w:t xml:space="preserve">Patient groups for whom treatment with ruxolitinib </w:t>
      </w:r>
      <w:r>
        <w:rPr>
          <w:rFonts w:ascii="Arial" w:hAnsi="Arial" w:cs="Arial"/>
          <w:sz w:val="22"/>
          <w:u w:val="single"/>
        </w:rPr>
        <w:t xml:space="preserve">was considered NOT </w:t>
      </w:r>
      <w:r w:rsidRPr="007636E3">
        <w:rPr>
          <w:rFonts w:ascii="Arial" w:hAnsi="Arial" w:cs="Arial"/>
          <w:sz w:val="22"/>
          <w:u w:val="single"/>
        </w:rPr>
        <w:t>appropriate</w:t>
      </w:r>
      <w:r w:rsidRPr="007636E3">
        <w:rPr>
          <w:rFonts w:ascii="Arial" w:hAnsi="Arial" w:cs="Arial"/>
          <w:sz w:val="22"/>
        </w:rPr>
        <w:t>:</w:t>
      </w:r>
    </w:p>
    <w:p w:rsidR="007636E3" w:rsidRDefault="00DA154D" w:rsidP="00B87181">
      <w:pPr>
        <w:pStyle w:val="ListParagraph"/>
        <w:numPr>
          <w:ilvl w:val="0"/>
          <w:numId w:val="2"/>
        </w:numPr>
        <w:rPr>
          <w:rFonts w:ascii="Arial" w:hAnsi="Arial" w:cs="Arial"/>
          <w:sz w:val="22"/>
        </w:rPr>
      </w:pPr>
      <w:r>
        <w:rPr>
          <w:rFonts w:ascii="Arial" w:hAnsi="Arial" w:cs="Arial"/>
          <w:sz w:val="22"/>
        </w:rPr>
        <w:t>Patient</w:t>
      </w:r>
      <w:r w:rsidR="00CE7962">
        <w:rPr>
          <w:rFonts w:ascii="Arial" w:hAnsi="Arial" w:cs="Arial"/>
          <w:sz w:val="22"/>
        </w:rPr>
        <w:t>s</w:t>
      </w:r>
      <w:r>
        <w:rPr>
          <w:rFonts w:ascii="Arial" w:hAnsi="Arial" w:cs="Arial"/>
          <w:sz w:val="22"/>
        </w:rPr>
        <w:t xml:space="preserve"> with an enlarged spleen who have a low symptom burden;</w:t>
      </w:r>
    </w:p>
    <w:p w:rsidR="008A664B" w:rsidRDefault="008A664B" w:rsidP="00B87181">
      <w:pPr>
        <w:pStyle w:val="ListParagraph"/>
        <w:numPr>
          <w:ilvl w:val="0"/>
          <w:numId w:val="2"/>
        </w:numPr>
        <w:rPr>
          <w:rFonts w:ascii="Arial" w:hAnsi="Arial" w:cs="Arial"/>
          <w:sz w:val="22"/>
        </w:rPr>
      </w:pPr>
      <w:r>
        <w:rPr>
          <w:rFonts w:ascii="Arial" w:hAnsi="Arial" w:cs="Arial"/>
          <w:sz w:val="22"/>
        </w:rPr>
        <w:t>Those with a low symptom burden who do not currently require medicines</w:t>
      </w:r>
      <w:r w:rsidR="005838AD">
        <w:rPr>
          <w:rFonts w:ascii="Arial" w:hAnsi="Arial" w:cs="Arial"/>
          <w:sz w:val="22"/>
        </w:rPr>
        <w:t xml:space="preserve"> to manage their MF</w:t>
      </w:r>
      <w:r>
        <w:rPr>
          <w:rFonts w:ascii="Arial" w:hAnsi="Arial" w:cs="Arial"/>
          <w:sz w:val="22"/>
        </w:rPr>
        <w:t>;</w:t>
      </w:r>
    </w:p>
    <w:p w:rsidR="00DA154D" w:rsidRPr="00B87181" w:rsidRDefault="001E4F71" w:rsidP="00B87181">
      <w:pPr>
        <w:pStyle w:val="ListParagraph"/>
        <w:numPr>
          <w:ilvl w:val="0"/>
          <w:numId w:val="2"/>
        </w:numPr>
        <w:rPr>
          <w:rFonts w:ascii="Arial" w:hAnsi="Arial" w:cs="Arial"/>
          <w:sz w:val="22"/>
        </w:rPr>
      </w:pPr>
      <w:r>
        <w:rPr>
          <w:rFonts w:ascii="Arial" w:hAnsi="Arial" w:cs="Arial"/>
          <w:sz w:val="22"/>
        </w:rPr>
        <w:t>Bone marrow function stable</w:t>
      </w:r>
      <w:r w:rsidR="00D31635">
        <w:rPr>
          <w:rFonts w:ascii="Arial" w:hAnsi="Arial" w:cs="Arial"/>
          <w:sz w:val="22"/>
        </w:rPr>
        <w:t xml:space="preserve">, and </w:t>
      </w:r>
      <w:r w:rsidR="00691914">
        <w:rPr>
          <w:rFonts w:ascii="Arial" w:hAnsi="Arial" w:cs="Arial"/>
          <w:sz w:val="22"/>
        </w:rPr>
        <w:t>a</w:t>
      </w:r>
      <w:r w:rsidR="00BB53E2">
        <w:rPr>
          <w:rFonts w:ascii="Arial" w:hAnsi="Arial" w:cs="Arial"/>
          <w:sz w:val="22"/>
        </w:rPr>
        <w:t xml:space="preserve"> low symptom burden</w:t>
      </w:r>
      <w:r w:rsidR="00486391">
        <w:rPr>
          <w:rFonts w:ascii="Arial" w:hAnsi="Arial" w:cs="Arial"/>
          <w:sz w:val="22"/>
        </w:rPr>
        <w:t>.</w:t>
      </w:r>
    </w:p>
    <w:p w:rsidR="007B5281" w:rsidRDefault="007B5281" w:rsidP="007B5281">
      <w:pPr>
        <w:rPr>
          <w:rFonts w:ascii="Arial" w:hAnsi="Arial" w:cs="Arial"/>
          <w:sz w:val="22"/>
        </w:rPr>
      </w:pPr>
      <w:r>
        <w:rPr>
          <w:rFonts w:ascii="Arial" w:hAnsi="Arial" w:cs="Arial"/>
          <w:sz w:val="22"/>
        </w:rPr>
        <w:t xml:space="preserve">The risk status of the above patients groups in relation to the IPSS, </w:t>
      </w:r>
      <w:r w:rsidR="00745D90">
        <w:rPr>
          <w:rFonts w:ascii="Arial" w:hAnsi="Arial" w:cs="Arial"/>
          <w:sz w:val="22"/>
        </w:rPr>
        <w:t xml:space="preserve">the Dynamic International Prognostic Scoring System </w:t>
      </w:r>
      <w:r w:rsidR="004671F3">
        <w:rPr>
          <w:rFonts w:ascii="Arial" w:hAnsi="Arial" w:cs="Arial"/>
          <w:sz w:val="22"/>
        </w:rPr>
        <w:t>(</w:t>
      </w:r>
      <w:r>
        <w:rPr>
          <w:rFonts w:ascii="Arial" w:hAnsi="Arial" w:cs="Arial"/>
          <w:sz w:val="22"/>
        </w:rPr>
        <w:t>DIPSS</w:t>
      </w:r>
      <w:r w:rsidR="004671F3">
        <w:rPr>
          <w:rFonts w:ascii="Arial" w:hAnsi="Arial" w:cs="Arial"/>
          <w:sz w:val="22"/>
        </w:rPr>
        <w:t>)</w:t>
      </w:r>
      <w:r>
        <w:rPr>
          <w:rFonts w:ascii="Arial" w:hAnsi="Arial" w:cs="Arial"/>
          <w:sz w:val="22"/>
        </w:rPr>
        <w:t xml:space="preserve"> and </w:t>
      </w:r>
      <w:r w:rsidR="00433A00">
        <w:rPr>
          <w:rFonts w:ascii="Arial" w:hAnsi="Arial" w:cs="Arial"/>
          <w:sz w:val="22"/>
        </w:rPr>
        <w:t xml:space="preserve">the </w:t>
      </w:r>
      <w:r w:rsidR="00BC2A3D">
        <w:rPr>
          <w:rFonts w:ascii="Arial" w:hAnsi="Arial" w:cs="Arial"/>
          <w:sz w:val="22"/>
        </w:rPr>
        <w:t xml:space="preserve">age-adjusted DIPSS </w:t>
      </w:r>
      <w:r>
        <w:rPr>
          <w:rFonts w:ascii="Arial" w:hAnsi="Arial" w:cs="Arial"/>
          <w:sz w:val="22"/>
        </w:rPr>
        <w:t>was discussed.</w:t>
      </w:r>
      <w:r w:rsidR="004671F3">
        <w:rPr>
          <w:rFonts w:ascii="Arial" w:hAnsi="Arial" w:cs="Arial"/>
          <w:sz w:val="22"/>
        </w:rPr>
        <w:t xml:space="preserve">  </w:t>
      </w:r>
      <w:r w:rsidR="002531AE">
        <w:rPr>
          <w:rFonts w:ascii="Arial" w:hAnsi="Arial" w:cs="Arial"/>
          <w:sz w:val="22"/>
        </w:rPr>
        <w:t xml:space="preserve">The IPSS was used in the clinical trials </w:t>
      </w:r>
      <w:r w:rsidR="00DD1C57">
        <w:rPr>
          <w:rFonts w:ascii="Arial" w:hAnsi="Arial" w:cs="Arial"/>
          <w:sz w:val="22"/>
        </w:rPr>
        <w:t xml:space="preserve">of </w:t>
      </w:r>
      <w:r w:rsidR="002531AE">
        <w:rPr>
          <w:rFonts w:ascii="Arial" w:hAnsi="Arial" w:cs="Arial"/>
          <w:sz w:val="22"/>
        </w:rPr>
        <w:t>ruxolitinib in the submission</w:t>
      </w:r>
      <w:r w:rsidR="00C46EA6">
        <w:rPr>
          <w:rFonts w:ascii="Arial" w:hAnsi="Arial" w:cs="Arial"/>
          <w:sz w:val="22"/>
        </w:rPr>
        <w:t>s</w:t>
      </w:r>
      <w:r w:rsidR="002531AE">
        <w:rPr>
          <w:rFonts w:ascii="Arial" w:hAnsi="Arial" w:cs="Arial"/>
          <w:sz w:val="22"/>
        </w:rPr>
        <w:t xml:space="preserve"> to the PBAC</w:t>
      </w:r>
      <w:r w:rsidR="00F64299">
        <w:rPr>
          <w:rFonts w:ascii="Arial" w:hAnsi="Arial" w:cs="Arial"/>
          <w:sz w:val="22"/>
        </w:rPr>
        <w:t>.</w:t>
      </w:r>
      <w:r w:rsidR="00F64299">
        <w:rPr>
          <w:rFonts w:ascii="Arial" w:hAnsi="Arial" w:cs="Arial"/>
          <w:sz w:val="22"/>
          <w:vertAlign w:val="superscript"/>
        </w:rPr>
        <w:t>1,2</w:t>
      </w:r>
      <w:r w:rsidR="00CE10D7">
        <w:rPr>
          <w:rFonts w:ascii="Arial" w:hAnsi="Arial" w:cs="Arial"/>
          <w:sz w:val="22"/>
        </w:rPr>
        <w:t xml:space="preserve">  </w:t>
      </w:r>
      <w:r w:rsidR="004671F3">
        <w:rPr>
          <w:rFonts w:ascii="Arial" w:hAnsi="Arial" w:cs="Arial"/>
          <w:sz w:val="22"/>
        </w:rPr>
        <w:t xml:space="preserve">It was noted that a number of </w:t>
      </w:r>
      <w:r w:rsidR="009225AF">
        <w:rPr>
          <w:rFonts w:ascii="Arial" w:hAnsi="Arial" w:cs="Arial"/>
          <w:sz w:val="22"/>
        </w:rPr>
        <w:t>the patients</w:t>
      </w:r>
      <w:r w:rsidR="004671F3">
        <w:rPr>
          <w:rFonts w:ascii="Arial" w:hAnsi="Arial" w:cs="Arial"/>
          <w:sz w:val="22"/>
        </w:rPr>
        <w:t xml:space="preserve"> </w:t>
      </w:r>
      <w:r w:rsidR="009225AF">
        <w:rPr>
          <w:rFonts w:ascii="Arial" w:hAnsi="Arial" w:cs="Arial"/>
          <w:sz w:val="22"/>
        </w:rPr>
        <w:t xml:space="preserve">identified above </w:t>
      </w:r>
      <w:r w:rsidR="004671F3">
        <w:rPr>
          <w:rFonts w:ascii="Arial" w:hAnsi="Arial" w:cs="Arial"/>
          <w:sz w:val="22"/>
        </w:rPr>
        <w:t xml:space="preserve">would be classified as intermediate-1 (int-1) on the IPSS, such as </w:t>
      </w:r>
      <w:r w:rsidR="005D5FA4">
        <w:rPr>
          <w:rFonts w:ascii="Arial" w:hAnsi="Arial" w:cs="Arial"/>
          <w:sz w:val="22"/>
        </w:rPr>
        <w:t xml:space="preserve">some patients </w:t>
      </w:r>
      <w:r w:rsidR="004671F3">
        <w:rPr>
          <w:rFonts w:ascii="Arial" w:hAnsi="Arial" w:cs="Arial"/>
          <w:sz w:val="22"/>
        </w:rPr>
        <w:t>with a high symptom burden who are under 65 ye</w:t>
      </w:r>
      <w:r w:rsidR="00BA5BB3">
        <w:rPr>
          <w:rFonts w:ascii="Arial" w:hAnsi="Arial" w:cs="Arial"/>
          <w:sz w:val="22"/>
        </w:rPr>
        <w:t>ars of age</w:t>
      </w:r>
      <w:r w:rsidR="005D5FA4">
        <w:rPr>
          <w:rFonts w:ascii="Arial" w:hAnsi="Arial" w:cs="Arial"/>
          <w:sz w:val="22"/>
        </w:rPr>
        <w:t>.</w:t>
      </w:r>
    </w:p>
    <w:p w:rsidR="009141C8" w:rsidRDefault="00334650" w:rsidP="007B5281">
      <w:pPr>
        <w:rPr>
          <w:rFonts w:ascii="Arial" w:hAnsi="Arial" w:cs="Arial"/>
          <w:sz w:val="22"/>
        </w:rPr>
      </w:pPr>
      <w:r>
        <w:rPr>
          <w:rFonts w:ascii="Arial" w:hAnsi="Arial" w:cs="Arial"/>
          <w:sz w:val="22"/>
        </w:rPr>
        <w:t>As</w:t>
      </w:r>
      <w:r w:rsidR="00290D55">
        <w:rPr>
          <w:rFonts w:ascii="Arial" w:hAnsi="Arial" w:cs="Arial"/>
          <w:sz w:val="22"/>
        </w:rPr>
        <w:t xml:space="preserve"> the IPSS </w:t>
      </w:r>
      <w:r w:rsidR="0039472C">
        <w:rPr>
          <w:rFonts w:ascii="Arial" w:hAnsi="Arial" w:cs="Arial"/>
          <w:sz w:val="22"/>
        </w:rPr>
        <w:t xml:space="preserve">was developed and validated for prognostication of MF using data from </w:t>
      </w:r>
      <w:r>
        <w:rPr>
          <w:rFonts w:ascii="Arial" w:hAnsi="Arial" w:cs="Arial"/>
          <w:sz w:val="22"/>
        </w:rPr>
        <w:t>the time of diagnosis, it was noted that requiring confirmation of the patient’s IPSS for PBS subsidy of r</w:t>
      </w:r>
      <w:r w:rsidR="00420495">
        <w:rPr>
          <w:rFonts w:ascii="Arial" w:hAnsi="Arial" w:cs="Arial"/>
          <w:sz w:val="22"/>
        </w:rPr>
        <w:t>uxolitinib may</w:t>
      </w:r>
      <w:r>
        <w:rPr>
          <w:rFonts w:ascii="Arial" w:hAnsi="Arial" w:cs="Arial"/>
          <w:sz w:val="22"/>
        </w:rPr>
        <w:t xml:space="preserve"> cause access issues if the prescriber needed to refer to medical notes from a clinician previously treating the patient or from some years prior</w:t>
      </w:r>
      <w:r w:rsidR="00EF2653">
        <w:rPr>
          <w:rFonts w:ascii="Arial" w:hAnsi="Arial" w:cs="Arial"/>
          <w:sz w:val="22"/>
        </w:rPr>
        <w:t xml:space="preserve"> when the patient was diagnosed</w:t>
      </w:r>
      <w:r>
        <w:rPr>
          <w:rFonts w:ascii="Arial" w:hAnsi="Arial" w:cs="Arial"/>
          <w:sz w:val="22"/>
        </w:rPr>
        <w:t>.</w:t>
      </w:r>
      <w:r w:rsidR="00FE368F">
        <w:rPr>
          <w:rFonts w:ascii="Arial" w:hAnsi="Arial" w:cs="Arial"/>
          <w:sz w:val="22"/>
        </w:rPr>
        <w:t xml:space="preserve">  The clinicians present at the stakeholder meeting agreed that for some patients the DIPSS would be a more appropriate scoring system as the DIPSS takes into account the eff</w:t>
      </w:r>
      <w:r w:rsidR="000A283B">
        <w:rPr>
          <w:rFonts w:ascii="Arial" w:hAnsi="Arial" w:cs="Arial"/>
          <w:sz w:val="22"/>
        </w:rPr>
        <w:t>ect of MF risk factors at a point in time</w:t>
      </w:r>
      <w:r w:rsidR="00FE368F">
        <w:rPr>
          <w:rFonts w:ascii="Arial" w:hAnsi="Arial" w:cs="Arial"/>
          <w:sz w:val="22"/>
        </w:rPr>
        <w:t>.  Clinicians noted that both the IPSS and the DIPSS have the criteria of age greater than 65 year</w:t>
      </w:r>
      <w:r w:rsidR="008366F5">
        <w:rPr>
          <w:rFonts w:ascii="Arial" w:hAnsi="Arial" w:cs="Arial"/>
          <w:sz w:val="22"/>
        </w:rPr>
        <w:t>s</w:t>
      </w:r>
      <w:r w:rsidR="00FE368F">
        <w:rPr>
          <w:rFonts w:ascii="Arial" w:hAnsi="Arial" w:cs="Arial"/>
          <w:sz w:val="22"/>
        </w:rPr>
        <w:t xml:space="preserve"> in their scoring system</w:t>
      </w:r>
      <w:r w:rsidR="005104F5">
        <w:rPr>
          <w:rFonts w:ascii="Arial" w:hAnsi="Arial" w:cs="Arial"/>
          <w:sz w:val="22"/>
        </w:rPr>
        <w:t>s</w:t>
      </w:r>
      <w:r w:rsidR="00FE368F">
        <w:rPr>
          <w:rFonts w:ascii="Arial" w:hAnsi="Arial" w:cs="Arial"/>
          <w:sz w:val="22"/>
        </w:rPr>
        <w:t xml:space="preserve"> and hence considered that the age</w:t>
      </w:r>
      <w:r w:rsidR="00887C99">
        <w:rPr>
          <w:rFonts w:ascii="Arial" w:hAnsi="Arial" w:cs="Arial"/>
          <w:sz w:val="22"/>
        </w:rPr>
        <w:t>-</w:t>
      </w:r>
      <w:r w:rsidR="00FE368F">
        <w:rPr>
          <w:rFonts w:ascii="Arial" w:hAnsi="Arial" w:cs="Arial"/>
          <w:sz w:val="22"/>
        </w:rPr>
        <w:t>adjusted DIPSS</w:t>
      </w:r>
      <w:r w:rsidR="00887C99">
        <w:rPr>
          <w:rFonts w:ascii="Arial" w:hAnsi="Arial" w:cs="Arial"/>
          <w:sz w:val="22"/>
        </w:rPr>
        <w:t xml:space="preserve"> would be an additional suitable scoring system to as</w:t>
      </w:r>
      <w:r w:rsidR="00EA6531">
        <w:rPr>
          <w:rFonts w:ascii="Arial" w:hAnsi="Arial" w:cs="Arial"/>
          <w:sz w:val="22"/>
        </w:rPr>
        <w:t>sist assessing patients appropriate</w:t>
      </w:r>
      <w:r w:rsidR="00887C99">
        <w:rPr>
          <w:rFonts w:ascii="Arial" w:hAnsi="Arial" w:cs="Arial"/>
          <w:sz w:val="22"/>
        </w:rPr>
        <w:t xml:space="preserve"> for treatment with ruxolitinib.</w:t>
      </w:r>
    </w:p>
    <w:p w:rsidR="00F62EEA" w:rsidRDefault="006407BE" w:rsidP="0028745E">
      <w:pPr>
        <w:rPr>
          <w:rFonts w:ascii="Arial" w:hAnsi="Arial" w:cs="Arial"/>
          <w:b/>
          <w:sz w:val="22"/>
        </w:rPr>
      </w:pPr>
      <w:r>
        <w:rPr>
          <w:rFonts w:ascii="Arial" w:hAnsi="Arial" w:cs="Arial"/>
          <w:b/>
          <w:sz w:val="22"/>
        </w:rPr>
        <w:t>PBS Restriction</w:t>
      </w:r>
    </w:p>
    <w:p w:rsidR="00733A46" w:rsidRDefault="001E0269" w:rsidP="0028745E">
      <w:pPr>
        <w:rPr>
          <w:rFonts w:ascii="Arial" w:hAnsi="Arial" w:cs="Arial"/>
          <w:sz w:val="22"/>
        </w:rPr>
      </w:pPr>
      <w:r>
        <w:rPr>
          <w:rFonts w:ascii="Arial" w:hAnsi="Arial" w:cs="Arial"/>
          <w:sz w:val="22"/>
        </w:rPr>
        <w:t>Following identification</w:t>
      </w:r>
      <w:r w:rsidR="00345EB8">
        <w:rPr>
          <w:rFonts w:ascii="Arial" w:hAnsi="Arial" w:cs="Arial"/>
          <w:sz w:val="22"/>
        </w:rPr>
        <w:t xml:space="preserve"> of the patient population with MF </w:t>
      </w:r>
      <w:r>
        <w:rPr>
          <w:rFonts w:ascii="Arial" w:hAnsi="Arial" w:cs="Arial"/>
          <w:sz w:val="22"/>
        </w:rPr>
        <w:t xml:space="preserve">considered </w:t>
      </w:r>
      <w:r w:rsidR="00345EB8">
        <w:rPr>
          <w:rFonts w:ascii="Arial" w:hAnsi="Arial" w:cs="Arial"/>
          <w:sz w:val="22"/>
        </w:rPr>
        <w:t xml:space="preserve">appropriate for treatment with ruxolitinib, the potential PBS </w:t>
      </w:r>
      <w:r>
        <w:rPr>
          <w:rFonts w:ascii="Arial" w:hAnsi="Arial" w:cs="Arial"/>
          <w:sz w:val="22"/>
        </w:rPr>
        <w:t>restriction was discussed.</w:t>
      </w:r>
    </w:p>
    <w:p w:rsidR="001E0269" w:rsidRDefault="001E0269" w:rsidP="0028745E">
      <w:pPr>
        <w:rPr>
          <w:rFonts w:ascii="Arial" w:hAnsi="Arial" w:cs="Arial"/>
          <w:sz w:val="22"/>
        </w:rPr>
      </w:pPr>
      <w:r>
        <w:rPr>
          <w:rFonts w:ascii="Arial" w:hAnsi="Arial" w:cs="Arial"/>
          <w:sz w:val="22"/>
        </w:rPr>
        <w:lastRenderedPageBreak/>
        <w:t>The restrictions proposed by the sponsor in the July 2013 and July 2014 submissions to the PBAC are available in the Public Summary Documents.</w:t>
      </w:r>
    </w:p>
    <w:p w:rsidR="00962CBF" w:rsidRDefault="00BC2F8A" w:rsidP="00062751">
      <w:pPr>
        <w:spacing w:after="0"/>
        <w:rPr>
          <w:rFonts w:ascii="Arial" w:hAnsi="Arial" w:cs="Arial"/>
          <w:sz w:val="22"/>
        </w:rPr>
      </w:pPr>
      <w:r>
        <w:rPr>
          <w:rFonts w:ascii="Arial" w:hAnsi="Arial" w:cs="Arial"/>
          <w:sz w:val="22"/>
        </w:rPr>
        <w:t>The following PBS restriction was proposed taking into account the identified patient population, MF prognosis scoring systems and other clinical criteria.</w:t>
      </w:r>
      <w:r w:rsidR="00C900C6">
        <w:rPr>
          <w:rFonts w:ascii="Arial" w:hAnsi="Arial" w:cs="Arial"/>
          <w:sz w:val="22"/>
        </w:rPr>
        <w:t xml:space="preserve">  It is noted that this restriction is indicative only based on the clinical advice and discussions at this stak</w:t>
      </w:r>
      <w:r w:rsidR="00320F46">
        <w:rPr>
          <w:rFonts w:ascii="Arial" w:hAnsi="Arial" w:cs="Arial"/>
          <w:sz w:val="22"/>
        </w:rPr>
        <w:t>eholder meeting.  A restriction would be finalised following a positive recommendation by the PBAC.</w:t>
      </w:r>
    </w:p>
    <w:p w:rsidR="00062751" w:rsidRDefault="00062751" w:rsidP="008126E1">
      <w:pPr>
        <w:rPr>
          <w:rFonts w:ascii="Arial" w:hAnsi="Arial" w:cs="Arial"/>
          <w:sz w:val="22"/>
        </w:rPr>
      </w:pPr>
    </w:p>
    <w:tbl>
      <w:tblPr>
        <w:tblW w:w="9214" w:type="dxa"/>
        <w:tblInd w:w="108" w:type="dxa"/>
        <w:tblLayout w:type="fixed"/>
        <w:tblLook w:val="0000" w:firstRow="0" w:lastRow="0" w:firstColumn="0" w:lastColumn="0" w:noHBand="0" w:noVBand="0"/>
        <w:tblDescription w:val="Restriction for the requested lisiting"/>
      </w:tblPr>
      <w:tblGrid>
        <w:gridCol w:w="2835"/>
        <w:gridCol w:w="6379"/>
      </w:tblGrid>
      <w:tr w:rsidR="00062751"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62751" w:rsidRPr="00062751" w:rsidRDefault="0035008E" w:rsidP="006407B1">
            <w:pPr>
              <w:rPr>
                <w:rFonts w:ascii="Arial" w:hAnsi="Arial" w:cs="Arial"/>
                <w:b/>
                <w:sz w:val="20"/>
                <w:szCs w:val="20"/>
              </w:rPr>
            </w:pPr>
            <w:r>
              <w:rPr>
                <w:rFonts w:ascii="Arial" w:hAnsi="Arial"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062751" w:rsidRPr="00062751" w:rsidRDefault="00C810B2" w:rsidP="006407B1">
            <w:pPr>
              <w:rPr>
                <w:rFonts w:ascii="Arial" w:hAnsi="Arial" w:cs="Arial"/>
                <w:sz w:val="20"/>
                <w:szCs w:val="20"/>
              </w:rPr>
            </w:pPr>
            <w:r>
              <w:rPr>
                <w:rFonts w:ascii="Arial" w:hAnsi="Arial" w:cs="Arial"/>
                <w:sz w:val="20"/>
                <w:szCs w:val="20"/>
              </w:rPr>
              <w:t>M</w:t>
            </w:r>
            <w:r w:rsidR="00062751" w:rsidRPr="00062751">
              <w:rPr>
                <w:rFonts w:ascii="Arial" w:hAnsi="Arial" w:cs="Arial"/>
                <w:sz w:val="20"/>
                <w:szCs w:val="20"/>
              </w:rPr>
              <w:t>yelofibrosis</w:t>
            </w:r>
          </w:p>
        </w:tc>
      </w:tr>
      <w:tr w:rsidR="00062751"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62751" w:rsidRPr="00062751" w:rsidRDefault="0035008E" w:rsidP="006407B1">
            <w:pPr>
              <w:rPr>
                <w:rFonts w:ascii="Arial" w:hAnsi="Arial" w:cs="Arial"/>
                <w:b/>
                <w:sz w:val="20"/>
                <w:szCs w:val="20"/>
              </w:rPr>
            </w:pPr>
            <w:r>
              <w:rPr>
                <w:rFonts w:ascii="Arial" w:hAnsi="Arial" w:cs="Arial"/>
                <w:b/>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062751" w:rsidRPr="00062751" w:rsidRDefault="00C810B2" w:rsidP="006407B1">
            <w:pPr>
              <w:rPr>
                <w:rFonts w:ascii="Arial" w:hAnsi="Arial" w:cs="Arial"/>
                <w:sz w:val="20"/>
                <w:szCs w:val="20"/>
              </w:rPr>
            </w:pPr>
            <w:r>
              <w:rPr>
                <w:rFonts w:ascii="Arial" w:hAnsi="Arial" w:cs="Arial"/>
                <w:sz w:val="20"/>
                <w:szCs w:val="20"/>
              </w:rPr>
              <w:t>High risk</w:t>
            </w:r>
            <w:r w:rsidR="007310B7">
              <w:rPr>
                <w:rFonts w:ascii="Arial" w:hAnsi="Arial" w:cs="Arial"/>
                <w:sz w:val="20"/>
                <w:szCs w:val="20"/>
              </w:rPr>
              <w:t xml:space="preserve"> or</w:t>
            </w:r>
            <w:r w:rsidR="00696CFB">
              <w:rPr>
                <w:rFonts w:ascii="Arial" w:hAnsi="Arial" w:cs="Arial"/>
                <w:sz w:val="20"/>
                <w:szCs w:val="20"/>
              </w:rPr>
              <w:t xml:space="preserve"> Intermediate-2 r</w:t>
            </w:r>
            <w:r w:rsidR="007310B7">
              <w:rPr>
                <w:rFonts w:ascii="Arial" w:hAnsi="Arial" w:cs="Arial"/>
                <w:sz w:val="20"/>
                <w:szCs w:val="20"/>
              </w:rPr>
              <w:t>isk</w:t>
            </w:r>
          </w:p>
        </w:tc>
      </w:tr>
      <w:tr w:rsidR="00062751"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62751" w:rsidRPr="00062751" w:rsidRDefault="0035008E" w:rsidP="006407B1">
            <w:pPr>
              <w:rPr>
                <w:rFonts w:ascii="Arial" w:hAnsi="Arial" w:cs="Arial"/>
                <w:b/>
                <w:sz w:val="20"/>
                <w:szCs w:val="20"/>
              </w:rPr>
            </w:pPr>
            <w:r>
              <w:rPr>
                <w:rFonts w:ascii="Arial" w:hAnsi="Arial" w:cs="Arial"/>
                <w:b/>
                <w:sz w:val="20"/>
                <w:szCs w:val="20"/>
              </w:rPr>
              <w:t>Restriction</w:t>
            </w:r>
          </w:p>
        </w:tc>
        <w:tc>
          <w:tcPr>
            <w:tcW w:w="6379" w:type="dxa"/>
            <w:tcBorders>
              <w:top w:val="single" w:sz="4" w:space="0" w:color="auto"/>
              <w:left w:val="single" w:sz="4" w:space="0" w:color="auto"/>
              <w:bottom w:val="single" w:sz="4" w:space="0" w:color="auto"/>
              <w:right w:val="single" w:sz="4" w:space="0" w:color="auto"/>
            </w:tcBorders>
          </w:tcPr>
          <w:p w:rsidR="00062751" w:rsidRPr="00062751" w:rsidRDefault="00062751" w:rsidP="006407B1">
            <w:pPr>
              <w:rPr>
                <w:rFonts w:ascii="Arial" w:hAnsi="Arial" w:cs="Arial"/>
                <w:sz w:val="20"/>
                <w:szCs w:val="20"/>
              </w:rPr>
            </w:pPr>
            <w:r w:rsidRPr="00062751">
              <w:rPr>
                <w:rFonts w:ascii="Arial" w:hAnsi="Arial" w:cs="Arial"/>
                <w:sz w:val="20"/>
                <w:szCs w:val="20"/>
              </w:rPr>
              <w:t>Authority Required</w:t>
            </w:r>
          </w:p>
        </w:tc>
      </w:tr>
      <w:tr w:rsidR="00062751"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62751" w:rsidRPr="00062751" w:rsidRDefault="00602B1F" w:rsidP="00657288">
            <w:pPr>
              <w:rPr>
                <w:rFonts w:ascii="Arial" w:hAnsi="Arial" w:cs="Arial"/>
                <w:sz w:val="20"/>
                <w:szCs w:val="20"/>
              </w:rPr>
            </w:pPr>
            <w:r>
              <w:rPr>
                <w:rFonts w:ascii="Arial" w:hAnsi="Arial" w:cs="Arial"/>
                <w:b/>
                <w:sz w:val="20"/>
                <w:szCs w:val="20"/>
              </w:rPr>
              <w:t>Clinical</w:t>
            </w:r>
            <w:r w:rsidR="0035008E">
              <w:rPr>
                <w:rFonts w:ascii="Arial" w:hAnsi="Arial" w:cs="Arial"/>
                <w:b/>
                <w:sz w:val="20"/>
                <w:szCs w:val="20"/>
              </w:rPr>
              <w:t xml:space="preserve"> criteria</w:t>
            </w:r>
          </w:p>
        </w:tc>
        <w:tc>
          <w:tcPr>
            <w:tcW w:w="6379" w:type="dxa"/>
            <w:tcBorders>
              <w:top w:val="single" w:sz="4" w:space="0" w:color="auto"/>
              <w:left w:val="single" w:sz="4" w:space="0" w:color="auto"/>
              <w:bottom w:val="single" w:sz="4" w:space="0" w:color="auto"/>
              <w:right w:val="single" w:sz="4" w:space="0" w:color="auto"/>
            </w:tcBorders>
          </w:tcPr>
          <w:p w:rsidR="00062751" w:rsidRPr="00A42945" w:rsidRDefault="0098415E" w:rsidP="0039472C">
            <w:pPr>
              <w:rPr>
                <w:rFonts w:ascii="Arial" w:hAnsi="Arial" w:cs="Arial"/>
                <w:color w:val="FF0000"/>
                <w:sz w:val="20"/>
                <w:szCs w:val="20"/>
              </w:rPr>
            </w:pPr>
            <w:r w:rsidRPr="00291E6E">
              <w:rPr>
                <w:rFonts w:ascii="Arial" w:hAnsi="Arial" w:cs="Arial"/>
                <w:sz w:val="20"/>
                <w:szCs w:val="20"/>
              </w:rPr>
              <w:t xml:space="preserve">Patient must have </w:t>
            </w:r>
            <w:r w:rsidR="0039472C" w:rsidRPr="00291E6E">
              <w:rPr>
                <w:rFonts w:ascii="Arial" w:hAnsi="Arial" w:cs="Arial"/>
                <w:sz w:val="20"/>
                <w:szCs w:val="20"/>
              </w:rPr>
              <w:t>an indication for treatment</w:t>
            </w:r>
          </w:p>
        </w:tc>
      </w:tr>
      <w:tr w:rsidR="00062751"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062751" w:rsidRPr="00062751" w:rsidRDefault="00062751" w:rsidP="006407B1">
            <w:pPr>
              <w:rPr>
                <w:rFonts w:ascii="Arial" w:hAnsi="Arial" w:cs="Arial"/>
                <w:b/>
                <w:sz w:val="20"/>
                <w:szCs w:val="20"/>
              </w:rPr>
            </w:pPr>
            <w:r w:rsidRPr="00062751">
              <w:rPr>
                <w:rFonts w:ascii="Arial" w:hAnsi="Arial" w:cs="Arial"/>
                <w:b/>
                <w:sz w:val="20"/>
                <w:szCs w:val="20"/>
              </w:rPr>
              <w:t>Administrative Advice</w:t>
            </w:r>
          </w:p>
          <w:p w:rsidR="00062751" w:rsidRPr="00062751" w:rsidRDefault="00062751" w:rsidP="006407B1">
            <w:pPr>
              <w:rPr>
                <w:rFonts w:ascii="Arial" w:hAnsi="Arial"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062751" w:rsidRPr="00321A58" w:rsidRDefault="00062751" w:rsidP="00004776">
            <w:pPr>
              <w:rPr>
                <w:rFonts w:ascii="Arial" w:hAnsi="Arial" w:cs="Arial"/>
                <w:sz w:val="20"/>
                <w:szCs w:val="20"/>
              </w:rPr>
            </w:pPr>
            <w:r w:rsidRPr="00321A58">
              <w:rPr>
                <w:rFonts w:ascii="Arial" w:hAnsi="Arial" w:cs="Arial"/>
                <w:sz w:val="20"/>
                <w:szCs w:val="20"/>
              </w:rPr>
              <w:t>Risk of myelofibrosis is defined in accordance with the International Prognostic Scoring System (IPSS)</w:t>
            </w:r>
            <w:r w:rsidR="00004776" w:rsidRPr="00321A58">
              <w:rPr>
                <w:rFonts w:ascii="Arial" w:hAnsi="Arial" w:cs="Arial"/>
                <w:sz w:val="20"/>
                <w:szCs w:val="20"/>
              </w:rPr>
              <w:t>, the Dynamic International Prognostic Scoring System (DIPSS) or the age-adjusted DIPSS.</w:t>
            </w:r>
          </w:p>
        </w:tc>
      </w:tr>
    </w:tbl>
    <w:p w:rsidR="004079EC" w:rsidRDefault="004079EC" w:rsidP="002250A8">
      <w:pPr>
        <w:rPr>
          <w:rFonts w:ascii="Arial" w:hAnsi="Arial" w:cs="Arial"/>
          <w:sz w:val="22"/>
          <w:u w:val="single"/>
        </w:rPr>
      </w:pPr>
    </w:p>
    <w:tbl>
      <w:tblPr>
        <w:tblW w:w="9214" w:type="dxa"/>
        <w:tblInd w:w="108" w:type="dxa"/>
        <w:tblLayout w:type="fixed"/>
        <w:tblLook w:val="0000" w:firstRow="0" w:lastRow="0" w:firstColumn="0" w:lastColumn="0" w:noHBand="0" w:noVBand="0"/>
        <w:tblDescription w:val="Restriction for the requested listing"/>
      </w:tblPr>
      <w:tblGrid>
        <w:gridCol w:w="2835"/>
        <w:gridCol w:w="6379"/>
      </w:tblGrid>
      <w:tr w:rsidR="007310B7"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7310B7" w:rsidRPr="00062751" w:rsidRDefault="007310B7" w:rsidP="006407B1">
            <w:pPr>
              <w:rPr>
                <w:rFonts w:ascii="Arial" w:hAnsi="Arial" w:cs="Arial"/>
                <w:b/>
                <w:sz w:val="20"/>
                <w:szCs w:val="20"/>
              </w:rPr>
            </w:pPr>
            <w:bookmarkStart w:id="0" w:name="_GoBack"/>
            <w:r>
              <w:rPr>
                <w:rFonts w:ascii="Arial" w:hAnsi="Arial"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7310B7" w:rsidRPr="00062751" w:rsidRDefault="007310B7" w:rsidP="006407B1">
            <w:pPr>
              <w:rPr>
                <w:rFonts w:ascii="Arial" w:hAnsi="Arial" w:cs="Arial"/>
                <w:sz w:val="20"/>
                <w:szCs w:val="20"/>
              </w:rPr>
            </w:pPr>
            <w:r>
              <w:rPr>
                <w:rFonts w:ascii="Arial" w:hAnsi="Arial" w:cs="Arial"/>
                <w:sz w:val="20"/>
                <w:szCs w:val="20"/>
              </w:rPr>
              <w:t>M</w:t>
            </w:r>
            <w:r w:rsidRPr="00062751">
              <w:rPr>
                <w:rFonts w:ascii="Arial" w:hAnsi="Arial" w:cs="Arial"/>
                <w:sz w:val="20"/>
                <w:szCs w:val="20"/>
              </w:rPr>
              <w:t>yelofibrosis</w:t>
            </w:r>
          </w:p>
        </w:tc>
      </w:tr>
      <w:tr w:rsidR="007310B7"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7310B7" w:rsidRPr="00062751" w:rsidRDefault="007310B7" w:rsidP="006407B1">
            <w:pPr>
              <w:rPr>
                <w:rFonts w:ascii="Arial" w:hAnsi="Arial" w:cs="Arial"/>
                <w:b/>
                <w:sz w:val="20"/>
                <w:szCs w:val="20"/>
              </w:rPr>
            </w:pPr>
            <w:r>
              <w:rPr>
                <w:rFonts w:ascii="Arial" w:hAnsi="Arial" w:cs="Arial"/>
                <w:b/>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7310B7" w:rsidRPr="00062751" w:rsidRDefault="007310B7" w:rsidP="006407B1">
            <w:pPr>
              <w:rPr>
                <w:rFonts w:ascii="Arial" w:hAnsi="Arial" w:cs="Arial"/>
                <w:sz w:val="20"/>
                <w:szCs w:val="20"/>
              </w:rPr>
            </w:pPr>
            <w:r>
              <w:rPr>
                <w:rFonts w:ascii="Arial" w:hAnsi="Arial" w:cs="Arial"/>
                <w:sz w:val="20"/>
                <w:szCs w:val="20"/>
              </w:rPr>
              <w:t>Intermediate-1 risk</w:t>
            </w:r>
          </w:p>
        </w:tc>
      </w:tr>
      <w:tr w:rsidR="007310B7"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7310B7" w:rsidRPr="00062751" w:rsidRDefault="007310B7" w:rsidP="006407B1">
            <w:pPr>
              <w:rPr>
                <w:rFonts w:ascii="Arial" w:hAnsi="Arial" w:cs="Arial"/>
                <w:b/>
                <w:sz w:val="20"/>
                <w:szCs w:val="20"/>
              </w:rPr>
            </w:pPr>
            <w:r>
              <w:rPr>
                <w:rFonts w:ascii="Arial" w:hAnsi="Arial" w:cs="Arial"/>
                <w:b/>
                <w:sz w:val="20"/>
                <w:szCs w:val="20"/>
              </w:rPr>
              <w:t>Restriction</w:t>
            </w:r>
          </w:p>
        </w:tc>
        <w:tc>
          <w:tcPr>
            <w:tcW w:w="6379" w:type="dxa"/>
            <w:tcBorders>
              <w:top w:val="single" w:sz="4" w:space="0" w:color="auto"/>
              <w:left w:val="single" w:sz="4" w:space="0" w:color="auto"/>
              <w:bottom w:val="single" w:sz="4" w:space="0" w:color="auto"/>
              <w:right w:val="single" w:sz="4" w:space="0" w:color="auto"/>
            </w:tcBorders>
          </w:tcPr>
          <w:p w:rsidR="007310B7" w:rsidRPr="00062751" w:rsidRDefault="007310B7" w:rsidP="006407B1">
            <w:pPr>
              <w:rPr>
                <w:rFonts w:ascii="Arial" w:hAnsi="Arial" w:cs="Arial"/>
                <w:sz w:val="20"/>
                <w:szCs w:val="20"/>
              </w:rPr>
            </w:pPr>
            <w:r w:rsidRPr="00062751">
              <w:rPr>
                <w:rFonts w:ascii="Arial" w:hAnsi="Arial" w:cs="Arial"/>
                <w:sz w:val="20"/>
                <w:szCs w:val="20"/>
              </w:rPr>
              <w:t>Authority Required</w:t>
            </w:r>
          </w:p>
        </w:tc>
      </w:tr>
      <w:tr w:rsidR="007310B7"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7310B7" w:rsidRPr="00657288" w:rsidRDefault="007310B7" w:rsidP="006407B1">
            <w:pPr>
              <w:rPr>
                <w:rFonts w:ascii="Arial" w:hAnsi="Arial" w:cs="Arial"/>
                <w:b/>
                <w:sz w:val="20"/>
                <w:szCs w:val="20"/>
              </w:rPr>
            </w:pPr>
            <w:r>
              <w:rPr>
                <w:rFonts w:ascii="Arial" w:hAnsi="Arial"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7310B7" w:rsidRPr="000C7397" w:rsidRDefault="007310B7" w:rsidP="00657288">
            <w:pPr>
              <w:rPr>
                <w:rFonts w:ascii="Arial" w:hAnsi="Arial" w:cs="Arial"/>
                <w:sz w:val="20"/>
                <w:szCs w:val="20"/>
              </w:rPr>
            </w:pPr>
            <w:r>
              <w:rPr>
                <w:rFonts w:ascii="Arial" w:hAnsi="Arial" w:cs="Arial"/>
                <w:sz w:val="20"/>
                <w:szCs w:val="20"/>
              </w:rPr>
              <w:t>Patient m</w:t>
            </w:r>
            <w:r w:rsidRPr="000C7397">
              <w:rPr>
                <w:rFonts w:ascii="Arial" w:hAnsi="Arial" w:cs="Arial"/>
                <w:sz w:val="20"/>
                <w:szCs w:val="20"/>
              </w:rPr>
              <w:t xml:space="preserve">ust </w:t>
            </w:r>
            <w:r>
              <w:rPr>
                <w:rFonts w:ascii="Arial" w:hAnsi="Arial" w:cs="Arial"/>
                <w:sz w:val="20"/>
                <w:szCs w:val="20"/>
              </w:rPr>
              <w:t>have severe disease related symptoms that are</w:t>
            </w:r>
            <w:r w:rsidRPr="000C7397">
              <w:rPr>
                <w:rFonts w:ascii="Arial" w:hAnsi="Arial" w:cs="Arial"/>
                <w:sz w:val="20"/>
                <w:szCs w:val="20"/>
              </w:rPr>
              <w:t xml:space="preserve"> </w:t>
            </w:r>
            <w:r>
              <w:rPr>
                <w:rFonts w:ascii="Arial" w:hAnsi="Arial" w:cs="Arial"/>
                <w:sz w:val="20"/>
                <w:szCs w:val="20"/>
              </w:rPr>
              <w:t>resistant, refractory or</w:t>
            </w:r>
            <w:r w:rsidRPr="000C7397">
              <w:rPr>
                <w:rFonts w:ascii="Arial" w:hAnsi="Arial" w:cs="Arial"/>
                <w:sz w:val="20"/>
                <w:szCs w:val="20"/>
              </w:rPr>
              <w:t xml:space="preserve"> intolerant</w:t>
            </w:r>
            <w:r>
              <w:rPr>
                <w:rFonts w:ascii="Arial" w:hAnsi="Arial" w:cs="Arial"/>
                <w:sz w:val="20"/>
                <w:szCs w:val="20"/>
              </w:rPr>
              <w:t xml:space="preserve"> to</w:t>
            </w:r>
            <w:r w:rsidRPr="000C7397">
              <w:rPr>
                <w:rFonts w:ascii="Arial" w:hAnsi="Arial" w:cs="Arial"/>
                <w:sz w:val="20"/>
                <w:szCs w:val="20"/>
              </w:rPr>
              <w:t xml:space="preserve"> available therapy</w:t>
            </w:r>
            <w:r w:rsidR="00657288">
              <w:rPr>
                <w:rFonts w:ascii="Arial" w:hAnsi="Arial" w:cs="Arial"/>
                <w:sz w:val="20"/>
                <w:szCs w:val="20"/>
              </w:rPr>
              <w:t>.</w:t>
            </w:r>
          </w:p>
        </w:tc>
      </w:tr>
      <w:tr w:rsidR="007310B7" w:rsidRPr="00062751" w:rsidTr="006407B1">
        <w:trPr>
          <w:cantSplit/>
          <w:trHeight w:val="360"/>
        </w:trPr>
        <w:tc>
          <w:tcPr>
            <w:tcW w:w="2835" w:type="dxa"/>
            <w:tcBorders>
              <w:top w:val="single" w:sz="4" w:space="0" w:color="auto"/>
              <w:left w:val="single" w:sz="4" w:space="0" w:color="auto"/>
              <w:bottom w:val="single" w:sz="4" w:space="0" w:color="auto"/>
              <w:right w:val="single" w:sz="4" w:space="0" w:color="auto"/>
            </w:tcBorders>
          </w:tcPr>
          <w:p w:rsidR="007310B7" w:rsidRPr="00062751" w:rsidRDefault="007310B7" w:rsidP="006407B1">
            <w:pPr>
              <w:rPr>
                <w:rFonts w:ascii="Arial" w:hAnsi="Arial" w:cs="Arial"/>
                <w:b/>
                <w:sz w:val="20"/>
                <w:szCs w:val="20"/>
              </w:rPr>
            </w:pPr>
            <w:r w:rsidRPr="00062751">
              <w:rPr>
                <w:rFonts w:ascii="Arial" w:hAnsi="Arial" w:cs="Arial"/>
                <w:b/>
                <w:sz w:val="20"/>
                <w:szCs w:val="20"/>
              </w:rPr>
              <w:t>Administrative Advice</w:t>
            </w:r>
          </w:p>
          <w:p w:rsidR="007310B7" w:rsidRPr="00062751" w:rsidRDefault="007310B7" w:rsidP="006407B1">
            <w:pPr>
              <w:rPr>
                <w:rFonts w:ascii="Arial" w:hAnsi="Arial"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7310B7" w:rsidRPr="00321A58" w:rsidRDefault="007310B7" w:rsidP="006407B1">
            <w:pPr>
              <w:rPr>
                <w:rFonts w:ascii="Arial" w:hAnsi="Arial" w:cs="Arial"/>
                <w:sz w:val="20"/>
                <w:szCs w:val="20"/>
              </w:rPr>
            </w:pPr>
            <w:r w:rsidRPr="00321A58">
              <w:rPr>
                <w:rFonts w:ascii="Arial" w:hAnsi="Arial" w:cs="Arial"/>
                <w:sz w:val="20"/>
                <w:szCs w:val="20"/>
              </w:rPr>
              <w:t>Risk of myelofibrosis is defined in accordance with the International Prognostic Scoring System (IPSS), the Dynamic International Prognostic Scoring System (DIPSS) or the age-adjusted DIPSS.</w:t>
            </w:r>
          </w:p>
        </w:tc>
      </w:tr>
      <w:bookmarkEnd w:id="0"/>
    </w:tbl>
    <w:p w:rsidR="00930DEA" w:rsidRDefault="00930DEA" w:rsidP="0028745E">
      <w:pPr>
        <w:rPr>
          <w:rFonts w:ascii="Arial" w:hAnsi="Arial" w:cs="Arial"/>
          <w:sz w:val="22"/>
        </w:rPr>
      </w:pPr>
    </w:p>
    <w:p w:rsidR="00BC2F8A" w:rsidRDefault="00BC2F8A" w:rsidP="0028745E">
      <w:pPr>
        <w:rPr>
          <w:rFonts w:ascii="Arial" w:hAnsi="Arial" w:cs="Arial"/>
          <w:sz w:val="22"/>
        </w:rPr>
      </w:pPr>
      <w:r>
        <w:rPr>
          <w:rFonts w:ascii="Arial" w:hAnsi="Arial" w:cs="Arial"/>
          <w:sz w:val="22"/>
        </w:rPr>
        <w:t>It was noted that the proposed restriction:</w:t>
      </w:r>
    </w:p>
    <w:p w:rsidR="00BC2F8A" w:rsidRDefault="00BC2F8A" w:rsidP="00BC2F8A">
      <w:pPr>
        <w:pStyle w:val="ListParagraph"/>
        <w:numPr>
          <w:ilvl w:val="0"/>
          <w:numId w:val="3"/>
        </w:numPr>
        <w:rPr>
          <w:rFonts w:ascii="Arial" w:hAnsi="Arial" w:cs="Arial"/>
          <w:sz w:val="22"/>
        </w:rPr>
      </w:pPr>
      <w:r>
        <w:rPr>
          <w:rFonts w:ascii="Arial" w:hAnsi="Arial" w:cs="Arial"/>
          <w:sz w:val="22"/>
        </w:rPr>
        <w:t>Does not include a measurement of spleen size.  Clinicians considered that patients should not be treated with ruxolitinib for MF based on splenomegaly alone.  That is, patients may be a candidate for treatment with ruxolitinib if an enlarged spleen was causing symptoms of a severity warranting treatment, however not if the patient with sp</w:t>
      </w:r>
      <w:r w:rsidR="0039472C">
        <w:rPr>
          <w:rFonts w:ascii="Arial" w:hAnsi="Arial" w:cs="Arial"/>
          <w:sz w:val="22"/>
        </w:rPr>
        <w:t>l</w:t>
      </w:r>
      <w:r>
        <w:rPr>
          <w:rFonts w:ascii="Arial" w:hAnsi="Arial" w:cs="Arial"/>
          <w:sz w:val="22"/>
        </w:rPr>
        <w:t>enomegaly was asymptomatic or had a low symptom burden.  Additionally, clinicians considered that spleen size could not be accurately measured by palpation.</w:t>
      </w:r>
    </w:p>
    <w:p w:rsidR="00586AA4" w:rsidRPr="00985322" w:rsidRDefault="00B81D25" w:rsidP="00985322">
      <w:pPr>
        <w:pStyle w:val="ListParagraph"/>
        <w:numPr>
          <w:ilvl w:val="0"/>
          <w:numId w:val="3"/>
        </w:numPr>
        <w:rPr>
          <w:rFonts w:ascii="Arial" w:hAnsi="Arial" w:cs="Arial"/>
          <w:sz w:val="22"/>
        </w:rPr>
      </w:pPr>
      <w:r>
        <w:rPr>
          <w:rFonts w:ascii="Arial" w:hAnsi="Arial" w:cs="Arial"/>
          <w:sz w:val="22"/>
        </w:rPr>
        <w:t>Does not include continuation criteria.</w:t>
      </w:r>
      <w:r w:rsidR="00A50AA2">
        <w:rPr>
          <w:rFonts w:ascii="Arial" w:hAnsi="Arial" w:cs="Arial"/>
          <w:sz w:val="22"/>
        </w:rPr>
        <w:t xml:space="preserve">  The clinicians considered that there are no suitable objective measures available to use as stopping criteria.</w:t>
      </w:r>
      <w:r w:rsidR="003B77A4">
        <w:rPr>
          <w:rFonts w:ascii="Arial" w:hAnsi="Arial" w:cs="Arial"/>
          <w:sz w:val="22"/>
        </w:rPr>
        <w:t xml:space="preserve">  Measurement of symptoms as part of a stopping rule/ continuation criteria would be subjective.</w:t>
      </w:r>
    </w:p>
    <w:p w:rsidR="007A28F1" w:rsidRDefault="00E357DE" w:rsidP="0028745E">
      <w:pPr>
        <w:rPr>
          <w:rFonts w:ascii="Arial" w:hAnsi="Arial" w:cs="Arial"/>
          <w:sz w:val="22"/>
        </w:rPr>
      </w:pPr>
      <w:r>
        <w:rPr>
          <w:rFonts w:ascii="Arial" w:hAnsi="Arial" w:cs="Arial"/>
          <w:sz w:val="22"/>
        </w:rPr>
        <w:t xml:space="preserve">The </w:t>
      </w:r>
      <w:r w:rsidR="004D531B">
        <w:rPr>
          <w:rFonts w:ascii="Arial" w:hAnsi="Arial" w:cs="Arial"/>
          <w:sz w:val="22"/>
        </w:rPr>
        <w:t>dosage regimen</w:t>
      </w:r>
      <w:r>
        <w:rPr>
          <w:rFonts w:ascii="Arial" w:hAnsi="Arial" w:cs="Arial"/>
          <w:sz w:val="22"/>
        </w:rPr>
        <w:t xml:space="preserve"> recommended in the approved Product Informat</w:t>
      </w:r>
      <w:r w:rsidR="004D531B">
        <w:rPr>
          <w:rFonts w:ascii="Arial" w:hAnsi="Arial" w:cs="Arial"/>
          <w:sz w:val="22"/>
        </w:rPr>
        <w:t xml:space="preserve">ion for ruxolitinib was noted in relation to the quantity of 5 mg tablets that may be required for titration purposes.  </w:t>
      </w:r>
      <w:r w:rsidR="002A712C">
        <w:rPr>
          <w:rFonts w:ascii="Arial" w:hAnsi="Arial" w:cs="Arial"/>
          <w:sz w:val="22"/>
        </w:rPr>
        <w:t>The ruxolitinib Product Information recommends</w:t>
      </w:r>
      <w:r w:rsidR="00D87750">
        <w:rPr>
          <w:rFonts w:ascii="Arial" w:hAnsi="Arial" w:cs="Arial"/>
          <w:sz w:val="22"/>
        </w:rPr>
        <w:t xml:space="preserve"> </w:t>
      </w:r>
      <w:r w:rsidR="00FA4FD4">
        <w:rPr>
          <w:rFonts w:ascii="Arial" w:hAnsi="Arial" w:cs="Arial"/>
          <w:sz w:val="22"/>
        </w:rPr>
        <w:t>initiating</w:t>
      </w:r>
      <w:r w:rsidR="00D87750">
        <w:rPr>
          <w:rFonts w:ascii="Arial" w:hAnsi="Arial" w:cs="Arial"/>
          <w:sz w:val="22"/>
        </w:rPr>
        <w:t xml:space="preserve"> at a dose of 5, 15 or 20 mg twice </w:t>
      </w:r>
      <w:r w:rsidR="00D87750">
        <w:rPr>
          <w:rFonts w:ascii="Arial" w:hAnsi="Arial" w:cs="Arial"/>
          <w:sz w:val="22"/>
        </w:rPr>
        <w:lastRenderedPageBreak/>
        <w:t>daily based on the patient’s platelet count at the time of initiation.  Should platelet and neutrophil counts be adequate, the dose may be increase</w:t>
      </w:r>
      <w:r w:rsidR="002A712C">
        <w:rPr>
          <w:rFonts w:ascii="Arial" w:hAnsi="Arial" w:cs="Arial"/>
          <w:sz w:val="22"/>
        </w:rPr>
        <w:t>d</w:t>
      </w:r>
      <w:r w:rsidR="00D87750">
        <w:rPr>
          <w:rFonts w:ascii="Arial" w:hAnsi="Arial" w:cs="Arial"/>
          <w:sz w:val="22"/>
        </w:rPr>
        <w:t xml:space="preserve"> in increments of 5 mg twice daily to a maximum of 25 mg twice daily.</w:t>
      </w:r>
      <w:r w:rsidR="002A712C">
        <w:rPr>
          <w:rFonts w:ascii="Arial" w:hAnsi="Arial" w:cs="Arial"/>
          <w:sz w:val="22"/>
        </w:rPr>
        <w:t xml:space="preserve">  It was noted that 112 tablets may not be a sufficient quantity for some patients for titration purposes.  Clinicians present considered th</w:t>
      </w:r>
      <w:r w:rsidR="007911F5">
        <w:rPr>
          <w:rFonts w:ascii="Arial" w:hAnsi="Arial" w:cs="Arial"/>
          <w:sz w:val="22"/>
        </w:rPr>
        <w:t>at dose titration with ruxoliti</w:t>
      </w:r>
      <w:r w:rsidR="002A712C">
        <w:rPr>
          <w:rFonts w:ascii="Arial" w:hAnsi="Arial" w:cs="Arial"/>
          <w:sz w:val="22"/>
        </w:rPr>
        <w:t>nib would usually be stabilised within three months of initiation of treatment.</w:t>
      </w:r>
    </w:p>
    <w:p w:rsidR="003F30FE" w:rsidRDefault="003F30FE" w:rsidP="0028745E">
      <w:pPr>
        <w:rPr>
          <w:rFonts w:ascii="Arial" w:hAnsi="Arial" w:cs="Arial"/>
          <w:sz w:val="22"/>
        </w:rPr>
      </w:pPr>
      <w:r>
        <w:rPr>
          <w:rFonts w:ascii="Arial" w:hAnsi="Arial" w:cs="Arial"/>
          <w:sz w:val="22"/>
        </w:rPr>
        <w:t xml:space="preserve">The Product Information for ruxolitinib is available from the Therapeutic Goods Administration’s website at </w:t>
      </w:r>
      <w:hyperlink r:id="rId11" w:history="1">
        <w:r w:rsidRPr="00A362C5">
          <w:rPr>
            <w:rStyle w:val="Hyperlink"/>
            <w:rFonts w:ascii="Arial" w:hAnsi="Arial" w:cs="Arial"/>
            <w:sz w:val="22"/>
          </w:rPr>
          <w:t>https://www.ebs.tga.gov.au/</w:t>
        </w:r>
      </w:hyperlink>
      <w:r>
        <w:rPr>
          <w:rFonts w:ascii="Arial" w:hAnsi="Arial" w:cs="Arial"/>
          <w:sz w:val="22"/>
        </w:rPr>
        <w:t>.</w:t>
      </w:r>
    </w:p>
    <w:p w:rsidR="0028745E" w:rsidRDefault="00F0592A" w:rsidP="0028745E">
      <w:pPr>
        <w:rPr>
          <w:rFonts w:ascii="Arial" w:hAnsi="Arial" w:cs="Arial"/>
          <w:b/>
        </w:rPr>
      </w:pPr>
      <w:r>
        <w:rPr>
          <w:rFonts w:ascii="Arial" w:hAnsi="Arial" w:cs="Arial"/>
          <w:b/>
        </w:rPr>
        <w:t>Conclusion</w:t>
      </w:r>
    </w:p>
    <w:p w:rsidR="00F16548" w:rsidRDefault="00F16548" w:rsidP="0028745E">
      <w:pPr>
        <w:rPr>
          <w:rFonts w:ascii="Arial" w:hAnsi="Arial" w:cs="Arial"/>
          <w:sz w:val="22"/>
        </w:rPr>
      </w:pPr>
      <w:r>
        <w:rPr>
          <w:rFonts w:ascii="Arial" w:hAnsi="Arial" w:cs="Arial"/>
          <w:sz w:val="22"/>
        </w:rPr>
        <w:t xml:space="preserve">The PBAC is required to consider the cost effectiveness of a medicine before a recommendation can be made to the Minister </w:t>
      </w:r>
      <w:r w:rsidR="00FE047A">
        <w:rPr>
          <w:rFonts w:ascii="Arial" w:hAnsi="Arial" w:cs="Arial"/>
          <w:sz w:val="22"/>
        </w:rPr>
        <w:t>about listing a medicine on the Pharmaceutical Benefits Scheme.  As the PBAC has not determined the cost effectiveness of ruxolitinib in the treatment of myelofibrosis</w:t>
      </w:r>
      <w:r w:rsidR="00D61375">
        <w:rPr>
          <w:rFonts w:ascii="Arial" w:hAnsi="Arial" w:cs="Arial"/>
          <w:sz w:val="22"/>
        </w:rPr>
        <w:t xml:space="preserve"> in the July 2013 and July 2104 submissions</w:t>
      </w:r>
      <w:r w:rsidR="00FE047A">
        <w:rPr>
          <w:rFonts w:ascii="Arial" w:hAnsi="Arial" w:cs="Arial"/>
          <w:sz w:val="22"/>
        </w:rPr>
        <w:t>, a further submission to the PBAC will be required.</w:t>
      </w:r>
      <w:r w:rsidR="006C1AD3">
        <w:rPr>
          <w:rFonts w:ascii="Arial" w:hAnsi="Arial" w:cs="Arial"/>
          <w:sz w:val="22"/>
        </w:rPr>
        <w:t xml:space="preserve">  The sponsor of ruxolitinib, Novartis Pharmaceuticals Australia Pty Ltd, was present and involved with the discussions at this Stakeholder meeting and expressed their intention to submit a new application to the PBAC for the PBS listing of ruxolitinib for myelofibrosis.</w:t>
      </w:r>
    </w:p>
    <w:p w:rsidR="008A5008" w:rsidRPr="00F62EEA" w:rsidRDefault="008A5008" w:rsidP="0028745E">
      <w:pPr>
        <w:rPr>
          <w:rFonts w:ascii="Arial" w:hAnsi="Arial" w:cs="Arial"/>
          <w:sz w:val="22"/>
        </w:rPr>
      </w:pPr>
      <w:r>
        <w:rPr>
          <w:rFonts w:ascii="Arial" w:hAnsi="Arial" w:cs="Arial"/>
          <w:sz w:val="22"/>
        </w:rPr>
        <w:t>The PBAC Chair thanked participants for their time in attending the Stakeholder meeting and advice provided.</w:t>
      </w:r>
    </w:p>
    <w:sectPr w:rsidR="008A5008" w:rsidRPr="00F62EEA" w:rsidSect="00E76E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B1" w:rsidRDefault="006407B1" w:rsidP="005F6008">
      <w:pPr>
        <w:spacing w:after="0" w:line="240" w:lineRule="auto"/>
      </w:pPr>
      <w:r>
        <w:separator/>
      </w:r>
    </w:p>
  </w:endnote>
  <w:endnote w:type="continuationSeparator" w:id="0">
    <w:p w:rsidR="006407B1" w:rsidRDefault="006407B1" w:rsidP="005F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B1" w:rsidRDefault="006407B1" w:rsidP="005F6008">
      <w:pPr>
        <w:spacing w:after="0" w:line="240" w:lineRule="auto"/>
      </w:pPr>
      <w:r>
        <w:separator/>
      </w:r>
    </w:p>
  </w:footnote>
  <w:footnote w:type="continuationSeparator" w:id="0">
    <w:p w:rsidR="006407B1" w:rsidRDefault="006407B1" w:rsidP="005F6008">
      <w:pPr>
        <w:spacing w:after="0" w:line="240" w:lineRule="auto"/>
      </w:pPr>
      <w:r>
        <w:continuationSeparator/>
      </w:r>
    </w:p>
  </w:footnote>
  <w:footnote w:id="1">
    <w:p w:rsidR="006407B1" w:rsidRPr="006F2169" w:rsidRDefault="006407B1" w:rsidP="00836340">
      <w:pPr>
        <w:spacing w:after="0"/>
        <w:rPr>
          <w:rFonts w:ascii="Arial" w:hAnsi="Arial" w:cs="Arial"/>
          <w:sz w:val="16"/>
          <w:szCs w:val="16"/>
        </w:rPr>
      </w:pPr>
      <w:r w:rsidRPr="00836340">
        <w:rPr>
          <w:rStyle w:val="FootnoteReference"/>
          <w:rFonts w:ascii="Arial" w:hAnsi="Arial" w:cs="Arial"/>
          <w:sz w:val="16"/>
          <w:szCs w:val="16"/>
        </w:rPr>
        <w:footnoteRef/>
      </w:r>
      <w:r w:rsidRPr="00836340">
        <w:rPr>
          <w:rFonts w:ascii="Arial" w:hAnsi="Arial" w:cs="Arial"/>
          <w:sz w:val="16"/>
          <w:szCs w:val="16"/>
        </w:rPr>
        <w:t xml:space="preserve"> Harrison</w:t>
      </w:r>
      <w:r>
        <w:rPr>
          <w:rFonts w:ascii="Arial" w:hAnsi="Arial" w:cs="Arial"/>
          <w:sz w:val="16"/>
          <w:szCs w:val="16"/>
        </w:rPr>
        <w:t xml:space="preserve"> C</w:t>
      </w:r>
      <w:r w:rsidRPr="00836340">
        <w:rPr>
          <w:rFonts w:ascii="Arial" w:hAnsi="Arial" w:cs="Arial"/>
          <w:sz w:val="16"/>
          <w:szCs w:val="16"/>
        </w:rPr>
        <w:t>, Kiladjian</w:t>
      </w:r>
      <w:r>
        <w:rPr>
          <w:rFonts w:ascii="Arial" w:hAnsi="Arial" w:cs="Arial"/>
          <w:sz w:val="16"/>
          <w:szCs w:val="16"/>
        </w:rPr>
        <w:t xml:space="preserve"> J</w:t>
      </w:r>
      <w:r w:rsidRPr="00836340">
        <w:rPr>
          <w:rFonts w:ascii="Arial" w:hAnsi="Arial" w:cs="Arial"/>
          <w:sz w:val="16"/>
          <w:szCs w:val="16"/>
        </w:rPr>
        <w:t>, Al-Ali</w:t>
      </w:r>
      <w:r>
        <w:rPr>
          <w:rFonts w:ascii="Arial" w:hAnsi="Arial" w:cs="Arial"/>
          <w:sz w:val="16"/>
          <w:szCs w:val="16"/>
        </w:rPr>
        <w:t xml:space="preserve"> HK</w:t>
      </w:r>
      <w:r w:rsidRPr="00836340">
        <w:rPr>
          <w:rFonts w:ascii="Arial" w:hAnsi="Arial" w:cs="Arial"/>
          <w:sz w:val="16"/>
          <w:szCs w:val="16"/>
        </w:rPr>
        <w:t>,</w:t>
      </w:r>
      <w:r>
        <w:rPr>
          <w:rFonts w:ascii="Arial" w:hAnsi="Arial" w:cs="Arial"/>
          <w:sz w:val="16"/>
          <w:szCs w:val="16"/>
        </w:rPr>
        <w:t xml:space="preserve"> </w:t>
      </w:r>
      <w:r w:rsidRPr="00836340">
        <w:rPr>
          <w:rFonts w:ascii="Arial" w:hAnsi="Arial" w:cs="Arial"/>
          <w:sz w:val="16"/>
          <w:szCs w:val="16"/>
        </w:rPr>
        <w:t>Gisslinger</w:t>
      </w:r>
      <w:r>
        <w:rPr>
          <w:rFonts w:ascii="Arial" w:hAnsi="Arial" w:cs="Arial"/>
          <w:sz w:val="16"/>
          <w:szCs w:val="16"/>
        </w:rPr>
        <w:t xml:space="preserve"> H</w:t>
      </w:r>
      <w:r w:rsidRPr="00836340">
        <w:rPr>
          <w:rFonts w:ascii="Arial" w:hAnsi="Arial" w:cs="Arial"/>
          <w:sz w:val="16"/>
          <w:szCs w:val="16"/>
        </w:rPr>
        <w:t>,</w:t>
      </w:r>
      <w:r>
        <w:rPr>
          <w:rFonts w:ascii="Arial" w:hAnsi="Arial" w:cs="Arial"/>
          <w:sz w:val="16"/>
          <w:szCs w:val="16"/>
        </w:rPr>
        <w:t xml:space="preserve"> </w:t>
      </w:r>
      <w:r w:rsidRPr="00836340">
        <w:rPr>
          <w:rFonts w:ascii="Arial" w:hAnsi="Arial" w:cs="Arial"/>
          <w:sz w:val="16"/>
          <w:szCs w:val="16"/>
        </w:rPr>
        <w:t>Waltzman</w:t>
      </w:r>
      <w:r>
        <w:rPr>
          <w:rFonts w:ascii="Arial" w:hAnsi="Arial" w:cs="Arial"/>
          <w:sz w:val="16"/>
          <w:szCs w:val="16"/>
        </w:rPr>
        <w:t xml:space="preserve"> R</w:t>
      </w:r>
      <w:r w:rsidRPr="00836340">
        <w:rPr>
          <w:rFonts w:ascii="Arial" w:hAnsi="Arial" w:cs="Arial"/>
          <w:sz w:val="16"/>
          <w:szCs w:val="16"/>
        </w:rPr>
        <w:t>, Stalbovskaya</w:t>
      </w:r>
      <w:r>
        <w:rPr>
          <w:rFonts w:ascii="Arial" w:hAnsi="Arial" w:cs="Arial"/>
          <w:sz w:val="16"/>
          <w:szCs w:val="16"/>
        </w:rPr>
        <w:t xml:space="preserve"> V et. Al. </w:t>
      </w:r>
      <w:r w:rsidRPr="009C2A8E">
        <w:rPr>
          <w:rFonts w:ascii="Arial" w:hAnsi="Arial" w:cs="Arial"/>
          <w:sz w:val="16"/>
          <w:szCs w:val="16"/>
        </w:rPr>
        <w:t>JAK Inhibition with Ruxolitinib versus Best Available Therapy for Myelofibrosis</w:t>
      </w:r>
      <w:r>
        <w:rPr>
          <w:rFonts w:ascii="Arial" w:hAnsi="Arial" w:cs="Arial"/>
          <w:sz w:val="16"/>
          <w:szCs w:val="16"/>
        </w:rPr>
        <w:t xml:space="preserve">. </w:t>
      </w:r>
      <w:r w:rsidRPr="009C2A8E">
        <w:rPr>
          <w:rFonts w:ascii="Arial" w:hAnsi="Arial" w:cs="Arial"/>
          <w:sz w:val="16"/>
          <w:szCs w:val="16"/>
        </w:rPr>
        <w:t>N Engl J Med 2012; 366:787-798</w:t>
      </w:r>
      <w:r>
        <w:rPr>
          <w:rFonts w:ascii="Arial" w:hAnsi="Arial" w:cs="Arial"/>
          <w:sz w:val="16"/>
          <w:szCs w:val="16"/>
        </w:rPr>
        <w:t>.</w:t>
      </w:r>
    </w:p>
  </w:footnote>
  <w:footnote w:id="2">
    <w:p w:rsidR="006407B1" w:rsidRDefault="006407B1">
      <w:pPr>
        <w:pStyle w:val="FootnoteText"/>
      </w:pPr>
      <w:r w:rsidRPr="006F2169">
        <w:rPr>
          <w:rStyle w:val="FootnoteReference"/>
          <w:rFonts w:ascii="Arial" w:hAnsi="Arial" w:cs="Arial"/>
          <w:sz w:val="16"/>
          <w:szCs w:val="16"/>
        </w:rPr>
        <w:footnoteRef/>
      </w:r>
      <w:r w:rsidRPr="006F2169">
        <w:rPr>
          <w:rFonts w:ascii="Arial" w:hAnsi="Arial" w:cs="Arial"/>
          <w:sz w:val="16"/>
          <w:szCs w:val="16"/>
        </w:rPr>
        <w:t xml:space="preserve"> Verstovsek</w:t>
      </w:r>
      <w:r>
        <w:rPr>
          <w:rFonts w:ascii="Arial" w:hAnsi="Arial" w:cs="Arial"/>
          <w:sz w:val="16"/>
          <w:szCs w:val="16"/>
        </w:rPr>
        <w:t xml:space="preserve"> S</w:t>
      </w:r>
      <w:r w:rsidRPr="006F2169">
        <w:rPr>
          <w:rFonts w:ascii="Arial" w:hAnsi="Arial" w:cs="Arial"/>
          <w:sz w:val="16"/>
          <w:szCs w:val="16"/>
        </w:rPr>
        <w:t>,</w:t>
      </w:r>
      <w:r>
        <w:rPr>
          <w:rFonts w:ascii="Arial" w:hAnsi="Arial" w:cs="Arial"/>
          <w:sz w:val="16"/>
          <w:szCs w:val="16"/>
        </w:rPr>
        <w:t xml:space="preserve"> </w:t>
      </w:r>
      <w:r w:rsidRPr="006F2169">
        <w:rPr>
          <w:rFonts w:ascii="Arial" w:hAnsi="Arial" w:cs="Arial"/>
          <w:sz w:val="16"/>
          <w:szCs w:val="16"/>
        </w:rPr>
        <w:t>Mesa</w:t>
      </w:r>
      <w:r>
        <w:rPr>
          <w:rFonts w:ascii="Arial" w:hAnsi="Arial" w:cs="Arial"/>
          <w:sz w:val="16"/>
          <w:szCs w:val="16"/>
        </w:rPr>
        <w:t xml:space="preserve"> RA</w:t>
      </w:r>
      <w:r w:rsidRPr="006F2169">
        <w:rPr>
          <w:rFonts w:ascii="Arial" w:hAnsi="Arial" w:cs="Arial"/>
          <w:sz w:val="16"/>
          <w:szCs w:val="16"/>
        </w:rPr>
        <w:t>, Gotlib</w:t>
      </w:r>
      <w:r>
        <w:rPr>
          <w:rFonts w:ascii="Arial" w:hAnsi="Arial" w:cs="Arial"/>
          <w:sz w:val="16"/>
          <w:szCs w:val="16"/>
        </w:rPr>
        <w:t xml:space="preserve"> J</w:t>
      </w:r>
      <w:r w:rsidRPr="006F2169">
        <w:rPr>
          <w:rFonts w:ascii="Arial" w:hAnsi="Arial" w:cs="Arial"/>
          <w:sz w:val="16"/>
          <w:szCs w:val="16"/>
        </w:rPr>
        <w:t>,</w:t>
      </w:r>
      <w:r>
        <w:rPr>
          <w:rFonts w:ascii="Arial" w:hAnsi="Arial" w:cs="Arial"/>
          <w:sz w:val="16"/>
          <w:szCs w:val="16"/>
        </w:rPr>
        <w:t xml:space="preserve"> </w:t>
      </w:r>
      <w:r w:rsidRPr="006F2169">
        <w:rPr>
          <w:rFonts w:ascii="Arial" w:hAnsi="Arial" w:cs="Arial"/>
          <w:sz w:val="16"/>
          <w:szCs w:val="16"/>
        </w:rPr>
        <w:t>Levy</w:t>
      </w:r>
      <w:r>
        <w:rPr>
          <w:rFonts w:ascii="Arial" w:hAnsi="Arial" w:cs="Arial"/>
          <w:sz w:val="16"/>
          <w:szCs w:val="16"/>
        </w:rPr>
        <w:t xml:space="preserve"> RS</w:t>
      </w:r>
      <w:r w:rsidRPr="006F2169">
        <w:rPr>
          <w:rFonts w:ascii="Arial" w:hAnsi="Arial" w:cs="Arial"/>
          <w:sz w:val="16"/>
          <w:szCs w:val="16"/>
        </w:rPr>
        <w:t>, Gupta</w:t>
      </w:r>
      <w:r>
        <w:rPr>
          <w:rFonts w:ascii="Arial" w:hAnsi="Arial" w:cs="Arial"/>
          <w:sz w:val="16"/>
          <w:szCs w:val="16"/>
        </w:rPr>
        <w:t xml:space="preserve"> V</w:t>
      </w:r>
      <w:r w:rsidRPr="006F2169">
        <w:rPr>
          <w:rFonts w:ascii="Arial" w:hAnsi="Arial" w:cs="Arial"/>
          <w:sz w:val="16"/>
          <w:szCs w:val="16"/>
        </w:rPr>
        <w:t>,</w:t>
      </w:r>
      <w:r>
        <w:rPr>
          <w:rFonts w:ascii="Arial" w:hAnsi="Arial" w:cs="Arial"/>
          <w:sz w:val="16"/>
          <w:szCs w:val="16"/>
        </w:rPr>
        <w:t xml:space="preserve"> </w:t>
      </w:r>
      <w:r w:rsidRPr="006F2169">
        <w:rPr>
          <w:rFonts w:ascii="Arial" w:hAnsi="Arial" w:cs="Arial"/>
          <w:sz w:val="16"/>
          <w:szCs w:val="16"/>
        </w:rPr>
        <w:t>DiPersio</w:t>
      </w:r>
      <w:r>
        <w:rPr>
          <w:rFonts w:ascii="Arial" w:hAnsi="Arial" w:cs="Arial"/>
          <w:sz w:val="16"/>
          <w:szCs w:val="16"/>
        </w:rPr>
        <w:t xml:space="preserve"> JF</w:t>
      </w:r>
      <w:r w:rsidRPr="006F2169">
        <w:rPr>
          <w:rFonts w:ascii="Arial" w:hAnsi="Arial" w:cs="Arial"/>
          <w:sz w:val="16"/>
          <w:szCs w:val="16"/>
        </w:rPr>
        <w:t xml:space="preserve">, </w:t>
      </w:r>
      <w:r>
        <w:rPr>
          <w:rFonts w:ascii="Arial" w:hAnsi="Arial" w:cs="Arial"/>
          <w:sz w:val="16"/>
          <w:szCs w:val="16"/>
        </w:rPr>
        <w:t xml:space="preserve">et. Al. </w:t>
      </w:r>
      <w:r w:rsidRPr="008D6245">
        <w:rPr>
          <w:rFonts w:ascii="Arial" w:hAnsi="Arial" w:cs="Arial"/>
          <w:sz w:val="16"/>
          <w:szCs w:val="16"/>
        </w:rPr>
        <w:t>A Double-Blind, Placebo-Controlled Trial of Ruxolitinib for Myelofibrosis</w:t>
      </w:r>
      <w:r>
        <w:rPr>
          <w:rFonts w:ascii="Arial" w:hAnsi="Arial" w:cs="Arial"/>
          <w:sz w:val="16"/>
          <w:szCs w:val="16"/>
        </w:rPr>
        <w:t xml:space="preserve">. </w:t>
      </w:r>
      <w:r w:rsidRPr="00B73995">
        <w:rPr>
          <w:rFonts w:ascii="Arial" w:hAnsi="Arial" w:cs="Arial"/>
          <w:sz w:val="16"/>
          <w:szCs w:val="16"/>
        </w:rPr>
        <w:t>N Engl J Med 2012; 366:799-807</w:t>
      </w:r>
      <w:r>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181E"/>
    <w:multiLevelType w:val="hybridMultilevel"/>
    <w:tmpl w:val="C1E04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2A50B9"/>
    <w:multiLevelType w:val="hybridMultilevel"/>
    <w:tmpl w:val="3072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3E650E"/>
    <w:multiLevelType w:val="hybridMultilevel"/>
    <w:tmpl w:val="11B80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4860453"/>
    <w:multiLevelType w:val="hybridMultilevel"/>
    <w:tmpl w:val="DC2E4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0AE0901"/>
    <w:multiLevelType w:val="hybridMultilevel"/>
    <w:tmpl w:val="17C09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66"/>
    <w:rsid w:val="00002C12"/>
    <w:rsid w:val="00003338"/>
    <w:rsid w:val="00004776"/>
    <w:rsid w:val="000161F1"/>
    <w:rsid w:val="00020E33"/>
    <w:rsid w:val="00054A33"/>
    <w:rsid w:val="00062751"/>
    <w:rsid w:val="0006375E"/>
    <w:rsid w:val="00064F59"/>
    <w:rsid w:val="00066EEA"/>
    <w:rsid w:val="00067D85"/>
    <w:rsid w:val="000A283B"/>
    <w:rsid w:val="000B15D5"/>
    <w:rsid w:val="000C7397"/>
    <w:rsid w:val="000D3DE6"/>
    <w:rsid w:val="00104DA1"/>
    <w:rsid w:val="0011459C"/>
    <w:rsid w:val="0013745B"/>
    <w:rsid w:val="0014195A"/>
    <w:rsid w:val="00142141"/>
    <w:rsid w:val="00157B49"/>
    <w:rsid w:val="00162BC9"/>
    <w:rsid w:val="001A3B0A"/>
    <w:rsid w:val="001B4296"/>
    <w:rsid w:val="001B6521"/>
    <w:rsid w:val="001C5A05"/>
    <w:rsid w:val="001D594F"/>
    <w:rsid w:val="001E0269"/>
    <w:rsid w:val="001E41D6"/>
    <w:rsid w:val="001E4F71"/>
    <w:rsid w:val="001F14C5"/>
    <w:rsid w:val="00220647"/>
    <w:rsid w:val="00224F27"/>
    <w:rsid w:val="002250A8"/>
    <w:rsid w:val="00235228"/>
    <w:rsid w:val="002416F3"/>
    <w:rsid w:val="00246C9F"/>
    <w:rsid w:val="002531AE"/>
    <w:rsid w:val="00276004"/>
    <w:rsid w:val="0028745E"/>
    <w:rsid w:val="00290D55"/>
    <w:rsid w:val="00291E6E"/>
    <w:rsid w:val="00295D2C"/>
    <w:rsid w:val="002A6B9B"/>
    <w:rsid w:val="002A712C"/>
    <w:rsid w:val="002F1954"/>
    <w:rsid w:val="00311A6F"/>
    <w:rsid w:val="00320F46"/>
    <w:rsid w:val="00321A58"/>
    <w:rsid w:val="00334650"/>
    <w:rsid w:val="00345EB8"/>
    <w:rsid w:val="0035008E"/>
    <w:rsid w:val="003576EC"/>
    <w:rsid w:val="00362140"/>
    <w:rsid w:val="00393B76"/>
    <w:rsid w:val="0039472C"/>
    <w:rsid w:val="00397CB2"/>
    <w:rsid w:val="003B77A4"/>
    <w:rsid w:val="003C0ED7"/>
    <w:rsid w:val="003C4E8C"/>
    <w:rsid w:val="003D4876"/>
    <w:rsid w:val="003D6573"/>
    <w:rsid w:val="003F2E5D"/>
    <w:rsid w:val="003F30FE"/>
    <w:rsid w:val="004079EC"/>
    <w:rsid w:val="00420495"/>
    <w:rsid w:val="004222AD"/>
    <w:rsid w:val="00433A00"/>
    <w:rsid w:val="0046062A"/>
    <w:rsid w:val="00462D27"/>
    <w:rsid w:val="004671F3"/>
    <w:rsid w:val="004734C3"/>
    <w:rsid w:val="00486391"/>
    <w:rsid w:val="004A40CF"/>
    <w:rsid w:val="004D531B"/>
    <w:rsid w:val="004E48A7"/>
    <w:rsid w:val="005104F5"/>
    <w:rsid w:val="005205D4"/>
    <w:rsid w:val="00521B97"/>
    <w:rsid w:val="005546D7"/>
    <w:rsid w:val="005664D4"/>
    <w:rsid w:val="005838AD"/>
    <w:rsid w:val="00586AA4"/>
    <w:rsid w:val="00595D47"/>
    <w:rsid w:val="005A4691"/>
    <w:rsid w:val="005B0859"/>
    <w:rsid w:val="005B6AC9"/>
    <w:rsid w:val="005C1650"/>
    <w:rsid w:val="005D5FA4"/>
    <w:rsid w:val="005D7954"/>
    <w:rsid w:val="005F6008"/>
    <w:rsid w:val="00602B1F"/>
    <w:rsid w:val="0060392C"/>
    <w:rsid w:val="006407B1"/>
    <w:rsid w:val="006407BE"/>
    <w:rsid w:val="00655058"/>
    <w:rsid w:val="00657288"/>
    <w:rsid w:val="00660066"/>
    <w:rsid w:val="00665035"/>
    <w:rsid w:val="00691914"/>
    <w:rsid w:val="00696279"/>
    <w:rsid w:val="00696CFB"/>
    <w:rsid w:val="006C1AD3"/>
    <w:rsid w:val="006D1426"/>
    <w:rsid w:val="006F1339"/>
    <w:rsid w:val="006F2169"/>
    <w:rsid w:val="00701DE1"/>
    <w:rsid w:val="00704730"/>
    <w:rsid w:val="007310B7"/>
    <w:rsid w:val="00733A46"/>
    <w:rsid w:val="00745D90"/>
    <w:rsid w:val="007636E3"/>
    <w:rsid w:val="007669F8"/>
    <w:rsid w:val="00766A73"/>
    <w:rsid w:val="00767DC9"/>
    <w:rsid w:val="007722F3"/>
    <w:rsid w:val="00785076"/>
    <w:rsid w:val="007911F5"/>
    <w:rsid w:val="007A1CB0"/>
    <w:rsid w:val="007A28F1"/>
    <w:rsid w:val="007B5281"/>
    <w:rsid w:val="007E16A4"/>
    <w:rsid w:val="007F4BA7"/>
    <w:rsid w:val="007F4E20"/>
    <w:rsid w:val="007F6F7E"/>
    <w:rsid w:val="008126E1"/>
    <w:rsid w:val="0083042B"/>
    <w:rsid w:val="00830630"/>
    <w:rsid w:val="00836340"/>
    <w:rsid w:val="008366F5"/>
    <w:rsid w:val="00855D95"/>
    <w:rsid w:val="00862A1D"/>
    <w:rsid w:val="00880065"/>
    <w:rsid w:val="00882AEA"/>
    <w:rsid w:val="008850A4"/>
    <w:rsid w:val="00887C99"/>
    <w:rsid w:val="00890D4A"/>
    <w:rsid w:val="008A5008"/>
    <w:rsid w:val="008A664B"/>
    <w:rsid w:val="008B6937"/>
    <w:rsid w:val="008B6F24"/>
    <w:rsid w:val="008D6245"/>
    <w:rsid w:val="0090438A"/>
    <w:rsid w:val="00905B97"/>
    <w:rsid w:val="009141C8"/>
    <w:rsid w:val="009225AF"/>
    <w:rsid w:val="00930DEA"/>
    <w:rsid w:val="00933936"/>
    <w:rsid w:val="00962CBF"/>
    <w:rsid w:val="0098415E"/>
    <w:rsid w:val="00984F84"/>
    <w:rsid w:val="00985322"/>
    <w:rsid w:val="00992C5A"/>
    <w:rsid w:val="00996068"/>
    <w:rsid w:val="009A4CBD"/>
    <w:rsid w:val="009C2A8E"/>
    <w:rsid w:val="009D6C85"/>
    <w:rsid w:val="009F20CB"/>
    <w:rsid w:val="00A05DB2"/>
    <w:rsid w:val="00A362C5"/>
    <w:rsid w:val="00A42945"/>
    <w:rsid w:val="00A50AA2"/>
    <w:rsid w:val="00A60B50"/>
    <w:rsid w:val="00A81C4C"/>
    <w:rsid w:val="00AA323D"/>
    <w:rsid w:val="00AB1149"/>
    <w:rsid w:val="00AC0068"/>
    <w:rsid w:val="00AC08EA"/>
    <w:rsid w:val="00AE4558"/>
    <w:rsid w:val="00AF1DE3"/>
    <w:rsid w:val="00AF6219"/>
    <w:rsid w:val="00B10AEB"/>
    <w:rsid w:val="00B1107C"/>
    <w:rsid w:val="00B50734"/>
    <w:rsid w:val="00B73995"/>
    <w:rsid w:val="00B7447E"/>
    <w:rsid w:val="00B81D25"/>
    <w:rsid w:val="00B87181"/>
    <w:rsid w:val="00BA2D43"/>
    <w:rsid w:val="00BA5BB3"/>
    <w:rsid w:val="00BB53E2"/>
    <w:rsid w:val="00BC2A3D"/>
    <w:rsid w:val="00BC2F8A"/>
    <w:rsid w:val="00BD48C4"/>
    <w:rsid w:val="00BD7736"/>
    <w:rsid w:val="00BF4F3D"/>
    <w:rsid w:val="00BF6C18"/>
    <w:rsid w:val="00C020C5"/>
    <w:rsid w:val="00C124A1"/>
    <w:rsid w:val="00C17690"/>
    <w:rsid w:val="00C21446"/>
    <w:rsid w:val="00C31817"/>
    <w:rsid w:val="00C31B80"/>
    <w:rsid w:val="00C46816"/>
    <w:rsid w:val="00C46EA6"/>
    <w:rsid w:val="00C56415"/>
    <w:rsid w:val="00C70B4E"/>
    <w:rsid w:val="00C810B2"/>
    <w:rsid w:val="00C81813"/>
    <w:rsid w:val="00C900C6"/>
    <w:rsid w:val="00C94227"/>
    <w:rsid w:val="00C943B1"/>
    <w:rsid w:val="00CB2FA8"/>
    <w:rsid w:val="00CE10D7"/>
    <w:rsid w:val="00CE7962"/>
    <w:rsid w:val="00D13F87"/>
    <w:rsid w:val="00D30E8F"/>
    <w:rsid w:val="00D31635"/>
    <w:rsid w:val="00D42396"/>
    <w:rsid w:val="00D453A7"/>
    <w:rsid w:val="00D51688"/>
    <w:rsid w:val="00D53886"/>
    <w:rsid w:val="00D61375"/>
    <w:rsid w:val="00D720E7"/>
    <w:rsid w:val="00D858FF"/>
    <w:rsid w:val="00D87750"/>
    <w:rsid w:val="00D87D77"/>
    <w:rsid w:val="00DA154D"/>
    <w:rsid w:val="00DB711C"/>
    <w:rsid w:val="00DD1C57"/>
    <w:rsid w:val="00DE7FC1"/>
    <w:rsid w:val="00DF2B74"/>
    <w:rsid w:val="00DF52A0"/>
    <w:rsid w:val="00E00137"/>
    <w:rsid w:val="00E11977"/>
    <w:rsid w:val="00E22B06"/>
    <w:rsid w:val="00E30C9B"/>
    <w:rsid w:val="00E357DE"/>
    <w:rsid w:val="00E56E7A"/>
    <w:rsid w:val="00E71298"/>
    <w:rsid w:val="00E76EA8"/>
    <w:rsid w:val="00EA6531"/>
    <w:rsid w:val="00EC2A19"/>
    <w:rsid w:val="00EC612A"/>
    <w:rsid w:val="00EC7D7C"/>
    <w:rsid w:val="00EF2653"/>
    <w:rsid w:val="00F0592A"/>
    <w:rsid w:val="00F16548"/>
    <w:rsid w:val="00F22829"/>
    <w:rsid w:val="00F23E4A"/>
    <w:rsid w:val="00F40AFF"/>
    <w:rsid w:val="00F62EEA"/>
    <w:rsid w:val="00F64299"/>
    <w:rsid w:val="00F86DF1"/>
    <w:rsid w:val="00F873D1"/>
    <w:rsid w:val="00FA4FD4"/>
    <w:rsid w:val="00FC6288"/>
    <w:rsid w:val="00FE047A"/>
    <w:rsid w:val="00FE368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0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60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6008"/>
  </w:style>
  <w:style w:type="paragraph" w:styleId="Footer">
    <w:name w:val="footer"/>
    <w:basedOn w:val="Normal"/>
    <w:link w:val="FooterChar"/>
    <w:uiPriority w:val="99"/>
    <w:semiHidden/>
    <w:unhideWhenUsed/>
    <w:rsid w:val="005F60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6008"/>
  </w:style>
  <w:style w:type="character" w:styleId="Hyperlink">
    <w:name w:val="Hyperlink"/>
    <w:basedOn w:val="DefaultParagraphFont"/>
    <w:uiPriority w:val="99"/>
    <w:unhideWhenUsed/>
    <w:rsid w:val="005205D4"/>
    <w:rPr>
      <w:color w:val="0000FF" w:themeColor="hyperlink"/>
      <w:u w:val="single"/>
    </w:rPr>
  </w:style>
  <w:style w:type="paragraph" w:styleId="FootnoteText">
    <w:name w:val="footnote text"/>
    <w:basedOn w:val="Normal"/>
    <w:link w:val="FootnoteTextChar"/>
    <w:uiPriority w:val="99"/>
    <w:unhideWhenUsed/>
    <w:rsid w:val="00836340"/>
    <w:pPr>
      <w:spacing w:after="0" w:line="240" w:lineRule="auto"/>
    </w:pPr>
    <w:rPr>
      <w:sz w:val="20"/>
      <w:szCs w:val="20"/>
    </w:rPr>
  </w:style>
  <w:style w:type="character" w:customStyle="1" w:styleId="FootnoteTextChar">
    <w:name w:val="Footnote Text Char"/>
    <w:basedOn w:val="DefaultParagraphFont"/>
    <w:link w:val="FootnoteText"/>
    <w:uiPriority w:val="99"/>
    <w:rsid w:val="00836340"/>
    <w:rPr>
      <w:sz w:val="20"/>
      <w:szCs w:val="20"/>
    </w:rPr>
  </w:style>
  <w:style w:type="character" w:styleId="FootnoteReference">
    <w:name w:val="footnote reference"/>
    <w:basedOn w:val="DefaultParagraphFont"/>
    <w:uiPriority w:val="99"/>
    <w:semiHidden/>
    <w:unhideWhenUsed/>
    <w:rsid w:val="00836340"/>
    <w:rPr>
      <w:vertAlign w:val="superscript"/>
    </w:rPr>
  </w:style>
  <w:style w:type="paragraph" w:styleId="ListParagraph">
    <w:name w:val="List Paragraph"/>
    <w:basedOn w:val="Normal"/>
    <w:uiPriority w:val="34"/>
    <w:qFormat/>
    <w:rsid w:val="00890D4A"/>
    <w:pPr>
      <w:ind w:left="720"/>
      <w:contextualSpacing/>
    </w:pPr>
  </w:style>
  <w:style w:type="character" w:customStyle="1" w:styleId="TableText">
    <w:name w:val="Table Text"/>
    <w:basedOn w:val="DefaultParagraphFont"/>
    <w:uiPriority w:val="4"/>
    <w:qFormat/>
    <w:rsid w:val="00062751"/>
    <w:rPr>
      <w:rFonts w:ascii="Arial Narrow" w:hAnsi="Arial Narrow"/>
      <w:sz w:val="20"/>
    </w:rPr>
  </w:style>
  <w:style w:type="paragraph" w:styleId="BalloonText">
    <w:name w:val="Balloon Text"/>
    <w:basedOn w:val="Normal"/>
    <w:link w:val="BalloonTextChar"/>
    <w:uiPriority w:val="99"/>
    <w:semiHidden/>
    <w:unhideWhenUsed/>
    <w:rsid w:val="00731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B7"/>
    <w:rPr>
      <w:rFonts w:ascii="Tahoma" w:hAnsi="Tahoma" w:cs="Tahoma"/>
      <w:sz w:val="16"/>
      <w:szCs w:val="16"/>
    </w:rPr>
  </w:style>
  <w:style w:type="character" w:styleId="CommentReference">
    <w:name w:val="annotation reference"/>
    <w:basedOn w:val="DefaultParagraphFont"/>
    <w:uiPriority w:val="99"/>
    <w:semiHidden/>
    <w:unhideWhenUsed/>
    <w:rsid w:val="006407B1"/>
    <w:rPr>
      <w:sz w:val="18"/>
      <w:szCs w:val="18"/>
    </w:rPr>
  </w:style>
  <w:style w:type="paragraph" w:styleId="CommentText">
    <w:name w:val="annotation text"/>
    <w:basedOn w:val="Normal"/>
    <w:link w:val="CommentTextChar"/>
    <w:uiPriority w:val="99"/>
    <w:semiHidden/>
    <w:unhideWhenUsed/>
    <w:rsid w:val="006407B1"/>
    <w:pPr>
      <w:spacing w:line="240" w:lineRule="auto"/>
    </w:pPr>
    <w:rPr>
      <w:szCs w:val="24"/>
    </w:rPr>
  </w:style>
  <w:style w:type="character" w:customStyle="1" w:styleId="CommentTextChar">
    <w:name w:val="Comment Text Char"/>
    <w:basedOn w:val="DefaultParagraphFont"/>
    <w:link w:val="CommentText"/>
    <w:uiPriority w:val="99"/>
    <w:semiHidden/>
    <w:rsid w:val="006407B1"/>
    <w:rPr>
      <w:szCs w:val="24"/>
    </w:rPr>
  </w:style>
  <w:style w:type="paragraph" w:styleId="CommentSubject">
    <w:name w:val="annotation subject"/>
    <w:basedOn w:val="CommentText"/>
    <w:next w:val="CommentText"/>
    <w:link w:val="CommentSubjectChar"/>
    <w:uiPriority w:val="99"/>
    <w:semiHidden/>
    <w:unhideWhenUsed/>
    <w:rsid w:val="006407B1"/>
    <w:rPr>
      <w:b/>
      <w:bCs/>
      <w:sz w:val="20"/>
      <w:szCs w:val="20"/>
    </w:rPr>
  </w:style>
  <w:style w:type="character" w:customStyle="1" w:styleId="CommentSubjectChar">
    <w:name w:val="Comment Subject Char"/>
    <w:basedOn w:val="CommentTextChar"/>
    <w:link w:val="CommentSubject"/>
    <w:uiPriority w:val="99"/>
    <w:semiHidden/>
    <w:rsid w:val="006407B1"/>
    <w:rPr>
      <w:b/>
      <w:bCs/>
      <w:sz w:val="20"/>
      <w:szCs w:val="20"/>
    </w:rPr>
  </w:style>
  <w:style w:type="character" w:customStyle="1" w:styleId="Heading1Char">
    <w:name w:val="Heading 1 Char"/>
    <w:basedOn w:val="DefaultParagraphFont"/>
    <w:link w:val="Heading1"/>
    <w:uiPriority w:val="9"/>
    <w:rsid w:val="008304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0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60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6008"/>
  </w:style>
  <w:style w:type="paragraph" w:styleId="Footer">
    <w:name w:val="footer"/>
    <w:basedOn w:val="Normal"/>
    <w:link w:val="FooterChar"/>
    <w:uiPriority w:val="99"/>
    <w:semiHidden/>
    <w:unhideWhenUsed/>
    <w:rsid w:val="005F60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6008"/>
  </w:style>
  <w:style w:type="character" w:styleId="Hyperlink">
    <w:name w:val="Hyperlink"/>
    <w:basedOn w:val="DefaultParagraphFont"/>
    <w:uiPriority w:val="99"/>
    <w:unhideWhenUsed/>
    <w:rsid w:val="005205D4"/>
    <w:rPr>
      <w:color w:val="0000FF" w:themeColor="hyperlink"/>
      <w:u w:val="single"/>
    </w:rPr>
  </w:style>
  <w:style w:type="paragraph" w:styleId="FootnoteText">
    <w:name w:val="footnote text"/>
    <w:basedOn w:val="Normal"/>
    <w:link w:val="FootnoteTextChar"/>
    <w:uiPriority w:val="99"/>
    <w:unhideWhenUsed/>
    <w:rsid w:val="00836340"/>
    <w:pPr>
      <w:spacing w:after="0" w:line="240" w:lineRule="auto"/>
    </w:pPr>
    <w:rPr>
      <w:sz w:val="20"/>
      <w:szCs w:val="20"/>
    </w:rPr>
  </w:style>
  <w:style w:type="character" w:customStyle="1" w:styleId="FootnoteTextChar">
    <w:name w:val="Footnote Text Char"/>
    <w:basedOn w:val="DefaultParagraphFont"/>
    <w:link w:val="FootnoteText"/>
    <w:uiPriority w:val="99"/>
    <w:rsid w:val="00836340"/>
    <w:rPr>
      <w:sz w:val="20"/>
      <w:szCs w:val="20"/>
    </w:rPr>
  </w:style>
  <w:style w:type="character" w:styleId="FootnoteReference">
    <w:name w:val="footnote reference"/>
    <w:basedOn w:val="DefaultParagraphFont"/>
    <w:uiPriority w:val="99"/>
    <w:semiHidden/>
    <w:unhideWhenUsed/>
    <w:rsid w:val="00836340"/>
    <w:rPr>
      <w:vertAlign w:val="superscript"/>
    </w:rPr>
  </w:style>
  <w:style w:type="paragraph" w:styleId="ListParagraph">
    <w:name w:val="List Paragraph"/>
    <w:basedOn w:val="Normal"/>
    <w:uiPriority w:val="34"/>
    <w:qFormat/>
    <w:rsid w:val="00890D4A"/>
    <w:pPr>
      <w:ind w:left="720"/>
      <w:contextualSpacing/>
    </w:pPr>
  </w:style>
  <w:style w:type="character" w:customStyle="1" w:styleId="TableText">
    <w:name w:val="Table Text"/>
    <w:basedOn w:val="DefaultParagraphFont"/>
    <w:uiPriority w:val="4"/>
    <w:qFormat/>
    <w:rsid w:val="00062751"/>
    <w:rPr>
      <w:rFonts w:ascii="Arial Narrow" w:hAnsi="Arial Narrow"/>
      <w:sz w:val="20"/>
    </w:rPr>
  </w:style>
  <w:style w:type="paragraph" w:styleId="BalloonText">
    <w:name w:val="Balloon Text"/>
    <w:basedOn w:val="Normal"/>
    <w:link w:val="BalloonTextChar"/>
    <w:uiPriority w:val="99"/>
    <w:semiHidden/>
    <w:unhideWhenUsed/>
    <w:rsid w:val="00731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B7"/>
    <w:rPr>
      <w:rFonts w:ascii="Tahoma" w:hAnsi="Tahoma" w:cs="Tahoma"/>
      <w:sz w:val="16"/>
      <w:szCs w:val="16"/>
    </w:rPr>
  </w:style>
  <w:style w:type="character" w:styleId="CommentReference">
    <w:name w:val="annotation reference"/>
    <w:basedOn w:val="DefaultParagraphFont"/>
    <w:uiPriority w:val="99"/>
    <w:semiHidden/>
    <w:unhideWhenUsed/>
    <w:rsid w:val="006407B1"/>
    <w:rPr>
      <w:sz w:val="18"/>
      <w:szCs w:val="18"/>
    </w:rPr>
  </w:style>
  <w:style w:type="paragraph" w:styleId="CommentText">
    <w:name w:val="annotation text"/>
    <w:basedOn w:val="Normal"/>
    <w:link w:val="CommentTextChar"/>
    <w:uiPriority w:val="99"/>
    <w:semiHidden/>
    <w:unhideWhenUsed/>
    <w:rsid w:val="006407B1"/>
    <w:pPr>
      <w:spacing w:line="240" w:lineRule="auto"/>
    </w:pPr>
    <w:rPr>
      <w:szCs w:val="24"/>
    </w:rPr>
  </w:style>
  <w:style w:type="character" w:customStyle="1" w:styleId="CommentTextChar">
    <w:name w:val="Comment Text Char"/>
    <w:basedOn w:val="DefaultParagraphFont"/>
    <w:link w:val="CommentText"/>
    <w:uiPriority w:val="99"/>
    <w:semiHidden/>
    <w:rsid w:val="006407B1"/>
    <w:rPr>
      <w:szCs w:val="24"/>
    </w:rPr>
  </w:style>
  <w:style w:type="paragraph" w:styleId="CommentSubject">
    <w:name w:val="annotation subject"/>
    <w:basedOn w:val="CommentText"/>
    <w:next w:val="CommentText"/>
    <w:link w:val="CommentSubjectChar"/>
    <w:uiPriority w:val="99"/>
    <w:semiHidden/>
    <w:unhideWhenUsed/>
    <w:rsid w:val="006407B1"/>
    <w:rPr>
      <w:b/>
      <w:bCs/>
      <w:sz w:val="20"/>
      <w:szCs w:val="20"/>
    </w:rPr>
  </w:style>
  <w:style w:type="character" w:customStyle="1" w:styleId="CommentSubjectChar">
    <w:name w:val="Comment Subject Char"/>
    <w:basedOn w:val="CommentTextChar"/>
    <w:link w:val="CommentSubject"/>
    <w:uiPriority w:val="99"/>
    <w:semiHidden/>
    <w:rsid w:val="006407B1"/>
    <w:rPr>
      <w:b/>
      <w:bCs/>
      <w:sz w:val="20"/>
      <w:szCs w:val="20"/>
    </w:rPr>
  </w:style>
  <w:style w:type="character" w:customStyle="1" w:styleId="Heading1Char">
    <w:name w:val="Heading 1 Char"/>
    <w:basedOn w:val="DefaultParagraphFont"/>
    <w:link w:val="Heading1"/>
    <w:uiPriority w:val="9"/>
    <w:rsid w:val="008304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s.tga.gov.au/" TargetMode="External"/><Relationship Id="rId5" Type="http://schemas.openxmlformats.org/officeDocument/2006/relationships/settings" Target="settings.xml"/><Relationship Id="rId10" Type="http://schemas.openxmlformats.org/officeDocument/2006/relationships/hyperlink" Target="http://www.pbs.gov.au/info/industry/listing/elements/pbac-meetings/psd/2013-07/ruxolitinib" TargetMode="External"/><Relationship Id="rId4" Type="http://schemas.microsoft.com/office/2007/relationships/stylesWithEffects" Target="stylesWithEffects.xml"/><Relationship Id="rId9" Type="http://schemas.openxmlformats.org/officeDocument/2006/relationships/hyperlink" Target="http://www.pbs.gov.au/info/industry/listing/elements/initiation-of-stakeholder-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FF3E-3220-4512-BB5A-05194D87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Crank</dc:creator>
  <cp:lastModifiedBy>Mareddy Shobha</cp:lastModifiedBy>
  <cp:revision>3</cp:revision>
  <cp:lastPrinted>2014-09-25T00:53:00Z</cp:lastPrinted>
  <dcterms:created xsi:type="dcterms:W3CDTF">2014-10-02T23:44:00Z</dcterms:created>
  <dcterms:modified xsi:type="dcterms:W3CDTF">2014-11-10T03:06:00Z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