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4E20" w:rsidRPr="007F5885" w:rsidRDefault="00C124A1" w:rsidP="007F5885">
      <w:pPr>
        <w:pStyle w:val="Heading1"/>
        <w:spacing w:before="0" w:after="240"/>
        <w:jc w:val="center"/>
        <w:rPr>
          <w:color w:val="auto"/>
        </w:rPr>
      </w:pPr>
      <w:bookmarkStart w:id="0" w:name="_GoBack"/>
      <w:bookmarkEnd w:id="0"/>
      <w:r w:rsidRPr="007F5885">
        <w:rPr>
          <w:color w:val="auto"/>
        </w:rPr>
        <w:t>PBAC STAKEHOLDER MEETING OUTCOME STATEMENT</w:t>
      </w:r>
    </w:p>
    <w:p w:rsidR="00C124A1" w:rsidRPr="007F5885" w:rsidRDefault="00710CD2" w:rsidP="007F5885">
      <w:pPr>
        <w:pStyle w:val="Heading1"/>
        <w:spacing w:before="0" w:after="240"/>
        <w:jc w:val="center"/>
        <w:rPr>
          <w:color w:val="auto"/>
        </w:rPr>
      </w:pPr>
      <w:r w:rsidRPr="007F5885">
        <w:rPr>
          <w:color w:val="auto"/>
        </w:rPr>
        <w:t>NITISINONE FOR TYROSINAEMIA TYPE 1</w:t>
      </w:r>
    </w:p>
    <w:p w:rsidR="00C124A1" w:rsidRDefault="00F21089" w:rsidP="00C124A1">
      <w:pPr>
        <w:jc w:val="center"/>
        <w:rPr>
          <w:rFonts w:ascii="Arial" w:hAnsi="Arial" w:cs="Arial"/>
          <w:b/>
        </w:rPr>
      </w:pPr>
      <w:r>
        <w:rPr>
          <w:rFonts w:ascii="Arial" w:hAnsi="Arial" w:cs="Arial"/>
          <w:b/>
        </w:rPr>
        <w:t>4 February 2015</w:t>
      </w:r>
    </w:p>
    <w:p w:rsidR="00C124A1" w:rsidRDefault="00F21089" w:rsidP="00C124A1">
      <w:pPr>
        <w:jc w:val="center"/>
        <w:rPr>
          <w:rFonts w:ascii="Arial" w:hAnsi="Arial" w:cs="Arial"/>
          <w:b/>
        </w:rPr>
      </w:pPr>
      <w:r>
        <w:rPr>
          <w:rFonts w:ascii="Arial" w:hAnsi="Arial" w:cs="Arial"/>
          <w:b/>
        </w:rPr>
        <w:t>Department of Health</w:t>
      </w:r>
      <w:r w:rsidR="00C124A1">
        <w:rPr>
          <w:rFonts w:ascii="Arial" w:hAnsi="Arial" w:cs="Arial"/>
          <w:b/>
        </w:rPr>
        <w:t xml:space="preserve">, </w:t>
      </w:r>
      <w:r>
        <w:rPr>
          <w:rFonts w:ascii="Arial" w:hAnsi="Arial" w:cs="Arial"/>
          <w:b/>
        </w:rPr>
        <w:t>Canberra</w:t>
      </w:r>
    </w:p>
    <w:p w:rsidR="005A4691" w:rsidRPr="00927AD3" w:rsidRDefault="005A4691" w:rsidP="00927AD3">
      <w:pPr>
        <w:pStyle w:val="Heading2"/>
        <w:rPr>
          <w:sz w:val="20"/>
        </w:rPr>
      </w:pPr>
      <w:r w:rsidRPr="00927AD3">
        <w:t>Attendees</w:t>
      </w:r>
    </w:p>
    <w:p w:rsidR="005A4691" w:rsidRPr="004358CF" w:rsidRDefault="005A4691" w:rsidP="005A4691">
      <w:pPr>
        <w:spacing w:after="0"/>
        <w:rPr>
          <w:rFonts w:ascii="Arial" w:hAnsi="Arial" w:cs="Arial"/>
          <w:sz w:val="22"/>
        </w:rPr>
      </w:pPr>
      <w:r w:rsidRPr="004358CF">
        <w:rPr>
          <w:rFonts w:ascii="Arial" w:hAnsi="Arial" w:cs="Arial"/>
          <w:sz w:val="22"/>
        </w:rPr>
        <w:t xml:space="preserve">Members of the Pharmaceutical Benefits Advisory Committee (PBAC), </w:t>
      </w:r>
      <w:r w:rsidR="000035EA">
        <w:rPr>
          <w:rFonts w:ascii="Arial" w:hAnsi="Arial" w:cs="Arial"/>
          <w:sz w:val="22"/>
        </w:rPr>
        <w:t xml:space="preserve">clinicians with experience in managing patients with </w:t>
      </w:r>
      <w:r w:rsidR="003B5251">
        <w:rPr>
          <w:rFonts w:ascii="Arial" w:hAnsi="Arial" w:cs="Arial"/>
          <w:sz w:val="22"/>
        </w:rPr>
        <w:t xml:space="preserve">hereditary </w:t>
      </w:r>
      <w:r w:rsidR="000035EA">
        <w:rPr>
          <w:rFonts w:ascii="Arial" w:hAnsi="Arial" w:cs="Arial"/>
          <w:sz w:val="22"/>
        </w:rPr>
        <w:t xml:space="preserve">tyrosinaemia type 1 </w:t>
      </w:r>
      <w:r w:rsidR="003B5251">
        <w:rPr>
          <w:rFonts w:ascii="Arial" w:hAnsi="Arial" w:cs="Arial"/>
          <w:sz w:val="22"/>
        </w:rPr>
        <w:t xml:space="preserve">(HT-1) </w:t>
      </w:r>
      <w:r w:rsidR="000035EA">
        <w:rPr>
          <w:rFonts w:ascii="Arial" w:hAnsi="Arial" w:cs="Arial"/>
          <w:sz w:val="22"/>
        </w:rPr>
        <w:t>and expertise in screening for the condition</w:t>
      </w:r>
      <w:r w:rsidR="009850FB">
        <w:rPr>
          <w:rFonts w:ascii="Arial" w:hAnsi="Arial" w:cs="Arial"/>
          <w:sz w:val="22"/>
        </w:rPr>
        <w:t xml:space="preserve">, </w:t>
      </w:r>
      <w:r w:rsidR="000035EA">
        <w:rPr>
          <w:rFonts w:ascii="Arial" w:hAnsi="Arial" w:cs="Arial"/>
          <w:sz w:val="22"/>
        </w:rPr>
        <w:t xml:space="preserve">representatives of </w:t>
      </w:r>
      <w:r w:rsidR="004358CF" w:rsidRPr="004358CF">
        <w:rPr>
          <w:rFonts w:ascii="Arial" w:hAnsi="Arial" w:cs="Arial"/>
          <w:sz w:val="22"/>
        </w:rPr>
        <w:t>t</w:t>
      </w:r>
      <w:r w:rsidRPr="004358CF">
        <w:rPr>
          <w:rFonts w:ascii="Arial" w:hAnsi="Arial" w:cs="Arial"/>
          <w:sz w:val="22"/>
        </w:rPr>
        <w:t xml:space="preserve">he </w:t>
      </w:r>
      <w:r w:rsidR="004358CF" w:rsidRPr="004358CF">
        <w:rPr>
          <w:rFonts w:ascii="Arial" w:hAnsi="Arial" w:cs="Arial"/>
          <w:sz w:val="22"/>
        </w:rPr>
        <w:t>Metabolic Dietary Disorders Association (MDDA),</w:t>
      </w:r>
      <w:r w:rsidRPr="004358CF">
        <w:rPr>
          <w:rFonts w:ascii="Arial" w:hAnsi="Arial" w:cs="Arial"/>
          <w:sz w:val="22"/>
        </w:rPr>
        <w:t xml:space="preserve"> </w:t>
      </w:r>
      <w:r w:rsidR="004358CF" w:rsidRPr="004358CF">
        <w:rPr>
          <w:rFonts w:ascii="Arial" w:hAnsi="Arial" w:cs="Arial"/>
          <w:sz w:val="22"/>
        </w:rPr>
        <w:t>Rare Voices</w:t>
      </w:r>
      <w:r w:rsidR="00150A74">
        <w:rPr>
          <w:rFonts w:ascii="Arial" w:hAnsi="Arial" w:cs="Arial"/>
          <w:sz w:val="22"/>
        </w:rPr>
        <w:t xml:space="preserve"> Australia</w:t>
      </w:r>
      <w:r w:rsidRPr="004358CF">
        <w:rPr>
          <w:rFonts w:ascii="Arial" w:hAnsi="Arial" w:cs="Arial"/>
          <w:sz w:val="22"/>
        </w:rPr>
        <w:t xml:space="preserve">, </w:t>
      </w:r>
      <w:r w:rsidR="004358CF" w:rsidRPr="004358CF">
        <w:rPr>
          <w:rFonts w:ascii="Arial" w:hAnsi="Arial" w:cs="Arial"/>
          <w:sz w:val="22"/>
        </w:rPr>
        <w:t xml:space="preserve">the Australasian Society of Inborn Errors of Metabolism, </w:t>
      </w:r>
      <w:r w:rsidR="004358CF">
        <w:rPr>
          <w:rFonts w:ascii="Arial" w:hAnsi="Arial" w:cs="Arial"/>
          <w:sz w:val="22"/>
        </w:rPr>
        <w:t xml:space="preserve">the </w:t>
      </w:r>
      <w:r w:rsidR="004358CF" w:rsidRPr="004358CF">
        <w:rPr>
          <w:rFonts w:ascii="Arial" w:hAnsi="Arial" w:cs="Arial"/>
          <w:sz w:val="22"/>
        </w:rPr>
        <w:t xml:space="preserve">Therapeutic Goods Administration (TGA), </w:t>
      </w:r>
      <w:proofErr w:type="spellStart"/>
      <w:r w:rsidR="004358CF" w:rsidRPr="004358CF">
        <w:rPr>
          <w:rFonts w:ascii="Arial" w:hAnsi="Arial" w:cs="Arial"/>
          <w:sz w:val="22"/>
        </w:rPr>
        <w:t>A.Menarini</w:t>
      </w:r>
      <w:proofErr w:type="spellEnd"/>
      <w:r w:rsidR="004358CF" w:rsidRPr="004358CF">
        <w:rPr>
          <w:rFonts w:ascii="Arial" w:hAnsi="Arial" w:cs="Arial"/>
          <w:sz w:val="22"/>
        </w:rPr>
        <w:t xml:space="preserve"> Australia Pty Ltd, and </w:t>
      </w:r>
      <w:r w:rsidRPr="004358CF">
        <w:rPr>
          <w:rFonts w:ascii="Arial" w:hAnsi="Arial" w:cs="Arial"/>
          <w:sz w:val="22"/>
        </w:rPr>
        <w:t>the Department of Health were in attendance.</w:t>
      </w:r>
    </w:p>
    <w:p w:rsidR="00462D27" w:rsidRPr="00462D27" w:rsidRDefault="00462D27" w:rsidP="00462D27">
      <w:pPr>
        <w:spacing w:after="0"/>
        <w:rPr>
          <w:rFonts w:ascii="Arial" w:hAnsi="Arial" w:cs="Arial"/>
          <w:sz w:val="22"/>
        </w:rPr>
      </w:pPr>
    </w:p>
    <w:p w:rsidR="0028745E" w:rsidRDefault="00142141" w:rsidP="00927AD3">
      <w:pPr>
        <w:pStyle w:val="Heading2"/>
      </w:pPr>
      <w:r>
        <w:t>P</w:t>
      </w:r>
      <w:r w:rsidR="00B10AEB">
        <w:t>urpose of stakeholder meeting</w:t>
      </w:r>
    </w:p>
    <w:p w:rsidR="00C31817" w:rsidRPr="00C31817" w:rsidRDefault="00F21089" w:rsidP="0028745E">
      <w:pPr>
        <w:rPr>
          <w:rFonts w:ascii="Arial" w:hAnsi="Arial" w:cs="Arial"/>
          <w:sz w:val="22"/>
        </w:rPr>
      </w:pPr>
      <w:r>
        <w:rPr>
          <w:rFonts w:ascii="Arial" w:hAnsi="Arial" w:cs="Arial"/>
          <w:sz w:val="22"/>
        </w:rPr>
        <w:t xml:space="preserve">To provide clarity about the clinical effectiveness of </w:t>
      </w:r>
      <w:proofErr w:type="spellStart"/>
      <w:r>
        <w:rPr>
          <w:rFonts w:ascii="Arial" w:hAnsi="Arial" w:cs="Arial"/>
          <w:sz w:val="22"/>
        </w:rPr>
        <w:t>nitisinone</w:t>
      </w:r>
      <w:proofErr w:type="spellEnd"/>
      <w:r>
        <w:rPr>
          <w:rFonts w:ascii="Arial" w:hAnsi="Arial" w:cs="Arial"/>
          <w:sz w:val="22"/>
        </w:rPr>
        <w:t xml:space="preserve"> for </w:t>
      </w:r>
      <w:r w:rsidR="009850FB">
        <w:rPr>
          <w:rFonts w:ascii="Arial" w:hAnsi="Arial" w:cs="Arial"/>
          <w:sz w:val="22"/>
        </w:rPr>
        <w:t>HT-1</w:t>
      </w:r>
      <w:r>
        <w:rPr>
          <w:rFonts w:ascii="Arial" w:hAnsi="Arial" w:cs="Arial"/>
          <w:sz w:val="22"/>
        </w:rPr>
        <w:t xml:space="preserve"> with respect to current and future screening programs, as well as providing an opportunity to consider the need for  progressive neurocognitive monitoring and assessment program</w:t>
      </w:r>
      <w:r w:rsidR="000035EA">
        <w:rPr>
          <w:rFonts w:ascii="Arial" w:hAnsi="Arial" w:cs="Arial"/>
          <w:sz w:val="22"/>
        </w:rPr>
        <w:t xml:space="preserve"> and</w:t>
      </w:r>
      <w:r w:rsidR="003B5251">
        <w:rPr>
          <w:rFonts w:ascii="Arial" w:hAnsi="Arial" w:cs="Arial"/>
          <w:sz w:val="22"/>
        </w:rPr>
        <w:t xml:space="preserve"> a proposed</w:t>
      </w:r>
      <w:r w:rsidR="009850FB">
        <w:rPr>
          <w:rFonts w:ascii="Arial" w:hAnsi="Arial" w:cs="Arial"/>
          <w:sz w:val="22"/>
        </w:rPr>
        <w:t xml:space="preserve"> </w:t>
      </w:r>
      <w:r>
        <w:rPr>
          <w:rFonts w:ascii="Arial" w:hAnsi="Arial" w:cs="Arial"/>
          <w:sz w:val="22"/>
        </w:rPr>
        <w:t xml:space="preserve">restriction </w:t>
      </w:r>
      <w:r w:rsidR="003B5251">
        <w:rPr>
          <w:rFonts w:ascii="Arial" w:hAnsi="Arial" w:cs="Arial"/>
          <w:sz w:val="22"/>
        </w:rPr>
        <w:t>for the sponsor’s use in a resubmission to the PBAC</w:t>
      </w:r>
      <w:r>
        <w:rPr>
          <w:rFonts w:ascii="Arial" w:hAnsi="Arial" w:cs="Arial"/>
          <w:sz w:val="22"/>
        </w:rPr>
        <w:t>.</w:t>
      </w:r>
    </w:p>
    <w:p w:rsidR="00142141" w:rsidRDefault="00142141" w:rsidP="00927AD3">
      <w:pPr>
        <w:pStyle w:val="Heading2"/>
      </w:pPr>
      <w:r>
        <w:t>Background</w:t>
      </w:r>
    </w:p>
    <w:p w:rsidR="00C31817" w:rsidRDefault="00F21089" w:rsidP="009850FB">
      <w:pPr>
        <w:rPr>
          <w:rFonts w:ascii="Arial" w:hAnsi="Arial" w:cs="Arial"/>
          <w:sz w:val="22"/>
        </w:rPr>
      </w:pPr>
      <w:r>
        <w:rPr>
          <w:rFonts w:ascii="Arial" w:hAnsi="Arial" w:cs="Arial"/>
          <w:sz w:val="22"/>
        </w:rPr>
        <w:t>The PBAC considered a</w:t>
      </w:r>
      <w:r w:rsidR="00066EEA">
        <w:rPr>
          <w:rFonts w:ascii="Arial" w:hAnsi="Arial" w:cs="Arial"/>
          <w:sz w:val="22"/>
        </w:rPr>
        <w:t xml:space="preserve"> submission for the</w:t>
      </w:r>
      <w:r w:rsidR="00443634">
        <w:rPr>
          <w:rFonts w:ascii="Arial" w:hAnsi="Arial" w:cs="Arial"/>
          <w:sz w:val="22"/>
        </w:rPr>
        <w:t xml:space="preserve"> </w:t>
      </w:r>
      <w:r w:rsidR="00443634" w:rsidRPr="003F12AE">
        <w:rPr>
          <w:rFonts w:ascii="Arial" w:hAnsi="Arial" w:cs="Arial"/>
          <w:sz w:val="22"/>
        </w:rPr>
        <w:t>Pharmaceutical Benefits Scheme</w:t>
      </w:r>
      <w:r w:rsidR="00066EEA">
        <w:rPr>
          <w:rFonts w:ascii="Arial" w:hAnsi="Arial" w:cs="Arial"/>
          <w:sz w:val="22"/>
        </w:rPr>
        <w:t xml:space="preserve"> </w:t>
      </w:r>
      <w:r w:rsidR="00443634">
        <w:rPr>
          <w:rFonts w:ascii="Arial" w:hAnsi="Arial" w:cs="Arial"/>
          <w:sz w:val="22"/>
        </w:rPr>
        <w:t>(</w:t>
      </w:r>
      <w:r w:rsidR="00066EEA">
        <w:rPr>
          <w:rFonts w:ascii="Arial" w:hAnsi="Arial" w:cs="Arial"/>
          <w:sz w:val="22"/>
        </w:rPr>
        <w:t>PBS</w:t>
      </w:r>
      <w:r w:rsidR="00443634">
        <w:rPr>
          <w:rFonts w:ascii="Arial" w:hAnsi="Arial" w:cs="Arial"/>
          <w:sz w:val="22"/>
        </w:rPr>
        <w:t>)</w:t>
      </w:r>
      <w:r w:rsidR="00066EEA">
        <w:rPr>
          <w:rFonts w:ascii="Arial" w:hAnsi="Arial" w:cs="Arial"/>
          <w:sz w:val="22"/>
        </w:rPr>
        <w:t xml:space="preserve"> listing of </w:t>
      </w:r>
      <w:proofErr w:type="spellStart"/>
      <w:r>
        <w:rPr>
          <w:rFonts w:ascii="Arial" w:hAnsi="Arial" w:cs="Arial"/>
          <w:sz w:val="22"/>
        </w:rPr>
        <w:t>nitisinone</w:t>
      </w:r>
      <w:proofErr w:type="spellEnd"/>
      <w:r>
        <w:rPr>
          <w:rFonts w:ascii="Arial" w:hAnsi="Arial" w:cs="Arial"/>
          <w:sz w:val="22"/>
        </w:rPr>
        <w:t xml:space="preserve"> for HT-1 in November 2014.</w:t>
      </w:r>
      <w:r w:rsidR="003B5251">
        <w:rPr>
          <w:rFonts w:ascii="Arial" w:hAnsi="Arial" w:cs="Arial"/>
          <w:sz w:val="22"/>
        </w:rPr>
        <w:t xml:space="preserve"> T</w:t>
      </w:r>
      <w:r w:rsidR="009850FB">
        <w:rPr>
          <w:rFonts w:ascii="Arial" w:hAnsi="Arial" w:cs="Arial"/>
          <w:sz w:val="22"/>
        </w:rPr>
        <w:t>he</w:t>
      </w:r>
      <w:r w:rsidR="00C31817">
        <w:rPr>
          <w:rFonts w:ascii="Arial" w:hAnsi="Arial" w:cs="Arial"/>
          <w:sz w:val="22"/>
        </w:rPr>
        <w:t xml:space="preserve"> PBAC </w:t>
      </w:r>
      <w:r w:rsidR="00C31817" w:rsidRPr="009D6C85">
        <w:rPr>
          <w:rFonts w:ascii="Arial" w:hAnsi="Arial" w:cs="Arial"/>
          <w:sz w:val="22"/>
        </w:rPr>
        <w:t xml:space="preserve">deferred </w:t>
      </w:r>
      <w:r w:rsidR="00DB1DD0">
        <w:rPr>
          <w:rFonts w:ascii="Arial" w:hAnsi="Arial" w:cs="Arial"/>
          <w:sz w:val="22"/>
        </w:rPr>
        <w:t xml:space="preserve">making a recommendation regarding </w:t>
      </w:r>
      <w:r w:rsidR="00C31817" w:rsidRPr="009D6C85">
        <w:rPr>
          <w:rFonts w:ascii="Arial" w:hAnsi="Arial" w:cs="Arial"/>
          <w:sz w:val="22"/>
        </w:rPr>
        <w:t xml:space="preserve">the proposed Authority </w:t>
      </w:r>
      <w:proofErr w:type="gramStart"/>
      <w:r w:rsidR="00C31817" w:rsidRPr="009D6C85">
        <w:rPr>
          <w:rFonts w:ascii="Arial" w:hAnsi="Arial" w:cs="Arial"/>
          <w:sz w:val="22"/>
        </w:rPr>
        <w:t>Required</w:t>
      </w:r>
      <w:proofErr w:type="gramEnd"/>
      <w:r w:rsidR="00C31817" w:rsidRPr="009D6C85">
        <w:rPr>
          <w:rFonts w:ascii="Arial" w:hAnsi="Arial" w:cs="Arial"/>
          <w:sz w:val="22"/>
        </w:rPr>
        <w:t xml:space="preserve"> listing for </w:t>
      </w:r>
      <w:proofErr w:type="spellStart"/>
      <w:r w:rsidR="00D9635D">
        <w:rPr>
          <w:rFonts w:ascii="Arial" w:hAnsi="Arial" w:cs="Arial"/>
          <w:sz w:val="22"/>
        </w:rPr>
        <w:t>nitisinone</w:t>
      </w:r>
      <w:proofErr w:type="spellEnd"/>
      <w:r w:rsidR="00C31817" w:rsidRPr="009D6C85">
        <w:rPr>
          <w:rFonts w:ascii="Arial" w:hAnsi="Arial" w:cs="Arial"/>
          <w:sz w:val="22"/>
        </w:rPr>
        <w:t xml:space="preserve"> </w:t>
      </w:r>
      <w:r w:rsidR="00DB1DD0">
        <w:rPr>
          <w:rFonts w:ascii="Arial" w:hAnsi="Arial" w:cs="Arial"/>
          <w:sz w:val="22"/>
        </w:rPr>
        <w:t xml:space="preserve">under Section 100 </w:t>
      </w:r>
      <w:r w:rsidR="007F53D7">
        <w:rPr>
          <w:rFonts w:ascii="Arial" w:hAnsi="Arial" w:cs="Arial"/>
          <w:sz w:val="22"/>
        </w:rPr>
        <w:t xml:space="preserve">(Highly Specialised Drugs Program) </w:t>
      </w:r>
      <w:r w:rsidR="00DB1DD0">
        <w:rPr>
          <w:rFonts w:ascii="Arial" w:hAnsi="Arial" w:cs="Arial"/>
          <w:sz w:val="22"/>
        </w:rPr>
        <w:t xml:space="preserve">for treatment of HT-1 due to a lack of clarity regarding current and future screening practices for detecting HT-1 and </w:t>
      </w:r>
      <w:r w:rsidR="00E040B4">
        <w:rPr>
          <w:rFonts w:ascii="Arial" w:hAnsi="Arial" w:cs="Arial"/>
          <w:sz w:val="22"/>
        </w:rPr>
        <w:t>the</w:t>
      </w:r>
      <w:r w:rsidR="008211E4">
        <w:rPr>
          <w:rFonts w:ascii="Arial" w:hAnsi="Arial" w:cs="Arial"/>
          <w:sz w:val="22"/>
        </w:rPr>
        <w:t xml:space="preserve"> potential </w:t>
      </w:r>
      <w:r w:rsidR="00DB1DD0">
        <w:rPr>
          <w:rFonts w:ascii="Arial" w:hAnsi="Arial" w:cs="Arial"/>
          <w:sz w:val="22"/>
        </w:rPr>
        <w:t xml:space="preserve">impact on the significant survival advantage and adverse effects observed during treatment with </w:t>
      </w:r>
      <w:proofErr w:type="spellStart"/>
      <w:r w:rsidR="00DB1DD0">
        <w:rPr>
          <w:rFonts w:ascii="Arial" w:hAnsi="Arial" w:cs="Arial"/>
          <w:sz w:val="22"/>
        </w:rPr>
        <w:t>nitisinone</w:t>
      </w:r>
      <w:proofErr w:type="spellEnd"/>
      <w:r w:rsidR="00DB1DD0">
        <w:rPr>
          <w:rFonts w:ascii="Arial" w:hAnsi="Arial" w:cs="Arial"/>
          <w:sz w:val="22"/>
        </w:rPr>
        <w:t>.</w:t>
      </w:r>
    </w:p>
    <w:p w:rsidR="00DB1DD0" w:rsidRPr="00C31817" w:rsidRDefault="00BF4C8D" w:rsidP="00DB1DD0">
      <w:pPr>
        <w:rPr>
          <w:rFonts w:ascii="Arial" w:hAnsi="Arial" w:cs="Arial"/>
          <w:sz w:val="22"/>
        </w:rPr>
      </w:pPr>
      <w:r>
        <w:rPr>
          <w:rFonts w:ascii="Arial" w:hAnsi="Arial" w:cs="Arial"/>
          <w:sz w:val="22"/>
        </w:rPr>
        <w:t>Noting the clinical need for nitisinone, t</w:t>
      </w:r>
      <w:r w:rsidR="0014195A" w:rsidRPr="0014195A">
        <w:rPr>
          <w:rFonts w:ascii="Arial" w:hAnsi="Arial" w:cs="Arial"/>
          <w:sz w:val="22"/>
        </w:rPr>
        <w:t xml:space="preserve">he PBAC recommended </w:t>
      </w:r>
      <w:r w:rsidR="00F7302B">
        <w:rPr>
          <w:rFonts w:ascii="Arial" w:hAnsi="Arial" w:cs="Arial"/>
          <w:sz w:val="22"/>
        </w:rPr>
        <w:t xml:space="preserve">holding </w:t>
      </w:r>
      <w:r w:rsidR="0014195A" w:rsidRPr="0014195A">
        <w:rPr>
          <w:rFonts w:ascii="Arial" w:hAnsi="Arial" w:cs="Arial"/>
          <w:sz w:val="22"/>
        </w:rPr>
        <w:t xml:space="preserve">a stakeholder meeting </w:t>
      </w:r>
      <w:r w:rsidR="00F7302B">
        <w:rPr>
          <w:rFonts w:ascii="Arial" w:hAnsi="Arial" w:cs="Arial"/>
          <w:sz w:val="22"/>
        </w:rPr>
        <w:t>with</w:t>
      </w:r>
      <w:r w:rsidR="0014195A" w:rsidRPr="0014195A">
        <w:rPr>
          <w:rFonts w:ascii="Arial" w:hAnsi="Arial" w:cs="Arial"/>
          <w:sz w:val="22"/>
        </w:rPr>
        <w:t xml:space="preserve"> the sponsor, the Department, clinicians from applicable professional bodies, consumer representatives and PBAC members</w:t>
      </w:r>
      <w:r w:rsidR="00F7302B">
        <w:rPr>
          <w:rFonts w:ascii="Arial" w:hAnsi="Arial" w:cs="Arial"/>
          <w:sz w:val="22"/>
        </w:rPr>
        <w:t>. The aims were</w:t>
      </w:r>
      <w:r w:rsidR="0014195A" w:rsidRPr="0014195A">
        <w:rPr>
          <w:rFonts w:ascii="Arial" w:hAnsi="Arial" w:cs="Arial"/>
          <w:sz w:val="22"/>
        </w:rPr>
        <w:t xml:space="preserve"> </w:t>
      </w:r>
      <w:r w:rsidR="00DB1DD0">
        <w:rPr>
          <w:rFonts w:ascii="Arial" w:hAnsi="Arial" w:cs="Arial"/>
          <w:sz w:val="22"/>
        </w:rPr>
        <w:t xml:space="preserve">to provide clarity about the clinical effectiveness of nitisinone for HT-1 with respect to current and future screening programs, </w:t>
      </w:r>
      <w:r w:rsidR="003061F9">
        <w:rPr>
          <w:rFonts w:ascii="Arial" w:hAnsi="Arial" w:cs="Arial"/>
          <w:sz w:val="22"/>
        </w:rPr>
        <w:t>to consider the need for</w:t>
      </w:r>
      <w:r w:rsidR="00DB1DD0">
        <w:rPr>
          <w:rFonts w:ascii="Arial" w:hAnsi="Arial" w:cs="Arial"/>
          <w:sz w:val="22"/>
        </w:rPr>
        <w:t xml:space="preserve"> progressive neurocognitive monitor</w:t>
      </w:r>
      <w:r w:rsidR="003061F9">
        <w:rPr>
          <w:rFonts w:ascii="Arial" w:hAnsi="Arial" w:cs="Arial"/>
          <w:sz w:val="22"/>
        </w:rPr>
        <w:t>ing and assessment program, and to propose</w:t>
      </w:r>
      <w:r w:rsidR="00DB1DD0">
        <w:rPr>
          <w:rFonts w:ascii="Arial" w:hAnsi="Arial" w:cs="Arial"/>
          <w:sz w:val="22"/>
        </w:rPr>
        <w:t xml:space="preserve"> an appropriate restriction arrangement.</w:t>
      </w:r>
    </w:p>
    <w:p w:rsidR="0014195A" w:rsidRDefault="0014195A" w:rsidP="00C31817">
      <w:pPr>
        <w:rPr>
          <w:rFonts w:ascii="Arial" w:hAnsi="Arial" w:cs="Arial"/>
          <w:sz w:val="22"/>
        </w:rPr>
      </w:pPr>
      <w:r>
        <w:rPr>
          <w:rFonts w:ascii="Arial" w:hAnsi="Arial" w:cs="Arial"/>
          <w:sz w:val="22"/>
        </w:rPr>
        <w:t xml:space="preserve">A Public Summary Document </w:t>
      </w:r>
      <w:r w:rsidR="00DB1DD0">
        <w:rPr>
          <w:rFonts w:ascii="Arial" w:hAnsi="Arial" w:cs="Arial"/>
          <w:sz w:val="22"/>
        </w:rPr>
        <w:t>on the PBAC’s consideration of nitisinone for HT-1</w:t>
      </w:r>
      <w:r>
        <w:rPr>
          <w:rFonts w:ascii="Arial" w:hAnsi="Arial" w:cs="Arial"/>
          <w:sz w:val="22"/>
        </w:rPr>
        <w:t xml:space="preserve"> </w:t>
      </w:r>
      <w:r w:rsidR="00701DE1">
        <w:rPr>
          <w:rFonts w:ascii="Arial" w:hAnsi="Arial" w:cs="Arial"/>
          <w:sz w:val="22"/>
        </w:rPr>
        <w:t xml:space="preserve">at its </w:t>
      </w:r>
      <w:r w:rsidR="00DB1DD0">
        <w:rPr>
          <w:rFonts w:ascii="Arial" w:hAnsi="Arial" w:cs="Arial"/>
          <w:sz w:val="22"/>
        </w:rPr>
        <w:t>November</w:t>
      </w:r>
      <w:r w:rsidR="00701DE1">
        <w:rPr>
          <w:rFonts w:ascii="Arial" w:hAnsi="Arial" w:cs="Arial"/>
          <w:sz w:val="22"/>
        </w:rPr>
        <w:t xml:space="preserve"> 2014 meeting </w:t>
      </w:r>
      <w:r>
        <w:rPr>
          <w:rFonts w:ascii="Arial" w:hAnsi="Arial" w:cs="Arial"/>
          <w:sz w:val="22"/>
        </w:rPr>
        <w:t>will be published on the PBS website on</w:t>
      </w:r>
      <w:r w:rsidR="007F5315">
        <w:rPr>
          <w:rFonts w:ascii="Arial" w:hAnsi="Arial" w:cs="Arial"/>
          <w:sz w:val="22"/>
        </w:rPr>
        <w:t xml:space="preserve"> </w:t>
      </w:r>
      <w:r w:rsidR="003B5251">
        <w:rPr>
          <w:rFonts w:ascii="Arial" w:hAnsi="Arial" w:cs="Arial"/>
          <w:sz w:val="22"/>
        </w:rPr>
        <w:t xml:space="preserve">20 </w:t>
      </w:r>
      <w:r w:rsidR="007F5315">
        <w:rPr>
          <w:rFonts w:ascii="Arial" w:hAnsi="Arial" w:cs="Arial"/>
          <w:sz w:val="22"/>
        </w:rPr>
        <w:t>March 2015</w:t>
      </w:r>
      <w:r>
        <w:rPr>
          <w:rFonts w:ascii="Arial" w:hAnsi="Arial" w:cs="Arial"/>
          <w:sz w:val="22"/>
        </w:rPr>
        <w:t>.</w:t>
      </w:r>
    </w:p>
    <w:p w:rsidR="00C56415" w:rsidRDefault="00C56415" w:rsidP="00C31817">
      <w:pPr>
        <w:rPr>
          <w:rFonts w:ascii="Arial" w:hAnsi="Arial" w:cs="Arial"/>
          <w:sz w:val="22"/>
        </w:rPr>
      </w:pPr>
      <w:r>
        <w:rPr>
          <w:rFonts w:ascii="Arial" w:hAnsi="Arial" w:cs="Arial"/>
          <w:sz w:val="22"/>
        </w:rPr>
        <w:t xml:space="preserve">The Guidelines for Initiation of PBAC Stakeholder Meetings are available on the PBS website at </w:t>
      </w:r>
      <w:hyperlink r:id="rId9" w:history="1">
        <w:r w:rsidRPr="00AE4558">
          <w:rPr>
            <w:rStyle w:val="Hyperlink"/>
            <w:rFonts w:ascii="Arial" w:hAnsi="Arial" w:cs="Arial"/>
            <w:sz w:val="22"/>
          </w:rPr>
          <w:t>http://www.pbs.gov.au/info/industry/listing/elements/initiation-of-stakeholder-meetings</w:t>
        </w:r>
      </w:hyperlink>
      <w:r>
        <w:rPr>
          <w:rFonts w:ascii="Arial" w:hAnsi="Arial" w:cs="Arial"/>
          <w:sz w:val="22"/>
        </w:rPr>
        <w:t>.</w:t>
      </w:r>
    </w:p>
    <w:p w:rsidR="00E040B4" w:rsidRDefault="00E040B4" w:rsidP="00927AD3">
      <w:pPr>
        <w:pStyle w:val="Heading2"/>
      </w:pPr>
      <w:r>
        <w:br w:type="page"/>
      </w:r>
    </w:p>
    <w:p w:rsidR="0028745E" w:rsidRDefault="00E22B06" w:rsidP="00927AD3">
      <w:pPr>
        <w:pStyle w:val="Heading2"/>
      </w:pPr>
      <w:r>
        <w:lastRenderedPageBreak/>
        <w:t>Discussion and outcomes</w:t>
      </w:r>
    </w:p>
    <w:p w:rsidR="00A8291C" w:rsidRPr="00524265" w:rsidRDefault="00A8291C" w:rsidP="0028745E">
      <w:pPr>
        <w:rPr>
          <w:rFonts w:ascii="Arial" w:hAnsi="Arial" w:cs="Arial"/>
          <w:b/>
          <w:i/>
          <w:sz w:val="22"/>
        </w:rPr>
      </w:pPr>
      <w:r w:rsidRPr="00524265">
        <w:rPr>
          <w:rFonts w:ascii="Arial" w:hAnsi="Arial" w:cs="Arial"/>
          <w:b/>
          <w:i/>
          <w:sz w:val="22"/>
        </w:rPr>
        <w:t>Curre</w:t>
      </w:r>
      <w:r w:rsidR="008B2D9C" w:rsidRPr="00524265">
        <w:rPr>
          <w:rFonts w:ascii="Arial" w:hAnsi="Arial" w:cs="Arial"/>
          <w:b/>
          <w:i/>
          <w:sz w:val="22"/>
        </w:rPr>
        <w:t>nt and future screening practices</w:t>
      </w:r>
    </w:p>
    <w:p w:rsidR="00644770" w:rsidRPr="00644770" w:rsidRDefault="00644770" w:rsidP="0028745E">
      <w:pPr>
        <w:rPr>
          <w:rFonts w:ascii="Arial" w:hAnsi="Arial" w:cs="Arial"/>
          <w:sz w:val="22"/>
          <w:u w:val="single"/>
        </w:rPr>
      </w:pPr>
      <w:r>
        <w:rPr>
          <w:rFonts w:ascii="Arial" w:hAnsi="Arial" w:cs="Arial"/>
          <w:sz w:val="22"/>
          <w:u w:val="single"/>
        </w:rPr>
        <w:t>Current practice</w:t>
      </w:r>
    </w:p>
    <w:p w:rsidR="00644770" w:rsidRDefault="00A55590" w:rsidP="0028745E">
      <w:pPr>
        <w:rPr>
          <w:rFonts w:ascii="Arial" w:hAnsi="Arial" w:cs="Arial"/>
          <w:sz w:val="22"/>
        </w:rPr>
      </w:pPr>
      <w:r>
        <w:rPr>
          <w:rFonts w:ascii="Arial" w:hAnsi="Arial" w:cs="Arial"/>
          <w:sz w:val="22"/>
        </w:rPr>
        <w:t xml:space="preserve">The PBAC noted the lack of clarity regarding current and future screening practices for detecting HT-1. </w:t>
      </w:r>
      <w:r w:rsidR="00590212">
        <w:rPr>
          <w:rFonts w:ascii="Arial" w:hAnsi="Arial" w:cs="Arial"/>
          <w:sz w:val="22"/>
        </w:rPr>
        <w:t>Clinical experts</w:t>
      </w:r>
      <w:r w:rsidR="00C52064">
        <w:rPr>
          <w:rFonts w:ascii="Arial" w:hAnsi="Arial" w:cs="Arial"/>
          <w:sz w:val="22"/>
        </w:rPr>
        <w:t xml:space="preserve"> at the stakeholder meeting</w:t>
      </w:r>
      <w:r w:rsidR="00FC5E62">
        <w:rPr>
          <w:rFonts w:ascii="Arial" w:hAnsi="Arial" w:cs="Arial"/>
          <w:sz w:val="22"/>
        </w:rPr>
        <w:t xml:space="preserve"> </w:t>
      </w:r>
      <w:r w:rsidR="00B44117">
        <w:rPr>
          <w:rFonts w:ascii="Arial" w:hAnsi="Arial" w:cs="Arial"/>
          <w:sz w:val="22"/>
        </w:rPr>
        <w:t>agreed</w:t>
      </w:r>
      <w:r w:rsidR="00FC5E62">
        <w:rPr>
          <w:rFonts w:ascii="Arial" w:hAnsi="Arial" w:cs="Arial"/>
          <w:sz w:val="22"/>
        </w:rPr>
        <w:t xml:space="preserve"> that </w:t>
      </w:r>
      <w:r w:rsidR="00CF382A">
        <w:rPr>
          <w:rFonts w:ascii="Arial" w:hAnsi="Arial" w:cs="Arial"/>
          <w:sz w:val="22"/>
        </w:rPr>
        <w:t xml:space="preserve">the current </w:t>
      </w:r>
      <w:r w:rsidR="00B44117">
        <w:rPr>
          <w:rFonts w:ascii="Arial" w:hAnsi="Arial" w:cs="Arial"/>
          <w:sz w:val="22"/>
        </w:rPr>
        <w:t xml:space="preserve">newborn screening practice for HT-1 </w:t>
      </w:r>
      <w:r w:rsidR="002E36D8">
        <w:rPr>
          <w:rFonts w:ascii="Arial" w:hAnsi="Arial" w:cs="Arial"/>
          <w:sz w:val="22"/>
        </w:rPr>
        <w:t xml:space="preserve">is to </w:t>
      </w:r>
      <w:r w:rsidR="008211E4">
        <w:rPr>
          <w:rFonts w:ascii="Arial" w:hAnsi="Arial" w:cs="Arial"/>
          <w:sz w:val="22"/>
        </w:rPr>
        <w:t xml:space="preserve">measure </w:t>
      </w:r>
      <w:r w:rsidR="002E36D8">
        <w:rPr>
          <w:rFonts w:ascii="Arial" w:hAnsi="Arial" w:cs="Arial"/>
          <w:sz w:val="22"/>
        </w:rPr>
        <w:t xml:space="preserve">a </w:t>
      </w:r>
      <w:r w:rsidR="00893DB7">
        <w:rPr>
          <w:rFonts w:ascii="Arial" w:hAnsi="Arial" w:cs="Arial"/>
          <w:sz w:val="22"/>
        </w:rPr>
        <w:t>newborn’s</w:t>
      </w:r>
      <w:r w:rsidR="002E36D8">
        <w:rPr>
          <w:rFonts w:ascii="Arial" w:hAnsi="Arial" w:cs="Arial"/>
          <w:sz w:val="22"/>
        </w:rPr>
        <w:t xml:space="preserve"> tyrosine levels. This is </w:t>
      </w:r>
      <w:r w:rsidR="008211E4">
        <w:rPr>
          <w:rFonts w:ascii="Arial" w:hAnsi="Arial" w:cs="Arial"/>
          <w:sz w:val="22"/>
        </w:rPr>
        <w:t>done</w:t>
      </w:r>
      <w:r w:rsidR="002E36D8">
        <w:rPr>
          <w:rFonts w:ascii="Arial" w:hAnsi="Arial" w:cs="Arial"/>
          <w:sz w:val="22"/>
        </w:rPr>
        <w:t xml:space="preserve"> by analysing a </w:t>
      </w:r>
      <w:r w:rsidR="00893DB7">
        <w:rPr>
          <w:rFonts w:ascii="Arial" w:hAnsi="Arial" w:cs="Arial"/>
          <w:sz w:val="22"/>
        </w:rPr>
        <w:t>newborn’s</w:t>
      </w:r>
      <w:r w:rsidR="002E36D8">
        <w:rPr>
          <w:rFonts w:ascii="Arial" w:hAnsi="Arial" w:cs="Arial"/>
          <w:sz w:val="22"/>
        </w:rPr>
        <w:t xml:space="preserve"> </w:t>
      </w:r>
      <w:r w:rsidR="002221D1">
        <w:rPr>
          <w:rFonts w:ascii="Arial" w:hAnsi="Arial" w:cs="Arial"/>
          <w:sz w:val="22"/>
        </w:rPr>
        <w:t>blood spot sample 24</w:t>
      </w:r>
      <w:r w:rsidR="000F472C">
        <w:rPr>
          <w:rFonts w:ascii="Arial" w:hAnsi="Arial" w:cs="Arial"/>
          <w:sz w:val="22"/>
        </w:rPr>
        <w:noBreakHyphen/>
      </w:r>
      <w:r w:rsidR="002221D1">
        <w:rPr>
          <w:rFonts w:ascii="Arial" w:hAnsi="Arial" w:cs="Arial"/>
          <w:sz w:val="22"/>
        </w:rPr>
        <w:t>48 hours after birth using</w:t>
      </w:r>
      <w:r w:rsidR="00B44117">
        <w:rPr>
          <w:rFonts w:ascii="Arial" w:hAnsi="Arial" w:cs="Arial"/>
          <w:sz w:val="22"/>
        </w:rPr>
        <w:t xml:space="preserve"> tandem mass spectrometry and</w:t>
      </w:r>
      <w:r w:rsidR="00CF382A">
        <w:rPr>
          <w:rFonts w:ascii="Arial" w:hAnsi="Arial" w:cs="Arial"/>
          <w:sz w:val="22"/>
        </w:rPr>
        <w:t xml:space="preserve"> </w:t>
      </w:r>
      <w:r w:rsidR="00C52064">
        <w:rPr>
          <w:rFonts w:ascii="Arial" w:hAnsi="Arial" w:cs="Arial"/>
          <w:sz w:val="22"/>
        </w:rPr>
        <w:t>a tyrosine</w:t>
      </w:r>
      <w:r w:rsidR="00CF382A">
        <w:rPr>
          <w:rFonts w:ascii="Arial" w:hAnsi="Arial" w:cs="Arial"/>
          <w:sz w:val="22"/>
        </w:rPr>
        <w:t xml:space="preserve"> marker</w:t>
      </w:r>
      <w:r w:rsidR="00C52064">
        <w:rPr>
          <w:rFonts w:ascii="Arial" w:hAnsi="Arial" w:cs="Arial"/>
          <w:sz w:val="22"/>
        </w:rPr>
        <w:t>.</w:t>
      </w:r>
      <w:r w:rsidR="00590212">
        <w:rPr>
          <w:rFonts w:ascii="Arial" w:hAnsi="Arial" w:cs="Arial"/>
          <w:sz w:val="22"/>
        </w:rPr>
        <w:t xml:space="preserve"> </w:t>
      </w:r>
      <w:r w:rsidR="00893DB7">
        <w:rPr>
          <w:rFonts w:ascii="Arial" w:hAnsi="Arial" w:cs="Arial"/>
          <w:sz w:val="22"/>
        </w:rPr>
        <w:t>Newborns</w:t>
      </w:r>
      <w:r w:rsidR="00CF382A">
        <w:rPr>
          <w:rFonts w:ascii="Arial" w:hAnsi="Arial" w:cs="Arial"/>
          <w:sz w:val="22"/>
        </w:rPr>
        <w:t xml:space="preserve"> with high tyrosine levels</w:t>
      </w:r>
      <w:r w:rsidR="00644770">
        <w:rPr>
          <w:rFonts w:ascii="Arial" w:hAnsi="Arial" w:cs="Arial"/>
          <w:sz w:val="22"/>
        </w:rPr>
        <w:t xml:space="preserve"> undergo </w:t>
      </w:r>
      <w:r w:rsidR="008211E4">
        <w:rPr>
          <w:rFonts w:ascii="Arial" w:hAnsi="Arial" w:cs="Arial"/>
          <w:sz w:val="22"/>
        </w:rPr>
        <w:t xml:space="preserve">additional </w:t>
      </w:r>
      <w:r w:rsidR="00644770">
        <w:rPr>
          <w:rFonts w:ascii="Arial" w:hAnsi="Arial" w:cs="Arial"/>
          <w:sz w:val="22"/>
        </w:rPr>
        <w:t>tests for succinylacetone</w:t>
      </w:r>
      <w:r w:rsidR="00CF382A">
        <w:rPr>
          <w:rFonts w:ascii="Arial" w:hAnsi="Arial" w:cs="Arial"/>
          <w:sz w:val="22"/>
        </w:rPr>
        <w:t>, which is a specific marker for the condition</w:t>
      </w:r>
      <w:r w:rsidR="00644770">
        <w:rPr>
          <w:rFonts w:ascii="Arial" w:hAnsi="Arial" w:cs="Arial"/>
          <w:sz w:val="22"/>
        </w:rPr>
        <w:t>.</w:t>
      </w:r>
      <w:r w:rsidR="002E36D8">
        <w:rPr>
          <w:rFonts w:ascii="Arial" w:hAnsi="Arial" w:cs="Arial"/>
          <w:sz w:val="22"/>
        </w:rPr>
        <w:t xml:space="preserve"> Clinicians </w:t>
      </w:r>
      <w:r w:rsidR="00150A74">
        <w:rPr>
          <w:rFonts w:ascii="Arial" w:hAnsi="Arial" w:cs="Arial"/>
          <w:sz w:val="22"/>
        </w:rPr>
        <w:t>estimated</w:t>
      </w:r>
      <w:r w:rsidR="002E36D8">
        <w:rPr>
          <w:rFonts w:ascii="Arial" w:hAnsi="Arial" w:cs="Arial"/>
          <w:sz w:val="22"/>
        </w:rPr>
        <w:t xml:space="preserve"> that </w:t>
      </w:r>
      <w:r w:rsidR="00734A36">
        <w:rPr>
          <w:rFonts w:ascii="Arial" w:hAnsi="Arial" w:cs="Arial"/>
          <w:sz w:val="22"/>
        </w:rPr>
        <w:t xml:space="preserve">around half of all newborns with HT-1 are identified using </w:t>
      </w:r>
      <w:r w:rsidR="002E36D8">
        <w:rPr>
          <w:rFonts w:ascii="Arial" w:hAnsi="Arial" w:cs="Arial"/>
          <w:sz w:val="22"/>
        </w:rPr>
        <w:t>t</w:t>
      </w:r>
      <w:r w:rsidR="00644770">
        <w:rPr>
          <w:rFonts w:ascii="Arial" w:hAnsi="Arial" w:cs="Arial"/>
          <w:sz w:val="22"/>
        </w:rPr>
        <w:t>his approach</w:t>
      </w:r>
      <w:r w:rsidR="00CF382A">
        <w:rPr>
          <w:rFonts w:ascii="Arial" w:hAnsi="Arial" w:cs="Arial"/>
          <w:sz w:val="22"/>
        </w:rPr>
        <w:t>.</w:t>
      </w:r>
    </w:p>
    <w:p w:rsidR="00CF382A" w:rsidRDefault="00604CB2" w:rsidP="0028745E">
      <w:pPr>
        <w:rPr>
          <w:rFonts w:ascii="Arial" w:hAnsi="Arial" w:cs="Arial"/>
          <w:sz w:val="22"/>
        </w:rPr>
      </w:pPr>
      <w:r>
        <w:rPr>
          <w:rFonts w:ascii="Arial" w:hAnsi="Arial" w:cs="Arial"/>
          <w:sz w:val="22"/>
        </w:rPr>
        <w:t xml:space="preserve">Despite being a specific marker for HT-1, succinylacetone testing is </w:t>
      </w:r>
      <w:r w:rsidR="002E36D8">
        <w:rPr>
          <w:rFonts w:ascii="Arial" w:hAnsi="Arial" w:cs="Arial"/>
          <w:sz w:val="22"/>
        </w:rPr>
        <w:t xml:space="preserve">currently </w:t>
      </w:r>
      <w:r>
        <w:rPr>
          <w:rFonts w:ascii="Arial" w:hAnsi="Arial" w:cs="Arial"/>
          <w:sz w:val="22"/>
        </w:rPr>
        <w:t xml:space="preserve">not conducted for all </w:t>
      </w:r>
      <w:r w:rsidR="00893DB7">
        <w:rPr>
          <w:rFonts w:ascii="Arial" w:hAnsi="Arial" w:cs="Arial"/>
          <w:sz w:val="22"/>
        </w:rPr>
        <w:t>newborns</w:t>
      </w:r>
      <w:r>
        <w:rPr>
          <w:rFonts w:ascii="Arial" w:hAnsi="Arial" w:cs="Arial"/>
          <w:sz w:val="22"/>
        </w:rPr>
        <w:t xml:space="preserve">. </w:t>
      </w:r>
      <w:r w:rsidR="00590212">
        <w:rPr>
          <w:rFonts w:ascii="Arial" w:hAnsi="Arial" w:cs="Arial"/>
          <w:sz w:val="22"/>
        </w:rPr>
        <w:t xml:space="preserve">The clinical experts </w:t>
      </w:r>
      <w:r w:rsidR="008211E4">
        <w:rPr>
          <w:rFonts w:ascii="Arial" w:hAnsi="Arial" w:cs="Arial"/>
          <w:sz w:val="22"/>
        </w:rPr>
        <w:t>explained</w:t>
      </w:r>
      <w:r w:rsidR="00590212">
        <w:rPr>
          <w:rFonts w:ascii="Arial" w:hAnsi="Arial" w:cs="Arial"/>
          <w:sz w:val="22"/>
        </w:rPr>
        <w:t xml:space="preserve"> that</w:t>
      </w:r>
      <w:r w:rsidR="00B55EA1">
        <w:rPr>
          <w:rFonts w:ascii="Arial" w:hAnsi="Arial" w:cs="Arial"/>
          <w:sz w:val="22"/>
        </w:rPr>
        <w:t>,</w:t>
      </w:r>
      <w:r>
        <w:rPr>
          <w:rFonts w:ascii="Arial" w:hAnsi="Arial" w:cs="Arial"/>
          <w:sz w:val="22"/>
        </w:rPr>
        <w:t xml:space="preserve"> as succinylacetone</w:t>
      </w:r>
      <w:r w:rsidR="003061F9">
        <w:rPr>
          <w:rFonts w:ascii="Arial" w:hAnsi="Arial" w:cs="Arial"/>
          <w:sz w:val="22"/>
        </w:rPr>
        <w:t xml:space="preserve"> </w:t>
      </w:r>
      <w:r>
        <w:rPr>
          <w:rFonts w:ascii="Arial" w:hAnsi="Arial" w:cs="Arial"/>
          <w:sz w:val="22"/>
        </w:rPr>
        <w:t xml:space="preserve">testing </w:t>
      </w:r>
      <w:r w:rsidR="00B44117">
        <w:rPr>
          <w:rFonts w:ascii="Arial" w:hAnsi="Arial" w:cs="Arial"/>
          <w:sz w:val="22"/>
        </w:rPr>
        <w:t>is an</w:t>
      </w:r>
      <w:r>
        <w:rPr>
          <w:rFonts w:ascii="Arial" w:hAnsi="Arial" w:cs="Arial"/>
          <w:sz w:val="22"/>
        </w:rPr>
        <w:t xml:space="preserve"> additional </w:t>
      </w:r>
      <w:r w:rsidR="00B44117">
        <w:rPr>
          <w:rFonts w:ascii="Arial" w:hAnsi="Arial" w:cs="Arial"/>
          <w:sz w:val="22"/>
        </w:rPr>
        <w:t xml:space="preserve">and costly </w:t>
      </w:r>
      <w:r>
        <w:rPr>
          <w:rFonts w:ascii="Arial" w:hAnsi="Arial" w:cs="Arial"/>
          <w:sz w:val="22"/>
        </w:rPr>
        <w:t>test</w:t>
      </w:r>
      <w:r w:rsidR="00B55EA1">
        <w:rPr>
          <w:rFonts w:ascii="Arial" w:hAnsi="Arial" w:cs="Arial"/>
          <w:sz w:val="22"/>
        </w:rPr>
        <w:t>,</w:t>
      </w:r>
      <w:r>
        <w:rPr>
          <w:rFonts w:ascii="Arial" w:hAnsi="Arial" w:cs="Arial"/>
          <w:sz w:val="22"/>
        </w:rPr>
        <w:t xml:space="preserve"> </w:t>
      </w:r>
      <w:r w:rsidR="005A2D62">
        <w:rPr>
          <w:rFonts w:ascii="Arial" w:hAnsi="Arial" w:cs="Arial"/>
          <w:sz w:val="22"/>
        </w:rPr>
        <w:t>it is</w:t>
      </w:r>
      <w:r w:rsidR="00B44117">
        <w:rPr>
          <w:rFonts w:ascii="Arial" w:hAnsi="Arial" w:cs="Arial"/>
          <w:sz w:val="22"/>
        </w:rPr>
        <w:t xml:space="preserve"> </w:t>
      </w:r>
      <w:r w:rsidR="008211E4">
        <w:rPr>
          <w:rFonts w:ascii="Arial" w:hAnsi="Arial" w:cs="Arial"/>
          <w:sz w:val="22"/>
        </w:rPr>
        <w:t xml:space="preserve">currently </w:t>
      </w:r>
      <w:r w:rsidR="00B44117">
        <w:rPr>
          <w:rFonts w:ascii="Arial" w:hAnsi="Arial" w:cs="Arial"/>
          <w:sz w:val="22"/>
        </w:rPr>
        <w:t xml:space="preserve">hard </w:t>
      </w:r>
      <w:r>
        <w:rPr>
          <w:rFonts w:ascii="Arial" w:hAnsi="Arial" w:cs="Arial"/>
          <w:sz w:val="22"/>
        </w:rPr>
        <w:t xml:space="preserve">to justify </w:t>
      </w:r>
      <w:r w:rsidR="00B44117">
        <w:rPr>
          <w:rFonts w:ascii="Arial" w:hAnsi="Arial" w:cs="Arial"/>
          <w:sz w:val="22"/>
        </w:rPr>
        <w:t xml:space="preserve">screening all </w:t>
      </w:r>
      <w:r w:rsidR="00893DB7">
        <w:rPr>
          <w:rFonts w:ascii="Arial" w:hAnsi="Arial" w:cs="Arial"/>
          <w:sz w:val="22"/>
        </w:rPr>
        <w:t>newborns</w:t>
      </w:r>
      <w:r w:rsidR="00B44117">
        <w:rPr>
          <w:rFonts w:ascii="Arial" w:hAnsi="Arial" w:cs="Arial"/>
          <w:sz w:val="22"/>
        </w:rPr>
        <w:t xml:space="preserve"> for</w:t>
      </w:r>
      <w:r>
        <w:rPr>
          <w:rFonts w:ascii="Arial" w:hAnsi="Arial" w:cs="Arial"/>
          <w:sz w:val="22"/>
        </w:rPr>
        <w:t xml:space="preserve"> a </w:t>
      </w:r>
      <w:r w:rsidR="00590212">
        <w:rPr>
          <w:rFonts w:ascii="Arial" w:hAnsi="Arial" w:cs="Arial"/>
          <w:sz w:val="22"/>
        </w:rPr>
        <w:t>condition that is relatively rare</w:t>
      </w:r>
      <w:r w:rsidR="007F3901">
        <w:rPr>
          <w:rFonts w:ascii="Arial" w:hAnsi="Arial" w:cs="Arial"/>
          <w:sz w:val="22"/>
        </w:rPr>
        <w:t xml:space="preserve"> ahead of screening for other more commonly diagnosed conditions</w:t>
      </w:r>
      <w:r w:rsidR="00734A36">
        <w:rPr>
          <w:rFonts w:ascii="Arial" w:hAnsi="Arial" w:cs="Arial"/>
          <w:sz w:val="22"/>
        </w:rPr>
        <w:t>.</w:t>
      </w:r>
    </w:p>
    <w:p w:rsidR="00644770" w:rsidRDefault="00644770" w:rsidP="0028745E">
      <w:pPr>
        <w:rPr>
          <w:rFonts w:ascii="Arial" w:hAnsi="Arial" w:cs="Arial"/>
          <w:sz w:val="22"/>
          <w:u w:val="single"/>
        </w:rPr>
      </w:pPr>
      <w:r>
        <w:rPr>
          <w:rFonts w:ascii="Arial" w:hAnsi="Arial" w:cs="Arial"/>
          <w:sz w:val="22"/>
          <w:u w:val="single"/>
        </w:rPr>
        <w:t>Future practice</w:t>
      </w:r>
    </w:p>
    <w:p w:rsidR="00A55590" w:rsidRDefault="00FD0D03" w:rsidP="0028745E">
      <w:pPr>
        <w:rPr>
          <w:rFonts w:ascii="Arial" w:hAnsi="Arial" w:cs="Arial"/>
          <w:sz w:val="22"/>
        </w:rPr>
      </w:pPr>
      <w:r>
        <w:rPr>
          <w:rFonts w:ascii="Arial" w:hAnsi="Arial" w:cs="Arial"/>
          <w:sz w:val="22"/>
        </w:rPr>
        <w:t xml:space="preserve">A newborn blood spot screening </w:t>
      </w:r>
      <w:r w:rsidR="00682929">
        <w:rPr>
          <w:rFonts w:ascii="Arial" w:hAnsi="Arial" w:cs="Arial"/>
          <w:sz w:val="22"/>
        </w:rPr>
        <w:t>policy framework is currently in development</w:t>
      </w:r>
      <w:r w:rsidR="00372F09">
        <w:rPr>
          <w:rFonts w:ascii="Arial" w:hAnsi="Arial" w:cs="Arial"/>
          <w:sz w:val="22"/>
        </w:rPr>
        <w:t xml:space="preserve"> which</w:t>
      </w:r>
      <w:r w:rsidR="00CF382A">
        <w:rPr>
          <w:rFonts w:ascii="Arial" w:hAnsi="Arial" w:cs="Arial"/>
          <w:sz w:val="22"/>
        </w:rPr>
        <w:t xml:space="preserve"> aims to standardise </w:t>
      </w:r>
      <w:r w:rsidR="00372F09">
        <w:rPr>
          <w:rFonts w:ascii="Arial" w:hAnsi="Arial" w:cs="Arial"/>
          <w:sz w:val="22"/>
        </w:rPr>
        <w:t>national screening practices</w:t>
      </w:r>
      <w:r w:rsidR="00682929">
        <w:rPr>
          <w:rFonts w:ascii="Arial" w:hAnsi="Arial" w:cs="Arial"/>
          <w:sz w:val="22"/>
        </w:rPr>
        <w:t xml:space="preserve">. </w:t>
      </w:r>
      <w:r w:rsidR="008F30C4">
        <w:rPr>
          <w:rFonts w:ascii="Arial" w:hAnsi="Arial" w:cs="Arial"/>
          <w:sz w:val="22"/>
        </w:rPr>
        <w:t xml:space="preserve">It was agreed that </w:t>
      </w:r>
      <w:r w:rsidR="00E040B4">
        <w:rPr>
          <w:rFonts w:ascii="Arial" w:hAnsi="Arial" w:cs="Arial"/>
          <w:sz w:val="22"/>
        </w:rPr>
        <w:t xml:space="preserve">expansion of </w:t>
      </w:r>
      <w:r w:rsidR="008F30C4">
        <w:rPr>
          <w:rFonts w:ascii="Arial" w:hAnsi="Arial" w:cs="Arial"/>
          <w:sz w:val="22"/>
        </w:rPr>
        <w:t xml:space="preserve">succinylacetone screening would increase the </w:t>
      </w:r>
      <w:r w:rsidR="00283231">
        <w:rPr>
          <w:rFonts w:ascii="Arial" w:hAnsi="Arial" w:cs="Arial"/>
          <w:sz w:val="22"/>
        </w:rPr>
        <w:t xml:space="preserve">number </w:t>
      </w:r>
      <w:r w:rsidR="008F30C4">
        <w:rPr>
          <w:rFonts w:ascii="Arial" w:hAnsi="Arial" w:cs="Arial"/>
          <w:sz w:val="22"/>
        </w:rPr>
        <w:t xml:space="preserve">of </w:t>
      </w:r>
      <w:r w:rsidR="00893DB7">
        <w:rPr>
          <w:rFonts w:ascii="Arial" w:hAnsi="Arial" w:cs="Arial"/>
          <w:sz w:val="22"/>
        </w:rPr>
        <w:t>newborns</w:t>
      </w:r>
      <w:r w:rsidR="008F30C4">
        <w:rPr>
          <w:rFonts w:ascii="Arial" w:hAnsi="Arial" w:cs="Arial"/>
          <w:sz w:val="22"/>
        </w:rPr>
        <w:t xml:space="preserve"> diagnosed</w:t>
      </w:r>
      <w:r w:rsidR="004B1621">
        <w:rPr>
          <w:rFonts w:ascii="Arial" w:hAnsi="Arial" w:cs="Arial"/>
          <w:sz w:val="22"/>
        </w:rPr>
        <w:t xml:space="preserve"> </w:t>
      </w:r>
      <w:r w:rsidR="00283231">
        <w:rPr>
          <w:rFonts w:ascii="Arial" w:hAnsi="Arial" w:cs="Arial"/>
          <w:sz w:val="22"/>
        </w:rPr>
        <w:t xml:space="preserve">with </w:t>
      </w:r>
      <w:r w:rsidR="004B1621">
        <w:rPr>
          <w:rFonts w:ascii="Arial" w:hAnsi="Arial" w:cs="Arial"/>
          <w:sz w:val="22"/>
        </w:rPr>
        <w:t>HT-1</w:t>
      </w:r>
      <w:r w:rsidR="00283231">
        <w:rPr>
          <w:rFonts w:ascii="Arial" w:hAnsi="Arial" w:cs="Arial"/>
          <w:sz w:val="22"/>
        </w:rPr>
        <w:t xml:space="preserve"> with an upper estimate of around twice as many </w:t>
      </w:r>
      <w:r w:rsidR="008211E4">
        <w:rPr>
          <w:rFonts w:ascii="Arial" w:hAnsi="Arial" w:cs="Arial"/>
          <w:sz w:val="22"/>
        </w:rPr>
        <w:t xml:space="preserve">cases being </w:t>
      </w:r>
      <w:r w:rsidR="00283231">
        <w:rPr>
          <w:rFonts w:ascii="Arial" w:hAnsi="Arial" w:cs="Arial"/>
          <w:sz w:val="22"/>
        </w:rPr>
        <w:t>diagnose</w:t>
      </w:r>
      <w:r w:rsidR="008211E4">
        <w:rPr>
          <w:rFonts w:ascii="Arial" w:hAnsi="Arial" w:cs="Arial"/>
          <w:sz w:val="22"/>
        </w:rPr>
        <w:t>d</w:t>
      </w:r>
      <w:r w:rsidR="00A55590">
        <w:rPr>
          <w:rFonts w:ascii="Arial" w:hAnsi="Arial" w:cs="Arial"/>
          <w:sz w:val="22"/>
        </w:rPr>
        <w:t>.</w:t>
      </w:r>
      <w:r w:rsidR="00150A74">
        <w:rPr>
          <w:rFonts w:ascii="Arial" w:hAnsi="Arial" w:cs="Arial"/>
          <w:sz w:val="22"/>
        </w:rPr>
        <w:t xml:space="preserve"> It was noted</w:t>
      </w:r>
      <w:r w:rsidR="008211E4">
        <w:rPr>
          <w:rFonts w:ascii="Arial" w:hAnsi="Arial" w:cs="Arial"/>
          <w:sz w:val="22"/>
        </w:rPr>
        <w:t xml:space="preserve">, however, </w:t>
      </w:r>
      <w:r w:rsidR="00150A74">
        <w:rPr>
          <w:rFonts w:ascii="Arial" w:hAnsi="Arial" w:cs="Arial"/>
          <w:sz w:val="22"/>
        </w:rPr>
        <w:t xml:space="preserve">that patients not diagnosed in infancy </w:t>
      </w:r>
      <w:r w:rsidR="00F7302B">
        <w:rPr>
          <w:rFonts w:ascii="Arial" w:hAnsi="Arial" w:cs="Arial"/>
          <w:sz w:val="22"/>
        </w:rPr>
        <w:t>are usually</w:t>
      </w:r>
      <w:r w:rsidR="00150A74">
        <w:rPr>
          <w:rFonts w:ascii="Arial" w:hAnsi="Arial" w:cs="Arial"/>
          <w:sz w:val="22"/>
        </w:rPr>
        <w:t xml:space="preserve"> diagnosed later in life, </w:t>
      </w:r>
      <w:r w:rsidR="00F7302B">
        <w:rPr>
          <w:rFonts w:ascii="Arial" w:hAnsi="Arial" w:cs="Arial"/>
          <w:sz w:val="22"/>
        </w:rPr>
        <w:t>so</w:t>
      </w:r>
      <w:r w:rsidR="00150A74">
        <w:rPr>
          <w:rFonts w:ascii="Arial" w:hAnsi="Arial" w:cs="Arial"/>
          <w:sz w:val="22"/>
        </w:rPr>
        <w:t xml:space="preserve"> a doubling of the number of diagnoses was unlikely to be observed in practice. </w:t>
      </w:r>
    </w:p>
    <w:p w:rsidR="007916F3" w:rsidRPr="00644770" w:rsidRDefault="008F30C4" w:rsidP="0028745E">
      <w:pPr>
        <w:rPr>
          <w:rFonts w:ascii="Arial" w:hAnsi="Arial" w:cs="Arial"/>
          <w:sz w:val="22"/>
        </w:rPr>
      </w:pPr>
      <w:r>
        <w:rPr>
          <w:rFonts w:ascii="Arial" w:hAnsi="Arial" w:cs="Arial"/>
          <w:sz w:val="22"/>
        </w:rPr>
        <w:t xml:space="preserve">It was agreed that </w:t>
      </w:r>
      <w:r w:rsidR="007916F3">
        <w:rPr>
          <w:rFonts w:ascii="Arial" w:hAnsi="Arial" w:cs="Arial"/>
          <w:sz w:val="22"/>
        </w:rPr>
        <w:t xml:space="preserve">the </w:t>
      </w:r>
      <w:r w:rsidR="00E040B4">
        <w:rPr>
          <w:rFonts w:ascii="Arial" w:hAnsi="Arial" w:cs="Arial"/>
          <w:sz w:val="22"/>
        </w:rPr>
        <w:t xml:space="preserve">expansion of </w:t>
      </w:r>
      <w:r w:rsidR="007916F3">
        <w:rPr>
          <w:rFonts w:ascii="Arial" w:hAnsi="Arial" w:cs="Arial"/>
          <w:sz w:val="22"/>
        </w:rPr>
        <w:t xml:space="preserve">succinylacetone screening is </w:t>
      </w:r>
      <w:r>
        <w:rPr>
          <w:rFonts w:ascii="Arial" w:hAnsi="Arial" w:cs="Arial"/>
          <w:sz w:val="22"/>
        </w:rPr>
        <w:t xml:space="preserve">unlikely to come into effect </w:t>
      </w:r>
      <w:r w:rsidR="00F55B0A">
        <w:rPr>
          <w:rFonts w:ascii="Arial" w:hAnsi="Arial" w:cs="Arial"/>
          <w:sz w:val="22"/>
        </w:rPr>
        <w:t xml:space="preserve">for at least the </w:t>
      </w:r>
      <w:r w:rsidR="00443634">
        <w:rPr>
          <w:rFonts w:ascii="Arial" w:hAnsi="Arial" w:cs="Arial"/>
          <w:sz w:val="22"/>
        </w:rPr>
        <w:t>next three</w:t>
      </w:r>
      <w:r w:rsidR="007916F3">
        <w:rPr>
          <w:rFonts w:ascii="Arial" w:hAnsi="Arial" w:cs="Arial"/>
          <w:sz w:val="22"/>
        </w:rPr>
        <w:t xml:space="preserve"> years. </w:t>
      </w:r>
      <w:r w:rsidR="00F55B0A">
        <w:rPr>
          <w:rFonts w:ascii="Arial" w:hAnsi="Arial" w:cs="Arial"/>
          <w:sz w:val="22"/>
        </w:rPr>
        <w:t>It was noted that while a national framework is being developed, the decision to implement the framework and responsibility for funding is that of individual state and territory governments.</w:t>
      </w:r>
    </w:p>
    <w:p w:rsidR="008B2D9C" w:rsidRPr="009850FB" w:rsidRDefault="008B2D9C" w:rsidP="009850FB">
      <w:pPr>
        <w:keepNext/>
        <w:rPr>
          <w:rFonts w:ascii="Arial" w:hAnsi="Arial" w:cs="Arial"/>
          <w:b/>
          <w:i/>
          <w:sz w:val="22"/>
        </w:rPr>
      </w:pPr>
      <w:r w:rsidRPr="009850FB">
        <w:rPr>
          <w:rFonts w:ascii="Arial" w:hAnsi="Arial" w:cs="Arial"/>
          <w:b/>
          <w:i/>
          <w:sz w:val="22"/>
        </w:rPr>
        <w:t>Adverse events associated with nitisinone treatment</w:t>
      </w:r>
    </w:p>
    <w:p w:rsidR="00BC3F6D" w:rsidRDefault="00232DA2" w:rsidP="0028745E">
      <w:pPr>
        <w:rPr>
          <w:rFonts w:ascii="Arial" w:hAnsi="Arial" w:cs="Arial"/>
          <w:sz w:val="22"/>
        </w:rPr>
      </w:pPr>
      <w:r>
        <w:rPr>
          <w:rFonts w:ascii="Arial" w:hAnsi="Arial" w:cs="Arial"/>
          <w:sz w:val="22"/>
        </w:rPr>
        <w:t>The PBAC noted that adverse events such as eye disorders, haematological events and developmental and cognitive disorders</w:t>
      </w:r>
      <w:r w:rsidR="00A10290">
        <w:rPr>
          <w:rFonts w:ascii="Arial" w:hAnsi="Arial" w:cs="Arial"/>
          <w:sz w:val="22"/>
        </w:rPr>
        <w:t xml:space="preserve"> had been</w:t>
      </w:r>
      <w:r>
        <w:rPr>
          <w:rFonts w:ascii="Arial" w:hAnsi="Arial" w:cs="Arial"/>
          <w:sz w:val="22"/>
        </w:rPr>
        <w:t xml:space="preserve"> associated with nitisinone.</w:t>
      </w:r>
      <w:r w:rsidR="00517143">
        <w:rPr>
          <w:rFonts w:ascii="Arial" w:hAnsi="Arial" w:cs="Arial"/>
          <w:sz w:val="22"/>
        </w:rPr>
        <w:t xml:space="preserve"> </w:t>
      </w:r>
      <w:r w:rsidR="00517143" w:rsidRPr="00087C70">
        <w:rPr>
          <w:rFonts w:ascii="Arial" w:hAnsi="Arial" w:cs="Arial"/>
          <w:sz w:val="22"/>
        </w:rPr>
        <w:t xml:space="preserve">In </w:t>
      </w:r>
      <w:r w:rsidR="00087C70">
        <w:rPr>
          <w:rFonts w:ascii="Arial" w:hAnsi="Arial" w:cs="Arial"/>
          <w:sz w:val="22"/>
        </w:rPr>
        <w:t>considering this</w:t>
      </w:r>
      <w:r w:rsidR="00517143" w:rsidRPr="006D1358">
        <w:rPr>
          <w:rFonts w:ascii="Arial" w:hAnsi="Arial" w:cs="Arial"/>
          <w:sz w:val="22"/>
        </w:rPr>
        <w:t>,</w:t>
      </w:r>
      <w:r w:rsidR="00517143">
        <w:rPr>
          <w:rFonts w:ascii="Arial" w:hAnsi="Arial" w:cs="Arial"/>
          <w:sz w:val="22"/>
        </w:rPr>
        <w:t xml:space="preserve"> both </w:t>
      </w:r>
      <w:r w:rsidR="00060BB6">
        <w:rPr>
          <w:rFonts w:ascii="Arial" w:hAnsi="Arial" w:cs="Arial"/>
          <w:sz w:val="22"/>
        </w:rPr>
        <w:t>consumers and clinicians</w:t>
      </w:r>
      <w:r w:rsidR="00517143">
        <w:rPr>
          <w:rFonts w:ascii="Arial" w:hAnsi="Arial" w:cs="Arial"/>
          <w:sz w:val="22"/>
        </w:rPr>
        <w:t xml:space="preserve"> present at the meeting </w:t>
      </w:r>
      <w:r w:rsidR="00A04F15">
        <w:rPr>
          <w:rFonts w:ascii="Arial" w:hAnsi="Arial" w:cs="Arial"/>
          <w:sz w:val="22"/>
        </w:rPr>
        <w:t xml:space="preserve">described </w:t>
      </w:r>
      <w:r w:rsidR="00517143">
        <w:rPr>
          <w:rFonts w:ascii="Arial" w:hAnsi="Arial" w:cs="Arial"/>
          <w:sz w:val="22"/>
        </w:rPr>
        <w:t xml:space="preserve">their experience with nitisinone treatment and adverse events. </w:t>
      </w:r>
      <w:r w:rsidR="00AA2653">
        <w:rPr>
          <w:rFonts w:ascii="Arial" w:hAnsi="Arial" w:cs="Arial"/>
          <w:sz w:val="22"/>
        </w:rPr>
        <w:t xml:space="preserve"> </w:t>
      </w:r>
      <w:r w:rsidR="00A04F15">
        <w:rPr>
          <w:rFonts w:ascii="Arial" w:hAnsi="Arial" w:cs="Arial"/>
          <w:sz w:val="22"/>
        </w:rPr>
        <w:t>A</w:t>
      </w:r>
      <w:r w:rsidR="00060BB6">
        <w:rPr>
          <w:rFonts w:ascii="Arial" w:hAnsi="Arial" w:cs="Arial"/>
          <w:sz w:val="22"/>
        </w:rPr>
        <w:t xml:space="preserve"> consumer provided a personal perspective, </w:t>
      </w:r>
      <w:r w:rsidR="008211E4">
        <w:rPr>
          <w:rFonts w:ascii="Arial" w:hAnsi="Arial" w:cs="Arial"/>
          <w:sz w:val="22"/>
        </w:rPr>
        <w:t>and c</w:t>
      </w:r>
      <w:r w:rsidR="00087C70">
        <w:rPr>
          <w:rFonts w:ascii="Arial" w:hAnsi="Arial" w:cs="Arial"/>
          <w:sz w:val="22"/>
        </w:rPr>
        <w:t>linicians d</w:t>
      </w:r>
      <w:r w:rsidR="008211E4">
        <w:rPr>
          <w:rFonts w:ascii="Arial" w:hAnsi="Arial" w:cs="Arial"/>
          <w:sz w:val="22"/>
        </w:rPr>
        <w:t>escribed</w:t>
      </w:r>
      <w:r w:rsidR="00087C70">
        <w:rPr>
          <w:rFonts w:ascii="Arial" w:hAnsi="Arial" w:cs="Arial"/>
          <w:sz w:val="22"/>
        </w:rPr>
        <w:t xml:space="preserve"> their collective experience with the dru</w:t>
      </w:r>
      <w:r w:rsidR="00131BCD">
        <w:rPr>
          <w:rFonts w:ascii="Arial" w:hAnsi="Arial" w:cs="Arial"/>
          <w:sz w:val="22"/>
        </w:rPr>
        <w:t>g, noting that it had</w:t>
      </w:r>
      <w:r w:rsidR="00087C70">
        <w:rPr>
          <w:rFonts w:ascii="Arial" w:hAnsi="Arial" w:cs="Arial"/>
          <w:sz w:val="22"/>
        </w:rPr>
        <w:t xml:space="preserve"> been available as a therapeutic option since the late 1990’s</w:t>
      </w:r>
      <w:r w:rsidR="00060BB6">
        <w:rPr>
          <w:rFonts w:ascii="Arial" w:hAnsi="Arial" w:cs="Arial"/>
          <w:sz w:val="22"/>
        </w:rPr>
        <w:t xml:space="preserve">. </w:t>
      </w:r>
      <w:r w:rsidR="008211E4">
        <w:rPr>
          <w:rFonts w:ascii="Arial" w:hAnsi="Arial" w:cs="Arial"/>
          <w:sz w:val="22"/>
        </w:rPr>
        <w:t xml:space="preserve">They </w:t>
      </w:r>
      <w:r w:rsidR="00060BB6">
        <w:rPr>
          <w:rFonts w:ascii="Arial" w:hAnsi="Arial" w:cs="Arial"/>
          <w:sz w:val="22"/>
        </w:rPr>
        <w:t>suggested</w:t>
      </w:r>
      <w:r>
        <w:rPr>
          <w:rFonts w:ascii="Arial" w:hAnsi="Arial" w:cs="Arial"/>
          <w:sz w:val="22"/>
        </w:rPr>
        <w:t xml:space="preserve"> </w:t>
      </w:r>
      <w:r w:rsidR="00060BB6">
        <w:rPr>
          <w:rFonts w:ascii="Arial" w:hAnsi="Arial" w:cs="Arial"/>
          <w:sz w:val="22"/>
        </w:rPr>
        <w:t xml:space="preserve">that the </w:t>
      </w:r>
      <w:r>
        <w:rPr>
          <w:rFonts w:ascii="Arial" w:hAnsi="Arial" w:cs="Arial"/>
          <w:sz w:val="22"/>
        </w:rPr>
        <w:t xml:space="preserve">adverse events reported in nitisinone trials </w:t>
      </w:r>
      <w:r w:rsidR="00060BB6">
        <w:rPr>
          <w:rFonts w:ascii="Arial" w:hAnsi="Arial" w:cs="Arial"/>
          <w:sz w:val="22"/>
        </w:rPr>
        <w:t xml:space="preserve">were </w:t>
      </w:r>
      <w:r w:rsidR="008721C0">
        <w:rPr>
          <w:rFonts w:ascii="Arial" w:hAnsi="Arial" w:cs="Arial"/>
          <w:sz w:val="22"/>
        </w:rPr>
        <w:t>possibly</w:t>
      </w:r>
      <w:r>
        <w:rPr>
          <w:rFonts w:ascii="Arial" w:hAnsi="Arial" w:cs="Arial"/>
          <w:sz w:val="22"/>
        </w:rPr>
        <w:t xml:space="preserve"> confounded by ascertainment bias</w:t>
      </w:r>
      <w:r w:rsidR="006652A9">
        <w:rPr>
          <w:rFonts w:ascii="Arial" w:hAnsi="Arial" w:cs="Arial"/>
          <w:sz w:val="22"/>
        </w:rPr>
        <w:t>,</w:t>
      </w:r>
      <w:r w:rsidR="006445C1">
        <w:rPr>
          <w:rFonts w:ascii="Arial" w:hAnsi="Arial" w:cs="Arial"/>
          <w:sz w:val="22"/>
        </w:rPr>
        <w:t xml:space="preserve"> and </w:t>
      </w:r>
      <w:r w:rsidR="00F7302B">
        <w:rPr>
          <w:rFonts w:ascii="Arial" w:hAnsi="Arial" w:cs="Arial"/>
          <w:sz w:val="22"/>
        </w:rPr>
        <w:t>likely</w:t>
      </w:r>
      <w:r w:rsidR="006445C1">
        <w:rPr>
          <w:rFonts w:ascii="Arial" w:hAnsi="Arial" w:cs="Arial"/>
          <w:sz w:val="22"/>
        </w:rPr>
        <w:t xml:space="preserve"> due to the disease itself</w:t>
      </w:r>
      <w:r w:rsidR="00060BB6">
        <w:rPr>
          <w:rFonts w:ascii="Arial" w:hAnsi="Arial" w:cs="Arial"/>
          <w:sz w:val="22"/>
        </w:rPr>
        <w:t>,</w:t>
      </w:r>
      <w:r w:rsidR="006445C1">
        <w:rPr>
          <w:rFonts w:ascii="Arial" w:hAnsi="Arial" w:cs="Arial"/>
          <w:sz w:val="22"/>
        </w:rPr>
        <w:t xml:space="preserve"> rather than the drug</w:t>
      </w:r>
      <w:r>
        <w:rPr>
          <w:rFonts w:ascii="Arial" w:hAnsi="Arial" w:cs="Arial"/>
          <w:sz w:val="22"/>
        </w:rPr>
        <w:t xml:space="preserve">. </w:t>
      </w:r>
      <w:r w:rsidR="00074DE1">
        <w:rPr>
          <w:rFonts w:ascii="Arial" w:hAnsi="Arial" w:cs="Arial"/>
          <w:sz w:val="22"/>
        </w:rPr>
        <w:t>T</w:t>
      </w:r>
      <w:r>
        <w:rPr>
          <w:rFonts w:ascii="Arial" w:hAnsi="Arial" w:cs="Arial"/>
          <w:sz w:val="22"/>
        </w:rPr>
        <w:t xml:space="preserve">he TGA </w:t>
      </w:r>
      <w:r w:rsidR="006D3DB4">
        <w:rPr>
          <w:rFonts w:ascii="Arial" w:hAnsi="Arial" w:cs="Arial"/>
          <w:sz w:val="22"/>
        </w:rPr>
        <w:t xml:space="preserve">also </w:t>
      </w:r>
      <w:r w:rsidR="00074DE1">
        <w:rPr>
          <w:rFonts w:ascii="Arial" w:hAnsi="Arial" w:cs="Arial"/>
          <w:sz w:val="22"/>
        </w:rPr>
        <w:t>confirmed it had</w:t>
      </w:r>
      <w:r>
        <w:rPr>
          <w:rFonts w:ascii="Arial" w:hAnsi="Arial" w:cs="Arial"/>
          <w:sz w:val="22"/>
        </w:rPr>
        <w:t xml:space="preserve"> not identified any </w:t>
      </w:r>
      <w:r w:rsidR="00A27051">
        <w:rPr>
          <w:rFonts w:ascii="Arial" w:hAnsi="Arial" w:cs="Arial"/>
          <w:sz w:val="22"/>
        </w:rPr>
        <w:t xml:space="preserve">safety issues </w:t>
      </w:r>
      <w:r>
        <w:rPr>
          <w:rFonts w:ascii="Arial" w:hAnsi="Arial" w:cs="Arial"/>
          <w:sz w:val="22"/>
        </w:rPr>
        <w:t>associated with nitisinone since its registration</w:t>
      </w:r>
      <w:r w:rsidR="005A2D62">
        <w:rPr>
          <w:rFonts w:ascii="Arial" w:hAnsi="Arial" w:cs="Arial"/>
          <w:sz w:val="22"/>
        </w:rPr>
        <w:t xml:space="preserve"> in Australia</w:t>
      </w:r>
      <w:r w:rsidR="00074DE1">
        <w:rPr>
          <w:rFonts w:ascii="Arial" w:hAnsi="Arial" w:cs="Arial"/>
          <w:sz w:val="22"/>
        </w:rPr>
        <w:t xml:space="preserve">. </w:t>
      </w:r>
    </w:p>
    <w:p w:rsidR="00C52064" w:rsidRPr="00BC3F6D" w:rsidRDefault="004D2894" w:rsidP="0028745E">
      <w:r>
        <w:rPr>
          <w:rFonts w:ascii="Arial" w:hAnsi="Arial" w:cs="Arial"/>
          <w:sz w:val="22"/>
        </w:rPr>
        <w:t xml:space="preserve">In light of the continuing uncertainty </w:t>
      </w:r>
      <w:r w:rsidR="008211E4">
        <w:rPr>
          <w:rFonts w:ascii="Arial" w:hAnsi="Arial" w:cs="Arial"/>
          <w:sz w:val="22"/>
        </w:rPr>
        <w:t>about</w:t>
      </w:r>
      <w:r>
        <w:rPr>
          <w:rFonts w:ascii="Arial" w:hAnsi="Arial" w:cs="Arial"/>
          <w:sz w:val="22"/>
        </w:rPr>
        <w:t xml:space="preserve"> nitisinone related adverse events, i</w:t>
      </w:r>
      <w:r w:rsidR="00340FBB">
        <w:rPr>
          <w:rFonts w:ascii="Arial" w:hAnsi="Arial" w:cs="Arial"/>
          <w:sz w:val="22"/>
        </w:rPr>
        <w:t>t was agreed</w:t>
      </w:r>
      <w:r w:rsidR="00BC3F6D">
        <w:rPr>
          <w:rFonts w:ascii="Arial" w:hAnsi="Arial" w:cs="Arial"/>
          <w:sz w:val="22"/>
        </w:rPr>
        <w:t xml:space="preserve"> </w:t>
      </w:r>
      <w:r w:rsidR="00074DE1">
        <w:rPr>
          <w:rFonts w:ascii="Arial" w:hAnsi="Arial" w:cs="Arial"/>
          <w:sz w:val="22"/>
        </w:rPr>
        <w:t xml:space="preserve">that neurocognitive assessments over time would be helpful in </w:t>
      </w:r>
      <w:r w:rsidR="007266CE">
        <w:rPr>
          <w:rFonts w:ascii="Arial" w:hAnsi="Arial" w:cs="Arial"/>
          <w:sz w:val="22"/>
        </w:rPr>
        <w:t>monitoring</w:t>
      </w:r>
      <w:r w:rsidR="00A10290">
        <w:rPr>
          <w:rFonts w:ascii="Arial" w:hAnsi="Arial" w:cs="Arial"/>
          <w:sz w:val="22"/>
        </w:rPr>
        <w:t xml:space="preserve"> children’s </w:t>
      </w:r>
      <w:r w:rsidR="00074DE1">
        <w:rPr>
          <w:rFonts w:ascii="Arial" w:hAnsi="Arial" w:cs="Arial"/>
          <w:sz w:val="22"/>
        </w:rPr>
        <w:t>development</w:t>
      </w:r>
      <w:r w:rsidR="00B11696">
        <w:rPr>
          <w:rFonts w:ascii="Arial" w:hAnsi="Arial" w:cs="Arial"/>
          <w:sz w:val="22"/>
        </w:rPr>
        <w:t xml:space="preserve"> while taking nitisinone</w:t>
      </w:r>
      <w:r w:rsidR="00074DE1">
        <w:rPr>
          <w:rFonts w:ascii="Arial" w:hAnsi="Arial" w:cs="Arial"/>
          <w:sz w:val="22"/>
        </w:rPr>
        <w:t xml:space="preserve"> to </w:t>
      </w:r>
      <w:r w:rsidR="005A2D62">
        <w:rPr>
          <w:rFonts w:ascii="Arial" w:hAnsi="Arial" w:cs="Arial"/>
          <w:sz w:val="22"/>
        </w:rPr>
        <w:t>highlight</w:t>
      </w:r>
      <w:r w:rsidR="00074DE1">
        <w:rPr>
          <w:rFonts w:ascii="Arial" w:hAnsi="Arial" w:cs="Arial"/>
          <w:sz w:val="22"/>
        </w:rPr>
        <w:t xml:space="preserve"> any as yet unidentified risks.</w:t>
      </w:r>
      <w:r w:rsidR="00150A74">
        <w:rPr>
          <w:rFonts w:ascii="Arial" w:hAnsi="Arial" w:cs="Arial"/>
          <w:sz w:val="22"/>
        </w:rPr>
        <w:t xml:space="preserve"> The </w:t>
      </w:r>
      <w:r w:rsidR="006652A9">
        <w:rPr>
          <w:rFonts w:ascii="Arial" w:hAnsi="Arial" w:cs="Arial"/>
          <w:sz w:val="22"/>
        </w:rPr>
        <w:t xml:space="preserve">challenges of performing neuropsychiatric assessments in very young children, and in repeating assessments more frequently than two years, were noted. </w:t>
      </w:r>
      <w:r w:rsidR="00074DE1">
        <w:rPr>
          <w:rFonts w:ascii="Arial" w:hAnsi="Arial" w:cs="Arial"/>
          <w:sz w:val="22"/>
        </w:rPr>
        <w:t xml:space="preserve">The stakeholders agreed that the TGA, sponsor (A. </w:t>
      </w:r>
      <w:proofErr w:type="spellStart"/>
      <w:r w:rsidR="00074DE1">
        <w:rPr>
          <w:rFonts w:ascii="Arial" w:hAnsi="Arial" w:cs="Arial"/>
          <w:sz w:val="22"/>
        </w:rPr>
        <w:t>Menarini</w:t>
      </w:r>
      <w:proofErr w:type="spellEnd"/>
      <w:r w:rsidR="00074DE1">
        <w:rPr>
          <w:rFonts w:ascii="Arial" w:hAnsi="Arial" w:cs="Arial"/>
          <w:sz w:val="22"/>
        </w:rPr>
        <w:t>)</w:t>
      </w:r>
      <w:r w:rsidR="00340FBB">
        <w:rPr>
          <w:rFonts w:ascii="Arial" w:hAnsi="Arial" w:cs="Arial"/>
          <w:sz w:val="22"/>
        </w:rPr>
        <w:t xml:space="preserve">, </w:t>
      </w:r>
      <w:r w:rsidR="00074DE1">
        <w:rPr>
          <w:rFonts w:ascii="Arial" w:hAnsi="Arial" w:cs="Arial"/>
          <w:sz w:val="22"/>
        </w:rPr>
        <w:t>relevant clinicians</w:t>
      </w:r>
      <w:r w:rsidR="00340FBB">
        <w:rPr>
          <w:rFonts w:ascii="Arial" w:hAnsi="Arial" w:cs="Arial"/>
          <w:sz w:val="22"/>
        </w:rPr>
        <w:t xml:space="preserve"> and patient representatives</w:t>
      </w:r>
      <w:r w:rsidR="00074DE1">
        <w:rPr>
          <w:rFonts w:ascii="Arial" w:hAnsi="Arial" w:cs="Arial"/>
          <w:sz w:val="22"/>
        </w:rPr>
        <w:t xml:space="preserve"> should discuss </w:t>
      </w:r>
      <w:r w:rsidR="00074DE1">
        <w:rPr>
          <w:rFonts w:ascii="Arial" w:hAnsi="Arial" w:cs="Arial"/>
          <w:sz w:val="22"/>
        </w:rPr>
        <w:lastRenderedPageBreak/>
        <w:t xml:space="preserve">and agree </w:t>
      </w:r>
      <w:r w:rsidR="00340FBB">
        <w:rPr>
          <w:rFonts w:ascii="Arial" w:hAnsi="Arial" w:cs="Arial"/>
          <w:sz w:val="22"/>
        </w:rPr>
        <w:t>on a limited and targeted set of risks to monitor via systematic post-market surveillance.</w:t>
      </w:r>
      <w:r w:rsidR="006515CA">
        <w:rPr>
          <w:rFonts w:ascii="Arial" w:hAnsi="Arial" w:cs="Arial"/>
          <w:sz w:val="22"/>
        </w:rPr>
        <w:t xml:space="preserve"> </w:t>
      </w:r>
      <w:r w:rsidR="006445C1">
        <w:rPr>
          <w:rFonts w:ascii="Arial" w:hAnsi="Arial" w:cs="Arial"/>
          <w:sz w:val="22"/>
        </w:rPr>
        <w:t>In particular, thi</w:t>
      </w:r>
      <w:r w:rsidR="00340FBB">
        <w:rPr>
          <w:rFonts w:ascii="Arial" w:hAnsi="Arial" w:cs="Arial"/>
          <w:sz w:val="22"/>
        </w:rPr>
        <w:t xml:space="preserve">s group would agree on </w:t>
      </w:r>
      <w:r w:rsidR="00074DE1">
        <w:rPr>
          <w:rFonts w:ascii="Arial" w:hAnsi="Arial" w:cs="Arial"/>
          <w:sz w:val="22"/>
        </w:rPr>
        <w:t>the type of neurocognitive</w:t>
      </w:r>
      <w:r w:rsidR="008D0491">
        <w:rPr>
          <w:rFonts w:ascii="Arial" w:hAnsi="Arial" w:cs="Arial"/>
          <w:sz w:val="22"/>
        </w:rPr>
        <w:t xml:space="preserve"> assessment to be provided, </w:t>
      </w:r>
      <w:r w:rsidR="00074DE1">
        <w:rPr>
          <w:rFonts w:ascii="Arial" w:hAnsi="Arial" w:cs="Arial"/>
          <w:sz w:val="22"/>
        </w:rPr>
        <w:t xml:space="preserve">the </w:t>
      </w:r>
      <w:r w:rsidR="008D0491">
        <w:rPr>
          <w:rFonts w:ascii="Arial" w:hAnsi="Arial" w:cs="Arial"/>
          <w:sz w:val="22"/>
        </w:rPr>
        <w:t>relevant population to assess,</w:t>
      </w:r>
      <w:r w:rsidR="00074DE1">
        <w:rPr>
          <w:rFonts w:ascii="Arial" w:hAnsi="Arial" w:cs="Arial"/>
          <w:sz w:val="22"/>
        </w:rPr>
        <w:t xml:space="preserve"> </w:t>
      </w:r>
      <w:r w:rsidR="008D0491">
        <w:rPr>
          <w:rFonts w:ascii="Arial" w:hAnsi="Arial" w:cs="Arial"/>
          <w:sz w:val="22"/>
        </w:rPr>
        <w:t>and frequency of conducting the assessment</w:t>
      </w:r>
      <w:r w:rsidR="00074DE1">
        <w:rPr>
          <w:rFonts w:ascii="Arial" w:hAnsi="Arial" w:cs="Arial"/>
          <w:sz w:val="22"/>
        </w:rPr>
        <w:t>.</w:t>
      </w:r>
      <w:r w:rsidR="00551199" w:rsidRPr="00551199">
        <w:rPr>
          <w:rFonts w:ascii="Arial" w:hAnsi="Arial" w:cs="Arial"/>
          <w:sz w:val="22"/>
        </w:rPr>
        <w:t xml:space="preserve"> </w:t>
      </w:r>
      <w:r w:rsidR="00060BB6" w:rsidRPr="00060BB6">
        <w:rPr>
          <w:rFonts w:ascii="Arial" w:hAnsi="Arial" w:cs="Arial"/>
          <w:sz w:val="22"/>
        </w:rPr>
        <w:t>Consumers expressed that they were comfortable providing post listing data as long as appropriate safeguards were in place, and stressed that</w:t>
      </w:r>
      <w:r w:rsidR="00060BB6">
        <w:rPr>
          <w:rFonts w:ascii="Arial" w:hAnsi="Arial" w:cs="Arial"/>
          <w:sz w:val="22"/>
        </w:rPr>
        <w:t xml:space="preserve"> they</w:t>
      </w:r>
      <w:r w:rsidR="00060BB6" w:rsidRPr="00060BB6">
        <w:rPr>
          <w:rFonts w:ascii="Arial" w:hAnsi="Arial" w:cs="Arial"/>
          <w:sz w:val="22"/>
        </w:rPr>
        <w:t xml:space="preserve"> would</w:t>
      </w:r>
      <w:r w:rsidR="00060BB6">
        <w:rPr>
          <w:rFonts w:ascii="Arial" w:hAnsi="Arial" w:cs="Arial"/>
          <w:sz w:val="22"/>
        </w:rPr>
        <w:t xml:space="preserve"> require</w:t>
      </w:r>
      <w:r w:rsidR="00060BB6" w:rsidRPr="00060BB6">
        <w:rPr>
          <w:rFonts w:ascii="Arial" w:hAnsi="Arial" w:cs="Arial"/>
          <w:sz w:val="22"/>
        </w:rPr>
        <w:t xml:space="preserve"> access to </w:t>
      </w:r>
      <w:r w:rsidR="00060BB6">
        <w:rPr>
          <w:rFonts w:ascii="Arial" w:hAnsi="Arial" w:cs="Arial"/>
          <w:sz w:val="22"/>
        </w:rPr>
        <w:t>the</w:t>
      </w:r>
      <w:r w:rsidR="00060BB6" w:rsidRPr="00060BB6">
        <w:rPr>
          <w:rFonts w:ascii="Arial" w:hAnsi="Arial" w:cs="Arial"/>
          <w:sz w:val="22"/>
        </w:rPr>
        <w:t xml:space="preserve"> data.</w:t>
      </w:r>
      <w:r w:rsidR="00060BB6">
        <w:rPr>
          <w:rFonts w:ascii="Arial" w:hAnsi="Arial" w:cs="Arial"/>
          <w:sz w:val="22"/>
        </w:rPr>
        <w:t xml:space="preserve"> </w:t>
      </w:r>
      <w:r w:rsidR="00150A74">
        <w:rPr>
          <w:rFonts w:ascii="Arial" w:hAnsi="Arial" w:cs="Arial"/>
          <w:sz w:val="22"/>
        </w:rPr>
        <w:t xml:space="preserve">It was noted that </w:t>
      </w:r>
      <w:r w:rsidR="008211E4">
        <w:rPr>
          <w:rFonts w:ascii="Arial" w:hAnsi="Arial" w:cs="Arial"/>
          <w:sz w:val="22"/>
        </w:rPr>
        <w:t xml:space="preserve">safety data from post marketing surveillance would be relevant to </w:t>
      </w:r>
      <w:r w:rsidR="00150A74">
        <w:rPr>
          <w:rFonts w:ascii="Arial" w:hAnsi="Arial" w:cs="Arial"/>
          <w:sz w:val="22"/>
        </w:rPr>
        <w:t xml:space="preserve"> the PBAC</w:t>
      </w:r>
      <w:r w:rsidR="008211E4">
        <w:rPr>
          <w:rFonts w:ascii="Arial" w:hAnsi="Arial" w:cs="Arial"/>
          <w:sz w:val="22"/>
        </w:rPr>
        <w:t xml:space="preserve"> </w:t>
      </w:r>
      <w:r w:rsidR="00150A74">
        <w:rPr>
          <w:rFonts w:ascii="Arial" w:hAnsi="Arial" w:cs="Arial"/>
          <w:sz w:val="22"/>
        </w:rPr>
        <w:t xml:space="preserve">where it influences the cost-effectiveness of nitisinone. </w:t>
      </w:r>
    </w:p>
    <w:p w:rsidR="00B11696" w:rsidRPr="000D32BC" w:rsidRDefault="00B11696" w:rsidP="00B11696">
      <w:pPr>
        <w:rPr>
          <w:rFonts w:ascii="Arial" w:hAnsi="Arial" w:cs="Arial"/>
          <w:b/>
          <w:i/>
          <w:sz w:val="22"/>
        </w:rPr>
      </w:pPr>
      <w:r w:rsidRPr="009850FB">
        <w:rPr>
          <w:rFonts w:ascii="Arial" w:hAnsi="Arial" w:cs="Arial"/>
          <w:b/>
          <w:i/>
          <w:sz w:val="22"/>
        </w:rPr>
        <w:t>PBS Restriction</w:t>
      </w:r>
    </w:p>
    <w:p w:rsidR="00B11696" w:rsidRDefault="00B11696" w:rsidP="00B11696">
      <w:pPr>
        <w:spacing w:after="0"/>
        <w:rPr>
          <w:rFonts w:ascii="Arial" w:hAnsi="Arial" w:cs="Arial"/>
          <w:sz w:val="22"/>
        </w:rPr>
      </w:pPr>
      <w:r>
        <w:rPr>
          <w:rFonts w:ascii="Arial" w:hAnsi="Arial" w:cs="Arial"/>
          <w:sz w:val="22"/>
        </w:rPr>
        <w:t xml:space="preserve">The following PBS restriction was proposed. It </w:t>
      </w:r>
      <w:r w:rsidR="00602A12">
        <w:rPr>
          <w:rFonts w:ascii="Arial" w:hAnsi="Arial" w:cs="Arial"/>
          <w:sz w:val="22"/>
        </w:rPr>
        <w:t>should be</w:t>
      </w:r>
      <w:r>
        <w:rPr>
          <w:rFonts w:ascii="Arial" w:hAnsi="Arial" w:cs="Arial"/>
          <w:sz w:val="22"/>
        </w:rPr>
        <w:t xml:space="preserve"> noted that this restriction is indicative only</w:t>
      </w:r>
      <w:r w:rsidR="008D0491">
        <w:rPr>
          <w:rFonts w:ascii="Arial" w:hAnsi="Arial" w:cs="Arial"/>
          <w:sz w:val="22"/>
        </w:rPr>
        <w:t xml:space="preserve"> and</w:t>
      </w:r>
      <w:r>
        <w:rPr>
          <w:rFonts w:ascii="Arial" w:hAnsi="Arial" w:cs="Arial"/>
          <w:sz w:val="22"/>
        </w:rPr>
        <w:t xml:space="preserve"> </w:t>
      </w:r>
      <w:r w:rsidR="00602A12">
        <w:rPr>
          <w:rFonts w:ascii="Arial" w:hAnsi="Arial" w:cs="Arial"/>
          <w:sz w:val="22"/>
        </w:rPr>
        <w:t xml:space="preserve">is </w:t>
      </w:r>
      <w:r>
        <w:rPr>
          <w:rFonts w:ascii="Arial" w:hAnsi="Arial" w:cs="Arial"/>
          <w:sz w:val="22"/>
        </w:rPr>
        <w:t>based on the clinical advice and discussions at th</w:t>
      </w:r>
      <w:r w:rsidR="00602A12">
        <w:rPr>
          <w:rFonts w:ascii="Arial" w:hAnsi="Arial" w:cs="Arial"/>
          <w:sz w:val="22"/>
        </w:rPr>
        <w:t>e</w:t>
      </w:r>
      <w:r>
        <w:rPr>
          <w:rFonts w:ascii="Arial" w:hAnsi="Arial" w:cs="Arial"/>
          <w:sz w:val="22"/>
        </w:rPr>
        <w:t xml:space="preserve"> stakeholder meeting.  A restriction would be finalised following a positive recommendation by the PBAC.</w:t>
      </w:r>
    </w:p>
    <w:p w:rsidR="00B11696" w:rsidRDefault="00B11696" w:rsidP="00B11696">
      <w:pPr>
        <w:spacing w:after="0"/>
        <w:rPr>
          <w:rFonts w:ascii="Arial" w:hAnsi="Arial" w:cs="Arial"/>
          <w:sz w:val="22"/>
        </w:rPr>
      </w:pPr>
    </w:p>
    <w:tbl>
      <w:tblPr>
        <w:tblW w:w="5000" w:type="pct"/>
        <w:jc w:val="center"/>
        <w:tblLook w:val="0000" w:firstRow="0" w:lastRow="0" w:firstColumn="0" w:lastColumn="0" w:noHBand="0" w:noVBand="0"/>
      </w:tblPr>
      <w:tblGrid>
        <w:gridCol w:w="2943"/>
        <w:gridCol w:w="6299"/>
      </w:tblGrid>
      <w:tr w:rsidR="00B11696" w:rsidRPr="00D571D4" w:rsidTr="009850FB">
        <w:trPr>
          <w:cantSplit/>
          <w:trHeight w:val="349"/>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 xml:space="preserve">Category / </w:t>
            </w:r>
          </w:p>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Program</w:t>
            </w:r>
          </w:p>
        </w:tc>
        <w:tc>
          <w:tcPr>
            <w:tcW w:w="3408"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 xml:space="preserve">Section 100 – Highly Specialised Drugs Program </w:t>
            </w:r>
          </w:p>
        </w:tc>
      </w:tr>
      <w:tr w:rsidR="00B11696" w:rsidRPr="00D571D4" w:rsidTr="009850FB">
        <w:trPr>
          <w:cantSplit/>
          <w:trHeight w:val="349"/>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Prescriber type:</w:t>
            </w:r>
          </w:p>
        </w:tc>
        <w:tc>
          <w:tcPr>
            <w:tcW w:w="3408"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fldChar w:fldCharType="begin">
                <w:ffData>
                  <w:name w:val="Check1"/>
                  <w:enabled/>
                  <w:calcOnExit w:val="0"/>
                  <w:checkBox>
                    <w:sizeAuto/>
                    <w:default w:val="0"/>
                  </w:checkBox>
                </w:ffData>
              </w:fldChar>
            </w:r>
            <w:r w:rsidRPr="00D571D4">
              <w:rPr>
                <w:rFonts w:ascii="Arial Narrow" w:eastAsia="Times New Roman" w:hAnsi="Arial Narrow" w:cs="Arial"/>
                <w:sz w:val="20"/>
                <w:szCs w:val="20"/>
              </w:rPr>
              <w:instrText xml:space="preserve"> FORMCHECKBOX </w:instrText>
            </w:r>
            <w:r w:rsidR="009928DE">
              <w:rPr>
                <w:rFonts w:ascii="Arial Narrow" w:eastAsia="Times New Roman" w:hAnsi="Arial Narrow" w:cs="Arial"/>
                <w:sz w:val="20"/>
                <w:szCs w:val="20"/>
              </w:rPr>
            </w:r>
            <w:r w:rsidR="009928DE">
              <w:rPr>
                <w:rFonts w:ascii="Arial Narrow" w:eastAsia="Times New Roman" w:hAnsi="Arial Narrow" w:cs="Arial"/>
                <w:sz w:val="20"/>
                <w:szCs w:val="20"/>
              </w:rPr>
              <w:fldChar w:fldCharType="separate"/>
            </w:r>
            <w:r w:rsidRPr="00D571D4">
              <w:rPr>
                <w:rFonts w:ascii="Arial Narrow" w:eastAsia="Times New Roman" w:hAnsi="Arial Narrow" w:cs="Arial"/>
                <w:sz w:val="20"/>
                <w:szCs w:val="20"/>
              </w:rPr>
              <w:fldChar w:fldCharType="end"/>
            </w:r>
            <w:r w:rsidRPr="00D571D4">
              <w:rPr>
                <w:rFonts w:ascii="Arial Narrow" w:eastAsia="Times New Roman" w:hAnsi="Arial Narrow" w:cs="Arial"/>
                <w:sz w:val="20"/>
                <w:szCs w:val="20"/>
              </w:rPr>
              <w:t xml:space="preserve">Dental  </w:t>
            </w:r>
            <w:r w:rsidRPr="00D571D4">
              <w:rPr>
                <w:rFonts w:ascii="Arial Narrow" w:eastAsia="Times New Roman" w:hAnsi="Arial Narrow" w:cs="Arial"/>
                <w:sz w:val="20"/>
                <w:szCs w:val="20"/>
              </w:rPr>
              <w:fldChar w:fldCharType="begin">
                <w:ffData>
                  <w:name w:val=""/>
                  <w:enabled/>
                  <w:calcOnExit w:val="0"/>
                  <w:checkBox>
                    <w:sizeAuto/>
                    <w:default w:val="1"/>
                  </w:checkBox>
                </w:ffData>
              </w:fldChar>
            </w:r>
            <w:r w:rsidRPr="00D571D4">
              <w:rPr>
                <w:rFonts w:ascii="Arial Narrow" w:eastAsia="Times New Roman" w:hAnsi="Arial Narrow" w:cs="Arial"/>
                <w:sz w:val="20"/>
                <w:szCs w:val="20"/>
              </w:rPr>
              <w:instrText xml:space="preserve"> FORMCHECKBOX </w:instrText>
            </w:r>
            <w:r w:rsidR="009928DE">
              <w:rPr>
                <w:rFonts w:ascii="Arial Narrow" w:eastAsia="Times New Roman" w:hAnsi="Arial Narrow" w:cs="Arial"/>
                <w:sz w:val="20"/>
                <w:szCs w:val="20"/>
              </w:rPr>
            </w:r>
            <w:r w:rsidR="009928DE">
              <w:rPr>
                <w:rFonts w:ascii="Arial Narrow" w:eastAsia="Times New Roman" w:hAnsi="Arial Narrow" w:cs="Arial"/>
                <w:sz w:val="20"/>
                <w:szCs w:val="20"/>
              </w:rPr>
              <w:fldChar w:fldCharType="separate"/>
            </w:r>
            <w:r w:rsidRPr="00D571D4">
              <w:rPr>
                <w:rFonts w:ascii="Arial Narrow" w:eastAsia="Times New Roman" w:hAnsi="Arial Narrow" w:cs="Arial"/>
                <w:sz w:val="20"/>
                <w:szCs w:val="20"/>
              </w:rPr>
              <w:fldChar w:fldCharType="end"/>
            </w:r>
            <w:r w:rsidRPr="00D571D4">
              <w:rPr>
                <w:rFonts w:ascii="Arial Narrow" w:eastAsia="Times New Roman" w:hAnsi="Arial Narrow" w:cs="Arial"/>
                <w:sz w:val="20"/>
                <w:szCs w:val="20"/>
              </w:rPr>
              <w:t xml:space="preserve">Medical Practitioners  </w:t>
            </w:r>
            <w:r w:rsidRPr="00D571D4">
              <w:rPr>
                <w:rFonts w:ascii="Arial Narrow" w:eastAsia="Times New Roman" w:hAnsi="Arial Narrow" w:cs="Arial"/>
                <w:sz w:val="20"/>
                <w:szCs w:val="20"/>
              </w:rPr>
              <w:fldChar w:fldCharType="begin">
                <w:ffData>
                  <w:name w:val="Check3"/>
                  <w:enabled/>
                  <w:calcOnExit w:val="0"/>
                  <w:checkBox>
                    <w:sizeAuto/>
                    <w:default w:val="0"/>
                  </w:checkBox>
                </w:ffData>
              </w:fldChar>
            </w:r>
            <w:r w:rsidRPr="00D571D4">
              <w:rPr>
                <w:rFonts w:ascii="Arial Narrow" w:eastAsia="Times New Roman" w:hAnsi="Arial Narrow" w:cs="Arial"/>
                <w:sz w:val="20"/>
                <w:szCs w:val="20"/>
              </w:rPr>
              <w:instrText xml:space="preserve"> FORMCHECKBOX </w:instrText>
            </w:r>
            <w:r w:rsidR="009928DE">
              <w:rPr>
                <w:rFonts w:ascii="Arial Narrow" w:eastAsia="Times New Roman" w:hAnsi="Arial Narrow" w:cs="Arial"/>
                <w:sz w:val="20"/>
                <w:szCs w:val="20"/>
              </w:rPr>
            </w:r>
            <w:r w:rsidR="009928DE">
              <w:rPr>
                <w:rFonts w:ascii="Arial Narrow" w:eastAsia="Times New Roman" w:hAnsi="Arial Narrow" w:cs="Arial"/>
                <w:sz w:val="20"/>
                <w:szCs w:val="20"/>
              </w:rPr>
              <w:fldChar w:fldCharType="separate"/>
            </w:r>
            <w:r w:rsidRPr="00D571D4">
              <w:rPr>
                <w:rFonts w:ascii="Arial Narrow" w:eastAsia="Times New Roman" w:hAnsi="Arial Narrow" w:cs="Arial"/>
                <w:sz w:val="20"/>
                <w:szCs w:val="20"/>
              </w:rPr>
              <w:fldChar w:fldCharType="end"/>
            </w:r>
            <w:r w:rsidRPr="00D571D4">
              <w:rPr>
                <w:rFonts w:ascii="Arial Narrow" w:eastAsia="Times New Roman" w:hAnsi="Arial Narrow" w:cs="Arial"/>
                <w:sz w:val="20"/>
                <w:szCs w:val="20"/>
              </w:rPr>
              <w:t xml:space="preserve">Nurse practitioners  </w:t>
            </w:r>
            <w:r w:rsidRPr="00D571D4">
              <w:rPr>
                <w:rFonts w:ascii="Arial Narrow" w:eastAsia="Times New Roman" w:hAnsi="Arial Narrow" w:cs="Arial"/>
                <w:sz w:val="20"/>
                <w:szCs w:val="20"/>
              </w:rPr>
              <w:fldChar w:fldCharType="begin">
                <w:ffData>
                  <w:name w:val=""/>
                  <w:enabled/>
                  <w:calcOnExit w:val="0"/>
                  <w:checkBox>
                    <w:sizeAuto/>
                    <w:default w:val="0"/>
                  </w:checkBox>
                </w:ffData>
              </w:fldChar>
            </w:r>
            <w:r w:rsidRPr="00D571D4">
              <w:rPr>
                <w:rFonts w:ascii="Arial Narrow" w:eastAsia="Times New Roman" w:hAnsi="Arial Narrow" w:cs="Arial"/>
                <w:sz w:val="20"/>
                <w:szCs w:val="20"/>
              </w:rPr>
              <w:instrText xml:space="preserve"> FORMCHECKBOX </w:instrText>
            </w:r>
            <w:r w:rsidR="009928DE">
              <w:rPr>
                <w:rFonts w:ascii="Arial Narrow" w:eastAsia="Times New Roman" w:hAnsi="Arial Narrow" w:cs="Arial"/>
                <w:sz w:val="20"/>
                <w:szCs w:val="20"/>
              </w:rPr>
            </w:r>
            <w:r w:rsidR="009928DE">
              <w:rPr>
                <w:rFonts w:ascii="Arial Narrow" w:eastAsia="Times New Roman" w:hAnsi="Arial Narrow" w:cs="Arial"/>
                <w:sz w:val="20"/>
                <w:szCs w:val="20"/>
              </w:rPr>
              <w:fldChar w:fldCharType="separate"/>
            </w:r>
            <w:r w:rsidRPr="00D571D4">
              <w:rPr>
                <w:rFonts w:ascii="Arial Narrow" w:eastAsia="Times New Roman" w:hAnsi="Arial Narrow" w:cs="Arial"/>
                <w:sz w:val="20"/>
                <w:szCs w:val="20"/>
              </w:rPr>
              <w:fldChar w:fldCharType="end"/>
            </w:r>
            <w:r w:rsidRPr="00D571D4">
              <w:rPr>
                <w:rFonts w:ascii="Arial Narrow" w:eastAsia="Times New Roman" w:hAnsi="Arial Narrow" w:cs="Arial"/>
                <w:sz w:val="20"/>
                <w:szCs w:val="20"/>
              </w:rPr>
              <w:t>Optometrists</w:t>
            </w:r>
          </w:p>
          <w:p w:rsidR="00B11696" w:rsidRPr="00D571D4"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fldChar w:fldCharType="begin">
                <w:ffData>
                  <w:name w:val="Check5"/>
                  <w:enabled/>
                  <w:calcOnExit w:val="0"/>
                  <w:checkBox>
                    <w:sizeAuto/>
                    <w:default w:val="0"/>
                  </w:checkBox>
                </w:ffData>
              </w:fldChar>
            </w:r>
            <w:r w:rsidRPr="00D571D4">
              <w:rPr>
                <w:rFonts w:ascii="Arial Narrow" w:eastAsia="Times New Roman" w:hAnsi="Arial Narrow" w:cs="Arial"/>
                <w:sz w:val="20"/>
                <w:szCs w:val="20"/>
              </w:rPr>
              <w:instrText xml:space="preserve"> FORMCHECKBOX </w:instrText>
            </w:r>
            <w:r w:rsidR="009928DE">
              <w:rPr>
                <w:rFonts w:ascii="Arial Narrow" w:eastAsia="Times New Roman" w:hAnsi="Arial Narrow" w:cs="Arial"/>
                <w:sz w:val="20"/>
                <w:szCs w:val="20"/>
              </w:rPr>
            </w:r>
            <w:r w:rsidR="009928DE">
              <w:rPr>
                <w:rFonts w:ascii="Arial Narrow" w:eastAsia="Times New Roman" w:hAnsi="Arial Narrow" w:cs="Arial"/>
                <w:sz w:val="20"/>
                <w:szCs w:val="20"/>
              </w:rPr>
              <w:fldChar w:fldCharType="separate"/>
            </w:r>
            <w:r w:rsidRPr="00D571D4">
              <w:rPr>
                <w:rFonts w:ascii="Arial Narrow" w:eastAsia="Times New Roman" w:hAnsi="Arial Narrow" w:cs="Arial"/>
                <w:sz w:val="20"/>
                <w:szCs w:val="20"/>
              </w:rPr>
              <w:fldChar w:fldCharType="end"/>
            </w:r>
            <w:r w:rsidRPr="00D571D4">
              <w:rPr>
                <w:rFonts w:ascii="Arial Narrow" w:eastAsia="Times New Roman" w:hAnsi="Arial Narrow" w:cs="Arial"/>
                <w:sz w:val="20"/>
                <w:szCs w:val="20"/>
              </w:rPr>
              <w:t>Midwives</w:t>
            </w:r>
          </w:p>
        </w:tc>
      </w:tr>
      <w:tr w:rsidR="00B11696" w:rsidRPr="00D571D4" w:rsidTr="009850FB">
        <w:trPr>
          <w:cantSplit/>
          <w:trHeight w:val="349"/>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Condition:</w:t>
            </w:r>
          </w:p>
        </w:tc>
        <w:tc>
          <w:tcPr>
            <w:tcW w:w="3408"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 xml:space="preserve">Tyrosinaemia type I </w:t>
            </w:r>
          </w:p>
        </w:tc>
      </w:tr>
      <w:tr w:rsidR="00B11696" w:rsidRPr="00D571D4" w:rsidTr="009850FB">
        <w:trPr>
          <w:cantSplit/>
          <w:trHeight w:val="349"/>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PBS Indication</w:t>
            </w:r>
          </w:p>
        </w:tc>
        <w:tc>
          <w:tcPr>
            <w:tcW w:w="3408"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Tyrosinaemia type I</w:t>
            </w:r>
          </w:p>
        </w:tc>
      </w:tr>
      <w:tr w:rsidR="00B11696" w:rsidRPr="00D571D4" w:rsidTr="009850FB">
        <w:trPr>
          <w:cantSplit/>
          <w:trHeight w:val="349"/>
          <w:jc w:val="center"/>
        </w:trPr>
        <w:tc>
          <w:tcPr>
            <w:tcW w:w="1592" w:type="pct"/>
            <w:tcBorders>
              <w:top w:val="single" w:sz="4" w:space="0" w:color="auto"/>
              <w:left w:val="single" w:sz="4" w:space="0" w:color="auto"/>
              <w:bottom w:val="single" w:sz="4" w:space="0" w:color="auto"/>
              <w:right w:val="single" w:sz="4" w:space="0" w:color="auto"/>
            </w:tcBorders>
          </w:tcPr>
          <w:p w:rsidR="00B11696" w:rsidRPr="001A2C79" w:rsidRDefault="00B11696" w:rsidP="00D92D17">
            <w:pPr>
              <w:spacing w:after="0" w:line="240" w:lineRule="auto"/>
              <w:jc w:val="both"/>
              <w:rPr>
                <w:rFonts w:ascii="Arial Narrow" w:hAnsi="Arial Narrow" w:cs="Arial"/>
                <w:b/>
                <w:sz w:val="20"/>
                <w:szCs w:val="20"/>
              </w:rPr>
            </w:pPr>
            <w:r w:rsidRPr="00260CE3">
              <w:rPr>
                <w:rFonts w:ascii="Arial Narrow" w:hAnsi="Arial Narrow" w:cs="Arial"/>
                <w:b/>
                <w:sz w:val="20"/>
                <w:szCs w:val="20"/>
              </w:rPr>
              <w:t>Treatment phase:</w:t>
            </w:r>
          </w:p>
        </w:tc>
        <w:tc>
          <w:tcPr>
            <w:tcW w:w="3408" w:type="pct"/>
            <w:tcBorders>
              <w:top w:val="single" w:sz="4" w:space="0" w:color="auto"/>
              <w:left w:val="single" w:sz="4" w:space="0" w:color="auto"/>
              <w:bottom w:val="single" w:sz="4" w:space="0" w:color="auto"/>
              <w:right w:val="single" w:sz="4" w:space="0" w:color="auto"/>
            </w:tcBorders>
          </w:tcPr>
          <w:p w:rsidR="00B11696" w:rsidRPr="00260CE3" w:rsidRDefault="00B11696" w:rsidP="00D92D17">
            <w:pPr>
              <w:spacing w:after="0" w:line="240" w:lineRule="auto"/>
              <w:rPr>
                <w:rFonts w:ascii="Arial Narrow" w:hAnsi="Arial Narrow" w:cs="Arial"/>
                <w:sz w:val="20"/>
                <w:szCs w:val="20"/>
              </w:rPr>
            </w:pPr>
            <w:r>
              <w:rPr>
                <w:rFonts w:ascii="Arial Narrow" w:hAnsi="Arial Narrow" w:cs="Arial"/>
                <w:sz w:val="20"/>
                <w:szCs w:val="20"/>
              </w:rPr>
              <w:t>Initial</w:t>
            </w:r>
          </w:p>
        </w:tc>
      </w:tr>
      <w:tr w:rsidR="00B11696" w:rsidRPr="00D571D4" w:rsidTr="009850FB">
        <w:trPr>
          <w:cantSplit/>
          <w:trHeight w:val="360"/>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Restriction:</w:t>
            </w:r>
          </w:p>
        </w:tc>
        <w:tc>
          <w:tcPr>
            <w:tcW w:w="3408" w:type="pct"/>
            <w:tcBorders>
              <w:top w:val="single" w:sz="4" w:space="0" w:color="auto"/>
              <w:left w:val="single" w:sz="4" w:space="0" w:color="auto"/>
              <w:bottom w:val="single" w:sz="4" w:space="0" w:color="auto"/>
              <w:right w:val="single" w:sz="4" w:space="0" w:color="auto"/>
            </w:tcBorders>
          </w:tcPr>
          <w:p w:rsidR="00B11696" w:rsidRPr="00106BCF" w:rsidRDefault="00B11696" w:rsidP="00D92D17">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11696" w:rsidRPr="00106BCF" w:rsidRDefault="00B11696" w:rsidP="00D92D17">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11696" w:rsidRPr="00106BCF" w:rsidRDefault="00B11696" w:rsidP="00D92D17">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0"/>
                  </w:checkBox>
                </w:ffData>
              </w:fldChar>
            </w:r>
            <w:r>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Telephone</w:t>
            </w:r>
          </w:p>
          <w:p w:rsidR="00B11696" w:rsidRPr="00106BCF" w:rsidRDefault="00B11696" w:rsidP="00D92D17">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
                  <w:enabled/>
                  <w:calcOnExit w:val="0"/>
                  <w:checkBox>
                    <w:sizeAuto/>
                    <w:default w:val="0"/>
                  </w:checkBox>
                </w:ffData>
              </w:fldChar>
            </w:r>
            <w:r w:rsidRPr="00106BCF">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Emergency</w:t>
            </w:r>
          </w:p>
          <w:p w:rsidR="00B11696" w:rsidRPr="00106BCF" w:rsidRDefault="00B11696" w:rsidP="00D92D17">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Authority Required - Electronic</w:t>
            </w:r>
          </w:p>
          <w:p w:rsidR="00B11696" w:rsidRPr="00D571D4" w:rsidRDefault="00B11696" w:rsidP="00D92D17">
            <w:pPr>
              <w:widowControl w:val="0"/>
              <w:spacing w:after="0" w:line="240" w:lineRule="auto"/>
              <w:rPr>
                <w:rFonts w:ascii="Arial Narrow" w:eastAsia="Times New Roman"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B11696" w:rsidRPr="00D571D4" w:rsidTr="009850FB">
        <w:trPr>
          <w:cantSplit/>
          <w:trHeight w:val="360"/>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Treatment criteria:</w:t>
            </w:r>
          </w:p>
          <w:p w:rsidR="00B11696" w:rsidRPr="00D571D4" w:rsidRDefault="00B11696" w:rsidP="00D92D17">
            <w:pPr>
              <w:widowControl w:val="0"/>
              <w:spacing w:after="0" w:line="240" w:lineRule="auto"/>
              <w:rPr>
                <w:rFonts w:ascii="Arial Narrow" w:eastAsia="Times New Roman" w:hAnsi="Arial Narrow" w:cs="Arial"/>
                <w:sz w:val="20"/>
                <w:szCs w:val="20"/>
              </w:rPr>
            </w:pPr>
          </w:p>
        </w:tc>
        <w:tc>
          <w:tcPr>
            <w:tcW w:w="3408" w:type="pct"/>
            <w:tcBorders>
              <w:top w:val="single" w:sz="4" w:space="0" w:color="auto"/>
              <w:left w:val="single" w:sz="4" w:space="0" w:color="auto"/>
              <w:bottom w:val="single" w:sz="4" w:space="0" w:color="auto"/>
              <w:right w:val="single" w:sz="4" w:space="0" w:color="auto"/>
            </w:tcBorders>
          </w:tcPr>
          <w:p w:rsidR="00B11696"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Must be treated in a centre with experience in metabolic disorders.</w:t>
            </w:r>
          </w:p>
          <w:p w:rsidR="00B11696" w:rsidRPr="00D571D4" w:rsidRDefault="00B11696" w:rsidP="00D92D17">
            <w:pPr>
              <w:widowControl w:val="0"/>
              <w:spacing w:after="0" w:line="240" w:lineRule="auto"/>
              <w:rPr>
                <w:rFonts w:ascii="Arial Narrow" w:eastAsia="Times New Roman" w:hAnsi="Arial Narrow" w:cs="Arial"/>
                <w:sz w:val="20"/>
                <w:szCs w:val="20"/>
              </w:rPr>
            </w:pPr>
          </w:p>
          <w:p w:rsidR="00B11696"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AND</w:t>
            </w:r>
          </w:p>
          <w:p w:rsidR="00B11696" w:rsidRPr="00D571D4" w:rsidRDefault="00B11696" w:rsidP="00D92D17">
            <w:pPr>
              <w:widowControl w:val="0"/>
              <w:spacing w:after="0" w:line="240" w:lineRule="auto"/>
              <w:rPr>
                <w:rFonts w:ascii="Arial Narrow" w:eastAsia="Times New Roman" w:hAnsi="Arial Narrow" w:cs="Arial"/>
                <w:sz w:val="20"/>
                <w:szCs w:val="20"/>
              </w:rPr>
            </w:pPr>
          </w:p>
          <w:p w:rsidR="00B11696" w:rsidRPr="00D571D4" w:rsidRDefault="00B11696" w:rsidP="003C284A">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 xml:space="preserve">Must be treated by a </w:t>
            </w:r>
            <w:r>
              <w:rPr>
                <w:rFonts w:ascii="Arial Narrow" w:eastAsia="Times New Roman" w:hAnsi="Arial Narrow" w:cs="Arial"/>
                <w:sz w:val="20"/>
                <w:szCs w:val="20"/>
              </w:rPr>
              <w:t>paediatrician or specialist</w:t>
            </w:r>
            <w:r w:rsidRPr="00D571D4">
              <w:rPr>
                <w:rFonts w:ascii="Arial Narrow" w:eastAsia="Times New Roman" w:hAnsi="Arial Narrow" w:cs="Arial"/>
                <w:sz w:val="20"/>
                <w:szCs w:val="20"/>
              </w:rPr>
              <w:t xml:space="preserve"> </w:t>
            </w:r>
            <w:r>
              <w:rPr>
                <w:rFonts w:ascii="Arial Narrow" w:eastAsia="Times New Roman" w:hAnsi="Arial Narrow" w:cs="Arial"/>
                <w:sz w:val="20"/>
                <w:szCs w:val="20"/>
              </w:rPr>
              <w:t xml:space="preserve">physician </w:t>
            </w:r>
            <w:r w:rsidRPr="00D571D4">
              <w:rPr>
                <w:rFonts w:ascii="Arial Narrow" w:eastAsia="Times New Roman" w:hAnsi="Arial Narrow" w:cs="Arial"/>
                <w:sz w:val="20"/>
                <w:szCs w:val="20"/>
              </w:rPr>
              <w:t>with experience in the management of patients with tyrosinaemia type I or other inherited metabolic diseases.</w:t>
            </w:r>
          </w:p>
        </w:tc>
      </w:tr>
      <w:tr w:rsidR="00B11696" w:rsidRPr="00D571D4" w:rsidTr="009850FB">
        <w:trPr>
          <w:cantSplit/>
          <w:trHeight w:val="360"/>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Clinical criteria:</w:t>
            </w:r>
          </w:p>
          <w:p w:rsidR="00B11696" w:rsidRPr="00D571D4" w:rsidRDefault="00B11696" w:rsidP="00D92D17">
            <w:pPr>
              <w:widowControl w:val="0"/>
              <w:spacing w:after="0" w:line="240" w:lineRule="auto"/>
              <w:rPr>
                <w:rFonts w:ascii="Arial Narrow" w:eastAsia="Times New Roman" w:hAnsi="Arial Narrow" w:cs="Arial"/>
                <w:sz w:val="20"/>
                <w:szCs w:val="20"/>
              </w:rPr>
            </w:pPr>
          </w:p>
        </w:tc>
        <w:tc>
          <w:tcPr>
            <w:tcW w:w="3408" w:type="pct"/>
            <w:tcBorders>
              <w:top w:val="single" w:sz="4" w:space="0" w:color="auto"/>
              <w:left w:val="single" w:sz="4" w:space="0" w:color="auto"/>
              <w:bottom w:val="single" w:sz="4" w:space="0" w:color="auto"/>
              <w:right w:val="single" w:sz="4" w:space="0" w:color="auto"/>
            </w:tcBorders>
          </w:tcPr>
          <w:p w:rsidR="00B11696"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 xml:space="preserve">Patient must have a confirmed clinical diagnosis of tyrosinaemia type I based </w:t>
            </w:r>
            <w:r>
              <w:rPr>
                <w:rFonts w:ascii="Arial Narrow" w:eastAsia="Times New Roman" w:hAnsi="Arial Narrow" w:cs="Arial"/>
                <w:sz w:val="20"/>
                <w:szCs w:val="20"/>
              </w:rPr>
              <w:t xml:space="preserve">on </w:t>
            </w:r>
            <w:r w:rsidRPr="00D571D4">
              <w:rPr>
                <w:rFonts w:ascii="Arial Narrow" w:eastAsia="Times New Roman" w:hAnsi="Arial Narrow" w:cs="Arial"/>
                <w:sz w:val="20"/>
                <w:szCs w:val="20"/>
              </w:rPr>
              <w:t xml:space="preserve">detection of succinylacetone in the </w:t>
            </w:r>
            <w:r w:rsidRPr="005D709E">
              <w:rPr>
                <w:rFonts w:ascii="Arial Narrow" w:eastAsia="Times New Roman" w:hAnsi="Arial Narrow" w:cs="Arial"/>
                <w:sz w:val="20"/>
                <w:szCs w:val="20"/>
              </w:rPr>
              <w:t>urine and/or blood</w:t>
            </w:r>
            <w:r>
              <w:rPr>
                <w:rFonts w:ascii="Arial Narrow" w:eastAsia="Times New Roman" w:hAnsi="Arial Narrow" w:cs="Arial"/>
                <w:sz w:val="20"/>
                <w:szCs w:val="20"/>
              </w:rPr>
              <w:t xml:space="preserve"> </w:t>
            </w:r>
            <w:r w:rsidRPr="00D571D4">
              <w:rPr>
                <w:rFonts w:ascii="Arial Narrow" w:eastAsia="Times New Roman" w:hAnsi="Arial Narrow" w:cs="Arial"/>
                <w:sz w:val="20"/>
                <w:szCs w:val="20"/>
              </w:rPr>
              <w:t xml:space="preserve">by a National Association of Testing Authorities accredited laboratory. </w:t>
            </w:r>
          </w:p>
          <w:p w:rsidR="00B11696" w:rsidRPr="00D571D4" w:rsidRDefault="00B11696" w:rsidP="00D92D17">
            <w:pPr>
              <w:widowControl w:val="0"/>
              <w:spacing w:after="0" w:line="240" w:lineRule="auto"/>
              <w:rPr>
                <w:rFonts w:ascii="Arial Narrow" w:eastAsia="Times New Roman" w:hAnsi="Arial Narrow" w:cs="Arial"/>
                <w:sz w:val="20"/>
                <w:szCs w:val="20"/>
              </w:rPr>
            </w:pPr>
          </w:p>
          <w:p w:rsidR="00B11696" w:rsidRDefault="00B11696" w:rsidP="00D92D17">
            <w:pPr>
              <w:widowControl w:val="0"/>
              <w:spacing w:after="0" w:line="240" w:lineRule="auto"/>
              <w:rPr>
                <w:rFonts w:ascii="Arial Narrow" w:eastAsia="Times New Roman" w:hAnsi="Arial Narrow" w:cs="Arial"/>
                <w:sz w:val="20"/>
                <w:szCs w:val="20"/>
              </w:rPr>
            </w:pPr>
            <w:r w:rsidRPr="007736D9">
              <w:rPr>
                <w:rFonts w:ascii="Arial Narrow" w:eastAsia="Times New Roman" w:hAnsi="Arial Narrow" w:cs="Arial"/>
                <w:sz w:val="20"/>
                <w:szCs w:val="20"/>
              </w:rPr>
              <w:t>AND</w:t>
            </w:r>
          </w:p>
          <w:p w:rsidR="00B11696" w:rsidRPr="007736D9" w:rsidRDefault="00B11696" w:rsidP="00D92D17">
            <w:pPr>
              <w:widowControl w:val="0"/>
              <w:spacing w:after="0" w:line="240" w:lineRule="auto"/>
              <w:rPr>
                <w:rFonts w:ascii="Arial Narrow" w:eastAsia="Times New Roman" w:hAnsi="Arial Narrow" w:cs="Arial"/>
                <w:sz w:val="20"/>
                <w:szCs w:val="20"/>
              </w:rPr>
            </w:pPr>
          </w:p>
          <w:p w:rsidR="00B11696" w:rsidRPr="00D2490D" w:rsidRDefault="00B11696" w:rsidP="00D92D17">
            <w:pPr>
              <w:widowControl w:val="0"/>
              <w:spacing w:after="0" w:line="240" w:lineRule="auto"/>
              <w:rPr>
                <w:rFonts w:ascii="Arial Narrow" w:eastAsia="Times New Roman" w:hAnsi="Arial Narrow" w:cs="Arial"/>
                <w:sz w:val="20"/>
                <w:szCs w:val="20"/>
              </w:rPr>
            </w:pPr>
            <w:r w:rsidRPr="00D2490D">
              <w:rPr>
                <w:rFonts w:ascii="Arial Narrow" w:eastAsia="Times New Roman" w:hAnsi="Arial Narrow" w:cs="Arial"/>
                <w:sz w:val="20"/>
                <w:szCs w:val="20"/>
              </w:rPr>
              <w:t>The treatment must be administered in combination with dietary restriction of tyrosine and phenylalanine.</w:t>
            </w:r>
          </w:p>
        </w:tc>
      </w:tr>
      <w:tr w:rsidR="00B11696" w:rsidRPr="00D571D4" w:rsidTr="009850FB">
        <w:trPr>
          <w:cantSplit/>
          <w:trHeight w:val="360"/>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Pr>
                <w:rFonts w:ascii="Arial Narrow" w:eastAsia="Times New Roman" w:hAnsi="Arial Narrow" w:cs="Arial"/>
                <w:b/>
                <w:sz w:val="20"/>
                <w:szCs w:val="20"/>
              </w:rPr>
              <w:t>Prescriber Instructions:</w:t>
            </w:r>
          </w:p>
        </w:tc>
        <w:tc>
          <w:tcPr>
            <w:tcW w:w="3408"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Pr>
                <w:rFonts w:ascii="Arial Narrow" w:hAnsi="Arial Narrow" w:cs="Arial"/>
                <w:sz w:val="20"/>
                <w:szCs w:val="20"/>
              </w:rPr>
              <w:t>At the time of A</w:t>
            </w:r>
            <w:r w:rsidRPr="00274D87">
              <w:rPr>
                <w:rFonts w:ascii="Arial Narrow" w:hAnsi="Arial Narrow" w:cs="Arial"/>
                <w:sz w:val="20"/>
                <w:szCs w:val="20"/>
              </w:rPr>
              <w:t>uthority a</w:t>
            </w:r>
            <w:r>
              <w:rPr>
                <w:rFonts w:ascii="Arial Narrow" w:hAnsi="Arial Narrow" w:cs="Arial"/>
                <w:sz w:val="20"/>
                <w:szCs w:val="20"/>
              </w:rPr>
              <w:t>pplication, prescribers should advise the weight of the patient.</w:t>
            </w:r>
          </w:p>
        </w:tc>
      </w:tr>
      <w:tr w:rsidR="00B11696" w:rsidRPr="00D571D4" w:rsidTr="009850FB">
        <w:trPr>
          <w:cantSplit/>
          <w:trHeight w:val="360"/>
          <w:jc w:val="center"/>
        </w:trPr>
        <w:tc>
          <w:tcPr>
            <w:tcW w:w="1592"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lastRenderedPageBreak/>
              <w:t>Administrative Advice</w:t>
            </w:r>
            <w:r>
              <w:rPr>
                <w:rFonts w:ascii="Arial Narrow" w:eastAsia="Times New Roman" w:hAnsi="Arial Narrow" w:cs="Arial"/>
                <w:b/>
                <w:sz w:val="20"/>
                <w:szCs w:val="20"/>
              </w:rPr>
              <w:t>:</w:t>
            </w:r>
          </w:p>
        </w:tc>
        <w:tc>
          <w:tcPr>
            <w:tcW w:w="3408" w:type="pct"/>
            <w:tcBorders>
              <w:top w:val="single" w:sz="4" w:space="0" w:color="auto"/>
              <w:left w:val="single" w:sz="4" w:space="0" w:color="auto"/>
              <w:bottom w:val="single" w:sz="4" w:space="0" w:color="auto"/>
              <w:right w:val="single" w:sz="4" w:space="0" w:color="auto"/>
            </w:tcBorders>
          </w:tcPr>
          <w:p w:rsidR="00B11696"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Increased maximum quantities may be requested from the Department of Human Services and should be based on a dosing regimen of 1 to 2 mg/kg/day.</w:t>
            </w:r>
          </w:p>
          <w:p w:rsidR="00B11696" w:rsidRDefault="00B11696" w:rsidP="00D92D17">
            <w:pPr>
              <w:widowControl w:val="0"/>
              <w:spacing w:after="0" w:line="240" w:lineRule="auto"/>
              <w:rPr>
                <w:rFonts w:ascii="Arial Narrow" w:eastAsia="Times New Roman" w:hAnsi="Arial Narrow" w:cs="Arial"/>
                <w:sz w:val="20"/>
                <w:szCs w:val="20"/>
              </w:rPr>
            </w:pP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Any queries concerning the arrangements to prescribe may be directed to the Department of Human Services on 180</w:t>
            </w:r>
            <w:r>
              <w:rPr>
                <w:rFonts w:ascii="Arial Narrow" w:hAnsi="Arial Narrow" w:cs="Arial"/>
                <w:sz w:val="20"/>
                <w:szCs w:val="20"/>
              </w:rPr>
              <w:t>0 700 270 (hours of operation 8 </w:t>
            </w:r>
            <w:r w:rsidRPr="00F25052">
              <w:rPr>
                <w:rFonts w:ascii="Arial Narrow" w:hAnsi="Arial Narrow" w:cs="Arial"/>
                <w:sz w:val="20"/>
                <w:szCs w:val="20"/>
              </w:rPr>
              <w:t xml:space="preserve">a.m. to 5 p.m. EST Monday to Friday). </w:t>
            </w: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Prescribing information (including Authority Application forms and other relevant documentation as applicable) is available on the Department of Human Services website at www.humanservices.gov.au</w:t>
            </w: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 xml:space="preserve">Applications for authority to prescribe should be forwarded to: </w:t>
            </w: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Department of Human Services</w:t>
            </w: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 xml:space="preserve">Prior Written Approval of Complex Drugs </w:t>
            </w: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 xml:space="preserve">Reply Paid 9826 </w:t>
            </w: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 xml:space="preserve">GPO Box 9826 </w:t>
            </w:r>
          </w:p>
          <w:p w:rsidR="00B11696" w:rsidRPr="00D571D4" w:rsidRDefault="00B11696" w:rsidP="00D92D17">
            <w:pPr>
              <w:widowControl w:val="0"/>
              <w:spacing w:after="0" w:line="240" w:lineRule="auto"/>
              <w:rPr>
                <w:rFonts w:ascii="Arial Narrow" w:eastAsia="Times New Roman" w:hAnsi="Arial Narrow" w:cs="Arial"/>
                <w:sz w:val="20"/>
                <w:szCs w:val="20"/>
              </w:rPr>
            </w:pPr>
            <w:r w:rsidRPr="00F25052">
              <w:rPr>
                <w:rFonts w:ascii="Arial Narrow" w:hAnsi="Arial Narrow" w:cs="Arial"/>
                <w:sz w:val="20"/>
                <w:szCs w:val="20"/>
              </w:rPr>
              <w:t>HOBART TAS 7001</w:t>
            </w:r>
          </w:p>
        </w:tc>
      </w:tr>
    </w:tbl>
    <w:p w:rsidR="00B11696" w:rsidRPr="00F14295" w:rsidRDefault="00B11696" w:rsidP="00B11696">
      <w:pPr>
        <w:rPr>
          <w:rFonts w:ascii="Arial" w:hAnsi="Arial" w:cs="Arial"/>
          <w:sz w:val="22"/>
          <w:u w:val="single"/>
        </w:rPr>
      </w:pPr>
    </w:p>
    <w:tbl>
      <w:tblPr>
        <w:tblW w:w="5000" w:type="pct"/>
        <w:tblLayout w:type="fixed"/>
        <w:tblLook w:val="0000" w:firstRow="0" w:lastRow="0" w:firstColumn="0" w:lastColumn="0" w:noHBand="0" w:noVBand="0"/>
      </w:tblPr>
      <w:tblGrid>
        <w:gridCol w:w="2941"/>
        <w:gridCol w:w="6301"/>
      </w:tblGrid>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260CE3" w:rsidRDefault="00B11696" w:rsidP="00D92D17">
            <w:pPr>
              <w:spacing w:after="0" w:line="240" w:lineRule="auto"/>
              <w:jc w:val="both"/>
              <w:rPr>
                <w:rFonts w:ascii="Arial Narrow" w:hAnsi="Arial Narrow" w:cs="Arial"/>
                <w:b/>
                <w:sz w:val="20"/>
                <w:szCs w:val="20"/>
              </w:rPr>
            </w:pPr>
            <w:r w:rsidRPr="00260CE3">
              <w:rPr>
                <w:rFonts w:ascii="Arial Narrow" w:hAnsi="Arial Narrow" w:cs="Arial"/>
                <w:b/>
                <w:sz w:val="20"/>
                <w:szCs w:val="20"/>
              </w:rPr>
              <w:t xml:space="preserve">Category / </w:t>
            </w:r>
          </w:p>
          <w:p w:rsidR="00B11696" w:rsidRPr="00260CE3" w:rsidRDefault="00B11696" w:rsidP="00D92D17">
            <w:pPr>
              <w:spacing w:after="0" w:line="240" w:lineRule="auto"/>
              <w:jc w:val="both"/>
              <w:rPr>
                <w:rFonts w:ascii="Arial Narrow" w:hAnsi="Arial Narrow" w:cs="Arial"/>
                <w:b/>
                <w:sz w:val="20"/>
                <w:szCs w:val="20"/>
              </w:rPr>
            </w:pPr>
            <w:r w:rsidRPr="00260CE3">
              <w:rPr>
                <w:rFonts w:ascii="Arial Narrow" w:hAnsi="Arial Narrow" w:cs="Arial"/>
                <w:b/>
                <w:sz w:val="20"/>
                <w:szCs w:val="20"/>
              </w:rPr>
              <w:t>Program</w:t>
            </w:r>
          </w:p>
        </w:tc>
        <w:tc>
          <w:tcPr>
            <w:tcW w:w="3409" w:type="pct"/>
            <w:tcBorders>
              <w:top w:val="single" w:sz="4" w:space="0" w:color="auto"/>
              <w:left w:val="single" w:sz="4" w:space="0" w:color="auto"/>
              <w:bottom w:val="single" w:sz="4" w:space="0" w:color="auto"/>
              <w:right w:val="single" w:sz="4" w:space="0" w:color="auto"/>
            </w:tcBorders>
          </w:tcPr>
          <w:p w:rsidR="00B11696" w:rsidRPr="00260CE3" w:rsidRDefault="00B11696" w:rsidP="00D92D17">
            <w:pPr>
              <w:spacing w:after="0" w:line="240" w:lineRule="auto"/>
              <w:rPr>
                <w:rFonts w:ascii="Arial Narrow" w:hAnsi="Arial Narrow" w:cs="Arial"/>
                <w:sz w:val="20"/>
                <w:szCs w:val="20"/>
              </w:rPr>
            </w:pPr>
            <w:r w:rsidRPr="00260CE3">
              <w:rPr>
                <w:rFonts w:ascii="Arial Narrow" w:hAnsi="Arial Narrow" w:cs="Arial"/>
                <w:sz w:val="20"/>
                <w:szCs w:val="20"/>
              </w:rPr>
              <w:t>Section 100 – H</w:t>
            </w:r>
            <w:r>
              <w:rPr>
                <w:rFonts w:ascii="Arial Narrow" w:hAnsi="Arial Narrow" w:cs="Arial"/>
                <w:sz w:val="20"/>
                <w:szCs w:val="20"/>
              </w:rPr>
              <w:t>ighly Specialised Drugs Program</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Default="00B11696" w:rsidP="00D92D17">
            <w:pPr>
              <w:spacing w:after="0" w:line="240" w:lineRule="auto"/>
              <w:jc w:val="both"/>
              <w:rPr>
                <w:rFonts w:ascii="Arial Narrow" w:hAnsi="Arial Narrow" w:cs="Arial"/>
                <w:b/>
                <w:sz w:val="20"/>
                <w:szCs w:val="20"/>
              </w:rPr>
            </w:pPr>
            <w:r w:rsidRPr="00260CE3">
              <w:rPr>
                <w:rFonts w:ascii="Arial Narrow" w:hAnsi="Arial Narrow" w:cs="Arial"/>
                <w:b/>
                <w:sz w:val="20"/>
                <w:szCs w:val="20"/>
              </w:rPr>
              <w:t>Prescriber type:</w:t>
            </w:r>
          </w:p>
          <w:p w:rsidR="00B11696" w:rsidRPr="00260CE3" w:rsidRDefault="00B11696" w:rsidP="00D92D17">
            <w:pPr>
              <w:spacing w:after="0" w:line="240" w:lineRule="auto"/>
              <w:jc w:val="both"/>
              <w:rPr>
                <w:rFonts w:ascii="Arial Narrow" w:hAnsi="Arial Narrow" w:cs="Arial"/>
                <w:b/>
                <w:sz w:val="20"/>
                <w:szCs w:val="20"/>
              </w:rPr>
            </w:pPr>
          </w:p>
        </w:tc>
        <w:tc>
          <w:tcPr>
            <w:tcW w:w="3409" w:type="pct"/>
            <w:tcBorders>
              <w:top w:val="single" w:sz="4" w:space="0" w:color="auto"/>
              <w:left w:val="single" w:sz="4" w:space="0" w:color="auto"/>
              <w:bottom w:val="single" w:sz="4" w:space="0" w:color="auto"/>
              <w:right w:val="single" w:sz="4" w:space="0" w:color="auto"/>
            </w:tcBorders>
          </w:tcPr>
          <w:p w:rsidR="00B11696" w:rsidRPr="00260CE3" w:rsidRDefault="00B11696" w:rsidP="00D92D17">
            <w:pPr>
              <w:spacing w:after="0" w:line="240" w:lineRule="auto"/>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B11696" w:rsidRPr="00260CE3" w:rsidRDefault="00B11696" w:rsidP="00D92D17">
            <w:pPr>
              <w:spacing w:after="0" w:line="240" w:lineRule="auto"/>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Condition:</w:t>
            </w:r>
          </w:p>
        </w:tc>
        <w:tc>
          <w:tcPr>
            <w:tcW w:w="3409"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Tyrosinaemia type I</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b/>
                <w:sz w:val="20"/>
                <w:szCs w:val="20"/>
              </w:rPr>
            </w:pPr>
            <w:r w:rsidRPr="00D571D4">
              <w:rPr>
                <w:rFonts w:ascii="Arial Narrow" w:eastAsia="Times New Roman" w:hAnsi="Arial Narrow" w:cs="Arial"/>
                <w:b/>
                <w:sz w:val="20"/>
                <w:szCs w:val="20"/>
              </w:rPr>
              <w:t>PBS Indication</w:t>
            </w:r>
          </w:p>
        </w:tc>
        <w:tc>
          <w:tcPr>
            <w:tcW w:w="3409"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Tyrosinaemia type I</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1A2C79" w:rsidRDefault="00B11696" w:rsidP="00D92D17">
            <w:pPr>
              <w:spacing w:after="0" w:line="240" w:lineRule="auto"/>
              <w:jc w:val="both"/>
              <w:rPr>
                <w:rFonts w:ascii="Arial Narrow" w:hAnsi="Arial Narrow" w:cs="Arial"/>
                <w:b/>
                <w:sz w:val="20"/>
                <w:szCs w:val="20"/>
              </w:rPr>
            </w:pPr>
            <w:r w:rsidRPr="00260CE3">
              <w:rPr>
                <w:rFonts w:ascii="Arial Narrow" w:hAnsi="Arial Narrow" w:cs="Arial"/>
                <w:b/>
                <w:sz w:val="20"/>
                <w:szCs w:val="20"/>
              </w:rPr>
              <w:t>Treatment phase:</w:t>
            </w:r>
          </w:p>
        </w:tc>
        <w:tc>
          <w:tcPr>
            <w:tcW w:w="3409" w:type="pct"/>
            <w:tcBorders>
              <w:top w:val="single" w:sz="4" w:space="0" w:color="auto"/>
              <w:left w:val="single" w:sz="4" w:space="0" w:color="auto"/>
              <w:bottom w:val="single" w:sz="4" w:space="0" w:color="auto"/>
              <w:right w:val="single" w:sz="4" w:space="0" w:color="auto"/>
            </w:tcBorders>
          </w:tcPr>
          <w:p w:rsidR="00B11696" w:rsidRPr="00260CE3" w:rsidRDefault="00B11696" w:rsidP="00D92D17">
            <w:pPr>
              <w:spacing w:after="0" w:line="240" w:lineRule="auto"/>
              <w:rPr>
                <w:rFonts w:ascii="Arial Narrow" w:hAnsi="Arial Narrow" w:cs="Arial"/>
                <w:sz w:val="20"/>
                <w:szCs w:val="20"/>
              </w:rPr>
            </w:pPr>
            <w:r>
              <w:rPr>
                <w:rFonts w:ascii="Arial Narrow" w:hAnsi="Arial Narrow" w:cs="Arial"/>
                <w:sz w:val="20"/>
                <w:szCs w:val="20"/>
              </w:rPr>
              <w:t>Continuing</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260CE3" w:rsidRDefault="00B11696" w:rsidP="00D92D17">
            <w:pPr>
              <w:spacing w:after="0" w:line="240" w:lineRule="auto"/>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B11696" w:rsidRDefault="00B11696" w:rsidP="00D92D17">
            <w:pPr>
              <w:spacing w:after="0" w:line="240" w:lineRule="auto"/>
              <w:rPr>
                <w:rFonts w:ascii="Arial Narrow" w:hAnsi="Arial Narrow" w:cs="Arial"/>
                <w:i/>
                <w:sz w:val="20"/>
                <w:szCs w:val="20"/>
                <w:highlight w:val="yellow"/>
              </w:rPr>
            </w:pPr>
          </w:p>
          <w:p w:rsidR="00B11696" w:rsidRPr="00CD28F3" w:rsidRDefault="00B11696" w:rsidP="00D92D17">
            <w:pPr>
              <w:spacing w:after="0" w:line="240" w:lineRule="auto"/>
              <w:rPr>
                <w:rFonts w:ascii="Arial Narrow" w:hAnsi="Arial Narrow" w:cs="Arial"/>
                <w:i/>
                <w:sz w:val="20"/>
                <w:szCs w:val="20"/>
              </w:rPr>
            </w:pPr>
          </w:p>
        </w:tc>
        <w:tc>
          <w:tcPr>
            <w:tcW w:w="3409" w:type="pct"/>
            <w:tcBorders>
              <w:top w:val="single" w:sz="4" w:space="0" w:color="auto"/>
              <w:left w:val="single" w:sz="4" w:space="0" w:color="auto"/>
              <w:bottom w:val="single" w:sz="4" w:space="0" w:color="auto"/>
              <w:right w:val="single" w:sz="4" w:space="0" w:color="auto"/>
            </w:tcBorders>
          </w:tcPr>
          <w:p w:rsidR="00B11696" w:rsidRPr="00106BCF" w:rsidRDefault="00B11696" w:rsidP="00D92D17">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1"/>
                  <w:enabled/>
                  <w:calcOnExit w:val="0"/>
                  <w:checkBox>
                    <w:sizeAuto/>
                    <w:default w:val="0"/>
                  </w:checkBox>
                </w:ffData>
              </w:fldChar>
            </w:r>
            <w:r w:rsidRPr="00106BCF">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Restricted benefit</w:t>
            </w:r>
          </w:p>
          <w:p w:rsidR="00B11696" w:rsidRPr="00106BCF" w:rsidRDefault="00B11696" w:rsidP="00D92D17">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In Writing</w:t>
            </w:r>
          </w:p>
          <w:p w:rsidR="00B11696" w:rsidRPr="00106BCF" w:rsidRDefault="00B11696" w:rsidP="00D92D17">
            <w:pPr>
              <w:spacing w:after="0" w:line="240" w:lineRule="auto"/>
              <w:rPr>
                <w:rFonts w:ascii="Arial Narrow" w:hAnsi="Arial Narrow" w:cs="Arial"/>
                <w:sz w:val="20"/>
                <w:szCs w:val="20"/>
              </w:rPr>
            </w:pPr>
            <w:r>
              <w:rPr>
                <w:rFonts w:ascii="Arial Narrow" w:hAnsi="Arial Narrow" w:cs="Arial"/>
                <w:sz w:val="20"/>
                <w:szCs w:val="20"/>
              </w:rPr>
              <w:fldChar w:fldCharType="begin">
                <w:ffData>
                  <w:name w:val="Check3"/>
                  <w:enabled/>
                  <w:calcOnExit w:val="0"/>
                  <w:checkBox>
                    <w:sizeAuto/>
                    <w:default w:val="1"/>
                  </w:checkBox>
                </w:ffData>
              </w:fldChar>
            </w:r>
            <w:bookmarkStart w:id="1" w:name="Check3"/>
            <w:r>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Pr>
                <w:rFonts w:ascii="Arial Narrow" w:hAnsi="Arial Narrow" w:cs="Arial"/>
                <w:sz w:val="20"/>
                <w:szCs w:val="20"/>
              </w:rPr>
              <w:fldChar w:fldCharType="end"/>
            </w:r>
            <w:bookmarkEnd w:id="1"/>
            <w:r w:rsidRPr="00106BCF">
              <w:rPr>
                <w:rFonts w:ascii="Arial Narrow" w:hAnsi="Arial Narrow" w:cs="Arial"/>
                <w:sz w:val="20"/>
                <w:szCs w:val="20"/>
              </w:rPr>
              <w:t>Authority Required - Telephone</w:t>
            </w:r>
          </w:p>
          <w:p w:rsidR="00B11696" w:rsidRPr="00106BCF" w:rsidRDefault="00B11696" w:rsidP="00D92D17">
            <w:pPr>
              <w:spacing w:after="0" w:line="240" w:lineRule="auto"/>
              <w:rPr>
                <w:rFonts w:ascii="Arial Narrow" w:hAnsi="Arial Narrow" w:cs="Arial"/>
                <w:sz w:val="20"/>
                <w:szCs w:val="20"/>
              </w:rPr>
            </w:pPr>
            <w:r>
              <w:rPr>
                <w:rFonts w:ascii="Arial Narrow" w:hAnsi="Arial Narrow" w:cs="Arial"/>
                <w:sz w:val="20"/>
                <w:szCs w:val="20"/>
              </w:rPr>
              <w:fldChar w:fldCharType="begin">
                <w:ffData>
                  <w:name w:val=""/>
                  <w:enabled/>
                  <w:calcOnExit w:val="0"/>
                  <w:checkBox>
                    <w:sizeAuto/>
                    <w:default w:val="1"/>
                  </w:checkBox>
                </w:ffData>
              </w:fldChar>
            </w:r>
            <w:r>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Pr>
                <w:rFonts w:ascii="Arial Narrow" w:hAnsi="Arial Narrow" w:cs="Arial"/>
                <w:sz w:val="20"/>
                <w:szCs w:val="20"/>
              </w:rPr>
              <w:fldChar w:fldCharType="end"/>
            </w:r>
            <w:r w:rsidRPr="00106BCF">
              <w:rPr>
                <w:rFonts w:ascii="Arial Narrow" w:hAnsi="Arial Narrow" w:cs="Arial"/>
                <w:sz w:val="20"/>
                <w:szCs w:val="20"/>
              </w:rPr>
              <w:t>Authority Required – Emergency</w:t>
            </w:r>
          </w:p>
          <w:p w:rsidR="00B11696" w:rsidRPr="00106BCF" w:rsidRDefault="00B11696" w:rsidP="00D92D17">
            <w:pPr>
              <w:spacing w:after="0" w:line="240" w:lineRule="auto"/>
              <w:rPr>
                <w:rFonts w:ascii="Arial Narrow" w:hAnsi="Arial Narrow" w:cs="Arial"/>
                <w:sz w:val="20"/>
                <w:szCs w:val="20"/>
              </w:rPr>
            </w:pPr>
            <w:r>
              <w:rPr>
                <w:rFonts w:ascii="Arial Narrow" w:hAnsi="Arial Narrow" w:cs="Arial"/>
                <w:sz w:val="20"/>
                <w:szCs w:val="20"/>
              </w:rPr>
              <w:fldChar w:fldCharType="begin">
                <w:ffData>
                  <w:name w:val="Check5"/>
                  <w:enabled/>
                  <w:calcOnExit w:val="0"/>
                  <w:checkBox>
                    <w:sizeAuto/>
                    <w:default w:val="1"/>
                  </w:checkBox>
                </w:ffData>
              </w:fldChar>
            </w:r>
            <w:bookmarkStart w:id="2" w:name="Check5"/>
            <w:r>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Pr>
                <w:rFonts w:ascii="Arial Narrow" w:hAnsi="Arial Narrow" w:cs="Arial"/>
                <w:sz w:val="20"/>
                <w:szCs w:val="20"/>
              </w:rPr>
              <w:fldChar w:fldCharType="end"/>
            </w:r>
            <w:bookmarkEnd w:id="2"/>
            <w:r w:rsidRPr="00106BCF">
              <w:rPr>
                <w:rFonts w:ascii="Arial Narrow" w:hAnsi="Arial Narrow" w:cs="Arial"/>
                <w:sz w:val="20"/>
                <w:szCs w:val="20"/>
              </w:rPr>
              <w:t>Authority Required - Electronic</w:t>
            </w:r>
          </w:p>
          <w:p w:rsidR="00B11696" w:rsidRPr="00260CE3" w:rsidRDefault="00B11696" w:rsidP="00D92D17">
            <w:pPr>
              <w:spacing w:after="0" w:line="240" w:lineRule="auto"/>
              <w:rPr>
                <w:rFonts w:ascii="Arial Narrow" w:hAnsi="Arial Narrow" w:cs="Arial"/>
                <w:sz w:val="20"/>
                <w:szCs w:val="20"/>
              </w:rPr>
            </w:pPr>
            <w:r w:rsidRPr="00106BCF">
              <w:rPr>
                <w:rFonts w:ascii="Arial Narrow" w:hAnsi="Arial Narrow" w:cs="Arial"/>
                <w:sz w:val="20"/>
                <w:szCs w:val="20"/>
              </w:rPr>
              <w:fldChar w:fldCharType="begin">
                <w:ffData>
                  <w:name w:val="Check5"/>
                  <w:enabled/>
                  <w:calcOnExit w:val="0"/>
                  <w:checkBox>
                    <w:sizeAuto/>
                    <w:default w:val="0"/>
                  </w:checkBox>
                </w:ffData>
              </w:fldChar>
            </w:r>
            <w:r w:rsidRPr="00106BCF">
              <w:rPr>
                <w:rFonts w:ascii="Arial Narrow" w:hAnsi="Arial Narrow" w:cs="Arial"/>
                <w:sz w:val="20"/>
                <w:szCs w:val="20"/>
              </w:rPr>
              <w:instrText xml:space="preserve"> FORMCHECKBOX </w:instrText>
            </w:r>
            <w:r w:rsidR="009928DE">
              <w:rPr>
                <w:rFonts w:ascii="Arial Narrow" w:hAnsi="Arial Narrow" w:cs="Arial"/>
                <w:sz w:val="20"/>
                <w:szCs w:val="20"/>
              </w:rPr>
            </w:r>
            <w:r w:rsidR="009928DE">
              <w:rPr>
                <w:rFonts w:ascii="Arial Narrow" w:hAnsi="Arial Narrow" w:cs="Arial"/>
                <w:sz w:val="20"/>
                <w:szCs w:val="20"/>
              </w:rPr>
              <w:fldChar w:fldCharType="separate"/>
            </w:r>
            <w:r w:rsidRPr="00106BCF">
              <w:rPr>
                <w:rFonts w:ascii="Arial Narrow" w:hAnsi="Arial Narrow" w:cs="Arial"/>
                <w:sz w:val="20"/>
                <w:szCs w:val="20"/>
              </w:rPr>
              <w:fldChar w:fldCharType="end"/>
            </w:r>
            <w:r w:rsidRPr="00106BCF">
              <w:rPr>
                <w:rFonts w:ascii="Arial Narrow" w:hAnsi="Arial Narrow" w:cs="Arial"/>
                <w:sz w:val="20"/>
                <w:szCs w:val="20"/>
              </w:rPr>
              <w:t>Streamlined</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260CE3" w:rsidRDefault="00B11696" w:rsidP="00D92D17">
            <w:pPr>
              <w:spacing w:after="0" w:line="240" w:lineRule="auto"/>
              <w:rPr>
                <w:rFonts w:ascii="Arial Narrow" w:hAnsi="Arial Narrow" w:cs="Arial"/>
                <w:b/>
                <w:sz w:val="20"/>
                <w:szCs w:val="20"/>
              </w:rPr>
            </w:pPr>
            <w:r w:rsidRPr="00260CE3">
              <w:rPr>
                <w:rFonts w:ascii="Arial Narrow" w:hAnsi="Arial Narrow" w:cs="Arial"/>
                <w:b/>
                <w:sz w:val="20"/>
                <w:szCs w:val="20"/>
              </w:rPr>
              <w:t>Treatment criteria:</w:t>
            </w:r>
          </w:p>
          <w:p w:rsidR="00B11696" w:rsidRPr="00260CE3" w:rsidRDefault="00B11696" w:rsidP="00D92D17">
            <w:pPr>
              <w:spacing w:after="0" w:line="240" w:lineRule="auto"/>
              <w:rPr>
                <w:rFonts w:ascii="Arial Narrow" w:hAnsi="Arial Narrow" w:cs="Arial"/>
                <w:sz w:val="20"/>
                <w:szCs w:val="20"/>
              </w:rPr>
            </w:pPr>
          </w:p>
        </w:tc>
        <w:tc>
          <w:tcPr>
            <w:tcW w:w="3409" w:type="pct"/>
            <w:tcBorders>
              <w:top w:val="single" w:sz="4" w:space="0" w:color="auto"/>
              <w:left w:val="single" w:sz="4" w:space="0" w:color="auto"/>
              <w:bottom w:val="single" w:sz="4" w:space="0" w:color="auto"/>
              <w:right w:val="single" w:sz="4" w:space="0" w:color="auto"/>
            </w:tcBorders>
          </w:tcPr>
          <w:p w:rsidR="00B11696" w:rsidRDefault="00B11696" w:rsidP="00D92D17">
            <w:pPr>
              <w:widowControl w:val="0"/>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Must be treated in</w:t>
            </w:r>
            <w:r>
              <w:rPr>
                <w:rFonts w:ascii="Arial Narrow" w:eastAsia="Times New Roman" w:hAnsi="Arial Narrow" w:cs="Arial"/>
                <w:sz w:val="20"/>
                <w:szCs w:val="20"/>
              </w:rPr>
              <w:t xml:space="preserve"> </w:t>
            </w:r>
            <w:r w:rsidRPr="00D571D4">
              <w:rPr>
                <w:rFonts w:ascii="Arial Narrow" w:eastAsia="Times New Roman" w:hAnsi="Arial Narrow" w:cs="Arial"/>
                <w:sz w:val="20"/>
                <w:szCs w:val="20"/>
              </w:rPr>
              <w:t>a centre with experience in metabolic disorders.</w:t>
            </w:r>
            <w:r>
              <w:rPr>
                <w:rFonts w:ascii="Arial Narrow" w:eastAsia="Times New Roman" w:hAnsi="Arial Narrow" w:cs="Arial"/>
                <w:sz w:val="20"/>
                <w:szCs w:val="20"/>
              </w:rPr>
              <w:t xml:space="preserve"> If attendance at such a centre is not possible because of geographical isolation, management (including prescribing) may be in consultation with such a centre. </w:t>
            </w:r>
          </w:p>
          <w:p w:rsidR="00B11696" w:rsidRDefault="00B11696" w:rsidP="00D92D17">
            <w:pPr>
              <w:spacing w:after="0" w:line="240" w:lineRule="auto"/>
              <w:rPr>
                <w:rFonts w:ascii="Arial Narrow" w:eastAsia="Times New Roman" w:hAnsi="Arial Narrow" w:cs="Arial"/>
                <w:sz w:val="20"/>
                <w:szCs w:val="20"/>
              </w:rPr>
            </w:pPr>
          </w:p>
          <w:p w:rsidR="00B11696" w:rsidRDefault="00B11696" w:rsidP="00D92D17">
            <w:pPr>
              <w:spacing w:after="0" w:line="240" w:lineRule="auto"/>
              <w:rPr>
                <w:rFonts w:ascii="Arial Narrow" w:eastAsia="Times New Roman" w:hAnsi="Arial Narrow" w:cs="Arial"/>
                <w:sz w:val="20"/>
                <w:szCs w:val="20"/>
              </w:rPr>
            </w:pPr>
            <w:r>
              <w:rPr>
                <w:rFonts w:ascii="Arial Narrow" w:eastAsia="Times New Roman" w:hAnsi="Arial Narrow" w:cs="Arial"/>
                <w:sz w:val="20"/>
                <w:szCs w:val="20"/>
              </w:rPr>
              <w:t>AND</w:t>
            </w:r>
          </w:p>
          <w:p w:rsidR="00B11696" w:rsidRDefault="00B11696" w:rsidP="00D92D17">
            <w:pPr>
              <w:spacing w:after="0" w:line="240" w:lineRule="auto"/>
              <w:rPr>
                <w:rFonts w:ascii="Arial Narrow" w:eastAsia="Times New Roman" w:hAnsi="Arial Narrow" w:cs="Arial"/>
                <w:sz w:val="20"/>
                <w:szCs w:val="20"/>
              </w:rPr>
            </w:pPr>
          </w:p>
          <w:p w:rsidR="00B11696" w:rsidRPr="00260CE3" w:rsidRDefault="00B11696" w:rsidP="00D92D17">
            <w:pPr>
              <w:spacing w:after="0" w:line="240" w:lineRule="auto"/>
              <w:rPr>
                <w:rFonts w:ascii="Arial Narrow" w:hAnsi="Arial Narrow" w:cs="Arial"/>
                <w:sz w:val="20"/>
                <w:szCs w:val="20"/>
              </w:rPr>
            </w:pPr>
            <w:r>
              <w:rPr>
                <w:rFonts w:ascii="Arial Narrow" w:eastAsia="Times New Roman" w:hAnsi="Arial Narrow" w:cs="Arial"/>
                <w:sz w:val="20"/>
                <w:szCs w:val="20"/>
              </w:rPr>
              <w:t xml:space="preserve">Must be </w:t>
            </w:r>
            <w:r w:rsidRPr="004D43E9">
              <w:rPr>
                <w:rFonts w:ascii="Arial Narrow" w:eastAsia="Times New Roman" w:hAnsi="Arial Narrow" w:cs="Arial"/>
                <w:sz w:val="20"/>
                <w:szCs w:val="20"/>
              </w:rPr>
              <w:t>treated by, or in consultation with, a</w:t>
            </w:r>
            <w:r>
              <w:rPr>
                <w:rFonts w:ascii="Arial Narrow" w:eastAsia="Times New Roman" w:hAnsi="Arial Narrow" w:cs="Arial"/>
                <w:sz w:val="20"/>
                <w:szCs w:val="20"/>
              </w:rPr>
              <w:t xml:space="preserve"> paediatrician or</w:t>
            </w:r>
            <w:r w:rsidRPr="00D571D4">
              <w:rPr>
                <w:rFonts w:ascii="Arial Narrow" w:eastAsia="Times New Roman" w:hAnsi="Arial Narrow" w:cs="Arial"/>
                <w:sz w:val="20"/>
                <w:szCs w:val="20"/>
              </w:rPr>
              <w:t xml:space="preserve"> </w:t>
            </w:r>
            <w:r>
              <w:rPr>
                <w:rFonts w:ascii="Arial Narrow" w:eastAsia="Times New Roman" w:hAnsi="Arial Narrow" w:cs="Arial"/>
                <w:sz w:val="20"/>
                <w:szCs w:val="20"/>
              </w:rPr>
              <w:t>specialist</w:t>
            </w:r>
            <w:r w:rsidRPr="00D571D4">
              <w:rPr>
                <w:rFonts w:ascii="Arial Narrow" w:eastAsia="Times New Roman" w:hAnsi="Arial Narrow" w:cs="Arial"/>
                <w:sz w:val="20"/>
                <w:szCs w:val="20"/>
              </w:rPr>
              <w:t xml:space="preserve"> </w:t>
            </w:r>
            <w:r>
              <w:rPr>
                <w:rFonts w:ascii="Arial Narrow" w:eastAsia="Times New Roman" w:hAnsi="Arial Narrow" w:cs="Arial"/>
                <w:sz w:val="20"/>
                <w:szCs w:val="20"/>
              </w:rPr>
              <w:t xml:space="preserve">physician </w:t>
            </w:r>
            <w:r w:rsidRPr="00D571D4">
              <w:rPr>
                <w:rFonts w:ascii="Arial Narrow" w:eastAsia="Times New Roman" w:hAnsi="Arial Narrow" w:cs="Arial"/>
                <w:sz w:val="20"/>
                <w:szCs w:val="20"/>
              </w:rPr>
              <w:t>with experience in the management of patients with tyrosinaemia type I or other inherited metabolic diseases.</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A26D04" w:rsidRDefault="00B11696" w:rsidP="00D92D17">
            <w:pPr>
              <w:spacing w:after="0" w:line="240" w:lineRule="auto"/>
              <w:jc w:val="both"/>
              <w:rPr>
                <w:rFonts w:ascii="Arial Narrow" w:hAnsi="Arial Narrow" w:cs="Arial"/>
                <w:b/>
                <w:sz w:val="20"/>
                <w:szCs w:val="20"/>
              </w:rPr>
            </w:pPr>
            <w:r w:rsidRPr="00260CE3">
              <w:rPr>
                <w:rFonts w:ascii="Arial Narrow" w:hAnsi="Arial Narrow" w:cs="Arial"/>
                <w:b/>
                <w:sz w:val="20"/>
                <w:szCs w:val="20"/>
              </w:rPr>
              <w:t>Clinical criteria:</w:t>
            </w:r>
          </w:p>
        </w:tc>
        <w:tc>
          <w:tcPr>
            <w:tcW w:w="3409" w:type="pct"/>
            <w:tcBorders>
              <w:top w:val="single" w:sz="4" w:space="0" w:color="auto"/>
              <w:left w:val="single" w:sz="4" w:space="0" w:color="auto"/>
              <w:bottom w:val="single" w:sz="4" w:space="0" w:color="auto"/>
              <w:right w:val="single" w:sz="4" w:space="0" w:color="auto"/>
            </w:tcBorders>
          </w:tcPr>
          <w:p w:rsidR="00B11696" w:rsidRDefault="00B11696" w:rsidP="00D92D17">
            <w:pPr>
              <w:widowControl w:val="0"/>
              <w:spacing w:after="0" w:line="240" w:lineRule="auto"/>
              <w:rPr>
                <w:rFonts w:ascii="Arial Narrow" w:eastAsia="Times New Roman" w:hAnsi="Arial Narrow" w:cs="Arial"/>
                <w:sz w:val="20"/>
                <w:szCs w:val="20"/>
              </w:rPr>
            </w:pPr>
            <w:r w:rsidRPr="004D43E9">
              <w:rPr>
                <w:rFonts w:ascii="Arial Narrow" w:eastAsia="Times New Roman" w:hAnsi="Arial Narrow" w:cs="Arial"/>
                <w:sz w:val="20"/>
                <w:szCs w:val="20"/>
              </w:rPr>
              <w:t>Patient must have previously received PBS-subsidised therapy with this drug for this condition.</w:t>
            </w:r>
          </w:p>
          <w:p w:rsidR="00B11696" w:rsidRPr="004D43E9" w:rsidRDefault="00B11696" w:rsidP="00D92D17">
            <w:pPr>
              <w:widowControl w:val="0"/>
              <w:spacing w:after="0" w:line="240" w:lineRule="auto"/>
              <w:rPr>
                <w:rFonts w:ascii="Arial Narrow" w:eastAsia="Times New Roman" w:hAnsi="Arial Narrow" w:cs="Arial"/>
                <w:sz w:val="20"/>
                <w:szCs w:val="20"/>
              </w:rPr>
            </w:pPr>
          </w:p>
          <w:p w:rsidR="00B11696" w:rsidRDefault="00B11696" w:rsidP="00D92D17">
            <w:pPr>
              <w:widowControl w:val="0"/>
              <w:spacing w:after="0" w:line="240" w:lineRule="auto"/>
              <w:rPr>
                <w:rFonts w:ascii="Arial Narrow" w:eastAsia="Times New Roman" w:hAnsi="Arial Narrow" w:cs="Arial"/>
                <w:sz w:val="20"/>
                <w:szCs w:val="20"/>
              </w:rPr>
            </w:pPr>
            <w:r>
              <w:rPr>
                <w:rFonts w:ascii="Arial Narrow" w:eastAsia="Times New Roman" w:hAnsi="Arial Narrow" w:cs="Arial"/>
                <w:sz w:val="20"/>
                <w:szCs w:val="20"/>
              </w:rPr>
              <w:t>AND</w:t>
            </w:r>
          </w:p>
          <w:p w:rsidR="00B11696" w:rsidRPr="00DB376C" w:rsidRDefault="00B11696" w:rsidP="00D92D17">
            <w:pPr>
              <w:widowControl w:val="0"/>
              <w:spacing w:after="0" w:line="240" w:lineRule="auto"/>
              <w:rPr>
                <w:rFonts w:ascii="Arial Narrow" w:eastAsia="Times New Roman" w:hAnsi="Arial Narrow" w:cs="Arial"/>
                <w:sz w:val="20"/>
                <w:szCs w:val="20"/>
              </w:rPr>
            </w:pPr>
          </w:p>
          <w:p w:rsidR="00B11696" w:rsidRPr="00260CE3" w:rsidRDefault="00B11696" w:rsidP="00D92D17">
            <w:pPr>
              <w:spacing w:after="0" w:line="240" w:lineRule="auto"/>
              <w:rPr>
                <w:rFonts w:ascii="Arial Narrow" w:hAnsi="Arial Narrow" w:cs="Arial"/>
                <w:sz w:val="20"/>
                <w:szCs w:val="20"/>
              </w:rPr>
            </w:pPr>
            <w:r w:rsidRPr="00D2490D">
              <w:rPr>
                <w:rFonts w:ascii="Arial Narrow" w:eastAsia="Times New Roman" w:hAnsi="Arial Narrow" w:cs="Arial"/>
                <w:sz w:val="20"/>
                <w:szCs w:val="20"/>
              </w:rPr>
              <w:t>The treatment must be administered in combination with dietary restriction of tyrosine and phenylalanine.</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Default="00B11696" w:rsidP="00D92D17">
            <w:pPr>
              <w:spacing w:after="0" w:line="240" w:lineRule="auto"/>
              <w:jc w:val="both"/>
              <w:rPr>
                <w:rFonts w:ascii="Arial Narrow" w:hAnsi="Arial Narrow" w:cs="Arial"/>
                <w:b/>
                <w:sz w:val="20"/>
                <w:szCs w:val="20"/>
              </w:rPr>
            </w:pPr>
            <w:r>
              <w:rPr>
                <w:rFonts w:ascii="Arial Narrow" w:hAnsi="Arial Narrow" w:cs="Arial"/>
                <w:b/>
                <w:sz w:val="20"/>
                <w:szCs w:val="20"/>
              </w:rPr>
              <w:t>Prescriber Instructions:</w:t>
            </w:r>
          </w:p>
        </w:tc>
        <w:tc>
          <w:tcPr>
            <w:tcW w:w="3409" w:type="pct"/>
            <w:tcBorders>
              <w:top w:val="single" w:sz="4" w:space="0" w:color="auto"/>
              <w:left w:val="single" w:sz="4" w:space="0" w:color="auto"/>
              <w:bottom w:val="single" w:sz="4" w:space="0" w:color="auto"/>
              <w:right w:val="single" w:sz="4" w:space="0" w:color="auto"/>
            </w:tcBorders>
          </w:tcPr>
          <w:p w:rsidR="00B11696" w:rsidRPr="00D571D4" w:rsidRDefault="00B11696" w:rsidP="00D92D17">
            <w:pPr>
              <w:widowControl w:val="0"/>
              <w:spacing w:after="0" w:line="240" w:lineRule="auto"/>
              <w:rPr>
                <w:rFonts w:ascii="Arial Narrow" w:eastAsia="Times New Roman" w:hAnsi="Arial Narrow" w:cs="Arial"/>
                <w:sz w:val="20"/>
                <w:szCs w:val="20"/>
              </w:rPr>
            </w:pPr>
            <w:r>
              <w:rPr>
                <w:rFonts w:ascii="Arial Narrow" w:hAnsi="Arial Narrow" w:cs="Arial"/>
                <w:sz w:val="20"/>
                <w:szCs w:val="20"/>
              </w:rPr>
              <w:t>At the time of A</w:t>
            </w:r>
            <w:r w:rsidRPr="00274D87">
              <w:rPr>
                <w:rFonts w:ascii="Arial Narrow" w:hAnsi="Arial Narrow" w:cs="Arial"/>
                <w:sz w:val="20"/>
                <w:szCs w:val="20"/>
              </w:rPr>
              <w:t>uthority a</w:t>
            </w:r>
            <w:r>
              <w:rPr>
                <w:rFonts w:ascii="Arial Narrow" w:hAnsi="Arial Narrow" w:cs="Arial"/>
                <w:sz w:val="20"/>
                <w:szCs w:val="20"/>
              </w:rPr>
              <w:t xml:space="preserve">pplication, prescribers should document the weight of the patient in the patient’s record. </w:t>
            </w:r>
          </w:p>
        </w:tc>
      </w:tr>
      <w:tr w:rsidR="00B11696" w:rsidRPr="00260CE3" w:rsidTr="009850FB">
        <w:trPr>
          <w:cantSplit/>
          <w:trHeight w:val="360"/>
        </w:trPr>
        <w:tc>
          <w:tcPr>
            <w:tcW w:w="1591" w:type="pct"/>
            <w:tcBorders>
              <w:top w:val="single" w:sz="4" w:space="0" w:color="auto"/>
              <w:left w:val="single" w:sz="4" w:space="0" w:color="auto"/>
              <w:bottom w:val="single" w:sz="4" w:space="0" w:color="auto"/>
              <w:right w:val="single" w:sz="4" w:space="0" w:color="auto"/>
            </w:tcBorders>
          </w:tcPr>
          <w:p w:rsidR="00B11696" w:rsidRPr="00803811" w:rsidRDefault="00B11696" w:rsidP="00D92D17">
            <w:pPr>
              <w:spacing w:after="0" w:line="240" w:lineRule="auto"/>
              <w:jc w:val="both"/>
              <w:rPr>
                <w:rFonts w:ascii="Arial Narrow" w:hAnsi="Arial Narrow" w:cs="Arial"/>
                <w:b/>
                <w:sz w:val="20"/>
                <w:szCs w:val="20"/>
              </w:rPr>
            </w:pPr>
            <w:r>
              <w:rPr>
                <w:rFonts w:ascii="Arial Narrow" w:hAnsi="Arial Narrow" w:cs="Arial"/>
                <w:b/>
                <w:sz w:val="20"/>
                <w:szCs w:val="20"/>
              </w:rPr>
              <w:t>Administrative Advice:</w:t>
            </w:r>
          </w:p>
        </w:tc>
        <w:tc>
          <w:tcPr>
            <w:tcW w:w="3409" w:type="pct"/>
            <w:tcBorders>
              <w:top w:val="single" w:sz="4" w:space="0" w:color="auto"/>
              <w:left w:val="single" w:sz="4" w:space="0" w:color="auto"/>
              <w:bottom w:val="single" w:sz="4" w:space="0" w:color="auto"/>
              <w:right w:val="single" w:sz="4" w:space="0" w:color="auto"/>
            </w:tcBorders>
          </w:tcPr>
          <w:p w:rsidR="00B11696" w:rsidRDefault="00B11696" w:rsidP="00D92D17">
            <w:pPr>
              <w:spacing w:after="0" w:line="240" w:lineRule="auto"/>
              <w:rPr>
                <w:rFonts w:ascii="Arial Narrow" w:eastAsia="Times New Roman" w:hAnsi="Arial Narrow" w:cs="Arial"/>
                <w:sz w:val="20"/>
                <w:szCs w:val="20"/>
              </w:rPr>
            </w:pPr>
            <w:r w:rsidRPr="00D571D4">
              <w:rPr>
                <w:rFonts w:ascii="Arial Narrow" w:eastAsia="Times New Roman" w:hAnsi="Arial Narrow" w:cs="Arial"/>
                <w:sz w:val="20"/>
                <w:szCs w:val="20"/>
              </w:rPr>
              <w:t>Increased maximum quantities may be requested from the Department of Human Services and should be based on a dosing regimen of 1 to 2 mg/kg/day.</w:t>
            </w:r>
          </w:p>
          <w:p w:rsidR="00B11696" w:rsidRDefault="00B11696" w:rsidP="00D92D17">
            <w:pPr>
              <w:spacing w:after="0" w:line="240" w:lineRule="auto"/>
              <w:rPr>
                <w:rFonts w:ascii="Arial Narrow" w:hAnsi="Arial Narrow" w:cs="Arial"/>
                <w:i/>
                <w:sz w:val="20"/>
                <w:szCs w:val="20"/>
              </w:rPr>
            </w:pPr>
          </w:p>
          <w:p w:rsidR="00B11696" w:rsidRPr="00F25052" w:rsidRDefault="00B11696" w:rsidP="00D92D17">
            <w:pPr>
              <w:spacing w:after="0" w:line="240" w:lineRule="auto"/>
              <w:rPr>
                <w:rFonts w:ascii="Arial Narrow" w:hAnsi="Arial Narrow" w:cs="Arial"/>
                <w:sz w:val="20"/>
                <w:szCs w:val="20"/>
              </w:rPr>
            </w:pPr>
            <w:r w:rsidRPr="00F25052">
              <w:rPr>
                <w:rFonts w:ascii="Arial Narrow" w:hAnsi="Arial Narrow" w:cs="Arial"/>
                <w:sz w:val="20"/>
                <w:szCs w:val="20"/>
              </w:rPr>
              <w:t xml:space="preserve">Authority applications for continuing treatment may be made by telephone to the Department of Human Services on 1800 700 270 </w:t>
            </w:r>
            <w:r>
              <w:rPr>
                <w:rFonts w:ascii="Arial Narrow" w:hAnsi="Arial Narrow" w:cs="Arial"/>
                <w:sz w:val="20"/>
                <w:szCs w:val="20"/>
              </w:rPr>
              <w:t>(hours of operation 8 a.m. to 5 </w:t>
            </w:r>
            <w:r w:rsidRPr="00F25052">
              <w:rPr>
                <w:rFonts w:ascii="Arial Narrow" w:hAnsi="Arial Narrow" w:cs="Arial"/>
                <w:sz w:val="20"/>
                <w:szCs w:val="20"/>
              </w:rPr>
              <w:t>p.m. EST Monday to Friday).</w:t>
            </w:r>
          </w:p>
        </w:tc>
      </w:tr>
    </w:tbl>
    <w:p w:rsidR="00443634" w:rsidRDefault="00443634" w:rsidP="007F53D7">
      <w:pPr>
        <w:spacing w:after="0"/>
        <w:rPr>
          <w:rFonts w:ascii="Arial" w:hAnsi="Arial" w:cs="Arial"/>
          <w:sz w:val="22"/>
        </w:rPr>
      </w:pPr>
    </w:p>
    <w:p w:rsidR="00B11696" w:rsidRPr="00C44172" w:rsidRDefault="00B11696" w:rsidP="007F53D7">
      <w:pPr>
        <w:keepNext/>
        <w:rPr>
          <w:rFonts w:ascii="Arial" w:hAnsi="Arial" w:cs="Arial"/>
          <w:sz w:val="22"/>
        </w:rPr>
      </w:pPr>
      <w:r>
        <w:rPr>
          <w:rFonts w:ascii="Arial" w:hAnsi="Arial" w:cs="Arial"/>
          <w:sz w:val="22"/>
        </w:rPr>
        <w:lastRenderedPageBreak/>
        <w:t xml:space="preserve">The following restriction changes were agreed to at the Stakeholder meeting: </w:t>
      </w:r>
    </w:p>
    <w:p w:rsidR="00B11696" w:rsidRDefault="00B11696" w:rsidP="00B11696">
      <w:pPr>
        <w:pStyle w:val="ListParagraph"/>
        <w:numPr>
          <w:ilvl w:val="0"/>
          <w:numId w:val="7"/>
        </w:numPr>
        <w:rPr>
          <w:rFonts w:ascii="Arial" w:hAnsi="Arial" w:cs="Arial"/>
          <w:sz w:val="22"/>
        </w:rPr>
      </w:pPr>
      <w:r>
        <w:rPr>
          <w:rFonts w:ascii="Arial" w:hAnsi="Arial" w:cs="Arial"/>
          <w:sz w:val="22"/>
        </w:rPr>
        <w:t xml:space="preserve">The clinical criteria specifying clinical suspicion of HT-1 was removed, as it would be inappropriate in the context of a neonatal screening program for succinylacetone. </w:t>
      </w:r>
    </w:p>
    <w:p w:rsidR="00B11696" w:rsidRDefault="00B11696" w:rsidP="00B11696">
      <w:pPr>
        <w:pStyle w:val="ListParagraph"/>
        <w:numPr>
          <w:ilvl w:val="0"/>
          <w:numId w:val="7"/>
        </w:numPr>
        <w:rPr>
          <w:rFonts w:ascii="Arial" w:hAnsi="Arial" w:cs="Arial"/>
          <w:sz w:val="22"/>
        </w:rPr>
      </w:pPr>
      <w:r>
        <w:rPr>
          <w:rFonts w:ascii="Arial" w:hAnsi="Arial" w:cs="Arial"/>
          <w:sz w:val="22"/>
        </w:rPr>
        <w:t xml:space="preserve">“and/or blood” was added in the clinical criteria as blood spot testing is a common screen for succinylacetone. </w:t>
      </w:r>
    </w:p>
    <w:p w:rsidR="00B11696" w:rsidRDefault="00B11696" w:rsidP="00B11696">
      <w:pPr>
        <w:pStyle w:val="ListParagraph"/>
        <w:numPr>
          <w:ilvl w:val="0"/>
          <w:numId w:val="7"/>
        </w:numPr>
        <w:rPr>
          <w:rFonts w:ascii="Arial" w:hAnsi="Arial" w:cs="Arial"/>
          <w:sz w:val="22"/>
        </w:rPr>
      </w:pPr>
      <w:r>
        <w:rPr>
          <w:rFonts w:ascii="Arial" w:hAnsi="Arial" w:cs="Arial"/>
          <w:sz w:val="22"/>
        </w:rPr>
        <w:t xml:space="preserve">The clinical criteria specifying that patients must not have had a liver transplant was removed. </w:t>
      </w:r>
    </w:p>
    <w:p w:rsidR="006652A9" w:rsidRDefault="00B11696" w:rsidP="00B11696">
      <w:pPr>
        <w:pStyle w:val="ListParagraph"/>
        <w:numPr>
          <w:ilvl w:val="0"/>
          <w:numId w:val="7"/>
        </w:numPr>
        <w:rPr>
          <w:rFonts w:ascii="Arial" w:hAnsi="Arial" w:cs="Arial"/>
          <w:sz w:val="22"/>
        </w:rPr>
      </w:pPr>
      <w:r w:rsidRPr="006652A9">
        <w:rPr>
          <w:rFonts w:ascii="Arial" w:hAnsi="Arial" w:cs="Arial"/>
          <w:sz w:val="22"/>
        </w:rPr>
        <w:t xml:space="preserve">It was raised that the initial restriction’s </w:t>
      </w:r>
      <w:r w:rsidR="00BF4C8D" w:rsidRPr="006652A9">
        <w:rPr>
          <w:rFonts w:ascii="Arial" w:hAnsi="Arial" w:cs="Arial"/>
          <w:sz w:val="22"/>
        </w:rPr>
        <w:t>A</w:t>
      </w:r>
      <w:r w:rsidRPr="006652A9">
        <w:rPr>
          <w:rFonts w:ascii="Arial" w:hAnsi="Arial" w:cs="Arial"/>
          <w:sz w:val="22"/>
        </w:rPr>
        <w:t xml:space="preserve">uthority </w:t>
      </w:r>
      <w:r w:rsidR="00BF4C8D" w:rsidRPr="006652A9">
        <w:rPr>
          <w:rFonts w:ascii="Arial" w:hAnsi="Arial" w:cs="Arial"/>
          <w:sz w:val="22"/>
        </w:rPr>
        <w:t>R</w:t>
      </w:r>
      <w:r w:rsidRPr="006652A9">
        <w:rPr>
          <w:rFonts w:ascii="Arial" w:hAnsi="Arial" w:cs="Arial"/>
          <w:sz w:val="22"/>
        </w:rPr>
        <w:t xml:space="preserve">equired </w:t>
      </w:r>
      <w:r w:rsidR="00BF4C8D" w:rsidRPr="006652A9">
        <w:rPr>
          <w:rFonts w:ascii="Arial" w:hAnsi="Arial" w:cs="Arial"/>
          <w:sz w:val="22"/>
        </w:rPr>
        <w:t>(</w:t>
      </w:r>
      <w:r w:rsidRPr="006652A9">
        <w:rPr>
          <w:rFonts w:ascii="Arial" w:hAnsi="Arial" w:cs="Arial"/>
          <w:sz w:val="22"/>
        </w:rPr>
        <w:t>in writing</w:t>
      </w:r>
      <w:r w:rsidR="00BF4C8D" w:rsidRPr="006652A9">
        <w:rPr>
          <w:rFonts w:ascii="Arial" w:hAnsi="Arial" w:cs="Arial"/>
          <w:sz w:val="22"/>
        </w:rPr>
        <w:t>)</w:t>
      </w:r>
      <w:r w:rsidRPr="006652A9">
        <w:rPr>
          <w:rFonts w:ascii="Arial" w:hAnsi="Arial" w:cs="Arial"/>
          <w:sz w:val="22"/>
        </w:rPr>
        <w:t xml:space="preserve"> requirement may be detrimental to patients who are in immediate need of the drug. </w:t>
      </w:r>
    </w:p>
    <w:p w:rsidR="00B11696" w:rsidRPr="006652A9" w:rsidRDefault="00B11696" w:rsidP="00B11696">
      <w:pPr>
        <w:pStyle w:val="ListParagraph"/>
        <w:numPr>
          <w:ilvl w:val="0"/>
          <w:numId w:val="7"/>
        </w:numPr>
        <w:rPr>
          <w:rFonts w:ascii="Arial" w:hAnsi="Arial" w:cs="Arial"/>
          <w:sz w:val="22"/>
        </w:rPr>
      </w:pPr>
      <w:r w:rsidRPr="006652A9">
        <w:rPr>
          <w:rFonts w:ascii="Arial" w:hAnsi="Arial" w:cs="Arial"/>
          <w:sz w:val="22"/>
        </w:rPr>
        <w:t xml:space="preserve">It was agreed that it would be preferable for patients to be treated by a paediatrician or specialist physician with experience in the management of patients with </w:t>
      </w:r>
      <w:r w:rsidR="007F53D7" w:rsidRPr="006652A9">
        <w:rPr>
          <w:rFonts w:ascii="Arial" w:hAnsi="Arial" w:cs="Arial"/>
          <w:sz w:val="22"/>
        </w:rPr>
        <w:t>HT-1</w:t>
      </w:r>
      <w:r w:rsidRPr="006652A9">
        <w:rPr>
          <w:rFonts w:ascii="Arial" w:hAnsi="Arial" w:cs="Arial"/>
          <w:sz w:val="22"/>
        </w:rPr>
        <w:t xml:space="preserve"> or other metabolic diseases. However, “in consultation with” was added to the continuing treatment criteria with the intention of </w:t>
      </w:r>
      <w:r w:rsidR="00BF4C8D" w:rsidRPr="006652A9">
        <w:rPr>
          <w:rFonts w:ascii="Arial" w:hAnsi="Arial" w:cs="Arial"/>
          <w:sz w:val="22"/>
        </w:rPr>
        <w:t xml:space="preserve">ensuring </w:t>
      </w:r>
      <w:r w:rsidRPr="006652A9">
        <w:rPr>
          <w:rFonts w:ascii="Arial" w:hAnsi="Arial" w:cs="Arial"/>
          <w:sz w:val="22"/>
        </w:rPr>
        <w:t>equity of access for patients living in rural and regional areas.</w:t>
      </w:r>
    </w:p>
    <w:p w:rsidR="00B11696" w:rsidRPr="0088767E" w:rsidRDefault="00B11696" w:rsidP="00B11696">
      <w:pPr>
        <w:keepNext/>
        <w:rPr>
          <w:rFonts w:ascii="Arial" w:hAnsi="Arial" w:cs="Arial"/>
          <w:sz w:val="22"/>
        </w:rPr>
      </w:pPr>
      <w:r>
        <w:rPr>
          <w:rFonts w:ascii="Arial" w:hAnsi="Arial" w:cs="Arial"/>
          <w:sz w:val="22"/>
        </w:rPr>
        <w:t>Further n</w:t>
      </w:r>
      <w:r w:rsidRPr="0088767E">
        <w:rPr>
          <w:rFonts w:ascii="Arial" w:hAnsi="Arial" w:cs="Arial"/>
          <w:sz w:val="22"/>
        </w:rPr>
        <w:t>otes on the restriction:</w:t>
      </w:r>
    </w:p>
    <w:p w:rsidR="00B11696" w:rsidRDefault="00B11696" w:rsidP="00B11696">
      <w:pPr>
        <w:pStyle w:val="ListParagraph"/>
        <w:numPr>
          <w:ilvl w:val="0"/>
          <w:numId w:val="7"/>
        </w:numPr>
        <w:rPr>
          <w:rFonts w:ascii="Arial" w:hAnsi="Arial" w:cs="Arial"/>
          <w:sz w:val="22"/>
        </w:rPr>
      </w:pPr>
      <w:r>
        <w:rPr>
          <w:rFonts w:ascii="Arial" w:hAnsi="Arial" w:cs="Arial"/>
          <w:sz w:val="22"/>
        </w:rPr>
        <w:t>Prescribers will need to document the weight of the patient when giving the prescription (as required in Prescriber Instructions), as the dose is determined based on patient weight.</w:t>
      </w:r>
    </w:p>
    <w:p w:rsidR="00B11696" w:rsidRPr="00C44172" w:rsidRDefault="00B11696" w:rsidP="00B11696">
      <w:pPr>
        <w:pStyle w:val="ListParagraph"/>
        <w:numPr>
          <w:ilvl w:val="0"/>
          <w:numId w:val="7"/>
        </w:numPr>
        <w:rPr>
          <w:rFonts w:ascii="Arial" w:hAnsi="Arial" w:cs="Arial"/>
          <w:sz w:val="22"/>
        </w:rPr>
      </w:pPr>
      <w:r>
        <w:rPr>
          <w:rFonts w:ascii="Arial" w:hAnsi="Arial" w:cs="Arial"/>
          <w:sz w:val="22"/>
        </w:rPr>
        <w:t xml:space="preserve">The </w:t>
      </w:r>
      <w:r w:rsidRPr="00C44172">
        <w:rPr>
          <w:rFonts w:ascii="Arial" w:hAnsi="Arial" w:cs="Arial"/>
          <w:sz w:val="22"/>
        </w:rPr>
        <w:t xml:space="preserve">continuing </w:t>
      </w:r>
      <w:r>
        <w:rPr>
          <w:rFonts w:ascii="Arial" w:hAnsi="Arial" w:cs="Arial"/>
          <w:sz w:val="22"/>
        </w:rPr>
        <w:t xml:space="preserve">authority </w:t>
      </w:r>
      <w:r w:rsidRPr="00C44172">
        <w:rPr>
          <w:rFonts w:ascii="Arial" w:hAnsi="Arial" w:cs="Arial"/>
          <w:sz w:val="22"/>
        </w:rPr>
        <w:t xml:space="preserve">by telephone </w:t>
      </w:r>
      <w:r>
        <w:rPr>
          <w:rFonts w:ascii="Arial" w:hAnsi="Arial" w:cs="Arial"/>
          <w:sz w:val="22"/>
        </w:rPr>
        <w:t>is intended</w:t>
      </w:r>
      <w:r w:rsidRPr="00C44172">
        <w:rPr>
          <w:rFonts w:ascii="Arial" w:hAnsi="Arial" w:cs="Arial"/>
          <w:sz w:val="22"/>
        </w:rPr>
        <w:t xml:space="preserve"> to reduce the burden on prescriber</w:t>
      </w:r>
      <w:r>
        <w:rPr>
          <w:rFonts w:ascii="Arial" w:hAnsi="Arial" w:cs="Arial"/>
          <w:sz w:val="22"/>
        </w:rPr>
        <w:t>s, as nitisinone is a life-long therapy.</w:t>
      </w:r>
    </w:p>
    <w:p w:rsidR="00B11696" w:rsidRPr="005E7319" w:rsidRDefault="006652A9" w:rsidP="00B11696">
      <w:pPr>
        <w:pStyle w:val="ListParagraph"/>
        <w:numPr>
          <w:ilvl w:val="0"/>
          <w:numId w:val="6"/>
        </w:numPr>
        <w:rPr>
          <w:rFonts w:ascii="Arial" w:hAnsi="Arial" w:cs="Arial"/>
          <w:sz w:val="22"/>
        </w:rPr>
      </w:pPr>
      <w:r>
        <w:rPr>
          <w:rFonts w:ascii="Arial" w:hAnsi="Arial" w:cs="Arial"/>
          <w:sz w:val="22"/>
        </w:rPr>
        <w:t xml:space="preserve">In time, when technically possible, it would be preferred that continuing supplies be obtained under a Streamlined listing. </w:t>
      </w:r>
    </w:p>
    <w:p w:rsidR="0028745E" w:rsidRDefault="00F0592A" w:rsidP="00927AD3">
      <w:pPr>
        <w:pStyle w:val="Heading2"/>
      </w:pPr>
      <w:r w:rsidRPr="00274D87">
        <w:t>Conclusion</w:t>
      </w:r>
    </w:p>
    <w:p w:rsidR="005E7319" w:rsidRPr="003F12AE" w:rsidRDefault="00A76542" w:rsidP="00274D87">
      <w:pPr>
        <w:rPr>
          <w:rFonts w:ascii="Arial Narrow" w:hAnsi="Arial Narrow" w:cs="Arial"/>
        </w:rPr>
      </w:pPr>
      <w:r>
        <w:rPr>
          <w:rFonts w:ascii="Arial" w:hAnsi="Arial" w:cs="Arial"/>
          <w:sz w:val="22"/>
        </w:rPr>
        <w:t>Representatives of the</w:t>
      </w:r>
      <w:r w:rsidR="005E7319" w:rsidRPr="003F12AE">
        <w:rPr>
          <w:rFonts w:ascii="Arial" w:hAnsi="Arial" w:cs="Arial"/>
          <w:sz w:val="22"/>
        </w:rPr>
        <w:t xml:space="preserve"> sponsor of </w:t>
      </w:r>
      <w:proofErr w:type="spellStart"/>
      <w:r w:rsidR="005E7319" w:rsidRPr="003F12AE">
        <w:rPr>
          <w:rFonts w:ascii="Arial" w:hAnsi="Arial" w:cs="Arial"/>
          <w:sz w:val="22"/>
        </w:rPr>
        <w:t>nitisinone</w:t>
      </w:r>
      <w:proofErr w:type="spellEnd"/>
      <w:r w:rsidR="005E7319" w:rsidRPr="003F12AE">
        <w:rPr>
          <w:rFonts w:ascii="Arial" w:hAnsi="Arial" w:cs="Arial"/>
          <w:sz w:val="22"/>
        </w:rPr>
        <w:t xml:space="preserve">, </w:t>
      </w:r>
      <w:proofErr w:type="spellStart"/>
      <w:r w:rsidR="005E7319" w:rsidRPr="003F12AE">
        <w:rPr>
          <w:rFonts w:ascii="Arial" w:hAnsi="Arial" w:cs="Arial"/>
          <w:sz w:val="22"/>
        </w:rPr>
        <w:t>A.Menarini</w:t>
      </w:r>
      <w:proofErr w:type="spellEnd"/>
      <w:r w:rsidR="005E7319" w:rsidRPr="003F12AE">
        <w:rPr>
          <w:rFonts w:ascii="Arial" w:hAnsi="Arial" w:cs="Arial"/>
          <w:sz w:val="22"/>
        </w:rPr>
        <w:t xml:space="preserve"> Australia Pty Ltd, </w:t>
      </w:r>
      <w:r>
        <w:rPr>
          <w:rFonts w:ascii="Arial" w:hAnsi="Arial" w:cs="Arial"/>
          <w:sz w:val="22"/>
        </w:rPr>
        <w:t>were</w:t>
      </w:r>
      <w:r w:rsidR="005E7319" w:rsidRPr="003F12AE">
        <w:rPr>
          <w:rFonts w:ascii="Arial" w:hAnsi="Arial" w:cs="Arial"/>
          <w:sz w:val="22"/>
        </w:rPr>
        <w:t xml:space="preserve"> present and involved with the discussi</w:t>
      </w:r>
      <w:r>
        <w:rPr>
          <w:rFonts w:ascii="Arial" w:hAnsi="Arial" w:cs="Arial"/>
          <w:sz w:val="22"/>
        </w:rPr>
        <w:t xml:space="preserve">ons at this meeting. </w:t>
      </w:r>
      <w:r w:rsidR="00114CDE">
        <w:rPr>
          <w:rFonts w:ascii="Arial" w:hAnsi="Arial" w:cs="Arial"/>
          <w:sz w:val="22"/>
        </w:rPr>
        <w:t xml:space="preserve">The </w:t>
      </w:r>
      <w:r>
        <w:rPr>
          <w:rFonts w:ascii="Arial" w:hAnsi="Arial" w:cs="Arial"/>
          <w:sz w:val="22"/>
        </w:rPr>
        <w:t>representatives indicated</w:t>
      </w:r>
      <w:r w:rsidR="005E7319" w:rsidRPr="003F12AE">
        <w:rPr>
          <w:rFonts w:ascii="Arial" w:hAnsi="Arial" w:cs="Arial"/>
          <w:sz w:val="22"/>
        </w:rPr>
        <w:t xml:space="preserve"> their intention to </w:t>
      </w:r>
      <w:r>
        <w:rPr>
          <w:rFonts w:ascii="Arial" w:hAnsi="Arial" w:cs="Arial"/>
          <w:sz w:val="22"/>
        </w:rPr>
        <w:t>resubmit the request to list</w:t>
      </w:r>
      <w:r w:rsidRPr="003F12AE">
        <w:rPr>
          <w:rFonts w:ascii="Arial" w:hAnsi="Arial" w:cs="Arial"/>
          <w:sz w:val="22"/>
        </w:rPr>
        <w:t xml:space="preserve"> </w:t>
      </w:r>
      <w:proofErr w:type="spellStart"/>
      <w:r w:rsidRPr="003F12AE">
        <w:rPr>
          <w:rFonts w:ascii="Arial" w:hAnsi="Arial" w:cs="Arial"/>
          <w:sz w:val="22"/>
        </w:rPr>
        <w:t>nitisinone</w:t>
      </w:r>
      <w:proofErr w:type="spellEnd"/>
      <w:r w:rsidRPr="003F12AE">
        <w:rPr>
          <w:rFonts w:ascii="Arial" w:hAnsi="Arial" w:cs="Arial"/>
          <w:sz w:val="22"/>
        </w:rPr>
        <w:t xml:space="preserve"> for </w:t>
      </w:r>
      <w:r>
        <w:rPr>
          <w:rFonts w:ascii="Arial" w:hAnsi="Arial" w:cs="Arial"/>
          <w:sz w:val="22"/>
        </w:rPr>
        <w:t>HT-1 under Section 100 (Highly Specialised Drug Program)</w:t>
      </w:r>
      <w:r w:rsidRPr="003F12AE">
        <w:rPr>
          <w:rFonts w:ascii="Arial" w:hAnsi="Arial" w:cs="Arial"/>
          <w:sz w:val="22"/>
        </w:rPr>
        <w:t xml:space="preserve"> </w:t>
      </w:r>
      <w:r w:rsidR="005E7319" w:rsidRPr="003F12AE">
        <w:rPr>
          <w:rFonts w:ascii="Arial" w:hAnsi="Arial" w:cs="Arial"/>
          <w:sz w:val="22"/>
        </w:rPr>
        <w:t>to the PBAC</w:t>
      </w:r>
      <w:r w:rsidR="00114CDE">
        <w:rPr>
          <w:rFonts w:ascii="Arial Narrow" w:hAnsi="Arial Narrow" w:cs="Arial"/>
          <w:sz w:val="22"/>
        </w:rPr>
        <w:t>.</w:t>
      </w:r>
    </w:p>
    <w:p w:rsidR="005E7319" w:rsidRPr="005E7319" w:rsidRDefault="005E7319" w:rsidP="00274D87">
      <w:pPr>
        <w:rPr>
          <w:rFonts w:ascii="Arial" w:hAnsi="Arial" w:cs="Arial"/>
          <w:sz w:val="22"/>
        </w:rPr>
      </w:pPr>
      <w:r>
        <w:rPr>
          <w:rFonts w:ascii="Arial" w:hAnsi="Arial" w:cs="Arial"/>
          <w:sz w:val="22"/>
        </w:rPr>
        <w:t xml:space="preserve">The PBAC Chair thanked participants for their time in attending the stakeholder meeting and </w:t>
      </w:r>
      <w:r w:rsidR="00502E03">
        <w:rPr>
          <w:rFonts w:ascii="Arial" w:hAnsi="Arial" w:cs="Arial"/>
          <w:sz w:val="22"/>
        </w:rPr>
        <w:t xml:space="preserve">the </w:t>
      </w:r>
      <w:r w:rsidR="007F53D7">
        <w:rPr>
          <w:rFonts w:ascii="Arial" w:hAnsi="Arial" w:cs="Arial"/>
          <w:sz w:val="22"/>
        </w:rPr>
        <w:t>advice provided.</w:t>
      </w:r>
      <w:r w:rsidR="006515CA">
        <w:rPr>
          <w:rFonts w:ascii="Arial" w:hAnsi="Arial" w:cs="Arial"/>
          <w:sz w:val="22"/>
        </w:rPr>
        <w:t xml:space="preserve"> The meeting closed at 3:40pm. </w:t>
      </w:r>
    </w:p>
    <w:sectPr w:rsidR="005E7319" w:rsidRPr="005E7319" w:rsidSect="00E76EA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3B59" w:rsidRDefault="00EC3B59" w:rsidP="005F6008">
      <w:pPr>
        <w:spacing w:after="0" w:line="240" w:lineRule="auto"/>
      </w:pPr>
      <w:r>
        <w:separator/>
      </w:r>
    </w:p>
  </w:endnote>
  <w:endnote w:type="continuationSeparator" w:id="0">
    <w:p w:rsidR="00EC3B59" w:rsidRDefault="00EC3B59" w:rsidP="005F60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DE" w:rsidRDefault="009928D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DE" w:rsidRDefault="009928D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DE" w:rsidRDefault="009928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3B59" w:rsidRDefault="00EC3B59" w:rsidP="005F6008">
      <w:pPr>
        <w:spacing w:after="0" w:line="240" w:lineRule="auto"/>
      </w:pPr>
      <w:r>
        <w:separator/>
      </w:r>
    </w:p>
  </w:footnote>
  <w:footnote w:type="continuationSeparator" w:id="0">
    <w:p w:rsidR="00EC3B59" w:rsidRDefault="00EC3B59" w:rsidP="005F60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DE" w:rsidRDefault="009928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DE" w:rsidRDefault="009928D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8DE" w:rsidRDefault="009928D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B181E"/>
    <w:multiLevelType w:val="hybridMultilevel"/>
    <w:tmpl w:val="C1E04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12A50B9"/>
    <w:multiLevelType w:val="hybridMultilevel"/>
    <w:tmpl w:val="3072D1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F3E650E"/>
    <w:multiLevelType w:val="hybridMultilevel"/>
    <w:tmpl w:val="11B80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4480340B"/>
    <w:multiLevelType w:val="hybridMultilevel"/>
    <w:tmpl w:val="9118A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4860453"/>
    <w:multiLevelType w:val="hybridMultilevel"/>
    <w:tmpl w:val="DC2E4A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70AE0901"/>
    <w:multiLevelType w:val="hybridMultilevel"/>
    <w:tmpl w:val="17C09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1E82052"/>
    <w:multiLevelType w:val="hybridMultilevel"/>
    <w:tmpl w:val="60201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066"/>
    <w:rsid w:val="00002C12"/>
    <w:rsid w:val="00003338"/>
    <w:rsid w:val="000035EA"/>
    <w:rsid w:val="00004776"/>
    <w:rsid w:val="00015D47"/>
    <w:rsid w:val="000161F1"/>
    <w:rsid w:val="00020E33"/>
    <w:rsid w:val="00054A33"/>
    <w:rsid w:val="00060BB6"/>
    <w:rsid w:val="00062751"/>
    <w:rsid w:val="0006375E"/>
    <w:rsid w:val="00064F59"/>
    <w:rsid w:val="00066EEA"/>
    <w:rsid w:val="00067D85"/>
    <w:rsid w:val="00074DE1"/>
    <w:rsid w:val="00087C70"/>
    <w:rsid w:val="00091D30"/>
    <w:rsid w:val="000A283B"/>
    <w:rsid w:val="000B15D5"/>
    <w:rsid w:val="000C0701"/>
    <w:rsid w:val="000C7397"/>
    <w:rsid w:val="000D32BC"/>
    <w:rsid w:val="000D3DE6"/>
    <w:rsid w:val="000F472C"/>
    <w:rsid w:val="00104DA1"/>
    <w:rsid w:val="0011459C"/>
    <w:rsid w:val="00114CDE"/>
    <w:rsid w:val="00131BCD"/>
    <w:rsid w:val="0013745B"/>
    <w:rsid w:val="0014195A"/>
    <w:rsid w:val="00142141"/>
    <w:rsid w:val="00150A74"/>
    <w:rsid w:val="00157B49"/>
    <w:rsid w:val="00162BC9"/>
    <w:rsid w:val="001A3B0A"/>
    <w:rsid w:val="001B4296"/>
    <w:rsid w:val="001B6521"/>
    <w:rsid w:val="001C5A05"/>
    <w:rsid w:val="001D594F"/>
    <w:rsid w:val="001E0269"/>
    <w:rsid w:val="001E41D6"/>
    <w:rsid w:val="001E4F71"/>
    <w:rsid w:val="001F14C5"/>
    <w:rsid w:val="0021609C"/>
    <w:rsid w:val="00220647"/>
    <w:rsid w:val="002221D1"/>
    <w:rsid w:val="00224F27"/>
    <w:rsid w:val="002250A8"/>
    <w:rsid w:val="00232DA2"/>
    <w:rsid w:val="00234275"/>
    <w:rsid w:val="00235228"/>
    <w:rsid w:val="002360E0"/>
    <w:rsid w:val="002416F3"/>
    <w:rsid w:val="00246C9F"/>
    <w:rsid w:val="002531AE"/>
    <w:rsid w:val="00274D87"/>
    <w:rsid w:val="00276004"/>
    <w:rsid w:val="00283231"/>
    <w:rsid w:val="0028745E"/>
    <w:rsid w:val="00290D55"/>
    <w:rsid w:val="00291E6E"/>
    <w:rsid w:val="00295D2C"/>
    <w:rsid w:val="002A698B"/>
    <w:rsid w:val="002A6B9B"/>
    <w:rsid w:val="002A712C"/>
    <w:rsid w:val="002E36D8"/>
    <w:rsid w:val="002F1954"/>
    <w:rsid w:val="003061F9"/>
    <w:rsid w:val="00311A6F"/>
    <w:rsid w:val="00320F46"/>
    <w:rsid w:val="00321A58"/>
    <w:rsid w:val="00334650"/>
    <w:rsid w:val="00340FBB"/>
    <w:rsid w:val="00345EB8"/>
    <w:rsid w:val="0035008E"/>
    <w:rsid w:val="00354C41"/>
    <w:rsid w:val="003576EC"/>
    <w:rsid w:val="00361FFE"/>
    <w:rsid w:val="00362140"/>
    <w:rsid w:val="00372F09"/>
    <w:rsid w:val="0038750C"/>
    <w:rsid w:val="00393301"/>
    <w:rsid w:val="00393B76"/>
    <w:rsid w:val="00393C8D"/>
    <w:rsid w:val="0039472C"/>
    <w:rsid w:val="00397CB2"/>
    <w:rsid w:val="003A03FF"/>
    <w:rsid w:val="003B1EDA"/>
    <w:rsid w:val="003B5251"/>
    <w:rsid w:val="003B77A4"/>
    <w:rsid w:val="003C0ED7"/>
    <w:rsid w:val="003C284A"/>
    <w:rsid w:val="003C4E8C"/>
    <w:rsid w:val="003D4876"/>
    <w:rsid w:val="003D6573"/>
    <w:rsid w:val="003D746E"/>
    <w:rsid w:val="003F12AE"/>
    <w:rsid w:val="003F2E5D"/>
    <w:rsid w:val="003F30FE"/>
    <w:rsid w:val="004079EC"/>
    <w:rsid w:val="00420495"/>
    <w:rsid w:val="004222AD"/>
    <w:rsid w:val="00433A00"/>
    <w:rsid w:val="004358CF"/>
    <w:rsid w:val="00443634"/>
    <w:rsid w:val="0046062A"/>
    <w:rsid w:val="00462D27"/>
    <w:rsid w:val="004671F3"/>
    <w:rsid w:val="004734C3"/>
    <w:rsid w:val="00480F13"/>
    <w:rsid w:val="00486391"/>
    <w:rsid w:val="004A40CF"/>
    <w:rsid w:val="004B1621"/>
    <w:rsid w:val="004D2894"/>
    <w:rsid w:val="004D43E9"/>
    <w:rsid w:val="004D531B"/>
    <w:rsid w:val="004E48A7"/>
    <w:rsid w:val="00502E03"/>
    <w:rsid w:val="005104F5"/>
    <w:rsid w:val="00517143"/>
    <w:rsid w:val="005205D4"/>
    <w:rsid w:val="00521B97"/>
    <w:rsid w:val="00524265"/>
    <w:rsid w:val="00551199"/>
    <w:rsid w:val="005546D7"/>
    <w:rsid w:val="005664D4"/>
    <w:rsid w:val="005838AD"/>
    <w:rsid w:val="00586AA4"/>
    <w:rsid w:val="00590212"/>
    <w:rsid w:val="00595D47"/>
    <w:rsid w:val="005A2D62"/>
    <w:rsid w:val="005A4691"/>
    <w:rsid w:val="005B0859"/>
    <w:rsid w:val="005B6522"/>
    <w:rsid w:val="005B6AC9"/>
    <w:rsid w:val="005C1650"/>
    <w:rsid w:val="005D5FA4"/>
    <w:rsid w:val="005D62DD"/>
    <w:rsid w:val="005D709E"/>
    <w:rsid w:val="005D7954"/>
    <w:rsid w:val="005E7319"/>
    <w:rsid w:val="005F6008"/>
    <w:rsid w:val="00601473"/>
    <w:rsid w:val="00602A12"/>
    <w:rsid w:val="00602B1F"/>
    <w:rsid w:val="0060392C"/>
    <w:rsid w:val="00604CB2"/>
    <w:rsid w:val="006407B1"/>
    <w:rsid w:val="006407BE"/>
    <w:rsid w:val="006445C1"/>
    <w:rsid w:val="00644770"/>
    <w:rsid w:val="006515CA"/>
    <w:rsid w:val="00655058"/>
    <w:rsid w:val="00657288"/>
    <w:rsid w:val="00660066"/>
    <w:rsid w:val="006608C3"/>
    <w:rsid w:val="00665035"/>
    <w:rsid w:val="006652A9"/>
    <w:rsid w:val="006760B4"/>
    <w:rsid w:val="00682929"/>
    <w:rsid w:val="00691914"/>
    <w:rsid w:val="00696279"/>
    <w:rsid w:val="00696CFB"/>
    <w:rsid w:val="006C1AD3"/>
    <w:rsid w:val="006D1426"/>
    <w:rsid w:val="006D3DB4"/>
    <w:rsid w:val="006F1339"/>
    <w:rsid w:val="006F2169"/>
    <w:rsid w:val="00701DE1"/>
    <w:rsid w:val="00704730"/>
    <w:rsid w:val="00710CD2"/>
    <w:rsid w:val="00716740"/>
    <w:rsid w:val="007266CE"/>
    <w:rsid w:val="007310B7"/>
    <w:rsid w:val="00733A46"/>
    <w:rsid w:val="00733EDA"/>
    <w:rsid w:val="00734A36"/>
    <w:rsid w:val="00745D90"/>
    <w:rsid w:val="007636E3"/>
    <w:rsid w:val="007669F8"/>
    <w:rsid w:val="00766A73"/>
    <w:rsid w:val="00767DC9"/>
    <w:rsid w:val="007722F3"/>
    <w:rsid w:val="00785076"/>
    <w:rsid w:val="007911F5"/>
    <w:rsid w:val="007916F3"/>
    <w:rsid w:val="007A1CB0"/>
    <w:rsid w:val="007A28F1"/>
    <w:rsid w:val="007B5281"/>
    <w:rsid w:val="007B6580"/>
    <w:rsid w:val="007E16A4"/>
    <w:rsid w:val="007E772B"/>
    <w:rsid w:val="007F3901"/>
    <w:rsid w:val="007F4BA7"/>
    <w:rsid w:val="007F4E20"/>
    <w:rsid w:val="007F5315"/>
    <w:rsid w:val="007F53D7"/>
    <w:rsid w:val="007F5885"/>
    <w:rsid w:val="007F6F7E"/>
    <w:rsid w:val="00803811"/>
    <w:rsid w:val="008126E1"/>
    <w:rsid w:val="00814818"/>
    <w:rsid w:val="008211E4"/>
    <w:rsid w:val="00821256"/>
    <w:rsid w:val="0082669A"/>
    <w:rsid w:val="0083042B"/>
    <w:rsid w:val="00830630"/>
    <w:rsid w:val="00836340"/>
    <w:rsid w:val="008366F5"/>
    <w:rsid w:val="00855D95"/>
    <w:rsid w:val="00862A1D"/>
    <w:rsid w:val="008721C0"/>
    <w:rsid w:val="00880065"/>
    <w:rsid w:val="00882AEA"/>
    <w:rsid w:val="008850A4"/>
    <w:rsid w:val="0088767E"/>
    <w:rsid w:val="00887C99"/>
    <w:rsid w:val="00890D4A"/>
    <w:rsid w:val="00893DB7"/>
    <w:rsid w:val="008A5008"/>
    <w:rsid w:val="008A664B"/>
    <w:rsid w:val="008B2D9C"/>
    <w:rsid w:val="008B6937"/>
    <w:rsid w:val="008B6F24"/>
    <w:rsid w:val="008D0491"/>
    <w:rsid w:val="008D6245"/>
    <w:rsid w:val="008F30C4"/>
    <w:rsid w:val="0090438A"/>
    <w:rsid w:val="00905B97"/>
    <w:rsid w:val="00912488"/>
    <w:rsid w:val="009141C8"/>
    <w:rsid w:val="009225AF"/>
    <w:rsid w:val="00927AD3"/>
    <w:rsid w:val="00930DEA"/>
    <w:rsid w:val="00932227"/>
    <w:rsid w:val="00933936"/>
    <w:rsid w:val="009510AD"/>
    <w:rsid w:val="00962CBF"/>
    <w:rsid w:val="0098415E"/>
    <w:rsid w:val="00984F84"/>
    <w:rsid w:val="009850FB"/>
    <w:rsid w:val="00985322"/>
    <w:rsid w:val="009928DE"/>
    <w:rsid w:val="00992C5A"/>
    <w:rsid w:val="00996068"/>
    <w:rsid w:val="009A4CBD"/>
    <w:rsid w:val="009C15EA"/>
    <w:rsid w:val="009C2A8E"/>
    <w:rsid w:val="009D5642"/>
    <w:rsid w:val="009D6C85"/>
    <w:rsid w:val="009E4949"/>
    <w:rsid w:val="009F20CB"/>
    <w:rsid w:val="00A04F15"/>
    <w:rsid w:val="00A05DB2"/>
    <w:rsid w:val="00A10290"/>
    <w:rsid w:val="00A12CA3"/>
    <w:rsid w:val="00A27051"/>
    <w:rsid w:val="00A362C5"/>
    <w:rsid w:val="00A42945"/>
    <w:rsid w:val="00A50AA2"/>
    <w:rsid w:val="00A55590"/>
    <w:rsid w:val="00A60B50"/>
    <w:rsid w:val="00A76542"/>
    <w:rsid w:val="00A81C4C"/>
    <w:rsid w:val="00A8291C"/>
    <w:rsid w:val="00AA2653"/>
    <w:rsid w:val="00AA323D"/>
    <w:rsid w:val="00AB1149"/>
    <w:rsid w:val="00AC0068"/>
    <w:rsid w:val="00AC08EA"/>
    <w:rsid w:val="00AD4504"/>
    <w:rsid w:val="00AE4558"/>
    <w:rsid w:val="00AF1DE3"/>
    <w:rsid w:val="00AF6219"/>
    <w:rsid w:val="00B10AEB"/>
    <w:rsid w:val="00B1107C"/>
    <w:rsid w:val="00B11696"/>
    <w:rsid w:val="00B44117"/>
    <w:rsid w:val="00B50734"/>
    <w:rsid w:val="00B55EA1"/>
    <w:rsid w:val="00B73995"/>
    <w:rsid w:val="00B7447E"/>
    <w:rsid w:val="00B81D25"/>
    <w:rsid w:val="00B87181"/>
    <w:rsid w:val="00BA2D43"/>
    <w:rsid w:val="00BA5BB3"/>
    <w:rsid w:val="00BB53E2"/>
    <w:rsid w:val="00BC2A3D"/>
    <w:rsid w:val="00BC2F8A"/>
    <w:rsid w:val="00BC3F6D"/>
    <w:rsid w:val="00BD48C4"/>
    <w:rsid w:val="00BD7736"/>
    <w:rsid w:val="00BE209A"/>
    <w:rsid w:val="00BE5E1E"/>
    <w:rsid w:val="00BF4C8D"/>
    <w:rsid w:val="00BF4F3D"/>
    <w:rsid w:val="00BF6C18"/>
    <w:rsid w:val="00C020C5"/>
    <w:rsid w:val="00C124A1"/>
    <w:rsid w:val="00C17690"/>
    <w:rsid w:val="00C21446"/>
    <w:rsid w:val="00C31817"/>
    <w:rsid w:val="00C31B80"/>
    <w:rsid w:val="00C44172"/>
    <w:rsid w:val="00C46816"/>
    <w:rsid w:val="00C46EA6"/>
    <w:rsid w:val="00C4776F"/>
    <w:rsid w:val="00C52064"/>
    <w:rsid w:val="00C56415"/>
    <w:rsid w:val="00C6160D"/>
    <w:rsid w:val="00C70B4E"/>
    <w:rsid w:val="00C80EFA"/>
    <w:rsid w:val="00C810B2"/>
    <w:rsid w:val="00C81813"/>
    <w:rsid w:val="00C900C6"/>
    <w:rsid w:val="00C94227"/>
    <w:rsid w:val="00C943B1"/>
    <w:rsid w:val="00CB2FA8"/>
    <w:rsid w:val="00CE10D7"/>
    <w:rsid w:val="00CE7962"/>
    <w:rsid w:val="00CF382A"/>
    <w:rsid w:val="00D13F87"/>
    <w:rsid w:val="00D30399"/>
    <w:rsid w:val="00D30E8F"/>
    <w:rsid w:val="00D31635"/>
    <w:rsid w:val="00D42396"/>
    <w:rsid w:val="00D453A7"/>
    <w:rsid w:val="00D47A35"/>
    <w:rsid w:val="00D51688"/>
    <w:rsid w:val="00D53886"/>
    <w:rsid w:val="00D61375"/>
    <w:rsid w:val="00D720E7"/>
    <w:rsid w:val="00D858FF"/>
    <w:rsid w:val="00D87750"/>
    <w:rsid w:val="00D87D77"/>
    <w:rsid w:val="00D9635D"/>
    <w:rsid w:val="00DA154D"/>
    <w:rsid w:val="00DB1DD0"/>
    <w:rsid w:val="00DB376C"/>
    <w:rsid w:val="00DB6302"/>
    <w:rsid w:val="00DB711C"/>
    <w:rsid w:val="00DD1C57"/>
    <w:rsid w:val="00DD1DDE"/>
    <w:rsid w:val="00DE7FC1"/>
    <w:rsid w:val="00DF2B74"/>
    <w:rsid w:val="00DF52A0"/>
    <w:rsid w:val="00E00137"/>
    <w:rsid w:val="00E02B1A"/>
    <w:rsid w:val="00E040B4"/>
    <w:rsid w:val="00E11977"/>
    <w:rsid w:val="00E22B06"/>
    <w:rsid w:val="00E30C9B"/>
    <w:rsid w:val="00E357DE"/>
    <w:rsid w:val="00E56E7A"/>
    <w:rsid w:val="00E71298"/>
    <w:rsid w:val="00E76B65"/>
    <w:rsid w:val="00E76EA8"/>
    <w:rsid w:val="00EA592D"/>
    <w:rsid w:val="00EA6531"/>
    <w:rsid w:val="00EA7E14"/>
    <w:rsid w:val="00EC2A19"/>
    <w:rsid w:val="00EC3B59"/>
    <w:rsid w:val="00EC612A"/>
    <w:rsid w:val="00EC7D7C"/>
    <w:rsid w:val="00ED17EB"/>
    <w:rsid w:val="00EE231B"/>
    <w:rsid w:val="00EF2653"/>
    <w:rsid w:val="00F0592A"/>
    <w:rsid w:val="00F14295"/>
    <w:rsid w:val="00F16548"/>
    <w:rsid w:val="00F21089"/>
    <w:rsid w:val="00F22829"/>
    <w:rsid w:val="00F23E4A"/>
    <w:rsid w:val="00F40AFF"/>
    <w:rsid w:val="00F55B0A"/>
    <w:rsid w:val="00F62EEA"/>
    <w:rsid w:val="00F64299"/>
    <w:rsid w:val="00F7302B"/>
    <w:rsid w:val="00F86DF1"/>
    <w:rsid w:val="00F873D1"/>
    <w:rsid w:val="00FA4FD4"/>
    <w:rsid w:val="00FC5E62"/>
    <w:rsid w:val="00FC6288"/>
    <w:rsid w:val="00FD0D03"/>
    <w:rsid w:val="00FD792B"/>
    <w:rsid w:val="00FE047A"/>
    <w:rsid w:val="00FE1E98"/>
    <w:rsid w:val="00FE368F"/>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0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7AD3"/>
    <w:pPr>
      <w:keepNext/>
      <w:keepLines/>
      <w:outlineLvl w:val="1"/>
    </w:pPr>
    <w:rPr>
      <w:rFonts w:ascii="Arial" w:eastAsiaTheme="majorEastAsia"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008"/>
  </w:style>
  <w:style w:type="paragraph" w:styleId="Footer">
    <w:name w:val="footer"/>
    <w:basedOn w:val="Normal"/>
    <w:link w:val="FooterChar"/>
    <w:uiPriority w:val="99"/>
    <w:unhideWhenUsed/>
    <w:rsid w:val="005F6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008"/>
  </w:style>
  <w:style w:type="character" w:styleId="Hyperlink">
    <w:name w:val="Hyperlink"/>
    <w:basedOn w:val="DefaultParagraphFont"/>
    <w:uiPriority w:val="99"/>
    <w:unhideWhenUsed/>
    <w:rsid w:val="005205D4"/>
    <w:rPr>
      <w:color w:val="0000FF" w:themeColor="hyperlink"/>
      <w:u w:val="single"/>
    </w:rPr>
  </w:style>
  <w:style w:type="paragraph" w:styleId="FootnoteText">
    <w:name w:val="footnote text"/>
    <w:basedOn w:val="Normal"/>
    <w:link w:val="FootnoteTextChar"/>
    <w:uiPriority w:val="99"/>
    <w:unhideWhenUsed/>
    <w:rsid w:val="00836340"/>
    <w:pPr>
      <w:spacing w:after="0" w:line="240" w:lineRule="auto"/>
    </w:pPr>
    <w:rPr>
      <w:sz w:val="20"/>
      <w:szCs w:val="20"/>
    </w:rPr>
  </w:style>
  <w:style w:type="character" w:customStyle="1" w:styleId="FootnoteTextChar">
    <w:name w:val="Footnote Text Char"/>
    <w:basedOn w:val="DefaultParagraphFont"/>
    <w:link w:val="FootnoteText"/>
    <w:uiPriority w:val="99"/>
    <w:rsid w:val="00836340"/>
    <w:rPr>
      <w:sz w:val="20"/>
      <w:szCs w:val="20"/>
    </w:rPr>
  </w:style>
  <w:style w:type="character" w:styleId="FootnoteReference">
    <w:name w:val="footnote reference"/>
    <w:basedOn w:val="DefaultParagraphFont"/>
    <w:uiPriority w:val="99"/>
    <w:semiHidden/>
    <w:unhideWhenUsed/>
    <w:rsid w:val="00836340"/>
    <w:rPr>
      <w:vertAlign w:val="superscript"/>
    </w:rPr>
  </w:style>
  <w:style w:type="paragraph" w:styleId="ListParagraph">
    <w:name w:val="List Paragraph"/>
    <w:basedOn w:val="Normal"/>
    <w:uiPriority w:val="34"/>
    <w:qFormat/>
    <w:rsid w:val="00890D4A"/>
    <w:pPr>
      <w:ind w:left="720"/>
      <w:contextualSpacing/>
    </w:pPr>
  </w:style>
  <w:style w:type="character" w:customStyle="1" w:styleId="TableText">
    <w:name w:val="Table Text"/>
    <w:basedOn w:val="DefaultParagraphFont"/>
    <w:uiPriority w:val="4"/>
    <w:qFormat/>
    <w:rsid w:val="00062751"/>
    <w:rPr>
      <w:rFonts w:ascii="Arial Narrow" w:hAnsi="Arial Narrow"/>
      <w:sz w:val="20"/>
    </w:rPr>
  </w:style>
  <w:style w:type="paragraph" w:styleId="BalloonText">
    <w:name w:val="Balloon Text"/>
    <w:basedOn w:val="Normal"/>
    <w:link w:val="BalloonTextChar"/>
    <w:uiPriority w:val="99"/>
    <w:semiHidden/>
    <w:unhideWhenUsed/>
    <w:rsid w:val="00731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B7"/>
    <w:rPr>
      <w:rFonts w:ascii="Tahoma" w:hAnsi="Tahoma" w:cs="Tahoma"/>
      <w:sz w:val="16"/>
      <w:szCs w:val="16"/>
    </w:rPr>
  </w:style>
  <w:style w:type="character" w:styleId="CommentReference">
    <w:name w:val="annotation reference"/>
    <w:basedOn w:val="DefaultParagraphFont"/>
    <w:uiPriority w:val="99"/>
    <w:semiHidden/>
    <w:unhideWhenUsed/>
    <w:rsid w:val="006407B1"/>
    <w:rPr>
      <w:sz w:val="18"/>
      <w:szCs w:val="18"/>
    </w:rPr>
  </w:style>
  <w:style w:type="paragraph" w:styleId="CommentText">
    <w:name w:val="annotation text"/>
    <w:basedOn w:val="Normal"/>
    <w:link w:val="CommentTextChar"/>
    <w:uiPriority w:val="99"/>
    <w:semiHidden/>
    <w:unhideWhenUsed/>
    <w:rsid w:val="006407B1"/>
    <w:pPr>
      <w:spacing w:line="240" w:lineRule="auto"/>
    </w:pPr>
    <w:rPr>
      <w:szCs w:val="24"/>
    </w:rPr>
  </w:style>
  <w:style w:type="character" w:customStyle="1" w:styleId="CommentTextChar">
    <w:name w:val="Comment Text Char"/>
    <w:basedOn w:val="DefaultParagraphFont"/>
    <w:link w:val="CommentText"/>
    <w:uiPriority w:val="99"/>
    <w:semiHidden/>
    <w:rsid w:val="006407B1"/>
    <w:rPr>
      <w:szCs w:val="24"/>
    </w:rPr>
  </w:style>
  <w:style w:type="paragraph" w:styleId="CommentSubject">
    <w:name w:val="annotation subject"/>
    <w:basedOn w:val="CommentText"/>
    <w:next w:val="CommentText"/>
    <w:link w:val="CommentSubjectChar"/>
    <w:uiPriority w:val="99"/>
    <w:semiHidden/>
    <w:unhideWhenUsed/>
    <w:rsid w:val="006407B1"/>
    <w:rPr>
      <w:b/>
      <w:bCs/>
      <w:sz w:val="20"/>
      <w:szCs w:val="20"/>
    </w:rPr>
  </w:style>
  <w:style w:type="character" w:customStyle="1" w:styleId="CommentSubjectChar">
    <w:name w:val="Comment Subject Char"/>
    <w:basedOn w:val="CommentTextChar"/>
    <w:link w:val="CommentSubject"/>
    <w:uiPriority w:val="99"/>
    <w:semiHidden/>
    <w:rsid w:val="006407B1"/>
    <w:rPr>
      <w:b/>
      <w:bCs/>
      <w:sz w:val="20"/>
      <w:szCs w:val="20"/>
    </w:rPr>
  </w:style>
  <w:style w:type="character" w:customStyle="1" w:styleId="Heading1Char">
    <w:name w:val="Heading 1 Char"/>
    <w:basedOn w:val="DefaultParagraphFont"/>
    <w:link w:val="Heading1"/>
    <w:uiPriority w:val="9"/>
    <w:rsid w:val="0083042B"/>
    <w:rPr>
      <w:rFonts w:asciiTheme="majorHAnsi" w:eastAsiaTheme="majorEastAsia" w:hAnsiTheme="majorHAnsi" w:cstheme="majorBidi"/>
      <w:b/>
      <w:bCs/>
      <w:color w:val="365F91" w:themeColor="accent1" w:themeShade="BF"/>
      <w:sz w:val="28"/>
      <w:szCs w:val="2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709E"/>
    <w:pPr>
      <w:spacing w:after="160" w:line="240" w:lineRule="exact"/>
    </w:pPr>
    <w:rPr>
      <w:rFonts w:ascii="Verdana" w:eastAsia="MS Mincho" w:hAnsi="Verdana" w:cs="Verdana"/>
      <w:sz w:val="20"/>
      <w:szCs w:val="20"/>
      <w:lang w:val="en-US"/>
    </w:rPr>
  </w:style>
  <w:style w:type="paragraph" w:styleId="Revision">
    <w:name w:val="Revision"/>
    <w:hidden/>
    <w:uiPriority w:val="99"/>
    <w:semiHidden/>
    <w:rsid w:val="003B5251"/>
    <w:pPr>
      <w:spacing w:after="0" w:line="240" w:lineRule="auto"/>
    </w:pPr>
  </w:style>
  <w:style w:type="character" w:styleId="IntenseReference">
    <w:name w:val="Intense Reference"/>
    <w:basedOn w:val="DefaultParagraphFont"/>
    <w:uiPriority w:val="32"/>
    <w:qFormat/>
    <w:rsid w:val="00AA2653"/>
    <w:rPr>
      <w:b/>
      <w:bCs/>
      <w:i/>
      <w:smallCaps/>
      <w:color w:val="C0504D" w:themeColor="accent2"/>
      <w:spacing w:val="5"/>
      <w:u w:val="none"/>
    </w:rPr>
  </w:style>
  <w:style w:type="character" w:customStyle="1" w:styleId="Heading2Char">
    <w:name w:val="Heading 2 Char"/>
    <w:basedOn w:val="DefaultParagraphFont"/>
    <w:link w:val="Heading2"/>
    <w:uiPriority w:val="9"/>
    <w:rsid w:val="00927AD3"/>
    <w:rPr>
      <w:rFonts w:ascii="Arial" w:eastAsiaTheme="majorEastAsia" w:hAnsi="Arial" w:cs="Arial"/>
      <w:b/>
      <w:bCs/>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304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27AD3"/>
    <w:pPr>
      <w:keepNext/>
      <w:keepLines/>
      <w:outlineLvl w:val="1"/>
    </w:pPr>
    <w:rPr>
      <w:rFonts w:ascii="Arial" w:eastAsiaTheme="majorEastAsia"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60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6008"/>
  </w:style>
  <w:style w:type="paragraph" w:styleId="Footer">
    <w:name w:val="footer"/>
    <w:basedOn w:val="Normal"/>
    <w:link w:val="FooterChar"/>
    <w:uiPriority w:val="99"/>
    <w:unhideWhenUsed/>
    <w:rsid w:val="005F60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6008"/>
  </w:style>
  <w:style w:type="character" w:styleId="Hyperlink">
    <w:name w:val="Hyperlink"/>
    <w:basedOn w:val="DefaultParagraphFont"/>
    <w:uiPriority w:val="99"/>
    <w:unhideWhenUsed/>
    <w:rsid w:val="005205D4"/>
    <w:rPr>
      <w:color w:val="0000FF" w:themeColor="hyperlink"/>
      <w:u w:val="single"/>
    </w:rPr>
  </w:style>
  <w:style w:type="paragraph" w:styleId="FootnoteText">
    <w:name w:val="footnote text"/>
    <w:basedOn w:val="Normal"/>
    <w:link w:val="FootnoteTextChar"/>
    <w:uiPriority w:val="99"/>
    <w:unhideWhenUsed/>
    <w:rsid w:val="00836340"/>
    <w:pPr>
      <w:spacing w:after="0" w:line="240" w:lineRule="auto"/>
    </w:pPr>
    <w:rPr>
      <w:sz w:val="20"/>
      <w:szCs w:val="20"/>
    </w:rPr>
  </w:style>
  <w:style w:type="character" w:customStyle="1" w:styleId="FootnoteTextChar">
    <w:name w:val="Footnote Text Char"/>
    <w:basedOn w:val="DefaultParagraphFont"/>
    <w:link w:val="FootnoteText"/>
    <w:uiPriority w:val="99"/>
    <w:rsid w:val="00836340"/>
    <w:rPr>
      <w:sz w:val="20"/>
      <w:szCs w:val="20"/>
    </w:rPr>
  </w:style>
  <w:style w:type="character" w:styleId="FootnoteReference">
    <w:name w:val="footnote reference"/>
    <w:basedOn w:val="DefaultParagraphFont"/>
    <w:uiPriority w:val="99"/>
    <w:semiHidden/>
    <w:unhideWhenUsed/>
    <w:rsid w:val="00836340"/>
    <w:rPr>
      <w:vertAlign w:val="superscript"/>
    </w:rPr>
  </w:style>
  <w:style w:type="paragraph" w:styleId="ListParagraph">
    <w:name w:val="List Paragraph"/>
    <w:basedOn w:val="Normal"/>
    <w:uiPriority w:val="34"/>
    <w:qFormat/>
    <w:rsid w:val="00890D4A"/>
    <w:pPr>
      <w:ind w:left="720"/>
      <w:contextualSpacing/>
    </w:pPr>
  </w:style>
  <w:style w:type="character" w:customStyle="1" w:styleId="TableText">
    <w:name w:val="Table Text"/>
    <w:basedOn w:val="DefaultParagraphFont"/>
    <w:uiPriority w:val="4"/>
    <w:qFormat/>
    <w:rsid w:val="00062751"/>
    <w:rPr>
      <w:rFonts w:ascii="Arial Narrow" w:hAnsi="Arial Narrow"/>
      <w:sz w:val="20"/>
    </w:rPr>
  </w:style>
  <w:style w:type="paragraph" w:styleId="BalloonText">
    <w:name w:val="Balloon Text"/>
    <w:basedOn w:val="Normal"/>
    <w:link w:val="BalloonTextChar"/>
    <w:uiPriority w:val="99"/>
    <w:semiHidden/>
    <w:unhideWhenUsed/>
    <w:rsid w:val="007310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10B7"/>
    <w:rPr>
      <w:rFonts w:ascii="Tahoma" w:hAnsi="Tahoma" w:cs="Tahoma"/>
      <w:sz w:val="16"/>
      <w:szCs w:val="16"/>
    </w:rPr>
  </w:style>
  <w:style w:type="character" w:styleId="CommentReference">
    <w:name w:val="annotation reference"/>
    <w:basedOn w:val="DefaultParagraphFont"/>
    <w:uiPriority w:val="99"/>
    <w:semiHidden/>
    <w:unhideWhenUsed/>
    <w:rsid w:val="006407B1"/>
    <w:rPr>
      <w:sz w:val="18"/>
      <w:szCs w:val="18"/>
    </w:rPr>
  </w:style>
  <w:style w:type="paragraph" w:styleId="CommentText">
    <w:name w:val="annotation text"/>
    <w:basedOn w:val="Normal"/>
    <w:link w:val="CommentTextChar"/>
    <w:uiPriority w:val="99"/>
    <w:semiHidden/>
    <w:unhideWhenUsed/>
    <w:rsid w:val="006407B1"/>
    <w:pPr>
      <w:spacing w:line="240" w:lineRule="auto"/>
    </w:pPr>
    <w:rPr>
      <w:szCs w:val="24"/>
    </w:rPr>
  </w:style>
  <w:style w:type="character" w:customStyle="1" w:styleId="CommentTextChar">
    <w:name w:val="Comment Text Char"/>
    <w:basedOn w:val="DefaultParagraphFont"/>
    <w:link w:val="CommentText"/>
    <w:uiPriority w:val="99"/>
    <w:semiHidden/>
    <w:rsid w:val="006407B1"/>
    <w:rPr>
      <w:szCs w:val="24"/>
    </w:rPr>
  </w:style>
  <w:style w:type="paragraph" w:styleId="CommentSubject">
    <w:name w:val="annotation subject"/>
    <w:basedOn w:val="CommentText"/>
    <w:next w:val="CommentText"/>
    <w:link w:val="CommentSubjectChar"/>
    <w:uiPriority w:val="99"/>
    <w:semiHidden/>
    <w:unhideWhenUsed/>
    <w:rsid w:val="006407B1"/>
    <w:rPr>
      <w:b/>
      <w:bCs/>
      <w:sz w:val="20"/>
      <w:szCs w:val="20"/>
    </w:rPr>
  </w:style>
  <w:style w:type="character" w:customStyle="1" w:styleId="CommentSubjectChar">
    <w:name w:val="Comment Subject Char"/>
    <w:basedOn w:val="CommentTextChar"/>
    <w:link w:val="CommentSubject"/>
    <w:uiPriority w:val="99"/>
    <w:semiHidden/>
    <w:rsid w:val="006407B1"/>
    <w:rPr>
      <w:b/>
      <w:bCs/>
      <w:sz w:val="20"/>
      <w:szCs w:val="20"/>
    </w:rPr>
  </w:style>
  <w:style w:type="character" w:customStyle="1" w:styleId="Heading1Char">
    <w:name w:val="Heading 1 Char"/>
    <w:basedOn w:val="DefaultParagraphFont"/>
    <w:link w:val="Heading1"/>
    <w:uiPriority w:val="9"/>
    <w:rsid w:val="0083042B"/>
    <w:rPr>
      <w:rFonts w:asciiTheme="majorHAnsi" w:eastAsiaTheme="majorEastAsia" w:hAnsiTheme="majorHAnsi" w:cstheme="majorBidi"/>
      <w:b/>
      <w:bCs/>
      <w:color w:val="365F91" w:themeColor="accent1" w:themeShade="BF"/>
      <w:sz w:val="28"/>
      <w:szCs w:val="28"/>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5D709E"/>
    <w:pPr>
      <w:spacing w:after="160" w:line="240" w:lineRule="exact"/>
    </w:pPr>
    <w:rPr>
      <w:rFonts w:ascii="Verdana" w:eastAsia="MS Mincho" w:hAnsi="Verdana" w:cs="Verdana"/>
      <w:sz w:val="20"/>
      <w:szCs w:val="20"/>
      <w:lang w:val="en-US"/>
    </w:rPr>
  </w:style>
  <w:style w:type="paragraph" w:styleId="Revision">
    <w:name w:val="Revision"/>
    <w:hidden/>
    <w:uiPriority w:val="99"/>
    <w:semiHidden/>
    <w:rsid w:val="003B5251"/>
    <w:pPr>
      <w:spacing w:after="0" w:line="240" w:lineRule="auto"/>
    </w:pPr>
  </w:style>
  <w:style w:type="character" w:styleId="IntenseReference">
    <w:name w:val="Intense Reference"/>
    <w:basedOn w:val="DefaultParagraphFont"/>
    <w:uiPriority w:val="32"/>
    <w:qFormat/>
    <w:rsid w:val="00AA2653"/>
    <w:rPr>
      <w:b/>
      <w:bCs/>
      <w:i/>
      <w:smallCaps/>
      <w:color w:val="C0504D" w:themeColor="accent2"/>
      <w:spacing w:val="5"/>
      <w:u w:val="none"/>
    </w:rPr>
  </w:style>
  <w:style w:type="character" w:customStyle="1" w:styleId="Heading2Char">
    <w:name w:val="Heading 2 Char"/>
    <w:basedOn w:val="DefaultParagraphFont"/>
    <w:link w:val="Heading2"/>
    <w:uiPriority w:val="9"/>
    <w:rsid w:val="00927AD3"/>
    <w:rPr>
      <w:rFonts w:ascii="Arial" w:eastAsiaTheme="majorEastAsia" w:hAnsi="Arial" w:cs="Arial"/>
      <w:b/>
      <w:bCs/>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7648933">
      <w:bodyDiv w:val="1"/>
      <w:marLeft w:val="0"/>
      <w:marRight w:val="0"/>
      <w:marTop w:val="0"/>
      <w:marBottom w:val="0"/>
      <w:divBdr>
        <w:top w:val="none" w:sz="0" w:space="0" w:color="auto"/>
        <w:left w:val="none" w:sz="0" w:space="0" w:color="auto"/>
        <w:bottom w:val="none" w:sz="0" w:space="0" w:color="auto"/>
        <w:right w:val="none" w:sz="0" w:space="0" w:color="auto"/>
      </w:divBdr>
    </w:div>
    <w:div w:id="1101995198">
      <w:bodyDiv w:val="1"/>
      <w:marLeft w:val="0"/>
      <w:marRight w:val="0"/>
      <w:marTop w:val="0"/>
      <w:marBottom w:val="0"/>
      <w:divBdr>
        <w:top w:val="none" w:sz="0" w:space="0" w:color="auto"/>
        <w:left w:val="none" w:sz="0" w:space="0" w:color="auto"/>
        <w:bottom w:val="none" w:sz="0" w:space="0" w:color="auto"/>
        <w:right w:val="none" w:sz="0" w:space="0" w:color="auto"/>
      </w:divBdr>
      <w:divsChild>
        <w:div w:id="544280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pbs.gov.au/info/industry/listing/elements/initiation-of-stakeholder-meetings"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0EC55-8192-46FF-84BF-3DFDCA5EA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1861</Words>
  <Characters>10614</Characters>
  <Application>Microsoft Office Word</Application>
  <DocSecurity>0</DocSecurity>
  <Lines>88</Lines>
  <Paragraphs>24</Paragraphs>
  <ScaleCrop>false</ScaleCrop>
  <Company/>
  <LinksUpToDate>false</LinksUpToDate>
  <CharactersWithSpaces>12451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2015-03-13T03:45:00Z</dcterms:created>
  <dcterms:modified xsi:type="dcterms:W3CDTF">2015-03-13T03:45:00Z</dcterms:modified>
</cp:coreProperties>
</file>