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CEE6" w14:textId="77777777" w:rsidR="00405078" w:rsidRPr="00D0545F" w:rsidRDefault="00405078" w:rsidP="00564C85">
      <w:pPr>
        <w:pStyle w:val="Heading1"/>
      </w:pPr>
      <w:bookmarkStart w:id="0" w:name="_GoBack"/>
      <w:bookmarkEnd w:id="0"/>
      <w:r w:rsidRPr="00D0545F">
        <w:t xml:space="preserve">Multiple Myeloma Stakeholder meeting </w:t>
      </w:r>
      <w:r w:rsidR="0014149B" w:rsidRPr="00D0545F">
        <w:t>outcome statement</w:t>
      </w:r>
    </w:p>
    <w:p w14:paraId="180437BB" w14:textId="77777777" w:rsidR="00564C85" w:rsidRDefault="00564C85" w:rsidP="0014149B">
      <w:pPr>
        <w:jc w:val="center"/>
        <w:rPr>
          <w:rFonts w:cs="Arial"/>
        </w:rPr>
      </w:pPr>
    </w:p>
    <w:p w14:paraId="74DAC32B" w14:textId="77777777" w:rsidR="0014149B" w:rsidRPr="00564C85" w:rsidRDefault="00405078" w:rsidP="0014149B">
      <w:pPr>
        <w:jc w:val="center"/>
        <w:rPr>
          <w:rFonts w:cs="Arial"/>
        </w:rPr>
      </w:pPr>
      <w:r w:rsidRPr="00564C85">
        <w:rPr>
          <w:rFonts w:cs="Arial"/>
        </w:rPr>
        <w:t>23 May 2018</w:t>
      </w:r>
      <w:r w:rsidR="00564C85">
        <w:rPr>
          <w:rFonts w:cs="Arial"/>
        </w:rPr>
        <w:t xml:space="preserve">, </w:t>
      </w:r>
      <w:r w:rsidR="0014149B" w:rsidRPr="00564C85">
        <w:rPr>
          <w:rFonts w:cs="Arial"/>
        </w:rPr>
        <w:t>Department of Health, Woden ACT 2606</w:t>
      </w:r>
    </w:p>
    <w:p w14:paraId="077E3858" w14:textId="77777777" w:rsidR="00405078" w:rsidRPr="00D0545F" w:rsidRDefault="00405078" w:rsidP="00405078">
      <w:pPr>
        <w:jc w:val="center"/>
        <w:rPr>
          <w:rFonts w:cs="Arial"/>
          <w:sz w:val="28"/>
          <w:szCs w:val="28"/>
        </w:rPr>
      </w:pPr>
    </w:p>
    <w:p w14:paraId="104434DB" w14:textId="77777777" w:rsidR="0014149B" w:rsidRPr="00D0545F" w:rsidRDefault="0014149B" w:rsidP="00564C85">
      <w:pPr>
        <w:pStyle w:val="Heading2"/>
      </w:pPr>
      <w:r w:rsidRPr="00D0545F">
        <w:t>Attendees</w:t>
      </w:r>
    </w:p>
    <w:p w14:paraId="23AC6178" w14:textId="77777777" w:rsidR="0014149B" w:rsidRDefault="0014149B" w:rsidP="0014149B">
      <w:pPr>
        <w:rPr>
          <w:rFonts w:cs="Arial"/>
        </w:rPr>
      </w:pPr>
      <w:r w:rsidRPr="00D0545F">
        <w:rPr>
          <w:rFonts w:cs="Arial"/>
        </w:rPr>
        <w:t>Members of the Pharmaceutical Benefits Advisory Committee (PBAC), representatives of The Haematological Society of Australia and New Zealand (HSANZ), the Medical &amp; Scientific Advisory Group (MSAG) of Myeloma Australia, The Leukaemia Foundation, Amgen Australia Pty Limited, Celgene Pty Limited, Janssen-Cilag Pty Ltd, Specialised Therapeutics Australia Pty Ltd and the Department of Health were in attendance.</w:t>
      </w:r>
    </w:p>
    <w:p w14:paraId="2723FD01" w14:textId="77777777" w:rsidR="003C770B" w:rsidRDefault="0090538C" w:rsidP="0014149B">
      <w:pPr>
        <w:rPr>
          <w:rFonts w:cs="Arial"/>
        </w:rPr>
      </w:pPr>
      <w:r>
        <w:rPr>
          <w:rFonts w:cs="Arial"/>
        </w:rPr>
        <w:t>Non-departmental a</w:t>
      </w:r>
      <w:r w:rsidR="003C770B">
        <w:rPr>
          <w:rFonts w:cs="Arial"/>
        </w:rPr>
        <w:t xml:space="preserve">ttendees undertook confidentiality declarations and provided conflict of interest statements.  </w:t>
      </w:r>
    </w:p>
    <w:p w14:paraId="2AADE2FC" w14:textId="77777777" w:rsidR="00564C85" w:rsidRDefault="00564C85" w:rsidP="00564C85">
      <w:pPr>
        <w:pStyle w:val="Heading2"/>
      </w:pPr>
      <w:r>
        <w:t>Purpose of meeting</w:t>
      </w:r>
    </w:p>
    <w:p w14:paraId="6BE9AC4B" w14:textId="77777777" w:rsidR="0090538C" w:rsidRDefault="0090538C" w:rsidP="0014149B">
      <w:pPr>
        <w:rPr>
          <w:rFonts w:cs="Arial"/>
        </w:rPr>
      </w:pPr>
      <w:r>
        <w:rPr>
          <w:rFonts w:cs="Arial"/>
        </w:rPr>
        <w:t>The PBAC Chair outlined the goals of the stakeholder meeting as:</w:t>
      </w:r>
    </w:p>
    <w:p w14:paraId="7E83B5C6" w14:textId="77777777" w:rsidR="0090538C" w:rsidRDefault="0090538C" w:rsidP="00987E7F">
      <w:pPr>
        <w:pStyle w:val="ListParagraph"/>
        <w:numPr>
          <w:ilvl w:val="0"/>
          <w:numId w:val="8"/>
        </w:numPr>
        <w:ind w:left="426" w:hanging="426"/>
        <w:rPr>
          <w:rFonts w:cs="Arial"/>
        </w:rPr>
      </w:pPr>
      <w:r>
        <w:rPr>
          <w:rFonts w:cs="Arial"/>
        </w:rPr>
        <w:t>t</w:t>
      </w:r>
      <w:r w:rsidR="003C770B" w:rsidRPr="0090538C">
        <w:rPr>
          <w:rFonts w:cs="Arial"/>
        </w:rPr>
        <w:t xml:space="preserve">o have </w:t>
      </w:r>
      <w:r>
        <w:rPr>
          <w:rFonts w:cs="Arial"/>
        </w:rPr>
        <w:t>an</w:t>
      </w:r>
      <w:r w:rsidR="003C770B" w:rsidRPr="0090538C">
        <w:rPr>
          <w:rFonts w:cs="Arial"/>
        </w:rPr>
        <w:t xml:space="preserve"> open discussion</w:t>
      </w:r>
      <w:r w:rsidR="00FB49C7" w:rsidRPr="0090538C">
        <w:rPr>
          <w:rFonts w:cs="Arial"/>
        </w:rPr>
        <w:t xml:space="preserve"> about the direction of clinical practice in multiple myeloma (MM) treatment within the context of high and uncertain cost-effectiveness for combination and ongoing therapies</w:t>
      </w:r>
      <w:r w:rsidR="007F13B1">
        <w:rPr>
          <w:rFonts w:cs="Arial"/>
        </w:rPr>
        <w:t>;</w:t>
      </w:r>
      <w:r w:rsidR="00FB49C7" w:rsidRPr="0090538C">
        <w:rPr>
          <w:rFonts w:cs="Arial"/>
        </w:rPr>
        <w:t xml:space="preserve"> </w:t>
      </w:r>
    </w:p>
    <w:p w14:paraId="1DE168F0" w14:textId="77777777" w:rsidR="0090538C" w:rsidRDefault="00FB49C7" w:rsidP="00987E7F">
      <w:pPr>
        <w:pStyle w:val="ListParagraph"/>
        <w:numPr>
          <w:ilvl w:val="0"/>
          <w:numId w:val="8"/>
        </w:numPr>
        <w:ind w:left="426" w:hanging="426"/>
        <w:rPr>
          <w:rFonts w:cs="Arial"/>
        </w:rPr>
      </w:pPr>
      <w:r w:rsidRPr="0090538C">
        <w:rPr>
          <w:rFonts w:cs="Arial"/>
        </w:rPr>
        <w:t xml:space="preserve">to identify priorities for change </w:t>
      </w:r>
      <w:r w:rsidR="003A6F51">
        <w:rPr>
          <w:rFonts w:cs="Arial"/>
        </w:rPr>
        <w:t>in</w:t>
      </w:r>
      <w:r w:rsidRPr="0090538C">
        <w:rPr>
          <w:rFonts w:cs="Arial"/>
        </w:rPr>
        <w:t xml:space="preserve"> areas of highest </w:t>
      </w:r>
      <w:r w:rsidR="00972454" w:rsidRPr="0090538C">
        <w:rPr>
          <w:rFonts w:cs="Arial"/>
        </w:rPr>
        <w:t xml:space="preserve">clinical </w:t>
      </w:r>
      <w:r w:rsidRPr="0090538C">
        <w:rPr>
          <w:rFonts w:cs="Arial"/>
        </w:rPr>
        <w:t>need</w:t>
      </w:r>
      <w:r w:rsidR="007F13B1">
        <w:rPr>
          <w:rFonts w:cs="Arial"/>
        </w:rPr>
        <w:t>; and</w:t>
      </w:r>
      <w:r w:rsidRPr="0090538C">
        <w:rPr>
          <w:rFonts w:cs="Arial"/>
        </w:rPr>
        <w:t xml:space="preserve"> </w:t>
      </w:r>
    </w:p>
    <w:p w14:paraId="6B838A57" w14:textId="77777777" w:rsidR="00564C85" w:rsidRPr="0090538C" w:rsidRDefault="0090538C" w:rsidP="00987E7F">
      <w:pPr>
        <w:pStyle w:val="ListParagraph"/>
        <w:numPr>
          <w:ilvl w:val="0"/>
          <w:numId w:val="8"/>
        </w:numPr>
        <w:ind w:left="426" w:hanging="426"/>
        <w:rPr>
          <w:rFonts w:cs="Arial"/>
        </w:rPr>
      </w:pPr>
      <w:r>
        <w:rPr>
          <w:rFonts w:cs="Arial"/>
        </w:rPr>
        <w:t xml:space="preserve">to </w:t>
      </w:r>
      <w:r w:rsidR="00FB49C7" w:rsidRPr="0090538C">
        <w:rPr>
          <w:rFonts w:cs="Arial"/>
        </w:rPr>
        <w:t>discuss the challenges for implementation</w:t>
      </w:r>
      <w:r w:rsidR="00DB1E66">
        <w:rPr>
          <w:rFonts w:cs="Arial"/>
        </w:rPr>
        <w:t xml:space="preserve"> and ways to address them</w:t>
      </w:r>
      <w:r w:rsidR="00FB49C7" w:rsidRPr="0090538C">
        <w:rPr>
          <w:rFonts w:cs="Arial"/>
        </w:rPr>
        <w:t xml:space="preserve">.   </w:t>
      </w:r>
    </w:p>
    <w:p w14:paraId="305F0C90" w14:textId="77777777" w:rsidR="00987E7F" w:rsidRPr="00987E7F" w:rsidRDefault="0090538C" w:rsidP="00987E7F">
      <w:r w:rsidRPr="00987E7F">
        <w:t xml:space="preserve">The PBAC </w:t>
      </w:r>
      <w:r w:rsidR="007F13B1" w:rsidRPr="00987E7F">
        <w:t xml:space="preserve">Chair </w:t>
      </w:r>
      <w:r w:rsidRPr="00987E7F">
        <w:t xml:space="preserve">acknowledged that changes to the current PBS listings for MM treatments will require advocacy from clinicians </w:t>
      </w:r>
      <w:r w:rsidR="00DB1E66">
        <w:t xml:space="preserve">and patient groups, </w:t>
      </w:r>
      <w:r w:rsidRPr="00987E7F">
        <w:t>and co-operation from sponsors</w:t>
      </w:r>
      <w:r w:rsidR="007F13B1" w:rsidRPr="00987E7F">
        <w:t xml:space="preserve"> with the PBAC and the Department,</w:t>
      </w:r>
      <w:r w:rsidRPr="00987E7F">
        <w:t xml:space="preserve"> and this stakeholder meeting provides</w:t>
      </w:r>
      <w:r>
        <w:rPr>
          <w:rFonts w:cs="Arial"/>
        </w:rPr>
        <w:t xml:space="preserve"> an important forum to discuss ways forward.  </w:t>
      </w:r>
    </w:p>
    <w:p w14:paraId="4971CBF3" w14:textId="77777777" w:rsidR="00564C85" w:rsidRDefault="00564C85" w:rsidP="00564C85">
      <w:pPr>
        <w:pStyle w:val="Heading2"/>
      </w:pPr>
      <w:r>
        <w:t>Background</w:t>
      </w:r>
    </w:p>
    <w:p w14:paraId="2DAA08BD" w14:textId="67C7619E" w:rsidR="004B1E2F" w:rsidRDefault="00DB1E66" w:rsidP="004B1E2F">
      <w:r>
        <w:t>M</w:t>
      </w:r>
      <w:r w:rsidR="004B1E2F" w:rsidRPr="004B1E2F">
        <w:t xml:space="preserve">isalignment of </w:t>
      </w:r>
      <w:r w:rsidR="0007736F" w:rsidRPr="004B1E2F">
        <w:t xml:space="preserve">current clinical guidelines </w:t>
      </w:r>
      <w:r w:rsidR="0007736F">
        <w:t xml:space="preserve">and </w:t>
      </w:r>
      <w:r w:rsidR="004B1E2F" w:rsidRPr="004B1E2F">
        <w:t xml:space="preserve">PBS listings for </w:t>
      </w:r>
      <w:r w:rsidR="004B1E2F">
        <w:t>MM</w:t>
      </w:r>
      <w:r w:rsidR="0007736F">
        <w:t xml:space="preserve"> treatments</w:t>
      </w:r>
      <w:r>
        <w:t xml:space="preserve"> is an issue that been raised with the PBAC</w:t>
      </w:r>
      <w:r w:rsidR="004B1E2F" w:rsidRPr="004B1E2F">
        <w:t>. At present, choice of therapy is driven by the</w:t>
      </w:r>
      <w:r w:rsidR="003A6F51">
        <w:t xml:space="preserve"> PBS</w:t>
      </w:r>
      <w:r w:rsidR="004B1E2F" w:rsidRPr="004B1E2F">
        <w:t xml:space="preserve"> listings, which may not always </w:t>
      </w:r>
      <w:r>
        <w:t>match current clinical evidence for</w:t>
      </w:r>
      <w:r w:rsidR="004B1E2F" w:rsidRPr="004B1E2F">
        <w:t xml:space="preserve"> the ideal treatments to achieve optimal patient outcomes. In particular, the combined use of </w:t>
      </w:r>
      <w:r w:rsidR="00191F37">
        <w:t xml:space="preserve">a protease inhibitor (PI), such as </w:t>
      </w:r>
      <w:r w:rsidR="004B1E2F" w:rsidRPr="004B1E2F">
        <w:t>bortezomib</w:t>
      </w:r>
      <w:r w:rsidR="00191F37">
        <w:t>,</w:t>
      </w:r>
      <w:r w:rsidR="004B1E2F" w:rsidRPr="004B1E2F">
        <w:t xml:space="preserve"> and </w:t>
      </w:r>
      <w:r w:rsidR="00191F37">
        <w:t xml:space="preserve">an </w:t>
      </w:r>
      <w:r w:rsidR="00191F37" w:rsidRPr="00191F37">
        <w:t>immunomodulatory agent (IMiD)</w:t>
      </w:r>
      <w:r w:rsidR="00191F37">
        <w:t>, such as</w:t>
      </w:r>
      <w:r w:rsidR="00191F37" w:rsidRPr="00191F37">
        <w:t xml:space="preserve"> </w:t>
      </w:r>
      <w:r w:rsidR="004B1E2F" w:rsidRPr="004B1E2F">
        <w:t xml:space="preserve">lenalidomide </w:t>
      </w:r>
      <w:r w:rsidR="00191F37">
        <w:t xml:space="preserve">or thalidomide, </w:t>
      </w:r>
      <w:r w:rsidR="004B1E2F" w:rsidRPr="004B1E2F">
        <w:t>is standard in international guidelines</w:t>
      </w:r>
      <w:r>
        <w:t xml:space="preserve"> for first-line treatment of newly diagnosed MM patients</w:t>
      </w:r>
      <w:r w:rsidR="004B1E2F" w:rsidRPr="004B1E2F">
        <w:t xml:space="preserve">, however is not currently available </w:t>
      </w:r>
      <w:r w:rsidR="00972454">
        <w:t xml:space="preserve">through the PBS </w:t>
      </w:r>
      <w:r w:rsidR="004B1E2F" w:rsidRPr="004B1E2F">
        <w:t xml:space="preserve">due to the restrictions in place. </w:t>
      </w:r>
      <w:r w:rsidR="00191F37">
        <w:t>No submission for th</w:t>
      </w:r>
      <w:r w:rsidR="0007736F">
        <w:t>e</w:t>
      </w:r>
      <w:r w:rsidR="00191F37">
        <w:t xml:space="preserve"> combination </w:t>
      </w:r>
      <w:r w:rsidR="0007736F">
        <w:t>of a PI and IMiD</w:t>
      </w:r>
      <w:r w:rsidR="00191F37">
        <w:t xml:space="preserve"> </w:t>
      </w:r>
      <w:r>
        <w:t xml:space="preserve">in this setting </w:t>
      </w:r>
      <w:r w:rsidR="00191F37">
        <w:t xml:space="preserve">has previously been presented to the PBAC for consideration. </w:t>
      </w:r>
    </w:p>
    <w:p w14:paraId="6F1DFDDE" w14:textId="77777777" w:rsidR="007F13B1" w:rsidRDefault="004B1E2F" w:rsidP="004B1E2F">
      <w:r>
        <w:t>The PBAC work</w:t>
      </w:r>
      <w:r w:rsidR="00972454">
        <w:t>s</w:t>
      </w:r>
      <w:r>
        <w:t xml:space="preserve"> within a legislative framework where consideration of both clinical and cost-effectiveness is required, such that PBAC cannot recommend a therapy at a higher cost than </w:t>
      </w:r>
      <w:r w:rsidRPr="004B1E2F">
        <w:t xml:space="preserve">alternative therapies </w:t>
      </w:r>
      <w:r>
        <w:t xml:space="preserve">unless </w:t>
      </w:r>
      <w:r w:rsidRPr="004B1E2F">
        <w:t xml:space="preserve">for some patients, </w:t>
      </w:r>
      <w:r>
        <w:t xml:space="preserve">the new therapy </w:t>
      </w:r>
      <w:r w:rsidRPr="004B1E2F">
        <w:t xml:space="preserve">provides a significant improvement in efficacy or </w:t>
      </w:r>
      <w:r w:rsidR="00D95BE4">
        <w:t>reduced</w:t>
      </w:r>
      <w:r w:rsidRPr="004B1E2F">
        <w:t xml:space="preserve"> toxicity over the</w:t>
      </w:r>
      <w:r>
        <w:t xml:space="preserve"> alternatives. </w:t>
      </w:r>
    </w:p>
    <w:p w14:paraId="6CA12B3A" w14:textId="77777777" w:rsidR="00564C85" w:rsidRDefault="004B1E2F" w:rsidP="004B1E2F">
      <w:r>
        <w:lastRenderedPageBreak/>
        <w:t>Recent PBAC consideration</w:t>
      </w:r>
      <w:r w:rsidR="002B62B4">
        <w:t>s</w:t>
      </w:r>
      <w:r>
        <w:t xml:space="preserve"> for </w:t>
      </w:r>
      <w:r w:rsidR="002B62B4" w:rsidRPr="002B62B4">
        <w:t>treatments for multiple myeloma</w:t>
      </w:r>
      <w:r w:rsidR="002B62B4">
        <w:t>,</w:t>
      </w:r>
      <w:r w:rsidR="002B62B4" w:rsidRPr="002B62B4">
        <w:t xml:space="preserve"> includ</w:t>
      </w:r>
      <w:r w:rsidR="002B62B4">
        <w:t>ing</w:t>
      </w:r>
      <w:r w:rsidR="002B62B4" w:rsidRPr="002B62B4">
        <w:t xml:space="preserve"> </w:t>
      </w:r>
      <w:r>
        <w:t>combination therap</w:t>
      </w:r>
      <w:r w:rsidR="0007736F">
        <w:t>y with new agents</w:t>
      </w:r>
      <w:r w:rsidR="002B62B4">
        <w:t xml:space="preserve"> (carfilzomib</w:t>
      </w:r>
      <w:r w:rsidR="002B62B4">
        <w:rPr>
          <w:rStyle w:val="FootnoteReference"/>
        </w:rPr>
        <w:footnoteReference w:id="1"/>
      </w:r>
      <w:r w:rsidR="002B62B4">
        <w:t xml:space="preserve"> + lenalidomide, and daratumumab</w:t>
      </w:r>
      <w:r w:rsidR="002B62B4">
        <w:rPr>
          <w:rStyle w:val="FootnoteReference"/>
        </w:rPr>
        <w:footnoteReference w:id="2"/>
      </w:r>
      <w:r w:rsidR="002B62B4">
        <w:t xml:space="preserve"> + lena</w:t>
      </w:r>
      <w:r w:rsidR="00972454">
        <w:t>li</w:t>
      </w:r>
      <w:r w:rsidR="002B62B4">
        <w:t>domide</w:t>
      </w:r>
      <w:r w:rsidR="0007736F">
        <w:t xml:space="preserve"> or bortezomib</w:t>
      </w:r>
      <w:r w:rsidR="002B62B4">
        <w:t>) and maintenance treatment with lenalidomide</w:t>
      </w:r>
      <w:r w:rsidR="002B62B4">
        <w:rPr>
          <w:rStyle w:val="FootnoteReference"/>
        </w:rPr>
        <w:footnoteReference w:id="3"/>
      </w:r>
      <w:r w:rsidR="002B62B4">
        <w:t xml:space="preserve"> </w:t>
      </w:r>
      <w:r w:rsidR="002B62B4" w:rsidRPr="002B62B4">
        <w:t>following an Autologous Stem Cell Transplant (ASCT)</w:t>
      </w:r>
      <w:r w:rsidR="002B62B4">
        <w:t>,</w:t>
      </w:r>
      <w:r w:rsidR="002B62B4" w:rsidRPr="002B62B4">
        <w:t xml:space="preserve"> did not receive positive recommendation</w:t>
      </w:r>
      <w:r w:rsidR="0007736F">
        <w:t>s</w:t>
      </w:r>
      <w:r w:rsidR="002B62B4" w:rsidRPr="002B62B4">
        <w:t xml:space="preserve"> on the basis of high and uncertain cost-effectiveness. </w:t>
      </w:r>
      <w:r w:rsidRPr="004B1E2F">
        <w:t xml:space="preserve"> </w:t>
      </w:r>
    </w:p>
    <w:p w14:paraId="7E043A64" w14:textId="77777777" w:rsidR="00564C85" w:rsidRDefault="00564C85" w:rsidP="00564C85">
      <w:pPr>
        <w:pStyle w:val="Heading2"/>
      </w:pPr>
      <w:r>
        <w:t>Discussion and outcomes</w:t>
      </w:r>
    </w:p>
    <w:p w14:paraId="034104F2" w14:textId="77777777" w:rsidR="00564C85" w:rsidRDefault="00564C85" w:rsidP="00564C85">
      <w:pPr>
        <w:pStyle w:val="Heading3"/>
      </w:pPr>
      <w:r>
        <w:t>Stakeholder responses</w:t>
      </w:r>
    </w:p>
    <w:p w14:paraId="706759B4" w14:textId="77777777" w:rsidR="00F04CA8" w:rsidRDefault="000A5877" w:rsidP="00DF2F3E">
      <w:r>
        <w:t>Prior to the</w:t>
      </w:r>
      <w:r w:rsidR="00F04CA8">
        <w:t xml:space="preserve"> meeting, t</w:t>
      </w:r>
      <w:r w:rsidR="00F04CA8" w:rsidRPr="00F04CA8">
        <w:t>he PBAC sought the advice of the MSAG</w:t>
      </w:r>
      <w:r w:rsidR="00F04CA8">
        <w:t>,</w:t>
      </w:r>
      <w:r w:rsidR="00F04CA8" w:rsidRPr="00F04CA8">
        <w:t xml:space="preserve"> </w:t>
      </w:r>
      <w:r w:rsidR="00F04CA8">
        <w:t>HSANZ</w:t>
      </w:r>
      <w:r w:rsidR="00F04CA8" w:rsidRPr="00F04CA8">
        <w:t>,</w:t>
      </w:r>
      <w:r w:rsidR="00F04CA8">
        <w:t xml:space="preserve"> and the</w:t>
      </w:r>
      <w:r w:rsidR="00F04CA8" w:rsidRPr="00F04CA8">
        <w:t xml:space="preserve"> Leukaemia Foundation.</w:t>
      </w:r>
      <w:r w:rsidR="00F04CA8">
        <w:t xml:space="preserve"> The following section summarises the discussion of the issues raised at the meeting.</w:t>
      </w:r>
    </w:p>
    <w:p w14:paraId="47E94B86" w14:textId="77777777" w:rsidR="00DB2C6C" w:rsidRDefault="0007736F" w:rsidP="00DF2F3E">
      <w:r w:rsidRPr="0007736F">
        <w:t xml:space="preserve">MSAG outlined </w:t>
      </w:r>
      <w:r w:rsidR="00DB2C6C">
        <w:t>the following issues of concern:</w:t>
      </w:r>
    </w:p>
    <w:p w14:paraId="5C032B45" w14:textId="09C16EDE" w:rsidR="00F04CA8" w:rsidRDefault="00DB2C6C" w:rsidP="00DB2C6C">
      <w:pPr>
        <w:pStyle w:val="ListParagraph"/>
        <w:numPr>
          <w:ilvl w:val="0"/>
          <w:numId w:val="5"/>
        </w:numPr>
      </w:pPr>
      <w:r>
        <w:t xml:space="preserve">The inconsistency of lenalidomide being available </w:t>
      </w:r>
      <w:r w:rsidR="007F13B1">
        <w:t xml:space="preserve">as a first line therapy </w:t>
      </w:r>
      <w:r>
        <w:t>for patients with newly diagnosed MM who are transplant ineligible (usually older patients)</w:t>
      </w:r>
      <w:r w:rsidR="007F13B1" w:rsidRPr="007F13B1">
        <w:t xml:space="preserve"> </w:t>
      </w:r>
      <w:r w:rsidR="007F13B1">
        <w:t>until disease progression</w:t>
      </w:r>
      <w:r>
        <w:t>, but unavailable</w:t>
      </w:r>
      <w:r w:rsidR="00DD0E06">
        <w:t xml:space="preserve"> as maintenance treatment</w:t>
      </w:r>
      <w:r>
        <w:t xml:space="preserve"> for younger patients following ASCT</w:t>
      </w:r>
      <w:r w:rsidR="007F13B1">
        <w:t xml:space="preserve"> who cannot access lenalidomide until after their MM has progressed</w:t>
      </w:r>
      <w:r>
        <w:t xml:space="preserve">. </w:t>
      </w:r>
    </w:p>
    <w:p w14:paraId="009FDCDF" w14:textId="5CC6FA30" w:rsidR="00F04CA8" w:rsidRDefault="00DB1E66" w:rsidP="00DB2C6C">
      <w:pPr>
        <w:pStyle w:val="ListParagraph"/>
        <w:numPr>
          <w:ilvl w:val="0"/>
          <w:numId w:val="5"/>
        </w:numPr>
      </w:pPr>
      <w:r>
        <w:t>F</w:t>
      </w:r>
      <w:r w:rsidR="00CC75D6">
        <w:t>irst-line treatment</w:t>
      </w:r>
      <w:r w:rsidR="007F13B1" w:rsidRPr="007F13B1">
        <w:t xml:space="preserve"> </w:t>
      </w:r>
      <w:r w:rsidR="007F13B1">
        <w:t>needs to be optimised</w:t>
      </w:r>
      <w:r w:rsidR="00CC75D6">
        <w:t xml:space="preserve">. </w:t>
      </w:r>
      <w:r w:rsidR="00F04CA8">
        <w:t xml:space="preserve">Combination PI and IMiD therapy in first line, preferably bortezomib + lenalidomide, is a high priority for improving overall survival for </w:t>
      </w:r>
      <w:r w:rsidR="00CC75D6">
        <w:t>patients</w:t>
      </w:r>
      <w:r w:rsidR="00F04CA8">
        <w:t xml:space="preserve">. </w:t>
      </w:r>
      <w:r w:rsidR="007F13B1">
        <w:t xml:space="preserve">Combination bortezomib + thalidomide would be a secondary option if the preferred option </w:t>
      </w:r>
      <w:r w:rsidR="002E6B28">
        <w:t xml:space="preserve">could not </w:t>
      </w:r>
      <w:r w:rsidR="007F13B1">
        <w:t>be achieved, or as an interim measure, but not as many patients would be able to tolerate this combination.</w:t>
      </w:r>
    </w:p>
    <w:p w14:paraId="0FE91295" w14:textId="246F740A" w:rsidR="00DF2F3E" w:rsidRDefault="00CC75D6" w:rsidP="00DB2C6C">
      <w:pPr>
        <w:pStyle w:val="ListParagraph"/>
        <w:numPr>
          <w:ilvl w:val="0"/>
          <w:numId w:val="5"/>
        </w:numPr>
      </w:pPr>
      <w:r>
        <w:t>A</w:t>
      </w:r>
      <w:r w:rsidR="0007736F" w:rsidRPr="0007736F">
        <w:t xml:space="preserve">ccess to combination therapies </w:t>
      </w:r>
      <w:r w:rsidR="00F04CA8">
        <w:t>with new agents, such as daratumumab or carfil</w:t>
      </w:r>
      <w:r w:rsidR="0007736F" w:rsidRPr="0007736F">
        <w:t>i</w:t>
      </w:r>
      <w:r w:rsidR="00F04CA8">
        <w:t xml:space="preserve">zomib, in </w:t>
      </w:r>
      <w:r w:rsidR="0007736F" w:rsidRPr="0007736F">
        <w:t xml:space="preserve">both </w:t>
      </w:r>
      <w:r w:rsidR="00F04CA8">
        <w:t xml:space="preserve">relapsed disease and front-line is a priority; however </w:t>
      </w:r>
      <w:r>
        <w:t>achieving cost-effectiveness is complicated</w:t>
      </w:r>
      <w:r w:rsidR="00F04CA8">
        <w:t xml:space="preserve"> where </w:t>
      </w:r>
      <w:r w:rsidR="00F97889">
        <w:t xml:space="preserve">there is more than one sponsor </w:t>
      </w:r>
      <w:r w:rsidR="00F04CA8">
        <w:t>for the products</w:t>
      </w:r>
      <w:r w:rsidR="00D95BE4">
        <w:t xml:space="preserve"> in the combination</w:t>
      </w:r>
      <w:r w:rsidR="0007736F" w:rsidRPr="0007736F">
        <w:t>. Should a restriction be approved for only one therapy for combination use (</w:t>
      </w:r>
      <w:r w:rsidR="002E6B28">
        <w:t>eg.</w:t>
      </w:r>
      <w:r w:rsidR="0007736F" w:rsidRPr="0007736F">
        <w:t xml:space="preserve"> only lenalidomide or bortezomib</w:t>
      </w:r>
      <w:r w:rsidR="007F13B1">
        <w:t xml:space="preserve"> in combination with </w:t>
      </w:r>
      <w:proofErr w:type="spellStart"/>
      <w:r w:rsidR="007F13B1">
        <w:t>daratumumab</w:t>
      </w:r>
      <w:proofErr w:type="spellEnd"/>
      <w:r w:rsidR="0007736F" w:rsidRPr="0007736F">
        <w:t xml:space="preserve">), </w:t>
      </w:r>
      <w:r w:rsidR="00BC3A3F">
        <w:t xml:space="preserve">this would still be of clinical benefit, however </w:t>
      </w:r>
      <w:r w:rsidR="0007736F" w:rsidRPr="0007736F">
        <w:t xml:space="preserve">MSAG stated that this </w:t>
      </w:r>
      <w:r w:rsidR="00BC3A3F">
        <w:t xml:space="preserve">was not optimal and </w:t>
      </w:r>
      <w:r w:rsidR="0007736F" w:rsidRPr="0007736F">
        <w:t>would lead to an unsatisfactory outcome for patients</w:t>
      </w:r>
      <w:r w:rsidR="007F13B1">
        <w:t xml:space="preserve"> particularly for those who appeared to respond better to the backbone treatment not available for use in combination</w:t>
      </w:r>
      <w:r w:rsidR="0007736F" w:rsidRPr="0007736F">
        <w:t xml:space="preserve">. </w:t>
      </w:r>
    </w:p>
    <w:p w14:paraId="7B7AA11D" w14:textId="5A75FC91" w:rsidR="00CC75D6" w:rsidRDefault="00CC75D6" w:rsidP="00DB2C6C">
      <w:pPr>
        <w:pStyle w:val="ListParagraph"/>
        <w:numPr>
          <w:ilvl w:val="0"/>
          <w:numId w:val="5"/>
        </w:numPr>
      </w:pPr>
      <w:r>
        <w:t xml:space="preserve">Access to thalidomide, which </w:t>
      </w:r>
      <w:r w:rsidR="00DB1E66">
        <w:t xml:space="preserve">MSAG considered </w:t>
      </w:r>
      <w:r>
        <w:t xml:space="preserve">is an effective drug despite </w:t>
      </w:r>
      <w:r w:rsidR="00D95BE4">
        <w:t>neurotoxicity</w:t>
      </w:r>
      <w:r>
        <w:t>, could be made easier if</w:t>
      </w:r>
      <w:r w:rsidR="002E6B28">
        <w:t xml:space="preserve"> it could be utilised in conjunction with other PBS-sponsored drugs such as bortezomib, and if</w:t>
      </w:r>
      <w:r>
        <w:t xml:space="preserve"> it was</w:t>
      </w:r>
      <w:r w:rsidR="002E6B28">
        <w:t xml:space="preserve"> not</w:t>
      </w:r>
      <w:r>
        <w:t xml:space="preserve"> categorised as a highly specialised drug. </w:t>
      </w:r>
    </w:p>
    <w:p w14:paraId="2A83C9B7" w14:textId="77777777" w:rsidR="00A23DCB" w:rsidRDefault="0007736F" w:rsidP="00DF2F3E">
      <w:r w:rsidRPr="0007736F">
        <w:t xml:space="preserve">HSANZ </w:t>
      </w:r>
      <w:r w:rsidR="00CC75D6">
        <w:t xml:space="preserve">agreed with the points made by MSAG and highlighted </w:t>
      </w:r>
      <w:r w:rsidR="00A23DCB">
        <w:t xml:space="preserve">that </w:t>
      </w:r>
      <w:r w:rsidR="00CC75D6">
        <w:t xml:space="preserve">first-line </w:t>
      </w:r>
      <w:r w:rsidR="00D245D3">
        <w:t xml:space="preserve">combination </w:t>
      </w:r>
      <w:r w:rsidR="00CC75D6">
        <w:t xml:space="preserve">therapies had the greatest opportunity to achieve a cost-effective outcome, given the most benefit in </w:t>
      </w:r>
      <w:r w:rsidR="00D95BE4">
        <w:t>survival</w:t>
      </w:r>
      <w:r w:rsidR="00CC75D6">
        <w:t xml:space="preserve"> </w:t>
      </w:r>
      <w:r w:rsidR="007F13B1">
        <w:t>appear</w:t>
      </w:r>
      <w:r w:rsidR="000538AD">
        <w:t>s</w:t>
      </w:r>
      <w:r w:rsidR="007F13B1">
        <w:t xml:space="preserve"> to be</w:t>
      </w:r>
      <w:r w:rsidR="00CC75D6">
        <w:t xml:space="preserve"> achieved through </w:t>
      </w:r>
      <w:r w:rsidR="00CC75D6">
        <w:lastRenderedPageBreak/>
        <w:t>treatments in this setting</w:t>
      </w:r>
      <w:r w:rsidR="00D95BE4">
        <w:t>;</w:t>
      </w:r>
      <w:r w:rsidR="00D245D3">
        <w:t xml:space="preserve"> with diminishing incremental gains in later lines</w:t>
      </w:r>
      <w:r w:rsidR="00A23DCB">
        <w:t xml:space="preserve"> after multiple relapses</w:t>
      </w:r>
      <w:r w:rsidR="00CC75D6">
        <w:t>.</w:t>
      </w:r>
      <w:r w:rsidR="00A23DCB">
        <w:t xml:space="preserve"> </w:t>
      </w:r>
      <w:r w:rsidR="00DB1E66">
        <w:t>HSANZ was also of the view that w</w:t>
      </w:r>
      <w:r w:rsidR="00A23DCB">
        <w:t>ider use of thalidomide may also be a more cost-effective option</w:t>
      </w:r>
      <w:r w:rsidR="00DB1E66">
        <w:t xml:space="preserve"> and</w:t>
      </w:r>
      <w:r w:rsidR="00A23DCB">
        <w:t xml:space="preserve"> </w:t>
      </w:r>
      <w:r w:rsidR="00DB1E66">
        <w:t>a</w:t>
      </w:r>
      <w:r w:rsidR="00D245D3">
        <w:t xml:space="preserve">lso </w:t>
      </w:r>
      <w:r w:rsidR="00A23DCB">
        <w:t>rais</w:t>
      </w:r>
      <w:r w:rsidR="00D245D3">
        <w:t xml:space="preserve">ed the lack of flexibility in </w:t>
      </w:r>
      <w:r w:rsidR="00A23DCB">
        <w:t>current p</w:t>
      </w:r>
      <w:r w:rsidR="00D245D3">
        <w:t>rescribing</w:t>
      </w:r>
      <w:r w:rsidR="00A23DCB">
        <w:t xml:space="preserve">, such as </w:t>
      </w:r>
      <w:r w:rsidR="005A5A1A">
        <w:t xml:space="preserve">not being able to </w:t>
      </w:r>
      <w:r w:rsidR="00DB1E66">
        <w:t>switch</w:t>
      </w:r>
      <w:r w:rsidR="00A23DCB">
        <w:t xml:space="preserve"> treatment dependent on response. </w:t>
      </w:r>
    </w:p>
    <w:p w14:paraId="1CDE2A34" w14:textId="77777777" w:rsidR="0007736F" w:rsidRPr="00D95BE4" w:rsidRDefault="0007736F" w:rsidP="00DF2F3E">
      <w:r w:rsidRPr="0007736F">
        <w:t xml:space="preserve">The Leukaemia Foundation </w:t>
      </w:r>
      <w:r w:rsidR="005A5A1A">
        <w:t>noted treatment decision</w:t>
      </w:r>
      <w:r w:rsidR="00DD0E06">
        <w:t>s</w:t>
      </w:r>
      <w:r w:rsidR="005A5A1A">
        <w:t xml:space="preserve"> are complicated and </w:t>
      </w:r>
      <w:r w:rsidRPr="0007736F">
        <w:t xml:space="preserve">emphasised the </w:t>
      </w:r>
      <w:r w:rsidR="005A5A1A">
        <w:t xml:space="preserve">confusion for patients in this space. With new therapies being very expensive and </w:t>
      </w:r>
      <w:r w:rsidR="007F13B1">
        <w:t>often taking some time between clinical trials and being made available</w:t>
      </w:r>
      <w:r w:rsidR="005A5A1A">
        <w:t xml:space="preserve"> on the PBS, it is difficult for patients to </w:t>
      </w:r>
      <w:r w:rsidR="005A5A1A" w:rsidRPr="00D95BE4">
        <w:t xml:space="preserve">obtain the best treatment option. </w:t>
      </w:r>
    </w:p>
    <w:p w14:paraId="1205D3A0" w14:textId="77777777" w:rsidR="00564C85" w:rsidRPr="00D95BE4" w:rsidRDefault="00564C85" w:rsidP="00564C85">
      <w:pPr>
        <w:pStyle w:val="Heading3"/>
      </w:pPr>
      <w:r w:rsidRPr="00D95BE4">
        <w:t>Priorities</w:t>
      </w:r>
      <w:r w:rsidR="00A57432" w:rsidRPr="00D95BE4">
        <w:t xml:space="preserve"> and challenges</w:t>
      </w:r>
    </w:p>
    <w:p w14:paraId="04946696" w14:textId="77777777" w:rsidR="00D95BE4" w:rsidRPr="00D95BE4" w:rsidRDefault="00D95BE4" w:rsidP="00D95BE4">
      <w:pPr>
        <w:pStyle w:val="Heading4"/>
      </w:pPr>
      <w:r w:rsidRPr="00D95BE4">
        <w:t>PI and IMiD combination therapy, first line</w:t>
      </w:r>
    </w:p>
    <w:p w14:paraId="4C304A94" w14:textId="77777777" w:rsidR="00401E4B" w:rsidRPr="00A80AD3" w:rsidRDefault="00401E4B" w:rsidP="00191F37">
      <w:r w:rsidRPr="00D95BE4">
        <w:t xml:space="preserve">One of the highest priorities identified </w:t>
      </w:r>
      <w:r w:rsidR="00DB1E66">
        <w:t xml:space="preserve">at the stakeholder meeting </w:t>
      </w:r>
      <w:r w:rsidR="00D95BE4" w:rsidRPr="00D95BE4">
        <w:t>w</w:t>
      </w:r>
      <w:r w:rsidRPr="00D95BE4">
        <w:t>as increasing flexibility for prescribers</w:t>
      </w:r>
      <w:r w:rsidR="00DB1E66">
        <w:t xml:space="preserve"> in available treatments and combinations</w:t>
      </w:r>
      <w:r w:rsidRPr="00D95BE4">
        <w:t xml:space="preserve">, especially in first line. There is a preference for access to PI and IMiD combination up front, with the possibility of triple therapy combination as new treatments, such as daratumumab, become available. The complexity in implementing changes to allow bortezomib (PI) in combination with either thalidomide of lenalidomide (both IMiDs) is </w:t>
      </w:r>
      <w:r w:rsidRPr="00A80AD3">
        <w:t>establishing a cost-effective price for use in this context.</w:t>
      </w:r>
      <w:r w:rsidR="00A57432" w:rsidRPr="00A80AD3">
        <w:t xml:space="preserve"> </w:t>
      </w:r>
      <w:r w:rsidR="005D4874">
        <w:t xml:space="preserve">Stakeholders acknowledged that while desirable, this challenge would be </w:t>
      </w:r>
      <w:r w:rsidR="003A6F51">
        <w:t xml:space="preserve">even </w:t>
      </w:r>
      <w:r w:rsidR="005D4874">
        <w:t>greater for use of triple therapy in the newly diagnosed MM setting.</w:t>
      </w:r>
    </w:p>
    <w:p w14:paraId="73A9F18B" w14:textId="77777777" w:rsidR="00A57432" w:rsidRDefault="00D95BE4" w:rsidP="00A57432">
      <w:r w:rsidRPr="00A80AD3">
        <w:t xml:space="preserve">The PBAC </w:t>
      </w:r>
      <w:r w:rsidR="00B954F8">
        <w:t xml:space="preserve">Chair indicated that the committee </w:t>
      </w:r>
      <w:r w:rsidRPr="00A80AD3">
        <w:t xml:space="preserve">would welcome applications for </w:t>
      </w:r>
      <w:r w:rsidR="00A80AD3" w:rsidRPr="00A80AD3">
        <w:t>broader ‘</w:t>
      </w:r>
      <w:r w:rsidR="00F97889" w:rsidRPr="00A80AD3">
        <w:t>Multiple</w:t>
      </w:r>
      <w:r w:rsidR="00A80AD3" w:rsidRPr="00A80AD3">
        <w:t xml:space="preserve"> myeloma’ listings for bortezomib and lenalidom</w:t>
      </w:r>
      <w:r w:rsidR="00DD0E06">
        <w:t>i</w:t>
      </w:r>
      <w:r w:rsidR="00A80AD3" w:rsidRPr="00A80AD3">
        <w:t xml:space="preserve">de, which would </w:t>
      </w:r>
      <w:r w:rsidR="005D4874">
        <w:t>provide greater flexibility for clinical decision-making</w:t>
      </w:r>
      <w:r w:rsidR="00A80AD3" w:rsidRPr="00A80AD3">
        <w:t xml:space="preserve">. </w:t>
      </w:r>
      <w:r w:rsidR="005A5A1A" w:rsidRPr="00A80AD3">
        <w:t>Sponsors indicated a willingness to work with the Department and PBAC to achieve broader listings</w:t>
      </w:r>
      <w:r w:rsidR="00A57432" w:rsidRPr="00A80AD3">
        <w:t xml:space="preserve">. Sponsors highlighted the difficulties they face in </w:t>
      </w:r>
      <w:r w:rsidR="005D4874">
        <w:t>the context of global considerations</w:t>
      </w:r>
      <w:r w:rsidR="00A57432" w:rsidRPr="00A80AD3">
        <w:t xml:space="preserve">. </w:t>
      </w:r>
      <w:r w:rsidR="00B954F8">
        <w:t>However, it was also acknowledged that increase in volumes as a result of broader listings may provide some incentive for such an approach.</w:t>
      </w:r>
    </w:p>
    <w:p w14:paraId="59A46345" w14:textId="77777777" w:rsidR="00A80AD3" w:rsidRDefault="00A80AD3" w:rsidP="00A57432">
      <w:r>
        <w:t xml:space="preserve">In discussion, it was suggested there are three types of patients </w:t>
      </w:r>
      <w:r w:rsidR="00B954F8">
        <w:t xml:space="preserve">with </w:t>
      </w:r>
      <w:r>
        <w:t xml:space="preserve">newly diagnosed </w:t>
      </w:r>
      <w:r w:rsidR="00B954F8">
        <w:t xml:space="preserve">MM, </w:t>
      </w:r>
      <w:r>
        <w:t xml:space="preserve">and </w:t>
      </w:r>
      <w:r w:rsidR="0016722D">
        <w:t>patients would be roughly equally s</w:t>
      </w:r>
      <w:r w:rsidR="005D4874">
        <w:t xml:space="preserve">pread amongst these categories </w:t>
      </w:r>
      <w:r w:rsidR="0016722D">
        <w:t>(approximately 1/3 of patients</w:t>
      </w:r>
      <w:r w:rsidR="005D4874">
        <w:t xml:space="preserve"> in each</w:t>
      </w:r>
      <w:r w:rsidR="0016722D">
        <w:t>)</w:t>
      </w:r>
      <w:r>
        <w:t>:</w:t>
      </w:r>
    </w:p>
    <w:p w14:paraId="12813EFD" w14:textId="1CDD8D3C" w:rsidR="0016722D" w:rsidRPr="00A80AD3" w:rsidRDefault="0016722D" w:rsidP="00265205">
      <w:pPr>
        <w:pStyle w:val="ListParagraph"/>
        <w:numPr>
          <w:ilvl w:val="0"/>
          <w:numId w:val="7"/>
        </w:numPr>
      </w:pPr>
      <w:r>
        <w:t>Elderly, fit patients</w:t>
      </w:r>
      <w:r w:rsidR="00B954F8">
        <w:t>, not suitable for ASCT</w:t>
      </w:r>
      <w:r>
        <w:t xml:space="preserve"> — </w:t>
      </w:r>
      <w:r w:rsidR="000939E7">
        <w:t xml:space="preserve">triple </w:t>
      </w:r>
      <w:r>
        <w:t xml:space="preserve">combination </w:t>
      </w:r>
      <w:proofErr w:type="spellStart"/>
      <w:r>
        <w:t>bortezomib</w:t>
      </w:r>
      <w:proofErr w:type="spellEnd"/>
      <w:r>
        <w:t xml:space="preserve"> </w:t>
      </w:r>
      <w:r w:rsidR="00235247">
        <w:t xml:space="preserve">+ </w:t>
      </w:r>
      <w:proofErr w:type="spellStart"/>
      <w:r>
        <w:t>lenalidomide</w:t>
      </w:r>
      <w:proofErr w:type="spellEnd"/>
      <w:r>
        <w:t xml:space="preserve"> </w:t>
      </w:r>
      <w:r w:rsidR="00235247">
        <w:t xml:space="preserve">+ </w:t>
      </w:r>
      <w:r w:rsidR="00DD0E06">
        <w:t xml:space="preserve">dexamethasone </w:t>
      </w:r>
      <w:r w:rsidR="00235247">
        <w:t xml:space="preserve">would be </w:t>
      </w:r>
      <w:r>
        <w:t>preferable</w:t>
      </w:r>
      <w:r w:rsidR="009D56C5">
        <w:t>, but only approximately one third of these patient would be suitable for this triple therapy</w:t>
      </w:r>
      <w:r w:rsidR="00235247">
        <w:t>.</w:t>
      </w:r>
      <w:r>
        <w:t xml:space="preserve"> </w:t>
      </w:r>
      <w:r w:rsidR="00235247">
        <w:t xml:space="preserve">The remaining </w:t>
      </w:r>
      <w:r w:rsidR="009D56C5">
        <w:t>elderly, fit</w:t>
      </w:r>
      <w:r w:rsidR="00235247">
        <w:t xml:space="preserve"> patients would be suitable for dual therapy (i</w:t>
      </w:r>
      <w:r w:rsidR="00D54C86">
        <w:t>.</w:t>
      </w:r>
      <w:r w:rsidR="00235247">
        <w:t>e</w:t>
      </w:r>
      <w:r w:rsidR="00D54C86">
        <w:t>.</w:t>
      </w:r>
      <w:r w:rsidR="009D56C5">
        <w:t xml:space="preserve"> with</w:t>
      </w:r>
      <w:r w:rsidR="00235247">
        <w:t xml:space="preserve"> </w:t>
      </w:r>
      <w:proofErr w:type="gramStart"/>
      <w:r w:rsidR="00235247">
        <w:t>either PI</w:t>
      </w:r>
      <w:proofErr w:type="gramEnd"/>
      <w:r w:rsidR="00235247">
        <w:t xml:space="preserve"> + dexamethasone or lenalidomide + dexamethasone).</w:t>
      </w:r>
      <w:r w:rsidR="00235247" w:rsidRPr="00235247">
        <w:t xml:space="preserve"> </w:t>
      </w:r>
      <w:r w:rsidR="00235247">
        <w:t xml:space="preserve">Another option would be triple therapy with </w:t>
      </w:r>
      <w:r w:rsidR="00DB5A66">
        <w:t>PI</w:t>
      </w:r>
      <w:r w:rsidR="00235247">
        <w:t xml:space="preserve"> + thalidomide + dexamethasone, but s</w:t>
      </w:r>
      <w:r w:rsidR="00B954F8">
        <w:t xml:space="preserve">ome </w:t>
      </w:r>
      <w:r w:rsidR="008C5A37">
        <w:t xml:space="preserve">patients </w:t>
      </w:r>
      <w:r>
        <w:t>may not be suitable for thalidomide</w:t>
      </w:r>
      <w:r w:rsidR="00DD0E06">
        <w:t xml:space="preserve"> (as bortezomib and thalidomide have similarly toxicity profiles)</w:t>
      </w:r>
      <w:r w:rsidR="008C5A37">
        <w:t xml:space="preserve">. </w:t>
      </w:r>
    </w:p>
    <w:p w14:paraId="035A1920" w14:textId="77777777" w:rsidR="0016722D" w:rsidRDefault="0016722D" w:rsidP="00A80AD3">
      <w:pPr>
        <w:pStyle w:val="ListParagraph"/>
        <w:numPr>
          <w:ilvl w:val="0"/>
          <w:numId w:val="7"/>
        </w:numPr>
      </w:pPr>
      <w:r>
        <w:t>Elderly, unfit/frail</w:t>
      </w:r>
      <w:r w:rsidR="00B954F8">
        <w:t>, not suitable for ASCT</w:t>
      </w:r>
      <w:r>
        <w:t xml:space="preserve"> — not generally suitable for </w:t>
      </w:r>
      <w:r w:rsidR="00987E7F">
        <w:t xml:space="preserve">triple </w:t>
      </w:r>
      <w:r>
        <w:t xml:space="preserve">combination therapy and would continue with </w:t>
      </w:r>
      <w:r w:rsidR="00DD0E06">
        <w:t xml:space="preserve">dual therapy </w:t>
      </w:r>
      <w:r>
        <w:t>approaches</w:t>
      </w:r>
      <w:r w:rsidR="00DD0E06">
        <w:t xml:space="preserve"> (i</w:t>
      </w:r>
      <w:r w:rsidR="00B954F8">
        <w:t>.</w:t>
      </w:r>
      <w:r w:rsidR="00DD0E06">
        <w:t>e</w:t>
      </w:r>
      <w:r w:rsidR="00B954F8">
        <w:t>.</w:t>
      </w:r>
      <w:r w:rsidR="00DD0E06">
        <w:t xml:space="preserve"> either bortezomib or an IMiD, both in combination with dexamethasone)</w:t>
      </w:r>
    </w:p>
    <w:p w14:paraId="3282905B" w14:textId="18EC49DD" w:rsidR="00A80AD3" w:rsidRPr="00E73D82" w:rsidRDefault="00A80AD3" w:rsidP="00A80AD3">
      <w:pPr>
        <w:pStyle w:val="ListParagraph"/>
        <w:numPr>
          <w:ilvl w:val="0"/>
          <w:numId w:val="7"/>
        </w:numPr>
      </w:pPr>
      <w:r>
        <w:t xml:space="preserve">Transplant eligible patients — </w:t>
      </w:r>
      <w:r w:rsidR="009F67D9">
        <w:t xml:space="preserve">many are </w:t>
      </w:r>
      <w:r>
        <w:t xml:space="preserve">adequately managed with </w:t>
      </w:r>
      <w:r w:rsidR="00DD0E06">
        <w:t>current induction therapies</w:t>
      </w:r>
      <w:r w:rsidR="009F67D9">
        <w:t>.</w:t>
      </w:r>
      <w:r w:rsidR="000939E7">
        <w:t xml:space="preserve"> </w:t>
      </w:r>
      <w:r w:rsidR="009F67D9">
        <w:t>T</w:t>
      </w:r>
      <w:r w:rsidR="008A2ABE">
        <w:t xml:space="preserve">he use of a </w:t>
      </w:r>
      <w:proofErr w:type="spellStart"/>
      <w:r w:rsidR="008A2ABE">
        <w:t>bortezomib</w:t>
      </w:r>
      <w:proofErr w:type="spellEnd"/>
      <w:r w:rsidR="004C2962">
        <w:t xml:space="preserve"> +</w:t>
      </w:r>
      <w:r w:rsidR="008A2ABE">
        <w:t xml:space="preserve"> </w:t>
      </w:r>
      <w:proofErr w:type="spellStart"/>
      <w:r w:rsidR="008A2ABE">
        <w:t>lenalidomide</w:t>
      </w:r>
      <w:proofErr w:type="spellEnd"/>
      <w:r w:rsidR="008A2ABE">
        <w:t xml:space="preserve"> </w:t>
      </w:r>
      <w:r w:rsidR="004C2962">
        <w:t xml:space="preserve">+ </w:t>
      </w:r>
      <w:r w:rsidR="008A2ABE">
        <w:t xml:space="preserve">dexamethasone may be preferable in certain </w:t>
      </w:r>
      <w:r w:rsidR="00B670CB">
        <w:t>sub-</w:t>
      </w:r>
      <w:r w:rsidR="008A2ABE">
        <w:t>groups, eg high cytogenetic risk</w:t>
      </w:r>
      <w:r w:rsidR="009F67D9">
        <w:t>. Overall, t</w:t>
      </w:r>
      <w:r w:rsidR="008A2ABE">
        <w:t xml:space="preserve">here is </w:t>
      </w:r>
      <w:r w:rsidR="009F67D9">
        <w:t>less urgency for</w:t>
      </w:r>
      <w:r w:rsidR="000939E7">
        <w:t xml:space="preserve"> access to triple combination therapy in </w:t>
      </w:r>
      <w:r w:rsidR="000939E7">
        <w:lastRenderedPageBreak/>
        <w:t>this setting</w:t>
      </w:r>
      <w:r w:rsidR="009F67D9">
        <w:t xml:space="preserve"> than for fit elderly patients</w:t>
      </w:r>
      <w:r w:rsidR="000939E7">
        <w:t xml:space="preserve">.  </w:t>
      </w:r>
      <w:r w:rsidR="00D146BA">
        <w:t>Although an estimated 40</w:t>
      </w:r>
      <w:r w:rsidR="00D707CE">
        <w:t>–</w:t>
      </w:r>
      <w:r w:rsidR="00D146BA">
        <w:t xml:space="preserve">50% of </w:t>
      </w:r>
      <w:r w:rsidR="0002289C">
        <w:t xml:space="preserve">these </w:t>
      </w:r>
      <w:r w:rsidR="00D146BA">
        <w:t>patients access thalidomide in the post-transplant setting, a</w:t>
      </w:r>
      <w:r w:rsidR="000939E7">
        <w:t xml:space="preserve">ccess to lenalidomide </w:t>
      </w:r>
      <w:r w:rsidR="00D146BA">
        <w:t>in th</w:t>
      </w:r>
      <w:r w:rsidR="00B954F8">
        <w:t>e maintenance</w:t>
      </w:r>
      <w:r w:rsidR="00D146BA">
        <w:t xml:space="preserve"> setting is</w:t>
      </w:r>
      <w:r w:rsidR="000939E7">
        <w:t xml:space="preserve"> a priority. </w:t>
      </w:r>
    </w:p>
    <w:p w14:paraId="55E8C195" w14:textId="77777777" w:rsidR="00A57432" w:rsidRDefault="00E73D82" w:rsidP="00E73D82">
      <w:pPr>
        <w:pStyle w:val="Heading4"/>
      </w:pPr>
      <w:r>
        <w:t>Thalidomide combination use compared to lenalidomide combination use</w:t>
      </w:r>
    </w:p>
    <w:p w14:paraId="5D5758C1" w14:textId="79EA5241" w:rsidR="00E73D82" w:rsidRDefault="00E73D82" w:rsidP="00E73D82">
      <w:r>
        <w:t xml:space="preserve">Should the restrictions for bortezomib be simplified, there is the possibility of bortezomib + thalidomide combination use. Celgene, the sponsor of thalidomide, highlighted that there is no evidence comparing </w:t>
      </w:r>
      <w:r w:rsidR="00B954F8">
        <w:t>the safety and efficacy of bortezomib +</w:t>
      </w:r>
      <w:r>
        <w:t xml:space="preserve"> thalidomide </w:t>
      </w:r>
      <w:r w:rsidR="00B954F8">
        <w:t xml:space="preserve">with </w:t>
      </w:r>
      <w:r>
        <w:t xml:space="preserve">combination use of </w:t>
      </w:r>
      <w:r w:rsidR="00B954F8">
        <w:t xml:space="preserve">bortezomib + </w:t>
      </w:r>
      <w:r>
        <w:t xml:space="preserve">lenalidomide, in either this setting or in triple combination with new therapies. </w:t>
      </w:r>
      <w:r w:rsidR="00D146BA">
        <w:t xml:space="preserve"> The dominant clinical view was that it is possible/pragmatic to use thalidomide in settings where the effectiveness of lenalidomide has been demonstrated. </w:t>
      </w:r>
    </w:p>
    <w:p w14:paraId="7AF4C5F7" w14:textId="77777777" w:rsidR="007140EE" w:rsidRDefault="007140EE" w:rsidP="00C4327E">
      <w:pPr>
        <w:pStyle w:val="Heading4"/>
      </w:pPr>
      <w:r>
        <w:t>New agents and barriers to cost-effective combination therapy</w:t>
      </w:r>
    </w:p>
    <w:p w14:paraId="1B5B9D7A" w14:textId="0030D3D5" w:rsidR="00695B7C" w:rsidRDefault="003C3C45" w:rsidP="00C4327E">
      <w:r>
        <w:t>Evidence for new agents, such as daratumumab</w:t>
      </w:r>
      <w:r w:rsidR="00A75864">
        <w:t>,</w:t>
      </w:r>
      <w:r>
        <w:t xml:space="preserve"> show combination use with lenalidomide or bortezomib can offer significant benefits to patients in the relapse</w:t>
      </w:r>
      <w:r w:rsidR="00695B7C">
        <w:t>d and</w:t>
      </w:r>
      <w:r>
        <w:t xml:space="preserve"> refractory setting. </w:t>
      </w:r>
      <w:r w:rsidR="00695B7C">
        <w:t>Clinicians indicated a desire for use of daratumumab earlier in the treatment algorithm</w:t>
      </w:r>
      <w:r w:rsidR="00A75864">
        <w:t>,</w:t>
      </w:r>
      <w:r w:rsidR="00695B7C">
        <w:t xml:space="preserve"> not just</w:t>
      </w:r>
      <w:r w:rsidR="00B954F8">
        <w:t xml:space="preserve"> for</w:t>
      </w:r>
      <w:r w:rsidR="00695B7C">
        <w:t xml:space="preserve"> fit patients, but also </w:t>
      </w:r>
      <w:r w:rsidR="00B954F8">
        <w:t xml:space="preserve">less fit </w:t>
      </w:r>
      <w:r w:rsidR="00A75864">
        <w:t>patients</w:t>
      </w:r>
      <w:r w:rsidR="00B954F8">
        <w:t>, ineligible for ASCT,</w:t>
      </w:r>
      <w:r w:rsidR="00695B7C">
        <w:t xml:space="preserve"> </w:t>
      </w:r>
      <w:r w:rsidR="000939E7">
        <w:t xml:space="preserve">who are </w:t>
      </w:r>
      <w:r w:rsidR="00695B7C">
        <w:t xml:space="preserve">likely </w:t>
      </w:r>
      <w:r w:rsidR="008D1EBB">
        <w:t>to benefit</w:t>
      </w:r>
      <w:r w:rsidR="00695B7C">
        <w:t xml:space="preserve"> from daratumumab in combination with a reduced dose of lenalidomide. </w:t>
      </w:r>
      <w:r w:rsidR="008D1EBB">
        <w:t>While combination therapy with daratumumab was preferred to monotherapy, it was acknowledged that if used in combination with bortezomib, the bortezomib treatment will cease and daratumumab would be ongoing, as monotherapy, if patients had not progressed on the combination.</w:t>
      </w:r>
      <w:r w:rsidR="00BC3A3F">
        <w:t xml:space="preserve"> It was further </w:t>
      </w:r>
      <w:r w:rsidR="004C2962">
        <w:t>acknowledged</w:t>
      </w:r>
      <w:r w:rsidR="00BC3A3F">
        <w:t xml:space="preserve"> that </w:t>
      </w:r>
      <w:r w:rsidR="00BE5CBD">
        <w:t xml:space="preserve">ongoing </w:t>
      </w:r>
      <w:proofErr w:type="spellStart"/>
      <w:r w:rsidR="00BC3A3F">
        <w:t>daratumumab</w:t>
      </w:r>
      <w:proofErr w:type="spellEnd"/>
      <w:r w:rsidR="00BC3A3F">
        <w:t xml:space="preserve"> monotherapy use as maintenance or consolidation therapy after combination treatment with bortezomib would offer </w:t>
      </w:r>
      <w:r w:rsidR="00BE5CBD">
        <w:t xml:space="preserve">a </w:t>
      </w:r>
      <w:r w:rsidR="00BC3A3F">
        <w:t xml:space="preserve">different clinical benefit </w:t>
      </w:r>
      <w:r w:rsidR="00BE5CBD">
        <w:t xml:space="preserve">to monotherapy </w:t>
      </w:r>
      <w:proofErr w:type="spellStart"/>
      <w:r w:rsidR="00BE5CBD">
        <w:t>daratumumab</w:t>
      </w:r>
      <w:proofErr w:type="spellEnd"/>
      <w:r w:rsidR="00BE5CBD">
        <w:t xml:space="preserve"> in a highly refractory </w:t>
      </w:r>
      <w:r w:rsidR="00ED7FB3">
        <w:t>population</w:t>
      </w:r>
      <w:r w:rsidR="00BE5CBD">
        <w:t>.</w:t>
      </w:r>
    </w:p>
    <w:p w14:paraId="24B517D4" w14:textId="77777777" w:rsidR="000939E7" w:rsidRDefault="003C3C45" w:rsidP="00C4327E">
      <w:r>
        <w:t xml:space="preserve">One of the key barriers to PBS listing </w:t>
      </w:r>
      <w:r w:rsidR="00A75864">
        <w:t xml:space="preserve">for combination therapies with daratumumab, or carfilzomib, </w:t>
      </w:r>
      <w:r>
        <w:t xml:space="preserve">is that </w:t>
      </w:r>
      <w:r w:rsidR="008D1EBB">
        <w:t>they are</w:t>
      </w:r>
      <w:r w:rsidR="00B954F8">
        <w:t xml:space="preserve"> proposed for use in combination with another novel agent that is also high-cost</w:t>
      </w:r>
      <w:r w:rsidR="00687411">
        <w:t>. T</w:t>
      </w:r>
      <w:r>
        <w:t>hus</w:t>
      </w:r>
      <w:r w:rsidR="00687411">
        <w:t>,</w:t>
      </w:r>
      <w:r>
        <w:t xml:space="preserve"> adding the cost of a</w:t>
      </w:r>
      <w:r w:rsidR="00B954F8">
        <w:t>n additional</w:t>
      </w:r>
      <w:r>
        <w:t xml:space="preserve"> new therapy without an equivalent additional gain in benefits makes </w:t>
      </w:r>
      <w:r w:rsidR="00B954F8">
        <w:t>it difficult to demonstrate cost-effectiveness</w:t>
      </w:r>
      <w:r w:rsidR="00687411">
        <w:t xml:space="preserve">, particularly when, </w:t>
      </w:r>
      <w:r w:rsidR="00B954F8">
        <w:t xml:space="preserve">such as </w:t>
      </w:r>
      <w:r w:rsidR="00687411">
        <w:t>in the case of lenal</w:t>
      </w:r>
      <w:r w:rsidR="000939E7">
        <w:t>i</w:t>
      </w:r>
      <w:r w:rsidR="00687411">
        <w:t>domide, treatment is ongoing</w:t>
      </w:r>
      <w:r w:rsidR="00A44C99">
        <w:t xml:space="preserve"> </w:t>
      </w:r>
      <w:r w:rsidR="00AE7258">
        <w:t>and therefore</w:t>
      </w:r>
      <w:r w:rsidR="00A44C99">
        <w:t xml:space="preserve"> the extension in progression free survival </w:t>
      </w:r>
      <w:r w:rsidR="00AE7258">
        <w:t xml:space="preserve">also </w:t>
      </w:r>
      <w:r w:rsidR="00A44C99">
        <w:t>increases costs</w:t>
      </w:r>
      <w:r w:rsidR="00AE7258">
        <w:t xml:space="preserve"> further</w:t>
      </w:r>
      <w:r>
        <w:t xml:space="preserve">. </w:t>
      </w:r>
    </w:p>
    <w:p w14:paraId="525FF6EF" w14:textId="595D1019" w:rsidR="00695B7C" w:rsidRDefault="003C3C45" w:rsidP="00C4327E">
      <w:r>
        <w:t xml:space="preserve">Where </w:t>
      </w:r>
      <w:r w:rsidR="00AE7258">
        <w:t xml:space="preserve">different sponsors own the two novel agents in </w:t>
      </w:r>
      <w:r>
        <w:t xml:space="preserve">the combination, this creates further barriers to </w:t>
      </w:r>
      <w:r w:rsidR="00695B7C">
        <w:t xml:space="preserve">presenting a cost-effective submission. It was </w:t>
      </w:r>
      <w:r w:rsidR="00AE7258">
        <w:t>also acknowledged</w:t>
      </w:r>
      <w:r w:rsidR="00695B7C">
        <w:t xml:space="preserve"> that </w:t>
      </w:r>
      <w:r w:rsidR="00FE4078">
        <w:t xml:space="preserve">once a cost-effective price is established and a positive PBAC recommendation was received, the Department could enter into negotiations with multiple sponsors in order to implement the recommendation. It was raised that </w:t>
      </w:r>
      <w:r w:rsidR="00695B7C">
        <w:t xml:space="preserve">Medicines Australia </w:t>
      </w:r>
      <w:r w:rsidR="00F97889">
        <w:t>has</w:t>
      </w:r>
      <w:r w:rsidR="00695B7C">
        <w:t xml:space="preserve"> a</w:t>
      </w:r>
      <w:r w:rsidR="00F97889">
        <w:t xml:space="preserve"> group reviewing this issue.</w:t>
      </w:r>
      <w:r w:rsidR="00A44C99">
        <w:t xml:space="preserve"> </w:t>
      </w:r>
    </w:p>
    <w:p w14:paraId="4690FD46" w14:textId="77777777" w:rsidR="007140EE" w:rsidRDefault="00A75864" w:rsidP="00C4327E">
      <w:r>
        <w:t xml:space="preserve">The PBAC </w:t>
      </w:r>
      <w:r w:rsidR="00687411">
        <w:t xml:space="preserve">reiterated that the PBS framework pays for health outcomes. The PBAC </w:t>
      </w:r>
      <w:r>
        <w:t xml:space="preserve">suggested it </w:t>
      </w:r>
      <w:r w:rsidR="000939E7">
        <w:t>c</w:t>
      </w:r>
      <w:r>
        <w:t xml:space="preserve">ould consider a price </w:t>
      </w:r>
      <w:r w:rsidR="006F1C69">
        <w:t>and duration of therapy at which</w:t>
      </w:r>
      <w:r>
        <w:t xml:space="preserve"> the </w:t>
      </w:r>
      <w:r w:rsidR="006F1C69">
        <w:t xml:space="preserve">new agents would be considered cost-effective, in the context of what would be considered a reasonable price for the current PI and IMiDs to be used in this extended setting. </w:t>
      </w:r>
    </w:p>
    <w:p w14:paraId="43514716" w14:textId="77777777" w:rsidR="001B05BC" w:rsidRDefault="0089120A" w:rsidP="0089120A">
      <w:pPr>
        <w:pStyle w:val="Heading4"/>
      </w:pPr>
      <w:r>
        <w:lastRenderedPageBreak/>
        <w:t>Flexible prescribing and simplified relapsed and refractory restrictions</w:t>
      </w:r>
    </w:p>
    <w:p w14:paraId="2020FCF9" w14:textId="3BDA55B6" w:rsidR="00294F9B" w:rsidRDefault="00671A57" w:rsidP="00C4327E">
      <w:r>
        <w:t>Clinicians raised concerns that the PBS restriction</w:t>
      </w:r>
      <w:r w:rsidR="004606C5">
        <w:t>s</w:t>
      </w:r>
      <w:r>
        <w:t xml:space="preserve"> do not allow switching of therapy from bort</w:t>
      </w:r>
      <w:r w:rsidR="000939E7">
        <w:t>e</w:t>
      </w:r>
      <w:r w:rsidR="00AE7258">
        <w:t>zomib to lenalidomide.</w:t>
      </w:r>
      <w:r>
        <w:t xml:space="preserve"> </w:t>
      </w:r>
      <w:r w:rsidR="00AE7258">
        <w:t>F</w:t>
      </w:r>
      <w:r>
        <w:t xml:space="preserve">or example, </w:t>
      </w:r>
      <w:r w:rsidR="004606C5">
        <w:t>prior to progression</w:t>
      </w:r>
      <w:r w:rsidR="00B670CB">
        <w:t>, when</w:t>
      </w:r>
      <w:r w:rsidR="004606C5">
        <w:t xml:space="preserve"> </w:t>
      </w:r>
      <w:r>
        <w:t xml:space="preserve">it becomes evident through cytogenetic tests that patients will likely respond </w:t>
      </w:r>
      <w:r w:rsidR="004606C5">
        <w:t>better to the alternative agent</w:t>
      </w:r>
      <w:r w:rsidR="00B670CB">
        <w:t>,</w:t>
      </w:r>
      <w:r w:rsidR="00AE7258">
        <w:t xml:space="preserve"> prescribers currently cannot switch to the treatment until after the patient has progressed</w:t>
      </w:r>
      <w:r w:rsidR="004606C5">
        <w:t xml:space="preserve">. In the relapsed </w:t>
      </w:r>
      <w:r w:rsidR="00F97889">
        <w:t xml:space="preserve">and </w:t>
      </w:r>
      <w:r w:rsidR="004606C5">
        <w:t>refractory setting it was raised that there were inconsistencies in prescribing requirements</w:t>
      </w:r>
      <w:r w:rsidR="00265902">
        <w:t xml:space="preserve"> </w:t>
      </w:r>
      <w:r w:rsidR="00B670CB">
        <w:t>eg.</w:t>
      </w:r>
      <w:r w:rsidR="004606C5">
        <w:t xml:space="preserve"> </w:t>
      </w:r>
      <w:proofErr w:type="gramStart"/>
      <w:r w:rsidR="004606C5">
        <w:t>barriers</w:t>
      </w:r>
      <w:proofErr w:type="gramEnd"/>
      <w:r w:rsidR="004606C5">
        <w:t xml:space="preserve"> to use </w:t>
      </w:r>
      <w:r w:rsidR="00265902">
        <w:t>of</w:t>
      </w:r>
      <w:r w:rsidR="004606C5">
        <w:t xml:space="preserve"> pomalidomide</w:t>
      </w:r>
      <w:r w:rsidR="00265902">
        <w:t xml:space="preserve"> </w:t>
      </w:r>
      <w:r w:rsidR="002E089C">
        <w:t xml:space="preserve">other than </w:t>
      </w:r>
      <w:r w:rsidR="00265902">
        <w:t>in patients who had failed lenalidomide and bortezomib, whereas</w:t>
      </w:r>
      <w:r w:rsidR="004606C5">
        <w:t xml:space="preserve"> carfilzomib</w:t>
      </w:r>
      <w:r w:rsidR="00265902">
        <w:t xml:space="preserve"> can be used after </w:t>
      </w:r>
      <w:r w:rsidR="006263EE">
        <w:t>one</w:t>
      </w:r>
      <w:r w:rsidR="00265902">
        <w:t xml:space="preserve"> prior therapy.</w:t>
      </w:r>
      <w:r w:rsidR="004606C5">
        <w:t xml:space="preserve"> </w:t>
      </w:r>
    </w:p>
    <w:p w14:paraId="2C95981A" w14:textId="77777777" w:rsidR="004606C5" w:rsidRPr="007140EE" w:rsidRDefault="00AE7258" w:rsidP="00C4327E">
      <w:r>
        <w:t xml:space="preserve">Clinicians indicated an interest in having greater flexibility to use pomalidomide, including in earlier treatment lines. </w:t>
      </w:r>
      <w:r w:rsidR="004606C5">
        <w:t>Celgene highlighted that no clinical trials comparing pomalidomide directly with lenalidomide</w:t>
      </w:r>
      <w:r w:rsidR="000939E7">
        <w:t xml:space="preserve">, or using </w:t>
      </w:r>
      <w:r w:rsidR="008D1EBB">
        <w:t>pomalidomide</w:t>
      </w:r>
      <w:r w:rsidR="000939E7">
        <w:t xml:space="preserve"> in earlier lines of therapy</w:t>
      </w:r>
      <w:r w:rsidR="00A44C99">
        <w:t>,</w:t>
      </w:r>
      <w:r w:rsidR="000939E7">
        <w:t xml:space="preserve"> are available</w:t>
      </w:r>
      <w:r w:rsidR="004606C5">
        <w:t xml:space="preserve">. The PBAC highlighted that </w:t>
      </w:r>
      <w:r w:rsidR="00687411">
        <w:t xml:space="preserve">the </w:t>
      </w:r>
      <w:r w:rsidR="004606C5">
        <w:t>pomalidomide price</w:t>
      </w:r>
      <w:r>
        <w:t>,</w:t>
      </w:r>
      <w:r w:rsidR="004606C5">
        <w:t xml:space="preserve"> </w:t>
      </w:r>
      <w:r>
        <w:t xml:space="preserve">and therefore cost-effectiveness, </w:t>
      </w:r>
      <w:r w:rsidR="00687411">
        <w:t xml:space="preserve">is the main barrier to use earlier in the treatment algorithm </w:t>
      </w:r>
      <w:r w:rsidR="004606C5">
        <w:t xml:space="preserve">and </w:t>
      </w:r>
      <w:r w:rsidR="009B64B3">
        <w:t>that similar issues of cost-effectiveness may influence differences in PBS restrictions across the MM setting</w:t>
      </w:r>
      <w:r w:rsidR="00687411">
        <w:t xml:space="preserve">. </w:t>
      </w:r>
    </w:p>
    <w:p w14:paraId="01F8E767" w14:textId="77777777" w:rsidR="00564C85" w:rsidRPr="00564C85" w:rsidRDefault="00564C85" w:rsidP="00564C85">
      <w:pPr>
        <w:pStyle w:val="Heading2"/>
      </w:pPr>
      <w:r>
        <w:t>Summary and next steps</w:t>
      </w:r>
    </w:p>
    <w:p w14:paraId="44D2189C" w14:textId="77777777" w:rsidR="00E430DF" w:rsidRDefault="00DB0CF6" w:rsidP="00191F37">
      <w:r>
        <w:t>The PBAC Chair thanked participants for their time in attending the Stakeholder meeting</w:t>
      </w:r>
      <w:r w:rsidR="00C26A3C">
        <w:t xml:space="preserve"> and considered</w:t>
      </w:r>
      <w:r>
        <w:t xml:space="preserve"> the advice provided on the direction of clinical practice for MM and the priority areas for improving access to therapies</w:t>
      </w:r>
      <w:r w:rsidR="00C26A3C">
        <w:t xml:space="preserve"> to be valuable</w:t>
      </w:r>
      <w:r>
        <w:t>.</w:t>
      </w:r>
      <w:r w:rsidR="00AB0EB8">
        <w:t xml:space="preserve"> </w:t>
      </w:r>
    </w:p>
    <w:p w14:paraId="4B06E95F" w14:textId="77777777" w:rsidR="00E430DF" w:rsidRDefault="00DD3F96" w:rsidP="00191F37">
      <w:r>
        <w:t xml:space="preserve">Clinicians highlighted the need for increased flexibility in prescribing, particularly in first-line treatments, where there is the greatest opportunity for achieving benefits. </w:t>
      </w:r>
      <w:r w:rsidR="00E430DF">
        <w:t xml:space="preserve">The key priorities identified </w:t>
      </w:r>
      <w:r>
        <w:t xml:space="preserve">for improving access </w:t>
      </w:r>
      <w:r w:rsidR="00E430DF">
        <w:t>were:</w:t>
      </w:r>
    </w:p>
    <w:p w14:paraId="6333C40A" w14:textId="77777777" w:rsidR="00E430DF" w:rsidRDefault="00916E30" w:rsidP="00A57432">
      <w:pPr>
        <w:pStyle w:val="ListParagraph"/>
        <w:numPr>
          <w:ilvl w:val="0"/>
          <w:numId w:val="6"/>
        </w:numPr>
      </w:pPr>
      <w:r>
        <w:t xml:space="preserve">bortezomib </w:t>
      </w:r>
      <w:r w:rsidR="00E430DF">
        <w:t>and IMiD</w:t>
      </w:r>
      <w:r w:rsidR="00E430DF" w:rsidRPr="00E430DF">
        <w:t xml:space="preserve"> </w:t>
      </w:r>
      <w:r w:rsidR="00E430DF">
        <w:t>combination therapy in first line</w:t>
      </w:r>
    </w:p>
    <w:p w14:paraId="53F4AE5D" w14:textId="77777777" w:rsidR="00E430DF" w:rsidRDefault="00E430DF" w:rsidP="00A57432">
      <w:pPr>
        <w:pStyle w:val="ListParagraph"/>
        <w:numPr>
          <w:ilvl w:val="0"/>
          <w:numId w:val="6"/>
        </w:numPr>
      </w:pPr>
      <w:r>
        <w:t>lenalidomide available as maintenance therapy post ASCT</w:t>
      </w:r>
    </w:p>
    <w:p w14:paraId="6CD213DA" w14:textId="77777777" w:rsidR="00E430DF" w:rsidRDefault="00E430DF" w:rsidP="00A57432">
      <w:pPr>
        <w:pStyle w:val="ListParagraph"/>
        <w:numPr>
          <w:ilvl w:val="0"/>
          <w:numId w:val="6"/>
        </w:numPr>
      </w:pPr>
      <w:r>
        <w:t xml:space="preserve">simplification of restrictions in the </w:t>
      </w:r>
      <w:r w:rsidR="009D77A1">
        <w:t xml:space="preserve">relapsed and refractory </w:t>
      </w:r>
      <w:r>
        <w:t>setting</w:t>
      </w:r>
      <w:r w:rsidR="00DD3F96">
        <w:t>.</w:t>
      </w:r>
    </w:p>
    <w:p w14:paraId="52508BE1" w14:textId="77777777" w:rsidR="00C26A3C" w:rsidRDefault="00D146BA" w:rsidP="00191F37">
      <w:r>
        <w:t>The PBAC Chair</w:t>
      </w:r>
      <w:r w:rsidR="00401E4B">
        <w:t xml:space="preserve"> </w:t>
      </w:r>
      <w:r w:rsidR="000939E7">
        <w:t xml:space="preserve">noted that </w:t>
      </w:r>
      <w:r w:rsidR="00AE7258">
        <w:t>a</w:t>
      </w:r>
      <w:r w:rsidR="005072C5">
        <w:t xml:space="preserve"> simplified PBS listing of ‘Multiple myeloma’</w:t>
      </w:r>
      <w:r w:rsidR="00E430DF">
        <w:t xml:space="preserve"> </w:t>
      </w:r>
      <w:r w:rsidR="00DD3F96">
        <w:t>for bortezomib and lenalidomide</w:t>
      </w:r>
      <w:r w:rsidR="00765FF0">
        <w:t xml:space="preserve"> may address many aspects of these priorities</w:t>
      </w:r>
      <w:r w:rsidR="005072C5">
        <w:t xml:space="preserve">. </w:t>
      </w:r>
      <w:r w:rsidR="00C26A3C">
        <w:t xml:space="preserve">This </w:t>
      </w:r>
      <w:r w:rsidR="00765FF0">
        <w:t>may</w:t>
      </w:r>
      <w:r w:rsidR="00C26A3C">
        <w:t xml:space="preserve"> also more readily allow access to combination with new therapies, such as daratumumab, as they become available.</w:t>
      </w:r>
      <w:r w:rsidR="00C26A3C" w:rsidRPr="00C26A3C">
        <w:t xml:space="preserve"> </w:t>
      </w:r>
      <w:r w:rsidR="004368DC">
        <w:t>However</w:t>
      </w:r>
      <w:r w:rsidR="00A44C99">
        <w:t>,</w:t>
      </w:r>
      <w:r w:rsidR="004368DC">
        <w:t xml:space="preserve"> price reductions would be needed in order for PBAC to be able to recommend th</w:t>
      </w:r>
      <w:r>
        <w:t>e implementation of th</w:t>
      </w:r>
      <w:r w:rsidR="004368DC">
        <w:t>is change.</w:t>
      </w:r>
    </w:p>
    <w:p w14:paraId="77130FFA" w14:textId="77777777" w:rsidR="00E430DF" w:rsidRDefault="00401E4B" w:rsidP="00191F37">
      <w:r>
        <w:t>These simplified listings, by r</w:t>
      </w:r>
      <w:r w:rsidR="005072C5">
        <w:t>emoving the current restriction</w:t>
      </w:r>
      <w:r w:rsidR="009A37FA">
        <w:t>s</w:t>
      </w:r>
      <w:r w:rsidR="005072C5">
        <w:t xml:space="preserve"> on therapy switching</w:t>
      </w:r>
      <w:r>
        <w:t>,</w:t>
      </w:r>
      <w:r w:rsidR="005072C5">
        <w:t xml:space="preserve"> would also allow clinicians greater flexibility in prescribing</w:t>
      </w:r>
      <w:r>
        <w:t>;</w:t>
      </w:r>
      <w:r w:rsidR="005072C5">
        <w:t xml:space="preserve"> </w:t>
      </w:r>
      <w:r>
        <w:t xml:space="preserve">particularly important </w:t>
      </w:r>
      <w:r w:rsidR="005072C5">
        <w:t xml:space="preserve">should cytogenetic assessments identify the presence or absence </w:t>
      </w:r>
      <w:r>
        <w:t xml:space="preserve">of </w:t>
      </w:r>
      <w:r w:rsidR="005072C5">
        <w:t xml:space="preserve">biomarkers which allow for targeting first-line therapy for </w:t>
      </w:r>
      <w:r w:rsidR="009A37FA">
        <w:t xml:space="preserve">best response. </w:t>
      </w:r>
    </w:p>
    <w:p w14:paraId="3158D079" w14:textId="3265EC90" w:rsidR="009A37FA" w:rsidRDefault="009A37FA" w:rsidP="00191F37">
      <w:r>
        <w:t>The PBAC</w:t>
      </w:r>
      <w:r w:rsidR="00D146BA">
        <w:t xml:space="preserve"> Chair</w:t>
      </w:r>
      <w:r>
        <w:t xml:space="preserve"> indicated a willingness</w:t>
      </w:r>
      <w:r w:rsidR="00D146BA">
        <w:t xml:space="preserve"> of the PBAC</w:t>
      </w:r>
      <w:r>
        <w:t xml:space="preserve"> to consider simplification of restrictions in the </w:t>
      </w:r>
      <w:r w:rsidR="00965A18">
        <w:t>relapsed and refractory</w:t>
      </w:r>
      <w:r>
        <w:t xml:space="preserve"> setting, noting </w:t>
      </w:r>
      <w:r w:rsidR="005559D6">
        <w:t>any requested changes would need to be considered in the context of the</w:t>
      </w:r>
      <w:r>
        <w:t xml:space="preserve"> </w:t>
      </w:r>
      <w:r w:rsidR="005559D6">
        <w:t>effective PBS prices.</w:t>
      </w:r>
      <w:r>
        <w:t xml:space="preserve">  </w:t>
      </w:r>
    </w:p>
    <w:p w14:paraId="3742861A" w14:textId="77777777" w:rsidR="00F97889" w:rsidRDefault="00F97889" w:rsidP="00E430DF">
      <w:pPr>
        <w:rPr>
          <w:rFonts w:ascii="Arial" w:hAnsi="Arial" w:cs="Arial"/>
          <w:b/>
          <w:sz w:val="22"/>
        </w:rPr>
      </w:pPr>
    </w:p>
    <w:sectPr w:rsidR="00F97889">
      <w:footerReference w:type="default" r:id="rId9"/>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2D90A" w15:done="0"/>
  <w15:commentEx w15:paraId="236F92FE" w15:done="0"/>
  <w15:commentEx w15:paraId="7591450F" w15:done="0"/>
  <w15:commentEx w15:paraId="0BF038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2D90A" w16cid:durableId="1ED3806B"/>
  <w16cid:commentId w16cid:paraId="236F92FE" w16cid:durableId="1ED3CD25"/>
  <w16cid:commentId w16cid:paraId="7591450F" w16cid:durableId="1ED383C0"/>
  <w16cid:commentId w16cid:paraId="0BF03813" w16cid:durableId="1ED38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6CA8C" w14:textId="77777777" w:rsidR="005D6DB7" w:rsidRDefault="005D6DB7" w:rsidP="002B62B4">
      <w:pPr>
        <w:spacing w:after="0"/>
      </w:pPr>
      <w:r>
        <w:separator/>
      </w:r>
    </w:p>
  </w:endnote>
  <w:endnote w:type="continuationSeparator" w:id="0">
    <w:p w14:paraId="2622E242" w14:textId="77777777" w:rsidR="005D6DB7" w:rsidRDefault="005D6DB7" w:rsidP="002B6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0040"/>
      <w:docPartObj>
        <w:docPartGallery w:val="Page Numbers (Bottom of Page)"/>
        <w:docPartUnique/>
      </w:docPartObj>
    </w:sdtPr>
    <w:sdtEndPr>
      <w:rPr>
        <w:noProof/>
      </w:rPr>
    </w:sdtEndPr>
    <w:sdtContent>
      <w:p w14:paraId="4B136FC8" w14:textId="6FC1D9CF" w:rsidR="008E7D78" w:rsidRDefault="008E7D78">
        <w:pPr>
          <w:pStyle w:val="Footer"/>
          <w:jc w:val="right"/>
        </w:pPr>
        <w:r>
          <w:fldChar w:fldCharType="begin"/>
        </w:r>
        <w:r>
          <w:instrText xml:space="preserve"> PAGE   \* MERGEFORMAT </w:instrText>
        </w:r>
        <w:r>
          <w:fldChar w:fldCharType="separate"/>
        </w:r>
        <w:r w:rsidR="00AC2B9F">
          <w:rPr>
            <w:noProof/>
          </w:rPr>
          <w:t>1</w:t>
        </w:r>
        <w:r>
          <w:rPr>
            <w:noProof/>
          </w:rPr>
          <w:fldChar w:fldCharType="end"/>
        </w:r>
      </w:p>
    </w:sdtContent>
  </w:sdt>
  <w:p w14:paraId="3B52CC25" w14:textId="77777777" w:rsidR="008E7D78" w:rsidRDefault="008E7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67BAE" w14:textId="77777777" w:rsidR="005D6DB7" w:rsidRDefault="005D6DB7" w:rsidP="002B62B4">
      <w:pPr>
        <w:spacing w:after="0"/>
      </w:pPr>
      <w:r>
        <w:separator/>
      </w:r>
    </w:p>
  </w:footnote>
  <w:footnote w:type="continuationSeparator" w:id="0">
    <w:p w14:paraId="65F58830" w14:textId="77777777" w:rsidR="005D6DB7" w:rsidRDefault="005D6DB7" w:rsidP="002B62B4">
      <w:pPr>
        <w:spacing w:after="0"/>
      </w:pPr>
      <w:r>
        <w:continuationSeparator/>
      </w:r>
    </w:p>
  </w:footnote>
  <w:footnote w:id="1">
    <w:p w14:paraId="156D20B1" w14:textId="77777777" w:rsidR="002B62B4" w:rsidRDefault="002B62B4">
      <w:pPr>
        <w:pStyle w:val="FootnoteText"/>
      </w:pPr>
      <w:r>
        <w:rPr>
          <w:rStyle w:val="FootnoteReference"/>
        </w:rPr>
        <w:footnoteRef/>
      </w:r>
      <w:r>
        <w:t xml:space="preserve"> </w:t>
      </w:r>
      <w:hyperlink r:id="rId1" w:history="1">
        <w:r>
          <w:rPr>
            <w:rStyle w:val="Hyperlink"/>
          </w:rPr>
          <w:t>carfilzomib-psd-november-2016.pdf</w:t>
        </w:r>
      </w:hyperlink>
    </w:p>
  </w:footnote>
  <w:footnote w:id="2">
    <w:p w14:paraId="168BEEAF" w14:textId="77777777" w:rsidR="002B62B4" w:rsidRDefault="002B62B4">
      <w:pPr>
        <w:pStyle w:val="FootnoteText"/>
      </w:pPr>
      <w:r>
        <w:rPr>
          <w:rStyle w:val="FootnoteReference"/>
        </w:rPr>
        <w:footnoteRef/>
      </w:r>
      <w:r>
        <w:t xml:space="preserve"> </w:t>
      </w:r>
      <w:hyperlink r:id="rId2" w:history="1">
        <w:r>
          <w:rPr>
            <w:rStyle w:val="Hyperlink"/>
          </w:rPr>
          <w:t>daratumumab-psd-november-2017.pdf</w:t>
        </w:r>
      </w:hyperlink>
    </w:p>
  </w:footnote>
  <w:footnote w:id="3">
    <w:p w14:paraId="115074E3" w14:textId="77777777" w:rsidR="002B62B4" w:rsidRDefault="002B62B4">
      <w:pPr>
        <w:pStyle w:val="FootnoteText"/>
      </w:pPr>
      <w:r>
        <w:rPr>
          <w:rStyle w:val="FootnoteReference"/>
        </w:rPr>
        <w:footnoteRef/>
      </w:r>
      <w:r>
        <w:t xml:space="preserve"> </w:t>
      </w:r>
      <w:hyperlink r:id="rId3" w:history="1">
        <w:r>
          <w:rPr>
            <w:rStyle w:val="Hyperlink"/>
          </w:rPr>
          <w:t>pbac-outcomes/2018-03/first-time-decisions-not-to-recommend-03-2018.pdf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3D34"/>
    <w:multiLevelType w:val="hybridMultilevel"/>
    <w:tmpl w:val="5282C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3C478E"/>
    <w:multiLevelType w:val="hybridMultilevel"/>
    <w:tmpl w:val="C5781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3302EC"/>
    <w:multiLevelType w:val="hybridMultilevel"/>
    <w:tmpl w:val="B3B00158"/>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C20C24"/>
    <w:multiLevelType w:val="hybridMultilevel"/>
    <w:tmpl w:val="83FE2A82"/>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317477"/>
    <w:multiLevelType w:val="hybridMultilevel"/>
    <w:tmpl w:val="BA7469F6"/>
    <w:lvl w:ilvl="0" w:tplc="0C09000F">
      <w:start w:val="1"/>
      <w:numFmt w:val="decimal"/>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5">
    <w:nsid w:val="4ACC44EB"/>
    <w:multiLevelType w:val="hybridMultilevel"/>
    <w:tmpl w:val="5CA485DC"/>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F2482B"/>
    <w:multiLevelType w:val="hybridMultilevel"/>
    <w:tmpl w:val="A54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EAAA2A3E"/>
    <w:lvl w:ilvl="0">
      <w:start w:val="1"/>
      <w:numFmt w:val="decimal"/>
      <w:pStyle w:val="PBACHeading1"/>
      <w:lvlText w:val="%1"/>
      <w:lvlJc w:val="left"/>
      <w:pPr>
        <w:ind w:left="1288"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7"/>
  </w:num>
  <w:num w:numId="5">
    <w:abstractNumId w:val="2"/>
  </w:num>
  <w:num w:numId="6">
    <w:abstractNumId w:val="5"/>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y Ho">
    <w15:presenceInfo w15:providerId="None" w15:userId="Joy Ho"/>
  </w15:person>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DF"/>
    <w:rsid w:val="00003743"/>
    <w:rsid w:val="0002289C"/>
    <w:rsid w:val="000538AD"/>
    <w:rsid w:val="00067456"/>
    <w:rsid w:val="0007736F"/>
    <w:rsid w:val="000939E7"/>
    <w:rsid w:val="000A5877"/>
    <w:rsid w:val="0014149B"/>
    <w:rsid w:val="0016722D"/>
    <w:rsid w:val="0017553F"/>
    <w:rsid w:val="00191F37"/>
    <w:rsid w:val="001B05BC"/>
    <w:rsid w:val="001B3443"/>
    <w:rsid w:val="002105B0"/>
    <w:rsid w:val="00235247"/>
    <w:rsid w:val="00265205"/>
    <w:rsid w:val="00265902"/>
    <w:rsid w:val="00294F9B"/>
    <w:rsid w:val="002B62B4"/>
    <w:rsid w:val="002E089C"/>
    <w:rsid w:val="002E2AAC"/>
    <w:rsid w:val="002E6B28"/>
    <w:rsid w:val="002F3AE3"/>
    <w:rsid w:val="0030786C"/>
    <w:rsid w:val="0032120A"/>
    <w:rsid w:val="003A6F51"/>
    <w:rsid w:val="003C3C45"/>
    <w:rsid w:val="003C770B"/>
    <w:rsid w:val="003D17F9"/>
    <w:rsid w:val="00401E4B"/>
    <w:rsid w:val="00405078"/>
    <w:rsid w:val="004368DC"/>
    <w:rsid w:val="004606C5"/>
    <w:rsid w:val="004867E2"/>
    <w:rsid w:val="00487EDF"/>
    <w:rsid w:val="004B1E2F"/>
    <w:rsid w:val="004C0852"/>
    <w:rsid w:val="004C2962"/>
    <w:rsid w:val="00500CC4"/>
    <w:rsid w:val="00501D01"/>
    <w:rsid w:val="005072C5"/>
    <w:rsid w:val="005559D6"/>
    <w:rsid w:val="00564C85"/>
    <w:rsid w:val="005A5A1A"/>
    <w:rsid w:val="005D4874"/>
    <w:rsid w:val="005D6DB7"/>
    <w:rsid w:val="006263EE"/>
    <w:rsid w:val="00671A57"/>
    <w:rsid w:val="00687411"/>
    <w:rsid w:val="00687FD1"/>
    <w:rsid w:val="00695B7C"/>
    <w:rsid w:val="006F1C69"/>
    <w:rsid w:val="00710D97"/>
    <w:rsid w:val="007140EE"/>
    <w:rsid w:val="00751BF3"/>
    <w:rsid w:val="00765FF0"/>
    <w:rsid w:val="007F13B1"/>
    <w:rsid w:val="008264EB"/>
    <w:rsid w:val="0089120A"/>
    <w:rsid w:val="008A2ABE"/>
    <w:rsid w:val="008C5A37"/>
    <w:rsid w:val="008D1EBB"/>
    <w:rsid w:val="008E7D78"/>
    <w:rsid w:val="0090538C"/>
    <w:rsid w:val="00916E30"/>
    <w:rsid w:val="00965A18"/>
    <w:rsid w:val="00972454"/>
    <w:rsid w:val="00987E7F"/>
    <w:rsid w:val="009A37FA"/>
    <w:rsid w:val="009B64B3"/>
    <w:rsid w:val="009C09D8"/>
    <w:rsid w:val="009D56C5"/>
    <w:rsid w:val="009D77A1"/>
    <w:rsid w:val="009F67D9"/>
    <w:rsid w:val="00A117C7"/>
    <w:rsid w:val="00A23DCB"/>
    <w:rsid w:val="00A44C99"/>
    <w:rsid w:val="00A4512D"/>
    <w:rsid w:val="00A57432"/>
    <w:rsid w:val="00A705AF"/>
    <w:rsid w:val="00A75864"/>
    <w:rsid w:val="00A80AD3"/>
    <w:rsid w:val="00AB0EB8"/>
    <w:rsid w:val="00AC2B9F"/>
    <w:rsid w:val="00AE7258"/>
    <w:rsid w:val="00B42851"/>
    <w:rsid w:val="00B670CB"/>
    <w:rsid w:val="00B954F8"/>
    <w:rsid w:val="00BC3A3F"/>
    <w:rsid w:val="00BE5CBD"/>
    <w:rsid w:val="00BF39FB"/>
    <w:rsid w:val="00C26A3C"/>
    <w:rsid w:val="00C4327E"/>
    <w:rsid w:val="00C65265"/>
    <w:rsid w:val="00C77B92"/>
    <w:rsid w:val="00C929ED"/>
    <w:rsid w:val="00CB5B1A"/>
    <w:rsid w:val="00CC75D6"/>
    <w:rsid w:val="00D0545F"/>
    <w:rsid w:val="00D146BA"/>
    <w:rsid w:val="00D245D3"/>
    <w:rsid w:val="00D32C6B"/>
    <w:rsid w:val="00D54C86"/>
    <w:rsid w:val="00D707CE"/>
    <w:rsid w:val="00D95BE4"/>
    <w:rsid w:val="00DB0CF6"/>
    <w:rsid w:val="00DB1E66"/>
    <w:rsid w:val="00DB2C6C"/>
    <w:rsid w:val="00DB5A66"/>
    <w:rsid w:val="00DD0E06"/>
    <w:rsid w:val="00DD3F96"/>
    <w:rsid w:val="00DF2F3E"/>
    <w:rsid w:val="00E41F4B"/>
    <w:rsid w:val="00E430DF"/>
    <w:rsid w:val="00E73D82"/>
    <w:rsid w:val="00E94CCD"/>
    <w:rsid w:val="00ED7FB3"/>
    <w:rsid w:val="00F04CA8"/>
    <w:rsid w:val="00F10199"/>
    <w:rsid w:val="00F80ED9"/>
    <w:rsid w:val="00F97889"/>
    <w:rsid w:val="00FA653C"/>
    <w:rsid w:val="00FB49C7"/>
    <w:rsid w:val="00FE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A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6F"/>
    <w:pPr>
      <w:spacing w:after="120"/>
    </w:pPr>
    <w:rPr>
      <w:rFonts w:asciiTheme="minorHAnsi" w:hAnsiTheme="minorHAnsi"/>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564C85"/>
    <w:pPr>
      <w:keepNext/>
      <w:spacing w:before="240" w:after="60"/>
      <w:outlineLvl w:val="1"/>
    </w:pPr>
    <w:rPr>
      <w:rFonts w:ascii="Arial" w:hAnsi="Arial" w:cs="Arial"/>
      <w:b/>
      <w:bCs/>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D95BE4"/>
    <w:pPr>
      <w:keepNext/>
      <w:spacing w:before="240" w:after="60"/>
      <w:outlineLvl w:val="3"/>
    </w:pPr>
    <w:rPr>
      <w:rFonts w:ascii="Arial" w:hAnsi="Arial"/>
      <w:bCs/>
      <w:i/>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5072C5"/>
    <w:rPr>
      <w:sz w:val="16"/>
      <w:szCs w:val="16"/>
    </w:rPr>
  </w:style>
  <w:style w:type="paragraph" w:styleId="CommentText">
    <w:name w:val="annotation text"/>
    <w:basedOn w:val="Normal"/>
    <w:link w:val="CommentTextChar"/>
    <w:rsid w:val="005072C5"/>
    <w:rPr>
      <w:sz w:val="20"/>
      <w:szCs w:val="20"/>
    </w:rPr>
  </w:style>
  <w:style w:type="character" w:customStyle="1" w:styleId="CommentTextChar">
    <w:name w:val="Comment Text Char"/>
    <w:basedOn w:val="DefaultParagraphFont"/>
    <w:link w:val="CommentText"/>
    <w:rsid w:val="005072C5"/>
    <w:rPr>
      <w:lang w:eastAsia="en-US"/>
    </w:rPr>
  </w:style>
  <w:style w:type="paragraph" w:styleId="CommentSubject">
    <w:name w:val="annotation subject"/>
    <w:basedOn w:val="CommentText"/>
    <w:next w:val="CommentText"/>
    <w:link w:val="CommentSubjectChar"/>
    <w:rsid w:val="005072C5"/>
    <w:rPr>
      <w:b/>
      <w:bCs/>
    </w:rPr>
  </w:style>
  <w:style w:type="character" w:customStyle="1" w:styleId="CommentSubjectChar">
    <w:name w:val="Comment Subject Char"/>
    <w:basedOn w:val="CommentTextChar"/>
    <w:link w:val="CommentSubject"/>
    <w:rsid w:val="005072C5"/>
    <w:rPr>
      <w:b/>
      <w:bCs/>
      <w:lang w:eastAsia="en-US"/>
    </w:rPr>
  </w:style>
  <w:style w:type="paragraph" w:styleId="BalloonText">
    <w:name w:val="Balloon Text"/>
    <w:basedOn w:val="Normal"/>
    <w:link w:val="BalloonTextChar"/>
    <w:rsid w:val="005072C5"/>
    <w:rPr>
      <w:rFonts w:ascii="Tahoma" w:hAnsi="Tahoma" w:cs="Tahoma"/>
      <w:sz w:val="16"/>
      <w:szCs w:val="16"/>
    </w:rPr>
  </w:style>
  <w:style w:type="character" w:customStyle="1" w:styleId="BalloonTextChar">
    <w:name w:val="Balloon Text Char"/>
    <w:basedOn w:val="DefaultParagraphFont"/>
    <w:link w:val="BalloonText"/>
    <w:rsid w:val="005072C5"/>
    <w:rPr>
      <w:rFonts w:ascii="Tahoma" w:hAnsi="Tahoma" w:cs="Tahoma"/>
      <w:sz w:val="16"/>
      <w:szCs w:val="16"/>
      <w:lang w:eastAsia="en-US"/>
    </w:rPr>
  </w:style>
  <w:style w:type="paragraph" w:styleId="FootnoteText">
    <w:name w:val="footnote text"/>
    <w:basedOn w:val="Normal"/>
    <w:link w:val="FootnoteTextChar"/>
    <w:rsid w:val="002B62B4"/>
    <w:rPr>
      <w:sz w:val="20"/>
      <w:szCs w:val="20"/>
    </w:rPr>
  </w:style>
  <w:style w:type="character" w:customStyle="1" w:styleId="FootnoteTextChar">
    <w:name w:val="Footnote Text Char"/>
    <w:basedOn w:val="DefaultParagraphFont"/>
    <w:link w:val="FootnoteText"/>
    <w:rsid w:val="002B62B4"/>
    <w:rPr>
      <w:lang w:eastAsia="en-US"/>
    </w:rPr>
  </w:style>
  <w:style w:type="character" w:styleId="FootnoteReference">
    <w:name w:val="footnote reference"/>
    <w:basedOn w:val="DefaultParagraphFont"/>
    <w:rsid w:val="002B62B4"/>
    <w:rPr>
      <w:vertAlign w:val="superscript"/>
    </w:rPr>
  </w:style>
  <w:style w:type="character" w:styleId="Hyperlink">
    <w:name w:val="Hyperlink"/>
    <w:basedOn w:val="DefaultParagraphFont"/>
    <w:rsid w:val="002B62B4"/>
    <w:rPr>
      <w:color w:val="0000FF" w:themeColor="hyperlink"/>
      <w:u w:val="single"/>
    </w:rPr>
  </w:style>
  <w:style w:type="character" w:styleId="FollowedHyperlink">
    <w:name w:val="FollowedHyperlink"/>
    <w:basedOn w:val="DefaultParagraphFont"/>
    <w:rsid w:val="002B62B4"/>
    <w:rPr>
      <w:color w:val="800080" w:themeColor="followedHyperlink"/>
      <w:u w:val="single"/>
    </w:rPr>
  </w:style>
  <w:style w:type="paragraph" w:customStyle="1" w:styleId="PBACHeading1">
    <w:name w:val="PBAC Heading 1"/>
    <w:qFormat/>
    <w:rsid w:val="0007736F"/>
    <w:pPr>
      <w:numPr>
        <w:numId w:val="4"/>
      </w:numPr>
      <w:outlineLvl w:val="0"/>
    </w:pPr>
    <w:rPr>
      <w:rFonts w:ascii="Arial" w:hAnsi="Arial" w:cs="Arial"/>
      <w:b/>
      <w:snapToGrid w:val="0"/>
      <w:sz w:val="22"/>
      <w:szCs w:val="22"/>
      <w:lang w:eastAsia="en-US"/>
    </w:rPr>
  </w:style>
  <w:style w:type="paragraph" w:styleId="Header">
    <w:name w:val="header"/>
    <w:basedOn w:val="Normal"/>
    <w:link w:val="HeaderChar"/>
    <w:rsid w:val="007F13B1"/>
    <w:pPr>
      <w:tabs>
        <w:tab w:val="center" w:pos="4513"/>
        <w:tab w:val="right" w:pos="9026"/>
      </w:tabs>
      <w:spacing w:after="0"/>
    </w:pPr>
  </w:style>
  <w:style w:type="character" w:customStyle="1" w:styleId="HeaderChar">
    <w:name w:val="Header Char"/>
    <w:basedOn w:val="DefaultParagraphFont"/>
    <w:link w:val="Header"/>
    <w:rsid w:val="007F13B1"/>
    <w:rPr>
      <w:rFonts w:asciiTheme="minorHAnsi" w:hAnsiTheme="minorHAnsi"/>
      <w:sz w:val="24"/>
      <w:szCs w:val="24"/>
      <w:lang w:eastAsia="en-US"/>
    </w:rPr>
  </w:style>
  <w:style w:type="paragraph" w:styleId="Footer">
    <w:name w:val="footer"/>
    <w:basedOn w:val="Normal"/>
    <w:link w:val="FooterChar"/>
    <w:uiPriority w:val="99"/>
    <w:rsid w:val="007F13B1"/>
    <w:pPr>
      <w:tabs>
        <w:tab w:val="center" w:pos="4513"/>
        <w:tab w:val="right" w:pos="9026"/>
      </w:tabs>
      <w:spacing w:after="0"/>
    </w:pPr>
  </w:style>
  <w:style w:type="character" w:customStyle="1" w:styleId="FooterChar">
    <w:name w:val="Footer Char"/>
    <w:basedOn w:val="DefaultParagraphFont"/>
    <w:link w:val="Footer"/>
    <w:uiPriority w:val="99"/>
    <w:rsid w:val="007F13B1"/>
    <w:rPr>
      <w:rFonts w:asciiTheme="minorHAnsi" w:hAnsiTheme="minorHAns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6F"/>
    <w:pPr>
      <w:spacing w:after="120"/>
    </w:pPr>
    <w:rPr>
      <w:rFonts w:asciiTheme="minorHAnsi" w:hAnsiTheme="minorHAnsi"/>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564C85"/>
    <w:pPr>
      <w:keepNext/>
      <w:spacing w:before="240" w:after="60"/>
      <w:outlineLvl w:val="1"/>
    </w:pPr>
    <w:rPr>
      <w:rFonts w:ascii="Arial" w:hAnsi="Arial" w:cs="Arial"/>
      <w:b/>
      <w:bCs/>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D95BE4"/>
    <w:pPr>
      <w:keepNext/>
      <w:spacing w:before="240" w:after="60"/>
      <w:outlineLvl w:val="3"/>
    </w:pPr>
    <w:rPr>
      <w:rFonts w:ascii="Arial" w:hAnsi="Arial"/>
      <w:bCs/>
      <w:i/>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5072C5"/>
    <w:rPr>
      <w:sz w:val="16"/>
      <w:szCs w:val="16"/>
    </w:rPr>
  </w:style>
  <w:style w:type="paragraph" w:styleId="CommentText">
    <w:name w:val="annotation text"/>
    <w:basedOn w:val="Normal"/>
    <w:link w:val="CommentTextChar"/>
    <w:rsid w:val="005072C5"/>
    <w:rPr>
      <w:sz w:val="20"/>
      <w:szCs w:val="20"/>
    </w:rPr>
  </w:style>
  <w:style w:type="character" w:customStyle="1" w:styleId="CommentTextChar">
    <w:name w:val="Comment Text Char"/>
    <w:basedOn w:val="DefaultParagraphFont"/>
    <w:link w:val="CommentText"/>
    <w:rsid w:val="005072C5"/>
    <w:rPr>
      <w:lang w:eastAsia="en-US"/>
    </w:rPr>
  </w:style>
  <w:style w:type="paragraph" w:styleId="CommentSubject">
    <w:name w:val="annotation subject"/>
    <w:basedOn w:val="CommentText"/>
    <w:next w:val="CommentText"/>
    <w:link w:val="CommentSubjectChar"/>
    <w:rsid w:val="005072C5"/>
    <w:rPr>
      <w:b/>
      <w:bCs/>
    </w:rPr>
  </w:style>
  <w:style w:type="character" w:customStyle="1" w:styleId="CommentSubjectChar">
    <w:name w:val="Comment Subject Char"/>
    <w:basedOn w:val="CommentTextChar"/>
    <w:link w:val="CommentSubject"/>
    <w:rsid w:val="005072C5"/>
    <w:rPr>
      <w:b/>
      <w:bCs/>
      <w:lang w:eastAsia="en-US"/>
    </w:rPr>
  </w:style>
  <w:style w:type="paragraph" w:styleId="BalloonText">
    <w:name w:val="Balloon Text"/>
    <w:basedOn w:val="Normal"/>
    <w:link w:val="BalloonTextChar"/>
    <w:rsid w:val="005072C5"/>
    <w:rPr>
      <w:rFonts w:ascii="Tahoma" w:hAnsi="Tahoma" w:cs="Tahoma"/>
      <w:sz w:val="16"/>
      <w:szCs w:val="16"/>
    </w:rPr>
  </w:style>
  <w:style w:type="character" w:customStyle="1" w:styleId="BalloonTextChar">
    <w:name w:val="Balloon Text Char"/>
    <w:basedOn w:val="DefaultParagraphFont"/>
    <w:link w:val="BalloonText"/>
    <w:rsid w:val="005072C5"/>
    <w:rPr>
      <w:rFonts w:ascii="Tahoma" w:hAnsi="Tahoma" w:cs="Tahoma"/>
      <w:sz w:val="16"/>
      <w:szCs w:val="16"/>
      <w:lang w:eastAsia="en-US"/>
    </w:rPr>
  </w:style>
  <w:style w:type="paragraph" w:styleId="FootnoteText">
    <w:name w:val="footnote text"/>
    <w:basedOn w:val="Normal"/>
    <w:link w:val="FootnoteTextChar"/>
    <w:rsid w:val="002B62B4"/>
    <w:rPr>
      <w:sz w:val="20"/>
      <w:szCs w:val="20"/>
    </w:rPr>
  </w:style>
  <w:style w:type="character" w:customStyle="1" w:styleId="FootnoteTextChar">
    <w:name w:val="Footnote Text Char"/>
    <w:basedOn w:val="DefaultParagraphFont"/>
    <w:link w:val="FootnoteText"/>
    <w:rsid w:val="002B62B4"/>
    <w:rPr>
      <w:lang w:eastAsia="en-US"/>
    </w:rPr>
  </w:style>
  <w:style w:type="character" w:styleId="FootnoteReference">
    <w:name w:val="footnote reference"/>
    <w:basedOn w:val="DefaultParagraphFont"/>
    <w:rsid w:val="002B62B4"/>
    <w:rPr>
      <w:vertAlign w:val="superscript"/>
    </w:rPr>
  </w:style>
  <w:style w:type="character" w:styleId="Hyperlink">
    <w:name w:val="Hyperlink"/>
    <w:basedOn w:val="DefaultParagraphFont"/>
    <w:rsid w:val="002B62B4"/>
    <w:rPr>
      <w:color w:val="0000FF" w:themeColor="hyperlink"/>
      <w:u w:val="single"/>
    </w:rPr>
  </w:style>
  <w:style w:type="character" w:styleId="FollowedHyperlink">
    <w:name w:val="FollowedHyperlink"/>
    <w:basedOn w:val="DefaultParagraphFont"/>
    <w:rsid w:val="002B62B4"/>
    <w:rPr>
      <w:color w:val="800080" w:themeColor="followedHyperlink"/>
      <w:u w:val="single"/>
    </w:rPr>
  </w:style>
  <w:style w:type="paragraph" w:customStyle="1" w:styleId="PBACHeading1">
    <w:name w:val="PBAC Heading 1"/>
    <w:qFormat/>
    <w:rsid w:val="0007736F"/>
    <w:pPr>
      <w:numPr>
        <w:numId w:val="4"/>
      </w:numPr>
      <w:outlineLvl w:val="0"/>
    </w:pPr>
    <w:rPr>
      <w:rFonts w:ascii="Arial" w:hAnsi="Arial" w:cs="Arial"/>
      <w:b/>
      <w:snapToGrid w:val="0"/>
      <w:sz w:val="22"/>
      <w:szCs w:val="22"/>
      <w:lang w:eastAsia="en-US"/>
    </w:rPr>
  </w:style>
  <w:style w:type="paragraph" w:styleId="Header">
    <w:name w:val="header"/>
    <w:basedOn w:val="Normal"/>
    <w:link w:val="HeaderChar"/>
    <w:rsid w:val="007F13B1"/>
    <w:pPr>
      <w:tabs>
        <w:tab w:val="center" w:pos="4513"/>
        <w:tab w:val="right" w:pos="9026"/>
      </w:tabs>
      <w:spacing w:after="0"/>
    </w:pPr>
  </w:style>
  <w:style w:type="character" w:customStyle="1" w:styleId="HeaderChar">
    <w:name w:val="Header Char"/>
    <w:basedOn w:val="DefaultParagraphFont"/>
    <w:link w:val="Header"/>
    <w:rsid w:val="007F13B1"/>
    <w:rPr>
      <w:rFonts w:asciiTheme="minorHAnsi" w:hAnsiTheme="minorHAnsi"/>
      <w:sz w:val="24"/>
      <w:szCs w:val="24"/>
      <w:lang w:eastAsia="en-US"/>
    </w:rPr>
  </w:style>
  <w:style w:type="paragraph" w:styleId="Footer">
    <w:name w:val="footer"/>
    <w:basedOn w:val="Normal"/>
    <w:link w:val="FooterChar"/>
    <w:uiPriority w:val="99"/>
    <w:rsid w:val="007F13B1"/>
    <w:pPr>
      <w:tabs>
        <w:tab w:val="center" w:pos="4513"/>
        <w:tab w:val="right" w:pos="9026"/>
      </w:tabs>
      <w:spacing w:after="0"/>
    </w:pPr>
  </w:style>
  <w:style w:type="character" w:customStyle="1" w:styleId="FooterChar">
    <w:name w:val="Footer Char"/>
    <w:basedOn w:val="DefaultParagraphFont"/>
    <w:link w:val="Footer"/>
    <w:uiPriority w:val="99"/>
    <w:rsid w:val="007F13B1"/>
    <w:rPr>
      <w:rFonts w:asciiTheme="minorHAnsi" w:hAnsi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dustry/listing/elements/pbac-meetings/pbac-outcomes/2018-03/first-time-decisions-not-to-recommend-03-2018.pdf" TargetMode="External"/><Relationship Id="rId2" Type="http://schemas.openxmlformats.org/officeDocument/2006/relationships/hyperlink" Target="http://www.pbs.gov.au/industry/listing/elements/pbac-meetings/psd/2017-11/files/daratumumab-psd-november-2017.pdf" TargetMode="External"/><Relationship Id="rId1" Type="http://schemas.openxmlformats.org/officeDocument/2006/relationships/hyperlink" Target="http://www.pbs.gov.au/industry/listing/elements/pbac-meetings/psd/2016-11/files/carfilzomib-psd-november-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56DB-EAC8-436D-A67E-088AB0A4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Bojadziski Jan-Marie</dc:creator>
  <cp:lastModifiedBy>BOJADZISKI, Jan-Marie</cp:lastModifiedBy>
  <cp:revision>3</cp:revision>
  <dcterms:created xsi:type="dcterms:W3CDTF">2018-08-20T03:37:00Z</dcterms:created>
  <dcterms:modified xsi:type="dcterms:W3CDTF">2018-08-20T03:38:00Z</dcterms:modified>
</cp:coreProperties>
</file>