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FEEC2" w14:textId="246B62E4" w:rsidR="001C5622" w:rsidRPr="0007215F" w:rsidRDefault="002A6F1E" w:rsidP="00126BCB">
      <w:pPr>
        <w:pBdr>
          <w:top w:val="nil"/>
          <w:left w:val="nil"/>
          <w:bottom w:val="nil"/>
          <w:right w:val="nil"/>
          <w:between w:val="nil"/>
        </w:pBdr>
        <w:spacing w:after="160"/>
        <w:ind w:left="-425"/>
        <w:jc w:val="center"/>
        <w:rPr>
          <w:rFonts w:asciiTheme="minorHAnsi" w:hAnsiTheme="minorHAnsi" w:cstheme="minorHAnsi"/>
          <w:b/>
          <w:sz w:val="36"/>
          <w:szCs w:val="22"/>
        </w:rPr>
      </w:pPr>
      <w:r>
        <w:rPr>
          <w:rFonts w:asciiTheme="minorHAnsi" w:hAnsiTheme="minorHAnsi" w:cstheme="minorHAnsi"/>
          <w:b/>
          <w:sz w:val="36"/>
          <w:szCs w:val="22"/>
        </w:rPr>
        <w:t xml:space="preserve">PBAC -  </w:t>
      </w:r>
      <w:r w:rsidR="009A2070">
        <w:rPr>
          <w:rFonts w:asciiTheme="minorHAnsi" w:hAnsiTheme="minorHAnsi" w:cstheme="minorHAnsi"/>
          <w:b/>
          <w:sz w:val="36"/>
          <w:szCs w:val="22"/>
        </w:rPr>
        <w:t xml:space="preserve">WEB </w:t>
      </w:r>
      <w:r w:rsidR="005422C6" w:rsidRPr="0007215F">
        <w:rPr>
          <w:rFonts w:asciiTheme="minorHAnsi" w:hAnsiTheme="minorHAnsi" w:cstheme="minorHAnsi"/>
          <w:b/>
          <w:sz w:val="36"/>
          <w:szCs w:val="22"/>
        </w:rPr>
        <w:t>OUTCOME STATEMENT</w:t>
      </w:r>
    </w:p>
    <w:p w14:paraId="3182BA38" w14:textId="7F2EC158" w:rsidR="00126BCB" w:rsidRPr="00126BCB" w:rsidRDefault="00126BCB" w:rsidP="00126BCB">
      <w:pPr>
        <w:pBdr>
          <w:top w:val="nil"/>
          <w:left w:val="nil"/>
          <w:bottom w:val="nil"/>
          <w:right w:val="nil"/>
          <w:between w:val="nil"/>
        </w:pBdr>
        <w:ind w:left="-425"/>
        <w:jc w:val="center"/>
        <w:rPr>
          <w:rFonts w:asciiTheme="minorHAnsi" w:hAnsiTheme="minorHAnsi" w:cstheme="minorHAnsi"/>
          <w:b/>
          <w:sz w:val="36"/>
          <w:szCs w:val="22"/>
        </w:rPr>
      </w:pPr>
      <w:r w:rsidRPr="00126BCB">
        <w:rPr>
          <w:rFonts w:asciiTheme="minorHAnsi" w:hAnsiTheme="minorHAnsi" w:cstheme="minorHAnsi"/>
          <w:b/>
          <w:sz w:val="36"/>
          <w:szCs w:val="22"/>
        </w:rPr>
        <w:t>MOLNUPIRAVIR,</w:t>
      </w:r>
    </w:p>
    <w:p w14:paraId="5CF0C419" w14:textId="58C36012" w:rsidR="00126BCB" w:rsidRPr="00126BCB" w:rsidRDefault="00C8356A" w:rsidP="00126BCB">
      <w:pPr>
        <w:pBdr>
          <w:top w:val="nil"/>
          <w:left w:val="nil"/>
          <w:bottom w:val="nil"/>
          <w:right w:val="nil"/>
          <w:between w:val="nil"/>
        </w:pBdr>
        <w:ind w:left="-425"/>
        <w:jc w:val="center"/>
        <w:rPr>
          <w:rFonts w:asciiTheme="minorHAnsi" w:hAnsiTheme="minorHAnsi" w:cstheme="minorHAnsi"/>
          <w:b/>
          <w:sz w:val="36"/>
          <w:szCs w:val="22"/>
        </w:rPr>
      </w:pPr>
      <w:r>
        <w:rPr>
          <w:rFonts w:asciiTheme="minorHAnsi" w:hAnsiTheme="minorHAnsi" w:cstheme="minorHAnsi"/>
          <w:b/>
          <w:sz w:val="36"/>
          <w:szCs w:val="22"/>
        </w:rPr>
        <w:t>Capsule</w:t>
      </w:r>
      <w:r w:rsidR="005422C6" w:rsidRPr="00126BCB">
        <w:rPr>
          <w:rFonts w:asciiTheme="minorHAnsi" w:hAnsiTheme="minorHAnsi" w:cstheme="minorHAnsi"/>
          <w:b/>
          <w:sz w:val="36"/>
          <w:szCs w:val="22"/>
        </w:rPr>
        <w:t xml:space="preserve"> 200mg, </w:t>
      </w:r>
      <w:r w:rsidR="00C44460" w:rsidRPr="00126BCB">
        <w:rPr>
          <w:rFonts w:asciiTheme="minorHAnsi" w:hAnsiTheme="minorHAnsi" w:cstheme="minorHAnsi"/>
          <w:b/>
          <w:sz w:val="36"/>
          <w:szCs w:val="22"/>
        </w:rPr>
        <w:t>Lagevrio</w:t>
      </w:r>
      <w:r w:rsidR="005422C6" w:rsidRPr="00126BCB">
        <w:rPr>
          <w:rFonts w:asciiTheme="minorHAnsi" w:hAnsiTheme="minorHAnsi" w:cstheme="minorHAnsi"/>
          <w:b/>
          <w:sz w:val="36"/>
          <w:szCs w:val="22"/>
        </w:rPr>
        <w:t>®,</w:t>
      </w:r>
    </w:p>
    <w:p w14:paraId="3215DC42" w14:textId="52212762" w:rsidR="005422C6" w:rsidRPr="00126BCB" w:rsidRDefault="005422C6" w:rsidP="00126BCB">
      <w:pPr>
        <w:pBdr>
          <w:top w:val="nil"/>
          <w:left w:val="nil"/>
          <w:bottom w:val="nil"/>
          <w:right w:val="nil"/>
          <w:between w:val="nil"/>
        </w:pBdr>
        <w:spacing w:after="240"/>
        <w:ind w:left="-425"/>
        <w:jc w:val="center"/>
        <w:rPr>
          <w:rFonts w:asciiTheme="minorHAnsi" w:hAnsiTheme="minorHAnsi" w:cstheme="minorHAnsi"/>
          <w:b/>
          <w:sz w:val="36"/>
          <w:szCs w:val="22"/>
        </w:rPr>
      </w:pPr>
      <w:r w:rsidRPr="00126BCB">
        <w:rPr>
          <w:rFonts w:asciiTheme="minorHAnsi" w:hAnsiTheme="minorHAnsi" w:cstheme="minorHAnsi"/>
          <w:b/>
          <w:sz w:val="36"/>
          <w:szCs w:val="22"/>
        </w:rPr>
        <w:t>Merck Sharp &amp; Dohme Australia Pty Ltd</w:t>
      </w:r>
    </w:p>
    <w:p w14:paraId="74C2A9FB" w14:textId="5B54D930" w:rsidR="00C8356A" w:rsidRPr="00C8356A" w:rsidRDefault="009F2CD0" w:rsidP="009A2070">
      <w:pPr>
        <w:pBdr>
          <w:top w:val="nil"/>
          <w:left w:val="nil"/>
          <w:bottom w:val="nil"/>
          <w:right w:val="nil"/>
          <w:between w:val="nil"/>
        </w:pBdr>
      </w:pPr>
      <w:r w:rsidRPr="00C8356A">
        <w:t>T</w:t>
      </w:r>
      <w:r w:rsidR="00D50457" w:rsidRPr="00C8356A">
        <w:t>he P</w:t>
      </w:r>
      <w:r w:rsidR="002A6F1E">
        <w:t>harmaceutical Benefits Advisory Committee (PB</w:t>
      </w:r>
      <w:r w:rsidR="00D50457" w:rsidRPr="00C8356A">
        <w:t>AC</w:t>
      </w:r>
      <w:r w:rsidR="002A6F1E">
        <w:t>)</w:t>
      </w:r>
      <w:r w:rsidR="00D50457" w:rsidRPr="00C8356A">
        <w:t xml:space="preserve"> undertook an expedited consideration of a </w:t>
      </w:r>
      <w:r w:rsidRPr="00C8356A">
        <w:t xml:space="preserve">sponsor </w:t>
      </w:r>
      <w:r w:rsidR="00D50457" w:rsidRPr="00C8356A">
        <w:t>submission to add molnupiravir (Lagevrio®) to the P</w:t>
      </w:r>
      <w:r w:rsidR="002A6F1E">
        <w:t>harmaceutical Benefits Scheme (PB</w:t>
      </w:r>
      <w:r w:rsidR="00D50457" w:rsidRPr="00C8356A">
        <w:t>S</w:t>
      </w:r>
      <w:r w:rsidR="002A6F1E">
        <w:t>)</w:t>
      </w:r>
      <w:r w:rsidR="00D50457" w:rsidRPr="00C8356A">
        <w:t xml:space="preserve"> for use in treating patients with mild to moderate COVID-19 who are at risk of developing severe disease</w:t>
      </w:r>
      <w:r w:rsidR="002A6F1E">
        <w:t xml:space="preserve"> requiring hospitalisation</w:t>
      </w:r>
      <w:r w:rsidR="00D50457" w:rsidRPr="00C8356A">
        <w:t xml:space="preserve">. </w:t>
      </w:r>
      <w:r w:rsidRPr="00C8356A">
        <w:t xml:space="preserve"> </w:t>
      </w:r>
      <w:r w:rsidR="00C8356A" w:rsidRPr="00C8356A">
        <w:t xml:space="preserve">The expedited consideration by PBAC recognises the urgent public health need related to the prevention, </w:t>
      </w:r>
      <w:r w:rsidR="002167DF" w:rsidRPr="00C8356A">
        <w:t>management,</w:t>
      </w:r>
      <w:r w:rsidR="00C8356A" w:rsidRPr="00C8356A">
        <w:t xml:space="preserve"> or treatment of SARS-CoV-2 infections.</w:t>
      </w:r>
    </w:p>
    <w:p w14:paraId="12F66DA1" w14:textId="77777777" w:rsidR="00D50457" w:rsidRDefault="00D50457" w:rsidP="009A2070">
      <w:pPr>
        <w:pBdr>
          <w:top w:val="nil"/>
          <w:left w:val="nil"/>
          <w:bottom w:val="nil"/>
          <w:right w:val="nil"/>
          <w:between w:val="nil"/>
        </w:pBdr>
      </w:pPr>
    </w:p>
    <w:p w14:paraId="1EDB02FE" w14:textId="77777777" w:rsidR="002167DF" w:rsidRDefault="00BE013A" w:rsidP="009A2070">
      <w:pPr>
        <w:pBdr>
          <w:top w:val="nil"/>
          <w:left w:val="nil"/>
          <w:bottom w:val="nil"/>
          <w:right w:val="nil"/>
          <w:between w:val="nil"/>
        </w:pBdr>
      </w:pPr>
      <w:r w:rsidRPr="00C9463B">
        <w:t xml:space="preserve">The PBAC </w:t>
      </w:r>
      <w:r w:rsidR="00DD3345" w:rsidRPr="00C9463B">
        <w:t xml:space="preserve">recommended </w:t>
      </w:r>
      <w:r w:rsidRPr="00C9463B">
        <w:t xml:space="preserve">the listing </w:t>
      </w:r>
      <w:r w:rsidR="00A1776D" w:rsidRPr="00C9463B">
        <w:t xml:space="preserve">on the PBS </w:t>
      </w:r>
      <w:r w:rsidRPr="00C9463B">
        <w:t xml:space="preserve">of </w:t>
      </w:r>
      <w:r w:rsidR="001D7AD1" w:rsidRPr="00C9463B">
        <w:t>molnupiravir</w:t>
      </w:r>
      <w:r w:rsidRPr="00C9463B">
        <w:t xml:space="preserve"> as </w:t>
      </w:r>
      <w:r w:rsidR="00D63EA6" w:rsidRPr="00C9463B">
        <w:t xml:space="preserve">a </w:t>
      </w:r>
      <w:r w:rsidR="00E73939" w:rsidRPr="00C9463B">
        <w:t>G</w:t>
      </w:r>
      <w:r w:rsidR="00D63EA6" w:rsidRPr="00C9463B">
        <w:t xml:space="preserve">eneral </w:t>
      </w:r>
      <w:r w:rsidR="00E73939" w:rsidRPr="00C9463B">
        <w:t>S</w:t>
      </w:r>
      <w:r w:rsidR="00D63EA6" w:rsidRPr="00C9463B">
        <w:t xml:space="preserve">chedule, </w:t>
      </w:r>
      <w:r w:rsidR="00E73939" w:rsidRPr="00C9463B">
        <w:t>A</w:t>
      </w:r>
      <w:r w:rsidRPr="00C9463B">
        <w:t xml:space="preserve">uthority </w:t>
      </w:r>
      <w:r w:rsidR="00E73939" w:rsidRPr="00C9463B">
        <w:t>R</w:t>
      </w:r>
      <w:r w:rsidRPr="00C9463B">
        <w:t>equired (</w:t>
      </w:r>
      <w:r w:rsidR="00E73939" w:rsidRPr="00C9463B">
        <w:t>S</w:t>
      </w:r>
      <w:r w:rsidRPr="00C9463B">
        <w:t>treamlined)</w:t>
      </w:r>
      <w:r w:rsidR="00D50457">
        <w:t xml:space="preserve"> benefit</w:t>
      </w:r>
      <w:r w:rsidR="002167DF">
        <w:t xml:space="preserve">. </w:t>
      </w:r>
    </w:p>
    <w:p w14:paraId="6E28FE5A" w14:textId="77777777" w:rsidR="002167DF" w:rsidRDefault="002167DF" w:rsidP="009A2070">
      <w:pPr>
        <w:pBdr>
          <w:top w:val="nil"/>
          <w:left w:val="nil"/>
          <w:bottom w:val="nil"/>
          <w:right w:val="nil"/>
          <w:between w:val="nil"/>
        </w:pBdr>
      </w:pPr>
    </w:p>
    <w:p w14:paraId="4B22046F" w14:textId="530E7EF2" w:rsidR="009A2070" w:rsidRDefault="002167DF" w:rsidP="009A2070">
      <w:pPr>
        <w:pBdr>
          <w:top w:val="nil"/>
          <w:left w:val="nil"/>
          <w:bottom w:val="nil"/>
          <w:right w:val="nil"/>
          <w:between w:val="nil"/>
        </w:pBdr>
        <w:rPr>
          <w:rStyle w:val="Hyperlink"/>
          <w:rFonts w:cstheme="minorHAnsi"/>
          <w:color w:val="auto"/>
          <w:u w:val="none"/>
        </w:rPr>
      </w:pPr>
      <w:r>
        <w:t xml:space="preserve">The PBAC recommended </w:t>
      </w:r>
      <w:r w:rsidR="009A2070">
        <w:t>PBS</w:t>
      </w:r>
      <w:r w:rsidR="00D50457">
        <w:t>-</w:t>
      </w:r>
      <w:r w:rsidR="009A2070">
        <w:t xml:space="preserve">subsidised treatment initially </w:t>
      </w:r>
      <w:r>
        <w:t xml:space="preserve">be </w:t>
      </w:r>
      <w:r w:rsidR="009A2070">
        <w:t xml:space="preserve">provided for the </w:t>
      </w:r>
      <w:r w:rsidR="009A2070" w:rsidRPr="00C9463B">
        <w:rPr>
          <w:rStyle w:val="Hyperlink"/>
          <w:rFonts w:cstheme="minorHAnsi"/>
          <w:color w:val="auto"/>
          <w:u w:val="none"/>
        </w:rPr>
        <w:t>following groups of patients with mild-moderate COVID-19 disease not requiring supplemental oxygen for their COVID-19</w:t>
      </w:r>
      <w:r w:rsidR="00D50457">
        <w:rPr>
          <w:rStyle w:val="Hyperlink"/>
          <w:rFonts w:cstheme="minorHAnsi"/>
          <w:color w:val="auto"/>
          <w:u w:val="none"/>
        </w:rPr>
        <w:t xml:space="preserve"> and where treatment is commenced within 5 days of the onset of symptoms</w:t>
      </w:r>
      <w:r w:rsidR="009A2070" w:rsidRPr="00C9463B">
        <w:rPr>
          <w:rStyle w:val="Hyperlink"/>
          <w:rFonts w:cstheme="minorHAnsi"/>
          <w:color w:val="auto"/>
          <w:u w:val="none"/>
        </w:rPr>
        <w:t xml:space="preserve">: </w:t>
      </w:r>
    </w:p>
    <w:p w14:paraId="3A1BB517" w14:textId="77777777" w:rsidR="009A2070" w:rsidRPr="00C9463B" w:rsidRDefault="009A2070" w:rsidP="009A2070">
      <w:pPr>
        <w:pBdr>
          <w:top w:val="nil"/>
          <w:left w:val="nil"/>
          <w:bottom w:val="nil"/>
          <w:right w:val="nil"/>
          <w:between w:val="nil"/>
        </w:pBdr>
        <w:rPr>
          <w:rStyle w:val="Hyperlink"/>
          <w:rFonts w:cstheme="minorHAnsi"/>
          <w:color w:val="auto"/>
          <w:u w:val="none"/>
        </w:rPr>
      </w:pPr>
    </w:p>
    <w:p w14:paraId="7310EEF6" w14:textId="5ACF0D7C" w:rsidR="009A2070" w:rsidRPr="00C9463B" w:rsidRDefault="009A2070" w:rsidP="009A2070">
      <w:pPr>
        <w:pStyle w:val="ListParagraph"/>
        <w:numPr>
          <w:ilvl w:val="0"/>
          <w:numId w:val="15"/>
        </w:numPr>
        <w:ind w:left="567" w:hanging="567"/>
        <w:jc w:val="left"/>
        <w:rPr>
          <w:rStyle w:val="Hyperlink"/>
          <w:rFonts w:cstheme="minorHAnsi"/>
          <w:color w:val="auto"/>
          <w:u w:val="none"/>
        </w:rPr>
      </w:pPr>
      <w:r w:rsidRPr="00C9463B">
        <w:rPr>
          <w:rStyle w:val="Hyperlink"/>
          <w:rFonts w:cstheme="minorHAnsi"/>
          <w:color w:val="auto"/>
          <w:u w:val="none"/>
        </w:rPr>
        <w:t>P</w:t>
      </w:r>
      <w:r w:rsidR="002167DF">
        <w:rPr>
          <w:rStyle w:val="Hyperlink"/>
          <w:rFonts w:cstheme="minorHAnsi"/>
          <w:color w:val="auto"/>
          <w:u w:val="none"/>
        </w:rPr>
        <w:t>eople</w:t>
      </w:r>
      <w:r w:rsidRPr="00C9463B">
        <w:rPr>
          <w:rStyle w:val="Hyperlink"/>
          <w:rFonts w:cstheme="minorHAnsi"/>
          <w:color w:val="auto"/>
          <w:u w:val="none"/>
        </w:rPr>
        <w:t xml:space="preserve"> 65 years or older w</w:t>
      </w:r>
      <w:r>
        <w:rPr>
          <w:rStyle w:val="Hyperlink"/>
          <w:rFonts w:cstheme="minorHAnsi"/>
          <w:color w:val="auto"/>
          <w:u w:val="none"/>
        </w:rPr>
        <w:t xml:space="preserve">ith two additional </w:t>
      </w:r>
      <w:r w:rsidR="00CE4C54">
        <w:rPr>
          <w:rStyle w:val="Hyperlink"/>
          <w:rFonts w:cstheme="minorHAnsi"/>
          <w:color w:val="auto"/>
          <w:u w:val="none"/>
        </w:rPr>
        <w:t>high-</w:t>
      </w:r>
      <w:r>
        <w:rPr>
          <w:rStyle w:val="Hyperlink"/>
          <w:rFonts w:cstheme="minorHAnsi"/>
          <w:color w:val="auto"/>
          <w:u w:val="none"/>
        </w:rPr>
        <w:t>risk factors for developing severe disease,</w:t>
      </w:r>
    </w:p>
    <w:p w14:paraId="6BAC4EFF" w14:textId="28C7CB26" w:rsidR="009A2070" w:rsidRPr="00C9463B" w:rsidRDefault="009A2070" w:rsidP="009A2070">
      <w:pPr>
        <w:pStyle w:val="ListParagraph"/>
        <w:numPr>
          <w:ilvl w:val="0"/>
          <w:numId w:val="15"/>
        </w:numPr>
        <w:ind w:left="567" w:hanging="567"/>
        <w:jc w:val="left"/>
        <w:rPr>
          <w:rStyle w:val="Hyperlink"/>
          <w:rFonts w:cstheme="minorHAnsi"/>
          <w:color w:val="auto"/>
          <w:u w:val="none"/>
        </w:rPr>
      </w:pPr>
      <w:r w:rsidRPr="00C9463B">
        <w:rPr>
          <w:rStyle w:val="Hyperlink"/>
          <w:rFonts w:cstheme="minorHAnsi"/>
          <w:color w:val="auto"/>
          <w:u w:val="none"/>
        </w:rPr>
        <w:t>P</w:t>
      </w:r>
      <w:r w:rsidR="002167DF">
        <w:rPr>
          <w:rStyle w:val="Hyperlink"/>
          <w:rFonts w:cstheme="minorHAnsi"/>
          <w:color w:val="auto"/>
          <w:u w:val="none"/>
        </w:rPr>
        <w:t>eople</w:t>
      </w:r>
      <w:r w:rsidRPr="00C9463B">
        <w:rPr>
          <w:rStyle w:val="Hyperlink"/>
          <w:rFonts w:cstheme="minorHAnsi"/>
          <w:color w:val="auto"/>
          <w:u w:val="none"/>
        </w:rPr>
        <w:t xml:space="preserve"> 75 years or older w</w:t>
      </w:r>
      <w:r>
        <w:rPr>
          <w:rStyle w:val="Hyperlink"/>
          <w:rFonts w:cstheme="minorHAnsi"/>
          <w:color w:val="auto"/>
          <w:u w:val="none"/>
        </w:rPr>
        <w:t xml:space="preserve">ith one additional </w:t>
      </w:r>
      <w:r w:rsidR="00CE4C54">
        <w:rPr>
          <w:rStyle w:val="Hyperlink"/>
          <w:rFonts w:cstheme="minorHAnsi"/>
          <w:color w:val="auto"/>
          <w:u w:val="none"/>
        </w:rPr>
        <w:t>high-</w:t>
      </w:r>
      <w:r>
        <w:rPr>
          <w:rStyle w:val="Hyperlink"/>
          <w:rFonts w:cstheme="minorHAnsi"/>
          <w:color w:val="auto"/>
          <w:u w:val="none"/>
        </w:rPr>
        <w:t>risk factor for developing severe disease,</w:t>
      </w:r>
    </w:p>
    <w:p w14:paraId="4C5F81C0" w14:textId="52E390D3" w:rsidR="009A2070" w:rsidRPr="00C9463B" w:rsidRDefault="008613F6" w:rsidP="009A2070">
      <w:pPr>
        <w:pStyle w:val="ListParagraph"/>
        <w:numPr>
          <w:ilvl w:val="0"/>
          <w:numId w:val="15"/>
        </w:numPr>
        <w:ind w:left="567" w:hanging="567"/>
        <w:jc w:val="left"/>
        <w:rPr>
          <w:rStyle w:val="Hyperlink"/>
          <w:rFonts w:cstheme="minorHAnsi"/>
          <w:color w:val="auto"/>
          <w:u w:val="none"/>
        </w:rPr>
      </w:pPr>
      <w:r>
        <w:rPr>
          <w:rStyle w:val="Hyperlink"/>
          <w:rFonts w:cstheme="minorHAnsi"/>
          <w:color w:val="auto"/>
          <w:u w:val="none"/>
        </w:rPr>
        <w:t>Moderately to severely i</w:t>
      </w:r>
      <w:r w:rsidR="009A2070" w:rsidRPr="00C9463B">
        <w:rPr>
          <w:rStyle w:val="Hyperlink"/>
          <w:rFonts w:cstheme="minorHAnsi"/>
          <w:color w:val="auto"/>
          <w:u w:val="none"/>
        </w:rPr>
        <w:t xml:space="preserve">mmunocompromised </w:t>
      </w:r>
      <w:r w:rsidR="009A2070">
        <w:rPr>
          <w:rStyle w:val="Hyperlink"/>
          <w:rFonts w:cstheme="minorHAnsi"/>
          <w:color w:val="auto"/>
          <w:u w:val="none"/>
        </w:rPr>
        <w:t>people</w:t>
      </w:r>
      <w:r w:rsidR="009A2070" w:rsidRPr="00C9463B">
        <w:rPr>
          <w:rStyle w:val="Hyperlink"/>
          <w:rFonts w:cstheme="minorHAnsi"/>
          <w:color w:val="auto"/>
          <w:u w:val="none"/>
        </w:rPr>
        <w:t xml:space="preserve"> irrespective of vaccination status, and</w:t>
      </w:r>
    </w:p>
    <w:p w14:paraId="070178FF" w14:textId="2B46A4CD" w:rsidR="009A2070" w:rsidRDefault="009A2070" w:rsidP="009A2070">
      <w:pPr>
        <w:pStyle w:val="ListParagraph"/>
        <w:numPr>
          <w:ilvl w:val="0"/>
          <w:numId w:val="15"/>
        </w:numPr>
        <w:ind w:left="567" w:hanging="567"/>
        <w:jc w:val="left"/>
        <w:rPr>
          <w:rStyle w:val="Hyperlink"/>
          <w:rFonts w:cstheme="minorHAnsi"/>
          <w:color w:val="auto"/>
          <w:u w:val="none"/>
        </w:rPr>
      </w:pPr>
      <w:r w:rsidRPr="00C9463B">
        <w:rPr>
          <w:rStyle w:val="Hyperlink"/>
          <w:rFonts w:cstheme="minorHAnsi"/>
          <w:color w:val="auto"/>
          <w:u w:val="none"/>
        </w:rPr>
        <w:t xml:space="preserve">Aboriginal and Torres Strait Islander </w:t>
      </w:r>
      <w:r>
        <w:rPr>
          <w:rStyle w:val="Hyperlink"/>
          <w:rFonts w:cstheme="minorHAnsi"/>
          <w:color w:val="auto"/>
          <w:u w:val="none"/>
        </w:rPr>
        <w:t>people</w:t>
      </w:r>
      <w:r w:rsidRPr="00C9463B">
        <w:rPr>
          <w:rStyle w:val="Hyperlink"/>
          <w:rFonts w:cstheme="minorHAnsi"/>
          <w:color w:val="auto"/>
          <w:u w:val="none"/>
        </w:rPr>
        <w:t xml:space="preserve"> aged 50 years or older w</w:t>
      </w:r>
      <w:r>
        <w:rPr>
          <w:rStyle w:val="Hyperlink"/>
          <w:rFonts w:cstheme="minorHAnsi"/>
          <w:color w:val="auto"/>
          <w:u w:val="none"/>
        </w:rPr>
        <w:t xml:space="preserve">ith two additional </w:t>
      </w:r>
      <w:r w:rsidR="00CE4C54">
        <w:rPr>
          <w:rStyle w:val="Hyperlink"/>
          <w:rFonts w:cstheme="minorHAnsi"/>
          <w:color w:val="auto"/>
          <w:u w:val="none"/>
        </w:rPr>
        <w:t>high-</w:t>
      </w:r>
      <w:r>
        <w:rPr>
          <w:rStyle w:val="Hyperlink"/>
          <w:rFonts w:cstheme="minorHAnsi"/>
          <w:color w:val="auto"/>
          <w:u w:val="none"/>
        </w:rPr>
        <w:t>risk factors for developing severe disease.</w:t>
      </w:r>
    </w:p>
    <w:p w14:paraId="441610AC" w14:textId="65CBCB17" w:rsidR="00487FF5" w:rsidRDefault="00CE4C54" w:rsidP="00487FF5">
      <w:pPr>
        <w:pBdr>
          <w:top w:val="nil"/>
          <w:left w:val="nil"/>
          <w:bottom w:val="nil"/>
          <w:right w:val="nil"/>
          <w:between w:val="nil"/>
        </w:pBdr>
        <w:rPr>
          <w:rStyle w:val="Hyperlink"/>
          <w:rFonts w:cstheme="minorHAnsi"/>
          <w:color w:val="auto"/>
          <w:u w:val="none"/>
        </w:rPr>
      </w:pPr>
      <w:r>
        <w:t>The PBAC recommended the</w:t>
      </w:r>
      <w:r w:rsidR="008613F6">
        <w:t xml:space="preserve"> age-based</w:t>
      </w:r>
      <w:r>
        <w:t xml:space="preserve"> PBS listing restrictions </w:t>
      </w:r>
      <w:r w:rsidR="003703B0">
        <w:t>list</w:t>
      </w:r>
      <w:r>
        <w:t xml:space="preserve"> </w:t>
      </w:r>
      <w:r w:rsidR="002167DF">
        <w:t>several</w:t>
      </w:r>
      <w:r w:rsidR="008613F6">
        <w:t xml:space="preserve"> </w:t>
      </w:r>
      <w:r>
        <w:t xml:space="preserve">conditions that </w:t>
      </w:r>
      <w:r w:rsidR="002A6F1E">
        <w:t xml:space="preserve">PBAC </w:t>
      </w:r>
      <w:r>
        <w:t>considered risk factors for patients with mild-moderate COVID-19 progressing to severe disease</w:t>
      </w:r>
      <w:r w:rsidR="008613F6">
        <w:t xml:space="preserve">.  </w:t>
      </w:r>
      <w:r w:rsidR="00487FF5">
        <w:t xml:space="preserve">Receipt of 0 or 1 vaccination doses was considered by the PBAC to be a risk factor. </w:t>
      </w:r>
      <w:r w:rsidR="00487FF5" w:rsidRPr="00C9463B">
        <w:rPr>
          <w:rStyle w:val="Hyperlink"/>
          <w:rFonts w:cstheme="minorHAnsi"/>
          <w:color w:val="auto"/>
          <w:u w:val="none"/>
        </w:rPr>
        <w:t xml:space="preserve">The </w:t>
      </w:r>
      <w:r w:rsidR="00487FF5">
        <w:rPr>
          <w:rStyle w:val="Hyperlink"/>
          <w:rFonts w:cstheme="minorHAnsi"/>
          <w:color w:val="auto"/>
          <w:u w:val="none"/>
        </w:rPr>
        <w:t xml:space="preserve">PBAC </w:t>
      </w:r>
      <w:r w:rsidR="00487FF5" w:rsidRPr="00C9463B">
        <w:rPr>
          <w:rStyle w:val="Hyperlink"/>
          <w:rFonts w:cstheme="minorHAnsi"/>
          <w:color w:val="auto"/>
          <w:u w:val="none"/>
        </w:rPr>
        <w:t xml:space="preserve">acknowledged true vaccine protection against </w:t>
      </w:r>
      <w:r w:rsidR="00487FF5">
        <w:rPr>
          <w:rStyle w:val="Hyperlink"/>
          <w:rFonts w:cstheme="minorHAnsi"/>
          <w:color w:val="auto"/>
          <w:u w:val="none"/>
        </w:rPr>
        <w:t xml:space="preserve">COVID-19 </w:t>
      </w:r>
      <w:r w:rsidR="00487FF5" w:rsidRPr="00C9463B">
        <w:rPr>
          <w:rStyle w:val="Hyperlink"/>
          <w:rFonts w:cstheme="minorHAnsi"/>
          <w:color w:val="auto"/>
          <w:u w:val="none"/>
        </w:rPr>
        <w:t>infection wane</w:t>
      </w:r>
      <w:r w:rsidR="00487FF5">
        <w:rPr>
          <w:rStyle w:val="Hyperlink"/>
          <w:rFonts w:cstheme="minorHAnsi"/>
          <w:color w:val="auto"/>
          <w:u w:val="none"/>
        </w:rPr>
        <w:t>s</w:t>
      </w:r>
      <w:r w:rsidR="00487FF5" w:rsidRPr="00C9463B">
        <w:rPr>
          <w:rStyle w:val="Hyperlink"/>
          <w:rFonts w:cstheme="minorHAnsi"/>
          <w:color w:val="auto"/>
          <w:u w:val="none"/>
        </w:rPr>
        <w:t xml:space="preserve"> and while </w:t>
      </w:r>
      <w:r w:rsidR="00487FF5">
        <w:rPr>
          <w:rStyle w:val="Hyperlink"/>
          <w:rFonts w:cstheme="minorHAnsi"/>
          <w:color w:val="auto"/>
          <w:u w:val="none"/>
        </w:rPr>
        <w:t>vaccination is not fully protective against severe COVID-19 disease</w:t>
      </w:r>
      <w:r w:rsidR="00487FF5" w:rsidRPr="00C9463B">
        <w:rPr>
          <w:rStyle w:val="Hyperlink"/>
          <w:rFonts w:cstheme="minorHAnsi"/>
          <w:color w:val="auto"/>
          <w:u w:val="none"/>
        </w:rPr>
        <w:t xml:space="preserve">, </w:t>
      </w:r>
      <w:proofErr w:type="gramStart"/>
      <w:r w:rsidR="00487FF5" w:rsidRPr="00C9463B">
        <w:rPr>
          <w:rStyle w:val="Hyperlink"/>
          <w:rFonts w:cstheme="minorHAnsi"/>
          <w:color w:val="auto"/>
          <w:u w:val="none"/>
        </w:rPr>
        <w:t>at the moment</w:t>
      </w:r>
      <w:proofErr w:type="gramEnd"/>
      <w:r w:rsidR="00487FF5" w:rsidRPr="00C9463B">
        <w:rPr>
          <w:rStyle w:val="Hyperlink"/>
          <w:rFonts w:cstheme="minorHAnsi"/>
          <w:color w:val="auto"/>
          <w:u w:val="none"/>
        </w:rPr>
        <w:t xml:space="preserve"> </w:t>
      </w:r>
      <w:r w:rsidR="00487FF5">
        <w:rPr>
          <w:rStyle w:val="Hyperlink"/>
          <w:rFonts w:cstheme="minorHAnsi"/>
          <w:color w:val="auto"/>
          <w:u w:val="none"/>
        </w:rPr>
        <w:t xml:space="preserve">the </w:t>
      </w:r>
      <w:r w:rsidR="00487FF5" w:rsidRPr="00C9463B">
        <w:rPr>
          <w:rStyle w:val="Hyperlink"/>
          <w:rFonts w:cstheme="minorHAnsi"/>
          <w:color w:val="auto"/>
          <w:u w:val="none"/>
        </w:rPr>
        <w:t xml:space="preserve">greatest risk of severe infection is </w:t>
      </w:r>
      <w:r w:rsidR="00487FF5">
        <w:rPr>
          <w:rStyle w:val="Hyperlink"/>
          <w:rFonts w:cstheme="minorHAnsi"/>
          <w:color w:val="auto"/>
          <w:u w:val="none"/>
        </w:rPr>
        <w:t xml:space="preserve">in </w:t>
      </w:r>
      <w:r w:rsidR="00487FF5" w:rsidRPr="00C9463B">
        <w:rPr>
          <w:rStyle w:val="Hyperlink"/>
          <w:rFonts w:cstheme="minorHAnsi"/>
          <w:color w:val="auto"/>
          <w:u w:val="none"/>
        </w:rPr>
        <w:t>those who have had 0 or 1 vaccine doses.</w:t>
      </w:r>
    </w:p>
    <w:p w14:paraId="7D84318E" w14:textId="77777777" w:rsidR="00487FF5" w:rsidRDefault="00487FF5" w:rsidP="009A2070">
      <w:pPr>
        <w:pBdr>
          <w:top w:val="nil"/>
          <w:left w:val="nil"/>
          <w:bottom w:val="nil"/>
          <w:right w:val="nil"/>
          <w:between w:val="nil"/>
        </w:pBdr>
      </w:pPr>
    </w:p>
    <w:p w14:paraId="2610F664" w14:textId="2FBFF981" w:rsidR="00C8356A" w:rsidRDefault="008613F6" w:rsidP="009A2070">
      <w:pPr>
        <w:pBdr>
          <w:top w:val="nil"/>
          <w:left w:val="nil"/>
          <w:bottom w:val="nil"/>
          <w:right w:val="nil"/>
          <w:between w:val="nil"/>
        </w:pBdr>
      </w:pPr>
      <w:r>
        <w:t xml:space="preserve">The PBAC also recommended the PBS listing for immunocompromised people </w:t>
      </w:r>
      <w:r w:rsidR="003703B0">
        <w:t>list</w:t>
      </w:r>
      <w:r w:rsidR="00C8356A">
        <w:t xml:space="preserve"> </w:t>
      </w:r>
      <w:r w:rsidR="002167DF">
        <w:t>several</w:t>
      </w:r>
      <w:r>
        <w:t xml:space="preserve"> conditions for eligibility.</w:t>
      </w:r>
      <w:r w:rsidR="00C8356A">
        <w:t xml:space="preserve">  </w:t>
      </w:r>
    </w:p>
    <w:p w14:paraId="6630D6AF" w14:textId="7AA8E9E9" w:rsidR="00487FF5" w:rsidRDefault="00487FF5" w:rsidP="009A2070">
      <w:pPr>
        <w:pBdr>
          <w:top w:val="nil"/>
          <w:left w:val="nil"/>
          <w:bottom w:val="nil"/>
          <w:right w:val="nil"/>
          <w:between w:val="nil"/>
        </w:pBdr>
      </w:pPr>
    </w:p>
    <w:p w14:paraId="76792D81" w14:textId="05F04010" w:rsidR="00070EA3" w:rsidRPr="009A2070" w:rsidRDefault="00070EA3" w:rsidP="00070EA3">
      <w:pPr>
        <w:pBdr>
          <w:top w:val="nil"/>
          <w:left w:val="nil"/>
          <w:bottom w:val="nil"/>
          <w:right w:val="nil"/>
          <w:between w:val="nil"/>
        </w:pBdr>
        <w:rPr>
          <w:rFonts w:cstheme="minorHAnsi"/>
        </w:rPr>
      </w:pPr>
      <w:r w:rsidRPr="009A2070">
        <w:rPr>
          <w:rFonts w:cstheme="minorHAnsi"/>
          <w:color w:val="000000"/>
        </w:rPr>
        <w:t xml:space="preserve">In </w:t>
      </w:r>
      <w:r>
        <w:rPr>
          <w:rFonts w:cstheme="minorHAnsi"/>
          <w:color w:val="000000"/>
        </w:rPr>
        <w:t xml:space="preserve">making this </w:t>
      </w:r>
      <w:r w:rsidRPr="009A2070">
        <w:rPr>
          <w:rFonts w:cstheme="minorHAnsi"/>
          <w:color w:val="000000"/>
        </w:rPr>
        <w:t>recommend</w:t>
      </w:r>
      <w:r>
        <w:rPr>
          <w:rFonts w:cstheme="minorHAnsi"/>
          <w:color w:val="000000"/>
        </w:rPr>
        <w:t>ation</w:t>
      </w:r>
      <w:r w:rsidRPr="009A2070">
        <w:rPr>
          <w:rFonts w:cstheme="minorHAnsi"/>
          <w:color w:val="000000"/>
        </w:rPr>
        <w:t xml:space="preserve">, the PBAC noted the PBS </w:t>
      </w:r>
      <w:r w:rsidRPr="009A2070">
        <w:rPr>
          <w:rFonts w:cstheme="minorHAnsi"/>
        </w:rPr>
        <w:t xml:space="preserve">is an established mechanism for providing subsidised access to medicines for patients in the community. It utilises a network of over 6000 community pharmacies, Aboriginal Health </w:t>
      </w:r>
      <w:r w:rsidR="002167DF">
        <w:rPr>
          <w:rFonts w:cstheme="minorHAnsi"/>
        </w:rPr>
        <w:t>S</w:t>
      </w:r>
      <w:r w:rsidR="002167DF" w:rsidRPr="009A2070">
        <w:rPr>
          <w:rFonts w:cstheme="minorHAnsi"/>
        </w:rPr>
        <w:t>ervices,</w:t>
      </w:r>
      <w:r w:rsidRPr="009A2070">
        <w:rPr>
          <w:rFonts w:cstheme="minorHAnsi"/>
        </w:rPr>
        <w:t xml:space="preserve"> and other dispensing </w:t>
      </w:r>
      <w:r w:rsidRPr="009A2070">
        <w:rPr>
          <w:rFonts w:cstheme="minorHAnsi"/>
        </w:rPr>
        <w:lastRenderedPageBreak/>
        <w:t>settings. The reach of the PBS and its integration with General Practice prescribing processes means all eligible Australian will be able to access treatment in a timely and equitable way.</w:t>
      </w:r>
    </w:p>
    <w:p w14:paraId="4F98E1A1" w14:textId="77777777" w:rsidR="00070EA3" w:rsidRDefault="00070EA3"/>
    <w:p w14:paraId="78FF7F55" w14:textId="11B369AA" w:rsidR="00070EA3" w:rsidRDefault="00070EA3" w:rsidP="00070EA3">
      <w:pPr>
        <w:pBdr>
          <w:top w:val="nil"/>
          <w:left w:val="nil"/>
          <w:bottom w:val="nil"/>
          <w:right w:val="nil"/>
          <w:between w:val="nil"/>
        </w:pBdr>
        <w:rPr>
          <w:rStyle w:val="Hyperlink"/>
          <w:rFonts w:cstheme="minorHAnsi"/>
          <w:color w:val="auto"/>
          <w:u w:val="none"/>
        </w:rPr>
      </w:pPr>
      <w:r>
        <w:t xml:space="preserve">The PBAC also </w:t>
      </w:r>
      <w:r w:rsidRPr="00070EA3">
        <w:rPr>
          <w:rStyle w:val="Hyperlink"/>
          <w:rFonts w:cstheme="minorHAnsi"/>
          <w:color w:val="auto"/>
          <w:u w:val="none"/>
        </w:rPr>
        <w:t xml:space="preserve">noted that most antiviral agents for COVID-19 have only been evaluated in unvaccinated people, and currently most recommendations for their use are confined to unvaccinated or single dose vaccinated individuals, and for those with a high risk of primary vaccine failure. </w:t>
      </w:r>
    </w:p>
    <w:p w14:paraId="2AE96A23" w14:textId="77777777" w:rsidR="001A68B6" w:rsidRPr="00070EA3" w:rsidRDefault="001A68B6" w:rsidP="00070EA3">
      <w:pPr>
        <w:pBdr>
          <w:top w:val="nil"/>
          <w:left w:val="nil"/>
          <w:bottom w:val="nil"/>
          <w:right w:val="nil"/>
          <w:between w:val="nil"/>
        </w:pBdr>
        <w:rPr>
          <w:rStyle w:val="Hyperlink"/>
          <w:rFonts w:cstheme="minorHAnsi"/>
          <w:color w:val="auto"/>
          <w:u w:val="none"/>
        </w:rPr>
      </w:pPr>
    </w:p>
    <w:p w14:paraId="7CC4CB19" w14:textId="60C6C23A" w:rsidR="00070EA3" w:rsidRDefault="001A68B6" w:rsidP="00070EA3">
      <w:pPr>
        <w:pBdr>
          <w:top w:val="nil"/>
          <w:left w:val="nil"/>
          <w:bottom w:val="nil"/>
          <w:right w:val="nil"/>
          <w:between w:val="nil"/>
        </w:pBdr>
        <w:rPr>
          <w:rStyle w:val="Hyperlink"/>
          <w:rFonts w:cstheme="minorHAnsi"/>
          <w:color w:val="auto"/>
          <w:u w:val="none"/>
        </w:rPr>
      </w:pPr>
      <w:r>
        <w:rPr>
          <w:rStyle w:val="Hyperlink"/>
          <w:rFonts w:cstheme="minorHAnsi"/>
          <w:color w:val="auto"/>
          <w:u w:val="none"/>
        </w:rPr>
        <w:t xml:space="preserve">The </w:t>
      </w:r>
      <w:r w:rsidR="00070EA3" w:rsidRPr="00070EA3">
        <w:rPr>
          <w:rStyle w:val="Hyperlink"/>
          <w:rFonts w:cstheme="minorHAnsi"/>
          <w:color w:val="auto"/>
          <w:u w:val="none"/>
        </w:rPr>
        <w:t xml:space="preserve">PBAC considered extending </w:t>
      </w:r>
      <w:r w:rsidR="00070EA3">
        <w:rPr>
          <w:rStyle w:val="Hyperlink"/>
          <w:rFonts w:cstheme="minorHAnsi"/>
          <w:color w:val="auto"/>
          <w:u w:val="none"/>
        </w:rPr>
        <w:t xml:space="preserve">PBS </w:t>
      </w:r>
      <w:r w:rsidR="00070EA3" w:rsidRPr="00070EA3">
        <w:rPr>
          <w:rStyle w:val="Hyperlink"/>
          <w:rFonts w:cstheme="minorHAnsi"/>
          <w:color w:val="auto"/>
          <w:u w:val="none"/>
        </w:rPr>
        <w:t xml:space="preserve">subsidy to allow vaccinated older people to access therapy if they have multiple other risk factors strikes an appropriate balance, given what is known about vaccine protection against COVID-19, and what is known about the mechanism of action of molnupiravir. </w:t>
      </w:r>
      <w:r w:rsidR="00487FF5">
        <w:rPr>
          <w:rStyle w:val="Hyperlink"/>
          <w:rFonts w:cstheme="minorHAnsi"/>
          <w:color w:val="auto"/>
          <w:u w:val="none"/>
        </w:rPr>
        <w:t xml:space="preserve"> </w:t>
      </w:r>
    </w:p>
    <w:p w14:paraId="3020E88A" w14:textId="7985C46E" w:rsidR="001A68B6" w:rsidRDefault="001A68B6" w:rsidP="00070EA3">
      <w:pPr>
        <w:pBdr>
          <w:top w:val="nil"/>
          <w:left w:val="nil"/>
          <w:bottom w:val="nil"/>
          <w:right w:val="nil"/>
          <w:between w:val="nil"/>
        </w:pBdr>
        <w:rPr>
          <w:rStyle w:val="Hyperlink"/>
          <w:rFonts w:cstheme="minorHAnsi"/>
          <w:color w:val="auto"/>
          <w:u w:val="none"/>
        </w:rPr>
      </w:pPr>
    </w:p>
    <w:p w14:paraId="50D2F464" w14:textId="63E9A9F2" w:rsidR="001A68B6" w:rsidRDefault="001A68B6" w:rsidP="001A68B6">
      <w:pPr>
        <w:pBdr>
          <w:top w:val="nil"/>
          <w:left w:val="nil"/>
          <w:bottom w:val="nil"/>
          <w:right w:val="nil"/>
          <w:between w:val="nil"/>
        </w:pBdr>
      </w:pPr>
      <w:r w:rsidRPr="001A68B6">
        <w:rPr>
          <w:rFonts w:cstheme="minorHAnsi"/>
          <w:color w:val="000000"/>
        </w:rPr>
        <w:t xml:space="preserve">The PBAC </w:t>
      </w:r>
      <w:r>
        <w:rPr>
          <w:rFonts w:cstheme="minorHAnsi"/>
          <w:color w:val="000000"/>
        </w:rPr>
        <w:t>will</w:t>
      </w:r>
      <w:r w:rsidR="009F2CD0">
        <w:rPr>
          <w:rFonts w:cstheme="minorHAnsi"/>
          <w:color w:val="000000"/>
        </w:rPr>
        <w:t xml:space="preserve"> continue to</w:t>
      </w:r>
      <w:r>
        <w:rPr>
          <w:rFonts w:cstheme="minorHAnsi"/>
          <w:color w:val="000000"/>
        </w:rPr>
        <w:t xml:space="preserve"> </w:t>
      </w:r>
      <w:r w:rsidRPr="001A68B6">
        <w:rPr>
          <w:rFonts w:cstheme="minorHAnsi"/>
          <w:color w:val="000000"/>
        </w:rPr>
        <w:t>monitor</w:t>
      </w:r>
      <w:r>
        <w:rPr>
          <w:rFonts w:cstheme="minorHAnsi"/>
          <w:color w:val="000000"/>
        </w:rPr>
        <w:t xml:space="preserve"> the</w:t>
      </w:r>
      <w:r w:rsidRPr="001A68B6">
        <w:rPr>
          <w:rFonts w:cstheme="minorHAnsi"/>
          <w:color w:val="000000"/>
        </w:rPr>
        <w:t xml:space="preserve"> </w:t>
      </w:r>
      <w:r>
        <w:rPr>
          <w:rFonts w:cstheme="minorHAnsi"/>
          <w:color w:val="000000"/>
        </w:rPr>
        <w:t>conditions for PBS access</w:t>
      </w:r>
      <w:r w:rsidR="002167DF">
        <w:rPr>
          <w:rFonts w:cstheme="minorHAnsi"/>
          <w:color w:val="000000"/>
        </w:rPr>
        <w:t xml:space="preserve"> considering new evidence for the </w:t>
      </w:r>
      <w:r w:rsidRPr="001A68B6">
        <w:rPr>
          <w:rFonts w:cstheme="minorHAnsi"/>
          <w:color w:val="000000"/>
        </w:rPr>
        <w:t xml:space="preserve">effectiveness and safety of molnupiravir </w:t>
      </w:r>
      <w:r>
        <w:rPr>
          <w:rFonts w:cstheme="minorHAnsi"/>
          <w:color w:val="000000"/>
        </w:rPr>
        <w:t xml:space="preserve">and </w:t>
      </w:r>
      <w:r w:rsidR="002167DF">
        <w:rPr>
          <w:rFonts w:cstheme="minorHAnsi"/>
          <w:color w:val="000000"/>
        </w:rPr>
        <w:t xml:space="preserve">the </w:t>
      </w:r>
      <w:r>
        <w:rPr>
          <w:rFonts w:cstheme="minorHAnsi"/>
          <w:color w:val="000000"/>
        </w:rPr>
        <w:t>epidemiology of COVID-19</w:t>
      </w:r>
      <w:r w:rsidR="009F2CD0">
        <w:rPr>
          <w:rFonts w:cstheme="minorHAnsi"/>
          <w:color w:val="000000"/>
        </w:rPr>
        <w:t>.</w:t>
      </w:r>
      <w:r w:rsidRPr="001A68B6">
        <w:rPr>
          <w:rFonts w:cstheme="minorHAnsi"/>
          <w:color w:val="000000"/>
        </w:rPr>
        <w:t xml:space="preserve"> </w:t>
      </w:r>
    </w:p>
    <w:p w14:paraId="57744160" w14:textId="77777777" w:rsidR="001A68B6" w:rsidRDefault="001A68B6" w:rsidP="001A68B6">
      <w:pPr>
        <w:pBdr>
          <w:top w:val="nil"/>
          <w:left w:val="nil"/>
          <w:bottom w:val="nil"/>
          <w:right w:val="nil"/>
          <w:between w:val="nil"/>
        </w:pBdr>
      </w:pPr>
    </w:p>
    <w:p w14:paraId="29B21AEF" w14:textId="47F685B5" w:rsidR="001A68B6" w:rsidRPr="00C9463B" w:rsidRDefault="001A68B6" w:rsidP="001A68B6">
      <w:pPr>
        <w:pBdr>
          <w:top w:val="nil"/>
          <w:left w:val="nil"/>
          <w:bottom w:val="nil"/>
          <w:right w:val="nil"/>
          <w:between w:val="nil"/>
        </w:pBdr>
      </w:pPr>
      <w:r w:rsidRPr="001A68B6">
        <w:t>The PBAC’s recommendation for listing was based on, among other matters, its assessment that the cost-effectiveness of molnupiravir at the price proposed by the sponsor would be acceptable.  In making this recommendation, the PBAC is satisfied that molnupiravir is likely to provide, for some patients, a significant improvement in efficacy over standard of care in terms of a reduction in the risk of developing severe disease requiring admission to hospital.</w:t>
      </w:r>
    </w:p>
    <w:p w14:paraId="1BCDA90C" w14:textId="77777777" w:rsidR="001A68B6" w:rsidRPr="001A68B6" w:rsidRDefault="001A68B6" w:rsidP="00070EA3">
      <w:pPr>
        <w:pBdr>
          <w:top w:val="nil"/>
          <w:left w:val="nil"/>
          <w:bottom w:val="nil"/>
          <w:right w:val="nil"/>
          <w:between w:val="nil"/>
        </w:pBdr>
        <w:rPr>
          <w:rStyle w:val="Hyperlink"/>
          <w:rFonts w:cstheme="minorHAnsi"/>
          <w:color w:val="auto"/>
          <w:u w:val="none"/>
        </w:rPr>
      </w:pPr>
    </w:p>
    <w:sectPr w:rsidR="001A68B6" w:rsidRPr="001A68B6" w:rsidSect="00A1776D">
      <w:headerReference w:type="even" r:id="rId11"/>
      <w:headerReference w:type="default" r:id="rId12"/>
      <w:footerReference w:type="even" r:id="rId13"/>
      <w:footerReference w:type="default" r:id="rId14"/>
      <w:headerReference w:type="first" r:id="rId15"/>
      <w:footerReference w:type="first" r:id="rId16"/>
      <w:pgSz w:w="11906" w:h="16838" w:code="9"/>
      <w:pgMar w:top="1440" w:right="1418" w:bottom="1440" w:left="1418" w:header="1440" w:footer="14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6AF02" w14:textId="77777777" w:rsidR="00D50457" w:rsidRDefault="00D50457">
      <w:r>
        <w:separator/>
      </w:r>
    </w:p>
  </w:endnote>
  <w:endnote w:type="continuationSeparator" w:id="0">
    <w:p w14:paraId="6CEB6C57" w14:textId="77777777" w:rsidR="00D50457" w:rsidRDefault="00D5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5AE1" w14:textId="77777777" w:rsidR="00D50457" w:rsidRDefault="00D50457">
    <w:pPr>
      <w:widowControl w:val="0"/>
      <w:pBdr>
        <w:top w:val="nil"/>
        <w:left w:val="nil"/>
        <w:bottom w:val="nil"/>
        <w:right w:val="nil"/>
        <w:between w:val="nil"/>
      </w:pBdr>
      <w:spacing w:line="276" w:lineRule="auto"/>
      <w:jc w:val="left"/>
      <w:rPr>
        <w:b/>
        <w:color w:val="000000"/>
      </w:rPr>
    </w:pPr>
  </w:p>
  <w:tbl>
    <w:tblPr>
      <w:tblStyle w:val="aa"/>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7"/>
      <w:gridCol w:w="1252"/>
      <w:gridCol w:w="3887"/>
    </w:tblGrid>
    <w:tr w:rsidR="00D50457" w14:paraId="1E5062EA" w14:textId="77777777">
      <w:trPr>
        <w:trHeight w:val="151"/>
      </w:trPr>
      <w:tc>
        <w:tcPr>
          <w:tcW w:w="3887" w:type="dxa"/>
          <w:tcBorders>
            <w:top w:val="nil"/>
            <w:left w:val="nil"/>
            <w:bottom w:val="single" w:sz="4" w:space="0" w:color="4F81BD"/>
            <w:right w:val="nil"/>
          </w:tcBorders>
        </w:tcPr>
        <w:p w14:paraId="676433D7"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restart"/>
          <w:vAlign w:val="center"/>
        </w:tcPr>
        <w:p w14:paraId="0A25B199" w14:textId="77777777" w:rsidR="00D50457" w:rsidRDefault="00D50457">
          <w:pPr>
            <w:pBdr>
              <w:top w:val="nil"/>
              <w:left w:val="nil"/>
              <w:bottom w:val="nil"/>
              <w:right w:val="nil"/>
              <w:between w:val="nil"/>
            </w:pBdr>
            <w:spacing w:before="0" w:after="0" w:line="276" w:lineRule="auto"/>
            <w:jc w:val="left"/>
            <w:rPr>
              <w:sz w:val="22"/>
              <w:szCs w:val="22"/>
            </w:rPr>
          </w:pPr>
          <w:r>
            <w:rPr>
              <w:rFonts w:ascii="Cambria" w:eastAsia="Cambria" w:hAnsi="Cambria" w:cs="Cambria"/>
              <w:sz w:val="22"/>
              <w:szCs w:val="22"/>
            </w:rPr>
            <w:t>[Type text]</w:t>
          </w:r>
        </w:p>
      </w:tc>
      <w:tc>
        <w:tcPr>
          <w:tcW w:w="3887" w:type="dxa"/>
          <w:tcBorders>
            <w:top w:val="nil"/>
            <w:left w:val="nil"/>
            <w:bottom w:val="single" w:sz="4" w:space="0" w:color="4F81BD"/>
            <w:right w:val="nil"/>
          </w:tcBorders>
        </w:tcPr>
        <w:p w14:paraId="631B0309"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r w:rsidR="00D50457" w14:paraId="31288AB2" w14:textId="77777777">
      <w:trPr>
        <w:trHeight w:val="150"/>
      </w:trPr>
      <w:tc>
        <w:tcPr>
          <w:tcW w:w="3887" w:type="dxa"/>
          <w:tcBorders>
            <w:top w:val="single" w:sz="4" w:space="0" w:color="4F81BD"/>
            <w:left w:val="nil"/>
            <w:bottom w:val="nil"/>
            <w:right w:val="nil"/>
          </w:tcBorders>
        </w:tcPr>
        <w:p w14:paraId="0CEF5B0A"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ign w:val="center"/>
        </w:tcPr>
        <w:p w14:paraId="558452AB" w14:textId="77777777" w:rsidR="00D50457" w:rsidRDefault="00D50457">
          <w:pPr>
            <w:widowControl w:val="0"/>
            <w:pBdr>
              <w:top w:val="nil"/>
              <w:left w:val="nil"/>
              <w:bottom w:val="nil"/>
              <w:right w:val="nil"/>
              <w:between w:val="nil"/>
            </w:pBdr>
            <w:spacing w:before="0" w:after="0" w:line="276" w:lineRule="auto"/>
            <w:jc w:val="left"/>
            <w:rPr>
              <w:b/>
              <w:color w:val="4F81BD"/>
            </w:rPr>
          </w:pPr>
        </w:p>
      </w:tc>
      <w:tc>
        <w:tcPr>
          <w:tcW w:w="3887" w:type="dxa"/>
          <w:tcBorders>
            <w:top w:val="single" w:sz="4" w:space="0" w:color="4F81BD"/>
            <w:left w:val="nil"/>
            <w:bottom w:val="nil"/>
            <w:right w:val="nil"/>
          </w:tcBorders>
        </w:tcPr>
        <w:p w14:paraId="50644143"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bl>
  <w:p w14:paraId="7B5DA2F5" w14:textId="77777777" w:rsidR="00D50457" w:rsidRDefault="00D5045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241781B" w14:textId="77777777" w:rsidR="00D50457" w:rsidRDefault="00D50457">
    <w:pPr>
      <w:pBdr>
        <w:top w:val="nil"/>
        <w:left w:val="nil"/>
        <w:bottom w:val="nil"/>
        <w:right w:val="nil"/>
        <w:between w:val="nil"/>
      </w:pBdr>
      <w:tabs>
        <w:tab w:val="center" w:pos="4153"/>
        <w:tab w:val="right" w:pos="8306"/>
      </w:tabs>
      <w:rPr>
        <w:color w:val="000000"/>
      </w:rPr>
    </w:pPr>
  </w:p>
  <w:p w14:paraId="34A97B40" w14:textId="77777777" w:rsidR="00D50457" w:rsidRDefault="00D504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24332" w14:textId="77777777" w:rsidR="003703B0" w:rsidRDefault="00370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6D2AE" w14:textId="77777777" w:rsidR="00D50457" w:rsidRDefault="00D50457">
    <w:pPr>
      <w:widowControl w:val="0"/>
      <w:pBdr>
        <w:top w:val="nil"/>
        <w:left w:val="nil"/>
        <w:bottom w:val="nil"/>
        <w:right w:val="nil"/>
        <w:between w:val="nil"/>
      </w:pBdr>
      <w:spacing w:line="276" w:lineRule="auto"/>
      <w:jc w:val="left"/>
    </w:pPr>
  </w:p>
  <w:tbl>
    <w:tblPr>
      <w:tblStyle w:val="a9"/>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7"/>
      <w:gridCol w:w="1252"/>
      <w:gridCol w:w="3887"/>
    </w:tblGrid>
    <w:tr w:rsidR="00D50457" w14:paraId="24A3AF85" w14:textId="77777777">
      <w:trPr>
        <w:trHeight w:val="151"/>
      </w:trPr>
      <w:tc>
        <w:tcPr>
          <w:tcW w:w="3887" w:type="dxa"/>
          <w:tcBorders>
            <w:top w:val="nil"/>
            <w:left w:val="nil"/>
            <w:bottom w:val="single" w:sz="4" w:space="0" w:color="4F81BD"/>
            <w:right w:val="nil"/>
          </w:tcBorders>
        </w:tcPr>
        <w:p w14:paraId="331D2884"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restart"/>
          <w:vAlign w:val="center"/>
        </w:tcPr>
        <w:p w14:paraId="00A8187D" w14:textId="77777777" w:rsidR="00D50457" w:rsidRDefault="00D50457">
          <w:pPr>
            <w:pBdr>
              <w:top w:val="nil"/>
              <w:left w:val="nil"/>
              <w:bottom w:val="nil"/>
              <w:right w:val="nil"/>
              <w:between w:val="nil"/>
            </w:pBdr>
            <w:spacing w:before="0" w:after="0" w:line="276" w:lineRule="auto"/>
            <w:jc w:val="left"/>
            <w:rPr>
              <w:sz w:val="22"/>
              <w:szCs w:val="22"/>
            </w:rPr>
          </w:pPr>
          <w:r>
            <w:rPr>
              <w:rFonts w:ascii="Cambria" w:eastAsia="Cambria" w:hAnsi="Cambria" w:cs="Cambria"/>
              <w:sz w:val="22"/>
              <w:szCs w:val="22"/>
            </w:rPr>
            <w:t>[Type text]</w:t>
          </w:r>
        </w:p>
      </w:tc>
      <w:tc>
        <w:tcPr>
          <w:tcW w:w="3887" w:type="dxa"/>
          <w:tcBorders>
            <w:top w:val="nil"/>
            <w:left w:val="nil"/>
            <w:bottom w:val="single" w:sz="4" w:space="0" w:color="4F81BD"/>
            <w:right w:val="nil"/>
          </w:tcBorders>
        </w:tcPr>
        <w:p w14:paraId="4BC0204B"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r w:rsidR="00D50457" w14:paraId="418D986A" w14:textId="77777777">
      <w:trPr>
        <w:trHeight w:val="150"/>
      </w:trPr>
      <w:tc>
        <w:tcPr>
          <w:tcW w:w="3887" w:type="dxa"/>
          <w:tcBorders>
            <w:top w:val="single" w:sz="4" w:space="0" w:color="4F81BD"/>
            <w:left w:val="nil"/>
            <w:bottom w:val="nil"/>
            <w:right w:val="nil"/>
          </w:tcBorders>
        </w:tcPr>
        <w:p w14:paraId="36915131"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ign w:val="center"/>
        </w:tcPr>
        <w:p w14:paraId="7FE49066" w14:textId="77777777" w:rsidR="00D50457" w:rsidRDefault="00D50457">
          <w:pPr>
            <w:widowControl w:val="0"/>
            <w:pBdr>
              <w:top w:val="nil"/>
              <w:left w:val="nil"/>
              <w:bottom w:val="nil"/>
              <w:right w:val="nil"/>
              <w:between w:val="nil"/>
            </w:pBdr>
            <w:spacing w:before="0" w:after="0" w:line="276" w:lineRule="auto"/>
            <w:jc w:val="left"/>
            <w:rPr>
              <w:b/>
              <w:color w:val="4F81BD"/>
            </w:rPr>
          </w:pPr>
        </w:p>
      </w:tc>
      <w:tc>
        <w:tcPr>
          <w:tcW w:w="3887" w:type="dxa"/>
          <w:tcBorders>
            <w:top w:val="single" w:sz="4" w:space="0" w:color="4F81BD"/>
            <w:left w:val="nil"/>
            <w:bottom w:val="nil"/>
            <w:right w:val="nil"/>
          </w:tcBorders>
        </w:tcPr>
        <w:p w14:paraId="7E84A3D2"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r w:rsidR="00D50457" w14:paraId="2F2B38DC" w14:textId="77777777">
      <w:trPr>
        <w:trHeight w:val="151"/>
      </w:trPr>
      <w:tc>
        <w:tcPr>
          <w:tcW w:w="3887" w:type="dxa"/>
          <w:tcBorders>
            <w:top w:val="nil"/>
            <w:left w:val="nil"/>
            <w:bottom w:val="single" w:sz="4" w:space="0" w:color="4F81BD"/>
            <w:right w:val="nil"/>
          </w:tcBorders>
        </w:tcPr>
        <w:p w14:paraId="701CEE5A"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restart"/>
          <w:vAlign w:val="center"/>
        </w:tcPr>
        <w:p w14:paraId="20F0D65A" w14:textId="77777777" w:rsidR="00D50457" w:rsidRDefault="00D50457">
          <w:pPr>
            <w:pBdr>
              <w:top w:val="nil"/>
              <w:left w:val="nil"/>
              <w:bottom w:val="nil"/>
              <w:right w:val="nil"/>
              <w:between w:val="nil"/>
            </w:pBdr>
            <w:spacing w:before="0" w:after="0" w:line="276" w:lineRule="auto"/>
            <w:jc w:val="left"/>
            <w:rPr>
              <w:sz w:val="22"/>
              <w:szCs w:val="22"/>
            </w:rPr>
          </w:pPr>
          <w:r>
            <w:rPr>
              <w:rFonts w:ascii="Cambria" w:eastAsia="Cambria" w:hAnsi="Cambria" w:cs="Cambria"/>
              <w:sz w:val="22"/>
              <w:szCs w:val="22"/>
            </w:rPr>
            <w:t>[Type text]</w:t>
          </w:r>
        </w:p>
      </w:tc>
      <w:tc>
        <w:tcPr>
          <w:tcW w:w="3887" w:type="dxa"/>
          <w:tcBorders>
            <w:top w:val="nil"/>
            <w:left w:val="nil"/>
            <w:bottom w:val="single" w:sz="4" w:space="0" w:color="4F81BD"/>
            <w:right w:val="nil"/>
          </w:tcBorders>
        </w:tcPr>
        <w:p w14:paraId="525C04A6"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r w:rsidR="00D50457" w14:paraId="051E2BC0" w14:textId="77777777">
      <w:trPr>
        <w:trHeight w:val="150"/>
      </w:trPr>
      <w:tc>
        <w:tcPr>
          <w:tcW w:w="3887" w:type="dxa"/>
          <w:tcBorders>
            <w:top w:val="single" w:sz="4" w:space="0" w:color="4F81BD"/>
            <w:left w:val="nil"/>
            <w:bottom w:val="nil"/>
            <w:right w:val="nil"/>
          </w:tcBorders>
        </w:tcPr>
        <w:p w14:paraId="2831209F"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c>
        <w:tcPr>
          <w:tcW w:w="1252" w:type="dxa"/>
          <w:vMerge/>
          <w:vAlign w:val="center"/>
        </w:tcPr>
        <w:p w14:paraId="7FBD3F49" w14:textId="77777777" w:rsidR="00D50457" w:rsidRDefault="00D50457">
          <w:pPr>
            <w:widowControl w:val="0"/>
            <w:pBdr>
              <w:top w:val="nil"/>
              <w:left w:val="nil"/>
              <w:bottom w:val="nil"/>
              <w:right w:val="nil"/>
              <w:between w:val="nil"/>
            </w:pBdr>
            <w:spacing w:before="0" w:after="0" w:line="276" w:lineRule="auto"/>
            <w:jc w:val="left"/>
            <w:rPr>
              <w:b/>
              <w:color w:val="4F81BD"/>
            </w:rPr>
          </w:pPr>
        </w:p>
      </w:tc>
      <w:tc>
        <w:tcPr>
          <w:tcW w:w="3887" w:type="dxa"/>
          <w:tcBorders>
            <w:top w:val="single" w:sz="4" w:space="0" w:color="4F81BD"/>
            <w:left w:val="nil"/>
            <w:bottom w:val="nil"/>
            <w:right w:val="nil"/>
          </w:tcBorders>
        </w:tcPr>
        <w:p w14:paraId="1A31D752"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b/>
              <w:color w:val="4F81BD"/>
            </w:rPr>
          </w:pPr>
        </w:p>
      </w:tc>
    </w:tr>
  </w:tbl>
  <w:p w14:paraId="718118BF" w14:textId="77777777" w:rsidR="00D50457" w:rsidRDefault="00D50457">
    <w:pPr>
      <w:pBdr>
        <w:top w:val="nil"/>
        <w:left w:val="nil"/>
        <w:bottom w:val="nil"/>
        <w:right w:val="nil"/>
        <w:between w:val="nil"/>
      </w:pBdr>
      <w:tabs>
        <w:tab w:val="center" w:pos="4153"/>
        <w:tab w:val="right" w:pos="8306"/>
      </w:tabs>
      <w:jc w:val="center"/>
      <w:rPr>
        <w:b/>
        <w:i/>
        <w:color w:val="000000"/>
        <w:sz w:val="20"/>
        <w:szCs w:val="20"/>
      </w:rPr>
    </w:pPr>
    <w:r>
      <w:rPr>
        <w:b/>
        <w:i/>
        <w:color w:val="000000"/>
        <w:sz w:val="20"/>
        <w:szCs w:val="20"/>
      </w:rPr>
      <w:t>Draft Minutes November 2011 P</w:t>
    </w:r>
    <w:r>
      <w:rPr>
        <w:color w:val="000000"/>
      </w:rPr>
      <w:fldChar w:fldCharType="begin"/>
    </w:r>
    <w:r>
      <w:rPr>
        <w:color w:val="000000"/>
      </w:rPr>
      <w:instrText>PAGE</w:instrText>
    </w:r>
    <w:r>
      <w:rPr>
        <w:color w:val="000000"/>
      </w:rPr>
      <w:fldChar w:fldCharType="end"/>
    </w:r>
    <w:r>
      <w:rPr>
        <w:b/>
        <w:i/>
        <w:color w:val="000000"/>
        <w:sz w:val="20"/>
        <w:szCs w:val="20"/>
      </w:rPr>
      <w:t>BAC Meeting</w:t>
    </w:r>
  </w:p>
  <w:p w14:paraId="009F59D7" w14:textId="77777777" w:rsidR="00D50457" w:rsidRDefault="00D50457">
    <w:pPr>
      <w:pBdr>
        <w:top w:val="nil"/>
        <w:left w:val="nil"/>
        <w:bottom w:val="nil"/>
        <w:right w:val="nil"/>
        <w:between w:val="nil"/>
      </w:pBdr>
      <w:tabs>
        <w:tab w:val="center" w:pos="4153"/>
        <w:tab w:val="right" w:pos="8306"/>
      </w:tabs>
      <w:jc w:val="center"/>
      <w:rPr>
        <w:b/>
        <w:i/>
        <w:color w:val="000000"/>
        <w:sz w:val="20"/>
        <w:szCs w:val="20"/>
      </w:rPr>
    </w:pPr>
    <w:r>
      <w:rPr>
        <w:b/>
        <w:i/>
        <w:color w:val="000000"/>
        <w:sz w:val="20"/>
        <w:szCs w:val="20"/>
      </w:rPr>
      <w:t>Commercial-in-Confidence</w:t>
    </w:r>
  </w:p>
  <w:p w14:paraId="7C4649B8" w14:textId="77777777" w:rsidR="00D50457" w:rsidRDefault="00D504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D13FB" w14:textId="77777777" w:rsidR="00D50457" w:rsidRDefault="00D50457">
      <w:r>
        <w:separator/>
      </w:r>
    </w:p>
  </w:footnote>
  <w:footnote w:type="continuationSeparator" w:id="0">
    <w:p w14:paraId="39B62867" w14:textId="77777777" w:rsidR="00D50457" w:rsidRDefault="00D5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86B5E" w14:textId="77777777" w:rsidR="00D50457" w:rsidRDefault="00D50457">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a8"/>
      <w:tblW w:w="8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9"/>
      <w:gridCol w:w="1252"/>
      <w:gridCol w:w="3731"/>
    </w:tblGrid>
    <w:tr w:rsidR="00D50457" w14:paraId="2E47E7FB" w14:textId="77777777">
      <w:trPr>
        <w:trHeight w:val="151"/>
      </w:trPr>
      <w:tc>
        <w:tcPr>
          <w:tcW w:w="3929" w:type="dxa"/>
          <w:tcBorders>
            <w:top w:val="nil"/>
            <w:left w:val="nil"/>
            <w:bottom w:val="single" w:sz="4" w:space="0" w:color="4F81BD"/>
            <w:right w:val="nil"/>
          </w:tcBorders>
        </w:tcPr>
        <w:p w14:paraId="53EBB4E9"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rFonts w:ascii="Cambria" w:eastAsia="Cambria" w:hAnsi="Cambria" w:cs="Cambria"/>
              <w:b/>
              <w:color w:val="4F81BD"/>
            </w:rPr>
          </w:pPr>
        </w:p>
      </w:tc>
      <w:tc>
        <w:tcPr>
          <w:tcW w:w="1252" w:type="dxa"/>
          <w:vMerge w:val="restart"/>
          <w:vAlign w:val="center"/>
        </w:tcPr>
        <w:p w14:paraId="14883E97" w14:textId="77777777" w:rsidR="00D50457" w:rsidRDefault="00D50457">
          <w:pPr>
            <w:pBdr>
              <w:top w:val="nil"/>
              <w:left w:val="nil"/>
              <w:bottom w:val="nil"/>
              <w:right w:val="nil"/>
              <w:between w:val="nil"/>
            </w:pBdr>
            <w:spacing w:before="0" w:after="0"/>
            <w:jc w:val="left"/>
            <w:rPr>
              <w:rFonts w:ascii="Cambria" w:eastAsia="Cambria" w:hAnsi="Cambria" w:cs="Cambria"/>
              <w:color w:val="4F81BD"/>
              <w:sz w:val="22"/>
              <w:szCs w:val="22"/>
            </w:rPr>
          </w:pPr>
          <w:r>
            <w:rPr>
              <w:rFonts w:ascii="Cambria" w:eastAsia="Cambria" w:hAnsi="Cambria" w:cs="Cambria"/>
              <w:color w:val="4F81BD"/>
              <w:sz w:val="22"/>
              <w:szCs w:val="22"/>
            </w:rPr>
            <w:t>[Type text]</w:t>
          </w:r>
        </w:p>
      </w:tc>
      <w:tc>
        <w:tcPr>
          <w:tcW w:w="3731" w:type="dxa"/>
          <w:tcBorders>
            <w:top w:val="nil"/>
            <w:left w:val="nil"/>
            <w:bottom w:val="single" w:sz="4" w:space="0" w:color="4F81BD"/>
            <w:right w:val="nil"/>
          </w:tcBorders>
        </w:tcPr>
        <w:p w14:paraId="49D5E891"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rFonts w:ascii="Cambria" w:eastAsia="Cambria" w:hAnsi="Cambria" w:cs="Cambria"/>
              <w:b/>
              <w:color w:val="4F81BD"/>
            </w:rPr>
          </w:pPr>
        </w:p>
      </w:tc>
    </w:tr>
    <w:tr w:rsidR="00D50457" w14:paraId="7B5929EB" w14:textId="77777777">
      <w:trPr>
        <w:trHeight w:val="150"/>
      </w:trPr>
      <w:tc>
        <w:tcPr>
          <w:tcW w:w="3929" w:type="dxa"/>
          <w:tcBorders>
            <w:top w:val="single" w:sz="4" w:space="0" w:color="4F81BD"/>
            <w:left w:val="nil"/>
            <w:bottom w:val="nil"/>
            <w:right w:val="nil"/>
          </w:tcBorders>
        </w:tcPr>
        <w:p w14:paraId="179B51D7"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rFonts w:ascii="Cambria" w:eastAsia="Cambria" w:hAnsi="Cambria" w:cs="Cambria"/>
              <w:b/>
              <w:color w:val="4F81BD"/>
            </w:rPr>
          </w:pPr>
        </w:p>
      </w:tc>
      <w:tc>
        <w:tcPr>
          <w:tcW w:w="1252" w:type="dxa"/>
          <w:vMerge/>
          <w:vAlign w:val="center"/>
        </w:tcPr>
        <w:p w14:paraId="3C9F6DC9" w14:textId="77777777" w:rsidR="00D50457" w:rsidRDefault="00D50457">
          <w:pPr>
            <w:widowControl w:val="0"/>
            <w:pBdr>
              <w:top w:val="nil"/>
              <w:left w:val="nil"/>
              <w:bottom w:val="nil"/>
              <w:right w:val="nil"/>
              <w:between w:val="nil"/>
            </w:pBdr>
            <w:spacing w:before="0" w:after="0" w:line="276" w:lineRule="auto"/>
            <w:jc w:val="left"/>
            <w:rPr>
              <w:rFonts w:ascii="Cambria" w:eastAsia="Cambria" w:hAnsi="Cambria" w:cs="Cambria"/>
              <w:b/>
              <w:color w:val="4F81BD"/>
            </w:rPr>
          </w:pPr>
        </w:p>
      </w:tc>
      <w:tc>
        <w:tcPr>
          <w:tcW w:w="3731" w:type="dxa"/>
          <w:tcBorders>
            <w:top w:val="single" w:sz="4" w:space="0" w:color="4F81BD"/>
            <w:left w:val="nil"/>
            <w:bottom w:val="nil"/>
            <w:right w:val="nil"/>
          </w:tcBorders>
        </w:tcPr>
        <w:p w14:paraId="4B439933" w14:textId="77777777" w:rsidR="00D50457" w:rsidRDefault="00D50457">
          <w:pPr>
            <w:keepNext/>
            <w:pBdr>
              <w:top w:val="nil"/>
              <w:left w:val="nil"/>
              <w:bottom w:val="nil"/>
              <w:right w:val="nil"/>
              <w:between w:val="nil"/>
            </w:pBdr>
            <w:tabs>
              <w:tab w:val="center" w:pos="4513"/>
              <w:tab w:val="right" w:pos="9026"/>
            </w:tabs>
            <w:spacing w:before="0" w:after="0" w:line="276" w:lineRule="auto"/>
            <w:jc w:val="center"/>
            <w:rPr>
              <w:rFonts w:ascii="Cambria" w:eastAsia="Cambria" w:hAnsi="Cambria" w:cs="Cambria"/>
              <w:b/>
              <w:color w:val="4F81BD"/>
            </w:rPr>
          </w:pPr>
        </w:p>
      </w:tc>
    </w:tr>
  </w:tbl>
  <w:p w14:paraId="26AA07E5" w14:textId="77777777" w:rsidR="00D50457" w:rsidRDefault="00D50457">
    <w:pPr>
      <w:keepNext/>
      <w:pBdr>
        <w:top w:val="nil"/>
        <w:left w:val="nil"/>
        <w:bottom w:val="nil"/>
        <w:right w:val="nil"/>
        <w:between w:val="nil"/>
      </w:pBdr>
      <w:tabs>
        <w:tab w:val="center" w:pos="4513"/>
        <w:tab w:val="right" w:pos="9026"/>
      </w:tabs>
      <w:jc w:val="center"/>
      <w:rPr>
        <w:color w:val="000000"/>
      </w:rPr>
    </w:pPr>
  </w:p>
  <w:p w14:paraId="63FDA8D7" w14:textId="77777777" w:rsidR="00D50457" w:rsidRDefault="00D504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8E612" w14:textId="63FF9334" w:rsidR="00D50457" w:rsidRDefault="00D50457" w:rsidP="00E73939">
    <w:pPr>
      <w:keepNext/>
      <w:pBdr>
        <w:top w:val="nil"/>
        <w:left w:val="nil"/>
        <w:bottom w:val="nil"/>
        <w:right w:val="nil"/>
        <w:between w:val="nil"/>
      </w:pBdr>
      <w:tabs>
        <w:tab w:val="center" w:pos="4513"/>
        <w:tab w:val="right" w:pos="9026"/>
      </w:tabs>
      <w:jc w:val="right"/>
      <w:rPr>
        <w:rFonts w:ascii="Arial" w:eastAsia="Arial" w:hAnsi="Arial" w:cs="Arial"/>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26E10" w14:textId="77777777" w:rsidR="003703B0" w:rsidRDefault="00370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25672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76C6E"/>
    <w:multiLevelType w:val="multilevel"/>
    <w:tmpl w:val="F60A7126"/>
    <w:lvl w:ilvl="0">
      <w:start w:val="4"/>
      <w:numFmt w:val="decimal"/>
      <w:lvlText w:val="%1."/>
      <w:lvlJc w:val="left"/>
      <w:pPr>
        <w:ind w:left="540" w:hanging="540"/>
      </w:pPr>
      <w:rPr>
        <w:rFonts w:ascii="Calibri" w:hAnsi="Calibri" w:cs="Times New Roman" w:hint="default"/>
      </w:rPr>
    </w:lvl>
    <w:lvl w:ilvl="1">
      <w:start w:val="4"/>
      <w:numFmt w:val="decimal"/>
      <w:lvlText w:val="%1.%2."/>
      <w:lvlJc w:val="left"/>
      <w:pPr>
        <w:ind w:left="720" w:hanging="720"/>
      </w:pPr>
      <w:rPr>
        <w:rFonts w:ascii="Calibri" w:hAnsi="Calibri" w:cs="Times New Roman" w:hint="default"/>
      </w:rPr>
    </w:lvl>
    <w:lvl w:ilvl="2">
      <w:start w:val="2"/>
      <w:numFmt w:val="decimal"/>
      <w:lvlText w:val="%1.%2.%3."/>
      <w:lvlJc w:val="left"/>
      <w:pPr>
        <w:ind w:left="720" w:hanging="720"/>
      </w:pPr>
      <w:rPr>
        <w:rFonts w:ascii="Calibri" w:hAnsi="Calibri" w:cs="Times New Roman" w:hint="default"/>
      </w:rPr>
    </w:lvl>
    <w:lvl w:ilvl="3">
      <w:start w:val="1"/>
      <w:numFmt w:val="decimal"/>
      <w:lvlText w:val="%1.%2.%3.%4."/>
      <w:lvlJc w:val="left"/>
      <w:pPr>
        <w:ind w:left="1080" w:hanging="108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440" w:hanging="144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800" w:hanging="1800"/>
      </w:pPr>
      <w:rPr>
        <w:rFonts w:ascii="Calibri" w:hAnsi="Calibri" w:cs="Times New Roman" w:hint="default"/>
      </w:rPr>
    </w:lvl>
    <w:lvl w:ilvl="8">
      <w:start w:val="1"/>
      <w:numFmt w:val="decimal"/>
      <w:lvlText w:val="%1.%2.%3.%4.%5.%6.%7.%8.%9."/>
      <w:lvlJc w:val="left"/>
      <w:pPr>
        <w:ind w:left="2160" w:hanging="2160"/>
      </w:pPr>
      <w:rPr>
        <w:rFonts w:ascii="Calibri" w:hAnsi="Calibri" w:cs="Times New Roman" w:hint="default"/>
      </w:rPr>
    </w:lvl>
  </w:abstractNum>
  <w:abstractNum w:abstractNumId="2" w15:restartNumberingAfterBreak="0">
    <w:nsid w:val="0950016E"/>
    <w:multiLevelType w:val="hybridMultilevel"/>
    <w:tmpl w:val="140A2D12"/>
    <w:lvl w:ilvl="0" w:tplc="0C09000F">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0A010310"/>
    <w:multiLevelType w:val="hybridMultilevel"/>
    <w:tmpl w:val="3822EC3C"/>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15:restartNumberingAfterBreak="0">
    <w:nsid w:val="0C2769F4"/>
    <w:multiLevelType w:val="hybridMultilevel"/>
    <w:tmpl w:val="08CA9928"/>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44DCC"/>
    <w:multiLevelType w:val="multilevel"/>
    <w:tmpl w:val="84DEC8CC"/>
    <w:lvl w:ilvl="0">
      <w:start w:val="2"/>
      <w:numFmt w:val="decimal"/>
      <w:lvlText w:val="%1."/>
      <w:lvlJc w:val="left"/>
      <w:pPr>
        <w:ind w:left="400" w:hanging="40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DC1660A"/>
    <w:multiLevelType w:val="hybridMultilevel"/>
    <w:tmpl w:val="D6A03C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185AA9"/>
    <w:multiLevelType w:val="hybridMultilevel"/>
    <w:tmpl w:val="DD42C536"/>
    <w:lvl w:ilvl="0" w:tplc="12024C7A">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EF87268"/>
    <w:multiLevelType w:val="hybridMultilevel"/>
    <w:tmpl w:val="9B50B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0D462D"/>
    <w:multiLevelType w:val="hybridMultilevel"/>
    <w:tmpl w:val="498631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8E42AA3"/>
    <w:multiLevelType w:val="hybridMultilevel"/>
    <w:tmpl w:val="B74EC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E710F"/>
    <w:multiLevelType w:val="multilevel"/>
    <w:tmpl w:val="BEF8AC0A"/>
    <w:lvl w:ilvl="0">
      <w:start w:val="1"/>
      <w:numFmt w:val="decimal"/>
      <w:lvlText w:val="%1."/>
      <w:lvlJc w:val="right"/>
      <w:pPr>
        <w:ind w:left="720" w:hanging="720"/>
      </w:pPr>
      <w:rPr>
        <w:b/>
        <w:color w:val="000000"/>
      </w:rPr>
    </w:lvl>
    <w:lvl w:ilvl="1">
      <w:start w:val="1"/>
      <w:numFmt w:val="decimal"/>
      <w:lvlText w:val="%1.%2."/>
      <w:lvlJc w:val="right"/>
      <w:pPr>
        <w:ind w:left="720" w:hanging="720"/>
      </w:pPr>
      <w:rPr>
        <w:b w:val="0"/>
        <w:i w:val="0"/>
        <w:color w:val="000000"/>
        <w:sz w:val="24"/>
        <w:szCs w:val="24"/>
      </w:rPr>
    </w:lvl>
    <w:lvl w:ilvl="2">
      <w:start w:val="1"/>
      <w:numFmt w:val="decimal"/>
      <w:lvlText w:val="%1.%2.%3."/>
      <w:lvlJc w:val="right"/>
      <w:pPr>
        <w:ind w:left="720" w:hanging="720"/>
      </w:pPr>
    </w:lvl>
    <w:lvl w:ilvl="3">
      <w:start w:val="1"/>
      <w:numFmt w:val="decimal"/>
      <w:lvlText w:val="%1.%2.%3.%4."/>
      <w:lvlJc w:val="right"/>
      <w:pPr>
        <w:ind w:left="1080" w:hanging="1080"/>
      </w:pPr>
    </w:lvl>
    <w:lvl w:ilvl="4">
      <w:start w:val="1"/>
      <w:numFmt w:val="decimal"/>
      <w:lvlText w:val="%1.%2.%3.%4.%5."/>
      <w:lvlJc w:val="right"/>
      <w:pPr>
        <w:ind w:left="1080" w:hanging="1080"/>
      </w:pPr>
    </w:lvl>
    <w:lvl w:ilvl="5">
      <w:start w:val="1"/>
      <w:numFmt w:val="decimal"/>
      <w:lvlText w:val="%1.%2.%3.%4.%5.%6."/>
      <w:lvlJc w:val="right"/>
      <w:pPr>
        <w:ind w:left="1440" w:hanging="1440"/>
      </w:pPr>
    </w:lvl>
    <w:lvl w:ilvl="6">
      <w:start w:val="1"/>
      <w:numFmt w:val="decimal"/>
      <w:lvlText w:val="%1.%2.%3.%4.%5.%6.%7."/>
      <w:lvlJc w:val="right"/>
      <w:pPr>
        <w:ind w:left="1440" w:hanging="1440"/>
      </w:pPr>
    </w:lvl>
    <w:lvl w:ilvl="7">
      <w:start w:val="1"/>
      <w:numFmt w:val="decimal"/>
      <w:lvlText w:val="%1.%2.%3.%4.%5.%6.%7.%8."/>
      <w:lvlJc w:val="right"/>
      <w:pPr>
        <w:ind w:left="1800" w:hanging="1800"/>
      </w:pPr>
    </w:lvl>
    <w:lvl w:ilvl="8">
      <w:start w:val="1"/>
      <w:numFmt w:val="decimal"/>
      <w:lvlText w:val="%1.%2.%3.%4.%5.%6.%7.%8.%9."/>
      <w:lvlJc w:val="right"/>
      <w:pPr>
        <w:ind w:left="1800" w:hanging="1800"/>
      </w:pPr>
    </w:lvl>
  </w:abstractNum>
  <w:abstractNum w:abstractNumId="12" w15:restartNumberingAfterBreak="0">
    <w:nsid w:val="1FBC1645"/>
    <w:multiLevelType w:val="hybridMultilevel"/>
    <w:tmpl w:val="343A0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12560"/>
    <w:multiLevelType w:val="hybridMultilevel"/>
    <w:tmpl w:val="1EE21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BB7222"/>
    <w:multiLevelType w:val="hybridMultilevel"/>
    <w:tmpl w:val="1144BD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F92825"/>
    <w:multiLevelType w:val="hybridMultilevel"/>
    <w:tmpl w:val="BC988496"/>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4295D"/>
    <w:multiLevelType w:val="hybridMultilevel"/>
    <w:tmpl w:val="1EFE3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A965648"/>
    <w:multiLevelType w:val="multilevel"/>
    <w:tmpl w:val="C64E56FE"/>
    <w:lvl w:ilvl="0">
      <w:start w:val="1"/>
      <w:numFmt w:val="decimal"/>
      <w:pStyle w:val="ProcedureStep"/>
      <w:lvlText w:val="%1."/>
      <w:lvlJc w:val="left"/>
      <w:pPr>
        <w:tabs>
          <w:tab w:val="num" w:pos="720"/>
        </w:tabs>
        <w:ind w:left="720" w:hanging="720"/>
      </w:pPr>
    </w:lvl>
    <w:lvl w:ilvl="1">
      <w:start w:val="1"/>
      <w:numFmt w:val="decimal"/>
      <w:pStyle w:val="Lists"/>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C490ED2"/>
    <w:multiLevelType w:val="multilevel"/>
    <w:tmpl w:val="8820CE0C"/>
    <w:lvl w:ilvl="0">
      <w:start w:val="1"/>
      <w:numFmt w:val="decimal"/>
      <w:lvlText w:val="%1"/>
      <w:lvlJc w:val="left"/>
      <w:pPr>
        <w:ind w:left="430" w:hanging="430"/>
      </w:pPr>
      <w:rPr>
        <w:rFonts w:hint="default"/>
        <w:b w:val="0"/>
      </w:rPr>
    </w:lvl>
    <w:lvl w:ilvl="1">
      <w:start w:val="1"/>
      <w:numFmt w:val="decimal"/>
      <w:lvlText w:val="%1.%2"/>
      <w:lvlJc w:val="left"/>
      <w:pPr>
        <w:ind w:left="4" w:hanging="430"/>
      </w:pPr>
      <w:rPr>
        <w:rFonts w:hint="default"/>
        <w:b w:val="0"/>
      </w:rPr>
    </w:lvl>
    <w:lvl w:ilvl="2">
      <w:start w:val="1"/>
      <w:numFmt w:val="decimal"/>
      <w:lvlText w:val="%1.%2.%3"/>
      <w:lvlJc w:val="left"/>
      <w:pPr>
        <w:ind w:left="-132" w:hanging="720"/>
      </w:pPr>
      <w:rPr>
        <w:rFonts w:hint="default"/>
        <w:b w:val="0"/>
      </w:rPr>
    </w:lvl>
    <w:lvl w:ilvl="3">
      <w:start w:val="1"/>
      <w:numFmt w:val="decimal"/>
      <w:lvlText w:val="%1.%2.%3.%4"/>
      <w:lvlJc w:val="left"/>
      <w:pPr>
        <w:ind w:left="-558" w:hanging="720"/>
      </w:pPr>
      <w:rPr>
        <w:rFonts w:hint="default"/>
        <w:b w:val="0"/>
      </w:rPr>
    </w:lvl>
    <w:lvl w:ilvl="4">
      <w:start w:val="1"/>
      <w:numFmt w:val="decimal"/>
      <w:lvlText w:val="%1.%2.%3.%4.%5"/>
      <w:lvlJc w:val="left"/>
      <w:pPr>
        <w:ind w:left="-624" w:hanging="1080"/>
      </w:pPr>
      <w:rPr>
        <w:rFonts w:hint="default"/>
        <w:b w:val="0"/>
      </w:rPr>
    </w:lvl>
    <w:lvl w:ilvl="5">
      <w:start w:val="1"/>
      <w:numFmt w:val="decimal"/>
      <w:lvlText w:val="%1.%2.%3.%4.%5.%6"/>
      <w:lvlJc w:val="left"/>
      <w:pPr>
        <w:ind w:left="-1050" w:hanging="1080"/>
      </w:pPr>
      <w:rPr>
        <w:rFonts w:hint="default"/>
        <w:b w:val="0"/>
      </w:rPr>
    </w:lvl>
    <w:lvl w:ilvl="6">
      <w:start w:val="1"/>
      <w:numFmt w:val="decimal"/>
      <w:lvlText w:val="%1.%2.%3.%4.%5.%6.%7"/>
      <w:lvlJc w:val="left"/>
      <w:pPr>
        <w:ind w:left="-1116" w:hanging="1440"/>
      </w:pPr>
      <w:rPr>
        <w:rFonts w:hint="default"/>
        <w:b w:val="0"/>
      </w:rPr>
    </w:lvl>
    <w:lvl w:ilvl="7">
      <w:start w:val="1"/>
      <w:numFmt w:val="decimal"/>
      <w:lvlText w:val="%1.%2.%3.%4.%5.%6.%7.%8"/>
      <w:lvlJc w:val="left"/>
      <w:pPr>
        <w:ind w:left="-1542" w:hanging="1440"/>
      </w:pPr>
      <w:rPr>
        <w:rFonts w:hint="default"/>
        <w:b w:val="0"/>
      </w:rPr>
    </w:lvl>
    <w:lvl w:ilvl="8">
      <w:start w:val="1"/>
      <w:numFmt w:val="decimal"/>
      <w:lvlText w:val="%1.%2.%3.%4.%5.%6.%7.%8.%9"/>
      <w:lvlJc w:val="left"/>
      <w:pPr>
        <w:ind w:left="-1608" w:hanging="1800"/>
      </w:pPr>
      <w:rPr>
        <w:rFonts w:hint="default"/>
        <w:b w:val="0"/>
      </w:rPr>
    </w:lvl>
  </w:abstractNum>
  <w:abstractNum w:abstractNumId="19" w15:restartNumberingAfterBreak="0">
    <w:nsid w:val="41017911"/>
    <w:multiLevelType w:val="hybridMultilevel"/>
    <w:tmpl w:val="BB10FACE"/>
    <w:lvl w:ilvl="0" w:tplc="12024C7A">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3A83570"/>
    <w:multiLevelType w:val="hybridMultilevel"/>
    <w:tmpl w:val="82DEF41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BD73ED"/>
    <w:multiLevelType w:val="hybridMultilevel"/>
    <w:tmpl w:val="44A49DB8"/>
    <w:lvl w:ilvl="0" w:tplc="A21C7C32">
      <w:numFmt w:val="bullet"/>
      <w:lvlText w:val="•"/>
      <w:lvlJc w:val="left"/>
      <w:pPr>
        <w:ind w:left="1440" w:hanging="360"/>
      </w:pPr>
      <w:rPr>
        <w:rFonts w:ascii="Calibri" w:eastAsia="Calibr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2" w15:restartNumberingAfterBreak="0">
    <w:nsid w:val="48F52A20"/>
    <w:multiLevelType w:val="multilevel"/>
    <w:tmpl w:val="446C595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3" w15:restartNumberingAfterBreak="0">
    <w:nsid w:val="494C2AAC"/>
    <w:multiLevelType w:val="hybridMultilevel"/>
    <w:tmpl w:val="9120FFC8"/>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86000"/>
    <w:multiLevelType w:val="multilevel"/>
    <w:tmpl w:val="493CE556"/>
    <w:lvl w:ilvl="0">
      <w:start w:val="1"/>
      <w:numFmt w:val="bullet"/>
      <w:pStyle w:val="2-SectionHeading"/>
      <w:lvlText w:val="-"/>
      <w:lvlJc w:val="left"/>
      <w:pPr>
        <w:ind w:left="1440" w:hanging="360"/>
      </w:pPr>
      <w:rPr>
        <w:u w:val="none"/>
      </w:rPr>
    </w:lvl>
    <w:lvl w:ilvl="1">
      <w:start w:val="1"/>
      <w:numFmt w:val="bullet"/>
      <w:pStyle w:val="3Bodytex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5915BC5"/>
    <w:multiLevelType w:val="hybridMultilevel"/>
    <w:tmpl w:val="8604E1D8"/>
    <w:lvl w:ilvl="0" w:tplc="46245BC0">
      <w:start w:val="1"/>
      <w:numFmt w:val="bullet"/>
      <w:lvlText w:val=""/>
      <w:lvlJc w:val="left"/>
      <w:pPr>
        <w:ind w:left="2160" w:hanging="360"/>
      </w:pPr>
      <w:rPr>
        <w:rFonts w:ascii="Symbol" w:hAnsi="Symbol" w:hint="default"/>
        <w:sz w:val="24"/>
        <w:szCs w:val="24"/>
      </w:rPr>
    </w:lvl>
    <w:lvl w:ilvl="1" w:tplc="28BC3446">
      <w:start w:val="1"/>
      <w:numFmt w:val="bullet"/>
      <w:lvlText w:val="o"/>
      <w:lvlJc w:val="left"/>
      <w:pPr>
        <w:ind w:left="2880" w:hanging="360"/>
      </w:pPr>
      <w:rPr>
        <w:rFonts w:ascii="Courier New" w:hAnsi="Courier New" w:cs="Courier New" w:hint="default"/>
      </w:rPr>
    </w:lvl>
    <w:lvl w:ilvl="2" w:tplc="E2EE3FFC">
      <w:start w:val="1"/>
      <w:numFmt w:val="bullet"/>
      <w:lvlText w:val=""/>
      <w:lvlJc w:val="left"/>
      <w:pPr>
        <w:ind w:left="3600" w:hanging="360"/>
      </w:pPr>
      <w:rPr>
        <w:rFonts w:ascii="Wingdings" w:hAnsi="Wingdings" w:hint="default"/>
      </w:rPr>
    </w:lvl>
    <w:lvl w:ilvl="3" w:tplc="30AECEAA" w:tentative="1">
      <w:start w:val="1"/>
      <w:numFmt w:val="bullet"/>
      <w:lvlText w:val=""/>
      <w:lvlJc w:val="left"/>
      <w:pPr>
        <w:ind w:left="4320" w:hanging="360"/>
      </w:pPr>
      <w:rPr>
        <w:rFonts w:ascii="Symbol" w:hAnsi="Symbol" w:hint="default"/>
      </w:rPr>
    </w:lvl>
    <w:lvl w:ilvl="4" w:tplc="FED270C8" w:tentative="1">
      <w:start w:val="1"/>
      <w:numFmt w:val="bullet"/>
      <w:lvlText w:val="o"/>
      <w:lvlJc w:val="left"/>
      <w:pPr>
        <w:ind w:left="5040" w:hanging="360"/>
      </w:pPr>
      <w:rPr>
        <w:rFonts w:ascii="Courier New" w:hAnsi="Courier New" w:cs="Courier New" w:hint="default"/>
      </w:rPr>
    </w:lvl>
    <w:lvl w:ilvl="5" w:tplc="3D0C6A5C" w:tentative="1">
      <w:start w:val="1"/>
      <w:numFmt w:val="bullet"/>
      <w:lvlText w:val=""/>
      <w:lvlJc w:val="left"/>
      <w:pPr>
        <w:ind w:left="5760" w:hanging="360"/>
      </w:pPr>
      <w:rPr>
        <w:rFonts w:ascii="Wingdings" w:hAnsi="Wingdings" w:hint="default"/>
      </w:rPr>
    </w:lvl>
    <w:lvl w:ilvl="6" w:tplc="B42EFA50" w:tentative="1">
      <w:start w:val="1"/>
      <w:numFmt w:val="bullet"/>
      <w:lvlText w:val=""/>
      <w:lvlJc w:val="left"/>
      <w:pPr>
        <w:ind w:left="6480" w:hanging="360"/>
      </w:pPr>
      <w:rPr>
        <w:rFonts w:ascii="Symbol" w:hAnsi="Symbol" w:hint="default"/>
      </w:rPr>
    </w:lvl>
    <w:lvl w:ilvl="7" w:tplc="89F4D5E6" w:tentative="1">
      <w:start w:val="1"/>
      <w:numFmt w:val="bullet"/>
      <w:lvlText w:val="o"/>
      <w:lvlJc w:val="left"/>
      <w:pPr>
        <w:ind w:left="7200" w:hanging="360"/>
      </w:pPr>
      <w:rPr>
        <w:rFonts w:ascii="Courier New" w:hAnsi="Courier New" w:cs="Courier New" w:hint="default"/>
      </w:rPr>
    </w:lvl>
    <w:lvl w:ilvl="8" w:tplc="6AE8C0A8" w:tentative="1">
      <w:start w:val="1"/>
      <w:numFmt w:val="bullet"/>
      <w:lvlText w:val=""/>
      <w:lvlJc w:val="left"/>
      <w:pPr>
        <w:ind w:left="7920" w:hanging="360"/>
      </w:pPr>
      <w:rPr>
        <w:rFonts w:ascii="Wingdings" w:hAnsi="Wingdings" w:hint="default"/>
      </w:rPr>
    </w:lvl>
  </w:abstractNum>
  <w:abstractNum w:abstractNumId="26" w15:restartNumberingAfterBreak="0">
    <w:nsid w:val="5D4A17AA"/>
    <w:multiLevelType w:val="hybridMultilevel"/>
    <w:tmpl w:val="0F22F8F0"/>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1B2327"/>
    <w:multiLevelType w:val="hybridMultilevel"/>
    <w:tmpl w:val="1144BD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430E7B"/>
    <w:multiLevelType w:val="hybridMultilevel"/>
    <w:tmpl w:val="9320DC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4D19C5"/>
    <w:multiLevelType w:val="multilevel"/>
    <w:tmpl w:val="B9E4DB7A"/>
    <w:lvl w:ilvl="0">
      <w:start w:val="1"/>
      <w:numFmt w:val="bullet"/>
      <w:lvlText w:val="●"/>
      <w:lvlJc w:val="left"/>
      <w:pPr>
        <w:ind w:left="720" w:hanging="360"/>
      </w:pPr>
      <w:rPr>
        <w:rFonts w:ascii="Arial" w:eastAsia="Arial" w:hAnsi="Arial" w:cs="Arial"/>
        <w:sz w:val="26"/>
        <w:szCs w:val="26"/>
        <w:u w:val="none"/>
      </w:rPr>
    </w:lvl>
    <w:lvl w:ilvl="1">
      <w:start w:val="1"/>
      <w:numFmt w:val="bullet"/>
      <w:pStyle w:val="3-BodyTex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BA3737"/>
    <w:multiLevelType w:val="hybridMultilevel"/>
    <w:tmpl w:val="CFD6CA7E"/>
    <w:lvl w:ilvl="0" w:tplc="12024C7A">
      <w:start w:val="3"/>
      <w:numFmt w:val="bullet"/>
      <w:lvlText w:val="-"/>
      <w:lvlJc w:val="left"/>
      <w:pPr>
        <w:ind w:left="578" w:hanging="360"/>
      </w:pPr>
      <w:rPr>
        <w:rFonts w:ascii="Calibri" w:eastAsiaTheme="minorHAnsi" w:hAnsi="Calibri" w:cs="Calibri"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31" w15:restartNumberingAfterBreak="0">
    <w:nsid w:val="6C570992"/>
    <w:multiLevelType w:val="hybridMultilevel"/>
    <w:tmpl w:val="9312BBAA"/>
    <w:lvl w:ilvl="0" w:tplc="4BD6A91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096BE3"/>
    <w:multiLevelType w:val="hybridMultilevel"/>
    <w:tmpl w:val="B73C22EC"/>
    <w:lvl w:ilvl="0" w:tplc="7040EBB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F562C7"/>
    <w:multiLevelType w:val="hybridMultilevel"/>
    <w:tmpl w:val="E19A7B0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F86F6D"/>
    <w:multiLevelType w:val="hybridMultilevel"/>
    <w:tmpl w:val="05D8A1FA"/>
    <w:lvl w:ilvl="0" w:tplc="4BD6A91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AC14E2"/>
    <w:multiLevelType w:val="multilevel"/>
    <w:tmpl w:val="ABCAD5AC"/>
    <w:lvl w:ilvl="0">
      <w:start w:val="4"/>
      <w:numFmt w:val="decimal"/>
      <w:lvlText w:val="%1."/>
      <w:lvlJc w:val="left"/>
      <w:pPr>
        <w:ind w:left="400" w:hanging="40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76590846"/>
    <w:multiLevelType w:val="hybridMultilevel"/>
    <w:tmpl w:val="3C12CFAE"/>
    <w:lvl w:ilvl="0" w:tplc="46245BC0">
      <w:start w:val="1"/>
      <w:numFmt w:val="bullet"/>
      <w:lvlText w:val=""/>
      <w:lvlJc w:val="left"/>
      <w:pPr>
        <w:ind w:left="2160" w:hanging="360"/>
      </w:pPr>
      <w:rPr>
        <w:rFonts w:ascii="Symbol" w:hAnsi="Symbol" w:hint="default"/>
        <w:sz w:val="24"/>
        <w:szCs w:val="24"/>
      </w:rPr>
    </w:lvl>
    <w:lvl w:ilvl="1" w:tplc="0C090001">
      <w:start w:val="1"/>
      <w:numFmt w:val="bullet"/>
      <w:lvlText w:val=""/>
      <w:lvlJc w:val="left"/>
      <w:pPr>
        <w:ind w:left="2880" w:hanging="360"/>
      </w:pPr>
      <w:rPr>
        <w:rFonts w:ascii="Symbol" w:hAnsi="Symbol" w:hint="default"/>
      </w:rPr>
    </w:lvl>
    <w:lvl w:ilvl="2" w:tplc="E2EE3FFC">
      <w:start w:val="1"/>
      <w:numFmt w:val="bullet"/>
      <w:lvlText w:val=""/>
      <w:lvlJc w:val="left"/>
      <w:pPr>
        <w:ind w:left="3600" w:hanging="360"/>
      </w:pPr>
      <w:rPr>
        <w:rFonts w:ascii="Wingdings" w:hAnsi="Wingdings" w:hint="default"/>
      </w:rPr>
    </w:lvl>
    <w:lvl w:ilvl="3" w:tplc="30AECEAA" w:tentative="1">
      <w:start w:val="1"/>
      <w:numFmt w:val="bullet"/>
      <w:lvlText w:val=""/>
      <w:lvlJc w:val="left"/>
      <w:pPr>
        <w:ind w:left="4320" w:hanging="360"/>
      </w:pPr>
      <w:rPr>
        <w:rFonts w:ascii="Symbol" w:hAnsi="Symbol" w:hint="default"/>
      </w:rPr>
    </w:lvl>
    <w:lvl w:ilvl="4" w:tplc="FED270C8" w:tentative="1">
      <w:start w:val="1"/>
      <w:numFmt w:val="bullet"/>
      <w:lvlText w:val="o"/>
      <w:lvlJc w:val="left"/>
      <w:pPr>
        <w:ind w:left="5040" w:hanging="360"/>
      </w:pPr>
      <w:rPr>
        <w:rFonts w:ascii="Courier New" w:hAnsi="Courier New" w:cs="Courier New" w:hint="default"/>
      </w:rPr>
    </w:lvl>
    <w:lvl w:ilvl="5" w:tplc="3D0C6A5C" w:tentative="1">
      <w:start w:val="1"/>
      <w:numFmt w:val="bullet"/>
      <w:lvlText w:val=""/>
      <w:lvlJc w:val="left"/>
      <w:pPr>
        <w:ind w:left="5760" w:hanging="360"/>
      </w:pPr>
      <w:rPr>
        <w:rFonts w:ascii="Wingdings" w:hAnsi="Wingdings" w:hint="default"/>
      </w:rPr>
    </w:lvl>
    <w:lvl w:ilvl="6" w:tplc="B42EFA50" w:tentative="1">
      <w:start w:val="1"/>
      <w:numFmt w:val="bullet"/>
      <w:lvlText w:val=""/>
      <w:lvlJc w:val="left"/>
      <w:pPr>
        <w:ind w:left="6480" w:hanging="360"/>
      </w:pPr>
      <w:rPr>
        <w:rFonts w:ascii="Symbol" w:hAnsi="Symbol" w:hint="default"/>
      </w:rPr>
    </w:lvl>
    <w:lvl w:ilvl="7" w:tplc="89F4D5E6" w:tentative="1">
      <w:start w:val="1"/>
      <w:numFmt w:val="bullet"/>
      <w:lvlText w:val="o"/>
      <w:lvlJc w:val="left"/>
      <w:pPr>
        <w:ind w:left="7200" w:hanging="360"/>
      </w:pPr>
      <w:rPr>
        <w:rFonts w:ascii="Courier New" w:hAnsi="Courier New" w:cs="Courier New" w:hint="default"/>
      </w:rPr>
    </w:lvl>
    <w:lvl w:ilvl="8" w:tplc="6AE8C0A8" w:tentative="1">
      <w:start w:val="1"/>
      <w:numFmt w:val="bullet"/>
      <w:lvlText w:val=""/>
      <w:lvlJc w:val="left"/>
      <w:pPr>
        <w:ind w:left="7920" w:hanging="360"/>
      </w:pPr>
      <w:rPr>
        <w:rFonts w:ascii="Wingdings" w:hAnsi="Wingdings" w:hint="default"/>
      </w:rPr>
    </w:lvl>
  </w:abstractNum>
  <w:abstractNum w:abstractNumId="37" w15:restartNumberingAfterBreak="0">
    <w:nsid w:val="7773595F"/>
    <w:multiLevelType w:val="multilevel"/>
    <w:tmpl w:val="CDACE9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440D51"/>
    <w:multiLevelType w:val="multilevel"/>
    <w:tmpl w:val="38A6B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84D033C"/>
    <w:multiLevelType w:val="multilevel"/>
    <w:tmpl w:val="066E1428"/>
    <w:lvl w:ilvl="0">
      <w:start w:val="1"/>
      <w:numFmt w:val="decimal"/>
      <w:lvlText w:val="%1"/>
      <w:lvlJc w:val="left"/>
      <w:pPr>
        <w:ind w:left="720" w:hanging="720"/>
      </w:pPr>
      <w:rPr>
        <w:b/>
        <w:color w:val="auto"/>
      </w:rPr>
    </w:lvl>
    <w:lvl w:ilvl="1">
      <w:start w:val="1"/>
      <w:numFmt w:val="decimal"/>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7B2B69F2"/>
    <w:multiLevelType w:val="hybridMultilevel"/>
    <w:tmpl w:val="7C623CC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1" w15:restartNumberingAfterBreak="0">
    <w:nsid w:val="7DE50A9D"/>
    <w:multiLevelType w:val="hybridMultilevel"/>
    <w:tmpl w:val="B48AA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EFB3EBD"/>
    <w:multiLevelType w:val="hybridMultilevel"/>
    <w:tmpl w:val="2BF0EFA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6"/>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4"/>
  </w:num>
  <w:num w:numId="11">
    <w:abstractNumId w:val="4"/>
  </w:num>
  <w:num w:numId="12">
    <w:abstractNumId w:val="26"/>
  </w:num>
  <w:num w:numId="13">
    <w:abstractNumId w:val="31"/>
  </w:num>
  <w:num w:numId="14">
    <w:abstractNumId w:val="23"/>
  </w:num>
  <w:num w:numId="15">
    <w:abstractNumId w:val="21"/>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9"/>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30"/>
  </w:num>
  <w:num w:numId="26">
    <w:abstractNumId w:val="12"/>
  </w:num>
  <w:num w:numId="27">
    <w:abstractNumId w:val="1"/>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8"/>
  </w:num>
  <w:num w:numId="30">
    <w:abstractNumId w:val="21"/>
  </w:num>
  <w:num w:numId="31">
    <w:abstractNumId w:val="13"/>
  </w:num>
  <w:num w:numId="32">
    <w:abstractNumId w:val="22"/>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
  </w:num>
  <w:num w:numId="36">
    <w:abstractNumId w:val="32"/>
  </w:num>
  <w:num w:numId="37">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33"/>
  </w:num>
  <w:num w:numId="40">
    <w:abstractNumId w:val="42"/>
  </w:num>
  <w:num w:numId="41">
    <w:abstractNumId w:val="10"/>
  </w:num>
  <w:num w:numId="42">
    <w:abstractNumId w:val="36"/>
  </w:num>
  <w:num w:numId="43">
    <w:abstractNumId w:val="14"/>
  </w:num>
  <w:num w:numId="44">
    <w:abstractNumId w:val="28"/>
  </w:num>
  <w:num w:numId="45">
    <w:abstractNumId w:val="27"/>
  </w:num>
  <w:num w:numId="46">
    <w:abstractNumId w:val="20"/>
  </w:num>
  <w:num w:numId="47">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14"/>
    <w:rsid w:val="00000DE4"/>
    <w:rsid w:val="00002551"/>
    <w:rsid w:val="00060E62"/>
    <w:rsid w:val="00070EA3"/>
    <w:rsid w:val="000719F5"/>
    <w:rsid w:val="0007215F"/>
    <w:rsid w:val="00084281"/>
    <w:rsid w:val="000A3664"/>
    <w:rsid w:val="000A38BD"/>
    <w:rsid w:val="000D255F"/>
    <w:rsid w:val="000D7261"/>
    <w:rsid w:val="000E2B3A"/>
    <w:rsid w:val="000E4A73"/>
    <w:rsid w:val="000F4232"/>
    <w:rsid w:val="00126BCB"/>
    <w:rsid w:val="00131BB9"/>
    <w:rsid w:val="0014060D"/>
    <w:rsid w:val="001521E2"/>
    <w:rsid w:val="001726B8"/>
    <w:rsid w:val="00197D81"/>
    <w:rsid w:val="001A141D"/>
    <w:rsid w:val="001A5844"/>
    <w:rsid w:val="001A68B6"/>
    <w:rsid w:val="001C4EE3"/>
    <w:rsid w:val="001C5622"/>
    <w:rsid w:val="001D3525"/>
    <w:rsid w:val="001D7AD1"/>
    <w:rsid w:val="001E1594"/>
    <w:rsid w:val="001E5386"/>
    <w:rsid w:val="002167DF"/>
    <w:rsid w:val="00220224"/>
    <w:rsid w:val="00247E08"/>
    <w:rsid w:val="0026177E"/>
    <w:rsid w:val="002626A1"/>
    <w:rsid w:val="00273CDE"/>
    <w:rsid w:val="00293F2B"/>
    <w:rsid w:val="002A6F1E"/>
    <w:rsid w:val="002B056D"/>
    <w:rsid w:val="00311C9A"/>
    <w:rsid w:val="00313552"/>
    <w:rsid w:val="00315D15"/>
    <w:rsid w:val="00325681"/>
    <w:rsid w:val="003432A8"/>
    <w:rsid w:val="00370247"/>
    <w:rsid w:val="003703B0"/>
    <w:rsid w:val="003775D4"/>
    <w:rsid w:val="00387E36"/>
    <w:rsid w:val="003C0D84"/>
    <w:rsid w:val="003C6B2B"/>
    <w:rsid w:val="0040173E"/>
    <w:rsid w:val="0042504D"/>
    <w:rsid w:val="00430CD5"/>
    <w:rsid w:val="0046207B"/>
    <w:rsid w:val="00470D78"/>
    <w:rsid w:val="00474895"/>
    <w:rsid w:val="00477061"/>
    <w:rsid w:val="00487FF5"/>
    <w:rsid w:val="004C1207"/>
    <w:rsid w:val="004C27BE"/>
    <w:rsid w:val="005054AE"/>
    <w:rsid w:val="0052645C"/>
    <w:rsid w:val="0054169B"/>
    <w:rsid w:val="005422C6"/>
    <w:rsid w:val="00551FE6"/>
    <w:rsid w:val="005563EB"/>
    <w:rsid w:val="005602E7"/>
    <w:rsid w:val="005672DC"/>
    <w:rsid w:val="00571B61"/>
    <w:rsid w:val="00591EB3"/>
    <w:rsid w:val="005A4F06"/>
    <w:rsid w:val="005A74DF"/>
    <w:rsid w:val="005B1456"/>
    <w:rsid w:val="005B1C67"/>
    <w:rsid w:val="005B747E"/>
    <w:rsid w:val="005E305B"/>
    <w:rsid w:val="00632797"/>
    <w:rsid w:val="00655ABD"/>
    <w:rsid w:val="00657F70"/>
    <w:rsid w:val="006816D1"/>
    <w:rsid w:val="00685563"/>
    <w:rsid w:val="006A5DE2"/>
    <w:rsid w:val="006B7BFD"/>
    <w:rsid w:val="006C7114"/>
    <w:rsid w:val="006C7CD5"/>
    <w:rsid w:val="006F4FE4"/>
    <w:rsid w:val="00737013"/>
    <w:rsid w:val="007A3520"/>
    <w:rsid w:val="007B1D0C"/>
    <w:rsid w:val="007C2DEA"/>
    <w:rsid w:val="008478E0"/>
    <w:rsid w:val="00854F45"/>
    <w:rsid w:val="008613F6"/>
    <w:rsid w:val="00872D2C"/>
    <w:rsid w:val="00873720"/>
    <w:rsid w:val="008960CF"/>
    <w:rsid w:val="008B304A"/>
    <w:rsid w:val="008B32A1"/>
    <w:rsid w:val="008B5378"/>
    <w:rsid w:val="00937E0C"/>
    <w:rsid w:val="0094220E"/>
    <w:rsid w:val="00942369"/>
    <w:rsid w:val="00995355"/>
    <w:rsid w:val="009965C8"/>
    <w:rsid w:val="009A2070"/>
    <w:rsid w:val="009B2200"/>
    <w:rsid w:val="009C03A3"/>
    <w:rsid w:val="009C47F5"/>
    <w:rsid w:val="009C4E58"/>
    <w:rsid w:val="009C61A1"/>
    <w:rsid w:val="009E4E26"/>
    <w:rsid w:val="009E741D"/>
    <w:rsid w:val="009F2CD0"/>
    <w:rsid w:val="009F3ACB"/>
    <w:rsid w:val="00A0477F"/>
    <w:rsid w:val="00A04F6A"/>
    <w:rsid w:val="00A14D67"/>
    <w:rsid w:val="00A1776D"/>
    <w:rsid w:val="00A30617"/>
    <w:rsid w:val="00A350B8"/>
    <w:rsid w:val="00A37083"/>
    <w:rsid w:val="00A4674A"/>
    <w:rsid w:val="00A57B16"/>
    <w:rsid w:val="00A7674E"/>
    <w:rsid w:val="00AD040E"/>
    <w:rsid w:val="00AD336D"/>
    <w:rsid w:val="00AE3EA5"/>
    <w:rsid w:val="00B00DAB"/>
    <w:rsid w:val="00B06135"/>
    <w:rsid w:val="00B278BC"/>
    <w:rsid w:val="00B27C80"/>
    <w:rsid w:val="00B43471"/>
    <w:rsid w:val="00B75687"/>
    <w:rsid w:val="00B8329F"/>
    <w:rsid w:val="00B84FA2"/>
    <w:rsid w:val="00BD24B7"/>
    <w:rsid w:val="00BE013A"/>
    <w:rsid w:val="00BE3AE8"/>
    <w:rsid w:val="00C17A23"/>
    <w:rsid w:val="00C227A3"/>
    <w:rsid w:val="00C2321F"/>
    <w:rsid w:val="00C422E6"/>
    <w:rsid w:val="00C442EC"/>
    <w:rsid w:val="00C44460"/>
    <w:rsid w:val="00C641B1"/>
    <w:rsid w:val="00C8356A"/>
    <w:rsid w:val="00C9463B"/>
    <w:rsid w:val="00CC447C"/>
    <w:rsid w:val="00CD35D5"/>
    <w:rsid w:val="00CD42A6"/>
    <w:rsid w:val="00CD5F38"/>
    <w:rsid w:val="00CE4C54"/>
    <w:rsid w:val="00CF2850"/>
    <w:rsid w:val="00D00B6A"/>
    <w:rsid w:val="00D201C9"/>
    <w:rsid w:val="00D22999"/>
    <w:rsid w:val="00D26338"/>
    <w:rsid w:val="00D50457"/>
    <w:rsid w:val="00D63EA6"/>
    <w:rsid w:val="00D8234A"/>
    <w:rsid w:val="00D86281"/>
    <w:rsid w:val="00D95497"/>
    <w:rsid w:val="00D96B4B"/>
    <w:rsid w:val="00DA6256"/>
    <w:rsid w:val="00DD10DF"/>
    <w:rsid w:val="00DD3345"/>
    <w:rsid w:val="00DE0537"/>
    <w:rsid w:val="00DE1215"/>
    <w:rsid w:val="00DE14D1"/>
    <w:rsid w:val="00DE4971"/>
    <w:rsid w:val="00E01B27"/>
    <w:rsid w:val="00E02E26"/>
    <w:rsid w:val="00E45BB8"/>
    <w:rsid w:val="00E47B3F"/>
    <w:rsid w:val="00E72CC1"/>
    <w:rsid w:val="00E732D9"/>
    <w:rsid w:val="00E73939"/>
    <w:rsid w:val="00E9009B"/>
    <w:rsid w:val="00ED6DA8"/>
    <w:rsid w:val="00EE3CC5"/>
    <w:rsid w:val="00EF25BD"/>
    <w:rsid w:val="00F13664"/>
    <w:rsid w:val="00F15AD5"/>
    <w:rsid w:val="00F472B2"/>
    <w:rsid w:val="00F56920"/>
    <w:rsid w:val="00F879A6"/>
    <w:rsid w:val="00F934E4"/>
    <w:rsid w:val="00FB50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D5186"/>
  <w15:docId w15:val="{3D90AF63-FE61-4D3E-BB60-EAC5AB82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AU" w:eastAsia="en-A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938"/>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aliases w:val="Subsection Headings"/>
    <w:basedOn w:val="Normal"/>
    <w:next w:val="Normal"/>
    <w:link w:val="Heading2Char"/>
    <w:uiPriority w:val="9"/>
    <w:semiHidden/>
    <w:unhideWhenUsed/>
    <w:qFormat/>
    <w:rsid w:val="00B1059E"/>
    <w:pPr>
      <w:keepNext/>
      <w:outlineLvl w:val="1"/>
    </w:pPr>
    <w:rPr>
      <w:rFonts w:ascii="Arial" w:hAnsi="Arial"/>
      <w:b/>
      <w:i/>
      <w:sz w:val="22"/>
    </w:rPr>
  </w:style>
  <w:style w:type="paragraph" w:styleId="Heading3">
    <w:name w:val="heading 3"/>
    <w:basedOn w:val="Normal"/>
    <w:next w:val="Normal"/>
    <w:link w:val="Heading3Char"/>
    <w:uiPriority w:val="9"/>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ummary box,Table Gridbeth,CMA Table Template,ASD Table,new style,PBAC table,Header Table,NICE instructions,Source table_,HTAtableplain"/>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4"/>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link w:val="TableHeadingChar"/>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next w:val="Normal"/>
    <w:link w:val="SubtitleChar"/>
    <w:uiPriority w:val="11"/>
    <w:qFormat/>
    <w:rPr>
      <w:sz w:val="20"/>
      <w:szCs w:val="20"/>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Bullets,CV text,Dot pt,Bullet 1"/>
    <w:next w:val="ListBullet"/>
    <w:link w:val="ListParagraphChar"/>
    <w:uiPriority w:val="34"/>
    <w:qFormat/>
    <w:rsid w:val="00446938"/>
    <w:pPr>
      <w:spacing w:after="120"/>
      <w:ind w:left="1134" w:hanging="357"/>
    </w:pPr>
    <w:rPr>
      <w:rFonts w:asciiTheme="minorHAnsi" w:hAnsiTheme="minorHAnsi" w:cs="Arial"/>
      <w:snapToGrid w:val="0"/>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4"/>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ind w:left="720" w:hanging="720"/>
    </w:pPr>
    <w:rPr>
      <w:rFonts w:asciiTheme="minorHAnsi" w:eastAsiaTheme="minorHAnsi" w:hAnsiTheme="minorHAnsi" w:cstheme="minorBidi"/>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tabs>
        <w:tab w:val="num" w:pos="720"/>
      </w:tabs>
      <w:ind w:left="720" w:hanging="720"/>
      <w:contextualSpacing/>
    </w:pPr>
  </w:style>
  <w:style w:type="paragraph" w:styleId="Revision">
    <w:name w:val="Revision"/>
    <w:hidden/>
    <w:uiPriority w:val="71"/>
    <w:semiHidden/>
    <w:rsid w:val="00DF021D"/>
  </w:style>
  <w:style w:type="paragraph" w:customStyle="1" w:styleId="Default">
    <w:name w:val="Default"/>
    <w:rsid w:val="000B7767"/>
    <w:pPr>
      <w:autoSpaceDE w:val="0"/>
      <w:autoSpaceDN w:val="0"/>
      <w:adjustRightInd w:val="0"/>
    </w:pPr>
    <w:rPr>
      <w:color w:val="000000"/>
    </w:rPr>
  </w:style>
  <w:style w:type="paragraph" w:styleId="ListBullet2">
    <w:name w:val="List Bullet 2"/>
    <w:basedOn w:val="Normal"/>
    <w:semiHidden/>
    <w:unhideWhenUsed/>
    <w:rsid w:val="00B313A0"/>
    <w:pPr>
      <w:tabs>
        <w:tab w:val="num" w:pos="720"/>
      </w:tabs>
      <w:ind w:left="720" w:hanging="720"/>
      <w:contextualSpacing/>
    </w:pPr>
  </w:style>
  <w:style w:type="character" w:customStyle="1" w:styleId="TableHeadingChar">
    <w:name w:val="TableHeading Char"/>
    <w:link w:val="TableHeading"/>
    <w:rsid w:val="00375910"/>
    <w:rPr>
      <w:rFonts w:ascii="Arial Narrow" w:hAnsi="Arial Narrow" w:cs="Arial Narrow"/>
      <w:b/>
      <w:bCs/>
      <w:lang w:eastAsia="en-US"/>
    </w:rPr>
  </w:style>
  <w:style w:type="paragraph" w:customStyle="1" w:styleId="TFAbbrevs0">
    <w:name w:val="TFAbbrevs+0"/>
    <w:basedOn w:val="Normal"/>
    <w:qFormat/>
    <w:rsid w:val="00375910"/>
    <w:pPr>
      <w:keepNext/>
      <w:keepLines/>
      <w:jc w:val="left"/>
    </w:pPr>
    <w:rPr>
      <w:rFonts w:ascii="Arial Narrow" w:hAnsi="Arial Narrow"/>
      <w:color w:val="000000"/>
      <w:sz w:val="18"/>
      <w:szCs w:val="18"/>
    </w:rPr>
  </w:style>
  <w:style w:type="table" w:customStyle="1" w:styleId="OPTUMTableNormal">
    <w:name w:val="OPTUM Table Normal"/>
    <w:basedOn w:val="TableNormal"/>
    <w:rsid w:val="00375910"/>
    <w:pPr>
      <w:spacing w:before="40" w:after="20"/>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4Bodytextnumbered">
    <w:name w:val="4. Body text numbered"/>
    <w:basedOn w:val="ListParagraph"/>
    <w:qFormat/>
    <w:rsid w:val="007D067C"/>
    <w:pPr>
      <w:ind w:left="720" w:hanging="720"/>
    </w:pPr>
    <w:rPr>
      <w:rFonts w:eastAsiaTheme="minorHAnsi" w:cstheme="minorBidi"/>
      <w:snapToGrid/>
      <w:szCs w:val="22"/>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locked/>
    <w:rsid w:val="00FC68A0"/>
    <w:rPr>
      <w:rFonts w:ascii="Calibri" w:hAnsi="Calibri"/>
      <w:i/>
      <w:iCs/>
      <w:color w:val="000000" w:themeColor="text1"/>
      <w:sz w:val="18"/>
      <w:szCs w:val="18"/>
    </w:rPr>
  </w:style>
  <w:style w:type="paragraph" w:customStyle="1" w:styleId="QuoteBodyText">
    <w:name w:val="QuoteBodyText"/>
    <w:basedOn w:val="Quote"/>
    <w:next w:val="BodyText"/>
    <w:uiPriority w:val="6"/>
    <w:qFormat/>
    <w:rsid w:val="00EC0503"/>
    <w:pPr>
      <w:spacing w:before="120" w:after="120" w:line="276" w:lineRule="auto"/>
      <w:ind w:left="1134" w:right="851"/>
      <w:jc w:val="left"/>
    </w:pPr>
    <w:rPr>
      <w:rFonts w:asciiTheme="minorHAnsi" w:eastAsiaTheme="minorHAnsi" w:hAnsiTheme="minorHAnsi" w:cs="Tahoma"/>
      <w:i w:val="0"/>
      <w:color w:val="000000" w:themeColor="text1"/>
      <w:sz w:val="22"/>
      <w:szCs w:val="22"/>
      <w:lang w:eastAsia="en-US"/>
    </w:rPr>
  </w:style>
  <w:style w:type="paragraph" w:customStyle="1" w:styleId="Tablebulletlist">
    <w:name w:val="Table bullet list"/>
    <w:basedOn w:val="Normal"/>
    <w:qFormat/>
    <w:rsid w:val="00EC0503"/>
    <w:pPr>
      <w:widowControl w:val="0"/>
      <w:tabs>
        <w:tab w:val="left" w:pos="464"/>
        <w:tab w:val="num" w:pos="720"/>
      </w:tabs>
      <w:spacing w:before="34"/>
      <w:ind w:left="720" w:hanging="720"/>
      <w:jc w:val="left"/>
    </w:pPr>
    <w:rPr>
      <w:rFonts w:asciiTheme="minorHAnsi" w:hAnsiTheme="minorHAnsi"/>
      <w:sz w:val="18"/>
      <w:szCs w:val="18"/>
      <w:lang w:val="en-US"/>
    </w:rPr>
  </w:style>
  <w:style w:type="paragraph" w:customStyle="1" w:styleId="Tablenotes0">
    <w:name w:val="Tablenotes"/>
    <w:basedOn w:val="Normal"/>
    <w:link w:val="TablenotesChar"/>
    <w:qFormat/>
    <w:rsid w:val="00EC0503"/>
    <w:pPr>
      <w:widowControl w:val="0"/>
      <w:spacing w:after="360"/>
      <w:contextualSpacing/>
    </w:pPr>
    <w:rPr>
      <w:rFonts w:ascii="Arial Narrow" w:hAnsi="Arial Narrow" w:cs="Arial"/>
      <w:snapToGrid w:val="0"/>
      <w:sz w:val="18"/>
      <w:szCs w:val="20"/>
      <w:lang w:eastAsia="en-US"/>
    </w:rPr>
  </w:style>
  <w:style w:type="character" w:customStyle="1" w:styleId="TablenotesChar">
    <w:name w:val="Tablenotes Char"/>
    <w:basedOn w:val="DefaultParagraphFont"/>
    <w:link w:val="Tablenotes0"/>
    <w:rsid w:val="00EC0503"/>
    <w:rPr>
      <w:rFonts w:ascii="Arial Narrow" w:eastAsia="Calibri" w:hAnsi="Arial Narrow" w:cs="Arial"/>
      <w:snapToGrid w:val="0"/>
      <w:sz w:val="18"/>
      <w:lang w:eastAsia="en-US"/>
    </w:rPr>
  </w:style>
  <w:style w:type="paragraph" w:styleId="Quote">
    <w:name w:val="Quote"/>
    <w:basedOn w:val="Normal"/>
    <w:next w:val="Normal"/>
    <w:link w:val="QuoteChar"/>
    <w:uiPriority w:val="73"/>
    <w:rsid w:val="00EC0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EC0503"/>
    <w:rPr>
      <w:rFonts w:ascii="Calibri" w:hAnsi="Calibri"/>
      <w:i/>
      <w:iCs/>
      <w:color w:val="404040" w:themeColor="text1" w:themeTint="BF"/>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before="40" w:after="20"/>
    </w:pPr>
    <w:rPr>
      <w:color w:val="365F91"/>
      <w:sz w:val="18"/>
      <w:szCs w:val="18"/>
    </w:rPr>
    <w:tblPr>
      <w:tblStyleRowBandSize w:val="1"/>
      <w:tblStyleColBandSize w:val="1"/>
      <w:tblCellMar>
        <w:left w:w="85" w:type="dxa"/>
        <w:right w:w="85" w:type="dxa"/>
      </w:tblCellMar>
    </w:tblPr>
    <w:tblStylePr w:type="firstRow">
      <w:rPr>
        <w:rFonts w:ascii="Calibri" w:eastAsia="Calibri" w:hAnsi="Calibri" w:cs="Calibri"/>
        <w:b w:val="0"/>
        <w:sz w:val="22"/>
        <w:szCs w:val="22"/>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before="40" w:after="20"/>
    </w:pPr>
    <w:rPr>
      <w:color w:val="365F91"/>
      <w:sz w:val="18"/>
      <w:szCs w:val="18"/>
    </w:rPr>
    <w:tblPr>
      <w:tblStyleRowBandSize w:val="1"/>
      <w:tblStyleColBandSize w:val="1"/>
      <w:tblCellMar>
        <w:left w:w="115" w:type="dxa"/>
        <w:right w:w="115" w:type="dxa"/>
      </w:tblCellMar>
    </w:tblPr>
  </w:style>
  <w:style w:type="table" w:customStyle="1" w:styleId="a6">
    <w:basedOn w:val="TableNormal"/>
    <w:pPr>
      <w:spacing w:before="40" w:after="20"/>
    </w:pPr>
    <w:rPr>
      <w:color w:val="365F91"/>
      <w:sz w:val="18"/>
      <w:szCs w:val="18"/>
    </w:rPr>
    <w:tblPr>
      <w:tblStyleRowBandSize w:val="1"/>
      <w:tblStyleColBandSize w:val="1"/>
      <w:tblCellMar>
        <w:left w:w="115" w:type="dxa"/>
        <w:right w:w="115" w:type="dxa"/>
      </w:tblCellMar>
    </w:tblPr>
  </w:style>
  <w:style w:type="table" w:customStyle="1" w:styleId="a7">
    <w:basedOn w:val="TableNormal"/>
    <w:pPr>
      <w:spacing w:before="40" w:after="20"/>
    </w:pPr>
    <w:rPr>
      <w:color w:val="365F91"/>
      <w:sz w:val="18"/>
      <w:szCs w:val="18"/>
    </w:rPr>
    <w:tblPr>
      <w:tblStyleRowBandSize w:val="1"/>
      <w:tblStyleColBandSize w:val="1"/>
      <w:tblCellMar>
        <w:left w:w="115" w:type="dxa"/>
        <w:right w:w="115" w:type="dxa"/>
      </w:tblCellMar>
    </w:tblPr>
    <w:tblStylePr w:type="firstRow">
      <w:rPr>
        <w:rFonts w:ascii="Calibri" w:eastAsia="Calibri" w:hAnsi="Calibri" w:cs="Calibri"/>
        <w:b w:val="0"/>
        <w:sz w:val="22"/>
        <w:szCs w:val="22"/>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style>
  <w:style w:type="table" w:customStyle="1" w:styleId="a8">
    <w:basedOn w:val="TableNormal"/>
    <w:pPr>
      <w:spacing w:before="40" w:after="20"/>
    </w:pPr>
    <w:rPr>
      <w:color w:val="365F91"/>
      <w:sz w:val="18"/>
      <w:szCs w:val="18"/>
    </w:rPr>
    <w:tblPr>
      <w:tblStyleRowBandSize w:val="1"/>
      <w:tblStyleColBandSize w:val="1"/>
      <w:tblCellMar>
        <w:left w:w="115" w:type="dxa"/>
        <w:right w:w="115" w:type="dxa"/>
      </w:tblCellMar>
    </w:tblPr>
  </w:style>
  <w:style w:type="table" w:customStyle="1" w:styleId="a9">
    <w:basedOn w:val="TableNormal"/>
    <w:pPr>
      <w:spacing w:before="40" w:after="20"/>
    </w:pPr>
    <w:rPr>
      <w:color w:val="365F91"/>
      <w:sz w:val="18"/>
      <w:szCs w:val="18"/>
    </w:rPr>
    <w:tblPr>
      <w:tblStyleRowBandSize w:val="1"/>
      <w:tblStyleColBandSize w:val="1"/>
      <w:tblCellMar>
        <w:left w:w="115" w:type="dxa"/>
        <w:right w:w="115" w:type="dxa"/>
      </w:tblCellMar>
    </w:tblPr>
  </w:style>
  <w:style w:type="table" w:customStyle="1" w:styleId="aa">
    <w:basedOn w:val="TableNormal"/>
    <w:pPr>
      <w:spacing w:before="40" w:after="20"/>
    </w:pPr>
    <w:rPr>
      <w:color w:val="365F91"/>
      <w:sz w:val="18"/>
      <w:szCs w:val="18"/>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201C9"/>
    <w:rPr>
      <w:rFonts w:ascii="Times New Roman" w:hAnsi="Times New Roman" w:cs="Times New Roman"/>
    </w:rPr>
  </w:style>
  <w:style w:type="character" w:customStyle="1" w:styleId="UnresolvedMention1">
    <w:name w:val="Unresolved Mention1"/>
    <w:basedOn w:val="DefaultParagraphFont"/>
    <w:uiPriority w:val="99"/>
    <w:semiHidden/>
    <w:unhideWhenUsed/>
    <w:rsid w:val="004C1207"/>
    <w:rPr>
      <w:color w:val="605E5C"/>
      <w:shd w:val="clear" w:color="auto" w:fill="E1DFDD"/>
    </w:rPr>
  </w:style>
  <w:style w:type="character" w:styleId="Strong">
    <w:name w:val="Strong"/>
    <w:basedOn w:val="DefaultParagraphFont"/>
    <w:uiPriority w:val="22"/>
    <w:qFormat/>
    <w:rsid w:val="006F4FE4"/>
    <w:rPr>
      <w:b/>
      <w:bCs/>
    </w:rPr>
  </w:style>
  <w:style w:type="character" w:styleId="Emphasis">
    <w:name w:val="Emphasis"/>
    <w:basedOn w:val="DefaultParagraphFont"/>
    <w:uiPriority w:val="20"/>
    <w:qFormat/>
    <w:rsid w:val="006F4FE4"/>
    <w:rPr>
      <w:i/>
      <w:iCs/>
    </w:rPr>
  </w:style>
  <w:style w:type="character" w:customStyle="1" w:styleId="apple-converted-space">
    <w:name w:val="apple-converted-space"/>
    <w:basedOn w:val="DefaultParagraphFont"/>
    <w:rsid w:val="0042504D"/>
  </w:style>
  <w:style w:type="paragraph" w:customStyle="1" w:styleId="paragraph">
    <w:name w:val="paragraph"/>
    <w:basedOn w:val="Normal"/>
    <w:rsid w:val="0042504D"/>
    <w:pPr>
      <w:spacing w:before="100" w:beforeAutospacing="1" w:after="100" w:afterAutospacing="1"/>
      <w:jc w:val="left"/>
    </w:pPr>
    <w:rPr>
      <w:rFonts w:ascii="Times New Roman" w:eastAsia="Times New Roman" w:hAnsi="Times New Roman" w:cs="Times New Roman"/>
      <w:lang w:eastAsia="en-GB"/>
    </w:rPr>
  </w:style>
  <w:style w:type="character" w:customStyle="1" w:styleId="TablecaptionChar">
    <w:name w:val="Table caption Char"/>
    <w:basedOn w:val="DefaultParagraphFont"/>
    <w:link w:val="Tablecaption"/>
    <w:locked/>
    <w:rsid w:val="0042504D"/>
    <w:rPr>
      <w:rFonts w:ascii="Arial Narrow" w:eastAsiaTheme="minorHAnsi" w:hAnsi="Arial Narrow" w:cs="Arial"/>
      <w:b/>
      <w:bCs/>
      <w:iCs/>
      <w:sz w:val="22"/>
      <w:lang w:eastAsia="en-US"/>
    </w:rPr>
  </w:style>
  <w:style w:type="paragraph" w:customStyle="1" w:styleId="Tablecaption">
    <w:name w:val="Table caption"/>
    <w:basedOn w:val="Caption"/>
    <w:link w:val="TablecaptionChar"/>
    <w:qFormat/>
    <w:rsid w:val="0042504D"/>
    <w:pPr>
      <w:keepNext/>
      <w:spacing w:after="40" w:line="256" w:lineRule="auto"/>
      <w:ind w:left="851" w:hanging="851"/>
    </w:pPr>
    <w:rPr>
      <w:rFonts w:ascii="Arial Narrow" w:eastAsiaTheme="minorHAnsi" w:hAnsi="Arial Narrow" w:cs="Arial"/>
      <w:b/>
      <w:bCs/>
      <w:i w:val="0"/>
      <w:color w:val="auto"/>
      <w:sz w:val="22"/>
      <w:szCs w:val="24"/>
      <w:lang w:eastAsia="en-US"/>
    </w:rPr>
  </w:style>
  <w:style w:type="character" w:customStyle="1" w:styleId="TablenotesChar0">
    <w:name w:val="Table notes Char"/>
    <w:basedOn w:val="DefaultParagraphFont"/>
    <w:link w:val="Tablenotes1"/>
    <w:locked/>
    <w:rsid w:val="0042504D"/>
    <w:rPr>
      <w:rFonts w:ascii="Arial Narrow" w:eastAsiaTheme="minorHAnsi" w:hAnsi="Arial Narrow" w:cs="Arial"/>
      <w:szCs w:val="22"/>
      <w:lang w:eastAsia="en-US"/>
    </w:rPr>
  </w:style>
  <w:style w:type="paragraph" w:customStyle="1" w:styleId="Tablenotes1">
    <w:name w:val="Table notes"/>
    <w:basedOn w:val="Normal"/>
    <w:link w:val="TablenotesChar0"/>
    <w:qFormat/>
    <w:rsid w:val="0042504D"/>
    <w:pPr>
      <w:spacing w:after="240" w:line="256" w:lineRule="auto"/>
      <w:contextualSpacing/>
      <w:jc w:val="left"/>
    </w:pPr>
    <w:rPr>
      <w:rFonts w:ascii="Arial Narrow" w:eastAsiaTheme="minorHAnsi" w:hAnsi="Arial Narrow" w:cs="Arial"/>
      <w:szCs w:val="22"/>
      <w:lang w:eastAsia="en-US"/>
    </w:rPr>
  </w:style>
  <w:style w:type="character" w:customStyle="1" w:styleId="normaltextrun">
    <w:name w:val="normaltextrun"/>
    <w:basedOn w:val="DefaultParagraphFont"/>
    <w:rsid w:val="0042504D"/>
  </w:style>
  <w:style w:type="character" w:customStyle="1" w:styleId="eop">
    <w:name w:val="eop"/>
    <w:basedOn w:val="DefaultParagraphFont"/>
    <w:rsid w:val="0042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9903">
      <w:bodyDiv w:val="1"/>
      <w:marLeft w:val="0"/>
      <w:marRight w:val="0"/>
      <w:marTop w:val="0"/>
      <w:marBottom w:val="0"/>
      <w:divBdr>
        <w:top w:val="none" w:sz="0" w:space="0" w:color="auto"/>
        <w:left w:val="none" w:sz="0" w:space="0" w:color="auto"/>
        <w:bottom w:val="none" w:sz="0" w:space="0" w:color="auto"/>
        <w:right w:val="none" w:sz="0" w:space="0" w:color="auto"/>
      </w:divBdr>
    </w:div>
    <w:div w:id="95753722">
      <w:bodyDiv w:val="1"/>
      <w:marLeft w:val="0"/>
      <w:marRight w:val="0"/>
      <w:marTop w:val="0"/>
      <w:marBottom w:val="0"/>
      <w:divBdr>
        <w:top w:val="none" w:sz="0" w:space="0" w:color="auto"/>
        <w:left w:val="none" w:sz="0" w:space="0" w:color="auto"/>
        <w:bottom w:val="none" w:sz="0" w:space="0" w:color="auto"/>
        <w:right w:val="none" w:sz="0" w:space="0" w:color="auto"/>
      </w:divBdr>
    </w:div>
    <w:div w:id="175702101">
      <w:bodyDiv w:val="1"/>
      <w:marLeft w:val="0"/>
      <w:marRight w:val="0"/>
      <w:marTop w:val="0"/>
      <w:marBottom w:val="0"/>
      <w:divBdr>
        <w:top w:val="none" w:sz="0" w:space="0" w:color="auto"/>
        <w:left w:val="none" w:sz="0" w:space="0" w:color="auto"/>
        <w:bottom w:val="none" w:sz="0" w:space="0" w:color="auto"/>
        <w:right w:val="none" w:sz="0" w:space="0" w:color="auto"/>
      </w:divBdr>
    </w:div>
    <w:div w:id="201141114">
      <w:bodyDiv w:val="1"/>
      <w:marLeft w:val="0"/>
      <w:marRight w:val="0"/>
      <w:marTop w:val="0"/>
      <w:marBottom w:val="0"/>
      <w:divBdr>
        <w:top w:val="none" w:sz="0" w:space="0" w:color="auto"/>
        <w:left w:val="none" w:sz="0" w:space="0" w:color="auto"/>
        <w:bottom w:val="none" w:sz="0" w:space="0" w:color="auto"/>
        <w:right w:val="none" w:sz="0" w:space="0" w:color="auto"/>
      </w:divBdr>
    </w:div>
    <w:div w:id="321929073">
      <w:bodyDiv w:val="1"/>
      <w:marLeft w:val="0"/>
      <w:marRight w:val="0"/>
      <w:marTop w:val="0"/>
      <w:marBottom w:val="0"/>
      <w:divBdr>
        <w:top w:val="none" w:sz="0" w:space="0" w:color="auto"/>
        <w:left w:val="none" w:sz="0" w:space="0" w:color="auto"/>
        <w:bottom w:val="none" w:sz="0" w:space="0" w:color="auto"/>
        <w:right w:val="none" w:sz="0" w:space="0" w:color="auto"/>
      </w:divBdr>
    </w:div>
    <w:div w:id="323163691">
      <w:bodyDiv w:val="1"/>
      <w:marLeft w:val="0"/>
      <w:marRight w:val="0"/>
      <w:marTop w:val="0"/>
      <w:marBottom w:val="0"/>
      <w:divBdr>
        <w:top w:val="none" w:sz="0" w:space="0" w:color="auto"/>
        <w:left w:val="none" w:sz="0" w:space="0" w:color="auto"/>
        <w:bottom w:val="none" w:sz="0" w:space="0" w:color="auto"/>
        <w:right w:val="none" w:sz="0" w:space="0" w:color="auto"/>
      </w:divBdr>
    </w:div>
    <w:div w:id="433791877">
      <w:bodyDiv w:val="1"/>
      <w:marLeft w:val="0"/>
      <w:marRight w:val="0"/>
      <w:marTop w:val="0"/>
      <w:marBottom w:val="0"/>
      <w:divBdr>
        <w:top w:val="none" w:sz="0" w:space="0" w:color="auto"/>
        <w:left w:val="none" w:sz="0" w:space="0" w:color="auto"/>
        <w:bottom w:val="none" w:sz="0" w:space="0" w:color="auto"/>
        <w:right w:val="none" w:sz="0" w:space="0" w:color="auto"/>
      </w:divBdr>
    </w:div>
    <w:div w:id="769394288">
      <w:bodyDiv w:val="1"/>
      <w:marLeft w:val="0"/>
      <w:marRight w:val="0"/>
      <w:marTop w:val="0"/>
      <w:marBottom w:val="0"/>
      <w:divBdr>
        <w:top w:val="none" w:sz="0" w:space="0" w:color="auto"/>
        <w:left w:val="none" w:sz="0" w:space="0" w:color="auto"/>
        <w:bottom w:val="none" w:sz="0" w:space="0" w:color="auto"/>
        <w:right w:val="none" w:sz="0" w:space="0" w:color="auto"/>
      </w:divBdr>
    </w:div>
    <w:div w:id="914169187">
      <w:bodyDiv w:val="1"/>
      <w:marLeft w:val="0"/>
      <w:marRight w:val="0"/>
      <w:marTop w:val="0"/>
      <w:marBottom w:val="0"/>
      <w:divBdr>
        <w:top w:val="none" w:sz="0" w:space="0" w:color="auto"/>
        <w:left w:val="none" w:sz="0" w:space="0" w:color="auto"/>
        <w:bottom w:val="none" w:sz="0" w:space="0" w:color="auto"/>
        <w:right w:val="none" w:sz="0" w:space="0" w:color="auto"/>
      </w:divBdr>
    </w:div>
    <w:div w:id="1184710284">
      <w:bodyDiv w:val="1"/>
      <w:marLeft w:val="0"/>
      <w:marRight w:val="0"/>
      <w:marTop w:val="0"/>
      <w:marBottom w:val="0"/>
      <w:divBdr>
        <w:top w:val="none" w:sz="0" w:space="0" w:color="auto"/>
        <w:left w:val="none" w:sz="0" w:space="0" w:color="auto"/>
        <w:bottom w:val="none" w:sz="0" w:space="0" w:color="auto"/>
        <w:right w:val="none" w:sz="0" w:space="0" w:color="auto"/>
      </w:divBdr>
    </w:div>
    <w:div w:id="1550145610">
      <w:bodyDiv w:val="1"/>
      <w:marLeft w:val="0"/>
      <w:marRight w:val="0"/>
      <w:marTop w:val="0"/>
      <w:marBottom w:val="0"/>
      <w:divBdr>
        <w:top w:val="none" w:sz="0" w:space="0" w:color="auto"/>
        <w:left w:val="none" w:sz="0" w:space="0" w:color="auto"/>
        <w:bottom w:val="none" w:sz="0" w:space="0" w:color="auto"/>
        <w:right w:val="none" w:sz="0" w:space="0" w:color="auto"/>
      </w:divBdr>
    </w:div>
    <w:div w:id="1605990478">
      <w:bodyDiv w:val="1"/>
      <w:marLeft w:val="0"/>
      <w:marRight w:val="0"/>
      <w:marTop w:val="0"/>
      <w:marBottom w:val="0"/>
      <w:divBdr>
        <w:top w:val="none" w:sz="0" w:space="0" w:color="auto"/>
        <w:left w:val="none" w:sz="0" w:space="0" w:color="auto"/>
        <w:bottom w:val="none" w:sz="0" w:space="0" w:color="auto"/>
        <w:right w:val="none" w:sz="0" w:space="0" w:color="auto"/>
      </w:divBdr>
    </w:div>
    <w:div w:id="2077390193">
      <w:bodyDiv w:val="1"/>
      <w:marLeft w:val="0"/>
      <w:marRight w:val="0"/>
      <w:marTop w:val="0"/>
      <w:marBottom w:val="0"/>
      <w:divBdr>
        <w:top w:val="none" w:sz="0" w:space="0" w:color="auto"/>
        <w:left w:val="none" w:sz="0" w:space="0" w:color="auto"/>
        <w:bottom w:val="none" w:sz="0" w:space="0" w:color="auto"/>
        <w:right w:val="none" w:sz="0" w:space="0" w:color="auto"/>
      </w:divBdr>
    </w:div>
    <w:div w:id="209331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fivp9IRhidO266dWNVUe6aDC2A==">AMUW2mXhopLVRy89e3jO3vuxViAMvIL86Qv90pjs0RVkJN5laCtaKgJqYmqGGe7d7rwpdpCt2Cleia1jEHXOUzHwBkbdNnrzELgG1utbvq16qRDKDEW52sqfSBMGhOtI/dKcx+0xLs0dIhqE8pPZbaYBFCKxRcYyuSOro68tnu8nLHwS2gcK1Wc=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54B22942813344B72D23BE965FCFEF" ma:contentTypeVersion="13" ma:contentTypeDescription="Create a new document." ma:contentTypeScope="" ma:versionID="c36748d6d041007771c673abdfc43818">
  <xsd:schema xmlns:xsd="http://www.w3.org/2001/XMLSchema" xmlns:xs="http://www.w3.org/2001/XMLSchema" xmlns:p="http://schemas.microsoft.com/office/2006/metadata/properties" xmlns:ns2="92c9985b-e1cf-445a-9d1f-44a7f071fe04" xmlns:ns3="9ed8c98d-7f9b-4cac-8e46-9de915440af2" targetNamespace="http://schemas.microsoft.com/office/2006/metadata/properties" ma:root="true" ma:fieldsID="d37060fb3fa5376373dcd0654a3b6c86" ns2:_="" ns3:_="">
    <xsd:import namespace="92c9985b-e1cf-445a-9d1f-44a7f071fe04"/>
    <xsd:import namespace="9ed8c98d-7f9b-4cac-8e46-9de915440a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985b-e1cf-445a-9d1f-44a7f071f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d8c98d-7f9b-4cac-8e46-9de915440a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5B154-9353-422F-9BBA-2B361EE922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B6F9C-23A5-4B94-851B-15808EFD3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985b-e1cf-445a-9d1f-44a7f071fe04"/>
    <ds:schemaRef ds:uri="9ed8c98d-7f9b-4cac-8e46-9de915440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30B2B-91A9-4FB4-ACF0-ED02D63A4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3164</Characters>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2022-02-25T05:49:00Z</dcterms:created>
  <dcterms:modified xsi:type="dcterms:W3CDTF">2022-02-25T05:49:00Z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0x0101002F54B22942813344B72D23BE965FCFEF</vt:lpwstr>
  </property>
</Properties>
</file>